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emf" ContentType="image/x-emf"/>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3798FE">
      <w:pPr>
        <w:spacing w:line="240" w:lineRule="auto"/>
        <w:ind w:firstLine="0" w:firstLineChars="0"/>
        <w:jc w:val="center"/>
        <w:rPr>
          <w:rFonts w:hint="eastAsia" w:ascii="Times New Roman" w:hAnsi="Times New Roman" w:eastAsia="黑体" w:cs="Times New Roman"/>
          <w:color w:val="auto"/>
          <w:kern w:val="0"/>
          <w:sz w:val="52"/>
          <w:szCs w:val="52"/>
          <w:highlight w:val="none"/>
          <w:lang w:val="en-US" w:eastAsia="zh-CN"/>
        </w:rPr>
      </w:pPr>
    </w:p>
    <w:p w14:paraId="556BDA1F">
      <w:pPr>
        <w:rPr>
          <w:rFonts w:hint="eastAsia"/>
          <w:highlight w:val="none"/>
          <w:lang w:val="en-US" w:eastAsia="zh-CN"/>
        </w:rPr>
      </w:pPr>
    </w:p>
    <w:p w14:paraId="4F1DEAFD">
      <w:pPr>
        <w:spacing w:line="240" w:lineRule="auto"/>
        <w:ind w:firstLine="0" w:firstLineChars="0"/>
        <w:jc w:val="center"/>
        <w:rPr>
          <w:rFonts w:hint="eastAsia" w:ascii="Times New Roman" w:hAnsi="Times New Roman" w:eastAsia="黑体" w:cs="Times New Roman"/>
          <w:color w:val="auto"/>
          <w:kern w:val="0"/>
          <w:sz w:val="52"/>
          <w:szCs w:val="52"/>
          <w:highlight w:val="none"/>
          <w:lang w:val="en-US" w:eastAsia="zh-CN"/>
        </w:rPr>
      </w:pPr>
    </w:p>
    <w:p w14:paraId="0648F30E">
      <w:pPr>
        <w:spacing w:line="240" w:lineRule="auto"/>
        <w:ind w:firstLine="0" w:firstLineChars="0"/>
        <w:jc w:val="center"/>
        <w:rPr>
          <w:rFonts w:hint="eastAsia" w:ascii="Times New Roman" w:hAnsi="Times New Roman" w:eastAsia="黑体" w:cs="Times New Roman"/>
          <w:color w:val="auto"/>
          <w:kern w:val="0"/>
          <w:sz w:val="52"/>
          <w:szCs w:val="52"/>
          <w:highlight w:val="none"/>
          <w:lang w:val="en-US" w:eastAsia="zh-CN"/>
        </w:rPr>
      </w:pPr>
    </w:p>
    <w:p w14:paraId="1172F8AA">
      <w:pPr>
        <w:spacing w:line="240" w:lineRule="auto"/>
        <w:ind w:firstLine="0" w:firstLineChars="0"/>
        <w:jc w:val="center"/>
        <w:rPr>
          <w:rFonts w:hint="eastAsia" w:ascii="Times New Roman" w:hAnsi="Times New Roman" w:eastAsia="黑体" w:cs="Times New Roman"/>
          <w:color w:val="auto"/>
          <w:kern w:val="0"/>
          <w:sz w:val="52"/>
          <w:szCs w:val="52"/>
          <w:highlight w:val="none"/>
          <w:lang w:val="en-US" w:eastAsia="zh-CN"/>
        </w:rPr>
      </w:pPr>
      <w:r>
        <w:rPr>
          <w:rFonts w:hint="eastAsia" w:ascii="Times New Roman" w:hAnsi="Times New Roman" w:eastAsia="黑体" w:cs="Times New Roman"/>
          <w:color w:val="auto"/>
          <w:kern w:val="0"/>
          <w:sz w:val="52"/>
          <w:szCs w:val="52"/>
          <w:highlight w:val="none"/>
          <w:lang w:val="en-US" w:eastAsia="zh-CN"/>
        </w:rPr>
        <w:t>佳木斯中恒热电有限公司新建、扩建锅炉房工程（二期1×58MW锅炉重新报批）环境影响报告书</w:t>
      </w:r>
    </w:p>
    <w:p w14:paraId="61C6B397">
      <w:pPr>
        <w:pStyle w:val="36"/>
        <w:rPr>
          <w:rFonts w:hint="eastAsia" w:ascii="Times New Roman" w:hAnsi="Times New Roman" w:eastAsia="黑体" w:cs="Times New Roman"/>
          <w:color w:val="auto"/>
          <w:kern w:val="0"/>
          <w:sz w:val="52"/>
          <w:szCs w:val="52"/>
          <w:highlight w:val="none"/>
          <w:lang w:val="en-US" w:eastAsia="zh-CN"/>
        </w:rPr>
      </w:pPr>
    </w:p>
    <w:p w14:paraId="39B5A55E">
      <w:pPr>
        <w:rPr>
          <w:rFonts w:hint="eastAsia" w:ascii="Times New Roman" w:hAnsi="Times New Roman" w:eastAsia="黑体" w:cs="Times New Roman"/>
          <w:color w:val="auto"/>
          <w:kern w:val="0"/>
          <w:sz w:val="52"/>
          <w:szCs w:val="52"/>
          <w:highlight w:val="none"/>
          <w:lang w:val="en-US" w:eastAsia="zh-CN"/>
        </w:rPr>
      </w:pPr>
    </w:p>
    <w:p w14:paraId="46F700C1">
      <w:pPr>
        <w:pStyle w:val="36"/>
        <w:rPr>
          <w:rFonts w:hint="eastAsia" w:ascii="Times New Roman" w:hAnsi="Times New Roman" w:eastAsia="黑体" w:cs="Times New Roman"/>
          <w:color w:val="auto"/>
          <w:kern w:val="0"/>
          <w:sz w:val="52"/>
          <w:szCs w:val="52"/>
          <w:highlight w:val="none"/>
          <w:lang w:val="en-US" w:eastAsia="zh-CN"/>
        </w:rPr>
      </w:pPr>
    </w:p>
    <w:p w14:paraId="2C0DDC9A">
      <w:pPr>
        <w:rPr>
          <w:rFonts w:hint="eastAsia"/>
          <w:highlight w:val="none"/>
          <w:lang w:val="en-US" w:eastAsia="zh-CN"/>
        </w:rPr>
      </w:pPr>
    </w:p>
    <w:p w14:paraId="5F4000AB">
      <w:pPr>
        <w:pStyle w:val="36"/>
        <w:rPr>
          <w:rFonts w:hint="eastAsia" w:ascii="Times New Roman" w:hAnsi="Times New Roman" w:eastAsia="黑体" w:cs="Times New Roman"/>
          <w:color w:val="auto"/>
          <w:kern w:val="0"/>
          <w:sz w:val="52"/>
          <w:szCs w:val="52"/>
          <w:highlight w:val="none"/>
          <w:lang w:val="en-US" w:eastAsia="zh-CN"/>
        </w:rPr>
      </w:pPr>
    </w:p>
    <w:p w14:paraId="7418E92E">
      <w:pPr>
        <w:rPr>
          <w:rFonts w:hint="eastAsia"/>
          <w:highlight w:val="none"/>
          <w:lang w:val="en-US" w:eastAsia="zh-CN"/>
        </w:rPr>
      </w:pPr>
    </w:p>
    <w:p w14:paraId="29FC3CD4">
      <w:pPr>
        <w:rPr>
          <w:rFonts w:hint="eastAsia" w:ascii="Times New Roman" w:hAnsi="Times New Roman" w:eastAsia="黑体" w:cs="Times New Roman"/>
          <w:color w:val="auto"/>
          <w:kern w:val="0"/>
          <w:sz w:val="52"/>
          <w:szCs w:val="52"/>
          <w:highlight w:val="none"/>
          <w:lang w:val="en-US" w:eastAsia="zh-CN"/>
        </w:rPr>
      </w:pPr>
    </w:p>
    <w:p w14:paraId="39C9C906">
      <w:pPr>
        <w:pStyle w:val="36"/>
        <w:rPr>
          <w:rFonts w:hint="eastAsia" w:ascii="Times New Roman" w:hAnsi="Times New Roman" w:eastAsia="黑体" w:cs="Times New Roman"/>
          <w:color w:val="auto"/>
          <w:kern w:val="0"/>
          <w:sz w:val="52"/>
          <w:szCs w:val="52"/>
          <w:highlight w:val="none"/>
          <w:lang w:val="en-US" w:eastAsia="zh-CN"/>
        </w:rPr>
      </w:pPr>
    </w:p>
    <w:p w14:paraId="4F5101D3">
      <w:pPr>
        <w:rPr>
          <w:rFonts w:hint="eastAsia" w:ascii="黑体" w:hAnsi="黑体" w:eastAsia="黑体" w:cs="黑体"/>
          <w:b w:val="0"/>
          <w:bCs w:val="0"/>
          <w:sz w:val="24"/>
          <w:szCs w:val="24"/>
          <w:highlight w:val="none"/>
          <w:lang w:val="en-US" w:eastAsia="zh-CN"/>
        </w:rPr>
      </w:pPr>
      <w:r>
        <w:rPr>
          <w:rFonts w:hint="eastAsia" w:ascii="黑体" w:hAnsi="黑体" w:eastAsia="黑体" w:cs="黑体"/>
          <w:b w:val="0"/>
          <w:bCs w:val="0"/>
          <w:sz w:val="24"/>
          <w:szCs w:val="24"/>
          <w:highlight w:val="none"/>
          <w:lang w:val="en-US" w:eastAsia="zh-CN"/>
        </w:rPr>
        <w:t>建设单位：佳木斯中恒热电有限公司</w:t>
      </w:r>
    </w:p>
    <w:p w14:paraId="6224C089">
      <w:pPr>
        <w:rPr>
          <w:rFonts w:hint="eastAsia" w:ascii="黑体" w:hAnsi="黑体" w:eastAsia="黑体" w:cs="黑体"/>
          <w:b w:val="0"/>
          <w:bCs w:val="0"/>
          <w:sz w:val="24"/>
          <w:szCs w:val="24"/>
          <w:highlight w:val="none"/>
          <w:lang w:val="en-US" w:eastAsia="zh-CN"/>
        </w:rPr>
      </w:pPr>
      <w:r>
        <w:rPr>
          <w:rFonts w:hint="eastAsia" w:ascii="黑体" w:hAnsi="黑体" w:eastAsia="黑体" w:cs="黑体"/>
          <w:b w:val="0"/>
          <w:bCs w:val="0"/>
          <w:sz w:val="24"/>
          <w:szCs w:val="24"/>
          <w:highlight w:val="none"/>
          <w:lang w:val="en-US" w:eastAsia="zh-CN"/>
        </w:rPr>
        <w:t>编制单位：哈尔滨利皓环保科技有限公司</w:t>
      </w:r>
    </w:p>
    <w:p w14:paraId="04BC55DA">
      <w:pPr>
        <w:rPr>
          <w:rFonts w:hint="default" w:ascii="Times New Roman" w:hAnsi="Times New Roman" w:cs="Times New Roman"/>
          <w:b w:val="0"/>
          <w:bCs w:val="0"/>
          <w:sz w:val="24"/>
          <w:szCs w:val="24"/>
          <w:highlight w:val="none"/>
          <w:lang w:val="en-US" w:eastAsia="zh-CN"/>
        </w:rPr>
      </w:pPr>
      <w:r>
        <w:rPr>
          <w:rFonts w:hint="default" w:ascii="Times New Roman" w:hAnsi="Times New Roman" w:eastAsia="黑体" w:cs="Times New Roman"/>
          <w:b w:val="0"/>
          <w:bCs w:val="0"/>
          <w:sz w:val="24"/>
          <w:szCs w:val="24"/>
          <w:highlight w:val="none"/>
          <w:lang w:val="en-US" w:eastAsia="zh-CN"/>
        </w:rPr>
        <w:t>编制时间：2026年1月</w:t>
      </w:r>
    </w:p>
    <w:p w14:paraId="7E7667B6">
      <w:pPr>
        <w:rPr>
          <w:rFonts w:hint="eastAsia"/>
          <w:highlight w:val="none"/>
          <w:lang w:val="en-US" w:eastAsia="zh-CN"/>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titlePg/>
          <w:docGrid w:type="lines" w:linePitch="326" w:charSpace="0"/>
        </w:sectPr>
      </w:pPr>
    </w:p>
    <w:p w14:paraId="3AB9D267">
      <w:pPr>
        <w:rPr>
          <w:rFonts w:hint="eastAsia"/>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titlePg/>
          <w:docGrid w:type="lines" w:linePitch="326" w:charSpace="0"/>
        </w:sectPr>
      </w:pPr>
      <w:r>
        <w:rPr>
          <w:rFonts w:hint="eastAsia"/>
          <w:highlight w:val="none"/>
          <w:lang w:val="en-US" w:eastAsia="zh-CN"/>
        </w:rPr>
        <w:drawing>
          <wp:anchor distT="0" distB="0" distL="114300" distR="114300" simplePos="0" relativeHeight="251712512" behindDoc="0" locked="0" layoutInCell="1" allowOverlap="1">
            <wp:simplePos x="0" y="0"/>
            <wp:positionH relativeFrom="column">
              <wp:posOffset>-440055</wp:posOffset>
            </wp:positionH>
            <wp:positionV relativeFrom="paragraph">
              <wp:posOffset>-440690</wp:posOffset>
            </wp:positionV>
            <wp:extent cx="6426200" cy="9088755"/>
            <wp:effectExtent l="0" t="0" r="12700" b="17145"/>
            <wp:wrapTopAndBottom/>
            <wp:docPr id="132" name="图片 132" descr="签字页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签字页_01"/>
                    <pic:cNvPicPr>
                      <a:picLocks noChangeAspect="1"/>
                    </pic:cNvPicPr>
                  </pic:nvPicPr>
                  <pic:blipFill>
                    <a:blip r:embed="rId18"/>
                    <a:stretch>
                      <a:fillRect/>
                    </a:stretch>
                  </pic:blipFill>
                  <pic:spPr>
                    <a:xfrm>
                      <a:off x="0" y="0"/>
                      <a:ext cx="6426200" cy="9088755"/>
                    </a:xfrm>
                    <a:prstGeom prst="rect">
                      <a:avLst/>
                    </a:prstGeom>
                  </pic:spPr>
                </pic:pic>
              </a:graphicData>
            </a:graphic>
          </wp:anchor>
        </w:drawing>
      </w:r>
    </w:p>
    <w:p w14:paraId="2CBC2E38">
      <w:pPr>
        <w:rPr>
          <w:rFonts w:hint="eastAsia"/>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titlePg/>
          <w:docGrid w:type="lines" w:linePitch="326" w:charSpace="0"/>
        </w:sectPr>
      </w:pPr>
    </w:p>
    <w:sdt>
      <w:sdtPr>
        <w:rPr>
          <w:rFonts w:hint="default" w:ascii="Times New Roman" w:hAnsi="Times New Roman" w:eastAsia="宋体" w:cs="Times New Roman"/>
          <w:b w:val="0"/>
          <w:bCs w:val="0"/>
          <w:color w:val="auto"/>
          <w:kern w:val="2"/>
          <w:sz w:val="24"/>
          <w:szCs w:val="22"/>
          <w:highlight w:val="none"/>
          <w:lang w:val="zh-CN"/>
        </w:rPr>
        <w:id w:val="-281209"/>
        <w:docPartObj>
          <w:docPartGallery w:val="Table of Contents"/>
          <w:docPartUnique/>
        </w:docPartObj>
      </w:sdtPr>
      <w:sdtEndPr>
        <w:rPr>
          <w:rFonts w:hint="default" w:ascii="Times New Roman" w:hAnsi="Times New Roman" w:eastAsia="宋体" w:cs="Times New Roman"/>
          <w:b w:val="0"/>
          <w:bCs w:val="0"/>
          <w:color w:val="auto"/>
          <w:kern w:val="2"/>
          <w:sz w:val="24"/>
          <w:szCs w:val="22"/>
          <w:highlight w:val="none"/>
          <w:lang w:val="zh-CN"/>
        </w:rPr>
      </w:sdtEndPr>
      <w:sdtContent>
        <w:p w14:paraId="1E7E5D19">
          <w:pPr>
            <w:pStyle w:val="84"/>
            <w:ind w:firstLine="0" w:firstLineChars="0"/>
            <w:jc w:val="center"/>
            <w:rPr>
              <w:rFonts w:hint="default" w:ascii="Times New Roman" w:hAnsi="Times New Roman" w:eastAsia="宋体" w:cs="Times New Roman"/>
              <w:color w:val="auto"/>
              <w:highlight w:val="none"/>
              <w:lang w:val="zh-CN"/>
            </w:rPr>
          </w:pPr>
          <w:r>
            <w:rPr>
              <w:rFonts w:hint="default" w:ascii="Times New Roman" w:hAnsi="Times New Roman" w:eastAsia="宋体" w:cs="Times New Roman"/>
              <w:color w:val="auto"/>
              <w:highlight w:val="none"/>
              <w:lang w:val="zh-CN"/>
            </w:rPr>
            <w:t>目</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lang w:val="zh-CN"/>
            </w:rPr>
            <w:t>录</w:t>
          </w:r>
        </w:p>
        <w:p w14:paraId="53593C14">
          <w:pPr>
            <w:pStyle w:val="27"/>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val="0"/>
              <w:bCs w:val="0"/>
              <w:color w:val="auto"/>
              <w:kern w:val="2"/>
              <w:sz w:val="24"/>
              <w:szCs w:val="22"/>
              <w:highlight w:val="none"/>
              <w:lang w:val="zh-CN"/>
            </w:rPr>
            <w:fldChar w:fldCharType="begin"/>
          </w:r>
          <w:r>
            <w:rPr>
              <w:rFonts w:hint="default" w:ascii="Times New Roman" w:hAnsi="Times New Roman" w:eastAsia="宋体" w:cs="Times New Roman"/>
              <w:b w:val="0"/>
              <w:bCs w:val="0"/>
              <w:color w:val="auto"/>
              <w:kern w:val="2"/>
              <w:sz w:val="24"/>
              <w:szCs w:val="22"/>
              <w:highlight w:val="none"/>
              <w:lang w:val="zh-CN"/>
            </w:rPr>
            <w:instrText xml:space="preserve">TOC \o "1-2" \h \u </w:instrText>
          </w:r>
          <w:r>
            <w:rPr>
              <w:rFonts w:hint="default" w:ascii="Times New Roman" w:hAnsi="Times New Roman" w:eastAsia="宋体" w:cs="Times New Roman"/>
              <w:b w:val="0"/>
              <w:bCs w:val="0"/>
              <w:color w:val="auto"/>
              <w:kern w:val="2"/>
              <w:sz w:val="24"/>
              <w:szCs w:val="22"/>
              <w:highlight w:val="none"/>
              <w:lang w:val="zh-CN"/>
            </w:rPr>
            <w:fldChar w:fldCharType="separate"/>
          </w: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_Toc18630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1. 概述</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_Toc18630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1</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76CA5E2E">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_Toc20631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1.1. 建设项目由来</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_Toc20631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1</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59ED78E5">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_Toc7506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1.2. 建设项目的特点</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_Toc7506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2</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6DEE206B">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_Toc29067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1.3. 环境影响评价的工作过程</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_Toc29067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3</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3EB87617">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_Toc20692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1.4. 分析判定相关情况</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_Toc20692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5</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45DA8C4A">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_Toc15755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1.5. 关注的主要环境问题及环境影响</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_Toc15755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23</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403E7A1B">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_Toc15457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1.6. 环境影响评价工作主要结论</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_Toc15457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25</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2CBBDEB5">
          <w:pPr>
            <w:pStyle w:val="27"/>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_Toc732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2. 总则</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_Toc732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26</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45453537">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_Toc28838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2.1. 编制依据</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_Toc28838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26</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3014096B">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_Toc1290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2.2. 评价目的与原则</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_Toc1290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29</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388DEAB3">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_Toc2628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2.3. 评价因子与评价标准</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_Toc2628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30</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63B75989">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_Toc24658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2.4. 评价工作等级和评价范围</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_Toc24658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39</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3463BD4E">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_Toc20784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2.5. 主要环境保护目标</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_Toc20784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52</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380F2BFA">
          <w:pPr>
            <w:pStyle w:val="27"/>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_Toc7480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3. 建设项目工程分析</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_Toc7480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55</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7F6DEC3B">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_Toc18825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 xml:space="preserve">3.1. </w:t>
          </w:r>
          <w:r>
            <w:rPr>
              <w:rFonts w:hint="default" w:ascii="Times New Roman" w:hAnsi="Times New Roman" w:eastAsia="宋体" w:cs="Times New Roman"/>
              <w:b/>
              <w:bCs/>
              <w:color w:val="auto"/>
              <w:highlight w:val="none"/>
              <w:lang w:val="en-US" w:eastAsia="zh-CN"/>
            </w:rPr>
            <w:t>现有工程</w:t>
          </w:r>
          <w:r>
            <w:rPr>
              <w:rFonts w:hint="default" w:ascii="Times New Roman" w:hAnsi="Times New Roman" w:eastAsia="宋体" w:cs="Times New Roman"/>
              <w:b/>
              <w:bCs/>
              <w:color w:val="auto"/>
              <w:highlight w:val="none"/>
            </w:rPr>
            <w:t>概况</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_Toc18825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55</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6EEB014A">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_Toc11147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3.2. 拟建工程建设内容</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_Toc11147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67</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0B3D30E8">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_Toc18448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lang w:val="en-US" w:eastAsia="zh-CN"/>
            </w:rPr>
            <w:t xml:space="preserve">3.3. </w:t>
          </w:r>
          <w:r>
            <w:rPr>
              <w:rFonts w:hint="default" w:ascii="Times New Roman" w:hAnsi="Times New Roman" w:eastAsia="宋体" w:cs="Times New Roman"/>
              <w:b/>
              <w:bCs/>
              <w:color w:val="auto"/>
              <w:highlight w:val="none"/>
            </w:rPr>
            <w:t>燃料供应系统</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_Toc18448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73</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27188CFC">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_Toc1169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3.4. 辅助材料</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_Toc1169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74</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43AC065C">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_Toc19406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3.5. 锅炉生产工艺</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_Toc19406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74</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55868ABC">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_Toc19705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lang w:val="en-US" w:eastAsia="zh-CN"/>
            </w:rPr>
            <w:t xml:space="preserve">3.6. </w:t>
          </w:r>
          <w:r>
            <w:rPr>
              <w:rFonts w:hint="default" w:ascii="Times New Roman" w:hAnsi="Times New Roman" w:cs="Times New Roman"/>
              <w:b/>
              <w:bCs/>
              <w:color w:val="auto"/>
              <w:highlight w:val="none"/>
              <w:lang w:eastAsia="zh-CN"/>
            </w:rPr>
            <w:t>软化</w:t>
          </w:r>
          <w:r>
            <w:rPr>
              <w:rFonts w:hint="default" w:ascii="Times New Roman" w:hAnsi="Times New Roman" w:eastAsia="宋体" w:cs="Times New Roman"/>
              <w:b/>
              <w:bCs/>
              <w:color w:val="auto"/>
              <w:highlight w:val="none"/>
            </w:rPr>
            <w:t>水处理</w:t>
          </w:r>
          <w:r>
            <w:rPr>
              <w:rFonts w:hint="default" w:ascii="Times New Roman" w:hAnsi="Times New Roman" w:eastAsia="宋体" w:cs="Times New Roman"/>
              <w:b/>
              <w:bCs/>
              <w:color w:val="auto"/>
              <w:highlight w:val="none"/>
              <w:lang w:val="en-US" w:eastAsia="zh-CN"/>
            </w:rPr>
            <w:t>系统</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_Toc19705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77</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2E6B5B7D">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_Toc5367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3.7. 公用工程</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_Toc5367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77</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659A68D8">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_Toc11649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3.8. 平面布置</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_Toc11649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80</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31F83BE5">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_Toc30855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3.9. 劳动人员及工作制度</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_Toc30855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81</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14EAC049">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_Toc26360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3.10. 建设周期</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_Toc26360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82</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581563A2">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_Toc17614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3.11. 项目投资估算</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_Toc17614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82</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294182E5">
          <w:pPr>
            <w:pStyle w:val="27"/>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_Toc10429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4. 工程分析</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_Toc10429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83</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32FD7362">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_Toc22981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4.1. 工艺流程简述</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_Toc22981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83</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134224CF">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_Toc28829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4.2. 主要污染环节及污染物分析</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_Toc28829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85</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7BDCEC29">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_Toc11510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4.3. 运营期污染物源强分析</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_Toc11510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86</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489388D0">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_Toc14652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4.4. 清洁生产分析</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_Toc14652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99</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5E1828B1">
          <w:pPr>
            <w:pStyle w:val="27"/>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_Toc17581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5. 环境现状调查与评价</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_Toc17581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104</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5FF92DC2">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_Toc29954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5.1. 自然环境概况</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_Toc29954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104</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0927676E">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_Toc437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5.2. 环境质量现状调查与评价</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_Toc437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114</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09F09D2B">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_Toc372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5.3. 区域环境保护目标调查</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_Toc372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127</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747CCAB1">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_Toc21473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5.4. 区域污染源调查</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_Toc21473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130</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01DD0D12">
          <w:pPr>
            <w:pStyle w:val="27"/>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_Toc24074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6. 环境影响预测与评价</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_Toc24074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131</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41FB6BE2">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_Toc6129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6.1. 施工期环境影响预测</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_Toc6129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131</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786BD956">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_Toc2822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6.2. 运营期环境影响预测</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_Toc2822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133</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34CA4A10">
          <w:pPr>
            <w:pStyle w:val="27"/>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_Toc4503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lang w:val="en-US" w:eastAsia="zh-CN"/>
            </w:rPr>
            <w:t>7</w:t>
          </w:r>
          <w:r>
            <w:rPr>
              <w:rFonts w:hint="default" w:ascii="Times New Roman" w:hAnsi="Times New Roman" w:eastAsia="宋体" w:cs="Times New Roman"/>
              <w:b/>
              <w:bCs/>
              <w:color w:val="auto"/>
              <w:highlight w:val="none"/>
            </w:rPr>
            <w:t>环境保护措施及其可行性分析</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_Toc4503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184</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0A9DEB7D">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_Toc22503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7.1 施工期环境保护措施</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_Toc22503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184</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7AE39C25">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_Toc19107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7.2 运营期</w:t>
          </w:r>
          <w:r>
            <w:rPr>
              <w:rFonts w:hint="default" w:ascii="Times New Roman" w:hAnsi="Times New Roman" w:eastAsia="宋体" w:cs="Times New Roman"/>
              <w:b/>
              <w:bCs/>
              <w:color w:val="auto"/>
              <w:highlight w:val="none"/>
              <w:lang w:eastAsia="zh-CN"/>
            </w:rPr>
            <w:t>环境保护措施</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_Toc19107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185</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5BC9FE4A">
          <w:pPr>
            <w:pStyle w:val="27"/>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_Toc26201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lang w:val="en-US" w:eastAsia="zh-CN"/>
            </w:rPr>
            <w:t>8</w:t>
          </w:r>
          <w:r>
            <w:rPr>
              <w:rFonts w:hint="default" w:ascii="Times New Roman" w:hAnsi="Times New Roman" w:eastAsia="宋体" w:cs="Times New Roman"/>
              <w:b/>
              <w:bCs/>
              <w:color w:val="auto"/>
              <w:highlight w:val="none"/>
            </w:rPr>
            <w:t>环境影响经济损益分析</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_Toc26201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202</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20BD63AC">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_Toc10406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 xml:space="preserve">8.1 </w:t>
          </w:r>
          <w:r>
            <w:rPr>
              <w:rFonts w:hint="default" w:ascii="Times New Roman" w:hAnsi="Times New Roman" w:cs="Times New Roman"/>
              <w:b/>
              <w:bCs/>
              <w:color w:val="auto"/>
              <w:highlight w:val="none"/>
              <w:lang w:eastAsia="zh-CN"/>
            </w:rPr>
            <w:t>经济效益</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_Toc10406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202</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77664534">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_Toc3551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lang w:eastAsia="zh-CN"/>
            </w:rPr>
            <w:t>8.</w:t>
          </w:r>
          <w:r>
            <w:rPr>
              <w:rFonts w:hint="default" w:ascii="Times New Roman" w:hAnsi="Times New Roman" w:eastAsia="宋体" w:cs="Times New Roman"/>
              <w:b/>
              <w:bCs/>
              <w:color w:val="auto"/>
              <w:highlight w:val="none"/>
              <w:lang w:val="en-US" w:eastAsia="zh-CN"/>
            </w:rPr>
            <w:t>2</w:t>
          </w:r>
          <w:r>
            <w:rPr>
              <w:rFonts w:hint="default" w:ascii="Times New Roman" w:hAnsi="Times New Roman" w:eastAsia="宋体" w:cs="Times New Roman"/>
              <w:b/>
              <w:bCs/>
              <w:color w:val="auto"/>
              <w:highlight w:val="none"/>
              <w:lang w:eastAsia="zh-CN"/>
            </w:rPr>
            <w:t xml:space="preserve"> 环境效益</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_Toc3551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202</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476F78B2">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_Toc21640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lang w:eastAsia="zh-CN"/>
            </w:rPr>
            <w:t>8.</w:t>
          </w:r>
          <w:r>
            <w:rPr>
              <w:rFonts w:hint="default" w:ascii="Times New Roman" w:hAnsi="Times New Roman" w:eastAsia="宋体" w:cs="Times New Roman"/>
              <w:b/>
              <w:bCs/>
              <w:color w:val="auto"/>
              <w:highlight w:val="none"/>
              <w:lang w:val="en-US" w:eastAsia="zh-CN"/>
            </w:rPr>
            <w:t>3</w:t>
          </w:r>
          <w:r>
            <w:rPr>
              <w:rFonts w:hint="default" w:ascii="Times New Roman" w:hAnsi="Times New Roman" w:eastAsia="宋体" w:cs="Times New Roman"/>
              <w:b/>
              <w:bCs/>
              <w:color w:val="auto"/>
              <w:highlight w:val="none"/>
              <w:lang w:eastAsia="zh-CN"/>
            </w:rPr>
            <w:t xml:space="preserve"> 社会效益</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_Toc21640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203</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05639080">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_Toc28034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lang w:eastAsia="zh-CN"/>
            </w:rPr>
            <w:t>8.</w:t>
          </w:r>
          <w:r>
            <w:rPr>
              <w:rFonts w:hint="default" w:ascii="Times New Roman" w:hAnsi="Times New Roman" w:eastAsia="宋体" w:cs="Times New Roman"/>
              <w:b/>
              <w:bCs/>
              <w:color w:val="auto"/>
              <w:highlight w:val="none"/>
              <w:lang w:val="en-US" w:eastAsia="zh-CN"/>
            </w:rPr>
            <w:t>4</w:t>
          </w:r>
          <w:r>
            <w:rPr>
              <w:rFonts w:hint="default" w:ascii="Times New Roman" w:hAnsi="Times New Roman" w:eastAsia="宋体" w:cs="Times New Roman"/>
              <w:b/>
              <w:bCs/>
              <w:color w:val="auto"/>
              <w:highlight w:val="none"/>
              <w:lang w:eastAsia="zh-CN"/>
            </w:rPr>
            <w:t xml:space="preserve"> 结论</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_Toc28034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203</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1E9407E6">
          <w:pPr>
            <w:pStyle w:val="27"/>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_Toc11232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9 环境管理及监测计划</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_Toc11232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204</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3F187DD0">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_Toc9295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9.1 环境管理</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_Toc9295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204</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7D5E3E04">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_Toc29210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9.</w:t>
          </w:r>
          <w:r>
            <w:rPr>
              <w:rFonts w:hint="default" w:ascii="Times New Roman" w:hAnsi="Times New Roman" w:eastAsia="宋体" w:cs="Times New Roman"/>
              <w:b/>
              <w:bCs/>
              <w:color w:val="auto"/>
              <w:highlight w:val="none"/>
              <w:lang w:val="en-US" w:eastAsia="zh-CN"/>
            </w:rPr>
            <w:t>2</w:t>
          </w:r>
          <w:r>
            <w:rPr>
              <w:rFonts w:hint="default" w:ascii="Times New Roman" w:hAnsi="Times New Roman" w:eastAsia="宋体" w:cs="Times New Roman"/>
              <w:b/>
              <w:bCs/>
              <w:color w:val="auto"/>
              <w:highlight w:val="none"/>
            </w:rPr>
            <w:t xml:space="preserve"> 环境</w:t>
          </w:r>
          <w:r>
            <w:rPr>
              <w:rFonts w:hint="default" w:ascii="Times New Roman" w:hAnsi="Times New Roman" w:eastAsia="宋体" w:cs="Times New Roman"/>
              <w:b/>
              <w:bCs/>
              <w:color w:val="auto"/>
              <w:highlight w:val="none"/>
              <w:lang w:val="en-US" w:eastAsia="zh-CN"/>
            </w:rPr>
            <w:t>监测计划</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_Toc29210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208</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47DAF9D2">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_Toc11880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lang w:val="en-US" w:eastAsia="zh-CN"/>
            </w:rPr>
            <w:t>9.3 环保设施竣工验收</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_Toc11880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213</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0F63910C">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_Toc26531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lang w:val="en-US" w:eastAsia="zh-CN"/>
            </w:rPr>
            <w:t>9.4</w:t>
          </w:r>
          <w:r>
            <w:rPr>
              <w:rFonts w:hint="default" w:ascii="Times New Roman" w:hAnsi="Times New Roman" w:eastAsia="宋体" w:cs="Times New Roman"/>
              <w:b/>
              <w:bCs/>
              <w:color w:val="auto"/>
              <w:highlight w:val="none"/>
            </w:rPr>
            <w:t xml:space="preserve"> 污染物排放总量控制分析</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_Toc26531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215</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0BBB2EBC">
          <w:pPr>
            <w:pStyle w:val="27"/>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_Toc5104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10 环境影响评价结论</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_Toc5104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218</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08362C49">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_Toc24510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10.1 项目概况</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_Toc24510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218</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121E18A5">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_Toc16421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10.2 产业政策符合性分析结论</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_Toc16421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218</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1898D9BA">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_Toc29099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10.3 选址合理性分析结论</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_Toc29099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218</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4E94301E">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_Toc19033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10.4 工程污染分析结论</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_Toc19033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219</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5FA72698">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_Toc2111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10.5 环境质量现状评价结论</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_Toc2111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220</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04EC7B0A">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_Toc1967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10.6 环境污染防治措施结论</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_Toc1967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222</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233FD906">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_Toc27434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10.7 环境影响预测分析结论</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_Toc27434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224</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5C879B4E">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_Toc13253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10.8 总量控制</w:t>
          </w:r>
          <w:r>
            <w:rPr>
              <w:rFonts w:hint="default" w:ascii="Times New Roman" w:hAnsi="Times New Roman" w:cs="Times New Roman"/>
              <w:b/>
              <w:bCs/>
              <w:color w:val="auto"/>
              <w:highlight w:val="none"/>
              <w:lang w:eastAsia="zh-CN"/>
            </w:rPr>
            <w:t>结论</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_Toc13253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225</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73EFD508">
          <w:pPr>
            <w:pStyle w:val="31"/>
            <w:tabs>
              <w:tab w:val="right" w:leader="dot" w:pos="8306"/>
            </w:tabs>
            <w:rPr>
              <w:rFonts w:hint="default" w:ascii="Times New Roman" w:hAnsi="Times New Roman" w:cs="Times New Roman"/>
              <w:b/>
              <w:bCs/>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_Toc30587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10.</w:t>
          </w:r>
          <w:r>
            <w:rPr>
              <w:rFonts w:hint="default" w:ascii="Times New Roman" w:hAnsi="Times New Roman" w:cs="Times New Roman"/>
              <w:b/>
              <w:bCs/>
              <w:color w:val="auto"/>
              <w:highlight w:val="none"/>
              <w:lang w:val="en-US" w:eastAsia="zh-CN"/>
            </w:rPr>
            <w:t>9</w:t>
          </w:r>
          <w:r>
            <w:rPr>
              <w:rFonts w:hint="default" w:ascii="Times New Roman" w:hAnsi="Times New Roman" w:eastAsia="宋体" w:cs="Times New Roman"/>
              <w:b/>
              <w:bCs/>
              <w:color w:val="auto"/>
              <w:highlight w:val="none"/>
              <w:lang w:eastAsia="zh-CN"/>
            </w:rPr>
            <w:t>公众参与采纳说明</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_Toc30587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226</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5DD143A9">
          <w:pPr>
            <w:pStyle w:val="31"/>
            <w:tabs>
              <w:tab w:val="right" w:leader="dot" w:pos="8306"/>
            </w:tabs>
            <w:rPr>
              <w:color w:val="auto"/>
              <w:highlight w:val="none"/>
            </w:rPr>
          </w:pPr>
          <w:r>
            <w:rPr>
              <w:rFonts w:hint="default" w:ascii="Times New Roman" w:hAnsi="Times New Roman" w:eastAsia="宋体" w:cs="Times New Roman"/>
              <w:b/>
              <w:bCs/>
              <w:color w:val="auto"/>
              <w:kern w:val="2"/>
              <w:szCs w:val="22"/>
              <w:highlight w:val="none"/>
              <w:lang w:val="zh-CN"/>
            </w:rPr>
            <w:fldChar w:fldCharType="begin"/>
          </w:r>
          <w:r>
            <w:rPr>
              <w:rFonts w:hint="default" w:ascii="Times New Roman" w:hAnsi="Times New Roman" w:eastAsia="宋体" w:cs="Times New Roman"/>
              <w:b/>
              <w:bCs/>
              <w:color w:val="auto"/>
              <w:kern w:val="2"/>
              <w:szCs w:val="22"/>
              <w:highlight w:val="none"/>
              <w:lang w:val="zh-CN"/>
            </w:rPr>
            <w:instrText xml:space="preserve"> HYPERLINK \l _Toc12215 </w:instrText>
          </w:r>
          <w:r>
            <w:rPr>
              <w:rFonts w:hint="default" w:ascii="Times New Roman" w:hAnsi="Times New Roman" w:eastAsia="宋体" w:cs="Times New Roman"/>
              <w:b/>
              <w:bCs/>
              <w:color w:val="auto"/>
              <w:kern w:val="2"/>
              <w:szCs w:val="22"/>
              <w:highlight w:val="none"/>
              <w:lang w:val="zh-CN"/>
            </w:rPr>
            <w:fldChar w:fldCharType="separate"/>
          </w:r>
          <w:r>
            <w:rPr>
              <w:rFonts w:hint="default" w:ascii="Times New Roman" w:hAnsi="Times New Roman" w:eastAsia="宋体" w:cs="Times New Roman"/>
              <w:b/>
              <w:bCs/>
              <w:color w:val="auto"/>
              <w:highlight w:val="none"/>
            </w:rPr>
            <w:t>10.</w:t>
          </w:r>
          <w:r>
            <w:rPr>
              <w:rFonts w:hint="default" w:ascii="Times New Roman" w:hAnsi="Times New Roman" w:cs="Times New Roman"/>
              <w:b/>
              <w:bCs/>
              <w:color w:val="auto"/>
              <w:highlight w:val="none"/>
              <w:lang w:val="en-US" w:eastAsia="zh-CN"/>
            </w:rPr>
            <w:t>10</w:t>
          </w:r>
          <w:r>
            <w:rPr>
              <w:rFonts w:hint="default" w:ascii="Times New Roman" w:hAnsi="Times New Roman" w:eastAsia="宋体" w:cs="Times New Roman"/>
              <w:b/>
              <w:bCs/>
              <w:color w:val="auto"/>
              <w:highlight w:val="none"/>
            </w:rPr>
            <w:t>综合评价结论</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_Toc12215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226</w:t>
          </w:r>
          <w:r>
            <w:rPr>
              <w:rFonts w:hint="default" w:ascii="Times New Roman" w:hAnsi="Times New Roman" w:cs="Times New Roman"/>
              <w:b/>
              <w:bCs/>
              <w:color w:val="auto"/>
              <w:highlight w:val="none"/>
            </w:rPr>
            <w:fldChar w:fldCharType="end"/>
          </w:r>
          <w:r>
            <w:rPr>
              <w:rFonts w:hint="default" w:ascii="Times New Roman" w:hAnsi="Times New Roman" w:eastAsia="宋体" w:cs="Times New Roman"/>
              <w:b/>
              <w:bCs/>
              <w:color w:val="auto"/>
              <w:kern w:val="2"/>
              <w:szCs w:val="22"/>
              <w:highlight w:val="none"/>
              <w:lang w:val="zh-CN"/>
            </w:rPr>
            <w:fldChar w:fldCharType="end"/>
          </w:r>
        </w:p>
        <w:p w14:paraId="3B5A8DD7">
          <w:pPr>
            <w:pStyle w:val="27"/>
            <w:tabs>
              <w:tab w:val="right" w:leader="dot" w:pos="8306"/>
            </w:tabs>
            <w:rPr>
              <w:rFonts w:hint="default" w:ascii="Times New Roman" w:hAnsi="Times New Roman" w:eastAsia="宋体" w:cs="Times New Roman"/>
              <w:color w:val="auto"/>
              <w:highlight w:val="none"/>
            </w:rPr>
          </w:pPr>
          <w:r>
            <w:rPr>
              <w:rFonts w:hint="default" w:ascii="Times New Roman" w:hAnsi="Times New Roman" w:eastAsia="宋体" w:cs="Times New Roman"/>
              <w:bCs w:val="0"/>
              <w:color w:val="auto"/>
              <w:kern w:val="2"/>
              <w:szCs w:val="22"/>
              <w:highlight w:val="none"/>
              <w:lang w:val="zh-CN"/>
            </w:rPr>
            <w:fldChar w:fldCharType="end"/>
          </w:r>
        </w:p>
      </w:sdtContent>
    </w:sdt>
    <w:p w14:paraId="3EC4311F">
      <w:pPr>
        <w:ind w:firstLine="880"/>
        <w:rPr>
          <w:rFonts w:hint="default" w:ascii="Times New Roman" w:hAnsi="Times New Roman" w:eastAsia="宋体" w:cs="Times New Roman"/>
          <w:color w:val="auto"/>
          <w:kern w:val="44"/>
          <w:sz w:val="44"/>
          <w:szCs w:val="44"/>
          <w:highlight w:val="none"/>
        </w:rPr>
        <w:sectPr>
          <w:headerReference r:id="rId11" w:type="default"/>
          <w:footerReference r:id="rId12" w:type="default"/>
          <w:pgSz w:w="11906" w:h="16838"/>
          <w:pgMar w:top="1440" w:right="1800" w:bottom="1440" w:left="1800" w:header="851" w:footer="992" w:gutter="0"/>
          <w:pgBorders>
            <w:top w:val="none" w:sz="0" w:space="0"/>
            <w:left w:val="none" w:sz="0" w:space="0"/>
            <w:bottom w:val="none" w:sz="0" w:space="0"/>
            <w:right w:val="none" w:sz="0" w:space="0"/>
          </w:pgBorders>
          <w:pgNumType w:fmt="upperRoman" w:start="1"/>
          <w:cols w:space="425" w:num="1"/>
          <w:docGrid w:type="lines" w:linePitch="312" w:charSpace="0"/>
        </w:sectPr>
      </w:pPr>
    </w:p>
    <w:p w14:paraId="7E1F6295">
      <w:pPr>
        <w:pStyle w:val="3"/>
        <w:numPr>
          <w:ilvl w:val="0"/>
          <w:numId w:val="3"/>
        </w:numPr>
        <w:ind w:left="425" w:leftChars="0" w:hanging="425" w:firstLineChars="0"/>
        <w:rPr>
          <w:rFonts w:hint="default" w:ascii="Times New Roman" w:hAnsi="Times New Roman" w:eastAsia="宋体" w:cs="Times New Roman"/>
          <w:color w:val="auto"/>
          <w:highlight w:val="none"/>
        </w:rPr>
      </w:pPr>
      <w:bookmarkStart w:id="0" w:name="_Toc18630"/>
      <w:bookmarkStart w:id="1" w:name="_Toc16513"/>
      <w:r>
        <w:rPr>
          <w:rFonts w:hint="default" w:ascii="Times New Roman" w:hAnsi="Times New Roman" w:eastAsia="宋体" w:cs="Times New Roman"/>
          <w:color w:val="auto"/>
          <w:highlight w:val="none"/>
        </w:rPr>
        <w:t>概述</w:t>
      </w:r>
      <w:bookmarkEnd w:id="0"/>
      <w:bookmarkEnd w:id="1"/>
    </w:p>
    <w:p w14:paraId="02B88501">
      <w:pPr>
        <w:pStyle w:val="4"/>
        <w:numPr>
          <w:ilvl w:val="1"/>
          <w:numId w:val="3"/>
        </w:numPr>
        <w:ind w:left="567" w:leftChars="0" w:hanging="567" w:firstLineChars="0"/>
        <w:rPr>
          <w:rFonts w:hint="default" w:ascii="Times New Roman" w:hAnsi="Times New Roman" w:eastAsia="宋体" w:cs="Times New Roman"/>
          <w:b/>
          <w:bCs/>
          <w:color w:val="auto"/>
          <w:highlight w:val="none"/>
        </w:rPr>
      </w:pPr>
      <w:bookmarkStart w:id="2" w:name="_Toc10421"/>
      <w:bookmarkStart w:id="3" w:name="_Toc20631"/>
      <w:r>
        <w:rPr>
          <w:rFonts w:hint="default" w:ascii="Times New Roman" w:hAnsi="Times New Roman" w:eastAsia="宋体" w:cs="Times New Roman"/>
          <w:b/>
          <w:bCs/>
          <w:color w:val="auto"/>
          <w:highlight w:val="none"/>
        </w:rPr>
        <w:t>建设项目由来</w:t>
      </w:r>
      <w:bookmarkEnd w:id="2"/>
      <w:bookmarkEnd w:id="3"/>
    </w:p>
    <w:p w14:paraId="2179C50E">
      <w:pPr>
        <w:snapToGrid w:val="0"/>
        <w:ind w:firstLine="480" w:firstLineChars="200"/>
        <w:rPr>
          <w:rFonts w:hint="default" w:ascii="Times New Roman" w:hAnsi="Times New Roman" w:eastAsia="宋体" w:cs="Times New Roman"/>
          <w:color w:val="FF0000"/>
          <w:highlight w:val="none"/>
          <w:lang w:val="en-US" w:eastAsia="zh-CN"/>
        </w:rPr>
      </w:pPr>
      <w:r>
        <w:rPr>
          <w:rFonts w:hint="eastAsia" w:ascii="Times New Roman" w:hAnsi="Times New Roman" w:eastAsia="宋体" w:cs="Times New Roman"/>
          <w:color w:val="FF0000"/>
          <w:highlight w:val="none"/>
          <w:lang w:val="en-US" w:eastAsia="zh-CN"/>
        </w:rPr>
        <w:t>佳木斯中恒热电有限公司位于市区西部，位于松花江南岸2km处的郊区龙实路。佳木斯中恒热电有限公司是佳木斯市集中供热的主要热源单位之一，是城市总体规划的重要组成部分，是城市供热特许经营企业。目前，佳木斯中恒热电有限公司现有5台锅炉，其中2台240t/h高温高压流化床锅炉（1#锅炉和2#锅炉）配备1×50MW（1#发电机组）＋1×25MW（2#发电机组）背压汽轮发电机组用于供热和供电，1台154MW循环流化床热水锅炉（3#锅炉）和1台116MW循环流化床热水锅炉（4#锅炉）为供暖锅炉，仅在供暖期运行，1台58MW往复炉排热水锅炉作为调峰锅炉（5#锅炉）。根据《关于高质量推进实施燃煤锅炉超低排放的意见》要求，企业对厂区内的1#锅炉、2#锅炉和4#锅炉进行了超低改造，3#锅炉因锅炉热效率低，暂时未进行超低改造，未运行，5#锅炉建成后未运行。</w:t>
      </w:r>
    </w:p>
    <w:p w14:paraId="3457AA9A">
      <w:pPr>
        <w:snapToGrid w:val="0"/>
        <w:ind w:firstLine="480" w:firstLineChars="200"/>
        <w:rPr>
          <w:rFonts w:hint="eastAsia" w:ascii="Times New Roman" w:hAnsi="Times New Roman" w:eastAsia="宋体" w:cs="Times New Roman"/>
          <w:color w:val="FF0000"/>
          <w:highlight w:val="none"/>
          <w:lang w:val="en-US" w:eastAsia="zh-CN"/>
        </w:rPr>
      </w:pPr>
      <w:r>
        <w:rPr>
          <w:rFonts w:hint="eastAsia" w:ascii="Times New Roman" w:hAnsi="Times New Roman" w:eastAsia="宋体" w:cs="Times New Roman"/>
          <w:color w:val="FF0000"/>
          <w:highlight w:val="none"/>
          <w:lang w:val="en-US" w:eastAsia="zh-CN"/>
        </w:rPr>
        <w:t>2015年佳木斯中恒热电有限公司委托哈尔滨工业大学编制完成了《佳木斯中恒热电有限公司1×50MW+1×25MW背压汽轮发电机组热源改造项目环境影响报告书》（黑环审〔2015〕138号文），建设单位投资建设了2台240t/h高温高压流化床锅炉（1#锅炉和2#锅炉）配备1×50MW（1#发电机组）＋1×25MW（2#发电机组）背压汽轮发电机组用于供热和供电。2018年1月30日该项目通过了环保验收。</w:t>
      </w:r>
    </w:p>
    <w:p w14:paraId="4D79F4A5">
      <w:pPr>
        <w:snapToGrid w:val="0"/>
        <w:ind w:firstLine="480" w:firstLineChars="200"/>
        <w:rPr>
          <w:rFonts w:hint="default" w:ascii="Times New Roman" w:hAnsi="Times New Roman" w:eastAsia="宋体" w:cs="Times New Roman"/>
          <w:color w:val="FF0000"/>
          <w:highlight w:val="none"/>
          <w:lang w:val="en-US" w:eastAsia="zh-CN"/>
        </w:rPr>
      </w:pPr>
      <w:r>
        <w:rPr>
          <w:rFonts w:hint="eastAsia" w:ascii="Times New Roman" w:hAnsi="Times New Roman" w:eastAsia="宋体" w:cs="Times New Roman"/>
          <w:color w:val="FF0000"/>
          <w:highlight w:val="none"/>
          <w:lang w:val="en-US" w:eastAsia="zh-CN"/>
        </w:rPr>
        <w:t>2014年佳木斯中恒热电有限公司拟建设3#锅炉和4#锅炉作为供暖锅炉，2台58MW往复炉排热水锅炉（5#锅炉和6#锅炉）作为调峰锅炉。建设单位委托哈尔滨工业大学编制完成了《佳木斯中恒热电有限公司新建、扩建锅炉房工程环境影响报告书》（佳环建审〔2014〕30号）。2022年5月18日该项目一期工程通过了环保验收，验收范围为3#锅炉和4#锅炉及其附属配套设施。5#锅炉建成后未投产，6#锅炉不再建设。</w:t>
      </w:r>
    </w:p>
    <w:p w14:paraId="27F57845">
      <w:pPr>
        <w:snapToGrid w:val="0"/>
        <w:ind w:firstLine="480" w:firstLineChars="200"/>
        <w:rPr>
          <w:rFonts w:hint="eastAsia" w:ascii="Times New Roman" w:hAnsi="Times New Roman" w:eastAsia="宋体" w:cs="Times New Roman"/>
          <w:color w:val="FF0000"/>
          <w:highlight w:val="none"/>
          <w:lang w:val="en-US" w:eastAsia="zh-CN"/>
        </w:rPr>
      </w:pPr>
      <w:r>
        <w:rPr>
          <w:rFonts w:hint="eastAsia" w:ascii="Times New Roman" w:hAnsi="Times New Roman" w:eastAsia="宋体" w:cs="Times New Roman"/>
          <w:color w:val="FF0000"/>
          <w:highlight w:val="none"/>
          <w:lang w:val="en-US" w:eastAsia="zh-CN"/>
        </w:rPr>
        <w:t>未进行超低排放改造的3#锅炉目前处于停用状态，厂区内现有运行的三台锅炉无法满足冬季供暖需求。考虑到若启用3#锅炉将产生较大余热，超出实际所需负荷，企业决定启用5#锅炉进行调峰。此举既可完全满足当前供暖需求，又避免了设备改造带来的额外投入与资源浪费。</w:t>
      </w:r>
    </w:p>
    <w:p w14:paraId="1E148444">
      <w:pPr>
        <w:snapToGrid w:val="0"/>
        <w:ind w:left="0" w:leftChars="0" w:firstLine="480" w:firstLineChars="200"/>
        <w:rPr>
          <w:color w:val="FF0000"/>
          <w:highlight w:val="none"/>
        </w:rPr>
      </w:pPr>
      <w:r>
        <w:rPr>
          <w:rFonts w:hint="eastAsia" w:ascii="Times New Roman" w:hAnsi="Times New Roman" w:eastAsia="宋体" w:cs="Times New Roman"/>
          <w:color w:val="FF0000"/>
          <w:highlight w:val="none"/>
          <w:lang w:val="en-US" w:eastAsia="zh-CN"/>
        </w:rPr>
        <w:t>调峰锅炉数量由原环评中的2台调整为1台，锅炉烟囱由原环评批复中的120m调整为70m。</w:t>
      </w:r>
      <w:r>
        <w:rPr>
          <w:rFonts w:hint="default" w:ascii="Times New Roman" w:hAnsi="Times New Roman" w:eastAsia="宋体" w:cs="Times New Roman"/>
          <w:color w:val="FF0000"/>
          <w:highlight w:val="none"/>
        </w:rPr>
        <w:t>根据《关于印发环评管理中部分行业建设项目重大变动清单的通知》（环办〔2015〕52号）</w:t>
      </w:r>
      <w:r>
        <w:rPr>
          <w:rFonts w:hint="eastAsia" w:ascii="Times New Roman" w:hAnsi="Times New Roman" w:eastAsia="宋体" w:cs="Times New Roman"/>
          <w:color w:val="FF0000"/>
          <w:highlight w:val="none"/>
          <w:lang w:eastAsia="zh-CN"/>
        </w:rPr>
        <w:t>、</w:t>
      </w:r>
      <w:r>
        <w:rPr>
          <w:rFonts w:hint="default" w:ascii="Times New Roman" w:hAnsi="Times New Roman" w:eastAsia="宋体" w:cs="Times New Roman"/>
          <w:color w:val="FF0000"/>
          <w:highlight w:val="none"/>
        </w:rPr>
        <w:t>《中华人民共和国环境影响评价法</w:t>
      </w:r>
      <w:r>
        <w:rPr>
          <w:rFonts w:hint="eastAsia" w:ascii="Times New Roman" w:hAnsi="Times New Roman" w:eastAsia="宋体" w:cs="Times New Roman"/>
          <w:color w:val="FF0000"/>
          <w:highlight w:val="none"/>
          <w:lang w:eastAsia="zh-CN"/>
        </w:rPr>
        <w:t>》和《</w:t>
      </w:r>
      <w:r>
        <w:rPr>
          <w:rFonts w:hint="default" w:ascii="Times New Roman" w:hAnsi="Times New Roman" w:eastAsia="宋体" w:cs="Times New Roman"/>
          <w:color w:val="FF0000"/>
          <w:highlight w:val="none"/>
        </w:rPr>
        <w:t>建设项目环境保护管理条例》（国务院令第682 号</w:t>
      </w:r>
      <w:r>
        <w:rPr>
          <w:rFonts w:hint="eastAsia" w:ascii="Times New Roman" w:hAnsi="Times New Roman" w:eastAsia="宋体" w:cs="Times New Roman"/>
          <w:color w:val="FF0000"/>
          <w:highlight w:val="none"/>
          <w:lang w:eastAsia="zh-CN"/>
        </w:rPr>
        <w:t>）等有关规定</w:t>
      </w:r>
      <w:r>
        <w:rPr>
          <w:rFonts w:hint="default" w:ascii="Times New Roman" w:hAnsi="Times New Roman" w:eastAsia="宋体" w:cs="Times New Roman"/>
          <w:color w:val="FF0000"/>
          <w:highlight w:val="none"/>
        </w:rPr>
        <w:t>，属于《污染影响类建设项目重大变动清单（试行）》（环办环评函〔2020〕688号）中第10条：环境保护措施中主要排放口排气筒高度降低10%及以上的。建设单位应当重新报批建设项目的环境影响评价文件。</w:t>
      </w:r>
    </w:p>
    <w:p w14:paraId="6329CC91">
      <w:pPr>
        <w:snapToGrid w:val="0"/>
        <w:ind w:left="0" w:leftChars="0" w:firstLine="480" w:firstLineChars="200"/>
        <w:rPr>
          <w:rFonts w:hint="default" w:ascii="Times New Roman" w:hAnsi="Times New Roman" w:eastAsia="宋体" w:cs="Times New Roman"/>
          <w:color w:val="FF0000"/>
          <w:highlight w:val="none"/>
        </w:rPr>
      </w:pPr>
      <w:r>
        <w:rPr>
          <w:rFonts w:hint="eastAsia" w:ascii="Times New Roman" w:hAnsi="Times New Roman" w:eastAsia="宋体" w:cs="Times New Roman"/>
          <w:color w:val="FF0000"/>
          <w:highlight w:val="none"/>
          <w:lang w:val="en-US" w:eastAsia="zh-CN"/>
        </w:rPr>
        <w:t>因此，</w:t>
      </w:r>
      <w:r>
        <w:rPr>
          <w:rFonts w:hint="eastAsia" w:ascii="Times New Roman" w:hAnsi="Times New Roman" w:eastAsia="宋体" w:cs="Times New Roman"/>
          <w:color w:val="FF0000"/>
          <w:highlight w:val="none"/>
          <w:lang w:eastAsia="zh-CN"/>
        </w:rPr>
        <w:t>佳木斯中恒热电有限公司</w:t>
      </w:r>
      <w:r>
        <w:rPr>
          <w:rFonts w:hint="default" w:ascii="Times New Roman" w:hAnsi="Times New Roman" w:eastAsia="宋体" w:cs="Times New Roman"/>
          <w:color w:val="FF0000"/>
          <w:highlight w:val="none"/>
        </w:rPr>
        <w:t>委托我单位就“</w:t>
      </w:r>
      <w:r>
        <w:rPr>
          <w:rFonts w:hint="eastAsia" w:ascii="Times New Roman" w:hAnsi="Times New Roman" w:eastAsia="宋体" w:cs="Times New Roman"/>
          <w:color w:val="FF0000"/>
          <w:highlight w:val="none"/>
          <w:lang w:eastAsia="zh-CN"/>
        </w:rPr>
        <w:t>佳木斯中恒热电有限公司新建、扩建锅炉房工程（二期1×58MW锅炉重新报批）环境影响报告书</w:t>
      </w:r>
      <w:r>
        <w:rPr>
          <w:rFonts w:hint="default" w:ascii="Times New Roman" w:hAnsi="Times New Roman" w:eastAsia="宋体" w:cs="Times New Roman"/>
          <w:color w:val="FF0000"/>
          <w:highlight w:val="none"/>
        </w:rPr>
        <w:t>”开展环境影响评价工作。接受委托后</w:t>
      </w:r>
      <w:r>
        <w:rPr>
          <w:rFonts w:hint="default" w:ascii="Times New Roman" w:hAnsi="Times New Roman" w:eastAsia="宋体" w:cs="Times New Roman"/>
          <w:color w:val="FF0000"/>
          <w:highlight w:val="none"/>
          <w:lang w:eastAsia="zh-CN"/>
        </w:rPr>
        <w:t>，</w:t>
      </w:r>
      <w:r>
        <w:rPr>
          <w:rFonts w:hint="default" w:ascii="Times New Roman" w:hAnsi="Times New Roman" w:eastAsia="宋体" w:cs="Times New Roman"/>
          <w:color w:val="FF0000"/>
          <w:highlight w:val="none"/>
        </w:rPr>
        <w:t>我单位技术人员收集有关资料，了解厂区附近的环境概况，进一步对环境特征进行了分析，对环境影响评价因子进行了识别和筛选，根据国家有关规定，确定评价标准、评价等级和评价范围，编制完成了《</w:t>
      </w:r>
      <w:r>
        <w:rPr>
          <w:rFonts w:hint="eastAsia" w:ascii="Times New Roman" w:hAnsi="Times New Roman" w:eastAsia="宋体" w:cs="Times New Roman"/>
          <w:color w:val="FF0000"/>
          <w:highlight w:val="none"/>
          <w:lang w:eastAsia="zh-CN"/>
        </w:rPr>
        <w:t>佳木斯中恒热电有限公司新建、扩建锅炉房工程（二期1×58MW锅炉重新报批）环境影响报告书</w:t>
      </w:r>
      <w:r>
        <w:rPr>
          <w:rFonts w:hint="default" w:ascii="Times New Roman" w:hAnsi="Times New Roman" w:eastAsia="宋体" w:cs="Times New Roman"/>
          <w:color w:val="FF0000"/>
          <w:highlight w:val="none"/>
        </w:rPr>
        <w:t>》。</w:t>
      </w:r>
    </w:p>
    <w:p w14:paraId="4A7EDB58">
      <w:pPr>
        <w:pStyle w:val="4"/>
        <w:keepNext/>
        <w:keepLines/>
        <w:pageBreakBefore w:val="0"/>
        <w:widowControl w:val="0"/>
        <w:numPr>
          <w:ilvl w:val="1"/>
          <w:numId w:val="3"/>
        </w:numPr>
        <w:kinsoku/>
        <w:wordWrap/>
        <w:overflowPunct/>
        <w:topLinePunct w:val="0"/>
        <w:autoSpaceDE/>
        <w:autoSpaceDN/>
        <w:bidi w:val="0"/>
        <w:adjustRightInd/>
        <w:snapToGrid/>
        <w:spacing w:line="360" w:lineRule="auto"/>
        <w:ind w:left="567" w:leftChars="0" w:hanging="567" w:firstLineChars="0"/>
        <w:textAlignment w:val="auto"/>
        <w:rPr>
          <w:rFonts w:hint="default" w:ascii="Times New Roman" w:hAnsi="Times New Roman" w:eastAsia="宋体" w:cs="Times New Roman"/>
          <w:b/>
          <w:bCs/>
          <w:color w:val="auto"/>
          <w:highlight w:val="none"/>
        </w:rPr>
      </w:pPr>
      <w:bookmarkStart w:id="4" w:name="_Toc7506"/>
      <w:bookmarkStart w:id="5" w:name="_Toc10517"/>
      <w:r>
        <w:rPr>
          <w:rFonts w:hint="default" w:ascii="Times New Roman" w:hAnsi="Times New Roman" w:eastAsia="宋体" w:cs="Times New Roman"/>
          <w:b/>
          <w:bCs/>
          <w:color w:val="auto"/>
          <w:highlight w:val="none"/>
        </w:rPr>
        <w:t>建设项目的特点</w:t>
      </w:r>
      <w:bookmarkEnd w:id="4"/>
      <w:bookmarkEnd w:id="5"/>
    </w:p>
    <w:p w14:paraId="7072E517">
      <w:pPr>
        <w:keepNext w:val="0"/>
        <w:keepLines w:val="0"/>
        <w:pageBreakBefore w:val="0"/>
        <w:widowControl w:val="0"/>
        <w:numPr>
          <w:ilvl w:val="0"/>
          <w:numId w:val="4"/>
        </w:numPr>
        <w:kinsoku/>
        <w:wordWrap/>
        <w:overflowPunct/>
        <w:topLinePunct w:val="0"/>
        <w:autoSpaceDE/>
        <w:autoSpaceDN/>
        <w:bidi w:val="0"/>
        <w:adjustRightInd/>
        <w:snapToGrid w:val="0"/>
        <w:spacing w:line="360" w:lineRule="auto"/>
        <w:ind w:firstLine="480" w:firstLineChars="200"/>
        <w:textAlignment w:val="auto"/>
        <w:rPr>
          <w:rFonts w:hint="eastAsia" w:ascii="Times New Roman" w:hAnsi="Times New Roman" w:eastAsia="宋体" w:cs="Times New Roman"/>
          <w:color w:val="FF0000"/>
          <w:sz w:val="24"/>
          <w:szCs w:val="24"/>
          <w:highlight w:val="none"/>
          <w:lang w:val="en-US" w:eastAsia="zh-CN" w:bidi="ar"/>
        </w:rPr>
      </w:pPr>
      <w:r>
        <w:rPr>
          <w:rFonts w:hint="eastAsia" w:ascii="Times New Roman" w:hAnsi="Times New Roman" w:eastAsia="宋体" w:cs="Times New Roman"/>
          <w:color w:val="FF0000"/>
          <w:sz w:val="24"/>
          <w:szCs w:val="24"/>
          <w:highlight w:val="none"/>
          <w:lang w:val="en-US" w:eastAsia="zh-CN" w:bidi="ar"/>
        </w:rPr>
        <w:t>本项目在</w:t>
      </w:r>
      <w:r>
        <w:rPr>
          <w:rFonts w:hint="eastAsia" w:ascii="Times New Roman" w:hAnsi="Times New Roman" w:eastAsia="宋体" w:cs="Times New Roman"/>
          <w:color w:val="FF0000"/>
          <w:highlight w:val="none"/>
          <w:lang w:eastAsia="zh-CN"/>
        </w:rPr>
        <w:t>佳木斯中恒热电有限公司</w:t>
      </w:r>
      <w:r>
        <w:rPr>
          <w:rFonts w:hint="eastAsia" w:ascii="Times New Roman" w:hAnsi="Times New Roman" w:eastAsia="宋体" w:cs="Times New Roman"/>
          <w:color w:val="FF0000"/>
          <w:highlight w:val="none"/>
          <w:lang w:val="en-US" w:eastAsia="zh-CN"/>
        </w:rPr>
        <w:t>厂区内进行建设</w:t>
      </w:r>
      <w:r>
        <w:rPr>
          <w:rFonts w:hint="default" w:ascii="Times New Roman" w:hAnsi="Times New Roman" w:eastAsia="宋体" w:cs="Times New Roman"/>
          <w:color w:val="FF0000"/>
          <w:sz w:val="24"/>
          <w:szCs w:val="24"/>
          <w:highlight w:val="none"/>
          <w:lang w:val="en-US" w:eastAsia="zh-CN" w:bidi="ar"/>
        </w:rPr>
        <w:t>，</w:t>
      </w:r>
      <w:r>
        <w:rPr>
          <w:rFonts w:hint="eastAsia" w:ascii="Times New Roman" w:hAnsi="Times New Roman" w:eastAsia="宋体" w:cs="Times New Roman"/>
          <w:color w:val="FF0000"/>
          <w:sz w:val="24"/>
          <w:szCs w:val="24"/>
          <w:highlight w:val="none"/>
          <w:lang w:val="en-US" w:eastAsia="zh-CN" w:bidi="ar"/>
        </w:rPr>
        <w:t>原有环评于2014年4月28日取得原佳木斯市环保局批复意见（佳环建审〔2014〕30号）。建设单位已按照规定申领排污许可证。厂区内1#锅炉、2#锅炉、1#发电机组、2#发电机组和原环评中3#锅炉和4#锅炉及其附属配套设施已通过环保验收。5#锅炉建成后未投产，6#锅炉不再建设。由于厂区内3#锅炉热效率低，暂时未进行超低改造，目前处于停产状态。目前，厂区内1#锅炉、2#锅炉、1#发电机组、2#发电机组和4#锅炉正常运行。</w:t>
      </w:r>
    </w:p>
    <w:p w14:paraId="13906693">
      <w:pPr>
        <w:keepNext w:val="0"/>
        <w:keepLines w:val="0"/>
        <w:pageBreakBefore w:val="0"/>
        <w:widowControl w:val="0"/>
        <w:numPr>
          <w:ilvl w:val="0"/>
          <w:numId w:val="4"/>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color w:val="FF0000"/>
          <w:sz w:val="24"/>
          <w:szCs w:val="24"/>
          <w:highlight w:val="none"/>
          <w:lang w:val="en-US" w:eastAsia="zh-CN" w:bidi="ar"/>
        </w:rPr>
      </w:pPr>
      <w:r>
        <w:rPr>
          <w:rFonts w:hint="eastAsia" w:ascii="Times New Roman" w:hAnsi="Times New Roman" w:eastAsia="宋体" w:cs="Times New Roman"/>
          <w:color w:val="FF0000"/>
          <w:sz w:val="24"/>
          <w:szCs w:val="24"/>
          <w:highlight w:val="none"/>
          <w:lang w:val="en-US" w:eastAsia="zh-CN" w:bidi="ar"/>
        </w:rPr>
        <w:t>佳木斯中恒热电有限公司主要负责佳木斯西部地区的供暖，供暖面积为1085万平方米。厂区内现运行的三台锅炉无法满足冬季供暖需求，存在约82万平方米的供热缺口。考虑到若启用该3#锅炉将产生较大余热，超出实际所需负荷，企业决定启用5#锅炉进行调峰。已建成的5#锅炉烟囱由原环评批复中的120m调整为70m，属于重大变动，故需重新报批项目环境影响评价文件。</w:t>
      </w:r>
    </w:p>
    <w:p w14:paraId="044D0E90">
      <w:pPr>
        <w:keepNext w:val="0"/>
        <w:keepLines w:val="0"/>
        <w:pageBreakBefore w:val="0"/>
        <w:widowControl w:val="0"/>
        <w:numPr>
          <w:ilvl w:val="0"/>
          <w:numId w:val="4"/>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color w:val="FF0000"/>
          <w:sz w:val="24"/>
          <w:szCs w:val="24"/>
          <w:highlight w:val="none"/>
          <w:lang w:val="en-US" w:eastAsia="zh-CN" w:bidi="ar"/>
        </w:rPr>
      </w:pPr>
      <w:r>
        <w:rPr>
          <w:rFonts w:hint="eastAsia" w:ascii="Times New Roman" w:hAnsi="Times New Roman" w:eastAsia="宋体" w:cs="Times New Roman"/>
          <w:color w:val="FF0000"/>
          <w:sz w:val="24"/>
          <w:szCs w:val="24"/>
          <w:highlight w:val="none"/>
          <w:lang w:val="en-US" w:eastAsia="zh-CN" w:bidi="ar"/>
        </w:rPr>
        <w:t>企业计划于2026年对3#锅炉进行超低改造，将其作为厂区的备用热源（不在本项目评价范围内）。</w:t>
      </w:r>
    </w:p>
    <w:p w14:paraId="678FDBDC">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color w:val="FF0000"/>
          <w:sz w:val="24"/>
          <w:szCs w:val="24"/>
          <w:highlight w:val="none"/>
          <w:lang w:val="en-US" w:eastAsia="zh-CN" w:bidi="ar"/>
        </w:rPr>
      </w:pPr>
      <w:r>
        <w:rPr>
          <w:rFonts w:hint="eastAsia" w:ascii="Times New Roman" w:hAnsi="Times New Roman" w:eastAsia="宋体" w:cs="Times New Roman"/>
          <w:color w:val="FF0000"/>
          <w:sz w:val="24"/>
          <w:szCs w:val="24"/>
          <w:highlight w:val="none"/>
          <w:lang w:val="en-US" w:eastAsia="zh-CN" w:bidi="ar"/>
        </w:rPr>
        <w:t>4.本项目不新增工作人员，工作人员由厂区人员内部调配；灰库、渣库、储煤场、给水、供电系统、贮煤场均依托现有工程。生石灰粉仓、尿素仓为新建。</w:t>
      </w:r>
    </w:p>
    <w:p w14:paraId="6058FC9B">
      <w:pPr>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eastAsia="zh-CN"/>
        </w:rPr>
        <w:t>建设</w:t>
      </w:r>
      <w:r>
        <w:rPr>
          <w:rFonts w:hint="default" w:ascii="Times New Roman" w:hAnsi="Times New Roman" w:eastAsia="宋体" w:cs="Times New Roman"/>
          <w:color w:val="auto"/>
          <w:highlight w:val="none"/>
        </w:rPr>
        <w:t>的</w:t>
      </w:r>
      <w:r>
        <w:rPr>
          <w:rFonts w:hint="eastAsia" w:ascii="Times New Roman" w:hAnsi="Times New Roman" w:eastAsia="宋体" w:cs="Times New Roman"/>
          <w:color w:val="auto"/>
          <w:highlight w:val="none"/>
          <w:lang w:val="en-US" w:eastAsia="zh-CN"/>
        </w:rPr>
        <w:t>5#锅炉，锅炉烟气采用炉内喷钙+氨法脱硫+SNCR+亚氯酸钠脱硝+袋式除尘器烟气净化技术处理后通过一根70m高烟囱DA006排放，</w:t>
      </w:r>
      <w:r>
        <w:rPr>
          <w:rFonts w:hint="default" w:ascii="Times New Roman" w:hAnsi="Times New Roman" w:eastAsia="宋体" w:cs="Times New Roman"/>
          <w:color w:val="auto"/>
          <w:highlight w:val="none"/>
        </w:rPr>
        <w:t>年运行</w:t>
      </w:r>
      <w:r>
        <w:rPr>
          <w:rFonts w:hint="eastAsia" w:ascii="Times New Roman" w:hAnsi="Times New Roman" w:eastAsia="宋体" w:cs="Times New Roman"/>
          <w:color w:val="auto"/>
          <w:highlight w:val="none"/>
          <w:lang w:eastAsia="zh-CN"/>
        </w:rPr>
        <w:t>最大</w:t>
      </w:r>
      <w:r>
        <w:rPr>
          <w:rFonts w:hint="default" w:ascii="Times New Roman" w:hAnsi="Times New Roman" w:eastAsia="宋体" w:cs="Times New Roman"/>
          <w:color w:val="auto"/>
          <w:highlight w:val="none"/>
        </w:rPr>
        <w:t>小时数</w:t>
      </w:r>
      <w:r>
        <w:rPr>
          <w:rFonts w:hint="eastAsia" w:ascii="Times New Roman" w:hAnsi="Times New Roman" w:eastAsia="宋体" w:cs="Times New Roman"/>
          <w:color w:val="auto"/>
          <w:highlight w:val="none"/>
          <w:lang w:val="en-US" w:eastAsia="zh-CN"/>
        </w:rPr>
        <w:t>1083</w:t>
      </w:r>
      <w:r>
        <w:rPr>
          <w:rFonts w:hint="default" w:ascii="Times New Roman" w:hAnsi="Times New Roman" w:eastAsia="宋体" w:cs="Times New Roman"/>
          <w:color w:val="auto"/>
          <w:highlight w:val="none"/>
        </w:rPr>
        <w:t>h。</w:t>
      </w:r>
      <w:r>
        <w:rPr>
          <w:rFonts w:hint="default" w:ascii="Times New Roman" w:hAnsi="Times New Roman" w:eastAsia="宋体" w:cs="Times New Roman"/>
          <w:color w:val="auto"/>
          <w:highlight w:val="none"/>
          <w:lang w:val="en-US" w:eastAsia="zh-CN"/>
        </w:rPr>
        <w:t>锅炉房、配套烟气治理措施、烟囱及上煤系统等辅助设施已建设完成输水、供电、供热系统、原料运输贮煤场等依托现有工程</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本项目不新增工作人员，工作人员由厂区人员内部调配等。</w:t>
      </w:r>
      <w:r>
        <w:rPr>
          <w:rFonts w:hint="default" w:ascii="Times New Roman" w:hAnsi="Times New Roman" w:eastAsia="宋体" w:cs="Times New Roman"/>
          <w:color w:val="auto"/>
          <w:sz w:val="24"/>
          <w:szCs w:val="24"/>
          <w:highlight w:val="none"/>
          <w:lang w:val="en-US" w:eastAsia="zh-CN"/>
        </w:rPr>
        <w:t>锅炉烟气污染物执行</w:t>
      </w:r>
      <w:r>
        <w:rPr>
          <w:rFonts w:hint="default" w:ascii="Times New Roman" w:hAnsi="Times New Roman" w:eastAsia="宋体" w:cs="Times New Roman"/>
          <w:color w:val="auto"/>
          <w:sz w:val="24"/>
          <w:szCs w:val="24"/>
          <w:highlight w:val="none"/>
        </w:rPr>
        <w:t>《关于印发</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全面实施燃煤电厂超低排放和节能改造工作方案</w:t>
      </w:r>
      <w:r>
        <w:rPr>
          <w:rFonts w:hint="eastAsia" w:ascii="Times New Roman" w:hAnsi="Times New Roman" w:eastAsia="宋体" w:cs="Times New Roman"/>
          <w:color w:val="auto"/>
          <w:sz w:val="24"/>
          <w:szCs w:val="24"/>
          <w:highlight w:val="none"/>
          <w:lang w:eastAsia="zh-CN"/>
        </w:rPr>
        <w:t>〉的通知》</w:t>
      </w:r>
      <w:r>
        <w:rPr>
          <w:rFonts w:hint="default" w:ascii="Times New Roman" w:hAnsi="Times New Roman" w:eastAsia="宋体" w:cs="Times New Roman"/>
          <w:color w:val="auto"/>
          <w:sz w:val="24"/>
          <w:szCs w:val="24"/>
          <w:highlight w:val="none"/>
        </w:rPr>
        <w:t>（环发</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2015</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164号）要求，达到超低排放（在基准氧含量6%条件下，烟尘、SO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、NO</w:t>
      </w:r>
      <w:r>
        <w:rPr>
          <w:rFonts w:hint="default" w:ascii="Times New Roman" w:hAnsi="Times New Roman" w:eastAsia="宋体" w:cs="Times New Roman"/>
          <w:color w:val="auto"/>
          <w:sz w:val="24"/>
          <w:szCs w:val="24"/>
          <w:highlight w:val="none"/>
          <w:vertAlign w:val="subscript"/>
        </w:rPr>
        <w:t>X</w:t>
      </w:r>
      <w:r>
        <w:rPr>
          <w:rFonts w:hint="default" w:ascii="Times New Roman" w:hAnsi="Times New Roman" w:eastAsia="宋体" w:cs="Times New Roman"/>
          <w:color w:val="auto"/>
          <w:sz w:val="24"/>
          <w:szCs w:val="24"/>
          <w:highlight w:val="none"/>
        </w:rPr>
        <w:t>排放浓度分别不高于10mg/m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、35mg/m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、50mg/m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汞及其化合物、林格曼黑度执行《锅炉大气污染物排放标准》（GB13271-2014）表</w:t>
      </w:r>
      <w:r>
        <w:rPr>
          <w:rFonts w:hint="eastAsia"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中</w:t>
      </w:r>
      <w:r>
        <w:rPr>
          <w:rFonts w:hint="eastAsia" w:ascii="Times New Roman" w:hAnsi="Times New Roman" w:eastAsia="宋体" w:cs="Times New Roman"/>
          <w:color w:val="auto"/>
          <w:sz w:val="24"/>
          <w:szCs w:val="24"/>
          <w:highlight w:val="none"/>
          <w:lang w:val="en-US" w:eastAsia="zh-CN"/>
        </w:rPr>
        <w:t>新建</w:t>
      </w:r>
      <w:r>
        <w:rPr>
          <w:rFonts w:hint="default" w:ascii="Times New Roman" w:hAnsi="Times New Roman" w:eastAsia="宋体" w:cs="Times New Roman"/>
          <w:color w:val="auto"/>
          <w:sz w:val="24"/>
          <w:szCs w:val="24"/>
          <w:highlight w:val="none"/>
          <w:lang w:val="en-US" w:eastAsia="zh-CN"/>
        </w:rPr>
        <w:t>燃煤锅炉大气污染物排放限值。</w:t>
      </w:r>
      <w:r>
        <w:rPr>
          <w:rFonts w:hint="eastAsia" w:ascii="Times New Roman" w:hAnsi="Times New Roman" w:eastAsia="宋体" w:cs="Times New Roman"/>
          <w:color w:val="auto"/>
          <w:sz w:val="24"/>
          <w:szCs w:val="24"/>
          <w:highlight w:val="none"/>
          <w:lang w:val="en-US" w:eastAsia="zh-CN"/>
        </w:rPr>
        <w:t>脱硫废水经曝气、沉淀后用于脱硝补水和输煤系统除尘、除渣用水。含煤废水经厂区内现有污水处理间处理，处理工艺为过滤+沉淀+气浮，处理后的废水进入地下水池回用。锅炉排污水、软化水处理废水、处理后的含煤废水用于输煤栈桥冲洗、输煤系统除尘、渣库降尘等工序，不外排。</w:t>
      </w:r>
    </w:p>
    <w:p w14:paraId="07737497">
      <w:pPr>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6.本项目建设在佳木斯中恒热电有限公司现有厂区内，不新增占地，所在区域为环境质量达标区。西侧30m处为原热电厂家属区；南侧为龙实路，隔路为黑锻新城小区，与本项目厂界距离约60m；北侧为佳木斯西区污水处理厂，东侧为水清街，隔路为农田。</w:t>
      </w:r>
    </w:p>
    <w:p w14:paraId="241F78BA">
      <w:pPr>
        <w:pStyle w:val="4"/>
        <w:numPr>
          <w:ilvl w:val="1"/>
          <w:numId w:val="3"/>
        </w:numPr>
        <w:ind w:left="567" w:leftChars="0" w:hanging="567" w:firstLineChars="0"/>
        <w:rPr>
          <w:rFonts w:hint="default" w:ascii="Times New Roman" w:hAnsi="Times New Roman" w:eastAsia="宋体" w:cs="Times New Roman"/>
          <w:b/>
          <w:bCs/>
          <w:color w:val="auto"/>
          <w:highlight w:val="none"/>
        </w:rPr>
      </w:pPr>
      <w:bookmarkStart w:id="6" w:name="_Toc7156"/>
      <w:bookmarkStart w:id="7" w:name="_Toc29067"/>
      <w:r>
        <w:rPr>
          <w:rFonts w:hint="default" w:ascii="Times New Roman" w:hAnsi="Times New Roman" w:eastAsia="宋体" w:cs="Times New Roman"/>
          <w:b/>
          <w:bCs/>
          <w:color w:val="auto"/>
          <w:highlight w:val="none"/>
        </w:rPr>
        <w:t>环境影响评价的工作过程</w:t>
      </w:r>
      <w:bookmarkEnd w:id="6"/>
      <w:bookmarkEnd w:id="7"/>
    </w:p>
    <w:p w14:paraId="447A20E4">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根据《建设项目环境影响评价技术导则 总纲》</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HJ2.1-2016</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相关技术规范的要求，环境影响评价工作分为三个阶段进行，即调查分析和工作方案制定阶段、分析论证和预测评价阶段、环境影响报告书</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表</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制阶段。具体工作程序见图1.3-1。</w:t>
      </w:r>
    </w:p>
    <w:p w14:paraId="2F93CBD7">
      <w:pPr>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drawing>
          <wp:inline distT="0" distB="0" distL="0" distR="0">
            <wp:extent cx="4902200" cy="4661535"/>
            <wp:effectExtent l="0" t="0" r="12700"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9"/>
                    <a:stretch>
                      <a:fillRect/>
                    </a:stretch>
                  </pic:blipFill>
                  <pic:spPr>
                    <a:xfrm>
                      <a:off x="0" y="0"/>
                      <a:ext cx="4902200" cy="4661535"/>
                    </a:xfrm>
                    <a:prstGeom prst="rect">
                      <a:avLst/>
                    </a:prstGeom>
                  </pic:spPr>
                </pic:pic>
              </a:graphicData>
            </a:graphic>
          </wp:inline>
        </w:drawing>
      </w:r>
    </w:p>
    <w:p w14:paraId="2FF947AB">
      <w:pPr>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图1.3-1建设项目环境影响评价工作程序图</w:t>
      </w:r>
    </w:p>
    <w:p w14:paraId="1009C0BB">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一、前期准备阶段</w:t>
      </w:r>
    </w:p>
    <w:p w14:paraId="04E9CB2E">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依据《建设项目环境影响评价分类管理名录》（2021年版）的有关要求，本项目属于“四十一、电力、热力生产和供应业”中第91项“热力生产和供应工程（包括建设单位自用的供热工程）”中的“燃煤、燃油锅炉总容量65吨/小时（45.5兆瓦）以上的”，本项目应编制环境影响报告书。工作人员在研究相关技术及其他有关文件的基础上进行了初步工程分析，开展了初步的环境现状调查，之后进行了环境影响识别、评价因子和评价标准的判定，明确了评价重点和环境保护目标，进一步确定评价工作等级和评价范围，最后制定出环评工作方案。</w:t>
      </w:r>
    </w:p>
    <w:p w14:paraId="065C4DCD">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二、调查分析和工作方案制定阶段</w:t>
      </w:r>
    </w:p>
    <w:p w14:paraId="092B24BE">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根据第一阶段的工作成果，工作人员在对环境质量现状进行调查、监测与评价后，详细进行了工程分析，同时对各环境要素进行了环境影响预测与评价，对各专题进行了环境影响分析与评价。</w:t>
      </w:r>
    </w:p>
    <w:p w14:paraId="5E5907A6">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三、分析论证和预测评价阶段</w:t>
      </w:r>
    </w:p>
    <w:p w14:paraId="58B4ACB8">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根据上一阶段的预测、分析与评价，给出建设项目可行性的评价结论，提出环境保护措施，</w:t>
      </w:r>
      <w:r>
        <w:rPr>
          <w:rFonts w:hint="eastAsia" w:ascii="Times New Roman" w:hAnsi="Times New Roman" w:eastAsia="宋体" w:cs="Times New Roman"/>
          <w:color w:val="auto"/>
          <w:highlight w:val="none"/>
          <w:lang w:eastAsia="zh-CN"/>
        </w:rPr>
        <w:t>进行</w:t>
      </w:r>
      <w:r>
        <w:rPr>
          <w:rFonts w:hint="default" w:ascii="Times New Roman" w:hAnsi="Times New Roman" w:eastAsia="宋体" w:cs="Times New Roman"/>
          <w:color w:val="auto"/>
          <w:highlight w:val="none"/>
        </w:rPr>
        <w:t>经济技术可行性论证，列出污染物排放清单并给出建设项目环境影响评价结论，完成环境影响报告书的编制工作。</w:t>
      </w:r>
    </w:p>
    <w:p w14:paraId="0F40EE39">
      <w:pPr>
        <w:pStyle w:val="4"/>
        <w:numPr>
          <w:ilvl w:val="1"/>
          <w:numId w:val="3"/>
        </w:numPr>
        <w:ind w:left="567" w:leftChars="0" w:hanging="567" w:firstLineChars="0"/>
        <w:rPr>
          <w:rFonts w:hint="default" w:ascii="Times New Roman" w:hAnsi="Times New Roman" w:eastAsia="宋体" w:cs="Times New Roman"/>
          <w:b/>
          <w:bCs/>
          <w:color w:val="auto"/>
          <w:highlight w:val="none"/>
        </w:rPr>
      </w:pPr>
      <w:bookmarkStart w:id="8" w:name="_Toc19081"/>
      <w:bookmarkStart w:id="9" w:name="_Toc20692"/>
      <w:r>
        <w:rPr>
          <w:rFonts w:hint="default" w:ascii="Times New Roman" w:hAnsi="Times New Roman" w:eastAsia="宋体" w:cs="Times New Roman"/>
          <w:b/>
          <w:bCs/>
          <w:color w:val="auto"/>
          <w:highlight w:val="none"/>
        </w:rPr>
        <w:t>分析判定相关情况</w:t>
      </w:r>
      <w:bookmarkEnd w:id="8"/>
      <w:bookmarkEnd w:id="9"/>
    </w:p>
    <w:p w14:paraId="34CE08F1">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10" w:name="_Toc12499"/>
      <w:bookmarkStart w:id="11" w:name="_Toc10502"/>
      <w:bookmarkStart w:id="12" w:name="_Toc105659849"/>
      <w:bookmarkStart w:id="13" w:name="_Toc16288"/>
      <w:bookmarkStart w:id="14" w:name="_Toc31172"/>
      <w:bookmarkStart w:id="15" w:name="_Toc107238064"/>
      <w:r>
        <w:rPr>
          <w:rFonts w:hint="default" w:ascii="Times New Roman" w:hAnsi="Times New Roman" w:eastAsia="宋体" w:cs="Times New Roman"/>
          <w:color w:val="auto"/>
          <w:highlight w:val="none"/>
        </w:rPr>
        <w:t>与《产业结构调整指导目录（20</w:t>
      </w:r>
      <w:r>
        <w:rPr>
          <w:rFonts w:hint="default" w:ascii="Times New Roman" w:hAnsi="Times New Roman" w:eastAsia="宋体" w:cs="Times New Roman"/>
          <w:color w:val="auto"/>
          <w:highlight w:val="none"/>
          <w:lang w:val="en-US" w:eastAsia="zh-CN"/>
        </w:rPr>
        <w:t>24</w:t>
      </w:r>
      <w:r>
        <w:rPr>
          <w:rFonts w:hint="default" w:ascii="Times New Roman" w:hAnsi="Times New Roman" w:eastAsia="宋体" w:cs="Times New Roman"/>
          <w:color w:val="auto"/>
          <w:highlight w:val="none"/>
        </w:rPr>
        <w:t>年本）》的符合性</w:t>
      </w:r>
      <w:bookmarkEnd w:id="10"/>
      <w:bookmarkEnd w:id="11"/>
      <w:bookmarkEnd w:id="12"/>
      <w:bookmarkEnd w:id="13"/>
      <w:bookmarkEnd w:id="14"/>
      <w:bookmarkEnd w:id="15"/>
    </w:p>
    <w:p w14:paraId="18A80D59">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本项目属于《产业结构调整指导目录（20</w:t>
      </w:r>
      <w:r>
        <w:rPr>
          <w:rFonts w:hint="default" w:ascii="Times New Roman" w:hAnsi="Times New Roman" w:eastAsia="宋体" w:cs="Times New Roman"/>
          <w:color w:val="auto"/>
          <w:highlight w:val="none"/>
          <w:lang w:val="en-US" w:eastAsia="zh-CN"/>
        </w:rPr>
        <w:t>24</w:t>
      </w:r>
      <w:r>
        <w:rPr>
          <w:rFonts w:hint="default" w:ascii="Times New Roman" w:hAnsi="Times New Roman" w:eastAsia="宋体" w:cs="Times New Roman"/>
          <w:color w:val="auto"/>
          <w:highlight w:val="none"/>
        </w:rPr>
        <w:t>年本）》中鼓励类第二十二</w:t>
      </w:r>
      <w:r>
        <w:rPr>
          <w:rFonts w:hint="default" w:ascii="Times New Roman" w:hAnsi="Times New Roman" w:eastAsia="宋体" w:cs="Times New Roman"/>
          <w:color w:val="auto"/>
          <w:highlight w:val="none"/>
          <w:lang w:val="en-US" w:eastAsia="zh-CN"/>
        </w:rPr>
        <w:t>项</w:t>
      </w:r>
      <w:r>
        <w:rPr>
          <w:rFonts w:hint="default" w:ascii="Times New Roman" w:hAnsi="Times New Roman" w:eastAsia="宋体" w:cs="Times New Roman"/>
          <w:color w:val="auto"/>
          <w:highlight w:val="none"/>
        </w:rPr>
        <w:t>“城镇基础设施”第</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条为“城镇集中供热建设和改造工程”。因此，本项目属于鼓励类建设项目。</w:t>
      </w:r>
    </w:p>
    <w:p w14:paraId="491E7FF5">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16" w:name="_Toc23174"/>
      <w:bookmarkStart w:id="17" w:name="_Toc18763"/>
      <w:bookmarkStart w:id="18" w:name="_Toc26050"/>
      <w:r>
        <w:rPr>
          <w:rFonts w:hint="default" w:ascii="Times New Roman" w:hAnsi="Times New Roman" w:eastAsia="宋体" w:cs="Times New Roman"/>
          <w:color w:val="auto"/>
          <w:highlight w:val="none"/>
        </w:rPr>
        <w:t>与</w:t>
      </w:r>
      <w:r>
        <w:rPr>
          <w:rFonts w:hint="default" w:ascii="Times New Roman" w:hAnsi="Times New Roman" w:eastAsia="宋体" w:cs="Times New Roman"/>
          <w:color w:val="auto"/>
          <w:highlight w:val="none"/>
          <w:lang w:val="en-US" w:eastAsia="zh-CN"/>
        </w:rPr>
        <w:t>生态环境分区管控</w:t>
      </w:r>
      <w:r>
        <w:rPr>
          <w:rFonts w:hint="default" w:ascii="Times New Roman" w:hAnsi="Times New Roman" w:eastAsia="宋体" w:cs="Times New Roman"/>
          <w:color w:val="auto"/>
          <w:highlight w:val="none"/>
        </w:rPr>
        <w:t>符合性分析</w:t>
      </w:r>
      <w:bookmarkEnd w:id="16"/>
      <w:bookmarkEnd w:id="17"/>
      <w:bookmarkEnd w:id="18"/>
    </w:p>
    <w:p w14:paraId="77E03CD9">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2"/>
          <w:sz w:val="24"/>
          <w:szCs w:val="24"/>
          <w:highlight w:val="none"/>
        </w:rPr>
        <w:t>根据《黑龙江省人民政府关于实施“三线一单”生态环境分区管控意见》（黑政发〔2020〕14号）</w:t>
      </w:r>
      <w:r>
        <w:rPr>
          <w:rFonts w:hint="eastAsia" w:ascii="Times New Roman" w:hAnsi="Times New Roman" w:eastAsia="宋体" w:cs="Times New Roman"/>
          <w:color w:val="auto"/>
          <w:kern w:val="2"/>
          <w:sz w:val="24"/>
          <w:szCs w:val="24"/>
          <w:highlight w:val="none"/>
          <w:lang w:eastAsia="zh-CN"/>
        </w:rPr>
        <w:t>、</w:t>
      </w:r>
      <w:r>
        <w:rPr>
          <w:rFonts w:hint="default" w:ascii="Times New Roman" w:hAnsi="Times New Roman" w:eastAsia="宋体" w:cs="Times New Roman"/>
          <w:color w:val="auto"/>
          <w:kern w:val="2"/>
          <w:sz w:val="24"/>
          <w:szCs w:val="24"/>
          <w:highlight w:val="none"/>
        </w:rPr>
        <w:t>《</w:t>
      </w:r>
      <w:r>
        <w:rPr>
          <w:rFonts w:hint="default" w:ascii="Times New Roman" w:hAnsi="Times New Roman" w:eastAsia="宋体" w:cs="Times New Roman"/>
          <w:color w:val="auto"/>
          <w:kern w:val="2"/>
          <w:sz w:val="24"/>
          <w:szCs w:val="24"/>
          <w:highlight w:val="none"/>
          <w:lang w:eastAsia="zh-CN"/>
        </w:rPr>
        <w:t>佳木斯</w:t>
      </w:r>
      <w:r>
        <w:rPr>
          <w:rFonts w:hint="default" w:ascii="Times New Roman" w:hAnsi="Times New Roman" w:eastAsia="宋体" w:cs="Times New Roman"/>
          <w:color w:val="auto"/>
          <w:kern w:val="2"/>
          <w:sz w:val="24"/>
          <w:szCs w:val="24"/>
          <w:highlight w:val="none"/>
        </w:rPr>
        <w:t>市人民政府关于实施“三线一单”生态环境分区管控的意见》（佳政规〔2021〕4号）及</w:t>
      </w:r>
      <w:r>
        <w:rPr>
          <w:rFonts w:hint="eastAsia" w:ascii="Times New Roman" w:hAnsi="Times New Roman" w:eastAsia="宋体" w:cs="Times New Roman"/>
          <w:color w:val="auto"/>
          <w:kern w:val="2"/>
          <w:sz w:val="24"/>
          <w:szCs w:val="24"/>
          <w:highlight w:val="none"/>
          <w:lang w:eastAsia="zh-CN"/>
        </w:rPr>
        <w:t>《佳木斯市生态环境准入清单（2023年版）》</w:t>
      </w:r>
      <w:r>
        <w:rPr>
          <w:rFonts w:hint="default" w:ascii="Times New Roman" w:hAnsi="Times New Roman" w:eastAsia="宋体" w:cs="Times New Roman"/>
          <w:color w:val="auto"/>
          <w:kern w:val="2"/>
          <w:sz w:val="24"/>
          <w:szCs w:val="24"/>
          <w:highlight w:val="none"/>
        </w:rPr>
        <w:t>要求</w:t>
      </w:r>
      <w:r>
        <w:rPr>
          <w:rFonts w:hint="eastAsia" w:ascii="Times New Roman" w:hAnsi="Times New Roman" w:eastAsia="宋体" w:cs="Times New Roman"/>
          <w:color w:val="auto"/>
          <w:kern w:val="2"/>
          <w:sz w:val="24"/>
          <w:szCs w:val="24"/>
          <w:highlight w:val="none"/>
          <w:lang w:eastAsia="zh-CN"/>
        </w:rPr>
        <w:t>，</w:t>
      </w:r>
      <w:r>
        <w:rPr>
          <w:rFonts w:hint="eastAsia" w:ascii="Times New Roman" w:hAnsi="Times New Roman" w:eastAsia="宋体" w:cs="Times New Roman"/>
          <w:color w:val="auto"/>
          <w:kern w:val="2"/>
          <w:sz w:val="24"/>
          <w:szCs w:val="24"/>
          <w:highlight w:val="none"/>
          <w:lang w:val="en-US" w:eastAsia="zh-CN"/>
        </w:rPr>
        <w:t>以及黑龙江省生态环境分区管控数据应用平台出具的《佳木斯中恒热电有限公司新建、扩建锅炉房工程（二期1×58MW锅炉重新报批）环境影响报告书生态环境分区管控分析报告》，</w:t>
      </w: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eastAsia="zh-CN"/>
        </w:rPr>
        <w:t>占地</w:t>
      </w:r>
      <w:r>
        <w:rPr>
          <w:rFonts w:hint="eastAsia" w:ascii="Times New Roman" w:hAnsi="Times New Roman" w:eastAsia="宋体" w:cs="Times New Roman"/>
          <w:color w:val="auto"/>
          <w:kern w:val="2"/>
          <w:sz w:val="24"/>
          <w:szCs w:val="24"/>
          <w:highlight w:val="none"/>
          <w:lang w:val="en-US" w:eastAsia="zh-CN"/>
        </w:rPr>
        <w:t>属于重点管控单元－郊区城镇空间，</w:t>
      </w:r>
      <w:r>
        <w:rPr>
          <w:rFonts w:hint="eastAsia" w:ascii="Times New Roman" w:hAnsi="Times New Roman" w:eastAsia="宋体" w:cs="Times New Roman"/>
          <w:color w:val="auto"/>
          <w:highlight w:val="none"/>
          <w:lang w:eastAsia="zh-CN"/>
        </w:rPr>
        <w:t>占项目占地面积的</w:t>
      </w:r>
      <w:r>
        <w:rPr>
          <w:rFonts w:hint="eastAsia" w:ascii="Times New Roman" w:hAnsi="Times New Roman" w:eastAsia="宋体" w:cs="Times New Roman"/>
          <w:color w:val="auto"/>
          <w:highlight w:val="none"/>
          <w:lang w:val="en-US" w:eastAsia="zh-CN"/>
        </w:rPr>
        <w:t>100%</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kern w:val="2"/>
          <w:sz w:val="24"/>
          <w:szCs w:val="24"/>
          <w:highlight w:val="none"/>
        </w:rPr>
        <w:t>应突出污染物排放控制和环境风险防控，按照差别化的生态环境准入要求优化空间和产业布局，不断提升资源利用效率，强化环境质量改善目标约束，解决局部生态环境质量不达标、生态环境风险高的问题。</w:t>
      </w:r>
    </w:p>
    <w:p w14:paraId="7394DBFA">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（1）生态保护红线符合性分析</w:t>
      </w:r>
    </w:p>
    <w:p w14:paraId="5D69C2FE">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根据黑龙江省“三区三线”划定成果，本项目厂址所在区域不属于生态保护红线范围内。本项目厂址位于</w:t>
      </w:r>
      <w:r>
        <w:rPr>
          <w:rFonts w:hint="eastAsia" w:ascii="Times New Roman" w:hAnsi="Times New Roman" w:eastAsia="宋体" w:cs="Times New Roman"/>
          <w:color w:val="auto"/>
          <w:highlight w:val="none"/>
          <w:lang w:eastAsia="zh-CN"/>
        </w:rPr>
        <w:t>黑龙江省佳木斯市郊区龙实路</w:t>
      </w: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eastAsia="zh-CN"/>
        </w:rPr>
        <w:t>本项目</w:t>
      </w:r>
      <w:r>
        <w:rPr>
          <w:rFonts w:hint="default" w:ascii="Times New Roman" w:hAnsi="Times New Roman" w:eastAsia="宋体" w:cs="Times New Roman"/>
          <w:color w:val="auto"/>
          <w:highlight w:val="none"/>
        </w:rPr>
        <w:t>建设在</w:t>
      </w:r>
      <w:r>
        <w:rPr>
          <w:rFonts w:hint="eastAsia" w:ascii="Times New Roman" w:hAnsi="Times New Roman" w:eastAsia="宋体" w:cs="Times New Roman"/>
          <w:color w:val="auto"/>
          <w:highlight w:val="none"/>
          <w:lang w:val="en-US" w:eastAsia="zh-CN"/>
        </w:rPr>
        <w:t>佳木斯中恒热电有限公司</w:t>
      </w:r>
      <w:r>
        <w:rPr>
          <w:rFonts w:hint="default" w:ascii="Times New Roman" w:hAnsi="Times New Roman" w:eastAsia="宋体" w:cs="Times New Roman"/>
          <w:color w:val="auto"/>
          <w:highlight w:val="none"/>
        </w:rPr>
        <w:t>现有厂区内，位于</w:t>
      </w:r>
      <w:r>
        <w:rPr>
          <w:rFonts w:hint="eastAsia" w:ascii="Times New Roman" w:hAnsi="Times New Roman" w:eastAsia="宋体" w:cs="Times New Roman"/>
          <w:color w:val="auto"/>
          <w:highlight w:val="none"/>
          <w:lang w:val="en-US" w:eastAsia="zh-CN"/>
        </w:rPr>
        <w:t>储煤场西南侧</w:t>
      </w: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eastAsia="zh-CN"/>
        </w:rPr>
        <w:t>佳木斯中恒热电有限公司</w:t>
      </w:r>
      <w:r>
        <w:rPr>
          <w:rFonts w:hint="default" w:ascii="Times New Roman" w:hAnsi="Times New Roman" w:eastAsia="宋体" w:cs="Times New Roman"/>
          <w:color w:val="auto"/>
          <w:highlight w:val="none"/>
        </w:rPr>
        <w:t>西侧为</w:t>
      </w:r>
      <w:r>
        <w:rPr>
          <w:rFonts w:hint="eastAsia" w:ascii="Times New Roman" w:hAnsi="Times New Roman" w:eastAsia="宋体" w:cs="Times New Roman"/>
          <w:color w:val="auto"/>
          <w:highlight w:val="none"/>
          <w:lang w:val="en-US" w:eastAsia="zh-CN"/>
        </w:rPr>
        <w:t>原热电厂家属区</w:t>
      </w:r>
      <w:r>
        <w:rPr>
          <w:rFonts w:hint="default" w:ascii="Times New Roman" w:hAnsi="Times New Roman" w:eastAsia="宋体" w:cs="Times New Roman"/>
          <w:color w:val="auto"/>
          <w:highlight w:val="none"/>
        </w:rPr>
        <w:t>；南侧为</w:t>
      </w:r>
      <w:r>
        <w:rPr>
          <w:rFonts w:hint="eastAsia" w:ascii="Times New Roman" w:hAnsi="Times New Roman" w:eastAsia="宋体" w:cs="Times New Roman"/>
          <w:color w:val="auto"/>
          <w:highlight w:val="none"/>
          <w:lang w:val="en-US" w:eastAsia="zh-CN"/>
        </w:rPr>
        <w:t>龙实路，隔路为黑锻新城小区</w:t>
      </w:r>
      <w:r>
        <w:rPr>
          <w:rFonts w:hint="default" w:ascii="Times New Roman" w:hAnsi="Times New Roman" w:eastAsia="宋体" w:cs="Times New Roman"/>
          <w:color w:val="auto"/>
          <w:highlight w:val="none"/>
        </w:rPr>
        <w:t>；北侧为</w:t>
      </w:r>
      <w:r>
        <w:rPr>
          <w:rFonts w:hint="eastAsia" w:ascii="Times New Roman" w:hAnsi="Times New Roman" w:eastAsia="宋体" w:cs="Times New Roman"/>
          <w:color w:val="auto"/>
          <w:kern w:val="2"/>
          <w:sz w:val="24"/>
          <w:szCs w:val="24"/>
          <w:highlight w:val="none"/>
          <w:lang w:eastAsia="zh-CN"/>
        </w:rPr>
        <w:t>佳木斯西区污水处理厂</w:t>
      </w:r>
      <w:r>
        <w:rPr>
          <w:rFonts w:hint="default" w:ascii="Times New Roman" w:hAnsi="Times New Roman" w:eastAsia="宋体" w:cs="Times New Roman"/>
          <w:color w:val="auto"/>
          <w:highlight w:val="none"/>
        </w:rPr>
        <w:t>，东侧为</w:t>
      </w:r>
      <w:r>
        <w:rPr>
          <w:rFonts w:hint="eastAsia" w:ascii="Times New Roman" w:hAnsi="Times New Roman" w:eastAsia="宋体" w:cs="Times New Roman"/>
          <w:color w:val="auto"/>
          <w:highlight w:val="none"/>
          <w:lang w:val="en-US" w:eastAsia="zh-CN"/>
        </w:rPr>
        <w:t>水清街，隔路为农田</w:t>
      </w:r>
      <w:r>
        <w:rPr>
          <w:rFonts w:hint="default" w:ascii="Times New Roman" w:hAnsi="Times New Roman" w:eastAsia="宋体" w:cs="Times New Roman"/>
          <w:color w:val="auto"/>
          <w:highlight w:val="none"/>
        </w:rPr>
        <w:t>。所在区域内无国家、省、市级自然保护区、风景名胜区、世界文化和自然遗产地、海洋特别保护区、基本农田保护区、基本草原、森林公园、地质公园、重要湿地、天然林、野生动物重要栖息地、重点保护野生植物生长繁殖地、重要水生生物的自然产卵场、索饵场、越冬场和洄游通道、天然渔场、沙化土地封禁保护区、封闭及半封闭海域等环境敏感区。本项目选址不在黑龙江省和</w:t>
      </w:r>
      <w:r>
        <w:rPr>
          <w:rFonts w:hint="eastAsia" w:ascii="Times New Roman" w:hAnsi="Times New Roman" w:eastAsia="宋体" w:cs="Times New Roman"/>
          <w:color w:val="auto"/>
          <w:highlight w:val="none"/>
          <w:lang w:val="en-US" w:eastAsia="zh-CN"/>
        </w:rPr>
        <w:t>佳木斯</w:t>
      </w:r>
      <w:r>
        <w:rPr>
          <w:rFonts w:hint="default" w:ascii="Times New Roman" w:hAnsi="Times New Roman" w:eastAsia="宋体" w:cs="Times New Roman"/>
          <w:color w:val="auto"/>
          <w:highlight w:val="none"/>
        </w:rPr>
        <w:t>市生态保护红线内。</w:t>
      </w:r>
    </w:p>
    <w:p w14:paraId="1965D2D5">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（2）环境质量底线符合性分析</w:t>
      </w:r>
    </w:p>
    <w:p w14:paraId="69DD4512">
      <w:pPr>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①大气</w:t>
      </w:r>
      <w:r>
        <w:rPr>
          <w:rFonts w:hint="default" w:ascii="Times New Roman" w:hAnsi="Times New Roman" w:eastAsia="宋体" w:cs="Times New Roman"/>
          <w:color w:val="auto"/>
          <w:highlight w:val="none"/>
          <w:lang w:val="en-US" w:eastAsia="zh-CN"/>
        </w:rPr>
        <w:t>环境质量底线分析</w:t>
      </w:r>
    </w:p>
    <w:p w14:paraId="0943ABD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w:t>
      </w:r>
      <w:r>
        <w:rPr>
          <w:rFonts w:hint="eastAsia" w:ascii="Times New Roman" w:hAnsi="Times New Roman" w:eastAsia="宋体" w:cs="Times New Roman"/>
          <w:color w:val="auto"/>
          <w:sz w:val="24"/>
          <w:szCs w:val="24"/>
          <w:highlight w:val="none"/>
          <w:lang w:val="en-US" w:eastAsia="zh-CN"/>
        </w:rPr>
        <w:t>项目建设</w:t>
      </w:r>
      <w:r>
        <w:rPr>
          <w:rFonts w:hint="default" w:ascii="Times New Roman" w:hAnsi="Times New Roman" w:eastAsia="宋体" w:cs="Times New Roman"/>
          <w:color w:val="auto"/>
          <w:sz w:val="24"/>
          <w:szCs w:val="24"/>
          <w:highlight w:val="none"/>
          <w:lang w:val="en-US" w:eastAsia="zh-CN"/>
        </w:rPr>
        <w:t>的</w:t>
      </w:r>
      <w:r>
        <w:rPr>
          <w:rFonts w:hint="eastAsia" w:ascii="Times New Roman" w:hAnsi="Times New Roman" w:eastAsia="宋体" w:cs="Times New Roman"/>
          <w:color w:val="auto"/>
          <w:sz w:val="24"/>
          <w:szCs w:val="24"/>
          <w:highlight w:val="none"/>
          <w:lang w:val="en-US" w:eastAsia="zh-CN"/>
        </w:rPr>
        <w:t>5#锅炉</w:t>
      </w:r>
      <w:r>
        <w:rPr>
          <w:rFonts w:hint="default" w:ascii="Times New Roman" w:hAnsi="Times New Roman" w:eastAsia="宋体" w:cs="Times New Roman"/>
          <w:color w:val="auto"/>
          <w:sz w:val="24"/>
          <w:szCs w:val="24"/>
          <w:highlight w:val="none"/>
          <w:lang w:eastAsia="zh-CN"/>
        </w:rPr>
        <w:t>烟气治理措施采用</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炉内喷钙+氨法脱硫+SNCR+亚氯酸钠脱硝+袋式除尘器</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锅炉烟气污染物满足</w:t>
      </w:r>
      <w:r>
        <w:rPr>
          <w:rFonts w:hint="default" w:ascii="Times New Roman" w:hAnsi="Times New Roman" w:eastAsia="宋体" w:cs="Times New Roman"/>
          <w:color w:val="auto"/>
          <w:sz w:val="24"/>
          <w:szCs w:val="24"/>
          <w:highlight w:val="none"/>
        </w:rPr>
        <w:t>《关于印发</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全面实施燃煤电厂超低排放和节能改造工作方案</w:t>
      </w:r>
      <w:r>
        <w:rPr>
          <w:rFonts w:hint="eastAsia" w:ascii="Times New Roman" w:hAnsi="Times New Roman" w:eastAsia="宋体" w:cs="Times New Roman"/>
          <w:color w:val="auto"/>
          <w:sz w:val="24"/>
          <w:szCs w:val="24"/>
          <w:highlight w:val="none"/>
          <w:lang w:eastAsia="zh-CN"/>
        </w:rPr>
        <w:t>〉的通知》</w:t>
      </w:r>
      <w:r>
        <w:rPr>
          <w:rFonts w:hint="default" w:ascii="Times New Roman" w:hAnsi="Times New Roman" w:eastAsia="宋体" w:cs="Times New Roman"/>
          <w:color w:val="auto"/>
          <w:sz w:val="24"/>
          <w:szCs w:val="24"/>
          <w:highlight w:val="none"/>
        </w:rPr>
        <w:t>（环发</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2015</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164号）要求，达到超低排放（在基准氧含量6%条件下，烟尘、SO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、NO</w:t>
      </w:r>
      <w:r>
        <w:rPr>
          <w:rFonts w:hint="default" w:ascii="Times New Roman" w:hAnsi="Times New Roman" w:eastAsia="宋体" w:cs="Times New Roman"/>
          <w:color w:val="auto"/>
          <w:sz w:val="24"/>
          <w:szCs w:val="24"/>
          <w:highlight w:val="none"/>
          <w:vertAlign w:val="subscript"/>
        </w:rPr>
        <w:t>X</w:t>
      </w:r>
      <w:r>
        <w:rPr>
          <w:rFonts w:hint="default" w:ascii="Times New Roman" w:hAnsi="Times New Roman" w:eastAsia="宋体" w:cs="Times New Roman"/>
          <w:color w:val="auto"/>
          <w:sz w:val="24"/>
          <w:szCs w:val="24"/>
          <w:highlight w:val="none"/>
        </w:rPr>
        <w:t>排放浓度分别不高于10mg/m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、35mg/m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、50mg/m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汞及其化合物、林格曼黑度满足</w:t>
      </w:r>
      <w:r>
        <w:rPr>
          <w:rFonts w:hint="eastAsia" w:ascii="Times New Roman" w:hAnsi="Times New Roman" w:eastAsia="宋体" w:cs="Times New Roman"/>
          <w:color w:val="auto"/>
          <w:sz w:val="24"/>
          <w:szCs w:val="24"/>
          <w:highlight w:val="none"/>
          <w:lang w:val="en-US" w:eastAsia="zh-CN"/>
        </w:rPr>
        <w:t>《锅炉大气污染物排放标准》（GB13271-2014）表2新建锅炉大气污染物排放浓度限值要求</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生石灰料仓配备1座布袋除尘器，处理后废气通过仓顶排放，灰库设置一套布袋除尘器，处理后废气通过库顶排放。</w:t>
      </w:r>
      <w:r>
        <w:rPr>
          <w:rFonts w:hint="default" w:ascii="Times New Roman" w:hAnsi="Times New Roman" w:eastAsia="宋体" w:cs="Times New Roman"/>
          <w:color w:val="auto"/>
          <w:sz w:val="24"/>
          <w:szCs w:val="24"/>
          <w:highlight w:val="none"/>
          <w:lang w:val="en-US" w:eastAsia="zh-CN"/>
        </w:rPr>
        <w:t>碎煤机室的各落煤点会产生煤尘扬尘，企业碎煤机为全封闭式</w:t>
      </w:r>
      <w:r>
        <w:rPr>
          <w:rFonts w:hint="eastAsia" w:ascii="Times New Roman" w:hAnsi="Times New Roman" w:eastAsia="宋体" w:cs="Times New Roman"/>
          <w:color w:val="auto"/>
          <w:sz w:val="24"/>
          <w:szCs w:val="24"/>
          <w:highlight w:val="none"/>
          <w:lang w:val="en-US" w:eastAsia="zh-CN"/>
        </w:rPr>
        <w:t>并配套布袋除尘器，处理后废气车间内无组织排放，渣库、输煤栈桥均为密闭，</w:t>
      </w:r>
      <w:r>
        <w:rPr>
          <w:rFonts w:hint="default" w:ascii="Times New Roman" w:hAnsi="Times New Roman" w:eastAsia="宋体" w:cs="Times New Roman"/>
          <w:color w:val="auto"/>
          <w:sz w:val="24"/>
          <w:szCs w:val="24"/>
          <w:highlight w:val="none"/>
        </w:rPr>
        <w:t>采取</w:t>
      </w:r>
      <w:r>
        <w:rPr>
          <w:rFonts w:hint="default" w:ascii="Times New Roman" w:hAnsi="Times New Roman" w:eastAsia="宋体" w:cs="Times New Roman"/>
          <w:color w:val="auto"/>
          <w:sz w:val="24"/>
          <w:szCs w:val="24"/>
          <w:highlight w:val="none"/>
          <w:lang w:val="en-US" w:eastAsia="zh-CN"/>
        </w:rPr>
        <w:t>以上废气污染</w:t>
      </w:r>
      <w:r>
        <w:rPr>
          <w:rFonts w:hint="default" w:ascii="Times New Roman" w:hAnsi="Times New Roman" w:eastAsia="宋体" w:cs="Times New Roman"/>
          <w:color w:val="auto"/>
          <w:sz w:val="24"/>
          <w:szCs w:val="24"/>
          <w:highlight w:val="none"/>
        </w:rPr>
        <w:t>防治措施后，</w:t>
      </w:r>
      <w:r>
        <w:rPr>
          <w:rFonts w:hint="default" w:ascii="Times New Roman" w:hAnsi="Times New Roman" w:eastAsia="宋体" w:cs="Times New Roman"/>
          <w:b w:val="0"/>
          <w:bCs w:val="0"/>
          <w:color w:val="auto"/>
          <w:sz w:val="24"/>
          <w:szCs w:val="24"/>
          <w:highlight w:val="none"/>
        </w:rPr>
        <w:t>颗粒物的排放浓度</w:t>
      </w:r>
      <w:r>
        <w:rPr>
          <w:rFonts w:hint="eastAsia" w:ascii="Times New Roman" w:hAnsi="Times New Roman" w:eastAsia="宋体" w:cs="Times New Roman"/>
          <w:b w:val="0"/>
          <w:bCs w:val="0"/>
          <w:color w:val="auto"/>
          <w:sz w:val="24"/>
          <w:szCs w:val="24"/>
          <w:highlight w:val="none"/>
          <w:lang w:val="en-US" w:eastAsia="zh-CN"/>
        </w:rPr>
        <w:t>和排放速率</w:t>
      </w:r>
      <w:r>
        <w:rPr>
          <w:rFonts w:hint="default" w:ascii="Times New Roman" w:hAnsi="Times New Roman" w:eastAsia="宋体" w:cs="Times New Roman"/>
          <w:b w:val="0"/>
          <w:bCs w:val="0"/>
          <w:color w:val="auto"/>
          <w:sz w:val="24"/>
          <w:szCs w:val="24"/>
          <w:highlight w:val="none"/>
        </w:rPr>
        <w:t>满足《大气污染物综合排放标准》</w:t>
      </w: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GB16297-1996</w:t>
      </w: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表2新污染源大气污染物排放限值</w:t>
      </w:r>
      <w:r>
        <w:rPr>
          <w:rFonts w:hint="default" w:ascii="Times New Roman" w:hAnsi="Times New Roman" w:eastAsia="宋体" w:cs="Times New Roman"/>
          <w:color w:val="auto"/>
          <w:sz w:val="24"/>
          <w:szCs w:val="24"/>
          <w:highlight w:val="none"/>
          <w:lang w:val="en-US" w:eastAsia="zh-CN" w:bidi="ar"/>
        </w:rPr>
        <w:t>。本项目建成投产后对周围环境空气影响较小，不会对区域环境空气质量底线造成冲击。</w:t>
      </w:r>
    </w:p>
    <w:p w14:paraId="092043AE">
      <w:pPr>
        <w:pStyle w:val="47"/>
        <w:keepNext w:val="0"/>
        <w:keepLines w:val="0"/>
        <w:pageBreakBefore w:val="0"/>
        <w:widowControl w:val="0"/>
        <w:numPr>
          <w:ilvl w:val="0"/>
          <w:numId w:val="0"/>
        </w:numPr>
        <w:kinsoku/>
        <w:wordWrap/>
        <w:overflowPunct/>
        <w:topLinePunct w:val="0"/>
        <w:autoSpaceDE w:val="0"/>
        <w:autoSpaceDN w:val="0"/>
        <w:bidi w:val="0"/>
        <w:adjustRightInd w:val="0"/>
        <w:snapToGrid/>
        <w:spacing w:line="480" w:lineRule="exact"/>
        <w:ind w:firstLine="480" w:firstLineChars="200"/>
        <w:jc w:val="both"/>
        <w:textAlignment w:val="auto"/>
        <w:outlineLvl w:val="9"/>
        <w:rPr>
          <w:rFonts w:hint="default" w:ascii="Times New Roman" w:hAnsi="Times New Roman" w:eastAsia="宋体" w:cs="Times New Roman"/>
          <w:b w:val="0"/>
          <w:bCs w:val="0"/>
          <w:color w:val="auto"/>
          <w:kern w:val="0"/>
          <w:sz w:val="24"/>
          <w:szCs w:val="24"/>
          <w:highlight w:val="none"/>
          <w:lang w:val="en-US" w:eastAsia="zh-CN" w:bidi="ar"/>
        </w:rPr>
      </w:pPr>
      <w:r>
        <w:rPr>
          <w:rFonts w:hint="default" w:ascii="Times New Roman" w:hAnsi="Times New Roman" w:eastAsia="宋体" w:cs="Times New Roman"/>
          <w:bCs/>
          <w:color w:val="auto"/>
          <w:sz w:val="24"/>
          <w:szCs w:val="24"/>
          <w:highlight w:val="none"/>
        </w:rPr>
        <w:t>②</w:t>
      </w:r>
      <w:r>
        <w:rPr>
          <w:rFonts w:hint="default" w:ascii="Times New Roman" w:hAnsi="Times New Roman" w:eastAsia="宋体" w:cs="Times New Roman"/>
          <w:b w:val="0"/>
          <w:bCs w:val="0"/>
          <w:color w:val="auto"/>
          <w:kern w:val="0"/>
          <w:sz w:val="24"/>
          <w:szCs w:val="24"/>
          <w:highlight w:val="none"/>
          <w:lang w:val="en-US" w:eastAsia="zh-CN" w:bidi="ar"/>
        </w:rPr>
        <w:t>地表水环境质量底线分析</w:t>
      </w:r>
    </w:p>
    <w:p w14:paraId="696C992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highlight w:val="none"/>
          <w:lang w:val="en-US" w:eastAsia="zh-CN" w:bidi="ar"/>
        </w:rPr>
      </w:pPr>
      <w:r>
        <w:rPr>
          <w:rFonts w:hint="default" w:ascii="Times New Roman" w:hAnsi="Times New Roman" w:eastAsia="宋体" w:cs="Times New Roman"/>
          <w:color w:val="auto"/>
          <w:sz w:val="24"/>
          <w:szCs w:val="24"/>
          <w:highlight w:val="none"/>
          <w:lang w:val="en-US" w:eastAsia="zh-CN"/>
        </w:rPr>
        <w:t>本项目不新增员工，不新增生活污水。厂区现有生活污水经市政污水管网排入</w:t>
      </w:r>
      <w:r>
        <w:rPr>
          <w:rFonts w:hint="eastAsia" w:ascii="Times New Roman" w:hAnsi="Times New Roman" w:eastAsia="宋体" w:cs="Times New Roman"/>
          <w:color w:val="auto"/>
          <w:sz w:val="24"/>
          <w:szCs w:val="24"/>
          <w:highlight w:val="none"/>
          <w:lang w:val="en-US" w:eastAsia="zh-CN"/>
        </w:rPr>
        <w:t>佳木斯</w:t>
      </w:r>
      <w:r>
        <w:rPr>
          <w:rFonts w:hint="default" w:ascii="Times New Roman" w:hAnsi="Times New Roman" w:eastAsia="宋体" w:cs="Times New Roman"/>
          <w:color w:val="auto"/>
          <w:sz w:val="24"/>
          <w:szCs w:val="24"/>
          <w:highlight w:val="none"/>
          <w:lang w:val="en-US" w:eastAsia="zh-CN"/>
        </w:rPr>
        <w:t>污水处理厂处理达标后排</w:t>
      </w:r>
      <w:r>
        <w:rPr>
          <w:rFonts w:hint="eastAsia" w:ascii="Times New Roman" w:hAnsi="Times New Roman" w:eastAsia="宋体" w:cs="Times New Roman"/>
          <w:color w:val="auto"/>
          <w:sz w:val="24"/>
          <w:szCs w:val="24"/>
          <w:highlight w:val="none"/>
          <w:lang w:val="en-US" w:eastAsia="zh-CN"/>
        </w:rPr>
        <w:t>入松花江</w:t>
      </w:r>
      <w:r>
        <w:rPr>
          <w:rFonts w:hint="default" w:ascii="Times New Roman" w:hAnsi="Times New Roman" w:eastAsia="宋体" w:cs="Times New Roman"/>
          <w:color w:val="auto"/>
          <w:sz w:val="24"/>
          <w:szCs w:val="24"/>
          <w:highlight w:val="none"/>
          <w:lang w:val="en-US" w:eastAsia="zh-CN"/>
        </w:rPr>
        <w:t>。本项目运营期锅炉用水来自</w:t>
      </w:r>
      <w:r>
        <w:rPr>
          <w:rFonts w:hint="eastAsia" w:ascii="Times New Roman" w:hAnsi="Times New Roman" w:eastAsia="宋体" w:cs="Times New Roman"/>
          <w:color w:val="auto"/>
          <w:sz w:val="24"/>
          <w:szCs w:val="24"/>
          <w:highlight w:val="none"/>
          <w:lang w:val="en-US" w:eastAsia="zh-CN"/>
        </w:rPr>
        <w:t>佳木斯中恒热电有限公司</w:t>
      </w:r>
      <w:r>
        <w:rPr>
          <w:rFonts w:hint="default" w:ascii="Times New Roman" w:hAnsi="Times New Roman" w:eastAsia="宋体" w:cs="Times New Roman"/>
          <w:color w:val="auto"/>
          <w:sz w:val="24"/>
          <w:szCs w:val="24"/>
          <w:highlight w:val="none"/>
          <w:lang w:val="en-US" w:eastAsia="zh-CN"/>
        </w:rPr>
        <w:t>主热源</w:t>
      </w:r>
      <w:r>
        <w:rPr>
          <w:rFonts w:hint="eastAsia" w:ascii="Times New Roman" w:hAnsi="Times New Roman" w:eastAsia="宋体" w:cs="Times New Roman"/>
          <w:color w:val="auto"/>
          <w:sz w:val="24"/>
          <w:szCs w:val="24"/>
          <w:highlight w:val="none"/>
          <w:lang w:val="en-US" w:eastAsia="zh-CN"/>
        </w:rPr>
        <w:t>现有制</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补水系统，</w:t>
      </w:r>
      <w:r>
        <w:rPr>
          <w:rFonts w:hint="default" w:ascii="Times New Roman" w:hAnsi="Times New Roman" w:eastAsia="宋体" w:cs="Times New Roman"/>
          <w:color w:val="auto"/>
          <w:sz w:val="24"/>
          <w:szCs w:val="24"/>
          <w:highlight w:val="none"/>
          <w:lang w:val="en-US" w:eastAsia="zh-CN"/>
        </w:rPr>
        <w:t>脱硫废水经曝气、沉淀后用于脱硝补水和输煤系统除尘、除渣用水。含煤废水经厂区内现有污水处理间处理，处理工艺为过滤+沉淀+气浮，处理后的废水进入地下水池回用。锅炉排污水、软化水处理废水、处理后的含煤废水用于输煤栈桥冲洗、输煤系统除尘水、</w:t>
      </w:r>
      <w:r>
        <w:rPr>
          <w:rFonts w:hint="eastAsia" w:ascii="Times New Roman" w:hAnsi="Times New Roman" w:eastAsia="宋体" w:cs="Times New Roman"/>
          <w:color w:val="auto"/>
          <w:sz w:val="24"/>
          <w:szCs w:val="24"/>
          <w:highlight w:val="none"/>
          <w:lang w:val="en-US" w:eastAsia="zh-CN"/>
        </w:rPr>
        <w:t>渣库降尘等工序</w:t>
      </w:r>
      <w:r>
        <w:rPr>
          <w:rFonts w:hint="default" w:ascii="Times New Roman" w:hAnsi="Times New Roman" w:eastAsia="宋体" w:cs="Times New Roman"/>
          <w:color w:val="auto"/>
          <w:sz w:val="24"/>
          <w:szCs w:val="24"/>
          <w:highlight w:val="none"/>
          <w:lang w:val="en-US" w:eastAsia="zh-CN"/>
        </w:rPr>
        <w:t>，不外排</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sz w:val="24"/>
          <w:szCs w:val="24"/>
          <w:highlight w:val="none"/>
          <w:lang w:val="en-US" w:eastAsia="zh-CN" w:bidi="ar"/>
        </w:rPr>
        <w:t>本项目建成投产后对周围水环境影响较小，不会对区域水环境质量底线造成冲击。</w:t>
      </w:r>
    </w:p>
    <w:p w14:paraId="026C6A84">
      <w:pPr>
        <w:pStyle w:val="14"/>
        <w:keepNext w:val="0"/>
        <w:keepLines w:val="0"/>
        <w:pageBreakBefore w:val="0"/>
        <w:widowControl w:val="0"/>
        <w:numPr>
          <w:ilvl w:val="0"/>
          <w:numId w:val="0"/>
        </w:numPr>
        <w:kinsoku/>
        <w:wordWrap/>
        <w:overflowPunct/>
        <w:topLinePunct w:val="0"/>
        <w:autoSpaceDE/>
        <w:autoSpaceDN/>
        <w:bidi w:val="0"/>
        <w:snapToGrid/>
        <w:spacing w:after="0" w:line="480" w:lineRule="exact"/>
        <w:ind w:firstLine="480" w:firstLineChars="200"/>
        <w:textAlignment w:val="auto"/>
        <w:rPr>
          <w:rFonts w:hint="default" w:ascii="Times New Roman" w:hAnsi="Times New Roman" w:eastAsia="宋体" w:cs="Times New Roman"/>
          <w:snapToGrid w:val="0"/>
          <w:color w:val="auto"/>
          <w:kern w:val="0"/>
          <w:sz w:val="24"/>
          <w:szCs w:val="24"/>
          <w:highlight w:val="none"/>
          <w:lang w:val="en-US" w:eastAsia="zh-CN"/>
        </w:rPr>
      </w:pPr>
      <w:r>
        <w:rPr>
          <w:rFonts w:hint="default" w:ascii="Times New Roman" w:hAnsi="Times New Roman" w:eastAsia="宋体" w:cs="Times New Roman"/>
          <w:snapToGrid w:val="0"/>
          <w:color w:val="auto"/>
          <w:kern w:val="0"/>
          <w:sz w:val="24"/>
          <w:szCs w:val="24"/>
          <w:highlight w:val="none"/>
          <w:lang w:val="en-US" w:eastAsia="zh-CN"/>
        </w:rPr>
        <w:t>③土壤环境质量底线</w:t>
      </w:r>
    </w:p>
    <w:p w14:paraId="05ACAF4D">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snapToGrid w:val="0"/>
          <w:color w:val="auto"/>
          <w:kern w:val="0"/>
          <w:sz w:val="24"/>
          <w:szCs w:val="24"/>
          <w:highlight w:val="none"/>
        </w:rPr>
        <w:t>本项目</w:t>
      </w:r>
      <w:r>
        <w:rPr>
          <w:rFonts w:hint="default" w:ascii="Times New Roman" w:hAnsi="Times New Roman" w:eastAsia="宋体" w:cs="Times New Roman"/>
          <w:snapToGrid w:val="0"/>
          <w:color w:val="auto"/>
          <w:kern w:val="0"/>
          <w:sz w:val="24"/>
          <w:szCs w:val="24"/>
          <w:highlight w:val="none"/>
          <w:lang w:val="en-US" w:eastAsia="zh-CN"/>
        </w:rPr>
        <w:t>废气污染物中的汞及其化合物</w:t>
      </w:r>
      <w:r>
        <w:rPr>
          <w:rFonts w:hint="default" w:ascii="Times New Roman" w:hAnsi="Times New Roman" w:eastAsia="宋体" w:cs="Times New Roman"/>
          <w:color w:val="auto"/>
          <w:sz w:val="24"/>
          <w:szCs w:val="24"/>
          <w:highlight w:val="none"/>
        </w:rPr>
        <w:t>在大气环境中的</w:t>
      </w:r>
      <w:r>
        <w:rPr>
          <w:rFonts w:hint="default" w:ascii="Times New Roman" w:hAnsi="Times New Roman" w:eastAsia="宋体" w:cs="Times New Roman"/>
          <w:color w:val="auto"/>
          <w:sz w:val="24"/>
          <w:szCs w:val="24"/>
          <w:highlight w:val="none"/>
          <w:lang w:val="en-US" w:eastAsia="zh-CN"/>
        </w:rPr>
        <w:t>排放</w:t>
      </w:r>
      <w:r>
        <w:rPr>
          <w:rFonts w:hint="default" w:ascii="Times New Roman" w:hAnsi="Times New Roman" w:eastAsia="宋体" w:cs="Times New Roman"/>
          <w:color w:val="auto"/>
          <w:sz w:val="24"/>
          <w:szCs w:val="24"/>
          <w:highlight w:val="none"/>
        </w:rPr>
        <w:t>浓度</w:t>
      </w:r>
      <w:r>
        <w:rPr>
          <w:rFonts w:hint="default" w:ascii="Times New Roman" w:hAnsi="Times New Roman" w:eastAsia="宋体" w:cs="Times New Roman"/>
          <w:color w:val="auto"/>
          <w:sz w:val="24"/>
          <w:szCs w:val="24"/>
          <w:highlight w:val="none"/>
          <w:lang w:val="en-US" w:eastAsia="zh-CN"/>
        </w:rPr>
        <w:t>极</w:t>
      </w:r>
      <w:r>
        <w:rPr>
          <w:rFonts w:hint="default" w:ascii="Times New Roman" w:hAnsi="Times New Roman" w:eastAsia="宋体" w:cs="Times New Roman"/>
          <w:color w:val="auto"/>
          <w:sz w:val="24"/>
          <w:szCs w:val="24"/>
          <w:highlight w:val="none"/>
        </w:rPr>
        <w:t>低，在大气沉降过程中影响</w:t>
      </w:r>
      <w:r>
        <w:rPr>
          <w:rFonts w:hint="default" w:ascii="Times New Roman" w:hAnsi="Times New Roman" w:eastAsia="宋体" w:cs="Times New Roman"/>
          <w:color w:val="auto"/>
          <w:sz w:val="24"/>
          <w:szCs w:val="24"/>
          <w:highlight w:val="none"/>
          <w:lang w:val="en-US" w:eastAsia="zh-CN"/>
        </w:rPr>
        <w:t>极小</w:t>
      </w:r>
      <w:r>
        <w:rPr>
          <w:rFonts w:hint="default" w:ascii="Times New Roman" w:hAnsi="Times New Roman" w:eastAsia="宋体" w:cs="Times New Roman"/>
          <w:color w:val="auto"/>
          <w:sz w:val="24"/>
          <w:szCs w:val="24"/>
          <w:highlight w:val="none"/>
        </w:rPr>
        <w:t>。本项目</w:t>
      </w:r>
      <w:r>
        <w:rPr>
          <w:rFonts w:hint="default" w:ascii="Times New Roman" w:hAnsi="Times New Roman" w:eastAsia="宋体" w:cs="Times New Roman"/>
          <w:color w:val="auto"/>
          <w:sz w:val="24"/>
          <w:szCs w:val="24"/>
          <w:highlight w:val="none"/>
          <w:lang w:eastAsia="zh-CN"/>
        </w:rPr>
        <w:t>采取相应的</w:t>
      </w:r>
      <w:r>
        <w:rPr>
          <w:rFonts w:hint="default" w:ascii="Times New Roman" w:hAnsi="Times New Roman" w:eastAsia="宋体" w:cs="Times New Roman"/>
          <w:color w:val="auto"/>
          <w:sz w:val="24"/>
          <w:szCs w:val="24"/>
          <w:highlight w:val="none"/>
        </w:rPr>
        <w:t>防渗措施，有效防止污染物通过入渗途径进入土壤环境造成污染，对于泄漏现象及时发现并采取有效措施停止泄漏，对土壤环境几乎无影响</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本</w:t>
      </w:r>
      <w:r>
        <w:rPr>
          <w:rFonts w:hint="default" w:ascii="Times New Roman" w:hAnsi="Times New Roman" w:eastAsia="宋体" w:cs="Times New Roman"/>
          <w:snapToGrid w:val="0"/>
          <w:color w:val="auto"/>
          <w:kern w:val="0"/>
          <w:sz w:val="24"/>
          <w:szCs w:val="24"/>
          <w:highlight w:val="none"/>
          <w:lang w:val="en-US" w:eastAsia="zh-CN"/>
        </w:rPr>
        <w:t>项目符合</w:t>
      </w:r>
      <w:r>
        <w:rPr>
          <w:rFonts w:hint="default" w:ascii="Times New Roman" w:hAnsi="Times New Roman" w:eastAsia="宋体" w:cs="Times New Roman"/>
          <w:snapToGrid w:val="0"/>
          <w:color w:val="auto"/>
          <w:kern w:val="0"/>
          <w:sz w:val="24"/>
          <w:szCs w:val="24"/>
          <w:highlight w:val="none"/>
        </w:rPr>
        <w:t>土壤环境风险分区管控要求</w:t>
      </w:r>
      <w:r>
        <w:rPr>
          <w:rFonts w:hint="default" w:ascii="Times New Roman" w:hAnsi="Times New Roman" w:eastAsia="宋体" w:cs="Times New Roman"/>
          <w:snapToGrid w:val="0"/>
          <w:color w:val="auto"/>
          <w:kern w:val="0"/>
          <w:sz w:val="24"/>
          <w:szCs w:val="24"/>
          <w:highlight w:val="none"/>
          <w:lang w:eastAsia="zh-CN"/>
        </w:rPr>
        <w:t>。</w:t>
      </w:r>
    </w:p>
    <w:p w14:paraId="3E2E5FB0">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（3）资源利用上线符合性分析</w:t>
      </w:r>
    </w:p>
    <w:p w14:paraId="185A2C5F">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本项目建设在</w:t>
      </w:r>
      <w:r>
        <w:rPr>
          <w:rFonts w:hint="eastAsia" w:ascii="Times New Roman" w:hAnsi="Times New Roman" w:eastAsia="宋体" w:cs="Times New Roman"/>
          <w:color w:val="auto"/>
          <w:highlight w:val="none"/>
          <w:lang w:eastAsia="zh-CN"/>
        </w:rPr>
        <w:t>佳木斯中恒热电有限公司</w:t>
      </w:r>
      <w:r>
        <w:rPr>
          <w:rFonts w:hint="default" w:ascii="Times New Roman" w:hAnsi="Times New Roman" w:eastAsia="宋体" w:cs="Times New Roman"/>
          <w:color w:val="auto"/>
          <w:highlight w:val="none"/>
        </w:rPr>
        <w:t>现有厂区内</w:t>
      </w:r>
      <w:r>
        <w:rPr>
          <w:rFonts w:hint="eastAsia" w:ascii="Times New Roman" w:hAnsi="Times New Roman" w:eastAsia="宋体" w:cs="Times New Roman"/>
          <w:color w:val="auto"/>
          <w:highlight w:val="none"/>
          <w:lang w:eastAsia="zh-CN"/>
        </w:rPr>
        <w:t>，</w:t>
      </w:r>
      <w:r>
        <w:rPr>
          <w:color w:val="auto"/>
          <w:sz w:val="24"/>
          <w:highlight w:val="none"/>
        </w:rPr>
        <w:t>作为调峰锅炉配合</w:t>
      </w:r>
      <w:r>
        <w:rPr>
          <w:rFonts w:hint="eastAsia"/>
          <w:color w:val="auto"/>
          <w:sz w:val="24"/>
          <w:highlight w:val="none"/>
          <w:lang w:eastAsia="zh-CN"/>
        </w:rPr>
        <w:t>佳木斯中恒热电有限公司</w:t>
      </w:r>
      <w:r>
        <w:rPr>
          <w:color w:val="auto"/>
          <w:sz w:val="24"/>
          <w:highlight w:val="none"/>
        </w:rPr>
        <w:t>供热</w:t>
      </w:r>
      <w:r>
        <w:rPr>
          <w:rFonts w:hint="default" w:ascii="Times New Roman" w:hAnsi="Times New Roman" w:eastAsia="宋体" w:cs="Times New Roman"/>
          <w:color w:val="auto"/>
          <w:highlight w:val="none"/>
        </w:rPr>
        <w:t>，充分利用了厂区内原有的公共系统，减少项目投资。灰渣全部外售，尽可能做到合理利用和节能降耗，最大限度地减少物耗、能耗。本项目不新增员工，不新增生活用水，全厂生活用水</w:t>
      </w:r>
      <w:r>
        <w:rPr>
          <w:rFonts w:hint="eastAsia" w:ascii="Times New Roman" w:hAnsi="Times New Roman" w:eastAsia="宋体" w:cs="Times New Roman"/>
          <w:color w:val="auto"/>
          <w:highlight w:val="none"/>
          <w:lang w:val="en-US" w:eastAsia="zh-CN"/>
        </w:rPr>
        <w:t>用厂区内水井供给</w:t>
      </w:r>
      <w:r>
        <w:rPr>
          <w:rFonts w:hint="default" w:ascii="Times New Roman" w:hAnsi="Times New Roman" w:eastAsia="宋体" w:cs="Times New Roman"/>
          <w:color w:val="auto"/>
          <w:highlight w:val="none"/>
        </w:rPr>
        <w:t>，水资源能够满足本项目的使用要求。综上，本项目符合资源利用上限要求。因此本项目符合“三线一单”中资源利用上线的要求。</w:t>
      </w:r>
    </w:p>
    <w:p w14:paraId="722B889D">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（4）生态环境准入清单符合性分析</w:t>
      </w:r>
    </w:p>
    <w:p w14:paraId="4AF5FC80">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选址不在黑龙江省重点生态功能区内，所以不在《黑龙江省重点生态功能区产业准入负面清单（试行版）》要求范围内。本项目设置了有效的污染物排放控制和环境风险防控措施，符合《黑龙江省人民政府关于实施“三线一单”生态环境分区管控意见》（黑政发〔2020〕14号）的要求。根据</w:t>
      </w:r>
      <w:r>
        <w:rPr>
          <w:rFonts w:hint="default" w:ascii="Times New Roman" w:hAnsi="Times New Roman" w:eastAsia="宋体" w:cs="Times New Roman"/>
          <w:color w:val="auto"/>
          <w:highlight w:val="none"/>
          <w:lang w:eastAsia="zh-CN"/>
        </w:rPr>
        <w:t>《佳木斯市生态环境准入清单（2023年版）》</w:t>
      </w:r>
      <w:r>
        <w:rPr>
          <w:rFonts w:hint="default" w:ascii="Times New Roman" w:hAnsi="Times New Roman" w:eastAsia="宋体" w:cs="Times New Roman"/>
          <w:color w:val="auto"/>
          <w:highlight w:val="none"/>
        </w:rPr>
        <w:t>中</w:t>
      </w:r>
      <w:r>
        <w:rPr>
          <w:rFonts w:hint="eastAsia" w:ascii="Times New Roman" w:hAnsi="Times New Roman" w:eastAsia="宋体" w:cs="Times New Roman"/>
          <w:color w:val="auto"/>
          <w:highlight w:val="none"/>
          <w:lang w:val="en-US" w:eastAsia="zh-CN"/>
        </w:rPr>
        <w:t>佳木斯</w:t>
      </w:r>
      <w:r>
        <w:rPr>
          <w:rFonts w:hint="default" w:ascii="Times New Roman" w:hAnsi="Times New Roman" w:eastAsia="宋体" w:cs="Times New Roman"/>
          <w:color w:val="auto"/>
          <w:highlight w:val="none"/>
        </w:rPr>
        <w:t>市</w:t>
      </w:r>
      <w:r>
        <w:rPr>
          <w:rFonts w:hint="eastAsia" w:ascii="Times New Roman" w:hAnsi="Times New Roman" w:eastAsia="宋体" w:cs="Times New Roman"/>
          <w:color w:val="auto"/>
          <w:highlight w:val="none"/>
          <w:lang w:val="en-US" w:eastAsia="zh-CN"/>
        </w:rPr>
        <w:t>郊区</w:t>
      </w:r>
      <w:r>
        <w:rPr>
          <w:rFonts w:hint="default" w:ascii="Times New Roman" w:hAnsi="Times New Roman" w:eastAsia="宋体" w:cs="Times New Roman"/>
          <w:color w:val="auto"/>
          <w:highlight w:val="none"/>
        </w:rPr>
        <w:t>城镇空间管控单元的生态环境准入要求，本项目不属于高污染、高耗能的类型，符合准入清单要求。</w:t>
      </w:r>
    </w:p>
    <w:p w14:paraId="4F3AEFA7">
      <w:pPr>
        <w:ind w:firstLine="480"/>
        <w:rPr>
          <w:rFonts w:hint="default" w:ascii="Times New Roman" w:hAnsi="Times New Roman" w:eastAsia="宋体" w:cs="Times New Roman"/>
          <w:color w:val="auto"/>
          <w:highlight w:val="none"/>
        </w:rPr>
        <w:sectPr>
          <w:footerReference r:id="rId13"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r>
        <w:rPr>
          <w:rFonts w:hint="default" w:ascii="Times New Roman" w:hAnsi="Times New Roman" w:eastAsia="宋体" w:cs="Times New Roman"/>
          <w:color w:val="auto"/>
          <w:highlight w:val="none"/>
        </w:rPr>
        <w:t>综上，本项目建设符合“三线一单”要求。</w:t>
      </w:r>
    </w:p>
    <w:p w14:paraId="12F163A8">
      <w:pPr>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表1.4-</w:t>
      </w:r>
      <w:r>
        <w:rPr>
          <w:rFonts w:hint="eastAsia"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 xml:space="preserve">  本项目与</w:t>
      </w:r>
      <w:r>
        <w:rPr>
          <w:rFonts w:hint="eastAsia" w:ascii="Times New Roman" w:hAnsi="Times New Roman" w:eastAsia="宋体" w:cs="Times New Roman"/>
          <w:color w:val="auto"/>
          <w:highlight w:val="none"/>
          <w:lang w:val="en-US" w:eastAsia="zh-CN"/>
        </w:rPr>
        <w:t>佳木斯</w:t>
      </w:r>
      <w:r>
        <w:rPr>
          <w:rFonts w:hint="eastAsia" w:ascii="Times New Roman" w:hAnsi="Times New Roman" w:eastAsia="宋体" w:cs="Times New Roman"/>
          <w:color w:val="auto"/>
          <w:highlight w:val="none"/>
          <w:lang w:eastAsia="zh-CN"/>
        </w:rPr>
        <w:t>市</w:t>
      </w:r>
      <w:r>
        <w:rPr>
          <w:rFonts w:hint="eastAsia" w:ascii="Times New Roman" w:hAnsi="Times New Roman" w:eastAsia="宋体" w:cs="Times New Roman"/>
          <w:color w:val="auto"/>
          <w:highlight w:val="none"/>
          <w:lang w:val="en-US" w:eastAsia="zh-CN"/>
        </w:rPr>
        <w:t>郊区</w:t>
      </w:r>
      <w:r>
        <w:rPr>
          <w:rFonts w:hint="default" w:ascii="Times New Roman" w:hAnsi="Times New Roman" w:eastAsia="宋体" w:cs="Times New Roman"/>
          <w:color w:val="auto"/>
          <w:highlight w:val="none"/>
        </w:rPr>
        <w:t>生态环境管控要求的符合性分析</w:t>
      </w:r>
    </w:p>
    <w:tbl>
      <w:tblPr>
        <w:tblStyle w:val="37"/>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84"/>
        <w:gridCol w:w="1035"/>
        <w:gridCol w:w="914"/>
        <w:gridCol w:w="453"/>
        <w:gridCol w:w="6102"/>
        <w:gridCol w:w="3644"/>
        <w:gridCol w:w="938"/>
      </w:tblGrid>
      <w:tr w14:paraId="4BB9EC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84" w:type="dxa"/>
            <w:shd w:val="clear" w:color="auto" w:fill="auto"/>
            <w:tcMar>
              <w:left w:w="57" w:type="dxa"/>
              <w:right w:w="57" w:type="dxa"/>
            </w:tcMar>
            <w:vAlign w:val="center"/>
          </w:tcPr>
          <w:p w14:paraId="003FA79D">
            <w:pPr>
              <w:keepNext w:val="0"/>
              <w:keepLines w:val="0"/>
              <w:pageBreakBefore w:val="0"/>
              <w:widowControl/>
              <w:kinsoku/>
              <w:wordWrap/>
              <w:overflowPunct/>
              <w:topLinePunct w:val="0"/>
              <w:bidi w:val="0"/>
              <w:snapToGrid/>
              <w:spacing w:line="240" w:lineRule="auto"/>
              <w:ind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eastAsia="宋体" w:cs="Times New Roman"/>
                <w:b w:val="0"/>
                <w:bCs/>
                <w:color w:val="auto"/>
                <w:kern w:val="0"/>
                <w:sz w:val="21"/>
                <w:szCs w:val="21"/>
                <w:highlight w:val="none"/>
              </w:rPr>
              <w:t>环境管控单元编码</w:t>
            </w:r>
          </w:p>
        </w:tc>
        <w:tc>
          <w:tcPr>
            <w:tcW w:w="1035" w:type="dxa"/>
            <w:shd w:val="clear" w:color="auto" w:fill="auto"/>
            <w:tcMar>
              <w:left w:w="57" w:type="dxa"/>
              <w:right w:w="57" w:type="dxa"/>
            </w:tcMar>
            <w:vAlign w:val="center"/>
          </w:tcPr>
          <w:p w14:paraId="2F81D6B4">
            <w:pPr>
              <w:keepNext w:val="0"/>
              <w:keepLines w:val="0"/>
              <w:pageBreakBefore w:val="0"/>
              <w:widowControl/>
              <w:kinsoku/>
              <w:wordWrap/>
              <w:overflowPunct/>
              <w:topLinePunct w:val="0"/>
              <w:bidi w:val="0"/>
              <w:snapToGrid/>
              <w:spacing w:line="240" w:lineRule="auto"/>
              <w:ind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eastAsia="宋体" w:cs="Times New Roman"/>
                <w:b w:val="0"/>
                <w:bCs/>
                <w:color w:val="auto"/>
                <w:kern w:val="0"/>
                <w:sz w:val="21"/>
                <w:szCs w:val="21"/>
                <w:highlight w:val="none"/>
              </w:rPr>
              <w:t>环境管控单元名称</w:t>
            </w:r>
          </w:p>
        </w:tc>
        <w:tc>
          <w:tcPr>
            <w:tcW w:w="914" w:type="dxa"/>
            <w:shd w:val="clear" w:color="auto" w:fill="auto"/>
            <w:vAlign w:val="center"/>
          </w:tcPr>
          <w:p w14:paraId="69280A2D">
            <w:pPr>
              <w:keepNext w:val="0"/>
              <w:keepLines w:val="0"/>
              <w:pageBreakBefore w:val="0"/>
              <w:widowControl/>
              <w:kinsoku/>
              <w:wordWrap/>
              <w:overflowPunct/>
              <w:topLinePunct w:val="0"/>
              <w:bidi w:val="0"/>
              <w:snapToGrid/>
              <w:spacing w:line="240" w:lineRule="auto"/>
              <w:ind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eastAsia="宋体" w:cs="Times New Roman"/>
                <w:b w:val="0"/>
                <w:bCs/>
                <w:color w:val="auto"/>
                <w:kern w:val="0"/>
                <w:sz w:val="21"/>
                <w:szCs w:val="21"/>
                <w:highlight w:val="none"/>
              </w:rPr>
              <w:t>管控单元类别</w:t>
            </w:r>
          </w:p>
        </w:tc>
        <w:tc>
          <w:tcPr>
            <w:tcW w:w="6555" w:type="dxa"/>
            <w:gridSpan w:val="2"/>
            <w:shd w:val="clear" w:color="auto" w:fill="auto"/>
            <w:vAlign w:val="center"/>
          </w:tcPr>
          <w:p w14:paraId="063C5B93">
            <w:pPr>
              <w:keepNext w:val="0"/>
              <w:keepLines w:val="0"/>
              <w:pageBreakBefore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rPr>
              <w:t>管控要求</w:t>
            </w:r>
          </w:p>
        </w:tc>
        <w:tc>
          <w:tcPr>
            <w:tcW w:w="3644" w:type="dxa"/>
            <w:shd w:val="clear" w:color="auto" w:fill="auto"/>
            <w:vAlign w:val="center"/>
          </w:tcPr>
          <w:p w14:paraId="2745C16F">
            <w:pPr>
              <w:keepNext w:val="0"/>
              <w:keepLines w:val="0"/>
              <w:pageBreakBefore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rPr>
              <w:t xml:space="preserve">本项目情况 </w:t>
            </w:r>
          </w:p>
        </w:tc>
        <w:tc>
          <w:tcPr>
            <w:tcW w:w="938" w:type="dxa"/>
            <w:shd w:val="clear" w:color="auto" w:fill="auto"/>
            <w:tcMar>
              <w:left w:w="57" w:type="dxa"/>
              <w:right w:w="57" w:type="dxa"/>
            </w:tcMar>
            <w:vAlign w:val="center"/>
          </w:tcPr>
          <w:p w14:paraId="2E4C4B09">
            <w:pPr>
              <w:keepNext w:val="0"/>
              <w:keepLines w:val="0"/>
              <w:pageBreakBefore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rPr>
              <w:t>符合性分析</w:t>
            </w:r>
          </w:p>
        </w:tc>
      </w:tr>
      <w:tr w14:paraId="27859A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84" w:type="dxa"/>
            <w:vMerge w:val="restart"/>
            <w:shd w:val="clear" w:color="auto" w:fill="auto"/>
            <w:tcMar>
              <w:left w:w="57" w:type="dxa"/>
              <w:right w:w="57" w:type="dxa"/>
            </w:tcMar>
            <w:vAlign w:val="center"/>
          </w:tcPr>
          <w:p w14:paraId="29130F3F">
            <w:pPr>
              <w:keepNext w:val="0"/>
              <w:keepLines w:val="0"/>
              <w:pageBreakBefore w:val="0"/>
              <w:widowControl/>
              <w:kinsoku/>
              <w:wordWrap/>
              <w:overflowPunct/>
              <w:topLinePunct w:val="0"/>
              <w:bidi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ZH23081120003</w:t>
            </w:r>
          </w:p>
        </w:tc>
        <w:tc>
          <w:tcPr>
            <w:tcW w:w="1035" w:type="dxa"/>
            <w:vMerge w:val="restart"/>
            <w:shd w:val="clear" w:color="auto" w:fill="auto"/>
            <w:vAlign w:val="center"/>
          </w:tcPr>
          <w:p w14:paraId="31D37EF1">
            <w:pPr>
              <w:keepNext w:val="0"/>
              <w:keepLines w:val="0"/>
              <w:pageBreakBefore w:val="0"/>
              <w:widowControl/>
              <w:kinsoku/>
              <w:wordWrap/>
              <w:overflowPunct/>
              <w:topLinePunct w:val="0"/>
              <w:bidi w:val="0"/>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郊区城镇空间</w:t>
            </w:r>
          </w:p>
        </w:tc>
        <w:tc>
          <w:tcPr>
            <w:tcW w:w="914" w:type="dxa"/>
            <w:vMerge w:val="restart"/>
            <w:shd w:val="clear" w:color="auto" w:fill="auto"/>
            <w:vAlign w:val="center"/>
          </w:tcPr>
          <w:p w14:paraId="0D839932">
            <w:pPr>
              <w:keepNext w:val="0"/>
              <w:keepLines w:val="0"/>
              <w:pageBreakBefore w:val="0"/>
              <w:widowControl/>
              <w:kinsoku/>
              <w:wordWrap/>
              <w:overflowPunct/>
              <w:topLinePunct w:val="0"/>
              <w:bidi w:val="0"/>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重点管控单元</w:t>
            </w:r>
          </w:p>
        </w:tc>
        <w:tc>
          <w:tcPr>
            <w:tcW w:w="453" w:type="dxa"/>
            <w:shd w:val="clear" w:color="auto" w:fill="auto"/>
            <w:vAlign w:val="center"/>
          </w:tcPr>
          <w:p w14:paraId="3865A510">
            <w:pPr>
              <w:keepNext w:val="0"/>
              <w:keepLines w:val="0"/>
              <w:pageBreakBefore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rPr>
              <w:t>空间布局约束</w:t>
            </w:r>
          </w:p>
        </w:tc>
        <w:tc>
          <w:tcPr>
            <w:tcW w:w="6102" w:type="dxa"/>
            <w:shd w:val="clear" w:color="auto" w:fill="auto"/>
            <w:vAlign w:val="center"/>
          </w:tcPr>
          <w:p w14:paraId="201EFF32">
            <w:pPr>
              <w:keepNext w:val="0"/>
              <w:keepLines w:val="0"/>
              <w:pageBreakBefore w:val="0"/>
              <w:widowControl/>
              <w:numPr>
                <w:ilvl w:val="0"/>
                <w:numId w:val="5"/>
              </w:numPr>
              <w:kinsoku/>
              <w:wordWrap/>
              <w:overflowPunct/>
              <w:topLinePunct w:val="0"/>
              <w:autoSpaceDE/>
              <w:autoSpaceDN/>
              <w:bidi w:val="0"/>
              <w:adjustRightInd w:val="0"/>
              <w:snapToGrid w:val="0"/>
              <w:spacing w:after="0" w:line="240" w:lineRule="auto"/>
              <w:ind w:left="0" w:leftChars="0" w:right="0"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执行：</w:t>
            </w:r>
          </w:p>
          <w:p w14:paraId="24F680DD">
            <w:pPr>
              <w:keepNext w:val="0"/>
              <w:keepLines w:val="0"/>
              <w:pageBreakBefore w:val="0"/>
              <w:widowControl/>
              <w:numPr>
                <w:ilvl w:val="0"/>
                <w:numId w:val="0"/>
              </w:numPr>
              <w:kinsoku/>
              <w:wordWrap/>
              <w:overflowPunct/>
              <w:topLinePunct w:val="0"/>
              <w:autoSpaceDE/>
              <w:autoSpaceDN/>
              <w:bidi w:val="0"/>
              <w:adjustRightInd w:val="0"/>
              <w:snapToGrid w:val="0"/>
              <w:spacing w:after="0" w:line="240" w:lineRule="auto"/>
              <w:ind w:leftChars="0" w:right="0" w:rightChars="0"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①严禁在人口密集区新建危险化学品生产项目，城镇人口密集区危险化学品生产企业应搬迁改造。</w:t>
            </w:r>
          </w:p>
          <w:p w14:paraId="34389245">
            <w:pPr>
              <w:keepNext w:val="0"/>
              <w:keepLines w:val="0"/>
              <w:pageBreakBefore w:val="0"/>
              <w:widowControl/>
              <w:numPr>
                <w:ilvl w:val="0"/>
                <w:numId w:val="0"/>
              </w:numPr>
              <w:kinsoku/>
              <w:wordWrap/>
              <w:overflowPunct/>
              <w:topLinePunct w:val="0"/>
              <w:autoSpaceDE/>
              <w:autoSpaceDN/>
              <w:bidi w:val="0"/>
              <w:adjustRightInd w:val="0"/>
              <w:snapToGrid w:val="0"/>
              <w:spacing w:after="0" w:line="240" w:lineRule="auto"/>
              <w:ind w:leftChars="0" w:right="0" w:rightChars="0"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②禁止在城镇居民区、文化教育科学研究区等人口集中区域建设畜禽养殖场、养殖小区。</w:t>
            </w:r>
          </w:p>
          <w:p w14:paraId="31382D3A">
            <w:pPr>
              <w:keepNext w:val="0"/>
              <w:keepLines w:val="0"/>
              <w:pageBreakBefore w:val="0"/>
              <w:widowControl/>
              <w:numPr>
                <w:ilvl w:val="0"/>
                <w:numId w:val="5"/>
              </w:numPr>
              <w:kinsoku/>
              <w:wordWrap/>
              <w:overflowPunct/>
              <w:topLinePunct w:val="0"/>
              <w:autoSpaceDE/>
              <w:autoSpaceDN/>
              <w:bidi w:val="0"/>
              <w:adjustRightInd w:val="0"/>
              <w:snapToGrid w:val="0"/>
              <w:spacing w:after="0" w:line="240" w:lineRule="auto"/>
              <w:ind w:left="0" w:leftChars="0" w:right="0" w:firstLine="0" w:firstLineChars="0"/>
              <w:jc w:val="both"/>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lang w:val="en-US" w:eastAsia="zh-CN"/>
              </w:rPr>
              <w:t>大气环境布局敏感重点管控区同时执行：</w:t>
            </w:r>
          </w:p>
          <w:p w14:paraId="7577B7D6">
            <w:pPr>
              <w:keepNext w:val="0"/>
              <w:keepLines w:val="0"/>
              <w:pageBreakBefore w:val="0"/>
              <w:widowControl/>
              <w:numPr>
                <w:ilvl w:val="0"/>
                <w:numId w:val="0"/>
              </w:numPr>
              <w:kinsoku/>
              <w:wordWrap/>
              <w:overflowPunct/>
              <w:topLinePunct w:val="0"/>
              <w:autoSpaceDE/>
              <w:autoSpaceDN/>
              <w:bidi w:val="0"/>
              <w:adjustRightInd w:val="0"/>
              <w:snapToGrid w:val="0"/>
              <w:spacing w:after="0" w:line="240" w:lineRule="auto"/>
              <w:ind w:leftChars="0" w:right="0" w:rightChars="0"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①严控“两高”行业产能。严格执行钢铁、水泥、平板玻璃等行业产能置换实施办法。</w:t>
            </w:r>
          </w:p>
          <w:p w14:paraId="68CCF29D">
            <w:pPr>
              <w:keepNext w:val="0"/>
              <w:keepLines w:val="0"/>
              <w:pageBreakBefore w:val="0"/>
              <w:widowControl/>
              <w:numPr>
                <w:ilvl w:val="0"/>
                <w:numId w:val="0"/>
              </w:numPr>
              <w:kinsoku/>
              <w:wordWrap/>
              <w:overflowPunct/>
              <w:topLinePunct w:val="0"/>
              <w:autoSpaceDE/>
              <w:autoSpaceDN/>
              <w:bidi w:val="0"/>
              <w:adjustRightInd w:val="0"/>
              <w:snapToGrid w:val="0"/>
              <w:spacing w:after="0" w:line="240" w:lineRule="auto"/>
              <w:ind w:leftChars="0" w:right="0" w:rightChars="0" w:firstLine="420" w:firstLineChars="200"/>
              <w:jc w:val="both"/>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lang w:val="en-US" w:eastAsia="zh-CN"/>
              </w:rPr>
              <w:t>②利用水泥窑协同处置城市生活垃圾、危险废弃物、电石渣等固废伴生水泥项目，必须依托现有新型干法水泥熟料生产线进行不扩产能改造。</w:t>
            </w:r>
          </w:p>
        </w:tc>
        <w:tc>
          <w:tcPr>
            <w:tcW w:w="3644" w:type="dxa"/>
            <w:shd w:val="clear" w:color="auto" w:fill="auto"/>
            <w:vAlign w:val="center"/>
          </w:tcPr>
          <w:p w14:paraId="7FCBC57F">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firstLine="0" w:firstLineChars="0"/>
              <w:jc w:val="both"/>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本项目</w:t>
            </w:r>
            <w:r>
              <w:rPr>
                <w:rFonts w:hint="eastAsia" w:ascii="Times New Roman" w:hAnsi="Times New Roman" w:eastAsia="宋体" w:cs="Times New Roman"/>
                <w:color w:val="auto"/>
                <w:kern w:val="0"/>
                <w:sz w:val="21"/>
                <w:szCs w:val="21"/>
                <w:highlight w:val="none"/>
                <w:lang w:eastAsia="zh-CN"/>
              </w:rPr>
              <w:t>为热力生产和供应业</w:t>
            </w:r>
            <w:r>
              <w:rPr>
                <w:rFonts w:hint="default" w:ascii="Times New Roman" w:hAnsi="Times New Roman" w:eastAsia="宋体" w:cs="Times New Roman"/>
                <w:color w:val="auto"/>
                <w:kern w:val="0"/>
                <w:sz w:val="21"/>
                <w:szCs w:val="21"/>
                <w:highlight w:val="none"/>
              </w:rPr>
              <w:t>不属于</w:t>
            </w:r>
            <w:r>
              <w:rPr>
                <w:rFonts w:hint="eastAsia" w:ascii="Times New Roman" w:hAnsi="Times New Roman" w:eastAsia="宋体" w:cs="Times New Roman"/>
                <w:color w:val="auto"/>
                <w:kern w:val="0"/>
                <w:sz w:val="21"/>
                <w:szCs w:val="21"/>
                <w:highlight w:val="none"/>
                <w:lang w:val="en-US" w:eastAsia="zh-CN"/>
              </w:rPr>
              <w:t>上述提到的项目</w:t>
            </w:r>
            <w:r>
              <w:rPr>
                <w:rFonts w:hint="default" w:ascii="Times New Roman" w:hAnsi="Times New Roman" w:eastAsia="宋体" w:cs="Times New Roman"/>
                <w:color w:val="auto"/>
                <w:kern w:val="0"/>
                <w:sz w:val="21"/>
                <w:szCs w:val="21"/>
                <w:highlight w:val="none"/>
              </w:rPr>
              <w:t>。</w:t>
            </w:r>
          </w:p>
          <w:p w14:paraId="738038AD">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firstLine="0" w:firstLineChars="0"/>
              <w:jc w:val="both"/>
              <w:textAlignment w:val="auto"/>
              <w:rPr>
                <w:rFonts w:hint="default" w:ascii="Times New Roman" w:hAnsi="Times New Roman" w:eastAsia="宋体" w:cs="Times New Roman"/>
                <w:color w:val="auto"/>
                <w:kern w:val="0"/>
                <w:sz w:val="21"/>
                <w:szCs w:val="21"/>
                <w:highlight w:val="none"/>
              </w:rPr>
            </w:pPr>
          </w:p>
        </w:tc>
        <w:tc>
          <w:tcPr>
            <w:tcW w:w="938" w:type="dxa"/>
            <w:shd w:val="clear" w:color="auto" w:fill="auto"/>
            <w:tcMar>
              <w:left w:w="57" w:type="dxa"/>
              <w:right w:w="57" w:type="dxa"/>
            </w:tcMar>
            <w:vAlign w:val="center"/>
          </w:tcPr>
          <w:p w14:paraId="6F02161C">
            <w:pPr>
              <w:keepNext w:val="0"/>
              <w:keepLines w:val="0"/>
              <w:pageBreakBefore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rPr>
              <w:t>符合</w:t>
            </w:r>
          </w:p>
        </w:tc>
      </w:tr>
      <w:tr w14:paraId="5F075C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84" w:type="dxa"/>
            <w:vMerge w:val="continue"/>
            <w:shd w:val="clear" w:color="auto" w:fill="auto"/>
            <w:tcMar>
              <w:left w:w="57" w:type="dxa"/>
              <w:right w:w="57" w:type="dxa"/>
            </w:tcMar>
            <w:vAlign w:val="center"/>
          </w:tcPr>
          <w:p w14:paraId="5E81A78D">
            <w:pPr>
              <w:keepNext w:val="0"/>
              <w:keepLines w:val="0"/>
              <w:pageBreakBefore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color w:val="auto"/>
                <w:kern w:val="0"/>
                <w:sz w:val="21"/>
                <w:szCs w:val="21"/>
                <w:highlight w:val="none"/>
              </w:rPr>
            </w:pPr>
          </w:p>
        </w:tc>
        <w:tc>
          <w:tcPr>
            <w:tcW w:w="1035" w:type="dxa"/>
            <w:vMerge w:val="continue"/>
            <w:shd w:val="clear" w:color="auto" w:fill="auto"/>
            <w:vAlign w:val="center"/>
          </w:tcPr>
          <w:p w14:paraId="1C6F83CF">
            <w:pPr>
              <w:keepNext w:val="0"/>
              <w:keepLines w:val="0"/>
              <w:pageBreakBefore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eastAsia="宋体" w:cs="Times New Roman"/>
                <w:b w:val="0"/>
                <w:bCs/>
                <w:color w:val="auto"/>
                <w:kern w:val="0"/>
                <w:sz w:val="21"/>
                <w:szCs w:val="21"/>
                <w:highlight w:val="none"/>
              </w:rPr>
            </w:pPr>
          </w:p>
        </w:tc>
        <w:tc>
          <w:tcPr>
            <w:tcW w:w="914" w:type="dxa"/>
            <w:vMerge w:val="continue"/>
            <w:shd w:val="clear" w:color="auto" w:fill="auto"/>
            <w:vAlign w:val="center"/>
          </w:tcPr>
          <w:p w14:paraId="254CE4CC">
            <w:pPr>
              <w:keepNext w:val="0"/>
              <w:keepLines w:val="0"/>
              <w:pageBreakBefore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color w:val="auto"/>
                <w:kern w:val="0"/>
                <w:sz w:val="21"/>
                <w:szCs w:val="21"/>
                <w:highlight w:val="none"/>
              </w:rPr>
            </w:pPr>
          </w:p>
        </w:tc>
        <w:tc>
          <w:tcPr>
            <w:tcW w:w="453" w:type="dxa"/>
            <w:shd w:val="clear" w:color="auto" w:fill="auto"/>
            <w:vAlign w:val="center"/>
          </w:tcPr>
          <w:p w14:paraId="6DA867B9">
            <w:pPr>
              <w:keepNext w:val="0"/>
              <w:keepLines w:val="0"/>
              <w:pageBreakBefore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rPr>
              <w:t>污染物排放管控</w:t>
            </w:r>
          </w:p>
        </w:tc>
        <w:tc>
          <w:tcPr>
            <w:tcW w:w="6102" w:type="dxa"/>
            <w:shd w:val="clear" w:color="auto" w:fill="auto"/>
            <w:vAlign w:val="center"/>
          </w:tcPr>
          <w:p w14:paraId="34F6208A">
            <w:pPr>
              <w:keepNext w:val="0"/>
              <w:keepLines w:val="0"/>
              <w:pageBreakBefore w:val="0"/>
              <w:widowControl/>
              <w:numPr>
                <w:ilvl w:val="0"/>
                <w:numId w:val="6"/>
              </w:numPr>
              <w:kinsoku/>
              <w:wordWrap/>
              <w:overflowPunct/>
              <w:topLinePunct w:val="0"/>
              <w:autoSpaceDE/>
              <w:autoSpaceDN/>
              <w:bidi w:val="0"/>
              <w:adjustRightInd/>
              <w:snapToGrid/>
              <w:spacing w:after="0" w:line="240" w:lineRule="auto"/>
              <w:ind w:left="0" w:leftChars="0" w:right="0" w:firstLine="0" w:firstLineChars="0"/>
              <w:jc w:val="both"/>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执行：加快 65t</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h 以上燃煤锅炉（含电力）超低排放改造。</w:t>
            </w:r>
          </w:p>
          <w:p w14:paraId="00EB47B3">
            <w:pPr>
              <w:keepNext w:val="0"/>
              <w:keepLines w:val="0"/>
              <w:pageBreakBefore w:val="0"/>
              <w:widowControl/>
              <w:numPr>
                <w:ilvl w:val="0"/>
                <w:numId w:val="6"/>
              </w:numPr>
              <w:kinsoku/>
              <w:wordWrap/>
              <w:overflowPunct/>
              <w:topLinePunct w:val="0"/>
              <w:autoSpaceDE/>
              <w:autoSpaceDN/>
              <w:bidi w:val="0"/>
              <w:adjustRightInd/>
              <w:snapToGrid/>
              <w:spacing w:after="0" w:line="240" w:lineRule="auto"/>
              <w:ind w:left="0" w:leftChars="0" w:right="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大气环境布局敏感重点管控区同时执行：</w:t>
            </w:r>
          </w:p>
          <w:p w14:paraId="5FACC470">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Chars="0" w:right="0" w:rightChars="0" w:firstLine="420" w:firstLineChars="200"/>
              <w:jc w:val="both"/>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①对以煤、石焦油、渣油、重油等为燃料的锅炉和工业炉窑，加快使用清洁低碳能源以及工厂余热、电力热力等进行替代。</w:t>
            </w:r>
          </w:p>
          <w:p w14:paraId="17E979DD">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Chars="0" w:right="0" w:rightChars="0" w:firstLine="420" w:firstLineChars="20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②到2025年，在用65蒸吨/小时以上的燃煤锅炉（含电力）实现超低排放，钢铁企业基本实现超低排放。</w:t>
            </w:r>
          </w:p>
          <w:p w14:paraId="5ED814E7">
            <w:pPr>
              <w:keepNext w:val="0"/>
              <w:keepLines w:val="0"/>
              <w:pageBreakBefore w:val="0"/>
              <w:widowControl/>
              <w:kinsoku/>
              <w:wordWrap/>
              <w:overflowPunct/>
              <w:topLinePunct w:val="0"/>
              <w:autoSpaceDE/>
              <w:autoSpaceDN/>
              <w:bidi w:val="0"/>
              <w:adjustRightInd/>
              <w:snapToGrid/>
              <w:spacing w:after="0" w:line="240" w:lineRule="auto"/>
              <w:ind w:right="0"/>
              <w:jc w:val="center"/>
              <w:textAlignment w:val="auto"/>
              <w:outlineLvl w:val="9"/>
              <w:rPr>
                <w:rFonts w:hint="default" w:ascii="Times New Roman" w:hAnsi="Times New Roman" w:eastAsia="宋体" w:cs="Times New Roman"/>
                <w:b w:val="0"/>
                <w:bCs/>
                <w:color w:val="auto"/>
                <w:sz w:val="21"/>
                <w:szCs w:val="21"/>
                <w:highlight w:val="none"/>
              </w:rPr>
            </w:pPr>
          </w:p>
        </w:tc>
        <w:tc>
          <w:tcPr>
            <w:tcW w:w="3644" w:type="dxa"/>
            <w:shd w:val="clear" w:color="auto" w:fill="auto"/>
            <w:vAlign w:val="center"/>
          </w:tcPr>
          <w:p w14:paraId="5A117F2A">
            <w:pPr>
              <w:keepNext w:val="0"/>
              <w:keepLines w:val="0"/>
              <w:pageBreakBefore w:val="0"/>
              <w:kinsoku/>
              <w:wordWrap/>
              <w:overflowPunct/>
              <w:topLinePunct w:val="0"/>
              <w:autoSpaceDE w:val="0"/>
              <w:autoSpaceDN w:val="0"/>
              <w:bidi w:val="0"/>
              <w:adjustRightInd w:val="0"/>
              <w:snapToGrid/>
              <w:spacing w:line="240" w:lineRule="auto"/>
              <w:ind w:firstLine="0" w:firstLineChars="0"/>
              <w:jc w:val="center"/>
              <w:textAlignment w:val="auto"/>
              <w:rPr>
                <w:rFonts w:hint="default"/>
                <w:color w:val="auto"/>
                <w:highlight w:val="none"/>
                <w:lang w:val="en-US" w:eastAsia="zh-CN"/>
              </w:rPr>
            </w:pPr>
            <w:r>
              <w:rPr>
                <w:rFonts w:hint="default" w:ascii="Times New Roman" w:hAnsi="Times New Roman" w:eastAsia="宋体" w:cs="Times New Roman"/>
                <w:b w:val="0"/>
                <w:bCs/>
                <w:color w:val="auto"/>
                <w:kern w:val="0"/>
                <w:sz w:val="21"/>
                <w:szCs w:val="21"/>
                <w:highlight w:val="none"/>
                <w:lang w:eastAsia="zh-CN"/>
              </w:rPr>
              <w:t>本项目</w:t>
            </w:r>
            <w:r>
              <w:rPr>
                <w:rFonts w:hint="eastAsia" w:ascii="Times New Roman" w:hAnsi="Times New Roman" w:eastAsia="宋体" w:cs="Times New Roman"/>
                <w:b w:val="0"/>
                <w:bCs/>
                <w:color w:val="auto"/>
                <w:kern w:val="0"/>
                <w:sz w:val="21"/>
                <w:szCs w:val="21"/>
                <w:highlight w:val="none"/>
                <w:lang w:val="en-US" w:eastAsia="zh-CN"/>
              </w:rPr>
              <w:t>5#锅炉烟气治理措施采用“炉内喷钙+氨法脱硫+SNCR+亚氯酸钠脱硝+袋式除尘器”，并安装锅炉烟气在线监测系统，锅炉烟气污染物排放浓度满足《关于印发〈全面实施燃煤电厂超低排放和节能改造工作方案〉的通知》（环发〔2015〕164号）要求，达到超低排放限值（在基准氧含量6%条件下，烟尘、SO</w:t>
            </w:r>
            <w:r>
              <w:rPr>
                <w:rFonts w:hint="eastAsia" w:ascii="Times New Roman" w:hAnsi="Times New Roman" w:eastAsia="宋体" w:cs="Times New Roman"/>
                <w:b w:val="0"/>
                <w:bCs/>
                <w:color w:val="auto"/>
                <w:kern w:val="0"/>
                <w:sz w:val="21"/>
                <w:szCs w:val="21"/>
                <w:highlight w:val="none"/>
                <w:vertAlign w:val="subscript"/>
                <w:lang w:val="en-US" w:eastAsia="zh-CN"/>
              </w:rPr>
              <w:t>2</w:t>
            </w:r>
            <w:r>
              <w:rPr>
                <w:rFonts w:hint="eastAsia" w:ascii="Times New Roman" w:hAnsi="Times New Roman" w:eastAsia="宋体" w:cs="Times New Roman"/>
                <w:b w:val="0"/>
                <w:bCs/>
                <w:color w:val="auto"/>
                <w:kern w:val="0"/>
                <w:sz w:val="21"/>
                <w:szCs w:val="21"/>
                <w:highlight w:val="none"/>
                <w:lang w:val="en-US" w:eastAsia="zh-CN"/>
              </w:rPr>
              <w:t>、NO</w:t>
            </w:r>
            <w:r>
              <w:rPr>
                <w:rFonts w:hint="eastAsia" w:ascii="Times New Roman" w:hAnsi="Times New Roman" w:eastAsia="宋体" w:cs="Times New Roman"/>
                <w:b w:val="0"/>
                <w:bCs/>
                <w:color w:val="auto"/>
                <w:kern w:val="0"/>
                <w:sz w:val="21"/>
                <w:szCs w:val="21"/>
                <w:highlight w:val="none"/>
                <w:vertAlign w:val="subscript"/>
                <w:lang w:val="en-US" w:eastAsia="zh-CN"/>
              </w:rPr>
              <w:t>X</w:t>
            </w:r>
            <w:r>
              <w:rPr>
                <w:rFonts w:hint="eastAsia" w:ascii="Times New Roman" w:hAnsi="Times New Roman" w:eastAsia="宋体" w:cs="Times New Roman"/>
                <w:b w:val="0"/>
                <w:bCs/>
                <w:color w:val="auto"/>
                <w:kern w:val="0"/>
                <w:sz w:val="21"/>
                <w:szCs w:val="21"/>
                <w:highlight w:val="none"/>
                <w:lang w:val="en-US" w:eastAsia="zh-CN"/>
              </w:rPr>
              <w:t>排放浓度分别不高于10mg/m</w:t>
            </w:r>
            <w:r>
              <w:rPr>
                <w:rFonts w:hint="eastAsia" w:ascii="Times New Roman" w:hAnsi="Times New Roman" w:eastAsia="宋体" w:cs="Times New Roman"/>
                <w:b w:val="0"/>
                <w:bCs/>
                <w:color w:val="auto"/>
                <w:kern w:val="0"/>
                <w:sz w:val="21"/>
                <w:szCs w:val="21"/>
                <w:highlight w:val="none"/>
                <w:vertAlign w:val="superscript"/>
                <w:lang w:val="en-US" w:eastAsia="zh-CN"/>
              </w:rPr>
              <w:t>3</w:t>
            </w:r>
            <w:r>
              <w:rPr>
                <w:rFonts w:hint="eastAsia" w:ascii="Times New Roman" w:hAnsi="Times New Roman" w:eastAsia="宋体" w:cs="Times New Roman"/>
                <w:b w:val="0"/>
                <w:bCs/>
                <w:color w:val="auto"/>
                <w:kern w:val="0"/>
                <w:sz w:val="21"/>
                <w:szCs w:val="21"/>
                <w:highlight w:val="none"/>
                <w:lang w:val="en-US" w:eastAsia="zh-CN"/>
              </w:rPr>
              <w:t>、35mg/m</w:t>
            </w:r>
            <w:r>
              <w:rPr>
                <w:rFonts w:hint="eastAsia" w:ascii="Times New Roman" w:hAnsi="Times New Roman" w:eastAsia="宋体" w:cs="Times New Roman"/>
                <w:b w:val="0"/>
                <w:bCs/>
                <w:color w:val="auto"/>
                <w:kern w:val="0"/>
                <w:sz w:val="21"/>
                <w:szCs w:val="21"/>
                <w:highlight w:val="none"/>
                <w:vertAlign w:val="superscript"/>
                <w:lang w:val="en-US" w:eastAsia="zh-CN"/>
              </w:rPr>
              <w:t>3</w:t>
            </w:r>
            <w:r>
              <w:rPr>
                <w:rFonts w:hint="eastAsia" w:ascii="Times New Roman" w:hAnsi="Times New Roman" w:eastAsia="宋体" w:cs="Times New Roman"/>
                <w:b w:val="0"/>
                <w:bCs/>
                <w:color w:val="auto"/>
                <w:kern w:val="0"/>
                <w:sz w:val="21"/>
                <w:szCs w:val="21"/>
                <w:highlight w:val="none"/>
                <w:lang w:val="en-US" w:eastAsia="zh-CN"/>
              </w:rPr>
              <w:t>、50mg/m</w:t>
            </w:r>
            <w:r>
              <w:rPr>
                <w:rFonts w:hint="eastAsia" w:ascii="Times New Roman" w:hAnsi="Times New Roman" w:eastAsia="宋体" w:cs="Times New Roman"/>
                <w:b w:val="0"/>
                <w:bCs/>
                <w:color w:val="auto"/>
                <w:kern w:val="0"/>
                <w:sz w:val="21"/>
                <w:szCs w:val="21"/>
                <w:highlight w:val="none"/>
                <w:vertAlign w:val="superscript"/>
                <w:lang w:val="en-US" w:eastAsia="zh-CN"/>
              </w:rPr>
              <w:t>3</w:t>
            </w:r>
            <w:r>
              <w:rPr>
                <w:rFonts w:hint="eastAsia" w:ascii="Times New Roman" w:hAnsi="Times New Roman" w:eastAsia="宋体" w:cs="Times New Roman"/>
                <w:b w:val="0"/>
                <w:bCs/>
                <w:color w:val="auto"/>
                <w:kern w:val="0"/>
                <w:sz w:val="21"/>
                <w:szCs w:val="21"/>
                <w:highlight w:val="none"/>
                <w:lang w:val="en-US" w:eastAsia="zh-CN"/>
              </w:rPr>
              <w:t>）要求。</w:t>
            </w:r>
          </w:p>
        </w:tc>
        <w:tc>
          <w:tcPr>
            <w:tcW w:w="938" w:type="dxa"/>
            <w:shd w:val="clear" w:color="auto" w:fill="auto"/>
            <w:tcMar>
              <w:left w:w="57" w:type="dxa"/>
              <w:right w:w="57" w:type="dxa"/>
            </w:tcMar>
            <w:vAlign w:val="center"/>
          </w:tcPr>
          <w:p w14:paraId="6E37CD95">
            <w:pPr>
              <w:keepNext w:val="0"/>
              <w:keepLines w:val="0"/>
              <w:pageBreakBefore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rPr>
              <w:t>符合</w:t>
            </w:r>
          </w:p>
        </w:tc>
      </w:tr>
      <w:tr w14:paraId="68D76B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84" w:type="dxa"/>
            <w:vMerge w:val="continue"/>
            <w:shd w:val="clear" w:color="auto" w:fill="auto"/>
            <w:tcMar>
              <w:left w:w="57" w:type="dxa"/>
              <w:right w:w="57" w:type="dxa"/>
            </w:tcMar>
            <w:vAlign w:val="center"/>
          </w:tcPr>
          <w:p w14:paraId="68064161">
            <w:pPr>
              <w:keepNext w:val="0"/>
              <w:keepLines w:val="0"/>
              <w:pageBreakBefore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color w:val="auto"/>
                <w:kern w:val="0"/>
                <w:sz w:val="21"/>
                <w:szCs w:val="21"/>
                <w:highlight w:val="none"/>
              </w:rPr>
            </w:pPr>
          </w:p>
        </w:tc>
        <w:tc>
          <w:tcPr>
            <w:tcW w:w="1035" w:type="dxa"/>
            <w:vMerge w:val="continue"/>
            <w:shd w:val="clear" w:color="auto" w:fill="auto"/>
            <w:vAlign w:val="center"/>
          </w:tcPr>
          <w:p w14:paraId="586F82A3">
            <w:pPr>
              <w:keepNext w:val="0"/>
              <w:keepLines w:val="0"/>
              <w:pageBreakBefore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eastAsia="宋体" w:cs="Times New Roman"/>
                <w:b w:val="0"/>
                <w:bCs/>
                <w:color w:val="auto"/>
                <w:kern w:val="0"/>
                <w:sz w:val="21"/>
                <w:szCs w:val="21"/>
                <w:highlight w:val="none"/>
              </w:rPr>
            </w:pPr>
          </w:p>
        </w:tc>
        <w:tc>
          <w:tcPr>
            <w:tcW w:w="914" w:type="dxa"/>
            <w:vMerge w:val="continue"/>
            <w:shd w:val="clear" w:color="auto" w:fill="auto"/>
            <w:vAlign w:val="center"/>
          </w:tcPr>
          <w:p w14:paraId="36F1D860">
            <w:pPr>
              <w:keepNext w:val="0"/>
              <w:keepLines w:val="0"/>
              <w:pageBreakBefore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color w:val="auto"/>
                <w:kern w:val="0"/>
                <w:sz w:val="21"/>
                <w:szCs w:val="21"/>
                <w:highlight w:val="none"/>
              </w:rPr>
            </w:pPr>
          </w:p>
        </w:tc>
        <w:tc>
          <w:tcPr>
            <w:tcW w:w="453" w:type="dxa"/>
            <w:shd w:val="clear" w:color="auto" w:fill="auto"/>
            <w:vAlign w:val="center"/>
          </w:tcPr>
          <w:p w14:paraId="2159E7B4">
            <w:pPr>
              <w:keepNext w:val="0"/>
              <w:keepLines w:val="0"/>
              <w:pageBreakBefore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rPr>
              <w:t>环境风险防控</w:t>
            </w:r>
          </w:p>
        </w:tc>
        <w:tc>
          <w:tcPr>
            <w:tcW w:w="6102" w:type="dxa"/>
            <w:shd w:val="clear" w:color="auto" w:fill="auto"/>
            <w:vAlign w:val="center"/>
          </w:tcPr>
          <w:p w14:paraId="525D884C">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lang w:val="en-US" w:eastAsia="zh-CN"/>
              </w:rPr>
              <w:t>1.执行化工园区与城市建成区、人员密集场所、重要设施、敏感目标等应当保持规定的安全距离，相对封闭，不应保留常住居民，非关联企业和产业要逐步搬迁或退出，妥善防范化解“邻避”问题。严禁在松花江干流及一级支流沿岸1公里范围内布局化工园区。 2.大气环境布局敏感重点管控区同时执行：禁止在居民区、学校、医疗和养老机构等周边新建有色金属冶炼、焦化等行业企业。</w:t>
            </w:r>
          </w:p>
          <w:p w14:paraId="0EC2753A">
            <w:pPr>
              <w:keepNext w:val="0"/>
              <w:keepLines w:val="0"/>
              <w:pageBreakBefore w:val="0"/>
              <w:widowControl/>
              <w:kinsoku/>
              <w:wordWrap/>
              <w:overflowPunct/>
              <w:topLinePunct w:val="0"/>
              <w:autoSpaceDE/>
              <w:autoSpaceDN/>
              <w:bidi w:val="0"/>
              <w:adjustRightInd/>
              <w:snapToGrid/>
              <w:spacing w:after="0" w:line="240" w:lineRule="auto"/>
              <w:ind w:right="0" w:rightChars="0" w:firstLine="420" w:firstLineChars="200"/>
              <w:jc w:val="center"/>
              <w:textAlignment w:val="auto"/>
              <w:outlineLvl w:val="9"/>
              <w:rPr>
                <w:rFonts w:hint="default" w:ascii="Times New Roman" w:hAnsi="Times New Roman" w:eastAsia="宋体" w:cs="Times New Roman"/>
                <w:b w:val="0"/>
                <w:bCs/>
                <w:color w:val="auto"/>
                <w:sz w:val="21"/>
                <w:szCs w:val="21"/>
                <w:highlight w:val="none"/>
              </w:rPr>
            </w:pPr>
          </w:p>
        </w:tc>
        <w:tc>
          <w:tcPr>
            <w:tcW w:w="3644" w:type="dxa"/>
            <w:shd w:val="clear" w:color="auto" w:fill="auto"/>
            <w:vAlign w:val="center"/>
          </w:tcPr>
          <w:p w14:paraId="4B93C5B7">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firstLine="0" w:firstLineChars="0"/>
              <w:jc w:val="both"/>
              <w:textAlignment w:val="auto"/>
              <w:rPr>
                <w:rFonts w:hint="eastAsia" w:ascii="Times New Roman" w:hAnsi="Times New Roman" w:eastAsia="宋体" w:cs="Times New Roman"/>
                <w:b w:val="0"/>
                <w:bCs w:val="0"/>
                <w:i w:val="0"/>
                <w:iCs w:val="0"/>
                <w:color w:val="auto"/>
                <w:kern w:val="0"/>
                <w:sz w:val="21"/>
                <w:szCs w:val="21"/>
                <w:highlight w:val="none"/>
                <w:lang w:val="en-US" w:bidi="zh-CN"/>
              </w:rPr>
            </w:pPr>
            <w:r>
              <w:rPr>
                <w:rFonts w:hint="default" w:ascii="Times New Roman" w:hAnsi="Times New Roman" w:eastAsia="宋体" w:cs="Times New Roman"/>
                <w:b w:val="0"/>
                <w:bCs/>
                <w:color w:val="auto"/>
                <w:kern w:val="0"/>
                <w:sz w:val="21"/>
                <w:szCs w:val="21"/>
                <w:highlight w:val="none"/>
                <w:lang w:eastAsia="zh-CN"/>
              </w:rPr>
              <w:t>本项目不在化工园区内，不产生有毒有害水污染物</w:t>
            </w:r>
            <w:r>
              <w:rPr>
                <w:rFonts w:hint="eastAsia" w:ascii="Times New Roman" w:hAnsi="Times New Roman" w:eastAsia="宋体" w:cs="Times New Roman"/>
                <w:b w:val="0"/>
                <w:bCs/>
                <w:color w:val="auto"/>
                <w:kern w:val="0"/>
                <w:sz w:val="21"/>
                <w:szCs w:val="21"/>
                <w:highlight w:val="none"/>
                <w:lang w:eastAsia="zh-CN"/>
              </w:rPr>
              <w:t>，项目在原有厂区占地范围内建设，</w:t>
            </w:r>
            <w:r>
              <w:rPr>
                <w:rFonts w:hint="eastAsia" w:ascii="Times New Roman" w:hAnsi="Times New Roman" w:eastAsia="宋体" w:cs="Times New Roman"/>
                <w:b w:val="0"/>
                <w:bCs w:val="0"/>
                <w:i w:val="0"/>
                <w:iCs w:val="0"/>
                <w:snapToGrid w:val="0"/>
                <w:color w:val="auto"/>
                <w:kern w:val="0"/>
                <w:sz w:val="21"/>
                <w:szCs w:val="21"/>
                <w:highlight w:val="none"/>
                <w:lang w:val="en-US" w:eastAsia="zh-CN"/>
              </w:rPr>
              <w:t>无新增占地，未位于化工园区。</w:t>
            </w:r>
          </w:p>
          <w:p w14:paraId="15EE4A29">
            <w:pPr>
              <w:keepNext w:val="0"/>
              <w:keepLines w:val="0"/>
              <w:pageBreakBefore w:val="0"/>
              <w:kinsoku/>
              <w:wordWrap/>
              <w:overflowPunct/>
              <w:topLinePunct w:val="0"/>
              <w:autoSpaceDE w:val="0"/>
              <w:autoSpaceDN w:val="0"/>
              <w:bidi w:val="0"/>
              <w:adjustRightInd w:val="0"/>
              <w:snapToGrid/>
              <w:spacing w:line="240" w:lineRule="auto"/>
              <w:ind w:firstLine="0" w:firstLineChars="0"/>
              <w:jc w:val="left"/>
              <w:textAlignment w:val="auto"/>
              <w:rPr>
                <w:rFonts w:hint="default" w:ascii="Times New Roman" w:hAnsi="Times New Roman" w:eastAsia="宋体" w:cs="Times New Roman"/>
                <w:b w:val="0"/>
                <w:bCs/>
                <w:color w:val="auto"/>
                <w:kern w:val="0"/>
                <w:sz w:val="21"/>
                <w:szCs w:val="21"/>
                <w:highlight w:val="none"/>
                <w:lang w:eastAsia="zh-CN"/>
              </w:rPr>
            </w:pPr>
            <w:r>
              <w:rPr>
                <w:rFonts w:hint="eastAsia" w:ascii="Times New Roman" w:hAnsi="Times New Roman" w:eastAsia="宋体" w:cs="Times New Roman"/>
                <w:b w:val="0"/>
                <w:bCs w:val="0"/>
                <w:i w:val="0"/>
                <w:iCs w:val="0"/>
                <w:color w:val="auto"/>
                <w:kern w:val="0"/>
                <w:sz w:val="21"/>
                <w:szCs w:val="21"/>
                <w:highlight w:val="none"/>
                <w:lang w:val="en-US" w:bidi="zh-CN"/>
              </w:rPr>
              <w:t>本项目为调峰供热锅炉改扩建项目，不属于</w:t>
            </w:r>
            <w:r>
              <w:rPr>
                <w:rFonts w:hint="default" w:ascii="Times New Roman" w:hAnsi="Times New Roman" w:eastAsia="宋体" w:cs="Times New Roman"/>
                <w:b w:val="0"/>
                <w:bCs w:val="0"/>
                <w:i w:val="0"/>
                <w:iCs w:val="0"/>
                <w:color w:val="auto"/>
                <w:kern w:val="0"/>
                <w:sz w:val="21"/>
                <w:szCs w:val="21"/>
                <w:highlight w:val="none"/>
                <w:lang w:val="zh-CN" w:bidi="zh-CN"/>
              </w:rPr>
              <w:t>有色金属冶炼、焦化等行业企业</w:t>
            </w:r>
            <w:r>
              <w:rPr>
                <w:rFonts w:hint="default" w:ascii="Times New Roman" w:hAnsi="Times New Roman" w:eastAsia="宋体" w:cs="Times New Roman"/>
                <w:b w:val="0"/>
                <w:bCs w:val="0"/>
                <w:i w:val="0"/>
                <w:iCs w:val="0"/>
                <w:snapToGrid w:val="0"/>
                <w:color w:val="auto"/>
                <w:kern w:val="0"/>
                <w:sz w:val="21"/>
                <w:szCs w:val="21"/>
                <w:highlight w:val="none"/>
              </w:rPr>
              <w:t>。</w:t>
            </w:r>
          </w:p>
        </w:tc>
        <w:tc>
          <w:tcPr>
            <w:tcW w:w="938" w:type="dxa"/>
            <w:shd w:val="clear" w:color="auto" w:fill="auto"/>
            <w:tcMar>
              <w:left w:w="57" w:type="dxa"/>
              <w:right w:w="57" w:type="dxa"/>
            </w:tcMar>
            <w:vAlign w:val="center"/>
          </w:tcPr>
          <w:p w14:paraId="5C12EAD4">
            <w:pPr>
              <w:keepNext w:val="0"/>
              <w:keepLines w:val="0"/>
              <w:pageBreakBefore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rPr>
              <w:t>符合</w:t>
            </w:r>
          </w:p>
        </w:tc>
      </w:tr>
      <w:tr w14:paraId="650C9A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99" w:hRule="atLeast"/>
          <w:jc w:val="center"/>
        </w:trPr>
        <w:tc>
          <w:tcPr>
            <w:tcW w:w="984" w:type="dxa"/>
            <w:vMerge w:val="continue"/>
            <w:shd w:val="clear" w:color="auto" w:fill="auto"/>
            <w:tcMar>
              <w:left w:w="57" w:type="dxa"/>
              <w:right w:w="57" w:type="dxa"/>
            </w:tcMar>
            <w:vAlign w:val="center"/>
          </w:tcPr>
          <w:p w14:paraId="53CA8C8A">
            <w:pPr>
              <w:keepNext w:val="0"/>
              <w:keepLines w:val="0"/>
              <w:pageBreakBefore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color w:val="auto"/>
                <w:kern w:val="0"/>
                <w:sz w:val="21"/>
                <w:szCs w:val="21"/>
                <w:highlight w:val="none"/>
              </w:rPr>
            </w:pPr>
          </w:p>
        </w:tc>
        <w:tc>
          <w:tcPr>
            <w:tcW w:w="1035" w:type="dxa"/>
            <w:vMerge w:val="continue"/>
            <w:shd w:val="clear" w:color="auto" w:fill="auto"/>
            <w:vAlign w:val="center"/>
          </w:tcPr>
          <w:p w14:paraId="70667CC7">
            <w:pPr>
              <w:keepNext w:val="0"/>
              <w:keepLines w:val="0"/>
              <w:pageBreakBefore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eastAsia="宋体" w:cs="Times New Roman"/>
                <w:b w:val="0"/>
                <w:bCs/>
                <w:color w:val="auto"/>
                <w:kern w:val="0"/>
                <w:sz w:val="21"/>
                <w:szCs w:val="21"/>
                <w:highlight w:val="none"/>
              </w:rPr>
            </w:pPr>
          </w:p>
        </w:tc>
        <w:tc>
          <w:tcPr>
            <w:tcW w:w="914" w:type="dxa"/>
            <w:vMerge w:val="continue"/>
            <w:shd w:val="clear" w:color="auto" w:fill="auto"/>
            <w:vAlign w:val="center"/>
          </w:tcPr>
          <w:p w14:paraId="069A7495">
            <w:pPr>
              <w:keepNext w:val="0"/>
              <w:keepLines w:val="0"/>
              <w:pageBreakBefore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rPr>
            </w:pPr>
          </w:p>
        </w:tc>
        <w:tc>
          <w:tcPr>
            <w:tcW w:w="453" w:type="dxa"/>
            <w:shd w:val="clear" w:color="auto" w:fill="auto"/>
            <w:vAlign w:val="center"/>
          </w:tcPr>
          <w:p w14:paraId="0F4E2DBB">
            <w:pPr>
              <w:keepNext w:val="0"/>
              <w:keepLines w:val="0"/>
              <w:pageBreakBefore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sz w:val="21"/>
                <w:szCs w:val="21"/>
                <w:highlight w:val="none"/>
              </w:rPr>
              <w:t>资源利用效率要求</w:t>
            </w:r>
          </w:p>
        </w:tc>
        <w:tc>
          <w:tcPr>
            <w:tcW w:w="6102" w:type="dxa"/>
            <w:shd w:val="clear" w:color="auto" w:fill="auto"/>
            <w:vAlign w:val="center"/>
          </w:tcPr>
          <w:p w14:paraId="5DDDD277">
            <w:pPr>
              <w:keepNext w:val="0"/>
              <w:keepLines w:val="0"/>
              <w:pageBreakBefore w:val="0"/>
              <w:widowControl/>
              <w:numPr>
                <w:ilvl w:val="0"/>
                <w:numId w:val="7"/>
              </w:numPr>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执行：</w:t>
            </w:r>
          </w:p>
          <w:p w14:paraId="2B100AC6">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Chars="0" w:right="0" w:rightChars="0" w:firstLine="420" w:firstLineChars="200"/>
              <w:jc w:val="both"/>
              <w:textAlignment w:val="auto"/>
              <w:outlineLvl w:val="9"/>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①推进污水再生利用设施建设。</w:t>
            </w:r>
          </w:p>
          <w:p w14:paraId="142C4245">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Chars="0" w:right="0" w:rightChars="0" w:firstLine="420" w:firstLineChars="200"/>
              <w:jc w:val="both"/>
              <w:textAlignment w:val="auto"/>
              <w:outlineLvl w:val="9"/>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 xml:space="preserve">②公共建筑必须采用节水器具，限期淘汰公共建筑中不符合节水标准的水嘴、便器水箱等生活用水器具。 </w:t>
            </w:r>
          </w:p>
          <w:p w14:paraId="5065E4F8">
            <w:pPr>
              <w:keepNext w:val="0"/>
              <w:keepLines w:val="0"/>
              <w:pageBreakBefore w:val="0"/>
              <w:widowControl/>
              <w:numPr>
                <w:ilvl w:val="0"/>
                <w:numId w:val="7"/>
              </w:numPr>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高污染燃料禁燃区同时执行：</w:t>
            </w:r>
          </w:p>
          <w:p w14:paraId="7B29D0F7">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right="0" w:rightChars="0" w:firstLine="420" w:firstLineChars="200"/>
              <w:jc w:val="both"/>
              <w:textAlignment w:val="auto"/>
              <w:outlineLvl w:val="9"/>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①在禁燃区内，禁止销售、燃用高污染燃料；禁止新建、扩建燃用高污染燃料的设施，已建成的，应当在城市人民政府规定的期限内改用天然气、页岩气、液化石油气、电或者其他清洁能源。</w:t>
            </w:r>
          </w:p>
          <w:p w14:paraId="7F7F7409">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right="0" w:rightChars="0" w:firstLine="420" w:firstLineChars="200"/>
              <w:jc w:val="both"/>
              <w:textAlignment w:val="auto"/>
              <w:outlineLvl w:val="9"/>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②城市建设应当统筹规划，在燃煤供热地区，推进热电联产和集中供热。在集中供热管网覆盖地区，禁止新建、扩建分散燃煤供热锅炉；已建成的不能达标排放的燃煤供热锅炉，应当在城市人民政府规定的期限内拆除。</w:t>
            </w:r>
          </w:p>
        </w:tc>
        <w:tc>
          <w:tcPr>
            <w:tcW w:w="3644" w:type="dxa"/>
            <w:shd w:val="clear" w:color="auto" w:fill="auto"/>
            <w:vAlign w:val="center"/>
          </w:tcPr>
          <w:p w14:paraId="1BE8837F">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firstLine="0" w:firstLineChars="0"/>
              <w:jc w:val="both"/>
              <w:textAlignment w:val="auto"/>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rPr>
              <w:t>本项目</w:t>
            </w:r>
            <w:r>
              <w:rPr>
                <w:rFonts w:hint="default" w:ascii="Times New Roman" w:hAnsi="Times New Roman" w:eastAsia="宋体" w:cs="Times New Roman"/>
                <w:b w:val="0"/>
                <w:bCs/>
                <w:color w:val="auto"/>
                <w:kern w:val="0"/>
                <w:sz w:val="21"/>
                <w:szCs w:val="21"/>
                <w:highlight w:val="none"/>
                <w:lang w:eastAsia="zh-CN"/>
              </w:rPr>
              <w:t>公共建筑设置了节水器具</w:t>
            </w:r>
            <w:r>
              <w:rPr>
                <w:rFonts w:hint="eastAsia" w:ascii="Times New Roman" w:hAnsi="Times New Roman" w:eastAsia="宋体" w:cs="Times New Roman"/>
                <w:b w:val="0"/>
                <w:bCs/>
                <w:color w:val="auto"/>
                <w:kern w:val="0"/>
                <w:sz w:val="21"/>
                <w:szCs w:val="21"/>
                <w:highlight w:val="none"/>
                <w:lang w:eastAsia="zh-CN"/>
              </w:rPr>
              <w:t>。</w:t>
            </w:r>
            <w:r>
              <w:rPr>
                <w:rFonts w:hint="default" w:ascii="Times New Roman" w:hAnsi="Times New Roman" w:eastAsia="宋体" w:cs="Times New Roman"/>
                <w:b w:val="0"/>
                <w:bCs/>
                <w:color w:val="auto"/>
                <w:kern w:val="0"/>
                <w:sz w:val="21"/>
                <w:szCs w:val="21"/>
                <w:highlight w:val="none"/>
              </w:rPr>
              <w:t>本项目生产废水均回用，不外排。</w:t>
            </w:r>
            <w:r>
              <w:rPr>
                <w:rFonts w:hint="eastAsia" w:ascii="Times New Roman" w:hAnsi="Times New Roman" w:eastAsia="宋体" w:cs="Times New Roman"/>
                <w:b w:val="0"/>
                <w:bCs/>
                <w:color w:val="auto"/>
                <w:kern w:val="0"/>
                <w:sz w:val="21"/>
                <w:szCs w:val="21"/>
                <w:highlight w:val="none"/>
                <w:lang w:eastAsia="zh-CN"/>
              </w:rPr>
              <w:t>厂区现有</w:t>
            </w:r>
            <w:r>
              <w:rPr>
                <w:rFonts w:hint="eastAsia" w:ascii="Times New Roman" w:hAnsi="Times New Roman" w:eastAsia="宋体" w:cs="Times New Roman"/>
                <w:color w:val="auto"/>
                <w:kern w:val="0"/>
                <w:sz w:val="21"/>
                <w:szCs w:val="21"/>
                <w:highlight w:val="none"/>
                <w:lang w:val="en-US" w:eastAsia="zh-CN"/>
              </w:rPr>
              <w:t>生活污水经市政污水管网排入佳木斯西区污水处理厂处理达标后排放。</w:t>
            </w:r>
          </w:p>
          <w:p w14:paraId="364294A6">
            <w:pPr>
              <w:keepNext w:val="0"/>
              <w:keepLines w:val="0"/>
              <w:pageBreakBefore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color w:val="auto"/>
                <w:kern w:val="0"/>
                <w:sz w:val="21"/>
                <w:szCs w:val="21"/>
                <w:highlight w:val="none"/>
                <w:lang w:eastAsia="zh-CN"/>
              </w:rPr>
            </w:pPr>
            <w:r>
              <w:rPr>
                <w:rFonts w:hint="eastAsia" w:ascii="Times New Roman" w:hAnsi="Times New Roman" w:eastAsia="宋体" w:cs="Times New Roman"/>
                <w:snapToGrid w:val="0"/>
                <w:color w:val="auto"/>
                <w:kern w:val="0"/>
                <w:sz w:val="21"/>
                <w:szCs w:val="21"/>
                <w:highlight w:val="none"/>
                <w:lang w:val="en-US" w:eastAsia="zh-CN"/>
              </w:rPr>
              <w:t>本项目</w:t>
            </w:r>
            <w:r>
              <w:rPr>
                <w:rFonts w:hint="default" w:ascii="Times New Roman" w:hAnsi="Times New Roman" w:eastAsia="宋体" w:cs="Times New Roman"/>
                <w:snapToGrid w:val="0"/>
                <w:color w:val="auto"/>
                <w:kern w:val="0"/>
                <w:sz w:val="21"/>
                <w:szCs w:val="21"/>
                <w:highlight w:val="none"/>
                <w:lang w:eastAsia="zh-CN"/>
              </w:rPr>
              <w:t>冬季</w:t>
            </w:r>
            <w:r>
              <w:rPr>
                <w:rFonts w:hint="eastAsia" w:ascii="Times New Roman" w:hAnsi="Times New Roman" w:eastAsia="宋体" w:cs="Times New Roman"/>
                <w:snapToGrid w:val="0"/>
                <w:color w:val="auto"/>
                <w:kern w:val="0"/>
                <w:sz w:val="21"/>
                <w:szCs w:val="21"/>
                <w:highlight w:val="none"/>
                <w:lang w:eastAsia="zh-CN"/>
              </w:rPr>
              <w:t>依托自身</w:t>
            </w:r>
            <w:r>
              <w:rPr>
                <w:rFonts w:hint="default" w:ascii="Times New Roman" w:hAnsi="Times New Roman" w:eastAsia="宋体" w:cs="Times New Roman"/>
                <w:snapToGrid w:val="0"/>
                <w:color w:val="auto"/>
                <w:kern w:val="0"/>
                <w:sz w:val="21"/>
                <w:szCs w:val="21"/>
                <w:highlight w:val="none"/>
                <w:lang w:eastAsia="zh-CN"/>
              </w:rPr>
              <w:t>供暖</w:t>
            </w:r>
            <w:r>
              <w:rPr>
                <w:rFonts w:hint="eastAsia" w:ascii="Times New Roman" w:hAnsi="Times New Roman" w:eastAsia="宋体" w:cs="Times New Roman"/>
                <w:snapToGrid w:val="0"/>
                <w:color w:val="auto"/>
                <w:kern w:val="0"/>
                <w:sz w:val="21"/>
                <w:szCs w:val="21"/>
                <w:highlight w:val="none"/>
                <w:lang w:eastAsia="zh-CN"/>
              </w:rPr>
              <w:t>，</w:t>
            </w:r>
            <w:r>
              <w:rPr>
                <w:rFonts w:hint="default" w:ascii="Times New Roman" w:hAnsi="Times New Roman" w:eastAsia="宋体" w:cs="Times New Roman"/>
                <w:b w:val="0"/>
                <w:bCs/>
                <w:color w:val="auto"/>
                <w:kern w:val="0"/>
                <w:sz w:val="21"/>
                <w:szCs w:val="21"/>
                <w:highlight w:val="none"/>
                <w:lang w:eastAsia="zh-CN"/>
              </w:rPr>
              <w:t>本工程通过大型集中供热工程替代分散小锅炉房，有效地提高了资源、能源利用率，</w:t>
            </w:r>
            <w:r>
              <w:rPr>
                <w:rFonts w:hint="eastAsia" w:ascii="Times New Roman" w:hAnsi="Times New Roman" w:eastAsia="宋体" w:cs="Times New Roman"/>
                <w:b w:val="0"/>
                <w:bCs/>
                <w:color w:val="auto"/>
                <w:kern w:val="0"/>
                <w:sz w:val="21"/>
                <w:szCs w:val="21"/>
                <w:highlight w:val="none"/>
                <w:lang w:eastAsia="zh-CN"/>
              </w:rPr>
              <w:t>烟气排放要满足超低排放要求。</w:t>
            </w:r>
          </w:p>
        </w:tc>
        <w:tc>
          <w:tcPr>
            <w:tcW w:w="938" w:type="dxa"/>
            <w:shd w:val="clear" w:color="auto" w:fill="auto"/>
            <w:tcMar>
              <w:left w:w="57" w:type="dxa"/>
              <w:right w:w="57" w:type="dxa"/>
            </w:tcMar>
            <w:vAlign w:val="center"/>
          </w:tcPr>
          <w:p w14:paraId="3A5FDF05">
            <w:pPr>
              <w:keepNext w:val="0"/>
              <w:keepLines w:val="0"/>
              <w:pageBreakBefore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rPr>
              <w:t>符合</w:t>
            </w:r>
          </w:p>
        </w:tc>
      </w:tr>
    </w:tbl>
    <w:p w14:paraId="41DEFC7A">
      <w:pPr>
        <w:ind w:left="0" w:leftChars="0" w:firstLine="0" w:firstLineChars="0"/>
        <w:rPr>
          <w:rFonts w:hint="default" w:ascii="Times New Roman" w:hAnsi="Times New Roman" w:eastAsia="宋体" w:cs="Times New Roman"/>
          <w:color w:val="auto"/>
          <w:highlight w:val="none"/>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75DA31B">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19" w:name="_Toc5338"/>
      <w:bookmarkStart w:id="20" w:name="_Toc13323"/>
      <w:bookmarkStart w:id="21" w:name="_Toc745"/>
      <w:bookmarkStart w:id="22" w:name="_Toc31343"/>
      <w:bookmarkStart w:id="23" w:name="_Toc105659850"/>
      <w:bookmarkStart w:id="24" w:name="_Toc975"/>
      <w:bookmarkStart w:id="25" w:name="_Toc107238065"/>
      <w:r>
        <w:rPr>
          <w:rFonts w:hint="default" w:ascii="Times New Roman" w:hAnsi="Times New Roman" w:eastAsia="宋体" w:cs="Times New Roman"/>
          <w:color w:val="auto"/>
          <w:highlight w:val="none"/>
        </w:rPr>
        <w:t>与</w:t>
      </w:r>
      <w:r>
        <w:rPr>
          <w:rFonts w:hint="default" w:ascii="Times New Roman" w:hAnsi="Times New Roman" w:eastAsia="宋体" w:cs="Times New Roman"/>
          <w:color w:val="auto"/>
          <w:highlight w:val="none"/>
          <w:lang w:eastAsia="zh-CN"/>
        </w:rPr>
        <w:t>《</w:t>
      </w:r>
      <w:r>
        <w:rPr>
          <w:rFonts w:hint="eastAsia" w:ascii="Times New Roman" w:hAnsi="Times New Roman" w:cs="Times New Roman"/>
          <w:color w:val="auto"/>
          <w:highlight w:val="none"/>
          <w:lang w:val="en-US" w:eastAsia="zh-CN"/>
        </w:rPr>
        <w:t>佳木斯市中心城区</w:t>
      </w:r>
      <w:r>
        <w:rPr>
          <w:rFonts w:hint="default" w:ascii="Times New Roman" w:hAnsi="Times New Roman" w:eastAsia="宋体" w:cs="Times New Roman"/>
          <w:color w:val="auto"/>
          <w:highlight w:val="none"/>
          <w:lang w:val="en-US" w:eastAsia="zh-CN"/>
        </w:rPr>
        <w:t>供热规划</w:t>
      </w:r>
      <w:r>
        <w:rPr>
          <w:rFonts w:hint="eastAsia" w:ascii="Times New Roman" w:hAnsi="Times New Roman" w:cs="Times New Roman"/>
          <w:color w:val="auto"/>
          <w:highlight w:val="none"/>
          <w:lang w:val="en-US" w:eastAsia="zh-CN"/>
        </w:rPr>
        <w:t>（2008—2020年）</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符合性分析</w:t>
      </w:r>
      <w:bookmarkEnd w:id="19"/>
      <w:bookmarkEnd w:id="20"/>
      <w:bookmarkEnd w:id="21"/>
      <w:bookmarkEnd w:id="22"/>
    </w:p>
    <w:p w14:paraId="52B04F78">
      <w:pPr>
        <w:keepNext w:val="0"/>
        <w:keepLines w:val="0"/>
        <w:pageBreakBefore w:val="0"/>
        <w:widowControl w:val="0"/>
        <w:kinsoku/>
        <w:wordWrap/>
        <w:overflowPunct/>
        <w:topLinePunct/>
        <w:autoSpaceDE/>
        <w:autoSpaceDN/>
        <w:bidi w:val="0"/>
        <w:adjustRightInd/>
        <w:snapToGrid w:val="0"/>
        <w:ind w:left="0" w:leftChars="0" w:firstLine="480" w:firstLineChars="200"/>
        <w:textAlignment w:val="auto"/>
        <w:rPr>
          <w:rFonts w:hint="default" w:ascii="Times New Roman" w:hAnsi="Times New Roman" w:eastAsia="宋体" w:cs="Times New Roman"/>
          <w:color w:val="FF0000"/>
          <w:spacing w:val="0"/>
          <w:sz w:val="24"/>
          <w:szCs w:val="24"/>
          <w:highlight w:val="none"/>
          <w:lang w:val="en-US" w:eastAsia="zh-CN"/>
        </w:rPr>
      </w:pPr>
      <w:r>
        <w:rPr>
          <w:rFonts w:hint="eastAsia" w:ascii="Times New Roman" w:hAnsi="Times New Roman" w:eastAsia="宋体" w:cs="Times New Roman"/>
          <w:color w:val="FF0000"/>
          <w:highlight w:val="none"/>
          <w:lang w:val="en-US" w:eastAsia="zh-CN"/>
        </w:rPr>
        <w:t>根据《佳木斯市中心城区供热规划（2008—2020年）》，</w:t>
      </w:r>
      <w:r>
        <w:rPr>
          <w:rFonts w:hint="eastAsia" w:ascii="Times New Roman" w:hAnsi="Times New Roman" w:cs="Times New Roman"/>
          <w:color w:val="FF0000"/>
          <w:spacing w:val="0"/>
          <w:sz w:val="24"/>
          <w:szCs w:val="24"/>
          <w:highlight w:val="none"/>
          <w:lang w:val="en-US" w:eastAsia="zh-CN"/>
        </w:rPr>
        <w:t>按城区分布状况将佳木斯市主城区分为 A 区（佳东区）、B 区（中心区）、C 区（佳西区）三个供热区域</w:t>
      </w:r>
      <w:r>
        <w:rPr>
          <w:rFonts w:hint="eastAsia" w:ascii="Times New Roman" w:hAnsi="Times New Roman" w:cs="Times New Roman"/>
          <w:color w:val="FF0000"/>
          <w:spacing w:val="0"/>
          <w:sz w:val="24"/>
          <w:highlight w:val="none"/>
          <w:lang w:eastAsia="zh-CN"/>
        </w:rPr>
        <w:t>。中恒热电有限公司承担我市西部地区冬季采暖供热任务。新建 1×154MW（</w:t>
      </w:r>
      <w:r>
        <w:rPr>
          <w:rFonts w:hint="eastAsia" w:ascii="Times New Roman" w:hAnsi="Times New Roman" w:cs="Times New Roman"/>
          <w:color w:val="FF0000"/>
          <w:spacing w:val="0"/>
          <w:sz w:val="24"/>
          <w:highlight w:val="none"/>
          <w:lang w:val="en-US" w:eastAsia="zh-CN"/>
        </w:rPr>
        <w:t>3#锅炉</w:t>
      </w:r>
      <w:r>
        <w:rPr>
          <w:rFonts w:hint="eastAsia" w:ascii="Times New Roman" w:hAnsi="Times New Roman" w:cs="Times New Roman"/>
          <w:color w:val="FF0000"/>
          <w:spacing w:val="0"/>
          <w:sz w:val="24"/>
          <w:highlight w:val="none"/>
          <w:lang w:eastAsia="zh-CN"/>
        </w:rPr>
        <w:t>）和1×116MW 热水锅炉（</w:t>
      </w:r>
      <w:r>
        <w:rPr>
          <w:rFonts w:hint="eastAsia" w:ascii="Times New Roman" w:hAnsi="Times New Roman" w:cs="Times New Roman"/>
          <w:color w:val="FF0000"/>
          <w:spacing w:val="0"/>
          <w:sz w:val="24"/>
          <w:highlight w:val="none"/>
          <w:lang w:val="en-US" w:eastAsia="zh-CN"/>
        </w:rPr>
        <w:t>4#锅炉</w:t>
      </w:r>
      <w:r>
        <w:rPr>
          <w:rFonts w:hint="eastAsia" w:ascii="Times New Roman" w:hAnsi="Times New Roman" w:cs="Times New Roman"/>
          <w:color w:val="FF0000"/>
          <w:spacing w:val="0"/>
          <w:sz w:val="24"/>
          <w:highlight w:val="none"/>
          <w:lang w:eastAsia="zh-CN"/>
        </w:rPr>
        <w:t>），新建2×58MW 热水锅炉（</w:t>
      </w:r>
      <w:r>
        <w:rPr>
          <w:rFonts w:hint="eastAsia" w:ascii="Times New Roman" w:hAnsi="Times New Roman" w:cs="Times New Roman"/>
          <w:color w:val="FF0000"/>
          <w:spacing w:val="0"/>
          <w:sz w:val="24"/>
          <w:highlight w:val="none"/>
          <w:lang w:val="en-US" w:eastAsia="zh-CN"/>
        </w:rPr>
        <w:t>5#锅炉、6#锅炉</w:t>
      </w:r>
      <w:r>
        <w:rPr>
          <w:rFonts w:hint="eastAsia" w:ascii="Times New Roman" w:hAnsi="Times New Roman" w:cs="Times New Roman"/>
          <w:color w:val="FF0000"/>
          <w:spacing w:val="0"/>
          <w:sz w:val="24"/>
          <w:highlight w:val="none"/>
          <w:lang w:eastAsia="zh-CN"/>
        </w:rPr>
        <w:t>）作为调峰备用锅炉。上述工程项目建成投产后，将替代我市西区现有分散小锅炉房163座，共计231台小锅炉，锅炉总容量为 579.1MW，总供热面积为 6419.4×10</w:t>
      </w:r>
      <w:r>
        <w:rPr>
          <w:rFonts w:hint="eastAsia" w:ascii="Times New Roman" w:hAnsi="Times New Roman" w:cs="Times New Roman"/>
          <w:color w:val="FF0000"/>
          <w:spacing w:val="0"/>
          <w:sz w:val="24"/>
          <w:highlight w:val="none"/>
          <w:vertAlign w:val="superscript"/>
          <w:lang w:eastAsia="zh-CN"/>
        </w:rPr>
        <w:t>3</w:t>
      </w:r>
      <w:r>
        <w:rPr>
          <w:rFonts w:hint="eastAsia" w:ascii="Times New Roman" w:hAnsi="Times New Roman" w:cs="Times New Roman"/>
          <w:color w:val="FF0000"/>
          <w:spacing w:val="0"/>
          <w:sz w:val="24"/>
          <w:highlight w:val="none"/>
          <w:lang w:eastAsia="zh-CN"/>
        </w:rPr>
        <w:t>m</w:t>
      </w:r>
      <w:r>
        <w:rPr>
          <w:rFonts w:hint="eastAsia" w:ascii="Times New Roman" w:hAnsi="Times New Roman" w:cs="Times New Roman"/>
          <w:color w:val="FF0000"/>
          <w:spacing w:val="0"/>
          <w:sz w:val="24"/>
          <w:highlight w:val="none"/>
          <w:vertAlign w:val="superscript"/>
          <w:lang w:eastAsia="zh-CN"/>
        </w:rPr>
        <w:t>2</w:t>
      </w:r>
      <w:r>
        <w:rPr>
          <w:rFonts w:hint="eastAsia" w:ascii="Times New Roman" w:hAnsi="Times New Roman" w:cs="Times New Roman"/>
          <w:color w:val="FF0000"/>
          <w:spacing w:val="0"/>
          <w:sz w:val="24"/>
          <w:highlight w:val="none"/>
          <w:lang w:eastAsia="zh-CN"/>
        </w:rPr>
        <w:t>。</w:t>
      </w:r>
    </w:p>
    <w:p w14:paraId="76B9AF90">
      <w:pPr>
        <w:snapToGrid w:val="0"/>
        <w:ind w:left="0" w:leftChars="0" w:firstLine="480" w:firstLineChars="200"/>
        <w:rPr>
          <w:rFonts w:hint="eastAsia" w:ascii="Times New Roman" w:hAnsi="Times New Roman" w:eastAsia="宋体" w:cs="Times New Roman"/>
          <w:color w:val="FF0000"/>
          <w:spacing w:val="0"/>
          <w:sz w:val="24"/>
          <w:szCs w:val="24"/>
          <w:highlight w:val="none"/>
          <w:lang w:val="en-US" w:eastAsia="zh-CN"/>
        </w:rPr>
      </w:pPr>
      <w:r>
        <w:rPr>
          <w:rFonts w:hint="eastAsia" w:ascii="Times New Roman" w:hAnsi="Times New Roman" w:eastAsia="宋体" w:cs="Times New Roman"/>
          <w:color w:val="FF0000"/>
          <w:spacing w:val="0"/>
          <w:sz w:val="24"/>
          <w:szCs w:val="24"/>
          <w:highlight w:val="none"/>
          <w:lang w:val="en-US" w:eastAsia="zh-CN"/>
        </w:rPr>
        <w:t>佳木斯市未编制新版供热规划，目前，企业供暖面积已增加至1083万m</w:t>
      </w:r>
      <w:r>
        <w:rPr>
          <w:rFonts w:hint="eastAsia" w:ascii="Times New Roman" w:hAnsi="Times New Roman" w:eastAsia="宋体" w:cs="Times New Roman"/>
          <w:color w:val="FF0000"/>
          <w:spacing w:val="0"/>
          <w:sz w:val="24"/>
          <w:szCs w:val="24"/>
          <w:highlight w:val="none"/>
          <w:vertAlign w:val="superscript"/>
          <w:lang w:val="en-US" w:eastAsia="zh-CN"/>
        </w:rPr>
        <w:t>2</w:t>
      </w:r>
      <w:r>
        <w:rPr>
          <w:rFonts w:hint="eastAsia" w:ascii="Times New Roman" w:hAnsi="Times New Roman" w:eastAsia="宋体" w:cs="Times New Roman"/>
          <w:color w:val="FF0000"/>
          <w:spacing w:val="0"/>
          <w:sz w:val="24"/>
          <w:szCs w:val="24"/>
          <w:highlight w:val="none"/>
          <w:lang w:val="en-US" w:eastAsia="zh-CN"/>
        </w:rPr>
        <w:t>。目前，中恒热电有限公司现有1#锅炉、2#锅炉、4#锅炉为佳木斯西部地区供暖。由于3#锅炉未进行超低改造，处于停产状态，厂区内现有锅炉不能冬季供暖需求，企业决定启用已建成的5#锅炉进行调峰，本项目符合供热规划。</w:t>
      </w:r>
    </w:p>
    <w:p w14:paraId="0D4D80EF">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26" w:name="_Toc19860"/>
      <w:bookmarkStart w:id="27" w:name="_Toc107238071"/>
      <w:bookmarkStart w:id="28" w:name="_Toc9438"/>
      <w:bookmarkStart w:id="29" w:name="_Toc12298"/>
      <w:bookmarkStart w:id="30" w:name="_Toc24284"/>
      <w:bookmarkStart w:id="31" w:name="_Toc105659856"/>
      <w:r>
        <w:rPr>
          <w:rFonts w:hint="default" w:ascii="Times New Roman" w:hAnsi="Times New Roman" w:eastAsia="宋体" w:cs="Times New Roman"/>
          <w:color w:val="auto"/>
          <w:highlight w:val="none"/>
        </w:rPr>
        <w:t>与《商品煤质量管理暂行办法》的符合性</w:t>
      </w:r>
      <w:bookmarkEnd w:id="26"/>
      <w:bookmarkEnd w:id="27"/>
      <w:bookmarkEnd w:id="28"/>
      <w:bookmarkEnd w:id="29"/>
      <w:bookmarkEnd w:id="30"/>
      <w:bookmarkEnd w:id="31"/>
    </w:p>
    <w:p w14:paraId="6A2A5E02">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根据《商品煤质量管理暂行办法》（2015年9月3日发布，2015年1月1日起施行）中：</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第六条 商品煤应当满足下列基本要求：（一）灰分（Ad）褐煤≤30%，其它煤种≤40%；（二）硫分（St,d）褐煤≤1.5%，其它煤种≤3%；（三）其它指标汞（Hgd）≤0.6µg/g，砷（Asd）≤80µg/g，磷（Pd）≤0.15%，氯（Cld）≤0.3%，氟（Fd）≤200µg/g。</w:t>
      </w:r>
      <w:r>
        <w:rPr>
          <w:rFonts w:hint="eastAsia" w:ascii="Times New Roman" w:hAnsi="Times New Roman" w:eastAsia="宋体" w:cs="Times New Roman"/>
          <w:color w:val="auto"/>
          <w:highlight w:val="none"/>
          <w:lang w:eastAsia="zh-CN"/>
        </w:rPr>
        <w:t>”</w:t>
      </w:r>
    </w:p>
    <w:p w14:paraId="52D6D7A2">
      <w:pPr>
        <w:pStyle w:val="69"/>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本项目燃煤</w:t>
      </w:r>
      <w:r>
        <w:rPr>
          <w:rFonts w:hint="default" w:ascii="Times New Roman" w:hAnsi="Times New Roman" w:eastAsia="宋体" w:cs="Times New Roman"/>
          <w:color w:val="auto"/>
          <w:highlight w:val="none"/>
          <w:lang w:val="en-US" w:eastAsia="zh-CN"/>
        </w:rPr>
        <w:t>来自</w:t>
      </w:r>
      <w:r>
        <w:rPr>
          <w:rFonts w:hint="eastAsia" w:ascii="Times New Roman" w:hAnsi="Times New Roman" w:cs="Times New Roman"/>
          <w:color w:val="auto"/>
          <w:highlight w:val="none"/>
          <w:lang w:val="en-US" w:eastAsia="zh-CN"/>
        </w:rPr>
        <w:t>鹤岗</w:t>
      </w:r>
      <w:r>
        <w:rPr>
          <w:rFonts w:hint="default" w:ascii="Times New Roman" w:hAnsi="Times New Roman" w:eastAsia="宋体" w:cs="Times New Roman"/>
          <w:color w:val="auto"/>
          <w:highlight w:val="none"/>
          <w:lang w:val="en-US" w:eastAsia="zh-CN"/>
        </w:rPr>
        <w:t>市</w:t>
      </w:r>
      <w:r>
        <w:rPr>
          <w:rFonts w:hint="default" w:ascii="Times New Roman" w:hAnsi="Times New Roman" w:eastAsia="宋体" w:cs="Times New Roman"/>
          <w:color w:val="auto"/>
          <w:highlight w:val="none"/>
        </w:rPr>
        <w:t>，</w:t>
      </w:r>
      <w:r>
        <w:rPr>
          <w:rFonts w:hint="eastAsia" w:ascii="Times New Roman" w:hAnsi="Times New Roman" w:cs="Times New Roman"/>
          <w:color w:val="auto"/>
          <w:highlight w:val="none"/>
          <w:lang w:eastAsia="zh-CN"/>
        </w:rPr>
        <w:t>运输方式采取</w:t>
      </w:r>
      <w:r>
        <w:rPr>
          <w:rFonts w:hint="eastAsia" w:ascii="Times New Roman" w:hAnsi="Times New Roman" w:cs="Times New Roman"/>
          <w:color w:val="auto"/>
          <w:highlight w:val="none"/>
          <w:lang w:val="en-US" w:eastAsia="zh-CN"/>
        </w:rPr>
        <w:t>公路</w:t>
      </w:r>
      <w:r>
        <w:rPr>
          <w:rFonts w:hint="eastAsia" w:ascii="Times New Roman" w:hAnsi="Times New Roman" w:cs="Times New Roman"/>
          <w:color w:val="auto"/>
          <w:highlight w:val="none"/>
          <w:lang w:eastAsia="zh-CN"/>
        </w:rPr>
        <w:t>运输，</w:t>
      </w:r>
      <w:r>
        <w:rPr>
          <w:rFonts w:hint="eastAsia" w:ascii="Times New Roman" w:hAnsi="Times New Roman" w:cs="Times New Roman"/>
          <w:color w:val="auto"/>
          <w:highlight w:val="none"/>
          <w:lang w:val="en-US" w:eastAsia="zh-CN"/>
        </w:rPr>
        <w:t>运输距离约为70km，</w:t>
      </w:r>
      <w:r>
        <w:rPr>
          <w:rFonts w:hint="default" w:ascii="Times New Roman" w:hAnsi="Times New Roman" w:eastAsia="宋体" w:cs="Times New Roman"/>
          <w:color w:val="auto"/>
          <w:highlight w:val="none"/>
        </w:rPr>
        <w:t>运距</w:t>
      </w:r>
      <w:r>
        <w:rPr>
          <w:rFonts w:hint="default" w:ascii="Times New Roman" w:hAnsi="Times New Roman" w:eastAsia="宋体" w:cs="Times New Roman"/>
          <w:color w:val="auto"/>
          <w:highlight w:val="none"/>
          <w:lang w:val="en-US" w:eastAsia="zh-CN"/>
        </w:rPr>
        <w:t>小</w:t>
      </w:r>
      <w:r>
        <w:rPr>
          <w:rFonts w:hint="default" w:ascii="Times New Roman" w:hAnsi="Times New Roman" w:eastAsia="宋体" w:cs="Times New Roman"/>
          <w:color w:val="auto"/>
          <w:highlight w:val="none"/>
        </w:rPr>
        <w:t>于600km。</w:t>
      </w:r>
      <w:r>
        <w:rPr>
          <w:rFonts w:hint="default" w:ascii="Times New Roman" w:hAnsi="Times New Roman" w:eastAsia="宋体" w:cs="Times New Roman"/>
          <w:color w:val="auto"/>
          <w:kern w:val="0"/>
          <w:sz w:val="24"/>
          <w:szCs w:val="24"/>
          <w:highlight w:val="none"/>
        </w:rPr>
        <w:t>根据本项目煤质分析报告可知</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煤种为</w:t>
      </w:r>
      <w:r>
        <w:rPr>
          <w:rFonts w:hint="eastAsia" w:ascii="Times New Roman" w:hAnsi="Times New Roman" w:cs="Times New Roman"/>
          <w:color w:val="auto"/>
          <w:kern w:val="0"/>
          <w:sz w:val="24"/>
          <w:szCs w:val="24"/>
          <w:highlight w:val="none"/>
          <w:lang w:val="en-US" w:eastAsia="zh-CN"/>
        </w:rPr>
        <w:t>烟</w:t>
      </w:r>
      <w:r>
        <w:rPr>
          <w:rFonts w:hint="default" w:ascii="Times New Roman" w:hAnsi="Times New Roman" w:eastAsia="宋体" w:cs="Times New Roman"/>
          <w:color w:val="auto"/>
          <w:kern w:val="0"/>
          <w:sz w:val="24"/>
          <w:szCs w:val="24"/>
          <w:highlight w:val="none"/>
          <w:lang w:val="en-US" w:eastAsia="zh-CN"/>
        </w:rPr>
        <w:t>煤，</w:t>
      </w:r>
      <w:r>
        <w:rPr>
          <w:rFonts w:hint="eastAsia" w:ascii="Times New Roman" w:hAnsi="Times New Roman" w:cs="Times New Roman"/>
          <w:color w:val="auto"/>
          <w:kern w:val="0"/>
          <w:sz w:val="24"/>
          <w:szCs w:val="24"/>
          <w:highlight w:val="none"/>
          <w:lang w:val="en-US" w:eastAsia="zh-CN"/>
        </w:rPr>
        <w:t>空气干燥基灰分为37.42%，灰分（Ad）38.35%＜40%，空气干燥基全硫为0.24%，硫分（St,d）为0.25%＜3%，汞（Hgd）为0.146µg/g＜0.6µg/g，氯（Cld）0.009%＜0.3%，砷（Asd）3.7µg/g＜80µg/g，氟（Fd）为78µg/g＜200µg/g，砷</w:t>
      </w:r>
      <w:r>
        <w:rPr>
          <w:rFonts w:hint="default" w:ascii="Times New Roman" w:hAnsi="Times New Roman" w:eastAsia="宋体" w:cs="Times New Roman"/>
          <w:color w:val="auto"/>
          <w:kern w:val="0"/>
          <w:sz w:val="24"/>
          <w:szCs w:val="24"/>
          <w:highlight w:val="none"/>
          <w:lang w:val="en-US" w:eastAsia="zh-CN"/>
        </w:rPr>
        <w:t>未</w:t>
      </w:r>
      <w:r>
        <w:rPr>
          <w:rFonts w:hint="eastAsia" w:ascii="Times New Roman" w:hAnsi="Times New Roman" w:cs="Times New Roman"/>
          <w:color w:val="auto"/>
          <w:kern w:val="0"/>
          <w:sz w:val="24"/>
          <w:szCs w:val="24"/>
          <w:highlight w:val="none"/>
          <w:lang w:val="en-US" w:eastAsia="zh-CN"/>
        </w:rPr>
        <w:t>检测</w:t>
      </w:r>
      <w:r>
        <w:rPr>
          <w:rFonts w:hint="default" w:ascii="Times New Roman" w:hAnsi="Times New Roman" w:eastAsia="宋体" w:cs="Times New Roman"/>
          <w:color w:val="auto"/>
          <w:kern w:val="0"/>
          <w:sz w:val="24"/>
          <w:szCs w:val="24"/>
          <w:highlight w:val="none"/>
          <w:lang w:val="en-US" w:eastAsia="zh-CN"/>
        </w:rPr>
        <w:t>分析，本项目使用的燃煤煤质指标</w:t>
      </w:r>
      <w:r>
        <w:rPr>
          <w:rFonts w:hint="default" w:ascii="Times New Roman" w:hAnsi="Times New Roman" w:eastAsia="宋体" w:cs="Times New Roman"/>
          <w:color w:val="auto"/>
          <w:kern w:val="0"/>
          <w:sz w:val="24"/>
          <w:szCs w:val="24"/>
          <w:highlight w:val="none"/>
        </w:rPr>
        <w:t>符合《商品煤质量管理暂行办法</w:t>
      </w:r>
      <w:r>
        <w:rPr>
          <w:rFonts w:hint="eastAsia" w:ascii="Times New Roman" w:hAnsi="Times New Roman"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第六条</w:t>
      </w:r>
      <w:r>
        <w:rPr>
          <w:rFonts w:hint="default" w:ascii="Times New Roman" w:hAnsi="Times New Roman" w:eastAsia="宋体" w:cs="Times New Roman"/>
          <w:color w:val="auto"/>
          <w:kern w:val="0"/>
          <w:sz w:val="24"/>
          <w:szCs w:val="24"/>
          <w:highlight w:val="none"/>
        </w:rPr>
        <w:t>要求</w:t>
      </w:r>
      <w:r>
        <w:rPr>
          <w:rFonts w:hint="default" w:ascii="Times New Roman" w:hAnsi="Times New Roman" w:eastAsia="宋体" w:cs="Times New Roman"/>
          <w:color w:val="auto"/>
          <w:kern w:val="0"/>
          <w:sz w:val="24"/>
          <w:szCs w:val="24"/>
          <w:highlight w:val="none"/>
          <w:lang w:eastAsia="zh-CN"/>
        </w:rPr>
        <w:t>。</w:t>
      </w:r>
    </w:p>
    <w:p w14:paraId="21DA5F6F">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32" w:name="_Toc11197"/>
      <w:bookmarkStart w:id="33" w:name="_Toc20403"/>
      <w:bookmarkStart w:id="34" w:name="_Toc811"/>
      <w:bookmarkStart w:id="35" w:name="_Toc105659859"/>
      <w:bookmarkStart w:id="36" w:name="_Toc107238074"/>
      <w:bookmarkStart w:id="37" w:name="_Toc21616"/>
      <w:r>
        <w:rPr>
          <w:rFonts w:hint="default" w:ascii="Times New Roman" w:hAnsi="Times New Roman" w:eastAsia="宋体" w:cs="Times New Roman"/>
          <w:color w:val="auto"/>
          <w:highlight w:val="none"/>
        </w:rPr>
        <w:t>与《环境空气细颗粒物污染物污染综合防治技术政策》符合性分析</w:t>
      </w:r>
      <w:bookmarkEnd w:id="32"/>
      <w:bookmarkEnd w:id="33"/>
      <w:bookmarkEnd w:id="34"/>
      <w:bookmarkEnd w:id="35"/>
      <w:bookmarkEnd w:id="36"/>
      <w:bookmarkEnd w:id="37"/>
    </w:p>
    <w:p w14:paraId="3F1709BA">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根据《环境空气细颗粒物污染物污染综合防治技术政策》中“三、防治工业污染 （十三）对于排放细颗粒物的工业污染源，应按照生产工艺、排放方式和烟（废）气组成的特点，选取适用的污染防治技术。工业污染源有组织排放的颗粒物，宜采取袋除尘、</w:t>
      </w:r>
      <w:r>
        <w:rPr>
          <w:rFonts w:hint="eastAsia" w:ascii="Times New Roman" w:hAnsi="Times New Roman" w:eastAsia="宋体" w:cs="Times New Roman"/>
          <w:color w:val="auto"/>
          <w:highlight w:val="none"/>
          <w:lang w:eastAsia="zh-CN"/>
        </w:rPr>
        <w:t>电袋除尘</w:t>
      </w:r>
      <w:r>
        <w:rPr>
          <w:rFonts w:hint="default" w:ascii="Times New Roman" w:hAnsi="Times New Roman" w:eastAsia="宋体" w:cs="Times New Roman"/>
          <w:color w:val="auto"/>
          <w:highlight w:val="none"/>
        </w:rPr>
        <w:t>、电袋除尘等高效除尘技术，鼓励火电机组和大型燃煤锅炉采用湿式</w:t>
      </w:r>
      <w:r>
        <w:rPr>
          <w:rFonts w:hint="eastAsia" w:ascii="Times New Roman" w:hAnsi="Times New Roman" w:eastAsia="宋体" w:cs="Times New Roman"/>
          <w:color w:val="auto"/>
          <w:highlight w:val="none"/>
          <w:lang w:eastAsia="zh-CN"/>
        </w:rPr>
        <w:t>电袋除尘</w:t>
      </w:r>
      <w:r>
        <w:rPr>
          <w:rFonts w:hint="default" w:ascii="Times New Roman" w:hAnsi="Times New Roman" w:eastAsia="宋体" w:cs="Times New Roman"/>
          <w:color w:val="auto"/>
          <w:highlight w:val="none"/>
        </w:rPr>
        <w:t>等新技术</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eastAsia="zh-CN"/>
        </w:rPr>
        <w:t>五、防治扬尘污染（二十二）扬尘污染源应以道路扬尘、施工扬尘、粉状物料贮存场扬尘为防治重点。开展城市扬尘综合整治，或适当采用地面硬化措施，遏止扬尘污染。（二十三）对各种施工工地、各种粉状物料贮存场采取设置围挡墙、防尘网和喷洒抑尘剂等有效的防尘、抑尘措施，防止颗粒物逸散。”</w:t>
      </w:r>
      <w:r>
        <w:rPr>
          <w:rFonts w:hint="default" w:ascii="Times New Roman" w:hAnsi="Times New Roman" w:eastAsia="宋体" w:cs="Times New Roman"/>
          <w:color w:val="auto"/>
          <w:highlight w:val="none"/>
        </w:rPr>
        <w:t>“六、防治生活污染（二十八）在城市郊区和农村地区，推广使用清洁能源和高效节能锅炉，有条件的地区宜发展集中供暖或地热等采暖方式，以替代小型燃煤、燃油取暖炉，减轻面源污染。”要求。</w:t>
      </w:r>
    </w:p>
    <w:p w14:paraId="54C17D18">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符合性分析：本项目</w:t>
      </w:r>
      <w:r>
        <w:rPr>
          <w:rFonts w:hint="eastAsia" w:ascii="Times New Roman" w:hAnsi="Times New Roman" w:eastAsia="宋体" w:cs="Times New Roman"/>
          <w:color w:val="auto"/>
          <w:highlight w:val="none"/>
          <w:lang w:eastAsia="zh-CN"/>
        </w:rPr>
        <w:t>建设</w:t>
      </w:r>
      <w:r>
        <w:rPr>
          <w:rFonts w:hint="eastAsia" w:ascii="Times New Roman" w:hAnsi="Times New Roman" w:eastAsia="宋体" w:cs="Times New Roman"/>
          <w:color w:val="auto"/>
          <w:highlight w:val="none"/>
          <w:lang w:val="en-US" w:eastAsia="zh-CN"/>
        </w:rPr>
        <w:t>1台58MW往复炉排热水锅炉</w:t>
      </w:r>
      <w:r>
        <w:rPr>
          <w:rFonts w:hint="eastAsia" w:ascii="Times New Roman" w:hAnsi="Times New Roman" w:eastAsia="宋体" w:cs="Times New Roman"/>
          <w:color w:val="auto"/>
          <w:highlight w:val="none"/>
          <w:lang w:eastAsia="zh-CN"/>
        </w:rPr>
        <w:t>选用</w:t>
      </w:r>
      <w:r>
        <w:rPr>
          <w:rFonts w:hint="eastAsia" w:ascii="Times New Roman" w:hAnsi="Times New Roman" w:eastAsia="宋体" w:cs="Times New Roman"/>
          <w:color w:val="auto"/>
          <w:highlight w:val="none"/>
          <w:lang w:val="en-US" w:eastAsia="zh-CN"/>
        </w:rPr>
        <w:t>炉内喷钙+氨法脱硫+SNCR+亚氯酸钠脱硝+袋式除尘器的</w:t>
      </w:r>
      <w:r>
        <w:rPr>
          <w:rFonts w:hint="default" w:ascii="Times New Roman" w:hAnsi="Times New Roman" w:eastAsia="宋体" w:cs="Times New Roman"/>
          <w:color w:val="auto"/>
          <w:highlight w:val="none"/>
        </w:rPr>
        <w:t>烟气净化技术。</w:t>
      </w:r>
      <w:r>
        <w:rPr>
          <w:rFonts w:hint="eastAsia" w:ascii="Times New Roman" w:hAnsi="Times New Roman" w:eastAsia="宋体" w:cs="Times New Roman"/>
          <w:color w:val="auto"/>
          <w:highlight w:val="none"/>
          <w:lang w:eastAsia="zh-CN"/>
        </w:rPr>
        <w:t>储煤场设置防风抑尘网、围挡墙，</w:t>
      </w:r>
      <w:r>
        <w:rPr>
          <w:rFonts w:hint="default" w:ascii="Times New Roman" w:hAnsi="Times New Roman" w:eastAsia="宋体" w:cs="Times New Roman"/>
          <w:color w:val="auto"/>
          <w:highlight w:val="none"/>
        </w:rPr>
        <w:t>施工区地面洒水，施工运输时对运输车辆加盖苫布，选择远离人群密集区的</w:t>
      </w:r>
      <w:r>
        <w:rPr>
          <w:rFonts w:hint="eastAsia" w:ascii="Times New Roman" w:hAnsi="Times New Roman" w:eastAsia="宋体" w:cs="Times New Roman"/>
          <w:color w:val="auto"/>
          <w:highlight w:val="none"/>
          <w:lang w:eastAsia="zh-CN"/>
        </w:rPr>
        <w:t>行车</w:t>
      </w:r>
      <w:r>
        <w:rPr>
          <w:rFonts w:hint="default" w:ascii="Times New Roman" w:hAnsi="Times New Roman" w:eastAsia="宋体" w:cs="Times New Roman"/>
          <w:color w:val="auto"/>
          <w:highlight w:val="none"/>
        </w:rPr>
        <w:t>路线，并在城区内运输时减速慢行</w:t>
      </w:r>
      <w:r>
        <w:rPr>
          <w:rFonts w:hint="eastAsia" w:ascii="Times New Roman" w:hAnsi="Times New Roman" w:eastAsia="宋体" w:cs="Times New Roman"/>
          <w:color w:val="auto"/>
          <w:highlight w:val="none"/>
          <w:lang w:eastAsia="zh-CN"/>
        </w:rPr>
        <w:t>，防治颗粒物逸散</w:t>
      </w:r>
      <w:r>
        <w:rPr>
          <w:rFonts w:hint="default" w:ascii="Times New Roman" w:hAnsi="Times New Roman" w:eastAsia="宋体" w:cs="Times New Roman"/>
          <w:color w:val="auto"/>
          <w:highlight w:val="none"/>
        </w:rPr>
        <w:t>。通过采取上述废气污染防治措施后，施工扬尘浓度贡献值满足《大气污染物综合排放标准》（GB16297-1996）表2规定的颗粒物无组织排放监控浓度限值。综合分析，本项目采取的污染防治措施符合《环境空气细颗粒物污染物污染综合防治技术政策》要求。</w:t>
      </w:r>
    </w:p>
    <w:p w14:paraId="13135B3F">
      <w:pPr>
        <w:pStyle w:val="6"/>
        <w:numPr>
          <w:ilvl w:val="2"/>
          <w:numId w:val="3"/>
        </w:numPr>
        <w:bidi w:val="0"/>
        <w:ind w:left="709" w:leftChars="0" w:hanging="709" w:firstLineChars="0"/>
        <w:rPr>
          <w:rFonts w:hint="default" w:ascii="Times New Roman" w:hAnsi="Times New Roman" w:eastAsia="宋体" w:cs="Times New Roman"/>
          <w:color w:val="auto"/>
          <w:highlight w:val="none"/>
        </w:rPr>
      </w:pPr>
      <w:bookmarkStart w:id="38" w:name="_Toc18762"/>
      <w:bookmarkStart w:id="39" w:name="_Toc15371"/>
      <w:bookmarkStart w:id="40" w:name="_Toc27217"/>
      <w:r>
        <w:rPr>
          <w:rFonts w:hint="default" w:ascii="Times New Roman" w:hAnsi="Times New Roman" w:eastAsia="宋体" w:cs="Times New Roman"/>
          <w:color w:val="auto"/>
          <w:highlight w:val="none"/>
        </w:rPr>
        <w:t>与《粉煤灰综合利用管理办法》（</w:t>
      </w:r>
      <w:r>
        <w:rPr>
          <w:rFonts w:hint="eastAsia" w:ascii="Times New Roman" w:hAnsi="Times New Roman" w:cs="Times New Roman"/>
          <w:color w:val="auto"/>
          <w:highlight w:val="none"/>
          <w:lang w:eastAsia="zh-CN"/>
        </w:rPr>
        <w:t>国家发展改革委</w:t>
      </w:r>
      <w:r>
        <w:rPr>
          <w:rFonts w:hint="default" w:ascii="Times New Roman" w:hAnsi="Times New Roman" w:eastAsia="宋体" w:cs="Times New Roman"/>
          <w:color w:val="auto"/>
          <w:highlight w:val="none"/>
        </w:rPr>
        <w:t>令第19号）符合性分析</w:t>
      </w:r>
      <w:bookmarkEnd w:id="38"/>
      <w:bookmarkEnd w:id="39"/>
      <w:bookmarkEnd w:id="40"/>
    </w:p>
    <w:p w14:paraId="68606AA8">
      <w:pPr>
        <w:ind w:firstLine="480"/>
        <w:rPr>
          <w:rFonts w:hint="default" w:ascii="Times New Roman" w:hAnsi="Times New Roman" w:eastAsia="宋体" w:cs="Times New Roman"/>
          <w:snapToGrid w:val="0"/>
          <w:color w:val="auto"/>
          <w:highlight w:val="none"/>
        </w:rPr>
      </w:pPr>
      <w:r>
        <w:rPr>
          <w:rFonts w:hint="default" w:ascii="Times New Roman" w:hAnsi="Times New Roman" w:eastAsia="宋体" w:cs="Times New Roman"/>
          <w:snapToGrid w:val="0"/>
          <w:color w:val="auto"/>
          <w:highlight w:val="none"/>
        </w:rPr>
        <w:t>一、相关文件内容</w:t>
      </w:r>
    </w:p>
    <w:p w14:paraId="11D7F360">
      <w:pPr>
        <w:ind w:firstLine="480"/>
        <w:rPr>
          <w:rFonts w:hint="default" w:ascii="Times New Roman" w:hAnsi="Times New Roman" w:eastAsia="宋体" w:cs="Times New Roman"/>
          <w:snapToGrid w:val="0"/>
          <w:color w:val="auto"/>
          <w:highlight w:val="none"/>
        </w:rPr>
      </w:pPr>
      <w:r>
        <w:rPr>
          <w:rFonts w:hint="default" w:ascii="Times New Roman" w:hAnsi="Times New Roman" w:eastAsia="宋体" w:cs="Times New Roman"/>
          <w:snapToGrid w:val="0"/>
          <w:color w:val="auto"/>
          <w:highlight w:val="none"/>
        </w:rPr>
        <w:t>第十条 综合利用方案中涉及粉煤灰存储、装运的设施和装备以及产灰单位自行建设粉煤灰综合利用工程的要与主体工程同时设计、同时施工、同时建成，综合利用中涉及为其他单位提供粉煤灰的，用灰单位应符合国家产业政策且具备相应的处理能力。</w:t>
      </w:r>
    </w:p>
    <w:p w14:paraId="692D6968">
      <w:pPr>
        <w:ind w:firstLine="480"/>
        <w:rPr>
          <w:rFonts w:hint="default" w:ascii="Times New Roman" w:hAnsi="Times New Roman" w:eastAsia="宋体" w:cs="Times New Roman"/>
          <w:snapToGrid w:val="0"/>
          <w:color w:val="auto"/>
          <w:highlight w:val="none"/>
        </w:rPr>
      </w:pPr>
      <w:r>
        <w:rPr>
          <w:rFonts w:hint="default" w:ascii="Times New Roman" w:hAnsi="Times New Roman" w:eastAsia="宋体" w:cs="Times New Roman"/>
          <w:snapToGrid w:val="0"/>
          <w:color w:val="auto"/>
          <w:highlight w:val="none"/>
        </w:rPr>
        <w:t>第十一条 新建电厂应综合考虑周边粉煤灰利用能力，以及节约土地、防止环境污染，避免建设永久性粉煤灰堆场（库），确需建设的，原则上占地规模不超过3年储灰量设计。</w:t>
      </w:r>
    </w:p>
    <w:p w14:paraId="6FBA0867">
      <w:pPr>
        <w:ind w:firstLine="480"/>
        <w:rPr>
          <w:rFonts w:hint="default" w:ascii="Times New Roman" w:hAnsi="Times New Roman" w:eastAsia="宋体" w:cs="Times New Roman"/>
          <w:snapToGrid w:val="0"/>
          <w:color w:val="auto"/>
          <w:highlight w:val="none"/>
        </w:rPr>
      </w:pPr>
      <w:r>
        <w:rPr>
          <w:rFonts w:hint="default" w:ascii="Times New Roman" w:hAnsi="Times New Roman" w:eastAsia="宋体" w:cs="Times New Roman"/>
          <w:snapToGrid w:val="0"/>
          <w:color w:val="auto"/>
          <w:highlight w:val="none"/>
        </w:rPr>
        <w:t>第十七条 鼓励产灰单位与用灰单位签订长期供应协议。</w:t>
      </w:r>
    </w:p>
    <w:p w14:paraId="38A7F0AC">
      <w:pPr>
        <w:ind w:firstLine="480"/>
        <w:rPr>
          <w:rFonts w:hint="default" w:ascii="Times New Roman" w:hAnsi="Times New Roman" w:eastAsia="宋体" w:cs="Times New Roman"/>
          <w:snapToGrid w:val="0"/>
          <w:color w:val="auto"/>
          <w:highlight w:val="none"/>
        </w:rPr>
      </w:pPr>
      <w:r>
        <w:rPr>
          <w:rFonts w:hint="default" w:ascii="Times New Roman" w:hAnsi="Times New Roman" w:eastAsia="宋体" w:cs="Times New Roman"/>
          <w:snapToGrid w:val="0"/>
          <w:color w:val="auto"/>
          <w:highlight w:val="none"/>
        </w:rPr>
        <w:t>二、符合性分析</w:t>
      </w:r>
    </w:p>
    <w:p w14:paraId="78654C1F">
      <w:pPr>
        <w:bidi w:val="0"/>
        <w:rPr>
          <w:rFonts w:hint="default" w:ascii="Times New Roman" w:hAnsi="Times New Roman" w:eastAsia="宋体" w:cs="Times New Roman"/>
          <w:snapToGrid w:val="0"/>
          <w:color w:val="auto"/>
          <w:highlight w:val="none"/>
        </w:rPr>
      </w:pPr>
      <w:r>
        <w:rPr>
          <w:rFonts w:hint="default" w:ascii="Times New Roman" w:hAnsi="Times New Roman" w:eastAsia="宋体" w:cs="Times New Roman"/>
          <w:snapToGrid w:val="0"/>
          <w:color w:val="auto"/>
          <w:highlight w:val="none"/>
        </w:rPr>
        <w:t>本项目运营期产生的锅炉</w:t>
      </w:r>
      <w:r>
        <w:rPr>
          <w:rFonts w:hint="default" w:ascii="Times New Roman" w:hAnsi="Times New Roman" w:eastAsia="宋体" w:cs="Times New Roman"/>
          <w:snapToGrid w:val="0"/>
          <w:color w:val="auto"/>
          <w:highlight w:val="none"/>
          <w:lang w:val="en-US" w:eastAsia="zh-CN"/>
        </w:rPr>
        <w:t>灰渣</w:t>
      </w:r>
      <w:r>
        <w:rPr>
          <w:rFonts w:hint="default" w:ascii="Times New Roman" w:hAnsi="Times New Roman" w:eastAsia="宋体" w:cs="Times New Roman"/>
          <w:snapToGrid w:val="0"/>
          <w:color w:val="auto"/>
          <w:highlight w:val="none"/>
        </w:rPr>
        <w:t>在厂区暂存后外售</w:t>
      </w:r>
      <w:r>
        <w:rPr>
          <w:rFonts w:hint="eastAsia" w:ascii="Times New Roman" w:hAnsi="Times New Roman" w:eastAsia="宋体" w:cs="Times New Roman"/>
          <w:snapToGrid w:val="0"/>
          <w:color w:val="auto"/>
          <w:highlight w:val="none"/>
          <w:lang w:eastAsia="zh-CN"/>
        </w:rPr>
        <w:t>佳木斯北方奥特建材有限公司</w:t>
      </w:r>
      <w:r>
        <w:rPr>
          <w:rFonts w:hint="default" w:ascii="Times New Roman" w:hAnsi="Times New Roman" w:eastAsia="宋体" w:cs="Times New Roman"/>
          <w:snapToGrid w:val="0"/>
          <w:color w:val="auto"/>
          <w:highlight w:val="none"/>
        </w:rPr>
        <w:t>综合利用，</w:t>
      </w:r>
      <w:r>
        <w:rPr>
          <w:rFonts w:hint="eastAsia" w:ascii="Times New Roman" w:hAnsi="Times New Roman" w:eastAsia="宋体" w:cs="Times New Roman"/>
          <w:color w:val="auto"/>
          <w:highlight w:val="none"/>
          <w:lang w:val="en-US" w:eastAsia="zh-CN"/>
        </w:rPr>
        <w:t>佳木斯北方奥特建材有限公司</w:t>
      </w:r>
      <w:r>
        <w:rPr>
          <w:rFonts w:hint="eastAsia" w:ascii="Times New Roman" w:hAnsi="Times New Roman" w:eastAsia="宋体" w:cs="Times New Roman"/>
          <w:snapToGrid w:val="0"/>
          <w:color w:val="auto"/>
          <w:highlight w:val="none"/>
          <w:lang w:eastAsia="zh-CN"/>
        </w:rPr>
        <w:t>具备相应处理能力</w:t>
      </w:r>
      <w:r>
        <w:rPr>
          <w:rFonts w:hint="default" w:ascii="Times New Roman" w:hAnsi="Times New Roman" w:eastAsia="宋体" w:cs="Times New Roman"/>
          <w:snapToGrid w:val="0"/>
          <w:color w:val="auto"/>
          <w:highlight w:val="none"/>
        </w:rPr>
        <w:t>。</w:t>
      </w:r>
      <w:r>
        <w:rPr>
          <w:rFonts w:hint="eastAsia" w:ascii="Times New Roman" w:hAnsi="Times New Roman" w:eastAsia="宋体" w:cs="Times New Roman"/>
          <w:snapToGrid w:val="0"/>
          <w:color w:val="auto"/>
          <w:sz w:val="24"/>
          <w:szCs w:val="24"/>
          <w:highlight w:val="none"/>
          <w:vertAlign w:val="baseline"/>
          <w:lang w:val="en-US" w:eastAsia="zh-CN"/>
        </w:rPr>
        <w:t>厂区内现有1座全封闭渣库和1</w:t>
      </w:r>
      <w:r>
        <w:rPr>
          <w:rFonts w:hint="default" w:ascii="Times New Roman" w:hAnsi="Times New Roman" w:eastAsia="宋体" w:cs="Times New Roman"/>
          <w:color w:val="auto"/>
          <w:sz w:val="24"/>
          <w:szCs w:val="24"/>
          <w:highlight w:val="none"/>
          <w:lang w:val="en-US" w:eastAsia="zh-CN"/>
        </w:rPr>
        <w:t>座全封闭贮</w:t>
      </w:r>
      <w:r>
        <w:rPr>
          <w:rFonts w:hint="eastAsia" w:ascii="Times New Roman" w:hAnsi="Times New Roman" w:eastAsia="宋体" w:cs="Times New Roman"/>
          <w:color w:val="auto"/>
          <w:sz w:val="24"/>
          <w:szCs w:val="24"/>
          <w:highlight w:val="none"/>
          <w:lang w:val="en-US" w:eastAsia="zh-CN"/>
        </w:rPr>
        <w:t>灰库</w:t>
      </w:r>
      <w:r>
        <w:rPr>
          <w:rFonts w:hint="default" w:ascii="Times New Roman" w:hAnsi="Times New Roman" w:eastAsia="宋体" w:cs="Times New Roman"/>
          <w:color w:val="auto"/>
          <w:sz w:val="24"/>
          <w:szCs w:val="24"/>
          <w:highlight w:val="none"/>
          <w:lang w:val="en-US" w:eastAsia="zh-CN"/>
        </w:rPr>
        <w:t>，容积</w:t>
      </w:r>
      <w:r>
        <w:rPr>
          <w:rFonts w:hint="eastAsia" w:ascii="Times New Roman" w:hAnsi="Times New Roman" w:eastAsia="宋体" w:cs="Times New Roman"/>
          <w:color w:val="auto"/>
          <w:sz w:val="24"/>
          <w:szCs w:val="24"/>
          <w:highlight w:val="none"/>
          <w:lang w:val="en-US" w:eastAsia="zh-CN"/>
        </w:rPr>
        <w:t>分别</w:t>
      </w:r>
      <w:r>
        <w:rPr>
          <w:rFonts w:hint="default" w:ascii="Times New Roman" w:hAnsi="Times New Roman" w:eastAsia="宋体" w:cs="Times New Roman"/>
          <w:color w:val="auto"/>
          <w:sz w:val="24"/>
          <w:szCs w:val="24"/>
          <w:highlight w:val="none"/>
          <w:lang w:val="en-US" w:eastAsia="zh-CN"/>
        </w:rPr>
        <w:t>为</w:t>
      </w:r>
      <w:r>
        <w:rPr>
          <w:rFonts w:hint="eastAsia" w:ascii="Times New Roman" w:hAnsi="Times New Roman" w:eastAsia="宋体" w:cs="Times New Roman"/>
          <w:color w:val="auto"/>
          <w:sz w:val="24"/>
          <w:szCs w:val="24"/>
          <w:highlight w:val="none"/>
          <w:lang w:val="en-US" w:eastAsia="zh-CN"/>
        </w:rPr>
        <w:t>10000m</w:t>
      </w:r>
      <w:r>
        <w:rPr>
          <w:rFonts w:hint="eastAsia" w:ascii="Times New Roman" w:hAnsi="Times New Roman" w:eastAsia="宋体" w:cs="Times New Roman"/>
          <w:color w:val="auto"/>
          <w:sz w:val="24"/>
          <w:szCs w:val="24"/>
          <w:highlight w:val="none"/>
          <w:vertAlign w:val="superscript"/>
          <w:lang w:val="en-US" w:eastAsia="zh-CN"/>
        </w:rPr>
        <w:t>3</w:t>
      </w:r>
      <w:r>
        <w:rPr>
          <w:rFonts w:hint="eastAsia" w:ascii="Times New Roman" w:hAnsi="Times New Roman" w:eastAsia="宋体" w:cs="Times New Roman"/>
          <w:color w:val="auto"/>
          <w:sz w:val="24"/>
          <w:szCs w:val="24"/>
          <w:highlight w:val="none"/>
          <w:lang w:val="en-US" w:eastAsia="zh-CN"/>
        </w:rPr>
        <w:t>和350</w:t>
      </w:r>
      <w:r>
        <w:rPr>
          <w:rFonts w:hint="default" w:ascii="Times New Roman" w:hAnsi="Times New Roman" w:eastAsia="宋体" w:cs="Times New Roman"/>
          <w:color w:val="auto"/>
          <w:sz w:val="24"/>
          <w:szCs w:val="24"/>
          <w:highlight w:val="none"/>
          <w:lang w:val="en-US" w:eastAsia="zh-CN"/>
        </w:rPr>
        <w:t>00m</w:t>
      </w:r>
      <w:r>
        <w:rPr>
          <w:rFonts w:hint="default" w:ascii="Times New Roman" w:hAnsi="Times New Roman" w:eastAsia="宋体" w:cs="Times New Roman"/>
          <w:color w:val="auto"/>
          <w:sz w:val="24"/>
          <w:szCs w:val="24"/>
          <w:highlight w:val="none"/>
          <w:vertAlign w:val="superscript"/>
          <w:lang w:val="en-US" w:eastAsia="zh-CN"/>
        </w:rPr>
        <w:t>3</w:t>
      </w:r>
      <w:r>
        <w:rPr>
          <w:rFonts w:hint="eastAsia" w:ascii="Times New Roman" w:hAnsi="Times New Roman" w:eastAsia="宋体" w:cs="Times New Roman"/>
          <w:color w:val="auto"/>
          <w:sz w:val="24"/>
          <w:szCs w:val="24"/>
          <w:highlight w:val="none"/>
          <w:vertAlign w:val="baseline"/>
          <w:lang w:val="en-US" w:eastAsia="zh-CN"/>
        </w:rPr>
        <w:t>用于</w:t>
      </w:r>
      <w:r>
        <w:rPr>
          <w:rFonts w:hint="default" w:ascii="Times New Roman" w:hAnsi="Times New Roman" w:eastAsia="宋体" w:cs="Times New Roman"/>
          <w:snapToGrid w:val="0"/>
          <w:color w:val="auto"/>
          <w:sz w:val="24"/>
          <w:szCs w:val="24"/>
          <w:highlight w:val="none"/>
        </w:rPr>
        <w:t>储存本项目产生的锅炉</w:t>
      </w:r>
      <w:r>
        <w:rPr>
          <w:rFonts w:hint="eastAsia" w:ascii="Times New Roman" w:hAnsi="Times New Roman" w:eastAsia="宋体" w:cs="Times New Roman"/>
          <w:snapToGrid w:val="0"/>
          <w:color w:val="auto"/>
          <w:sz w:val="24"/>
          <w:szCs w:val="24"/>
          <w:highlight w:val="none"/>
          <w:lang w:eastAsia="zh-CN"/>
        </w:rPr>
        <w:t>灰</w:t>
      </w:r>
      <w:r>
        <w:rPr>
          <w:rFonts w:hint="default" w:ascii="Times New Roman" w:hAnsi="Times New Roman" w:eastAsia="宋体" w:cs="Times New Roman"/>
          <w:snapToGrid w:val="0"/>
          <w:color w:val="auto"/>
          <w:sz w:val="24"/>
          <w:szCs w:val="24"/>
          <w:highlight w:val="none"/>
        </w:rPr>
        <w:t>渣，</w:t>
      </w:r>
      <w:r>
        <w:rPr>
          <w:rFonts w:hint="eastAsia" w:ascii="Times New Roman" w:hAnsi="Times New Roman" w:eastAsia="宋体" w:cs="Times New Roman"/>
          <w:snapToGrid w:val="0"/>
          <w:color w:val="auto"/>
          <w:sz w:val="24"/>
          <w:szCs w:val="24"/>
          <w:highlight w:val="none"/>
          <w:lang w:val="en-US" w:eastAsia="zh-CN"/>
        </w:rPr>
        <w:t>渣库和</w:t>
      </w:r>
      <w:r>
        <w:rPr>
          <w:rFonts w:hint="eastAsia" w:ascii="Times New Roman" w:hAnsi="Times New Roman" w:eastAsia="宋体" w:cs="Times New Roman"/>
          <w:snapToGrid w:val="0"/>
          <w:color w:val="auto"/>
          <w:sz w:val="24"/>
          <w:szCs w:val="24"/>
          <w:highlight w:val="none"/>
          <w:lang w:eastAsia="zh-CN"/>
        </w:rPr>
        <w:t>灰库</w:t>
      </w:r>
      <w:r>
        <w:rPr>
          <w:rFonts w:hint="eastAsia" w:ascii="Times New Roman" w:hAnsi="Times New Roman" w:eastAsia="宋体" w:cs="Times New Roman"/>
          <w:snapToGrid w:val="0"/>
          <w:color w:val="auto"/>
          <w:sz w:val="24"/>
          <w:szCs w:val="24"/>
          <w:highlight w:val="none"/>
          <w:lang w:val="en-US" w:eastAsia="zh-CN"/>
        </w:rPr>
        <w:t>均已建成</w:t>
      </w:r>
      <w:r>
        <w:rPr>
          <w:rFonts w:hint="default" w:ascii="Times New Roman" w:hAnsi="Times New Roman" w:eastAsia="宋体" w:cs="Times New Roman"/>
          <w:snapToGrid w:val="0"/>
          <w:color w:val="auto"/>
          <w:highlight w:val="none"/>
        </w:rPr>
        <w:t>。综合分析，本项目符合《粉煤灰综合利用管理办法》相关要求。</w:t>
      </w:r>
    </w:p>
    <w:p w14:paraId="2E68A0BC">
      <w:pPr>
        <w:pStyle w:val="6"/>
        <w:numPr>
          <w:ilvl w:val="2"/>
          <w:numId w:val="3"/>
        </w:numPr>
        <w:bidi w:val="0"/>
        <w:ind w:left="709" w:leftChars="0" w:hanging="709" w:firstLineChars="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与</w:t>
      </w:r>
      <w:r>
        <w:rPr>
          <w:rFonts w:hint="default" w:ascii="Times New Roman" w:hAnsi="Times New Roman" w:eastAsia="宋体" w:cs="Times New Roman"/>
          <w:color w:val="auto"/>
          <w:highlight w:val="none"/>
        </w:rPr>
        <w:t>《国务院关于印发</w:t>
      </w:r>
      <w:r>
        <w:rPr>
          <w:rFonts w:hint="eastAsia" w:ascii="Times New Roman" w:hAnsi="Times New Roman" w:cs="Times New Roman"/>
          <w:color w:val="auto"/>
          <w:highlight w:val="none"/>
          <w:lang w:eastAsia="zh-CN"/>
        </w:rPr>
        <w:t>＜</w:t>
      </w:r>
      <w:r>
        <w:rPr>
          <w:rFonts w:hint="default" w:ascii="Times New Roman" w:hAnsi="Times New Roman" w:eastAsia="宋体" w:cs="Times New Roman"/>
          <w:color w:val="auto"/>
          <w:highlight w:val="none"/>
        </w:rPr>
        <w:t>空气质量持续改善行动计划的通知</w:t>
      </w:r>
      <w:r>
        <w:rPr>
          <w:rFonts w:hint="default" w:ascii="Times New Roman" w:hAnsi="Times New Roman" w:cs="Times New Roman"/>
          <w:color w:val="auto"/>
          <w:highlight w:val="none"/>
          <w:lang w:eastAsia="zh-CN"/>
        </w:rPr>
        <w:t>＞</w:t>
      </w:r>
      <w:r>
        <w:rPr>
          <w:rFonts w:hint="eastAsia" w:ascii="Times New Roman" w:hAnsi="Times New Roman" w:cs="Times New Roman"/>
          <w:color w:val="auto"/>
          <w:highlight w:val="none"/>
          <w:lang w:eastAsia="zh-CN"/>
        </w:rPr>
        <w:t>》</w:t>
      </w:r>
      <w:r>
        <w:rPr>
          <w:rFonts w:hint="default" w:ascii="Times New Roman" w:hAnsi="Times New Roman" w:eastAsia="宋体" w:cs="Times New Roman"/>
          <w:color w:val="auto"/>
          <w:highlight w:val="none"/>
        </w:rPr>
        <w:t>（国发</w:t>
      </w:r>
      <w:r>
        <w:rPr>
          <w:rFonts w:hint="eastAsia" w:ascii="Times New Roman" w:hAnsi="Times New Roman" w:cs="Times New Roman"/>
          <w:color w:val="auto"/>
          <w:highlight w:val="none"/>
          <w:lang w:eastAsia="zh-CN"/>
        </w:rPr>
        <w:t>〔</w:t>
      </w:r>
      <w:r>
        <w:rPr>
          <w:rFonts w:hint="default" w:ascii="Times New Roman" w:hAnsi="Times New Roman" w:eastAsia="宋体" w:cs="Times New Roman"/>
          <w:color w:val="auto"/>
          <w:highlight w:val="none"/>
        </w:rPr>
        <w:t>2023</w:t>
      </w:r>
      <w:r>
        <w:rPr>
          <w:rFonts w:hint="eastAsia" w:ascii="Times New Roman" w:hAnsi="Times New Roman" w:cs="Times New Roman"/>
          <w:color w:val="auto"/>
          <w:highlight w:val="none"/>
          <w:lang w:eastAsia="zh-CN"/>
        </w:rPr>
        <w:t>〕</w:t>
      </w:r>
      <w:r>
        <w:rPr>
          <w:rFonts w:hint="default" w:ascii="Times New Roman" w:hAnsi="Times New Roman" w:eastAsia="宋体" w:cs="Times New Roman"/>
          <w:color w:val="auto"/>
          <w:highlight w:val="none"/>
        </w:rPr>
        <w:t>24号）</w:t>
      </w:r>
      <w:r>
        <w:rPr>
          <w:rFonts w:hint="default" w:ascii="Times New Roman" w:hAnsi="Times New Roman" w:eastAsia="宋体" w:cs="Times New Roman"/>
          <w:color w:val="auto"/>
          <w:highlight w:val="none"/>
          <w:lang w:val="en-US" w:eastAsia="zh-CN"/>
        </w:rPr>
        <w:t>符合性分析</w:t>
      </w:r>
    </w:p>
    <w:p w14:paraId="0BD163F7">
      <w:pPr>
        <w:bidi w:val="0"/>
        <w:rPr>
          <w:rFonts w:hint="default" w:ascii="Times New Roman" w:hAnsi="Times New Roman" w:eastAsia="宋体" w:cs="Times New Roman"/>
          <w:snapToGrid w:val="0"/>
          <w:color w:val="auto"/>
          <w:highlight w:val="none"/>
          <w:lang w:val="en-US" w:eastAsia="zh-CN"/>
        </w:rPr>
      </w:pPr>
      <w:r>
        <w:rPr>
          <w:rFonts w:hint="default" w:ascii="Times New Roman" w:hAnsi="Times New Roman" w:eastAsia="宋体" w:cs="Times New Roman"/>
          <w:snapToGrid w:val="0"/>
          <w:color w:val="auto"/>
          <w:highlight w:val="none"/>
        </w:rPr>
        <w:t>一、相关文件内容</w:t>
      </w:r>
    </w:p>
    <w:p w14:paraId="14CC8202">
      <w:pPr>
        <w:bidi w:val="0"/>
        <w:rPr>
          <w:rFonts w:hint="default" w:ascii="Times New Roman" w:hAnsi="Times New Roman" w:eastAsia="宋体" w:cs="Times New Roman"/>
          <w:snapToGrid w:val="0"/>
          <w:color w:val="auto"/>
          <w:highlight w:val="none"/>
          <w:lang w:val="en-US" w:eastAsia="zh-CN"/>
        </w:rPr>
      </w:pPr>
      <w:r>
        <w:rPr>
          <w:rFonts w:hint="default" w:ascii="Times New Roman" w:hAnsi="Times New Roman" w:eastAsia="宋体" w:cs="Times New Roman"/>
          <w:snapToGrid w:val="0"/>
          <w:color w:val="auto"/>
          <w:highlight w:val="none"/>
          <w:lang w:val="en-US" w:eastAsia="zh-CN"/>
        </w:rPr>
        <w:t>（十一）积极开展燃煤锅炉关停整合。各地要将燃煤供热锅炉替代项目纳入城镇供热规划。县级及以上城市建成区原则上不再新建35蒸吨/小时及以下燃煤锅炉，重点区域原则上不再新建除集中供暖外的燃煤锅炉。加快热力管网建设，依托电厂、大型工业企业开展远距离供热示范，淘汰管网覆盖范围内的燃煤锅炉和散煤。到2025年，PM</w:t>
      </w:r>
      <w:r>
        <w:rPr>
          <w:rFonts w:hint="default" w:ascii="Times New Roman" w:hAnsi="Times New Roman" w:eastAsia="宋体" w:cs="Times New Roman"/>
          <w:snapToGrid w:val="0"/>
          <w:color w:val="auto"/>
          <w:highlight w:val="none"/>
          <w:vertAlign w:val="subscript"/>
          <w:lang w:val="en-US" w:eastAsia="zh-CN"/>
        </w:rPr>
        <w:t>2.5</w:t>
      </w:r>
      <w:r>
        <w:rPr>
          <w:rFonts w:hint="default" w:ascii="Times New Roman" w:hAnsi="Times New Roman" w:eastAsia="宋体" w:cs="Times New Roman"/>
          <w:snapToGrid w:val="0"/>
          <w:color w:val="auto"/>
          <w:highlight w:val="none"/>
          <w:lang w:val="en-US" w:eastAsia="zh-CN"/>
        </w:rPr>
        <w:t>未达标城市基本淘汰10蒸吨/小时及以下燃煤锅炉；重点区域基本淘汰35蒸吨/小时及以下燃煤锅炉及茶水炉、经营性炉灶、储粮烘干设备、农产品加工等燃煤设施，充分发挥30万千瓦及以上热电联产电厂的供热能力，对其供热半径30公里范围内的燃煤锅炉和落后燃煤小热电机组（含自备电厂）进行关停或整合。</w:t>
      </w:r>
    </w:p>
    <w:p w14:paraId="4C7E3E33">
      <w:pPr>
        <w:bidi w:val="0"/>
        <w:rPr>
          <w:rFonts w:hint="default" w:ascii="Times New Roman" w:hAnsi="Times New Roman" w:eastAsia="宋体" w:cs="Times New Roman"/>
          <w:snapToGrid w:val="0"/>
          <w:color w:val="auto"/>
          <w:highlight w:val="none"/>
          <w:lang w:val="en-US" w:eastAsia="zh-CN"/>
        </w:rPr>
      </w:pPr>
      <w:r>
        <w:rPr>
          <w:rFonts w:hint="default" w:ascii="Times New Roman" w:hAnsi="Times New Roman" w:eastAsia="宋体" w:cs="Times New Roman"/>
          <w:snapToGrid w:val="0"/>
          <w:color w:val="auto"/>
          <w:highlight w:val="none"/>
          <w:lang w:val="en-US" w:eastAsia="zh-CN"/>
        </w:rPr>
        <w:t>（十三）持续推进北方地区清洁取暖。因地制宜成片推进北方地区清洁取暖，确保群众温暖过冬。加大民用、农用散煤替代力度，重点区域平原地区散煤基本清零，逐步推进山区散煤清洁能源替代。纳入中央财政支持北方地区清洁取暖范围的城市，保质保量完成改造任务，其中“煤改气”要落实气源、以供定改。全面提升建筑能效水平，加快既有农房节能改造。各地依法将整体完成清洁取暖改造的地区划定为高污染燃料禁燃区，防止散煤复烧。对暂未实施清洁取暖的地区，强化商品煤质量监管。</w:t>
      </w:r>
    </w:p>
    <w:p w14:paraId="7F450660">
      <w:pPr>
        <w:bidi w:val="0"/>
        <w:rPr>
          <w:rFonts w:hint="default" w:ascii="Times New Roman" w:hAnsi="Times New Roman" w:eastAsia="宋体" w:cs="Times New Roman"/>
          <w:snapToGrid w:val="0"/>
          <w:color w:val="auto"/>
          <w:highlight w:val="none"/>
        </w:rPr>
      </w:pPr>
      <w:r>
        <w:rPr>
          <w:rFonts w:hint="default" w:ascii="Times New Roman" w:hAnsi="Times New Roman" w:eastAsia="宋体" w:cs="Times New Roman"/>
          <w:snapToGrid w:val="0"/>
          <w:color w:val="auto"/>
          <w:highlight w:val="none"/>
          <w:lang w:val="en-US" w:eastAsia="zh-CN"/>
        </w:rPr>
        <w:t>二</w:t>
      </w:r>
      <w:r>
        <w:rPr>
          <w:rFonts w:hint="default" w:ascii="Times New Roman" w:hAnsi="Times New Roman" w:eastAsia="宋体" w:cs="Times New Roman"/>
          <w:snapToGrid w:val="0"/>
          <w:color w:val="auto"/>
          <w:highlight w:val="none"/>
        </w:rPr>
        <w:t>、符合性分析</w:t>
      </w:r>
    </w:p>
    <w:p w14:paraId="763B8690">
      <w:pPr>
        <w:bidi w:val="0"/>
        <w:rPr>
          <w:rFonts w:hint="default" w:ascii="Times New Roman" w:hAnsi="Times New Roman" w:eastAsia="宋体" w:cs="Times New Roman"/>
          <w:snapToGrid w:val="0"/>
          <w:color w:val="auto"/>
          <w:highlight w:val="none"/>
        </w:rPr>
      </w:pPr>
      <w:r>
        <w:rPr>
          <w:rFonts w:hint="default" w:ascii="Times New Roman" w:hAnsi="Times New Roman" w:eastAsia="宋体" w:cs="Times New Roman"/>
          <w:snapToGrid w:val="0"/>
          <w:color w:val="auto"/>
          <w:highlight w:val="none"/>
        </w:rPr>
        <w:t>本项目</w:t>
      </w:r>
      <w:r>
        <w:rPr>
          <w:rFonts w:hint="default" w:ascii="Times New Roman" w:hAnsi="Times New Roman" w:eastAsia="宋体" w:cs="Times New Roman"/>
          <w:snapToGrid w:val="0"/>
          <w:color w:val="auto"/>
          <w:highlight w:val="none"/>
          <w:lang w:eastAsia="zh-CN"/>
        </w:rPr>
        <w:t>建设</w:t>
      </w:r>
      <w:r>
        <w:rPr>
          <w:rFonts w:hint="eastAsia" w:ascii="Times New Roman" w:hAnsi="Times New Roman" w:eastAsia="宋体" w:cs="Times New Roman"/>
          <w:snapToGrid w:val="0"/>
          <w:color w:val="auto"/>
          <w:highlight w:val="none"/>
          <w:lang w:val="en-US" w:eastAsia="zh-CN"/>
        </w:rPr>
        <w:t>5#</w:t>
      </w:r>
      <w:r>
        <w:rPr>
          <w:rFonts w:hint="default" w:ascii="Times New Roman" w:hAnsi="Times New Roman" w:eastAsia="宋体" w:cs="Times New Roman"/>
          <w:snapToGrid w:val="0"/>
          <w:color w:val="auto"/>
          <w:highlight w:val="none"/>
          <w:lang w:val="en-US" w:eastAsia="zh-CN"/>
        </w:rPr>
        <w:t>锅炉</w:t>
      </w:r>
      <w:r>
        <w:rPr>
          <w:rFonts w:hint="default" w:ascii="Times New Roman" w:hAnsi="Times New Roman" w:eastAsia="宋体" w:cs="Times New Roman"/>
          <w:snapToGrid w:val="0"/>
          <w:color w:val="auto"/>
          <w:highlight w:val="none"/>
          <w:lang w:eastAsia="zh-CN"/>
        </w:rPr>
        <w:t>作为佳木斯中恒热电有限公司的调峰锅炉，</w:t>
      </w:r>
      <w:r>
        <w:rPr>
          <w:rFonts w:hint="default" w:ascii="Times New Roman" w:hAnsi="Times New Roman" w:eastAsia="宋体" w:cs="Times New Roman"/>
          <w:snapToGrid w:val="0"/>
          <w:color w:val="auto"/>
          <w:highlight w:val="none"/>
          <w:lang w:val="en-US" w:eastAsia="zh-CN"/>
        </w:rPr>
        <w:t>用于调峰供热。使用的烟煤满足《商品煤质量管理暂行办法》，本工程通过大型集中供热工程替代分散小锅炉房，有效地提高了资源、能源利用率，烟气排放满足超低排放要求。</w:t>
      </w:r>
      <w:r>
        <w:rPr>
          <w:rFonts w:hint="default" w:ascii="Times New Roman" w:hAnsi="Times New Roman" w:eastAsia="宋体" w:cs="Times New Roman"/>
          <w:snapToGrid w:val="0"/>
          <w:color w:val="auto"/>
          <w:highlight w:val="none"/>
        </w:rPr>
        <w:t>综合分析，本项目符合《国务院关于印发</w:t>
      </w:r>
      <w:r>
        <w:rPr>
          <w:rFonts w:hint="default" w:ascii="Times New Roman" w:hAnsi="Times New Roman" w:eastAsia="宋体" w:cs="Times New Roman"/>
          <w:snapToGrid w:val="0"/>
          <w:color w:val="auto"/>
          <w:highlight w:val="none"/>
          <w:lang w:eastAsia="zh-CN"/>
        </w:rPr>
        <w:t>＜空气质量持续改善行动计划的通知＞》</w:t>
      </w:r>
      <w:r>
        <w:rPr>
          <w:rFonts w:hint="default" w:ascii="Times New Roman" w:hAnsi="Times New Roman" w:eastAsia="宋体" w:cs="Times New Roman"/>
          <w:snapToGrid w:val="0"/>
          <w:color w:val="auto"/>
          <w:highlight w:val="none"/>
        </w:rPr>
        <w:t>（国发</w:t>
      </w:r>
      <w:r>
        <w:rPr>
          <w:rFonts w:hint="default" w:ascii="Times New Roman" w:hAnsi="Times New Roman" w:eastAsia="宋体" w:cs="Times New Roman"/>
          <w:snapToGrid w:val="0"/>
          <w:color w:val="auto"/>
          <w:highlight w:val="none"/>
          <w:lang w:eastAsia="zh-CN"/>
        </w:rPr>
        <w:t>〔</w:t>
      </w:r>
      <w:r>
        <w:rPr>
          <w:rFonts w:hint="default" w:ascii="Times New Roman" w:hAnsi="Times New Roman" w:eastAsia="宋体" w:cs="Times New Roman"/>
          <w:snapToGrid w:val="0"/>
          <w:color w:val="auto"/>
          <w:highlight w:val="none"/>
        </w:rPr>
        <w:t>2023</w:t>
      </w:r>
      <w:r>
        <w:rPr>
          <w:rFonts w:hint="default" w:ascii="Times New Roman" w:hAnsi="Times New Roman" w:eastAsia="宋体" w:cs="Times New Roman"/>
          <w:snapToGrid w:val="0"/>
          <w:color w:val="auto"/>
          <w:highlight w:val="none"/>
          <w:lang w:eastAsia="zh-CN"/>
        </w:rPr>
        <w:t>〕</w:t>
      </w:r>
      <w:r>
        <w:rPr>
          <w:rFonts w:hint="default" w:ascii="Times New Roman" w:hAnsi="Times New Roman" w:eastAsia="宋体" w:cs="Times New Roman"/>
          <w:snapToGrid w:val="0"/>
          <w:color w:val="auto"/>
          <w:highlight w:val="none"/>
        </w:rPr>
        <w:t>24号）</w:t>
      </w:r>
      <w:r>
        <w:rPr>
          <w:rFonts w:hint="default" w:ascii="Times New Roman" w:hAnsi="Times New Roman" w:eastAsia="宋体" w:cs="Times New Roman"/>
          <w:snapToGrid w:val="0"/>
          <w:color w:val="auto"/>
          <w:highlight w:val="none"/>
          <w:lang w:val="en-US" w:eastAsia="zh-CN"/>
        </w:rPr>
        <w:t>相关要求。</w:t>
      </w:r>
    </w:p>
    <w:p w14:paraId="1232553C">
      <w:pPr>
        <w:pStyle w:val="6"/>
        <w:numPr>
          <w:ilvl w:val="2"/>
          <w:numId w:val="3"/>
        </w:numPr>
        <w:bidi w:val="0"/>
        <w:ind w:left="709" w:leftChars="0" w:hanging="709" w:firstLineChars="0"/>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与《关于高质量推进实施燃煤锅炉超低排放的意见（征求意见稿）》符合性分析</w:t>
      </w:r>
    </w:p>
    <w:p w14:paraId="355784DD">
      <w:pPr>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改造范围：大气污染防治重点区域保留的燃煤锅炉、其他地区65蒸吨/小时及以上的燃煤锅炉（含以型煤、水煤浆、煤矸石、石油焦、油页岩等为燃料 的锅炉），以及全国燃煤自备电厂。</w:t>
      </w:r>
    </w:p>
    <w:p w14:paraId="0021F017">
      <w:pPr>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主要目标：到2025年底前，重点区域燃煤锅炉及自备电厂基本 完成有组织、无组织超低排放改造。其他地区65蒸吨/小时及以上燃煤锅炉60%完成有组织超低排放改造；自备电厂基本完成有组织、 无组织超低排放改造。到 2028 年底前，重点区域煤炭年运输量10万吨及以上的燃煤锅炉使用企业基本完成清洁运输改造；自备电厂 基本完成全流程超低排放改造。其他地区65蒸吨/小时及以上燃煤 锅炉 80%完成有组织、无组织超低排放改造，煤炭年运输量50万吨及以上的燃煤锅炉使用企业基本完成清洁运输改造；80%自备电厂完 成全流程超低排放改造。</w:t>
      </w:r>
    </w:p>
    <w:p w14:paraId="0E87C4A2">
      <w:pPr>
        <w:bidi w:val="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本项目位于佳木斯市，属于意见中的重点地区，本项目建设5#锅炉，锅炉容量为58MW，锅炉烟气采用“炉内喷钙+氨法脱硫+SNCR+亚氯酸钠脱硝+袋式除尘器”工艺处理后排放；配套建设的大气污染防治设施与主体工程同时设计、同时施工、同时投产使用。采取上述废气污染防治措施后，全厂锅炉烟气污染物排放浓度满足《关于印发〈全面实施燃煤电厂超低排放和节能改造工作方案〉的通知》（环发〔2015〕164号）要求，达到超低排放限值（在基准氧含量6%条件下，烟尘、SO</w:t>
      </w:r>
      <w:r>
        <w:rPr>
          <w:rFonts w:hint="eastAsia" w:ascii="Times New Roman" w:hAnsi="Times New Roman" w:eastAsia="宋体" w:cs="Times New Roman"/>
          <w:color w:val="auto"/>
          <w:highlight w:val="none"/>
          <w:vertAlign w:val="subscript"/>
          <w:lang w:val="en-US" w:eastAsia="zh-CN"/>
        </w:rPr>
        <w:t>2</w:t>
      </w:r>
      <w:r>
        <w:rPr>
          <w:rFonts w:hint="eastAsia" w:ascii="Times New Roman" w:hAnsi="Times New Roman" w:eastAsia="宋体" w:cs="Times New Roman"/>
          <w:color w:val="auto"/>
          <w:highlight w:val="none"/>
          <w:lang w:val="en-US" w:eastAsia="zh-CN"/>
        </w:rPr>
        <w:t>、NO</w:t>
      </w:r>
      <w:r>
        <w:rPr>
          <w:rFonts w:hint="eastAsia" w:ascii="Times New Roman" w:hAnsi="Times New Roman" w:eastAsia="宋体" w:cs="Times New Roman"/>
          <w:color w:val="auto"/>
          <w:highlight w:val="none"/>
          <w:vertAlign w:val="subscript"/>
          <w:lang w:val="en-US" w:eastAsia="zh-CN"/>
        </w:rPr>
        <w:t>X</w:t>
      </w:r>
      <w:r>
        <w:rPr>
          <w:rFonts w:hint="eastAsia" w:ascii="Times New Roman" w:hAnsi="Times New Roman" w:eastAsia="宋体" w:cs="Times New Roman"/>
          <w:color w:val="auto"/>
          <w:highlight w:val="none"/>
          <w:lang w:val="en-US" w:eastAsia="zh-CN"/>
        </w:rPr>
        <w:t>排放浓度分别不高于10mg/m</w:t>
      </w:r>
      <w:r>
        <w:rPr>
          <w:rFonts w:hint="eastAsia" w:ascii="Times New Roman" w:hAnsi="Times New Roman" w:eastAsia="宋体" w:cs="Times New Roman"/>
          <w:color w:val="auto"/>
          <w:highlight w:val="none"/>
          <w:vertAlign w:val="superscript"/>
          <w:lang w:val="en-US" w:eastAsia="zh-CN"/>
        </w:rPr>
        <w:t>3</w:t>
      </w:r>
      <w:r>
        <w:rPr>
          <w:rFonts w:hint="eastAsia" w:ascii="Times New Roman" w:hAnsi="Times New Roman" w:eastAsia="宋体" w:cs="Times New Roman"/>
          <w:color w:val="auto"/>
          <w:highlight w:val="none"/>
          <w:lang w:val="en-US" w:eastAsia="zh-CN"/>
        </w:rPr>
        <w:t>、35mg/m</w:t>
      </w:r>
      <w:r>
        <w:rPr>
          <w:rFonts w:hint="eastAsia" w:ascii="Times New Roman" w:hAnsi="Times New Roman" w:eastAsia="宋体" w:cs="Times New Roman"/>
          <w:color w:val="auto"/>
          <w:highlight w:val="none"/>
          <w:vertAlign w:val="superscript"/>
          <w:lang w:val="en-US" w:eastAsia="zh-CN"/>
        </w:rPr>
        <w:t>3</w:t>
      </w:r>
      <w:r>
        <w:rPr>
          <w:rFonts w:hint="eastAsia" w:ascii="Times New Roman" w:hAnsi="Times New Roman" w:eastAsia="宋体" w:cs="Times New Roman"/>
          <w:color w:val="auto"/>
          <w:highlight w:val="none"/>
          <w:lang w:val="en-US" w:eastAsia="zh-CN"/>
        </w:rPr>
        <w:t>、50mg/m</w:t>
      </w:r>
      <w:r>
        <w:rPr>
          <w:rFonts w:hint="eastAsia" w:ascii="Times New Roman" w:hAnsi="Times New Roman" w:eastAsia="宋体" w:cs="Times New Roman"/>
          <w:color w:val="auto"/>
          <w:highlight w:val="none"/>
          <w:vertAlign w:val="superscript"/>
          <w:lang w:val="en-US" w:eastAsia="zh-CN"/>
        </w:rPr>
        <w:t>3</w:t>
      </w:r>
      <w:r>
        <w:rPr>
          <w:rFonts w:hint="eastAsia" w:ascii="Times New Roman" w:hAnsi="Times New Roman" w:eastAsia="宋体" w:cs="Times New Roman"/>
          <w:color w:val="auto"/>
          <w:highlight w:val="none"/>
          <w:lang w:val="en-US" w:eastAsia="zh-CN"/>
        </w:rPr>
        <w:t>）要求。</w:t>
      </w:r>
    </w:p>
    <w:p w14:paraId="02BFB256">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41" w:name="_Toc10654"/>
      <w:bookmarkStart w:id="42" w:name="_Toc18834"/>
      <w:bookmarkStart w:id="43" w:name="_Toc12453"/>
      <w:r>
        <w:rPr>
          <w:rFonts w:hint="default" w:ascii="Times New Roman" w:hAnsi="Times New Roman" w:eastAsia="宋体" w:cs="Times New Roman"/>
          <w:color w:val="auto"/>
          <w:highlight w:val="none"/>
        </w:rPr>
        <w:t>与黑龙江省及当地相关规划协调性分析</w:t>
      </w:r>
      <w:bookmarkEnd w:id="41"/>
      <w:bookmarkEnd w:id="42"/>
      <w:bookmarkEnd w:id="43"/>
    </w:p>
    <w:p w14:paraId="7E5591E7">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与《黑龙江省国民经济和社会发展第十</w:t>
      </w:r>
      <w:r>
        <w:rPr>
          <w:rFonts w:hint="default" w:ascii="Times New Roman" w:hAnsi="Times New Roman" w:eastAsia="宋体" w:cs="Times New Roman"/>
          <w:color w:val="auto"/>
          <w:highlight w:val="none"/>
          <w:lang w:val="en-US" w:eastAsia="zh-CN"/>
        </w:rPr>
        <w:t>四</w:t>
      </w:r>
      <w:r>
        <w:rPr>
          <w:rFonts w:hint="default" w:ascii="Times New Roman" w:hAnsi="Times New Roman" w:eastAsia="宋体" w:cs="Times New Roman"/>
          <w:color w:val="auto"/>
          <w:highlight w:val="none"/>
        </w:rPr>
        <w:t>个五年规划</w:t>
      </w:r>
      <w:r>
        <w:rPr>
          <w:rFonts w:hint="default" w:ascii="Times New Roman" w:hAnsi="Times New Roman" w:eastAsia="宋体" w:cs="Times New Roman"/>
          <w:color w:val="auto"/>
          <w:highlight w:val="none"/>
          <w:lang w:val="en-US" w:eastAsia="zh-CN"/>
        </w:rPr>
        <w:t>和</w:t>
      </w:r>
      <w:r>
        <w:rPr>
          <w:rFonts w:hint="eastAsia" w:ascii="Times New Roman" w:hAnsi="Times New Roman" w:cs="Times New Roman"/>
          <w:color w:val="auto"/>
          <w:highlight w:val="none"/>
          <w:lang w:val="en-US" w:eastAsia="zh-CN"/>
        </w:rPr>
        <w:t>二〇三五</w:t>
      </w:r>
      <w:r>
        <w:rPr>
          <w:rFonts w:hint="default" w:ascii="Times New Roman" w:hAnsi="Times New Roman" w:eastAsia="宋体" w:cs="Times New Roman"/>
          <w:color w:val="auto"/>
          <w:highlight w:val="none"/>
          <w:lang w:val="en-US" w:eastAsia="zh-CN"/>
        </w:rPr>
        <w:t>年远景目标纲要的通知</w:t>
      </w:r>
      <w:r>
        <w:rPr>
          <w:rFonts w:hint="default" w:ascii="Times New Roman" w:hAnsi="Times New Roman" w:eastAsia="宋体" w:cs="Times New Roman"/>
          <w:color w:val="auto"/>
          <w:highlight w:val="none"/>
        </w:rPr>
        <w:t>》符合性分析</w:t>
      </w:r>
    </w:p>
    <w:p w14:paraId="68F47A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一、相关文件内容</w:t>
      </w:r>
    </w:p>
    <w:p w14:paraId="2195DF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“第九章提升放大绿色发展优势，推进生态文明建设第二节提升生态系统质量和稳定性”提出：</w:t>
      </w:r>
      <w:r>
        <w:rPr>
          <w:rFonts w:hint="default" w:ascii="Times New Roman" w:hAnsi="Times New Roman" w:eastAsia="宋体" w:cs="Times New Roman"/>
          <w:color w:val="auto"/>
          <w:sz w:val="24"/>
          <w:szCs w:val="24"/>
          <w:highlight w:val="none"/>
        </w:rPr>
        <w:t>持续改善大气环境质量，提高火电、钢铁等重点行业超低排放水平</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基本消除重度及以上污染天气</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大气污染治理领域主要任务为</w:t>
      </w:r>
      <w:r>
        <w:rPr>
          <w:rFonts w:hint="default" w:ascii="Times New Roman" w:hAnsi="Times New Roman" w:eastAsia="宋体" w:cs="Times New Roman"/>
          <w:color w:val="auto"/>
          <w:sz w:val="24"/>
          <w:szCs w:val="24"/>
          <w:highlight w:val="none"/>
        </w:rPr>
        <w:t>加快淘汰地级城市建成区10-35蒸吨/时燃煤锅炉，推进35-65蒸吨/时燃煤锅炉升级改造、具备条件的65蒸吨/时以上燃煤锅炉和煤电机组超低排放改造。</w:t>
      </w:r>
    </w:p>
    <w:p w14:paraId="7D1D59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二、本项目与文件符合性分析</w:t>
      </w:r>
    </w:p>
    <w:p w14:paraId="2F09B6C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sz w:val="24"/>
          <w:szCs w:val="24"/>
          <w:highlight w:val="none"/>
          <w:lang w:eastAsia="zh-CN"/>
        </w:rPr>
        <w:t>本项目</w:t>
      </w:r>
      <w:r>
        <w:rPr>
          <w:rFonts w:hint="eastAsia" w:ascii="Times New Roman" w:hAnsi="Times New Roman" w:eastAsia="宋体" w:cs="Times New Roman"/>
          <w:color w:val="auto"/>
          <w:sz w:val="24"/>
          <w:szCs w:val="24"/>
          <w:highlight w:val="none"/>
          <w:lang w:val="en-US" w:eastAsia="zh-CN"/>
        </w:rPr>
        <w:t>建设5#锅炉，锅炉容量为58MW，</w:t>
      </w:r>
      <w:r>
        <w:rPr>
          <w:rFonts w:hint="default" w:ascii="Times New Roman" w:hAnsi="Times New Roman" w:eastAsia="宋体" w:cs="Times New Roman"/>
          <w:color w:val="auto"/>
          <w:sz w:val="24"/>
          <w:szCs w:val="24"/>
          <w:highlight w:val="none"/>
          <w:lang w:eastAsia="zh-CN"/>
        </w:rPr>
        <w:t>烟气采用</w:t>
      </w:r>
      <w:r>
        <w:rPr>
          <w:rFonts w:hint="eastAsia" w:ascii="Times New Roman" w:hAnsi="Times New Roman" w:eastAsia="宋体" w:cs="Times New Roman"/>
          <w:color w:val="auto"/>
          <w:sz w:val="24"/>
          <w:szCs w:val="24"/>
          <w:highlight w:val="none"/>
          <w:lang w:val="en-US" w:eastAsia="zh-CN"/>
        </w:rPr>
        <w:t>炉内喷钙+氨法脱硫+SNCR+亚氯酸钠脱硝+袋式除尘器</w:t>
      </w:r>
      <w:r>
        <w:rPr>
          <w:rFonts w:hint="default" w:ascii="Times New Roman" w:hAnsi="Times New Roman" w:eastAsia="宋体" w:cs="Times New Roman"/>
          <w:color w:val="auto"/>
          <w:sz w:val="24"/>
          <w:szCs w:val="24"/>
          <w:highlight w:val="none"/>
          <w:lang w:eastAsia="zh-CN"/>
        </w:rPr>
        <w:t>处理后通过一座</w:t>
      </w:r>
      <w:r>
        <w:rPr>
          <w:rFonts w:hint="eastAsia"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lang w:eastAsia="zh-CN"/>
        </w:rPr>
        <w:t>0m高、出口直径</w:t>
      </w:r>
      <w:r>
        <w:rPr>
          <w:rFonts w:hint="eastAsia" w:ascii="Times New Roman" w:hAnsi="Times New Roman" w:eastAsia="宋体" w:cs="Times New Roman"/>
          <w:color w:val="auto"/>
          <w:sz w:val="24"/>
          <w:szCs w:val="24"/>
          <w:highlight w:val="none"/>
          <w:lang w:val="en-US" w:eastAsia="zh-CN"/>
        </w:rPr>
        <w:t>3.5</w:t>
      </w:r>
      <w:r>
        <w:rPr>
          <w:rFonts w:hint="default" w:ascii="Times New Roman" w:hAnsi="Times New Roman" w:eastAsia="宋体" w:cs="Times New Roman"/>
          <w:color w:val="auto"/>
          <w:sz w:val="24"/>
          <w:szCs w:val="24"/>
          <w:highlight w:val="none"/>
          <w:lang w:eastAsia="zh-CN"/>
        </w:rPr>
        <w:t>m</w:t>
      </w:r>
      <w:r>
        <w:rPr>
          <w:rFonts w:hint="eastAsia" w:ascii="Times New Roman" w:hAnsi="Times New Roman" w:eastAsia="宋体" w:cs="Times New Roman"/>
          <w:color w:val="auto"/>
          <w:sz w:val="24"/>
          <w:szCs w:val="24"/>
          <w:highlight w:val="none"/>
          <w:lang w:eastAsia="zh-CN"/>
        </w:rPr>
        <w:t>的</w:t>
      </w:r>
      <w:r>
        <w:rPr>
          <w:rFonts w:hint="default" w:ascii="Times New Roman" w:hAnsi="Times New Roman" w:eastAsia="宋体" w:cs="Times New Roman"/>
          <w:color w:val="auto"/>
          <w:sz w:val="24"/>
          <w:szCs w:val="24"/>
          <w:highlight w:val="none"/>
          <w:lang w:eastAsia="zh-CN"/>
        </w:rPr>
        <w:t>烟囱</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DA006</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eastAsia="zh-CN"/>
        </w:rPr>
        <w:t>排入大气</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b w:val="0"/>
          <w:bCs w:val="0"/>
          <w:color w:val="auto"/>
          <w:spacing w:val="0"/>
          <w:sz w:val="24"/>
          <w:szCs w:val="24"/>
          <w:highlight w:val="none"/>
          <w:lang w:val="en-US" w:eastAsia="zh-CN"/>
        </w:rPr>
        <w:t>本项目建设建成后</w:t>
      </w:r>
      <w:r>
        <w:rPr>
          <w:rFonts w:hint="default" w:ascii="Times New Roman" w:hAnsi="Times New Roman" w:eastAsia="宋体" w:cs="Times New Roman"/>
          <w:iCs/>
          <w:color w:val="auto"/>
          <w:sz w:val="24"/>
          <w:highlight w:val="none"/>
        </w:rPr>
        <w:t>锅炉</w:t>
      </w:r>
      <w:r>
        <w:rPr>
          <w:rFonts w:hint="default" w:ascii="Times New Roman" w:hAnsi="Times New Roman" w:eastAsia="宋体" w:cs="Times New Roman"/>
          <w:color w:val="auto"/>
          <w:sz w:val="24"/>
          <w:szCs w:val="24"/>
          <w:highlight w:val="none"/>
          <w:lang w:val="en-US" w:eastAsia="zh-CN"/>
        </w:rPr>
        <w:t>烟气污染物排放浓度</w:t>
      </w:r>
      <w:r>
        <w:rPr>
          <w:rFonts w:hint="default" w:ascii="Times New Roman" w:hAnsi="Times New Roman" w:eastAsia="宋体" w:cs="Times New Roman"/>
          <w:color w:val="auto"/>
          <w:sz w:val="24"/>
          <w:szCs w:val="24"/>
          <w:highlight w:val="none"/>
          <w:lang w:bidi="ar"/>
        </w:rPr>
        <w:t>满足《关于印发</w:t>
      </w:r>
      <w:r>
        <w:rPr>
          <w:rFonts w:hint="eastAsia" w:ascii="Times New Roman" w:hAnsi="Times New Roman" w:eastAsia="宋体" w:cs="Times New Roman"/>
          <w:color w:val="auto"/>
          <w:sz w:val="24"/>
          <w:szCs w:val="24"/>
          <w:highlight w:val="none"/>
          <w:lang w:eastAsia="zh-CN" w:bidi="ar"/>
        </w:rPr>
        <w:t>〈</w:t>
      </w:r>
      <w:r>
        <w:rPr>
          <w:rFonts w:hint="default" w:ascii="Times New Roman" w:hAnsi="Times New Roman" w:eastAsia="宋体" w:cs="Times New Roman"/>
          <w:color w:val="auto"/>
          <w:sz w:val="24"/>
          <w:szCs w:val="24"/>
          <w:highlight w:val="none"/>
          <w:lang w:bidi="ar"/>
        </w:rPr>
        <w:t>全面实施燃煤电厂超低排放和节能改造工作方案</w:t>
      </w:r>
      <w:r>
        <w:rPr>
          <w:rFonts w:hint="eastAsia" w:ascii="Times New Roman" w:hAnsi="Times New Roman" w:eastAsia="宋体" w:cs="Times New Roman"/>
          <w:color w:val="auto"/>
          <w:sz w:val="24"/>
          <w:szCs w:val="24"/>
          <w:highlight w:val="none"/>
          <w:lang w:eastAsia="zh-CN" w:bidi="ar"/>
        </w:rPr>
        <w:t>〉的通知》</w:t>
      </w:r>
      <w:r>
        <w:rPr>
          <w:rFonts w:hint="default" w:ascii="Times New Roman" w:hAnsi="Times New Roman" w:eastAsia="宋体" w:cs="Times New Roman"/>
          <w:color w:val="auto"/>
          <w:sz w:val="24"/>
          <w:szCs w:val="24"/>
          <w:highlight w:val="none"/>
          <w:lang w:bidi="ar"/>
        </w:rPr>
        <w:t>（环发</w:t>
      </w:r>
      <w:r>
        <w:rPr>
          <w:rFonts w:hint="eastAsia" w:ascii="Times New Roman" w:hAnsi="Times New Roman" w:eastAsia="宋体" w:cs="Times New Roman"/>
          <w:color w:val="auto"/>
          <w:sz w:val="24"/>
          <w:szCs w:val="24"/>
          <w:highlight w:val="none"/>
          <w:lang w:eastAsia="zh-CN" w:bidi="ar"/>
        </w:rPr>
        <w:t>〔</w:t>
      </w:r>
      <w:r>
        <w:rPr>
          <w:rFonts w:hint="default" w:ascii="Times New Roman" w:hAnsi="Times New Roman" w:eastAsia="宋体" w:cs="Times New Roman"/>
          <w:color w:val="auto"/>
          <w:sz w:val="24"/>
          <w:szCs w:val="24"/>
          <w:highlight w:val="none"/>
          <w:lang w:bidi="ar"/>
        </w:rPr>
        <w:t>2015</w:t>
      </w:r>
      <w:r>
        <w:rPr>
          <w:rFonts w:hint="eastAsia" w:ascii="Times New Roman" w:hAnsi="Times New Roman" w:eastAsia="宋体" w:cs="Times New Roman"/>
          <w:color w:val="auto"/>
          <w:sz w:val="24"/>
          <w:szCs w:val="24"/>
          <w:highlight w:val="none"/>
          <w:lang w:eastAsia="zh-CN" w:bidi="ar"/>
        </w:rPr>
        <w:t>〕</w:t>
      </w:r>
      <w:r>
        <w:rPr>
          <w:rFonts w:hint="default" w:ascii="Times New Roman" w:hAnsi="Times New Roman" w:eastAsia="宋体" w:cs="Times New Roman"/>
          <w:color w:val="auto"/>
          <w:sz w:val="24"/>
          <w:szCs w:val="24"/>
          <w:highlight w:val="none"/>
          <w:lang w:bidi="ar"/>
        </w:rPr>
        <w:t>164号）要求，达到超低排放</w:t>
      </w:r>
      <w:r>
        <w:rPr>
          <w:rFonts w:hint="default" w:ascii="Times New Roman" w:hAnsi="Times New Roman" w:eastAsia="宋体" w:cs="Times New Roman"/>
          <w:color w:val="auto"/>
          <w:sz w:val="24"/>
          <w:szCs w:val="24"/>
          <w:highlight w:val="none"/>
          <w:lang w:val="en-US" w:eastAsia="zh-CN" w:bidi="ar"/>
        </w:rPr>
        <w:t>限值</w:t>
      </w:r>
      <w:r>
        <w:rPr>
          <w:rFonts w:hint="default" w:ascii="Times New Roman" w:hAnsi="Times New Roman" w:eastAsia="宋体" w:cs="Times New Roman"/>
          <w:color w:val="auto"/>
          <w:sz w:val="24"/>
          <w:szCs w:val="24"/>
          <w:highlight w:val="none"/>
          <w:lang w:bidi="ar"/>
        </w:rPr>
        <w:t>（在基准氧含量6%条件下，烟尘、SO</w:t>
      </w:r>
      <w:r>
        <w:rPr>
          <w:rFonts w:hint="default" w:ascii="Times New Roman" w:hAnsi="Times New Roman" w:eastAsia="宋体" w:cs="Times New Roman"/>
          <w:color w:val="auto"/>
          <w:sz w:val="24"/>
          <w:szCs w:val="24"/>
          <w:highlight w:val="none"/>
          <w:vertAlign w:val="subscript"/>
          <w:lang w:bidi="ar"/>
        </w:rPr>
        <w:t>2</w:t>
      </w:r>
      <w:r>
        <w:rPr>
          <w:rFonts w:hint="default" w:ascii="Times New Roman" w:hAnsi="Times New Roman" w:eastAsia="宋体" w:cs="Times New Roman"/>
          <w:color w:val="auto"/>
          <w:sz w:val="24"/>
          <w:szCs w:val="24"/>
          <w:highlight w:val="none"/>
          <w:lang w:bidi="ar"/>
        </w:rPr>
        <w:t>、NO</w:t>
      </w:r>
      <w:r>
        <w:rPr>
          <w:rFonts w:hint="default" w:ascii="Times New Roman" w:hAnsi="Times New Roman" w:eastAsia="宋体" w:cs="Times New Roman"/>
          <w:color w:val="auto"/>
          <w:sz w:val="24"/>
          <w:szCs w:val="24"/>
          <w:highlight w:val="none"/>
          <w:vertAlign w:val="subscript"/>
          <w:lang w:bidi="ar"/>
        </w:rPr>
        <w:t>X</w:t>
      </w:r>
      <w:r>
        <w:rPr>
          <w:rFonts w:hint="default" w:ascii="Times New Roman" w:hAnsi="Times New Roman" w:eastAsia="宋体" w:cs="Times New Roman"/>
          <w:color w:val="auto"/>
          <w:sz w:val="24"/>
          <w:szCs w:val="24"/>
          <w:highlight w:val="none"/>
          <w:lang w:bidi="ar"/>
        </w:rPr>
        <w:t>排放浓度分别不高于10mg/m</w:t>
      </w:r>
      <w:r>
        <w:rPr>
          <w:rFonts w:hint="default" w:ascii="Times New Roman" w:hAnsi="Times New Roman" w:eastAsia="宋体" w:cs="Times New Roman"/>
          <w:color w:val="auto"/>
          <w:sz w:val="24"/>
          <w:szCs w:val="24"/>
          <w:highlight w:val="none"/>
          <w:vertAlign w:val="superscript"/>
          <w:lang w:bidi="ar"/>
        </w:rPr>
        <w:t>3</w:t>
      </w:r>
      <w:r>
        <w:rPr>
          <w:rFonts w:hint="default" w:ascii="Times New Roman" w:hAnsi="Times New Roman" w:eastAsia="宋体" w:cs="Times New Roman"/>
          <w:color w:val="auto"/>
          <w:sz w:val="24"/>
          <w:szCs w:val="24"/>
          <w:highlight w:val="none"/>
          <w:lang w:bidi="ar"/>
        </w:rPr>
        <w:t>、35mg/m</w:t>
      </w:r>
      <w:r>
        <w:rPr>
          <w:rFonts w:hint="default" w:ascii="Times New Roman" w:hAnsi="Times New Roman" w:eastAsia="宋体" w:cs="Times New Roman"/>
          <w:color w:val="auto"/>
          <w:sz w:val="24"/>
          <w:szCs w:val="24"/>
          <w:highlight w:val="none"/>
          <w:vertAlign w:val="superscript"/>
          <w:lang w:bidi="ar"/>
        </w:rPr>
        <w:t>3</w:t>
      </w:r>
      <w:r>
        <w:rPr>
          <w:rFonts w:hint="default" w:ascii="Times New Roman" w:hAnsi="Times New Roman" w:eastAsia="宋体" w:cs="Times New Roman"/>
          <w:color w:val="auto"/>
          <w:sz w:val="24"/>
          <w:szCs w:val="24"/>
          <w:highlight w:val="none"/>
          <w:lang w:bidi="ar"/>
        </w:rPr>
        <w:t>、50mg/m</w:t>
      </w:r>
      <w:r>
        <w:rPr>
          <w:rFonts w:hint="default" w:ascii="Times New Roman" w:hAnsi="Times New Roman" w:eastAsia="宋体" w:cs="Times New Roman"/>
          <w:color w:val="auto"/>
          <w:sz w:val="24"/>
          <w:szCs w:val="24"/>
          <w:highlight w:val="none"/>
          <w:vertAlign w:val="superscript"/>
          <w:lang w:bidi="ar"/>
        </w:rPr>
        <w:t>3</w:t>
      </w:r>
      <w:r>
        <w:rPr>
          <w:rFonts w:hint="default" w:ascii="Times New Roman" w:hAnsi="Times New Roman" w:eastAsia="宋体" w:cs="Times New Roman"/>
          <w:color w:val="auto"/>
          <w:sz w:val="24"/>
          <w:szCs w:val="24"/>
          <w:highlight w:val="none"/>
          <w:lang w:bidi="ar"/>
        </w:rPr>
        <w:t>）</w:t>
      </w:r>
      <w:r>
        <w:rPr>
          <w:rFonts w:hint="default" w:ascii="Times New Roman" w:hAnsi="Times New Roman" w:eastAsia="宋体" w:cs="Times New Roman"/>
          <w:color w:val="auto"/>
          <w:sz w:val="24"/>
          <w:szCs w:val="24"/>
          <w:highlight w:val="none"/>
          <w:lang w:val="en-US" w:eastAsia="zh-CN" w:bidi="ar"/>
        </w:rPr>
        <w:t>要求</w:t>
      </w:r>
      <w:r>
        <w:rPr>
          <w:rFonts w:hint="default"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iCs/>
          <w:color w:val="auto"/>
          <w:sz w:val="24"/>
          <w:szCs w:val="24"/>
          <w:highlight w:val="none"/>
          <w:lang w:val="en-US" w:eastAsia="zh-CN"/>
        </w:rPr>
        <w:t>本</w:t>
      </w:r>
      <w:r>
        <w:rPr>
          <w:rFonts w:hint="default" w:ascii="Times New Roman" w:hAnsi="Times New Roman" w:eastAsia="宋体" w:cs="Times New Roman"/>
          <w:color w:val="auto"/>
          <w:kern w:val="0"/>
          <w:sz w:val="24"/>
          <w:szCs w:val="24"/>
          <w:highlight w:val="none"/>
          <w:lang w:val="en-US" w:eastAsia="zh-CN"/>
        </w:rPr>
        <w:t>项目</w:t>
      </w:r>
      <w:r>
        <w:rPr>
          <w:rFonts w:hint="eastAsia" w:ascii="Times New Roman" w:hAnsi="Times New Roman" w:eastAsia="宋体" w:cs="Times New Roman"/>
          <w:color w:val="auto"/>
          <w:kern w:val="0"/>
          <w:sz w:val="24"/>
          <w:szCs w:val="24"/>
          <w:highlight w:val="none"/>
          <w:lang w:val="en-US" w:eastAsia="zh-CN"/>
        </w:rPr>
        <w:t>建设环境效益和社会效益显著</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可以保证可靠的供热体系</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因此，本项目建设内容</w:t>
      </w:r>
      <w:r>
        <w:rPr>
          <w:rFonts w:hint="default" w:ascii="Times New Roman" w:hAnsi="Times New Roman" w:eastAsia="宋体" w:cs="Times New Roman"/>
          <w:color w:val="auto"/>
          <w:kern w:val="0"/>
          <w:sz w:val="24"/>
          <w:szCs w:val="24"/>
          <w:highlight w:val="none"/>
        </w:rPr>
        <w:t>符合《黑龙江省国民经济和社会发展第十</w:t>
      </w:r>
      <w:r>
        <w:rPr>
          <w:rFonts w:hint="default" w:ascii="Times New Roman" w:hAnsi="Times New Roman" w:eastAsia="宋体" w:cs="Times New Roman"/>
          <w:color w:val="auto"/>
          <w:kern w:val="0"/>
          <w:sz w:val="24"/>
          <w:szCs w:val="24"/>
          <w:highlight w:val="none"/>
          <w:lang w:val="en-US" w:eastAsia="zh-CN"/>
        </w:rPr>
        <w:t>四</w:t>
      </w:r>
      <w:r>
        <w:rPr>
          <w:rFonts w:hint="default" w:ascii="Times New Roman" w:hAnsi="Times New Roman" w:eastAsia="宋体" w:cs="Times New Roman"/>
          <w:color w:val="auto"/>
          <w:kern w:val="0"/>
          <w:sz w:val="24"/>
          <w:szCs w:val="24"/>
          <w:highlight w:val="none"/>
        </w:rPr>
        <w:t>个五年规划</w:t>
      </w:r>
      <w:r>
        <w:rPr>
          <w:rFonts w:hint="default" w:ascii="Times New Roman" w:hAnsi="Times New Roman" w:eastAsia="宋体" w:cs="Times New Roman"/>
          <w:color w:val="auto"/>
          <w:kern w:val="0"/>
          <w:sz w:val="24"/>
          <w:szCs w:val="24"/>
          <w:highlight w:val="none"/>
          <w:lang w:val="en-US" w:eastAsia="zh-CN"/>
        </w:rPr>
        <w:t>和</w:t>
      </w:r>
      <w:r>
        <w:rPr>
          <w:rFonts w:hint="eastAsia" w:ascii="Times New Roman" w:hAnsi="Times New Roman" w:eastAsia="宋体" w:cs="Times New Roman"/>
          <w:color w:val="auto"/>
          <w:kern w:val="0"/>
          <w:sz w:val="24"/>
          <w:szCs w:val="24"/>
          <w:highlight w:val="none"/>
          <w:lang w:val="en-US" w:eastAsia="zh-CN"/>
        </w:rPr>
        <w:t>二〇三五</w:t>
      </w:r>
      <w:r>
        <w:rPr>
          <w:rFonts w:hint="default" w:ascii="Times New Roman" w:hAnsi="Times New Roman" w:eastAsia="宋体" w:cs="Times New Roman"/>
          <w:color w:val="auto"/>
          <w:kern w:val="0"/>
          <w:sz w:val="24"/>
          <w:szCs w:val="24"/>
          <w:highlight w:val="none"/>
          <w:lang w:val="en-US" w:eastAsia="zh-CN"/>
        </w:rPr>
        <w:t>年远景目标纲要的通知</w:t>
      </w:r>
      <w:r>
        <w:rPr>
          <w:rFonts w:hint="default" w:ascii="Times New Roman" w:hAnsi="Times New Roman" w:eastAsia="宋体" w:cs="Times New Roman"/>
          <w:color w:val="auto"/>
          <w:kern w:val="0"/>
          <w:sz w:val="24"/>
          <w:szCs w:val="24"/>
          <w:highlight w:val="none"/>
        </w:rPr>
        <w:t>》中关于</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sz w:val="24"/>
          <w:szCs w:val="24"/>
          <w:highlight w:val="none"/>
        </w:rPr>
        <w:t>推进35-65蒸吨/时燃煤锅炉升级改造、具备条件的65蒸吨/时以上燃煤锅炉和煤电机组超低排放改造</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要求。</w:t>
      </w:r>
    </w:p>
    <w:p w14:paraId="132D3CC0">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与《黑龙江省“十四五”生态环境保护规划》合理性分析</w:t>
      </w:r>
    </w:p>
    <w:p w14:paraId="1CBD796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加大燃煤污染治理力度。深入实施散煤污染治理“三重一改”攻坚行动，统筹城市棚户区、城中村、城乡接合部、商户和农村地区散煤污染治理，到2022年，“两市两县两景区”等重点地区散煤用量大幅下降。各地持续推进散煤污染治理，到2025年，哈尔滨市、齐齐哈尔市、大庆市、绥化市散煤用量分别减少50%，哈尔滨市主城区建成区基本实现散煤清零。加快淘汰地级城市建成区10-35蒸吨/小时燃煤锅炉，推进65蒸吨/小时及以上燃煤锅炉（含电力）超低排放改造。实现20蒸吨/小时及以上锅炉稳定达标排放全覆盖。</w:t>
      </w:r>
    </w:p>
    <w:p w14:paraId="20926EF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w:t>
      </w:r>
      <w:r>
        <w:rPr>
          <w:rFonts w:hint="eastAsia" w:ascii="Times New Roman" w:hAnsi="Times New Roman" w:eastAsia="宋体" w:cs="Times New Roman"/>
          <w:color w:val="auto"/>
          <w:highlight w:val="none"/>
          <w:lang w:val="en-US" w:eastAsia="zh-CN"/>
        </w:rPr>
        <w:t>项目建设5#锅炉，锅炉容量为58MW，锅炉烟气采用“炉内喷钙+氨法脱硫+SNCR+亚氯酸钠脱硝+袋式除尘器”工艺处理后排放，处理后颗粒物、SO</w:t>
      </w:r>
      <w:r>
        <w:rPr>
          <w:rFonts w:hint="eastAsia" w:ascii="Times New Roman" w:hAnsi="Times New Roman" w:eastAsia="宋体" w:cs="Times New Roman"/>
          <w:color w:val="auto"/>
          <w:highlight w:val="none"/>
          <w:vertAlign w:val="subscript"/>
          <w:lang w:val="en-US" w:eastAsia="zh-CN"/>
        </w:rPr>
        <w:t>2</w:t>
      </w:r>
      <w:r>
        <w:rPr>
          <w:rFonts w:hint="eastAsia" w:ascii="Times New Roman" w:hAnsi="Times New Roman" w:eastAsia="宋体" w:cs="Times New Roman"/>
          <w:color w:val="auto"/>
          <w:highlight w:val="none"/>
          <w:lang w:val="en-US" w:eastAsia="zh-CN"/>
        </w:rPr>
        <w:t>和NOx等污染物均能达到超低排放要求。本项目建设有助于推进散煤污染治理，加快地级城市建成区10-35蒸吨/小时燃煤锅炉淘汰。因此，本项目建设符合《黑龙江省“十四五”生态环境保护规划》要求。</w:t>
      </w:r>
    </w:p>
    <w:p w14:paraId="717CD73F">
      <w:pPr>
        <w:pStyle w:val="7"/>
        <w:numPr>
          <w:ilvl w:val="3"/>
          <w:numId w:val="3"/>
        </w:numPr>
        <w:bidi w:val="0"/>
        <w:ind w:left="850" w:leftChars="0" w:hanging="850" w:firstLineChars="0"/>
        <w:rPr>
          <w:rFonts w:hint="default" w:ascii="Times New Roman" w:hAnsi="Times New Roman" w:eastAsia="宋体" w:cs="Times New Roman"/>
          <w:color w:val="auto"/>
          <w:highlight w:val="none"/>
        </w:rPr>
      </w:pPr>
      <w:bookmarkStart w:id="44" w:name="_Toc11898"/>
      <w:r>
        <w:rPr>
          <w:rFonts w:hint="default" w:ascii="Times New Roman" w:hAnsi="Times New Roman" w:eastAsia="宋体" w:cs="Times New Roman"/>
          <w:color w:val="auto"/>
          <w:highlight w:val="none"/>
        </w:rPr>
        <w:t>与《黑龙江省大气污染防治条例》符合性</w:t>
      </w:r>
      <w:bookmarkEnd w:id="44"/>
    </w:p>
    <w:p w14:paraId="4F41429D">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黑龙江省大气污染防治条例》中规定：“第六条，企业事业单位和其他生产经营者应当采取有效措施，防止和减少大气污染，对所造成的损害依法承担责任。第十一条，向大气排放污染物的企业事业单位和其他生产经营者，应当配套建设大气污染防治设施，配套建设的大气污染防治设施，应当与主体工程同时设计、同时施工、同时投产使用，不得擅自拆除或者闲置。第三十二条，燃煤电厂、燃煤供热锅炉以及其他燃煤单位，应当采用清洁生产工艺，配套建设除尘、脱硫、脱硝等装置或者采用技术改造等措施，减少大气污染物的产生和排放，排放的大气污染物应当达到规定标准。第三十三条，设区的市级城市建成区内，禁止新建额定蒸发量低于每小时二十吨或者额定功率低于十四兆瓦的燃煤锅炉，已经建成的额定蒸发量每小时十吨以下或者额定功率七兆瓦以下的燃煤锅炉，应当在国家规定的期限内淘汰。国家对新建和淘汰燃煤锅炉另有规定的，从其规定”。</w:t>
      </w:r>
    </w:p>
    <w:p w14:paraId="6F10BBC5">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本项目建设5#锅炉，锅炉容量为58MW，锅炉烟气采用“</w:t>
      </w:r>
      <w:r>
        <w:rPr>
          <w:rFonts w:hint="eastAsia" w:ascii="Times New Roman" w:hAnsi="Times New Roman" w:eastAsia="宋体" w:cs="Times New Roman"/>
          <w:color w:val="auto"/>
          <w:highlight w:val="none"/>
          <w:lang w:val="en-US" w:eastAsia="zh-CN"/>
        </w:rPr>
        <w:t>炉内喷钙+氨法脱硫+SNCR+亚氯酸钠脱硝+袋式除尘器</w:t>
      </w:r>
      <w:r>
        <w:rPr>
          <w:rFonts w:hint="default" w:ascii="Times New Roman" w:hAnsi="Times New Roman" w:eastAsia="宋体" w:cs="Times New Roman"/>
          <w:color w:val="auto"/>
          <w:highlight w:val="none"/>
          <w:lang w:val="en-US" w:eastAsia="zh-CN"/>
        </w:rPr>
        <w:t>”工艺处理后排放</w:t>
      </w:r>
      <w:r>
        <w:rPr>
          <w:rFonts w:hint="default" w:ascii="Times New Roman" w:hAnsi="Times New Roman" w:eastAsia="宋体" w:cs="Times New Roman"/>
          <w:color w:val="auto"/>
          <w:highlight w:val="none"/>
        </w:rPr>
        <w:t>，符合《黑龙江省大气污染防治条例》的相关要求。</w:t>
      </w:r>
    </w:p>
    <w:p w14:paraId="1825D9D8">
      <w:pPr>
        <w:pStyle w:val="7"/>
        <w:numPr>
          <w:ilvl w:val="3"/>
          <w:numId w:val="3"/>
        </w:numPr>
        <w:bidi w:val="0"/>
        <w:ind w:left="850" w:leftChars="0" w:hanging="850" w:firstLineChars="0"/>
        <w:rPr>
          <w:rFonts w:hint="default" w:ascii="Times New Roman" w:hAnsi="Times New Roman" w:eastAsia="宋体" w:cs="Times New Roman"/>
          <w:color w:val="FF0000"/>
          <w:highlight w:val="none"/>
        </w:rPr>
      </w:pPr>
      <w:r>
        <w:rPr>
          <w:rFonts w:hint="eastAsia" w:ascii="Times New Roman" w:hAnsi="Times New Roman" w:cs="Times New Roman"/>
          <w:color w:val="FF0000"/>
          <w:highlight w:val="none"/>
          <w:lang w:val="en-US" w:eastAsia="zh-CN"/>
        </w:rPr>
        <w:t>与《黑龙江省固体废物污染环境防治条例》符合性分析</w:t>
      </w:r>
    </w:p>
    <w:p w14:paraId="26EF9109">
      <w:pPr>
        <w:ind w:firstLine="480"/>
        <w:rPr>
          <w:rFonts w:hint="eastAsia"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highlight w:val="none"/>
          <w:lang w:val="en-US" w:eastAsia="zh-CN"/>
        </w:rPr>
        <w:t>《黑龙江省固体废物污染环境防治条例》</w:t>
      </w:r>
      <w:r>
        <w:rPr>
          <w:rFonts w:hint="eastAsia" w:ascii="Times New Roman" w:hAnsi="Times New Roman" w:eastAsia="宋体" w:cs="Times New Roman"/>
          <w:color w:val="FF0000"/>
          <w:highlight w:val="none"/>
          <w:lang w:val="en-US" w:eastAsia="zh-CN"/>
        </w:rPr>
        <w:t>中提到：任何单位和个人都应当履行生态环境保护义务，减少固体废物的产生量，促进固体废物的综合利用，降低固体废物的危害性。</w:t>
      </w:r>
    </w:p>
    <w:p w14:paraId="19F4AA5A">
      <w:pPr>
        <w:ind w:firstLine="480"/>
        <w:rPr>
          <w:rFonts w:hint="default" w:ascii="Times New Roman" w:hAnsi="Times New Roman" w:eastAsia="宋体" w:cs="Times New Roman"/>
          <w:color w:val="FF0000"/>
          <w:highlight w:val="none"/>
          <w:lang w:val="en-US"/>
        </w:rPr>
      </w:pPr>
      <w:r>
        <w:rPr>
          <w:rFonts w:hint="default" w:ascii="Times New Roman" w:hAnsi="Times New Roman" w:eastAsia="宋体" w:cs="Times New Roman"/>
          <w:color w:val="FF0000"/>
          <w:highlight w:val="none"/>
          <w:lang w:val="en-US" w:eastAsia="zh-CN"/>
        </w:rPr>
        <w:t>产生、收集、贮存、运输、利用、</w:t>
      </w:r>
      <w:r>
        <w:rPr>
          <w:rFonts w:hint="eastAsia" w:ascii="Times New Roman" w:hAnsi="Times New Roman" w:eastAsia="宋体" w:cs="Times New Roman"/>
          <w:color w:val="FF0000"/>
          <w:highlight w:val="none"/>
          <w:lang w:val="en-US" w:eastAsia="zh-CN"/>
        </w:rPr>
        <w:t>处置</w:t>
      </w:r>
      <w:r>
        <w:rPr>
          <w:rFonts w:hint="default" w:ascii="Times New Roman" w:hAnsi="Times New Roman" w:eastAsia="宋体" w:cs="Times New Roman"/>
          <w:color w:val="FF0000"/>
          <w:highlight w:val="none"/>
          <w:lang w:val="en-US" w:eastAsia="zh-CN"/>
        </w:rPr>
        <w:t>固体废物的单位和个人，应当采取措施，防止或者减少固体废物对环境的污染，对所造成的环境污染依法承担责任</w:t>
      </w:r>
      <w:r>
        <w:rPr>
          <w:rFonts w:hint="eastAsia" w:ascii="Times New Roman" w:hAnsi="Times New Roman" w:eastAsia="宋体" w:cs="Times New Roman"/>
          <w:color w:val="FF0000"/>
          <w:highlight w:val="none"/>
          <w:lang w:val="en-US" w:eastAsia="zh-CN"/>
        </w:rPr>
        <w:t>。</w:t>
      </w:r>
    </w:p>
    <w:p w14:paraId="6F8BDFAF">
      <w:pPr>
        <w:ind w:firstLine="480"/>
        <w:rPr>
          <w:rFonts w:hint="default" w:ascii="Times New Roman" w:hAnsi="Times New Roman" w:eastAsia="宋体" w:cs="Times New Roman"/>
          <w:color w:val="FF0000"/>
          <w:highlight w:val="none"/>
          <w:lang w:val="en-US"/>
        </w:rPr>
      </w:pPr>
      <w:r>
        <w:rPr>
          <w:rFonts w:hint="default" w:ascii="Times New Roman" w:hAnsi="Times New Roman" w:eastAsia="宋体" w:cs="Times New Roman"/>
          <w:color w:val="FF0000"/>
          <w:highlight w:val="none"/>
          <w:lang w:val="en-US" w:eastAsia="zh-CN"/>
        </w:rPr>
        <w:t xml:space="preserve">产生工业固体废物的单位应当依法实施清洁生产审核，通过采取工艺设备改造、清洁能源使用、原料替代等措施，从源头减少工业固体废物产生；加强原材料深度加工以及循环使用、伴生产品加工利用、副产物综合利用。 </w:t>
      </w:r>
    </w:p>
    <w:p w14:paraId="4CE46FFE">
      <w:pPr>
        <w:ind w:firstLine="480"/>
        <w:rPr>
          <w:rFonts w:hint="default" w:ascii="Times New Roman" w:hAnsi="Times New Roman" w:eastAsia="宋体" w:cs="Times New Roman"/>
          <w:color w:val="FF0000"/>
          <w:highlight w:val="none"/>
          <w:lang w:val="en-US"/>
        </w:rPr>
      </w:pPr>
      <w:r>
        <w:rPr>
          <w:rFonts w:hint="default" w:ascii="Times New Roman" w:hAnsi="Times New Roman" w:eastAsia="宋体" w:cs="Times New Roman"/>
          <w:color w:val="FF0000"/>
          <w:highlight w:val="none"/>
          <w:lang w:val="en-US" w:eastAsia="zh-CN"/>
        </w:rPr>
        <w:t>产生工业固体废物的单位应当取得排污许可证；向所在地生态环境主管部门提供工业固体废物的种类、数量、流向、贮存、利用、</w:t>
      </w:r>
      <w:r>
        <w:rPr>
          <w:rFonts w:hint="eastAsia" w:ascii="Times New Roman" w:hAnsi="Times New Roman" w:eastAsia="宋体" w:cs="Times New Roman"/>
          <w:color w:val="FF0000"/>
          <w:highlight w:val="none"/>
          <w:lang w:val="en-US" w:eastAsia="zh-CN"/>
        </w:rPr>
        <w:t>处置</w:t>
      </w:r>
      <w:r>
        <w:rPr>
          <w:rFonts w:hint="default" w:ascii="Times New Roman" w:hAnsi="Times New Roman" w:eastAsia="宋体" w:cs="Times New Roman"/>
          <w:color w:val="FF0000"/>
          <w:highlight w:val="none"/>
          <w:lang w:val="en-US" w:eastAsia="zh-CN"/>
        </w:rPr>
        <w:t xml:space="preserve">等有关资料，以及减少工业固体废物产生、促进综合利用的具体措施，并执行排污许可管理制度的相关规定。 </w:t>
      </w:r>
    </w:p>
    <w:p w14:paraId="52E585DF">
      <w:pPr>
        <w:ind w:firstLine="480"/>
        <w:rPr>
          <w:rFonts w:hint="default" w:ascii="Times New Roman" w:hAnsi="Times New Roman" w:eastAsia="宋体" w:cs="Times New Roman"/>
          <w:color w:val="FF0000"/>
          <w:highlight w:val="none"/>
          <w:lang w:val="en-US"/>
        </w:rPr>
      </w:pPr>
      <w:r>
        <w:rPr>
          <w:rFonts w:hint="default" w:ascii="Times New Roman" w:hAnsi="Times New Roman" w:eastAsia="宋体" w:cs="Times New Roman"/>
          <w:color w:val="FF0000"/>
          <w:highlight w:val="none"/>
          <w:lang w:val="en-US" w:eastAsia="zh-CN"/>
        </w:rPr>
        <w:t>有尾矿、粉煤灰、煤矸石等工业固体废物存量的单位，应当依法采取污染防治措施，制定计划，并采取综合利用等减量措施</w:t>
      </w:r>
      <w:r>
        <w:rPr>
          <w:rFonts w:hint="eastAsia" w:ascii="Times New Roman" w:hAnsi="Times New Roman" w:eastAsia="宋体" w:cs="Times New Roman"/>
          <w:color w:val="FF0000"/>
          <w:highlight w:val="none"/>
          <w:lang w:val="en-US" w:eastAsia="zh-CN"/>
        </w:rPr>
        <w:t>。</w:t>
      </w:r>
    </w:p>
    <w:p w14:paraId="6F57A9CD">
      <w:pPr>
        <w:ind w:firstLine="480"/>
        <w:rPr>
          <w:rFonts w:hint="default" w:ascii="Times New Roman" w:hAnsi="Times New Roman" w:eastAsia="宋体" w:cs="Times New Roman"/>
          <w:color w:val="FF0000"/>
          <w:highlight w:val="none"/>
          <w:lang w:val="en-US"/>
        </w:rPr>
      </w:pPr>
      <w:r>
        <w:rPr>
          <w:rFonts w:hint="eastAsia" w:ascii="Times New Roman" w:hAnsi="Times New Roman" w:eastAsia="宋体" w:cs="Times New Roman"/>
          <w:color w:val="FF0000"/>
          <w:highlight w:val="none"/>
          <w:lang w:val="en-US" w:eastAsia="zh-CN"/>
        </w:rPr>
        <w:t>本项目建设单位已取得排污许可证，许可证编号：912308000574315064001P。</w:t>
      </w:r>
      <w:r>
        <w:rPr>
          <w:rFonts w:hint="default" w:ascii="Times New Roman" w:hAnsi="Times New Roman" w:eastAsia="宋体" w:cs="Times New Roman"/>
          <w:color w:val="FF0000"/>
          <w:highlight w:val="none"/>
          <w:lang w:val="en-US" w:eastAsia="zh-CN"/>
        </w:rPr>
        <w:t>本项目飞灰、炉渣、外售佳木斯北方奥特建材有限公司综合利用；废布袋由厂家回收，不在厂区内堆存；灰库除尘器收尘外售佳木斯北方奥特建材有限公司综合利用；</w:t>
      </w:r>
      <w:r>
        <w:rPr>
          <w:rFonts w:hint="eastAsia" w:ascii="Times New Roman" w:hAnsi="Times New Roman" w:eastAsia="宋体" w:cs="Times New Roman"/>
          <w:color w:val="FF0000"/>
          <w:highlight w:val="none"/>
          <w:lang w:val="en-US" w:eastAsia="zh-CN"/>
        </w:rPr>
        <w:t>生石灰</w:t>
      </w:r>
      <w:r>
        <w:rPr>
          <w:rFonts w:hint="default" w:ascii="Times New Roman" w:hAnsi="Times New Roman" w:eastAsia="宋体" w:cs="Times New Roman"/>
          <w:color w:val="FF0000"/>
          <w:highlight w:val="none"/>
          <w:lang w:val="en-US" w:eastAsia="zh-CN"/>
        </w:rPr>
        <w:t>粉仓除尘器收尘回用于脱硫工序；碎煤机除尘器收尘作为燃料入炉燃烧；沉渣定期清掏作为燃料入炉燃烧；废矿物油暂存于现有工程危废暂存间内，委托有资质单位处置</w:t>
      </w:r>
      <w:r>
        <w:rPr>
          <w:rFonts w:hint="eastAsia" w:ascii="Times New Roman" w:hAnsi="Times New Roman" w:eastAsia="宋体" w:cs="Times New Roman"/>
          <w:color w:val="FF0000"/>
          <w:highlight w:val="none"/>
          <w:lang w:val="en-US" w:eastAsia="zh-CN"/>
        </w:rPr>
        <w:t>。本项目产生的固体废物经过妥善处理后，处置率达到100%，符合《黑龙江省固体废物污染环境防治条例》的相关要求。</w:t>
      </w:r>
    </w:p>
    <w:p w14:paraId="4AB5F8AC">
      <w:pPr>
        <w:pStyle w:val="7"/>
        <w:numPr>
          <w:ilvl w:val="3"/>
          <w:numId w:val="3"/>
        </w:numPr>
        <w:bidi w:val="0"/>
        <w:ind w:left="850" w:leftChars="0" w:hanging="850" w:firstLineChars="0"/>
        <w:rPr>
          <w:rFonts w:hint="default" w:ascii="Times New Roman" w:hAnsi="Times New Roman" w:eastAsia="宋体" w:cs="Times New Roman"/>
          <w:color w:val="FF0000"/>
          <w:highlight w:val="none"/>
        </w:rPr>
      </w:pPr>
      <w:r>
        <w:rPr>
          <w:rFonts w:hint="eastAsia" w:ascii="Times New Roman" w:hAnsi="Times New Roman" w:cs="Times New Roman"/>
          <w:color w:val="FF0000"/>
          <w:highlight w:val="none"/>
          <w:lang w:val="en-US" w:eastAsia="zh-CN"/>
        </w:rPr>
        <w:t>与</w:t>
      </w:r>
      <w:r>
        <w:rPr>
          <w:rFonts w:hint="default" w:ascii="Times New Roman" w:hAnsi="Times New Roman" w:eastAsia="宋体" w:cs="Times New Roman"/>
          <w:color w:val="FF0000"/>
          <w:highlight w:val="none"/>
          <w:lang w:val="en-US" w:eastAsia="zh-CN"/>
        </w:rPr>
        <w:t>《黑龙江省水污染防治条例》</w:t>
      </w:r>
      <w:r>
        <w:rPr>
          <w:rFonts w:hint="eastAsia" w:ascii="Times New Roman" w:hAnsi="Times New Roman" w:cs="Times New Roman"/>
          <w:color w:val="FF0000"/>
          <w:highlight w:val="none"/>
          <w:lang w:val="en-US" w:eastAsia="zh-CN"/>
        </w:rPr>
        <w:t>符合性分析</w:t>
      </w:r>
    </w:p>
    <w:p w14:paraId="79BA6A1B">
      <w:pPr>
        <w:rPr>
          <w:rFonts w:hint="eastAsia"/>
          <w:color w:val="FF0000"/>
          <w:highlight w:val="none"/>
          <w:lang w:val="en-US" w:eastAsia="zh-CN"/>
        </w:rPr>
      </w:pPr>
      <w:r>
        <w:rPr>
          <w:rFonts w:hint="default"/>
          <w:color w:val="FF0000"/>
          <w:highlight w:val="none"/>
          <w:lang w:val="en-US" w:eastAsia="zh-CN"/>
        </w:rPr>
        <w:t>《黑龙江省水污染防治条例》</w:t>
      </w:r>
      <w:r>
        <w:rPr>
          <w:rFonts w:hint="eastAsia"/>
          <w:color w:val="FF0000"/>
          <w:highlight w:val="none"/>
          <w:lang w:val="en-US" w:eastAsia="zh-CN"/>
        </w:rPr>
        <w:t>中提到：</w:t>
      </w:r>
      <w:r>
        <w:rPr>
          <w:rFonts w:hint="default"/>
          <w:color w:val="FF0000"/>
          <w:highlight w:val="none"/>
          <w:lang w:val="en-US" w:eastAsia="zh-CN"/>
        </w:rPr>
        <w:t>依照法律规定实行排污许可管理的企业事业单位和其他生产经营者，应当依照《排污许可管理条例》规定申请取得排污许可证，按照排污许可证要求排放污染物；未取得排污许可证的，不得排放污染物</w:t>
      </w:r>
      <w:r>
        <w:rPr>
          <w:rFonts w:hint="eastAsia"/>
          <w:color w:val="FF0000"/>
          <w:highlight w:val="none"/>
          <w:lang w:val="en-US" w:eastAsia="zh-CN"/>
        </w:rPr>
        <w:t>。</w:t>
      </w:r>
    </w:p>
    <w:p w14:paraId="37FBD517">
      <w:pPr>
        <w:rPr>
          <w:rFonts w:hint="eastAsia"/>
          <w:color w:val="FF0000"/>
          <w:highlight w:val="none"/>
          <w:lang w:val="en-US" w:eastAsia="zh-CN"/>
        </w:rPr>
      </w:pPr>
      <w:r>
        <w:rPr>
          <w:rFonts w:hint="eastAsia"/>
          <w:color w:val="FF0000"/>
          <w:highlight w:val="none"/>
          <w:lang w:val="en-US" w:eastAsia="zh-CN"/>
        </w:rPr>
        <w:t>排放工业废水的企业应当采取有效措施，收集和处理产生的全部废水，防止污染环境。含有毒有害水污染物的工业废水应当分类收集和处理，不得稀释排放。</w:t>
      </w:r>
    </w:p>
    <w:p w14:paraId="2872D91F">
      <w:pPr>
        <w:rPr>
          <w:rFonts w:hint="default"/>
          <w:color w:val="FF0000"/>
          <w:highlight w:val="none"/>
          <w:lang w:val="en-US"/>
        </w:rPr>
      </w:pPr>
      <w:r>
        <w:rPr>
          <w:rFonts w:hint="default"/>
          <w:color w:val="FF0000"/>
          <w:highlight w:val="none"/>
          <w:lang w:val="en-US" w:eastAsia="zh-CN"/>
        </w:rPr>
        <w:t>本项目建设单位已取得排污许可证，许可证编号：</w:t>
      </w:r>
      <w:r>
        <w:rPr>
          <w:rFonts w:hint="default" w:ascii="Times New Roman" w:hAnsi="Times New Roman" w:cs="Times New Roman"/>
          <w:color w:val="FF0000"/>
          <w:highlight w:val="none"/>
          <w:lang w:val="en-US" w:eastAsia="zh-CN"/>
        </w:rPr>
        <w:t>912308000574315064001P</w:t>
      </w:r>
      <w:r>
        <w:rPr>
          <w:rFonts w:hint="default"/>
          <w:color w:val="FF0000"/>
          <w:highlight w:val="none"/>
          <w:lang w:val="en-US" w:eastAsia="zh-CN"/>
        </w:rPr>
        <w:t>。</w:t>
      </w:r>
      <w:r>
        <w:rPr>
          <w:rFonts w:hint="eastAsia"/>
          <w:color w:val="FF0000"/>
          <w:highlight w:val="none"/>
          <w:lang w:val="en-US" w:eastAsia="zh-CN"/>
        </w:rPr>
        <w:t>本项目不新增员工，不新增生活污水。厂区现有生活污水经市政污水管网进入佳木斯西区污水处理厂，处理达标后排入松花江。生产废水包括软化水处理废水、锅炉排污水，上述废水用于脱硫、脱硝、输煤系统除尘水、冷渣机、地面冲洗、渣库降尘等工序。本项目生产废水全部回用不外排，符合《黑龙江省水污染防治条例》的相关要求。</w:t>
      </w:r>
    </w:p>
    <w:p w14:paraId="632BCD93">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与《黑龙江“十四五”城镇市政基础设施建设发展规划》协调性分析</w:t>
      </w:r>
    </w:p>
    <w:p w14:paraId="24950DFA">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一、加强集中供热设施建设，大力推行清洁供暖方式</w:t>
      </w:r>
    </w:p>
    <w:p w14:paraId="1EE9168B">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加快热电联产和大型区域锅炉房集中供热热源建设，按照“由近及远”的原则，合理规划热源、管网，以节能高效低碳为目标，在确保民生取暖安全的前提下，统筹热力供需平衡，单独或综合采用各类清洁供暖方式。充分发挥燃煤热源的主力作用。新建燃煤锅炉实现达标排放，新建燃煤热电联产机组实现超低排放，本着先易后难、逐步推进的原则，因地制宜、稳步有序地推进经济性好、节能减排效益佳的清洁供暖项目，鼓励长距离输送供热管网项目，充分挖掘现有30万千瓦及以下凝汽机组和工业生活污水等余热资源的供热潜力，加快工业余热资源供热，建设高效利用的供暖体系，稳步推进清洁供暖。</w:t>
      </w:r>
    </w:p>
    <w:p w14:paraId="7795A16C">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本项目建设锅炉容量为58MW，锅炉烟气采用“</w:t>
      </w:r>
      <w:r>
        <w:rPr>
          <w:rFonts w:hint="eastAsia" w:ascii="Times New Roman" w:hAnsi="Times New Roman" w:eastAsia="宋体" w:cs="Times New Roman"/>
          <w:color w:val="auto"/>
          <w:highlight w:val="none"/>
          <w:lang w:val="en-US" w:eastAsia="zh-CN"/>
        </w:rPr>
        <w:t>炉内喷钙+氨法脱硫+SNCR+亚氯酸钠脱硝+袋式除尘器</w:t>
      </w:r>
      <w:r>
        <w:rPr>
          <w:rFonts w:hint="default" w:ascii="Times New Roman" w:hAnsi="Times New Roman" w:eastAsia="宋体" w:cs="Times New Roman"/>
          <w:color w:val="auto"/>
          <w:highlight w:val="none"/>
          <w:lang w:val="en-US" w:eastAsia="zh-CN"/>
        </w:rPr>
        <w:t>”工艺处理后排放</w:t>
      </w:r>
      <w:r>
        <w:rPr>
          <w:rFonts w:hint="default" w:ascii="Times New Roman" w:hAnsi="Times New Roman" w:eastAsia="宋体" w:cs="Times New Roman"/>
          <w:color w:val="auto"/>
          <w:highlight w:val="none"/>
        </w:rPr>
        <w:t>；配套建设的大气污染防治设施与主体工程同时设计、同时施工、同时投产使用。采取上述废气污染防治措施后，全厂锅炉烟气污染物排放浓度满足《关于印发</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全面实施燃煤电厂超低排放和节能改造工作方案</w:t>
      </w:r>
      <w:r>
        <w:rPr>
          <w:rFonts w:hint="eastAsia" w:ascii="Times New Roman" w:hAnsi="Times New Roman" w:eastAsia="宋体" w:cs="Times New Roman"/>
          <w:color w:val="auto"/>
          <w:highlight w:val="none"/>
          <w:lang w:eastAsia="zh-CN"/>
        </w:rPr>
        <w:t>〉的通知》</w:t>
      </w:r>
      <w:r>
        <w:rPr>
          <w:rFonts w:hint="default" w:ascii="Times New Roman" w:hAnsi="Times New Roman" w:eastAsia="宋体" w:cs="Times New Roman"/>
          <w:color w:val="auto"/>
          <w:highlight w:val="none"/>
        </w:rPr>
        <w:t>（环发</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2015</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164号）要求，达到超低排放限值（在基准氧含量6%条件下，烟尘、SO</w:t>
      </w:r>
      <w:r>
        <w:rPr>
          <w:rFonts w:hint="default" w:ascii="Times New Roman" w:hAnsi="Times New Roman" w:eastAsia="宋体" w:cs="Times New Roman"/>
          <w:color w:val="auto"/>
          <w:highlight w:val="none"/>
          <w:vertAlign w:val="subscript"/>
        </w:rPr>
        <w:t>2</w:t>
      </w:r>
      <w:r>
        <w:rPr>
          <w:rFonts w:hint="default" w:ascii="Times New Roman" w:hAnsi="Times New Roman" w:eastAsia="宋体" w:cs="Times New Roman"/>
          <w:color w:val="auto"/>
          <w:highlight w:val="none"/>
        </w:rPr>
        <w:t>、NO</w:t>
      </w:r>
      <w:r>
        <w:rPr>
          <w:rFonts w:hint="default" w:ascii="Times New Roman" w:hAnsi="Times New Roman" w:eastAsia="宋体" w:cs="Times New Roman"/>
          <w:color w:val="auto"/>
          <w:highlight w:val="none"/>
          <w:vertAlign w:val="subscript"/>
        </w:rPr>
        <w:t>X</w:t>
      </w:r>
      <w:r>
        <w:rPr>
          <w:rFonts w:hint="default" w:ascii="Times New Roman" w:hAnsi="Times New Roman" w:eastAsia="宋体" w:cs="Times New Roman"/>
          <w:color w:val="auto"/>
          <w:highlight w:val="none"/>
        </w:rPr>
        <w:t>排放浓度分别不高于10mg/m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、35mg/m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、50mg/m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）要求。</w:t>
      </w:r>
    </w:p>
    <w:p w14:paraId="17E8E404">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综上所述，本项目建设内容符合《黑龙江“十四五”城镇市政基础设施建设发展规划》中关于“新建燃煤锅炉实现达标排放”要求。</w:t>
      </w:r>
    </w:p>
    <w:bookmarkEnd w:id="23"/>
    <w:bookmarkEnd w:id="24"/>
    <w:bookmarkEnd w:id="25"/>
    <w:p w14:paraId="08439E95">
      <w:pPr>
        <w:pStyle w:val="7"/>
        <w:numPr>
          <w:ilvl w:val="3"/>
          <w:numId w:val="3"/>
        </w:numPr>
        <w:bidi w:val="0"/>
        <w:ind w:left="850" w:leftChars="0" w:hanging="850" w:firstLineChars="0"/>
        <w:rPr>
          <w:rFonts w:hint="default" w:ascii="Times New Roman" w:hAnsi="Times New Roman" w:eastAsia="宋体" w:cs="Times New Roman"/>
          <w:color w:val="auto"/>
          <w:highlight w:val="none"/>
        </w:rPr>
      </w:pPr>
      <w:bookmarkStart w:id="45" w:name="_Toc14489"/>
      <w:bookmarkStart w:id="46" w:name="_Toc105659852"/>
      <w:bookmarkStart w:id="47" w:name="_Toc107238067"/>
      <w:bookmarkStart w:id="48" w:name="_Toc107238068"/>
      <w:bookmarkStart w:id="49" w:name="_Toc105659853"/>
      <w:r>
        <w:rPr>
          <w:rFonts w:hint="default" w:ascii="Times New Roman" w:hAnsi="Times New Roman" w:eastAsia="宋体" w:cs="Times New Roman"/>
          <w:color w:val="auto"/>
          <w:highlight w:val="none"/>
        </w:rPr>
        <w:t>与《黑龙江省大气污染防治行动计划实施细则》符合性</w:t>
      </w:r>
      <w:bookmarkEnd w:id="45"/>
      <w:bookmarkEnd w:id="46"/>
      <w:bookmarkEnd w:id="47"/>
    </w:p>
    <w:p w14:paraId="6E35F0B5">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为认真贯彻落实《国务院关于印发大气污染防治行动计划的通知》（国发〔2013〕37号）要求，严控可吸入颗粒物（PM</w:t>
      </w:r>
      <w:r>
        <w:rPr>
          <w:rFonts w:hint="default" w:ascii="Times New Roman" w:hAnsi="Times New Roman" w:eastAsia="宋体" w:cs="Times New Roman"/>
          <w:color w:val="auto"/>
          <w:highlight w:val="none"/>
          <w:vertAlign w:val="subscript"/>
        </w:rPr>
        <w:t>10</w:t>
      </w:r>
      <w:r>
        <w:rPr>
          <w:rFonts w:hint="default" w:ascii="Times New Roman" w:hAnsi="Times New Roman" w:eastAsia="宋体" w:cs="Times New Roman"/>
          <w:color w:val="auto"/>
          <w:highlight w:val="none"/>
        </w:rPr>
        <w:t>）、细颗粒物（PM</w:t>
      </w:r>
      <w:r>
        <w:rPr>
          <w:rFonts w:hint="default" w:ascii="Times New Roman" w:hAnsi="Times New Roman" w:eastAsia="宋体" w:cs="Times New Roman"/>
          <w:color w:val="auto"/>
          <w:highlight w:val="none"/>
          <w:vertAlign w:val="subscript"/>
        </w:rPr>
        <w:t>2.5</w:t>
      </w:r>
      <w:r>
        <w:rPr>
          <w:rFonts w:hint="default" w:ascii="Times New Roman" w:hAnsi="Times New Roman" w:eastAsia="宋体" w:cs="Times New Roman"/>
          <w:color w:val="auto"/>
          <w:highlight w:val="none"/>
        </w:rPr>
        <w:t>）等主要大气污染物，严防雾霾等大气环境污染问题发生，进一步提升我省大气环境质量，结合我省实际，黑龙江省人民政府于2014年1月26日发布《黑龙江省大气污染防治行动计划实施细则》。</w:t>
      </w:r>
    </w:p>
    <w:p w14:paraId="3ECF6287">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细则中指出：“加大集中供热工程建设，淘汰分散燃煤小锅炉”；“从2014年起，禁止新建20蒸吨以下燃煤锅炉”；“大型堆场应建立密闭料仓与传送装置”；“除循环流化床锅炉以外的燃煤机组均应安装脱硝设施”；“加强对燃煤锅炉及窑炉等治理，规模在20蒸吨及以上的燃煤锅炉要实施烟气脱硫，确保达标排放”。</w:t>
      </w:r>
    </w:p>
    <w:p w14:paraId="6860A5D3">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本工程通过大型集中供热工程替代分散小锅炉房，有效地提高了资源、能源利用率；符合“加大集中供热工程建设，淘汰分散燃煤小锅炉”；</w:t>
      </w:r>
      <w:r>
        <w:rPr>
          <w:rFonts w:hint="default" w:ascii="Times New Roman" w:hAnsi="Times New Roman" w:eastAsia="宋体" w:cs="Times New Roman"/>
          <w:color w:val="auto"/>
          <w:highlight w:val="none"/>
          <w:lang w:val="en-US" w:eastAsia="zh-CN"/>
        </w:rPr>
        <w:t>本项目建设锅炉容量为58MW，</w:t>
      </w:r>
      <w:r>
        <w:rPr>
          <w:rFonts w:hint="default" w:ascii="Times New Roman" w:hAnsi="Times New Roman" w:eastAsia="宋体" w:cs="Times New Roman"/>
          <w:color w:val="auto"/>
          <w:highlight w:val="none"/>
        </w:rPr>
        <w:t>符合“从2014年起，禁止新建20蒸吨以下燃煤锅炉”要求；本项目</w:t>
      </w:r>
      <w:r>
        <w:rPr>
          <w:rFonts w:hint="eastAsia" w:ascii="Times New Roman" w:hAnsi="Times New Roman" w:eastAsia="宋体" w:cs="Times New Roman"/>
          <w:color w:val="auto"/>
          <w:highlight w:val="none"/>
          <w:lang w:val="en-US" w:eastAsia="zh-CN"/>
        </w:rPr>
        <w:t>厂区现有1座</w:t>
      </w:r>
      <w:r>
        <w:rPr>
          <w:rFonts w:hint="eastAsia" w:ascii="Times New Roman" w:hAnsi="Times New Roman" w:eastAsia="宋体" w:cs="Times New Roman"/>
          <w:color w:val="auto"/>
          <w:highlight w:val="none"/>
          <w:lang w:eastAsia="zh-CN"/>
        </w:rPr>
        <w:t>灰库</w:t>
      </w:r>
      <w:r>
        <w:rPr>
          <w:rFonts w:hint="default" w:ascii="Times New Roman" w:hAnsi="Times New Roman" w:eastAsia="宋体" w:cs="Times New Roman"/>
          <w:color w:val="auto"/>
          <w:highlight w:val="none"/>
          <w:lang w:eastAsia="zh-CN"/>
        </w:rPr>
        <w:t>，新建</w:t>
      </w:r>
      <w:r>
        <w:rPr>
          <w:rFonts w:hint="eastAsia"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val="en-US" w:eastAsia="zh-CN"/>
        </w:rPr>
        <w:t>座</w:t>
      </w:r>
      <w:r>
        <w:rPr>
          <w:rFonts w:hint="default" w:ascii="Times New Roman" w:hAnsi="Times New Roman" w:eastAsia="宋体" w:cs="Times New Roman"/>
          <w:color w:val="auto"/>
          <w:highlight w:val="none"/>
        </w:rPr>
        <w:t>渣仓，</w:t>
      </w:r>
      <w:r>
        <w:rPr>
          <w:rFonts w:hint="eastAsia" w:ascii="Times New Roman" w:hAnsi="Times New Roman" w:eastAsia="宋体" w:cs="Times New Roman"/>
          <w:color w:val="auto"/>
          <w:highlight w:val="none"/>
          <w:lang w:eastAsia="zh-CN"/>
        </w:rPr>
        <w:t>输煤栈桥采取全封闭</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锅炉烟气采用“</w:t>
      </w:r>
      <w:r>
        <w:rPr>
          <w:rFonts w:hint="eastAsia" w:ascii="Times New Roman" w:hAnsi="Times New Roman" w:eastAsia="宋体" w:cs="Times New Roman"/>
          <w:color w:val="auto"/>
          <w:highlight w:val="none"/>
          <w:lang w:val="en-US" w:eastAsia="zh-CN"/>
        </w:rPr>
        <w:t>炉内喷钙+氨法脱硫+SNCR+亚氯酸钠脱硝+袋式除尘器</w:t>
      </w:r>
      <w:r>
        <w:rPr>
          <w:rFonts w:hint="default" w:ascii="Times New Roman" w:hAnsi="Times New Roman" w:eastAsia="宋体" w:cs="Times New Roman"/>
          <w:color w:val="auto"/>
          <w:highlight w:val="none"/>
          <w:lang w:val="en-US" w:eastAsia="zh-CN"/>
        </w:rPr>
        <w:t>”工艺处理后排放</w:t>
      </w: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eastAsia="zh-CN"/>
        </w:rPr>
        <w:t>符合</w:t>
      </w:r>
      <w:r>
        <w:rPr>
          <w:rFonts w:hint="default" w:ascii="Times New Roman" w:hAnsi="Times New Roman" w:eastAsia="宋体" w:cs="Times New Roman"/>
          <w:color w:val="auto"/>
          <w:highlight w:val="none"/>
        </w:rPr>
        <w:t>“加强对燃煤锅炉及窑炉等治理，规模在20蒸吨及以上的燃煤锅炉要实施烟气脱硫，确保达标排放”的要求。</w:t>
      </w:r>
    </w:p>
    <w:p w14:paraId="058EF57B">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因此，本项目的建立</w:t>
      </w:r>
      <w:r>
        <w:rPr>
          <w:rFonts w:hint="eastAsia" w:ascii="Times New Roman" w:hAnsi="Times New Roman" w:eastAsia="宋体" w:cs="Times New Roman"/>
          <w:color w:val="auto"/>
          <w:highlight w:val="none"/>
          <w:lang w:eastAsia="zh-CN"/>
        </w:rPr>
        <w:t>基本</w:t>
      </w:r>
      <w:r>
        <w:rPr>
          <w:rFonts w:hint="default" w:ascii="Times New Roman" w:hAnsi="Times New Roman" w:eastAsia="宋体" w:cs="Times New Roman"/>
          <w:color w:val="auto"/>
          <w:highlight w:val="none"/>
        </w:rPr>
        <w:t>符合《黑龙江省大气污染防治行动计划实施细则》的相关要求。</w:t>
      </w:r>
      <w:bookmarkEnd w:id="48"/>
      <w:bookmarkEnd w:id="49"/>
    </w:p>
    <w:p w14:paraId="271CADEA">
      <w:pPr>
        <w:pStyle w:val="7"/>
        <w:numPr>
          <w:ilvl w:val="3"/>
          <w:numId w:val="3"/>
        </w:numPr>
        <w:bidi w:val="0"/>
        <w:ind w:left="850" w:leftChars="0" w:hanging="850" w:firstLineChars="0"/>
        <w:rPr>
          <w:rFonts w:hint="default" w:ascii="Times New Roman" w:hAnsi="Times New Roman" w:eastAsia="宋体" w:cs="Times New Roman"/>
          <w:color w:val="auto"/>
          <w:highlight w:val="none"/>
        </w:rPr>
      </w:pPr>
      <w:bookmarkStart w:id="50" w:name="_Toc107238069"/>
      <w:bookmarkStart w:id="51" w:name="_Toc105659854"/>
      <w:bookmarkStart w:id="52" w:name="_Toc9480"/>
      <w:r>
        <w:rPr>
          <w:rFonts w:hint="default" w:ascii="Times New Roman" w:hAnsi="Times New Roman" w:eastAsia="宋体" w:cs="Times New Roman"/>
          <w:color w:val="auto"/>
          <w:highlight w:val="none"/>
        </w:rPr>
        <w:t>与《黑龙江省人民政府关于全面加强生态环境保护坚决打好污染防治攻坚战的实施意见》（2018年9月14日）符合性分析</w:t>
      </w:r>
      <w:bookmarkEnd w:id="50"/>
      <w:bookmarkEnd w:id="51"/>
      <w:bookmarkEnd w:id="52"/>
    </w:p>
    <w:p w14:paraId="7A5ED930">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根据《实施意见》：三、坚决</w:t>
      </w:r>
      <w:r>
        <w:rPr>
          <w:rFonts w:hint="default" w:ascii="Times New Roman" w:hAnsi="Times New Roman" w:eastAsia="宋体" w:cs="Times New Roman"/>
          <w:color w:val="auto"/>
          <w:highlight w:val="none"/>
          <w:lang w:eastAsia="zh-CN"/>
        </w:rPr>
        <w:t>打赢蓝天保卫战</w:t>
      </w:r>
      <w:r>
        <w:rPr>
          <w:rFonts w:hint="default" w:ascii="Times New Roman" w:hAnsi="Times New Roman" w:eastAsia="宋体" w:cs="Times New Roman"/>
          <w:color w:val="auto"/>
          <w:highlight w:val="none"/>
        </w:rPr>
        <w:t>（八）实施工业企业大气污染综合治理。强化工业企业无组织排放管理，推进挥发性有机物排放综合整治，到2020年，挥发性有机物排放总量累计削减960吨以上。加快钢铁、石化、建材等行业无组织排放治理，扩大燃煤电厂</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含自备电站</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超低排放改造范围。2018年年底前，完成单机容量30万千瓦燃煤电厂改造；2019年年底前，齐齐哈尔、牡丹江等市完成13台单机容量20万千瓦燃煤电厂改造；到2020年，具备改造条件的燃煤电厂全部完成超低排放改造。推动钢铁行业超低排放改造。哈尔滨市加大高污染、高耗能产业产能压减力度，2019年1月1日起实施火电厂和锅炉大气污染物特别排放限值。实施工业污染源全面达标排放计划，2018年年底前，完成纳入排污许可证管理固定工业污染源污染物排放情况评估，重点排污单位全部安装自动监控设备并同生态环境主管部门联网，依法公开排污信息。具备安装条件的其他工业污染源企业要依法、依规安装和运行污染源自动监控设备。到2020年，各类工业污染源持续保持污染物达标排放，全省污染物排放总量持续下降。</w:t>
      </w:r>
    </w:p>
    <w:p w14:paraId="6401E2B6">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符合性分析：本</w:t>
      </w:r>
      <w:r>
        <w:rPr>
          <w:rFonts w:hint="default" w:ascii="Times New Roman" w:hAnsi="Times New Roman" w:eastAsia="宋体" w:cs="Times New Roman"/>
          <w:color w:val="auto"/>
          <w:highlight w:val="none"/>
          <w:lang w:val="en-US" w:eastAsia="zh-CN"/>
        </w:rPr>
        <w:t>项目建设锅炉容量为58MW，锅炉烟气采用“</w:t>
      </w:r>
      <w:r>
        <w:rPr>
          <w:rFonts w:hint="eastAsia" w:ascii="Times New Roman" w:hAnsi="Times New Roman" w:eastAsia="宋体" w:cs="Times New Roman"/>
          <w:color w:val="auto"/>
          <w:highlight w:val="none"/>
          <w:lang w:val="en-US" w:eastAsia="zh-CN"/>
        </w:rPr>
        <w:t>炉内喷钙+氨法脱硫+SNCR+亚氯酸钠脱硝+袋式除尘器</w:t>
      </w:r>
      <w:r>
        <w:rPr>
          <w:rFonts w:hint="default" w:ascii="Times New Roman" w:hAnsi="Times New Roman" w:eastAsia="宋体" w:cs="Times New Roman"/>
          <w:color w:val="auto"/>
          <w:highlight w:val="none"/>
          <w:lang w:val="en-US" w:eastAsia="zh-CN"/>
        </w:rPr>
        <w:t>”工艺处理后</w:t>
      </w:r>
      <w:r>
        <w:rPr>
          <w:rFonts w:hint="eastAsia" w:ascii="Times New Roman" w:hAnsi="Times New Roman" w:eastAsia="宋体" w:cs="Times New Roman"/>
          <w:color w:val="auto"/>
          <w:highlight w:val="none"/>
          <w:lang w:val="en-US" w:eastAsia="zh-CN"/>
        </w:rPr>
        <w:t>，经一座高度为70m，出口内径为3.5m的烟囱</w:t>
      </w:r>
      <w:r>
        <w:rPr>
          <w:rFonts w:hint="default" w:ascii="Times New Roman" w:hAnsi="Times New Roman" w:eastAsia="宋体" w:cs="Times New Roman"/>
          <w:color w:val="auto"/>
          <w:highlight w:val="none"/>
          <w:lang w:val="en-US" w:eastAsia="zh-CN"/>
        </w:rPr>
        <w:t>排放</w:t>
      </w:r>
      <w:r>
        <w:rPr>
          <w:rFonts w:hint="eastAsia" w:ascii="Times New Roman" w:hAnsi="Times New Roman" w:eastAsia="宋体" w:cs="Times New Roman"/>
          <w:color w:val="auto"/>
          <w:highlight w:val="none"/>
          <w:lang w:val="en-US" w:eastAsia="zh-CN"/>
        </w:rPr>
        <w:t>，该烟囱安装</w:t>
      </w:r>
      <w:r>
        <w:rPr>
          <w:rFonts w:hint="default" w:ascii="Times New Roman" w:hAnsi="Times New Roman" w:eastAsia="宋体" w:cs="Times New Roman"/>
          <w:iCs/>
          <w:color w:val="auto"/>
          <w:kern w:val="2"/>
          <w:sz w:val="24"/>
          <w:szCs w:val="24"/>
          <w:highlight w:val="none"/>
          <w:lang w:val="en-US" w:eastAsia="zh-CN" w:bidi="ar-SA"/>
        </w:rPr>
        <w:t>在线监测设备</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有组织烟气中污染物排放浓度满足超低排放限值要求，即在基准含氧量6%条件下，烟尘、二氧化硫、氮氧化物排放浓度分别不高于10mg/m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，35mg/m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，50mg/m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，对环境空气的不利影响较小。</w:t>
      </w:r>
    </w:p>
    <w:p w14:paraId="3C217B7F">
      <w:pPr>
        <w:bidi w:val="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本项目符合</w:t>
      </w:r>
      <w:r>
        <w:rPr>
          <w:rFonts w:hint="default" w:ascii="Times New Roman" w:hAnsi="Times New Roman" w:eastAsia="宋体" w:cs="Times New Roman"/>
          <w:color w:val="auto"/>
          <w:highlight w:val="none"/>
        </w:rPr>
        <w:t>《黑龙江省人民政府关于全面加强生态环境保护坚决打好污染防治攻坚战的实施意见》（2018年9月14日）</w:t>
      </w:r>
      <w:r>
        <w:rPr>
          <w:rFonts w:hint="eastAsia" w:ascii="Times New Roman" w:hAnsi="Times New Roman" w:eastAsia="宋体" w:cs="Times New Roman"/>
          <w:color w:val="auto"/>
          <w:highlight w:val="none"/>
          <w:lang w:eastAsia="zh-CN"/>
        </w:rPr>
        <w:t>的</w:t>
      </w:r>
      <w:r>
        <w:rPr>
          <w:rFonts w:hint="eastAsia" w:ascii="Times New Roman" w:hAnsi="Times New Roman" w:eastAsia="宋体" w:cs="Times New Roman"/>
          <w:color w:val="auto"/>
          <w:highlight w:val="none"/>
          <w:lang w:val="en-US" w:eastAsia="zh-CN"/>
        </w:rPr>
        <w:t>相关要求</w:t>
      </w:r>
      <w:r>
        <w:rPr>
          <w:rFonts w:hint="default" w:ascii="Times New Roman" w:hAnsi="Times New Roman" w:eastAsia="宋体" w:cs="Times New Roman"/>
          <w:color w:val="auto"/>
          <w:highlight w:val="none"/>
        </w:rPr>
        <w:t>。</w:t>
      </w:r>
    </w:p>
    <w:p w14:paraId="5A5F9EA2">
      <w:pPr>
        <w:pStyle w:val="7"/>
        <w:numPr>
          <w:ilvl w:val="3"/>
          <w:numId w:val="3"/>
        </w:numPr>
        <w:bidi w:val="0"/>
        <w:ind w:left="850" w:leftChars="0" w:hanging="850" w:firstLineChars="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与《黑龙江省人民政府关于印发</w:t>
      </w:r>
      <w:r>
        <w:rPr>
          <w:rFonts w:hint="eastAsia" w:ascii="Times New Roman" w:hAnsi="Times New Roman" w:cs="Times New Roman"/>
          <w:color w:val="auto"/>
          <w:highlight w:val="none"/>
          <w:lang w:val="en-US" w:eastAsia="zh-CN"/>
        </w:rPr>
        <w:t>〈</w:t>
      </w:r>
      <w:r>
        <w:rPr>
          <w:rFonts w:hint="default" w:ascii="Times New Roman" w:hAnsi="Times New Roman" w:eastAsia="宋体" w:cs="Times New Roman"/>
          <w:color w:val="auto"/>
          <w:highlight w:val="none"/>
          <w:lang w:val="en-US" w:eastAsia="zh-CN"/>
        </w:rPr>
        <w:t>黑龙江省空气质量持续改善行动计划实施方案</w:t>
      </w:r>
      <w:r>
        <w:rPr>
          <w:rFonts w:hint="eastAsia" w:ascii="Times New Roman" w:hAnsi="Times New Roman" w:cs="Times New Roman"/>
          <w:color w:val="auto"/>
          <w:highlight w:val="none"/>
          <w:lang w:val="en-US" w:eastAsia="zh-CN"/>
        </w:rPr>
        <w:t>〉的通知》</w:t>
      </w:r>
      <w:r>
        <w:rPr>
          <w:rFonts w:hint="default" w:ascii="Times New Roman" w:hAnsi="Times New Roman" w:eastAsia="宋体" w:cs="Times New Roman"/>
          <w:color w:val="auto"/>
          <w:highlight w:val="none"/>
          <w:lang w:val="en-US" w:eastAsia="zh-CN"/>
        </w:rPr>
        <w:t>（黑政发</w:t>
      </w:r>
      <w:r>
        <w:rPr>
          <w:rFonts w:hint="eastAsia" w:ascii="Times New Roman" w:hAnsi="Times New Roman" w:cs="Times New Roman"/>
          <w:color w:val="auto"/>
          <w:highlight w:val="none"/>
          <w:lang w:val="en-US" w:eastAsia="zh-CN"/>
        </w:rPr>
        <w:t>〔</w:t>
      </w:r>
      <w:r>
        <w:rPr>
          <w:rFonts w:hint="default" w:ascii="Times New Roman" w:hAnsi="Times New Roman" w:eastAsia="宋体" w:cs="Times New Roman"/>
          <w:color w:val="auto"/>
          <w:highlight w:val="none"/>
          <w:lang w:val="en-US" w:eastAsia="zh-CN"/>
        </w:rPr>
        <w:t>2023</w:t>
      </w:r>
      <w:r>
        <w:rPr>
          <w:rFonts w:hint="eastAsia" w:ascii="Times New Roman" w:hAnsi="Times New Roman" w:cs="Times New Roman"/>
          <w:color w:val="auto"/>
          <w:highlight w:val="none"/>
          <w:lang w:val="en-US" w:eastAsia="zh-CN"/>
        </w:rPr>
        <w:t>〕</w:t>
      </w:r>
      <w:r>
        <w:rPr>
          <w:rFonts w:hint="default" w:ascii="Times New Roman" w:hAnsi="Times New Roman" w:eastAsia="宋体" w:cs="Times New Roman"/>
          <w:color w:val="auto"/>
          <w:highlight w:val="none"/>
          <w:lang w:val="en-US" w:eastAsia="zh-CN"/>
        </w:rPr>
        <w:t>19号）符合性分析</w:t>
      </w:r>
    </w:p>
    <w:p w14:paraId="412BD103">
      <w:pPr>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方案指出：（十一）积极推进燃煤锅炉淘汰改造。各地要将燃煤供热锅炉替代项目纳入城镇供热规划。县级及以上城市建成区原则上不再新建35蒸吨/小时及以下燃煤锅炉，其他地区原则上不再新建10蒸吨/小时及以下燃煤锅炉。加快热力管网建设，依托电厂、大型工业企业开展远距离供热示范，充分释放热电联产、工业余热等供热能力，淘汰管网覆盖范围内的供热燃煤锅炉和散煤。到2025年，哈尔滨市、佳木斯市、七台河市、绥化市基本完成城市建成区35蒸吨/小时及以下燃煤锅炉淘汰；哈尔滨市、绥化市基本淘汰行政区域内10蒸吨/小时及以下的燃煤锅炉。</w:t>
      </w:r>
    </w:p>
    <w:p w14:paraId="137C6ECF">
      <w:pPr>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符合性分析：</w:t>
      </w:r>
      <w:r>
        <w:rPr>
          <w:rFonts w:hint="default" w:ascii="Times New Roman" w:hAnsi="Times New Roman" w:eastAsia="宋体" w:cs="Times New Roman"/>
          <w:color w:val="auto"/>
          <w:sz w:val="24"/>
          <w:szCs w:val="24"/>
          <w:highlight w:val="none"/>
          <w:lang w:eastAsia="zh-CN"/>
        </w:rPr>
        <w:t>本</w:t>
      </w:r>
      <w:r>
        <w:rPr>
          <w:rFonts w:hint="default" w:ascii="Times New Roman" w:hAnsi="Times New Roman" w:eastAsia="宋体" w:cs="Times New Roman"/>
          <w:color w:val="auto"/>
          <w:sz w:val="24"/>
          <w:szCs w:val="24"/>
          <w:highlight w:val="none"/>
          <w:lang w:val="en-US" w:eastAsia="zh-CN"/>
        </w:rPr>
        <w:t>项目建设锅炉容量为58MW，锅炉烟气采用“</w:t>
      </w:r>
      <w:r>
        <w:rPr>
          <w:rFonts w:hint="eastAsia" w:ascii="Times New Roman" w:hAnsi="Times New Roman" w:eastAsia="宋体" w:cs="Times New Roman"/>
          <w:color w:val="auto"/>
          <w:sz w:val="24"/>
          <w:szCs w:val="24"/>
          <w:highlight w:val="none"/>
          <w:lang w:val="en-US" w:eastAsia="zh-CN"/>
        </w:rPr>
        <w:t>炉内喷钙+氨法脱硫+SNCR+亚氯酸钠脱硝+袋式除尘器</w:t>
      </w:r>
      <w:r>
        <w:rPr>
          <w:rFonts w:hint="default" w:ascii="Times New Roman" w:hAnsi="Times New Roman" w:eastAsia="宋体" w:cs="Times New Roman"/>
          <w:color w:val="auto"/>
          <w:sz w:val="24"/>
          <w:szCs w:val="24"/>
          <w:highlight w:val="none"/>
          <w:lang w:val="en-US" w:eastAsia="zh-CN"/>
        </w:rPr>
        <w:t>”工艺处理后，经一座高度为70m，出口内径为3.5m的烟囱排放</w:t>
      </w:r>
      <w:r>
        <w:rPr>
          <w:rFonts w:hint="eastAsia" w:ascii="Times New Roman" w:hAnsi="Times New Roman" w:eastAsia="宋体" w:cs="Times New Roman"/>
          <w:color w:val="auto"/>
          <w:kern w:val="0"/>
          <w:sz w:val="24"/>
          <w:szCs w:val="24"/>
          <w:highlight w:val="none"/>
          <w:lang w:val="en-US" w:eastAsia="zh-CN"/>
        </w:rPr>
        <w:t>。本项目建设的锅炉为调峰供热锅炉，项目建成后有助于推进供热燃煤锅炉和散煤淘汰。因此，本项目</w:t>
      </w:r>
      <w:r>
        <w:rPr>
          <w:rFonts w:hint="default" w:ascii="Times New Roman" w:hAnsi="Times New Roman" w:eastAsia="宋体" w:cs="Times New Roman"/>
          <w:color w:val="auto"/>
          <w:kern w:val="0"/>
          <w:sz w:val="24"/>
          <w:szCs w:val="24"/>
          <w:highlight w:val="none"/>
          <w:lang w:val="en-US" w:eastAsia="zh-CN"/>
        </w:rPr>
        <w:t>符合《黑龙江省空气质量持续改善行动计划实施方案》要求。</w:t>
      </w:r>
    </w:p>
    <w:p w14:paraId="74C50620">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与《黑龙江省生态功能区划》符合性</w:t>
      </w:r>
    </w:p>
    <w:p w14:paraId="1D37EE30">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both"/>
        <w:textAlignment w:val="auto"/>
        <w:rPr>
          <w:rFonts w:hint="default" w:ascii="Times New Roman" w:hAnsi="Times New Roman" w:eastAsia="宋体" w:cs="Times New Roman"/>
          <w:color w:val="auto"/>
          <w:sz w:val="24"/>
          <w:szCs w:val="24"/>
          <w:highlight w:val="none"/>
          <w:lang w:eastAsia="zh-CN"/>
        </w:rPr>
      </w:pPr>
      <w:bookmarkStart w:id="53" w:name="_Toc9734"/>
      <w:r>
        <w:rPr>
          <w:rFonts w:hint="default" w:ascii="Times New Roman" w:hAnsi="Times New Roman" w:eastAsia="宋体" w:cs="Times New Roman"/>
          <w:color w:val="auto"/>
          <w:sz w:val="24"/>
          <w:szCs w:val="24"/>
          <w:highlight w:val="none"/>
          <w:lang w:eastAsia="zh-CN"/>
        </w:rPr>
        <w:t>依据《黑龙江省生态功能区划》，本项目所处区域属于“I-</w:t>
      </w:r>
      <w:r>
        <w:rPr>
          <w:rFonts w:hint="eastAsia"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eastAsia="zh-CN"/>
        </w:rPr>
        <w:t>-1佳木斯城镇与农业生态功能区”，本区由</w:t>
      </w:r>
      <w:r>
        <w:rPr>
          <w:rFonts w:hint="eastAsia" w:ascii="Times New Roman" w:hAnsi="Times New Roman" w:eastAsia="宋体" w:cs="Times New Roman"/>
          <w:color w:val="auto"/>
          <w:sz w:val="24"/>
          <w:szCs w:val="24"/>
          <w:highlight w:val="none"/>
          <w:lang w:val="en-US" w:eastAsia="zh-CN"/>
        </w:rPr>
        <w:t>佳木斯</w:t>
      </w:r>
      <w:r>
        <w:rPr>
          <w:rFonts w:hint="default" w:ascii="Times New Roman" w:hAnsi="Times New Roman" w:eastAsia="宋体" w:cs="Times New Roman"/>
          <w:color w:val="auto"/>
          <w:sz w:val="24"/>
          <w:szCs w:val="24"/>
          <w:highlight w:val="none"/>
          <w:lang w:eastAsia="zh-CN"/>
        </w:rPr>
        <w:t>市组成，总面积</w:t>
      </w:r>
      <w:r>
        <w:rPr>
          <w:rFonts w:hint="eastAsia" w:ascii="Times New Roman" w:hAnsi="Times New Roman" w:eastAsia="宋体" w:cs="Times New Roman"/>
          <w:color w:val="auto"/>
          <w:sz w:val="24"/>
          <w:szCs w:val="24"/>
          <w:highlight w:val="none"/>
          <w:lang w:val="en-US" w:eastAsia="zh-CN"/>
        </w:rPr>
        <w:t>1875</w:t>
      </w:r>
      <w:r>
        <w:rPr>
          <w:rFonts w:hint="default" w:ascii="Times New Roman" w:hAnsi="Times New Roman" w:eastAsia="宋体" w:cs="Times New Roman"/>
          <w:color w:val="auto"/>
          <w:sz w:val="24"/>
          <w:szCs w:val="24"/>
          <w:highlight w:val="none"/>
          <w:lang w:eastAsia="zh-CN"/>
        </w:rPr>
        <w:t>平方公里。该生态功能区主要生态环境问题为工业“三废”排放量大，局部地区水污染和大气污染严重；农业垦殖系数高；水土流失较为敏感；生态环境敏感性：土壤侵蚀敏感性为中度敏感；土壤沙漠化敏感性大部分地区为中度敏感性；沿松花江流域水污染敏感性为中度敏感；主要生态系统服务功能为</w:t>
      </w:r>
      <w:r>
        <w:rPr>
          <w:rFonts w:hint="eastAsia" w:ascii="Times New Roman" w:hAnsi="Times New Roman" w:eastAsia="宋体" w:cs="Times New Roman"/>
          <w:color w:val="auto"/>
          <w:sz w:val="24"/>
          <w:szCs w:val="24"/>
          <w:highlight w:val="none"/>
          <w:lang w:eastAsia="zh-CN"/>
        </w:rPr>
        <w:t>土</w:t>
      </w:r>
      <w:r>
        <w:rPr>
          <w:rFonts w:hint="default" w:ascii="Times New Roman" w:hAnsi="Times New Roman" w:eastAsia="宋体" w:cs="Times New Roman"/>
          <w:color w:val="auto"/>
          <w:sz w:val="24"/>
          <w:szCs w:val="24"/>
          <w:highlight w:val="none"/>
          <w:lang w:eastAsia="zh-CN"/>
        </w:rPr>
        <w:t>壤保持、水环境保护、大气环境保护、城镇发展、工农业生产。保护措施与发展方向为进行产业结构调整，增加高科技、无污染项目的投入，改善区域环境，开展生态农业建设。</w:t>
      </w:r>
    </w:p>
    <w:p w14:paraId="2FFD0B31">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both"/>
        <w:textAlignment w:val="auto"/>
        <w:rPr>
          <w:rFonts w:hint="default" w:ascii="Times New Roman" w:hAnsi="Times New Roman" w:eastAsia="宋体" w:cs="Times New Roman"/>
          <w:bCs/>
          <w:color w:val="auto"/>
          <w:kern w:val="2"/>
          <w:sz w:val="24"/>
          <w:szCs w:val="24"/>
          <w:highlight w:val="none"/>
        </w:rPr>
      </w:pPr>
      <w:r>
        <w:rPr>
          <w:rFonts w:hint="eastAsia" w:ascii="Times New Roman" w:hAnsi="Times New Roman" w:eastAsia="宋体" w:cs="Times New Roman"/>
          <w:color w:val="auto"/>
          <w:sz w:val="24"/>
          <w:szCs w:val="24"/>
          <w:highlight w:val="none"/>
          <w:lang w:val="en-US" w:eastAsia="zh-CN"/>
        </w:rPr>
        <w:t>本</w:t>
      </w:r>
      <w:r>
        <w:rPr>
          <w:rFonts w:hint="default" w:ascii="Times New Roman" w:hAnsi="Times New Roman" w:eastAsia="宋体" w:cs="Times New Roman"/>
          <w:color w:val="auto"/>
          <w:sz w:val="24"/>
          <w:szCs w:val="24"/>
          <w:highlight w:val="none"/>
          <w:lang w:eastAsia="zh-CN"/>
        </w:rPr>
        <w:t>项目位置</w:t>
      </w:r>
      <w:r>
        <w:rPr>
          <w:rFonts w:hint="default" w:ascii="Times New Roman" w:hAnsi="Times New Roman" w:eastAsia="宋体" w:cs="Times New Roman"/>
          <w:color w:val="auto"/>
          <w:sz w:val="24"/>
          <w:szCs w:val="24"/>
          <w:highlight w:val="none"/>
        </w:rPr>
        <w:t>位于</w:t>
      </w:r>
      <w:r>
        <w:rPr>
          <w:rFonts w:hint="eastAsia" w:ascii="Times New Roman" w:hAnsi="Times New Roman" w:eastAsia="宋体" w:cs="Times New Roman"/>
          <w:color w:val="auto"/>
          <w:sz w:val="24"/>
          <w:szCs w:val="24"/>
          <w:highlight w:val="none"/>
          <w:lang w:val="en-US" w:eastAsia="zh-CN"/>
        </w:rPr>
        <w:t>佳木斯市郊区</w:t>
      </w:r>
      <w:r>
        <w:rPr>
          <w:rFonts w:hint="eastAsia" w:ascii="Times New Roman" w:hAnsi="Times New Roman" w:eastAsia="宋体" w:cs="Times New Roman"/>
          <w:color w:val="auto"/>
          <w:highlight w:val="none"/>
          <w:lang w:eastAsia="zh-CN"/>
        </w:rPr>
        <w:t>佳木斯中恒热电有限公司</w:t>
      </w:r>
      <w:r>
        <w:rPr>
          <w:rFonts w:hint="eastAsia" w:ascii="Times New Roman" w:hAnsi="Times New Roman" w:eastAsia="宋体" w:cs="Times New Roman"/>
          <w:color w:val="auto"/>
          <w:highlight w:val="none"/>
          <w:lang w:val="en-US" w:eastAsia="zh-CN"/>
        </w:rPr>
        <w:t>现有厂区内</w:t>
      </w:r>
      <w:r>
        <w:rPr>
          <w:rFonts w:hint="default" w:ascii="Times New Roman" w:hAnsi="Times New Roman" w:eastAsia="宋体" w:cs="Times New Roman"/>
          <w:color w:val="auto"/>
          <w:sz w:val="24"/>
          <w:szCs w:val="24"/>
          <w:highlight w:val="none"/>
          <w:lang w:eastAsia="zh-CN"/>
        </w:rPr>
        <w:t>，不新增占地，占地类型为</w:t>
      </w:r>
      <w:r>
        <w:rPr>
          <w:rFonts w:hint="eastAsia" w:ascii="Times New Roman" w:hAnsi="Times New Roman" w:eastAsia="宋体" w:cs="Times New Roman"/>
          <w:color w:val="auto"/>
          <w:sz w:val="24"/>
          <w:szCs w:val="24"/>
          <w:highlight w:val="none"/>
          <w:lang w:eastAsia="zh-CN"/>
        </w:rPr>
        <w:t>工业</w:t>
      </w:r>
      <w:r>
        <w:rPr>
          <w:rFonts w:hint="default" w:ascii="Times New Roman" w:hAnsi="Times New Roman" w:eastAsia="宋体" w:cs="Times New Roman"/>
          <w:color w:val="auto"/>
          <w:sz w:val="24"/>
          <w:szCs w:val="24"/>
          <w:highlight w:val="none"/>
        </w:rPr>
        <w:t>用地，以人工生态系统为主，项目的建设不会对区域生态功能产生明显影响，</w:t>
      </w:r>
      <w:r>
        <w:rPr>
          <w:rFonts w:hint="default" w:ascii="Times New Roman" w:hAnsi="Times New Roman" w:eastAsia="宋体" w:cs="Times New Roman"/>
          <w:color w:val="auto"/>
          <w:sz w:val="24"/>
          <w:szCs w:val="24"/>
          <w:highlight w:val="none"/>
          <w:lang w:eastAsia="zh-CN"/>
        </w:rPr>
        <w:t>不</w:t>
      </w:r>
      <w:r>
        <w:rPr>
          <w:rFonts w:hint="default" w:ascii="Times New Roman" w:hAnsi="Times New Roman" w:eastAsia="宋体" w:cs="Times New Roman"/>
          <w:color w:val="auto"/>
          <w:sz w:val="24"/>
          <w:szCs w:val="24"/>
          <w:highlight w:val="none"/>
        </w:rPr>
        <w:t>会造成水土流失，项目符合《黑龙江省生态功能区划》的</w:t>
      </w:r>
      <w:r>
        <w:rPr>
          <w:rFonts w:hint="default" w:ascii="Times New Roman" w:hAnsi="Times New Roman" w:eastAsia="宋体" w:cs="Times New Roman"/>
          <w:color w:val="auto"/>
          <w:sz w:val="24"/>
          <w:szCs w:val="24"/>
          <w:highlight w:val="none"/>
          <w:lang w:eastAsia="zh-CN"/>
        </w:rPr>
        <w:t>相关要求。</w:t>
      </w:r>
    </w:p>
    <w:bookmarkEnd w:id="53"/>
    <w:p w14:paraId="10B9D191">
      <w:pPr>
        <w:pStyle w:val="7"/>
        <w:numPr>
          <w:ilvl w:val="3"/>
          <w:numId w:val="3"/>
        </w:numPr>
        <w:bidi w:val="0"/>
        <w:ind w:left="850" w:leftChars="0" w:hanging="850" w:firstLineChars="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与《</w:t>
      </w:r>
      <w:r>
        <w:rPr>
          <w:rFonts w:hint="eastAsia" w:ascii="Times New Roman" w:hAnsi="Times New Roman" w:cs="Times New Roman"/>
          <w:b/>
          <w:bCs/>
          <w:color w:val="auto"/>
          <w:sz w:val="24"/>
          <w:szCs w:val="24"/>
          <w:highlight w:val="none"/>
          <w:lang w:val="en-US" w:eastAsia="zh-CN"/>
        </w:rPr>
        <w:t>佳木斯</w:t>
      </w:r>
      <w:r>
        <w:rPr>
          <w:rFonts w:hint="default" w:ascii="Times New Roman" w:hAnsi="Times New Roman" w:eastAsia="宋体" w:cs="Times New Roman"/>
          <w:b/>
          <w:bCs/>
          <w:color w:val="auto"/>
          <w:sz w:val="24"/>
          <w:szCs w:val="24"/>
          <w:highlight w:val="none"/>
          <w:lang w:val="en-US" w:eastAsia="zh-CN"/>
        </w:rPr>
        <w:t>市“十四五”生态环境保护规划》符合性分析</w:t>
      </w:r>
    </w:p>
    <w:p w14:paraId="7993A066">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根据《生态环境保护规划》：</w:t>
      </w:r>
    </w:p>
    <w:p w14:paraId="6B7B9438">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推进产业结构调整。持续压减淘汰落后产能，实施差别化环境准入政策，从严控制高能耗、高物耗、高水耗、低水平重复建设项目及涉危、涉重和其他重大环境风险项目。推进城市建成区重点企业搬迁改造，加快重点污染工业企业退城、搬迁、改造、关停。加强重点行业绿色转型，支持企业开展能效提升、清洁生产、超低排放等绿色化改造，实施重点行业和企业循环化改造，推动资源循环再生利用，提升行业资源能源利用效率。推进产业集群和园区升级改造，鼓励创建绿色工厂、绿色工业园区，加强园区能源梯级利用，推进集中供热，推动佳木斯高新区晋升为国家级高新区，支持各县（市）区产业园区培育壮大特色产业集群。到2025年，预计全市规模以上工业企业万元工业增加值能耗累计下降5%以上。</w:t>
      </w:r>
    </w:p>
    <w:p w14:paraId="2C3EC4FB">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优化能源供给结构。建设清洁低碳、安全高效的能源体系。严格控制煤炭消费总量增速，实施煤炭消费减量替代，推动煤炭等化石能源清洁高效利用。实施能耗总量和强度双控，大幅降低能耗强度。实施可再生能源替代行动，促进非化石能源成为能源消费增量的主体。完善能源产供储销体系，加快落实“气化龙江”、电能替代工程，建设智慧能源系统，保障全市能源供应。优化电力生产和输送通道布局，提高能源输配效率。优化风电、光伏发电布局。优先发展新能源产业，持续推进电能替代行动计划，推广电锅炉、电窑炉、电采暖等新型用能方式，探索在风电、光电富集地区利用低谷富余电实施储能供暖。</w:t>
      </w:r>
    </w:p>
    <w:p w14:paraId="43CCACDB">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实施终端用能清洁化替代。重点削减小型燃煤锅炉、民用散煤与农业用煤消费量，降低煤炭在终端分散利用比例，对以煤、石焦油、渣油、重油等为燃料的锅炉和工业炉窑，加快使用清洁低碳能源以及工业余热、电力热力等进行替代。到2023年采暖季前，全市清洁取暖率基本达到100%，平原地区基本完成散煤替代。</w:t>
      </w:r>
    </w:p>
    <w:p w14:paraId="22915931">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default" w:eastAsia="宋体"/>
          <w:color w:val="auto"/>
          <w:highlight w:val="none"/>
          <w:lang w:val="en-US" w:eastAsia="zh-CN"/>
        </w:rPr>
      </w:pPr>
      <w:r>
        <w:rPr>
          <w:rFonts w:hint="eastAsia" w:ascii="Times New Roman" w:hAnsi="Times New Roman" w:eastAsia="宋体" w:cs="Times New Roman"/>
          <w:b w:val="0"/>
          <w:bCs w:val="0"/>
          <w:color w:val="auto"/>
          <w:sz w:val="24"/>
          <w:highlight w:val="none"/>
          <w:lang w:val="en-US" w:eastAsia="zh-CN"/>
        </w:rPr>
        <w:t>符合性分析：</w:t>
      </w:r>
      <w:r>
        <w:rPr>
          <w:rFonts w:hint="default" w:ascii="Times New Roman" w:hAnsi="Times New Roman" w:eastAsia="宋体" w:cs="Times New Roman"/>
          <w:b w:val="0"/>
          <w:bCs w:val="0"/>
          <w:color w:val="auto"/>
          <w:sz w:val="24"/>
          <w:highlight w:val="none"/>
          <w:lang w:val="en-US" w:eastAsia="zh-CN"/>
        </w:rPr>
        <w:t>本项目建设锅炉容量为58MW，锅炉烟气采用“</w:t>
      </w:r>
      <w:r>
        <w:rPr>
          <w:rFonts w:hint="eastAsia" w:ascii="Times New Roman" w:hAnsi="Times New Roman" w:eastAsia="宋体" w:cs="Times New Roman"/>
          <w:b w:val="0"/>
          <w:bCs w:val="0"/>
          <w:color w:val="auto"/>
          <w:sz w:val="24"/>
          <w:highlight w:val="none"/>
          <w:lang w:val="en-US" w:eastAsia="zh-CN"/>
        </w:rPr>
        <w:t>炉内喷钙+氨法脱硫+SNCR+亚氯酸钠脱硝+袋式除尘器</w:t>
      </w:r>
      <w:r>
        <w:rPr>
          <w:rFonts w:hint="default" w:ascii="Times New Roman" w:hAnsi="Times New Roman" w:eastAsia="宋体" w:cs="Times New Roman"/>
          <w:b w:val="0"/>
          <w:bCs w:val="0"/>
          <w:color w:val="auto"/>
          <w:sz w:val="24"/>
          <w:highlight w:val="none"/>
          <w:lang w:val="en-US" w:eastAsia="zh-CN"/>
        </w:rPr>
        <w:t>”工艺处理后，经一座高度为70m，出口内径为3.5m的烟囱排放</w:t>
      </w:r>
      <w:r>
        <w:rPr>
          <w:rFonts w:hint="eastAsia" w:ascii="Times New Roman" w:hAnsi="Times New Roman" w:eastAsia="宋体" w:cs="Times New Roman"/>
          <w:b w:val="0"/>
          <w:bCs w:val="0"/>
          <w:color w:val="auto"/>
          <w:sz w:val="24"/>
          <w:highlight w:val="none"/>
          <w:lang w:val="en-US" w:eastAsia="zh-CN"/>
        </w:rPr>
        <w:t>。本项目建设的锅炉为佳木斯市集中供热调峰热源，项目建设有助于推进佳木斯市集中供热</w:t>
      </w:r>
      <w:r>
        <w:rPr>
          <w:rFonts w:hint="default" w:ascii="Times New Roman" w:hAnsi="Times New Roman" w:eastAsia="宋体" w:cs="Times New Roman"/>
          <w:b w:val="0"/>
          <w:bCs w:val="0"/>
          <w:color w:val="auto"/>
          <w:sz w:val="24"/>
          <w:highlight w:val="none"/>
          <w:lang w:val="en-US" w:eastAsia="zh-CN"/>
        </w:rPr>
        <w:t>，</w:t>
      </w:r>
      <w:r>
        <w:rPr>
          <w:rFonts w:hint="eastAsia" w:ascii="Times New Roman" w:hAnsi="Times New Roman" w:eastAsia="宋体" w:cs="Times New Roman"/>
          <w:b w:val="0"/>
          <w:bCs w:val="0"/>
          <w:color w:val="auto"/>
          <w:sz w:val="24"/>
          <w:highlight w:val="none"/>
          <w:lang w:val="en-US" w:eastAsia="zh-CN"/>
        </w:rPr>
        <w:t>加快削减供暖用小型燃煤锅炉及民用散煤消费量，</w:t>
      </w:r>
      <w:r>
        <w:rPr>
          <w:rFonts w:hint="default" w:ascii="Times New Roman" w:hAnsi="Times New Roman" w:eastAsia="宋体" w:cs="Times New Roman"/>
          <w:b w:val="0"/>
          <w:bCs w:val="0"/>
          <w:color w:val="auto"/>
          <w:sz w:val="24"/>
          <w:highlight w:val="none"/>
          <w:lang w:val="en-US" w:eastAsia="zh-CN"/>
        </w:rPr>
        <w:t>项目建成后</w:t>
      </w:r>
      <w:r>
        <w:rPr>
          <w:rFonts w:hint="eastAsia" w:ascii="Times New Roman" w:hAnsi="Times New Roman" w:eastAsia="宋体" w:cs="Times New Roman"/>
          <w:b w:val="0"/>
          <w:bCs w:val="0"/>
          <w:color w:val="auto"/>
          <w:sz w:val="24"/>
          <w:highlight w:val="none"/>
          <w:lang w:val="en-US" w:eastAsia="zh-CN"/>
        </w:rPr>
        <w:t>环境效益和社会效益显著</w:t>
      </w:r>
      <w:r>
        <w:rPr>
          <w:rFonts w:hint="default" w:ascii="Times New Roman" w:hAnsi="Times New Roman" w:eastAsia="宋体" w:cs="Times New Roman"/>
          <w:b w:val="0"/>
          <w:bCs w:val="0"/>
          <w:color w:val="auto"/>
          <w:sz w:val="24"/>
          <w:highlight w:val="none"/>
          <w:lang w:val="en-US" w:eastAsia="zh-CN"/>
        </w:rPr>
        <w:t>，可以保证可靠的供热体系。</w:t>
      </w:r>
      <w:r>
        <w:rPr>
          <w:rFonts w:hint="eastAsia" w:ascii="Times New Roman" w:hAnsi="Times New Roman" w:eastAsia="宋体" w:cs="Times New Roman"/>
          <w:b w:val="0"/>
          <w:bCs w:val="0"/>
          <w:color w:val="auto"/>
          <w:sz w:val="24"/>
          <w:highlight w:val="none"/>
          <w:lang w:val="en-US" w:eastAsia="zh-CN"/>
        </w:rPr>
        <w:t>因此，本项目建设符合《佳木斯市“十四五”生态环境保护规划》相关要求。</w:t>
      </w:r>
    </w:p>
    <w:p w14:paraId="546205D5">
      <w:pPr>
        <w:pStyle w:val="7"/>
        <w:numPr>
          <w:ilvl w:val="3"/>
          <w:numId w:val="3"/>
        </w:numPr>
        <w:bidi w:val="0"/>
        <w:ind w:left="850" w:leftChars="0" w:hanging="850" w:firstLineChars="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与《</w:t>
      </w:r>
      <w:r>
        <w:rPr>
          <w:rFonts w:hint="eastAsia" w:ascii="Times New Roman" w:hAnsi="Times New Roman" w:cs="Times New Roman"/>
          <w:b/>
          <w:bCs/>
          <w:color w:val="auto"/>
          <w:sz w:val="24"/>
          <w:szCs w:val="24"/>
          <w:highlight w:val="none"/>
          <w:lang w:val="en-US" w:eastAsia="zh-CN"/>
        </w:rPr>
        <w:t>佳木斯</w:t>
      </w:r>
      <w:r>
        <w:rPr>
          <w:rFonts w:hint="default" w:ascii="Times New Roman" w:hAnsi="Times New Roman" w:eastAsia="宋体" w:cs="Times New Roman"/>
          <w:b/>
          <w:bCs/>
          <w:color w:val="auto"/>
          <w:sz w:val="24"/>
          <w:szCs w:val="24"/>
          <w:highlight w:val="none"/>
          <w:lang w:val="en-US" w:eastAsia="zh-CN"/>
        </w:rPr>
        <w:t>市空气质量持续改善行动计划实施方案》符合性分析</w:t>
      </w:r>
    </w:p>
    <w:p w14:paraId="71756E35">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方案指出</w:t>
      </w:r>
      <w:r>
        <w:rPr>
          <w:rFonts w:hint="default" w:ascii="Times New Roman" w:hAnsi="Times New Roman" w:eastAsia="宋体" w:cs="Times New Roman"/>
          <w:b w:val="0"/>
          <w:bCs w:val="0"/>
          <w:color w:val="auto"/>
          <w:sz w:val="24"/>
          <w:highlight w:val="none"/>
          <w:lang w:val="en-US" w:eastAsia="zh-CN"/>
        </w:rPr>
        <w:t>，推进燃煤设施设备淘汰改造。动态掌握工业炉窑清单底数</w:t>
      </w:r>
      <w:r>
        <w:rPr>
          <w:rFonts w:hint="eastAsia" w:ascii="Times New Roman" w:hAnsi="Times New Roman" w:eastAsia="宋体" w:cs="Times New Roman"/>
          <w:b w:val="0"/>
          <w:bCs w:val="0"/>
          <w:color w:val="auto"/>
          <w:sz w:val="24"/>
          <w:highlight w:val="none"/>
          <w:lang w:val="en-US" w:eastAsia="zh-CN"/>
        </w:rPr>
        <w:t>，</w:t>
      </w:r>
      <w:r>
        <w:rPr>
          <w:rFonts w:hint="default" w:ascii="Times New Roman" w:hAnsi="Times New Roman" w:eastAsia="宋体" w:cs="Times New Roman"/>
          <w:b w:val="0"/>
          <w:bCs w:val="0"/>
          <w:color w:val="auto"/>
          <w:sz w:val="24"/>
          <w:highlight w:val="none"/>
          <w:lang w:val="en-US" w:eastAsia="zh-CN"/>
        </w:rPr>
        <w:t>稳步推进在用高污染燃料的工业炉窑改用工业余热、电能、天然气等清洁燃料。县级及以上城市建成区原则上不再新建35蒸吨/小时及以下燃煤锅炉</w:t>
      </w:r>
      <w:r>
        <w:rPr>
          <w:rFonts w:hint="eastAsia" w:ascii="Times New Roman" w:hAnsi="Times New Roman" w:eastAsia="宋体" w:cs="Times New Roman"/>
          <w:b w:val="0"/>
          <w:bCs w:val="0"/>
          <w:color w:val="auto"/>
          <w:sz w:val="24"/>
          <w:highlight w:val="none"/>
          <w:lang w:val="en-US" w:eastAsia="zh-CN"/>
        </w:rPr>
        <w:t>，</w:t>
      </w:r>
      <w:r>
        <w:rPr>
          <w:rFonts w:hint="default" w:ascii="Times New Roman" w:hAnsi="Times New Roman" w:eastAsia="宋体" w:cs="Times New Roman"/>
          <w:b w:val="0"/>
          <w:bCs w:val="0"/>
          <w:color w:val="auto"/>
          <w:sz w:val="24"/>
          <w:highlight w:val="none"/>
          <w:lang w:val="en-US" w:eastAsia="zh-CN"/>
        </w:rPr>
        <w:t>其他地区原则上不再新建10蒸吨/小时以下燃煤锅炉。到2025年</w:t>
      </w:r>
      <w:r>
        <w:rPr>
          <w:rFonts w:hint="eastAsia" w:ascii="Times New Roman" w:hAnsi="Times New Roman" w:eastAsia="宋体" w:cs="Times New Roman"/>
          <w:b w:val="0"/>
          <w:bCs w:val="0"/>
          <w:color w:val="auto"/>
          <w:sz w:val="24"/>
          <w:highlight w:val="none"/>
          <w:lang w:val="en-US" w:eastAsia="zh-CN"/>
        </w:rPr>
        <w:t>，</w:t>
      </w:r>
      <w:r>
        <w:rPr>
          <w:rFonts w:hint="default" w:ascii="Times New Roman" w:hAnsi="Times New Roman" w:eastAsia="宋体" w:cs="Times New Roman"/>
          <w:b w:val="0"/>
          <w:bCs w:val="0"/>
          <w:color w:val="auto"/>
          <w:sz w:val="24"/>
          <w:highlight w:val="none"/>
          <w:lang w:val="en-US" w:eastAsia="zh-CN"/>
        </w:rPr>
        <w:t>基本完成城市建成区35蒸吨/小时及以下燃煤锅炉淘汰</w:t>
      </w:r>
      <w:r>
        <w:rPr>
          <w:rFonts w:hint="eastAsia" w:ascii="Times New Roman" w:hAnsi="Times New Roman" w:eastAsia="宋体" w:cs="Times New Roman"/>
          <w:b w:val="0"/>
          <w:bCs w:val="0"/>
          <w:color w:val="auto"/>
          <w:sz w:val="24"/>
          <w:highlight w:val="none"/>
          <w:lang w:val="en-US" w:eastAsia="zh-CN"/>
        </w:rPr>
        <w:t>。</w:t>
      </w:r>
    </w:p>
    <w:p w14:paraId="619982A5">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eastAsia"/>
          <w:color w:val="auto"/>
          <w:highlight w:val="none"/>
          <w:lang w:val="en-US" w:eastAsia="zh-CN"/>
        </w:rPr>
      </w:pPr>
      <w:r>
        <w:rPr>
          <w:rFonts w:hint="eastAsia" w:ascii="Times New Roman" w:hAnsi="Times New Roman" w:eastAsia="宋体" w:cs="Times New Roman"/>
          <w:b w:val="0"/>
          <w:bCs w:val="0"/>
          <w:color w:val="auto"/>
          <w:sz w:val="24"/>
          <w:highlight w:val="none"/>
          <w:lang w:val="en-US" w:eastAsia="zh-CN"/>
        </w:rPr>
        <w:t>推动供热规划体系建设。加快热力管网建设，依托电厂、大型工业企业开展远距离供热示范，充分释放热电联产、工业余热等供热能力，淘汰管网覆盖范围内的供热燃煤锅炉和散煤。供热燃煤锅炉替代项目要纳入城镇供热规划。</w:t>
      </w:r>
    </w:p>
    <w:p w14:paraId="214CBDEB">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续推进清洁取暖。加快推动超低排放改造、煤改清洁能源、散煤锅炉并网、农村散煤替代、集中供热扩容、工业余热利用、供热老旧管网改造、新建热源、既有建筑节能改造和配套能力建设等十类工程建设。到2024年12月，全面完成清洁取暖试点城市建设，建设任务完成后，依法将整体完成清洁取暖改造的地区划定为高污染燃料禁燃区，严禁散煤复烧。</w:t>
      </w:r>
    </w:p>
    <w:p w14:paraId="4AE26F6B">
      <w:pPr>
        <w:bidi w:val="0"/>
        <w:rPr>
          <w:rFonts w:hint="eastAsia"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highlight w:val="none"/>
          <w:lang w:val="en-US" w:eastAsia="zh-CN"/>
        </w:rPr>
        <w:t>符合性分析：</w:t>
      </w:r>
      <w:r>
        <w:rPr>
          <w:rFonts w:hint="default" w:ascii="Times New Roman" w:hAnsi="Times New Roman" w:eastAsia="宋体" w:cs="Times New Roman"/>
          <w:color w:val="auto"/>
          <w:sz w:val="24"/>
          <w:szCs w:val="24"/>
          <w:highlight w:val="none"/>
          <w:lang w:val="en-US" w:eastAsia="zh-CN"/>
        </w:rPr>
        <w:t>本项目建设锅炉容量为58MW，锅炉烟气采用“</w:t>
      </w:r>
      <w:r>
        <w:rPr>
          <w:rFonts w:hint="eastAsia" w:ascii="Times New Roman" w:hAnsi="Times New Roman" w:eastAsia="宋体" w:cs="Times New Roman"/>
          <w:color w:val="auto"/>
          <w:sz w:val="24"/>
          <w:szCs w:val="24"/>
          <w:highlight w:val="none"/>
          <w:lang w:val="en-US" w:eastAsia="zh-CN"/>
        </w:rPr>
        <w:t>炉内喷钙+氨法脱硫+SNCR+亚氯酸钠脱硝+袋式除尘器</w:t>
      </w:r>
      <w:r>
        <w:rPr>
          <w:rFonts w:hint="default" w:ascii="Times New Roman" w:hAnsi="Times New Roman" w:eastAsia="宋体" w:cs="Times New Roman"/>
          <w:color w:val="auto"/>
          <w:sz w:val="24"/>
          <w:szCs w:val="24"/>
          <w:highlight w:val="none"/>
          <w:lang w:val="en-US" w:eastAsia="zh-CN"/>
        </w:rPr>
        <w:t>”工艺处理后，经一座高度为70m，出口内径为3.5m的烟囱排放</w:t>
      </w:r>
      <w:r>
        <w:rPr>
          <w:rFonts w:hint="default"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项目建成后能够实现超低排放。本项目建设的锅炉为调峰供热锅炉，项目建成后有助于推进推动供热规划体系建设</w:t>
      </w:r>
      <w:r>
        <w:rPr>
          <w:rFonts w:hint="default" w:ascii="Times New Roman" w:hAnsi="Times New Roman" w:eastAsia="宋体" w:cs="Times New Roman"/>
          <w:color w:val="auto"/>
          <w:kern w:val="0"/>
          <w:sz w:val="24"/>
          <w:szCs w:val="24"/>
          <w:highlight w:val="none"/>
          <w:lang w:val="en-US" w:eastAsia="zh-CN"/>
        </w:rPr>
        <w:t>。</w:t>
      </w:r>
      <w:r>
        <w:rPr>
          <w:rFonts w:hint="eastAsia" w:ascii="Times New Roman" w:hAnsi="Times New Roman" w:eastAsia="宋体" w:cs="Times New Roman"/>
          <w:color w:val="auto"/>
          <w:kern w:val="0"/>
          <w:sz w:val="24"/>
          <w:szCs w:val="24"/>
          <w:highlight w:val="none"/>
          <w:lang w:val="en-US" w:eastAsia="zh-CN"/>
        </w:rPr>
        <w:t>因此，本项目符合《佳木斯市空气质量持续改善行动计划实施方案》中相关要求。</w:t>
      </w:r>
    </w:p>
    <w:p w14:paraId="09300950">
      <w:pPr>
        <w:pStyle w:val="6"/>
        <w:numPr>
          <w:ilvl w:val="2"/>
          <w:numId w:val="3"/>
        </w:numPr>
        <w:bidi w:val="0"/>
        <w:ind w:left="709" w:leftChars="0" w:hanging="709" w:firstLineChars="0"/>
        <w:rPr>
          <w:rFonts w:hint="default" w:ascii="Times New Roman" w:hAnsi="Times New Roman" w:eastAsia="宋体" w:cs="Times New Roman"/>
          <w:color w:val="auto"/>
          <w:highlight w:val="none"/>
        </w:rPr>
      </w:pPr>
      <w:bookmarkStart w:id="54" w:name="_Toc32436"/>
      <w:bookmarkStart w:id="55" w:name="_Toc25927"/>
      <w:bookmarkStart w:id="56" w:name="_Toc107238076"/>
      <w:bookmarkStart w:id="57" w:name="_Toc105659861"/>
      <w:bookmarkStart w:id="58" w:name="_Toc20495"/>
      <w:bookmarkStart w:id="59" w:name="_Toc7759"/>
      <w:r>
        <w:rPr>
          <w:rFonts w:hint="default" w:ascii="Times New Roman" w:hAnsi="Times New Roman" w:eastAsia="宋体" w:cs="Times New Roman"/>
          <w:color w:val="auto"/>
          <w:highlight w:val="none"/>
        </w:rPr>
        <w:t>选址合理性及厂区布局合理性分析</w:t>
      </w:r>
      <w:bookmarkEnd w:id="54"/>
      <w:bookmarkEnd w:id="55"/>
      <w:bookmarkEnd w:id="56"/>
      <w:bookmarkEnd w:id="57"/>
      <w:bookmarkEnd w:id="58"/>
      <w:bookmarkEnd w:id="59"/>
    </w:p>
    <w:p w14:paraId="54225D19">
      <w:pPr>
        <w:ind w:firstLine="48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本</w:t>
      </w:r>
      <w:r>
        <w:rPr>
          <w:rFonts w:hint="eastAsia" w:ascii="Times New Roman" w:hAnsi="Times New Roman" w:eastAsia="宋体" w:cs="Times New Roman"/>
          <w:color w:val="auto"/>
          <w:kern w:val="2"/>
          <w:sz w:val="24"/>
          <w:szCs w:val="24"/>
          <w:highlight w:val="none"/>
          <w:lang w:val="en-US" w:eastAsia="zh-CN"/>
        </w:rPr>
        <w:t>项目</w:t>
      </w:r>
      <w:r>
        <w:rPr>
          <w:rFonts w:hint="default" w:ascii="Times New Roman" w:hAnsi="Times New Roman" w:eastAsia="宋体" w:cs="Times New Roman"/>
          <w:color w:val="auto"/>
          <w:kern w:val="2"/>
          <w:sz w:val="24"/>
          <w:szCs w:val="24"/>
          <w:highlight w:val="none"/>
        </w:rPr>
        <w:t>建设在</w:t>
      </w:r>
      <w:r>
        <w:rPr>
          <w:rFonts w:hint="default" w:ascii="Times New Roman" w:hAnsi="Times New Roman" w:eastAsia="宋体" w:cs="Times New Roman"/>
          <w:color w:val="auto"/>
          <w:kern w:val="2"/>
          <w:sz w:val="24"/>
          <w:szCs w:val="24"/>
          <w:highlight w:val="none"/>
          <w:lang w:eastAsia="zh-CN"/>
        </w:rPr>
        <w:t>佳木斯中恒热电有限公司</w:t>
      </w:r>
      <w:r>
        <w:rPr>
          <w:rFonts w:hint="default" w:ascii="Times New Roman" w:hAnsi="Times New Roman" w:eastAsia="宋体" w:cs="Times New Roman"/>
          <w:color w:val="auto"/>
          <w:kern w:val="2"/>
          <w:sz w:val="24"/>
          <w:szCs w:val="24"/>
          <w:highlight w:val="none"/>
        </w:rPr>
        <w:t>现有厂区内</w:t>
      </w:r>
      <w:r>
        <w:rPr>
          <w:rFonts w:hint="eastAsia" w:ascii="Times New Roman" w:hAnsi="Times New Roman" w:eastAsia="宋体" w:cs="Times New Roman"/>
          <w:color w:val="auto"/>
          <w:kern w:val="2"/>
          <w:sz w:val="24"/>
          <w:szCs w:val="24"/>
          <w:highlight w:val="none"/>
          <w:lang w:eastAsia="zh-CN"/>
        </w:rPr>
        <w:t>，选址符合规划要求</w:t>
      </w:r>
      <w:r>
        <w:rPr>
          <w:rFonts w:hint="default" w:ascii="Times New Roman" w:hAnsi="Times New Roman" w:eastAsia="宋体" w:cs="Times New Roman"/>
          <w:color w:val="auto"/>
          <w:kern w:val="2"/>
          <w:sz w:val="24"/>
          <w:szCs w:val="24"/>
          <w:highlight w:val="none"/>
        </w:rPr>
        <w:t>。</w:t>
      </w:r>
      <w:r>
        <w:rPr>
          <w:rFonts w:hint="eastAsia" w:ascii="Times New Roman" w:hAnsi="Times New Roman" w:eastAsia="宋体" w:cs="Times New Roman"/>
          <w:color w:val="auto"/>
          <w:kern w:val="2"/>
          <w:sz w:val="24"/>
          <w:szCs w:val="24"/>
          <w:highlight w:val="none"/>
          <w:lang w:eastAsia="zh-CN"/>
        </w:rPr>
        <w:t>佳木斯中恒热电有限公司</w:t>
      </w:r>
      <w:r>
        <w:rPr>
          <w:rFonts w:hint="default" w:ascii="Times New Roman" w:hAnsi="Times New Roman" w:eastAsia="宋体" w:cs="Times New Roman"/>
          <w:color w:val="auto"/>
          <w:highlight w:val="none"/>
        </w:rPr>
        <w:t>西侧为</w:t>
      </w:r>
      <w:r>
        <w:rPr>
          <w:rFonts w:hint="eastAsia" w:ascii="Times New Roman" w:hAnsi="Times New Roman" w:eastAsia="宋体" w:cs="Times New Roman"/>
          <w:color w:val="auto"/>
          <w:highlight w:val="none"/>
          <w:lang w:val="en-US" w:eastAsia="zh-CN"/>
        </w:rPr>
        <w:t>原热电厂家属区</w:t>
      </w:r>
      <w:r>
        <w:rPr>
          <w:rFonts w:hint="default" w:ascii="Times New Roman" w:hAnsi="Times New Roman" w:eastAsia="宋体" w:cs="Times New Roman"/>
          <w:color w:val="auto"/>
          <w:highlight w:val="none"/>
        </w:rPr>
        <w:t>；南侧为</w:t>
      </w:r>
      <w:r>
        <w:rPr>
          <w:rFonts w:hint="eastAsia" w:ascii="Times New Roman" w:hAnsi="Times New Roman" w:eastAsia="宋体" w:cs="Times New Roman"/>
          <w:color w:val="auto"/>
          <w:highlight w:val="none"/>
          <w:lang w:val="en-US" w:eastAsia="zh-CN"/>
        </w:rPr>
        <w:t>龙实路，隔路为黑锻新城小区</w:t>
      </w:r>
      <w:r>
        <w:rPr>
          <w:rFonts w:hint="default" w:ascii="Times New Roman" w:hAnsi="Times New Roman" w:eastAsia="宋体" w:cs="Times New Roman"/>
          <w:color w:val="auto"/>
          <w:highlight w:val="none"/>
        </w:rPr>
        <w:t>；北侧为</w:t>
      </w:r>
      <w:r>
        <w:rPr>
          <w:rFonts w:hint="eastAsia" w:ascii="Times New Roman" w:hAnsi="Times New Roman" w:eastAsia="宋体" w:cs="Times New Roman"/>
          <w:color w:val="auto"/>
          <w:kern w:val="2"/>
          <w:sz w:val="24"/>
          <w:szCs w:val="24"/>
          <w:highlight w:val="none"/>
          <w:lang w:eastAsia="zh-CN"/>
        </w:rPr>
        <w:t>佳木斯西区污水处理厂</w:t>
      </w:r>
      <w:r>
        <w:rPr>
          <w:rFonts w:hint="default" w:ascii="Times New Roman" w:hAnsi="Times New Roman" w:eastAsia="宋体" w:cs="Times New Roman"/>
          <w:color w:val="auto"/>
          <w:highlight w:val="none"/>
        </w:rPr>
        <w:t>，东侧为</w:t>
      </w:r>
      <w:r>
        <w:rPr>
          <w:rFonts w:hint="eastAsia" w:ascii="Times New Roman" w:hAnsi="Times New Roman" w:eastAsia="宋体" w:cs="Times New Roman"/>
          <w:color w:val="auto"/>
          <w:highlight w:val="none"/>
          <w:lang w:val="en-US" w:eastAsia="zh-CN"/>
        </w:rPr>
        <w:t>水清街，隔路为农田</w:t>
      </w:r>
      <w:r>
        <w:rPr>
          <w:rFonts w:hint="default" w:ascii="Times New Roman" w:hAnsi="Times New Roman" w:eastAsia="宋体" w:cs="Times New Roman"/>
          <w:color w:val="auto"/>
          <w:kern w:val="2"/>
          <w:sz w:val="24"/>
          <w:szCs w:val="24"/>
          <w:highlight w:val="none"/>
        </w:rPr>
        <w:t>。本项目选址不属于国家公园、自然保护区、风景名胜区、世界文化和自然遗产地、海洋特别保护区、饮用水水源保护区；永久基本农田、基本草原、自然公园（森林公园、地质公园、海洋公园等）、重要湿地、天然林，重点保护野生动物栖息地，重点保护野生植物生长繁殖地，重要水生生物的自然产卵场、索饵场、越冬场和洄游通道，天然渔场</w:t>
      </w:r>
      <w:r>
        <w:rPr>
          <w:rFonts w:hint="eastAsia" w:ascii="Times New Roman" w:hAnsi="Times New Roman" w:eastAsia="宋体" w:cs="Times New Roman"/>
          <w:color w:val="auto"/>
          <w:kern w:val="2"/>
          <w:sz w:val="24"/>
          <w:szCs w:val="24"/>
          <w:highlight w:val="none"/>
          <w:lang w:val="en-US" w:eastAsia="zh-CN"/>
        </w:rPr>
        <w:t>等</w:t>
      </w:r>
      <w:r>
        <w:rPr>
          <w:rFonts w:hint="default" w:ascii="Times New Roman" w:hAnsi="Times New Roman" w:eastAsia="宋体" w:cs="Times New Roman"/>
          <w:color w:val="auto"/>
          <w:kern w:val="2"/>
          <w:sz w:val="24"/>
          <w:szCs w:val="24"/>
          <w:highlight w:val="none"/>
        </w:rPr>
        <w:t>环境敏感区。项目所在区域为平原区，地质结构稳定，不易发生洪水、泥石流等自然灾害；本项目依托厂区现有的基础设施，可以减少投资。</w:t>
      </w:r>
    </w:p>
    <w:p w14:paraId="2939FDBE">
      <w:pPr>
        <w:ind w:firstLine="480"/>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建设锅炉容量为58MW，锅炉</w:t>
      </w:r>
      <w:r>
        <w:rPr>
          <w:rFonts w:hint="default" w:ascii="Times New Roman" w:hAnsi="Times New Roman" w:eastAsia="宋体" w:cs="Times New Roman"/>
          <w:color w:val="auto"/>
          <w:highlight w:val="none"/>
        </w:rPr>
        <w:t>烟气采用</w:t>
      </w:r>
      <w:r>
        <w:rPr>
          <w:rFonts w:hint="eastAsia" w:ascii="Times New Roman" w:hAnsi="Times New Roman" w:eastAsia="宋体" w:cs="Times New Roman"/>
          <w:color w:val="auto"/>
          <w:highlight w:val="none"/>
          <w:lang w:val="en-US" w:eastAsia="zh-CN"/>
        </w:rPr>
        <w:t>炉内喷钙+氨法脱硫+SNCR+亚氯酸钠脱硝+袋式除尘器</w:t>
      </w:r>
      <w:r>
        <w:rPr>
          <w:rFonts w:hint="default" w:ascii="Times New Roman" w:hAnsi="Times New Roman" w:eastAsia="宋体" w:cs="Times New Roman"/>
          <w:color w:val="auto"/>
          <w:highlight w:val="none"/>
          <w:lang w:val="en-US" w:eastAsia="zh-CN"/>
        </w:rPr>
        <w:t>的烟气净化技术</w:t>
      </w:r>
      <w:r>
        <w:rPr>
          <w:rFonts w:hint="default" w:ascii="Times New Roman" w:hAnsi="Times New Roman" w:eastAsia="宋体" w:cs="Times New Roman"/>
          <w:color w:val="auto"/>
          <w:highlight w:val="none"/>
        </w:rPr>
        <w:t>处理后</w:t>
      </w:r>
      <w:r>
        <w:rPr>
          <w:rFonts w:hint="eastAsia" w:ascii="Times New Roman" w:hAnsi="Times New Roman" w:eastAsia="宋体" w:cs="Times New Roman"/>
          <w:color w:val="auto"/>
          <w:highlight w:val="none"/>
          <w:lang w:eastAsia="zh-CN"/>
        </w:rPr>
        <w:t>通过一座</w:t>
      </w:r>
      <w:r>
        <w:rPr>
          <w:rFonts w:hint="eastAsia" w:ascii="Times New Roman" w:hAnsi="Times New Roman" w:eastAsia="宋体" w:cs="Times New Roman"/>
          <w:color w:val="auto"/>
          <w:highlight w:val="none"/>
          <w:lang w:val="en-US" w:eastAsia="zh-CN"/>
        </w:rPr>
        <w:t>70</w:t>
      </w:r>
      <w:r>
        <w:rPr>
          <w:rFonts w:hint="default" w:ascii="Times New Roman" w:hAnsi="Times New Roman" w:eastAsia="宋体" w:cs="Times New Roman"/>
          <w:color w:val="auto"/>
          <w:highlight w:val="none"/>
        </w:rPr>
        <w:t>m高、出口直径</w:t>
      </w:r>
      <w:r>
        <w:rPr>
          <w:rFonts w:hint="eastAsia" w:ascii="Times New Roman" w:hAnsi="Times New Roman" w:eastAsia="宋体" w:cs="Times New Roman"/>
          <w:color w:val="auto"/>
          <w:highlight w:val="none"/>
          <w:lang w:val="en-US" w:eastAsia="zh-CN"/>
        </w:rPr>
        <w:t>3.5</w:t>
      </w:r>
      <w:r>
        <w:rPr>
          <w:rFonts w:hint="default" w:ascii="Times New Roman" w:hAnsi="Times New Roman" w:eastAsia="宋体" w:cs="Times New Roman"/>
          <w:color w:val="auto"/>
          <w:highlight w:val="none"/>
        </w:rPr>
        <w:t>m的烟囱</w:t>
      </w:r>
      <w:r>
        <w:rPr>
          <w:rFonts w:hint="eastAsia" w:ascii="Times New Roman" w:hAnsi="Times New Roman" w:eastAsia="宋体" w:cs="Times New Roman"/>
          <w:color w:val="auto"/>
          <w:highlight w:val="none"/>
          <w:lang w:val="en-US" w:eastAsia="zh-CN"/>
        </w:rPr>
        <w:t>DA006</w:t>
      </w:r>
      <w:r>
        <w:rPr>
          <w:rFonts w:hint="default" w:ascii="Times New Roman" w:hAnsi="Times New Roman" w:eastAsia="宋体" w:cs="Times New Roman"/>
          <w:color w:val="auto"/>
          <w:highlight w:val="none"/>
        </w:rPr>
        <w:t>排入大气</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采取上述废气污染防治措施后，锅炉烟气污染物排放浓度满足超低排放限值要求（在基准氧含量6%条件下，烟尘、SO</w:t>
      </w:r>
      <w:r>
        <w:rPr>
          <w:rFonts w:hint="default" w:ascii="Times New Roman" w:hAnsi="Times New Roman" w:eastAsia="宋体" w:cs="Times New Roman"/>
          <w:color w:val="auto"/>
          <w:highlight w:val="none"/>
          <w:vertAlign w:val="subscript"/>
        </w:rPr>
        <w:t>2</w:t>
      </w:r>
      <w:r>
        <w:rPr>
          <w:rFonts w:hint="default" w:ascii="Times New Roman" w:hAnsi="Times New Roman" w:eastAsia="宋体" w:cs="Times New Roman"/>
          <w:color w:val="auto"/>
          <w:highlight w:val="none"/>
        </w:rPr>
        <w:t>、NO</w:t>
      </w:r>
      <w:r>
        <w:rPr>
          <w:rFonts w:hint="default" w:ascii="Times New Roman" w:hAnsi="Times New Roman" w:eastAsia="宋体" w:cs="Times New Roman"/>
          <w:color w:val="auto"/>
          <w:highlight w:val="none"/>
          <w:vertAlign w:val="subscript"/>
        </w:rPr>
        <w:t>X</w:t>
      </w:r>
      <w:r>
        <w:rPr>
          <w:rFonts w:hint="default" w:ascii="Times New Roman" w:hAnsi="Times New Roman" w:eastAsia="宋体" w:cs="Times New Roman"/>
          <w:color w:val="auto"/>
          <w:highlight w:val="none"/>
        </w:rPr>
        <w:t>排放浓度分别不高于10mg/m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、35mg/m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、50mg/m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eastAsia="zh-CN"/>
        </w:rPr>
        <w:t>汞</w:t>
      </w:r>
      <w:r>
        <w:rPr>
          <w:rFonts w:hint="default" w:ascii="Times New Roman" w:hAnsi="Times New Roman" w:eastAsia="宋体" w:cs="Times New Roman"/>
          <w:color w:val="auto"/>
          <w:highlight w:val="none"/>
        </w:rPr>
        <w:t>满足《锅炉大气污染物排放标准》（GB13271-2014）表2新建锅炉大气污染物排放浓度限值要求（浓度不高于0.05mg/m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sz w:val="24"/>
          <w:szCs w:val="24"/>
          <w:highlight w:val="none"/>
          <w:lang w:val="en-US" w:eastAsia="zh-CN"/>
        </w:rPr>
        <w:t>本项目建设的上煤系统、碎煤系统均为全封闭结构，新建的渣库为封闭式渣库，位于厂区</w:t>
      </w:r>
      <w:r>
        <w:rPr>
          <w:rFonts w:hint="eastAsia" w:ascii="Times New Roman" w:hAnsi="Times New Roman" w:eastAsia="宋体" w:cs="Times New Roman"/>
          <w:color w:val="auto"/>
          <w:sz w:val="24"/>
          <w:szCs w:val="24"/>
          <w:highlight w:val="none"/>
          <w:lang w:val="en-US" w:eastAsia="zh-CN"/>
        </w:rPr>
        <w:t>北</w:t>
      </w:r>
      <w:r>
        <w:rPr>
          <w:rFonts w:hint="default" w:ascii="Times New Roman" w:hAnsi="Times New Roman" w:eastAsia="宋体" w:cs="Times New Roman"/>
          <w:color w:val="auto"/>
          <w:sz w:val="24"/>
          <w:szCs w:val="24"/>
          <w:highlight w:val="none"/>
          <w:lang w:val="en-US" w:eastAsia="zh-CN"/>
        </w:rPr>
        <w:t>侧</w:t>
      </w:r>
      <w:r>
        <w:rPr>
          <w:rFonts w:hint="default"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石灰石粉仓、灰库</w:t>
      </w:r>
      <w:r>
        <w:rPr>
          <w:rFonts w:hint="default" w:ascii="Times New Roman" w:hAnsi="Times New Roman" w:eastAsia="宋体" w:cs="Times New Roman"/>
          <w:color w:val="auto"/>
          <w:sz w:val="24"/>
          <w:szCs w:val="24"/>
          <w:highlight w:val="none"/>
        </w:rPr>
        <w:t>设置</w:t>
      </w:r>
      <w:r>
        <w:rPr>
          <w:rFonts w:hint="eastAsia" w:ascii="Times New Roman" w:hAnsi="Times New Roman" w:eastAsia="宋体" w:cs="Times New Roman"/>
          <w:color w:val="auto"/>
          <w:sz w:val="24"/>
          <w:szCs w:val="24"/>
          <w:highlight w:val="none"/>
          <w:lang w:eastAsia="zh-CN"/>
        </w:rPr>
        <w:t>脉冲</w:t>
      </w:r>
      <w:r>
        <w:rPr>
          <w:rFonts w:hint="default" w:ascii="Times New Roman" w:hAnsi="Times New Roman" w:eastAsia="宋体" w:cs="Times New Roman"/>
          <w:color w:val="auto"/>
          <w:sz w:val="24"/>
          <w:szCs w:val="24"/>
          <w:highlight w:val="none"/>
        </w:rPr>
        <w:t>除尘器</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碎煤机室</w:t>
      </w:r>
      <w:r>
        <w:rPr>
          <w:rFonts w:hint="default" w:ascii="Times New Roman" w:hAnsi="Times New Roman" w:eastAsia="宋体" w:cs="Times New Roman"/>
          <w:color w:val="auto"/>
          <w:sz w:val="24"/>
          <w:szCs w:val="24"/>
          <w:highlight w:val="none"/>
          <w:lang w:val="en-US" w:eastAsia="zh-CN"/>
        </w:rPr>
        <w:t>全封闭，</w:t>
      </w:r>
      <w:r>
        <w:rPr>
          <w:rFonts w:hint="default" w:ascii="Times New Roman" w:hAnsi="Times New Roman" w:eastAsia="宋体" w:cs="Times New Roman"/>
          <w:color w:val="auto"/>
          <w:sz w:val="24"/>
          <w:szCs w:val="24"/>
          <w:highlight w:val="none"/>
          <w:lang w:eastAsia="zh-CN"/>
        </w:rPr>
        <w:t>除渣运灰过程中，需在密闭空间进行</w:t>
      </w:r>
      <w:r>
        <w:rPr>
          <w:rFonts w:hint="eastAsia" w:ascii="Times New Roman" w:hAnsi="Times New Roman" w:eastAsia="宋体" w:cs="Times New Roman"/>
          <w:color w:val="auto"/>
          <w:highlight w:val="none"/>
          <w:lang w:val="en-US" w:eastAsia="zh-CN"/>
        </w:rPr>
        <w:t>，储煤场四周设置高于煤堆的防风抑尘网，定时洒水降尘，不装卸时用篷布覆盖，</w:t>
      </w:r>
      <w:r>
        <w:rPr>
          <w:rFonts w:hint="default" w:ascii="Times New Roman" w:hAnsi="Times New Roman" w:eastAsia="宋体" w:cs="Times New Roman"/>
          <w:color w:val="auto"/>
          <w:sz w:val="24"/>
          <w:szCs w:val="24"/>
          <w:highlight w:val="none"/>
        </w:rPr>
        <w:t>有效减少煤尘污染。采取</w:t>
      </w:r>
      <w:r>
        <w:rPr>
          <w:rFonts w:hint="default" w:ascii="Times New Roman" w:hAnsi="Times New Roman" w:eastAsia="宋体" w:cs="Times New Roman"/>
          <w:color w:val="auto"/>
          <w:sz w:val="24"/>
          <w:szCs w:val="24"/>
          <w:highlight w:val="none"/>
          <w:lang w:val="en-US" w:eastAsia="zh-CN"/>
        </w:rPr>
        <w:t>以上废气污染</w:t>
      </w:r>
      <w:r>
        <w:rPr>
          <w:rFonts w:hint="default" w:ascii="Times New Roman" w:hAnsi="Times New Roman" w:eastAsia="宋体" w:cs="Times New Roman"/>
          <w:color w:val="auto"/>
          <w:sz w:val="24"/>
          <w:szCs w:val="24"/>
          <w:highlight w:val="none"/>
        </w:rPr>
        <w:t>防治措施后，</w:t>
      </w:r>
      <w:r>
        <w:rPr>
          <w:rFonts w:hint="default" w:ascii="Times New Roman" w:hAnsi="Times New Roman" w:eastAsia="宋体" w:cs="Times New Roman"/>
          <w:b w:val="0"/>
          <w:bCs w:val="0"/>
          <w:color w:val="auto"/>
          <w:sz w:val="24"/>
          <w:szCs w:val="24"/>
          <w:highlight w:val="none"/>
        </w:rPr>
        <w:t>颗粒物的排放浓度</w:t>
      </w:r>
      <w:r>
        <w:rPr>
          <w:rFonts w:hint="eastAsia" w:ascii="Times New Roman" w:hAnsi="Times New Roman" w:eastAsia="宋体" w:cs="Times New Roman"/>
          <w:b w:val="0"/>
          <w:bCs w:val="0"/>
          <w:color w:val="auto"/>
          <w:sz w:val="24"/>
          <w:szCs w:val="24"/>
          <w:highlight w:val="none"/>
          <w:lang w:val="en-US" w:eastAsia="zh-CN"/>
        </w:rPr>
        <w:t>和排放速率</w:t>
      </w:r>
      <w:r>
        <w:rPr>
          <w:rFonts w:hint="default" w:ascii="Times New Roman" w:hAnsi="Times New Roman" w:eastAsia="宋体" w:cs="Times New Roman"/>
          <w:b w:val="0"/>
          <w:bCs w:val="0"/>
          <w:color w:val="auto"/>
          <w:sz w:val="24"/>
          <w:szCs w:val="24"/>
          <w:highlight w:val="none"/>
        </w:rPr>
        <w:t>满足《大气污染物综合排放标准》</w:t>
      </w:r>
      <w:r>
        <w:rPr>
          <w:rFonts w:hint="eastAsia"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GB16297-1996</w:t>
      </w:r>
      <w:r>
        <w:rPr>
          <w:rFonts w:hint="eastAsia"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表2新污染源大气污染物排放限值</w:t>
      </w:r>
      <w:r>
        <w:rPr>
          <w:rFonts w:hint="eastAsia" w:ascii="Times New Roman" w:hAnsi="Times New Roman" w:eastAsia="宋体" w:cs="Times New Roman"/>
          <w:color w:val="auto"/>
          <w:sz w:val="24"/>
          <w:szCs w:val="24"/>
          <w:highlight w:val="none"/>
          <w:lang w:val="en-US" w:eastAsia="zh-CN"/>
        </w:rPr>
        <w:t>。</w:t>
      </w:r>
    </w:p>
    <w:p w14:paraId="40C8AA5F">
      <w:pPr>
        <w:ind w:firstLine="480"/>
        <w:rPr>
          <w:rFonts w:hint="default" w:ascii="Times New Roman" w:hAnsi="Times New Roman" w:eastAsia="宋体" w:cs="Times New Roman"/>
          <w:color w:val="FF0000"/>
          <w:sz w:val="24"/>
          <w:szCs w:val="24"/>
          <w:highlight w:val="none"/>
          <w:lang w:val="en-US" w:eastAsia="zh-CN"/>
        </w:rPr>
      </w:pPr>
      <w:r>
        <w:rPr>
          <w:rFonts w:hint="eastAsia" w:ascii="Times New Roman" w:hAnsi="Times New Roman" w:eastAsia="宋体" w:cs="Times New Roman"/>
          <w:color w:val="FF0000"/>
          <w:sz w:val="24"/>
          <w:szCs w:val="24"/>
          <w:highlight w:val="none"/>
          <w:lang w:val="en-US" w:eastAsia="zh-CN"/>
        </w:rPr>
        <w:t>本项目位于佳木斯市西北侧，主导风向为西南风，本项目位于佳木斯市区侧风向，对佳木斯市区影响较小。本项目厂界西侧30m处为原热电厂家属区，层高为18m，位于本项目上风向；南侧60m处黑锻新城小区，层高为45m，位于本项目侧风向。本项目锅炉烟囱高度为70m，大气评价范围内无高于本项目烟囱的建筑物，不会造成烟气下洗。</w:t>
      </w:r>
    </w:p>
    <w:p w14:paraId="7E5B8D2E">
      <w:pPr>
        <w:ind w:firstLine="480"/>
        <w:rPr>
          <w:rFonts w:hint="default" w:ascii="Times New Roman" w:hAnsi="Times New Roman" w:eastAsia="宋体" w:cs="Times New Roman"/>
          <w:color w:val="FF0000"/>
          <w:sz w:val="24"/>
          <w:szCs w:val="24"/>
          <w:highlight w:val="none"/>
          <w:lang w:val="en-US" w:eastAsia="zh-CN" w:bidi="ar"/>
        </w:rPr>
      </w:pPr>
      <w:r>
        <w:rPr>
          <w:rFonts w:hint="default" w:ascii="Times New Roman" w:hAnsi="Times New Roman" w:eastAsia="宋体" w:cs="Times New Roman"/>
          <w:color w:val="FF0000"/>
          <w:kern w:val="2"/>
          <w:sz w:val="24"/>
          <w:szCs w:val="24"/>
          <w:highlight w:val="none"/>
        </w:rPr>
        <w:t>通过预测表明，本项目</w:t>
      </w:r>
      <w:r>
        <w:rPr>
          <w:rFonts w:hint="eastAsia" w:ascii="Times New Roman" w:hAnsi="Times New Roman" w:eastAsia="宋体" w:cs="Times New Roman"/>
          <w:color w:val="FF0000"/>
          <w:kern w:val="2"/>
          <w:sz w:val="24"/>
          <w:szCs w:val="24"/>
          <w:highlight w:val="none"/>
          <w:lang w:val="en-US" w:eastAsia="zh-CN"/>
        </w:rPr>
        <w:t>锅炉烟气</w:t>
      </w:r>
      <w:r>
        <w:rPr>
          <w:rFonts w:hint="default" w:ascii="Times New Roman" w:hAnsi="Times New Roman" w:eastAsia="宋体" w:cs="Times New Roman"/>
          <w:color w:val="FF0000"/>
          <w:kern w:val="2"/>
          <w:sz w:val="24"/>
          <w:szCs w:val="24"/>
          <w:highlight w:val="none"/>
        </w:rPr>
        <w:t>采用</w:t>
      </w:r>
      <w:r>
        <w:rPr>
          <w:rFonts w:hint="eastAsia" w:ascii="Times New Roman" w:hAnsi="Times New Roman" w:eastAsia="宋体" w:cs="Times New Roman"/>
          <w:color w:val="FF0000"/>
          <w:kern w:val="2"/>
          <w:sz w:val="24"/>
          <w:szCs w:val="24"/>
          <w:highlight w:val="none"/>
          <w:lang w:val="en-US" w:eastAsia="zh-CN"/>
        </w:rPr>
        <w:t>炉内喷钙</w:t>
      </w:r>
      <w:r>
        <w:rPr>
          <w:rFonts w:hint="default" w:ascii="Times New Roman" w:hAnsi="Times New Roman" w:eastAsia="宋体" w:cs="Times New Roman"/>
          <w:color w:val="FF0000"/>
          <w:kern w:val="2"/>
          <w:sz w:val="24"/>
          <w:szCs w:val="24"/>
          <w:highlight w:val="none"/>
          <w:lang w:val="en-US" w:eastAsia="zh-CN"/>
        </w:rPr>
        <w:t>+氨法脱硫+SNCR+亚氯酸钠脱硝+袋式除尘器的烟气净化技术</w:t>
      </w:r>
      <w:r>
        <w:rPr>
          <w:rFonts w:hint="eastAsia" w:ascii="Times New Roman" w:hAnsi="Times New Roman" w:eastAsia="宋体" w:cs="Times New Roman"/>
          <w:color w:val="FF0000"/>
          <w:kern w:val="2"/>
          <w:sz w:val="24"/>
          <w:szCs w:val="24"/>
          <w:highlight w:val="none"/>
          <w:lang w:val="en-US" w:eastAsia="zh-CN"/>
        </w:rPr>
        <w:t>处理后</w:t>
      </w:r>
      <w:r>
        <w:rPr>
          <w:rFonts w:hint="default" w:ascii="Times New Roman" w:hAnsi="Times New Roman" w:eastAsia="宋体" w:cs="Times New Roman"/>
          <w:color w:val="FF0000"/>
          <w:kern w:val="2"/>
          <w:sz w:val="24"/>
          <w:szCs w:val="24"/>
          <w:highlight w:val="none"/>
        </w:rPr>
        <w:t>，大气污染物占标率很小。通过落实环保措施并考虑风向不利因素前提下，对环境空气影响可接受。</w:t>
      </w:r>
    </w:p>
    <w:p w14:paraId="574E5644">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本项目运行期间</w:t>
      </w:r>
      <w:r>
        <w:rPr>
          <w:rFonts w:hint="default" w:ascii="Times New Roman" w:hAnsi="Times New Roman" w:eastAsia="宋体" w:cs="Times New Roman"/>
          <w:color w:val="auto"/>
          <w:sz w:val="24"/>
          <w:szCs w:val="24"/>
          <w:highlight w:val="none"/>
          <w:lang w:val="en-US" w:eastAsia="zh-CN"/>
        </w:rPr>
        <w:t>锅炉用水来自</w:t>
      </w:r>
      <w:r>
        <w:rPr>
          <w:rFonts w:hint="eastAsia" w:ascii="Times New Roman" w:hAnsi="Times New Roman" w:eastAsia="宋体" w:cs="Times New Roman"/>
          <w:color w:val="auto"/>
          <w:sz w:val="24"/>
          <w:szCs w:val="24"/>
          <w:highlight w:val="none"/>
          <w:lang w:val="en-US" w:eastAsia="zh-CN"/>
        </w:rPr>
        <w:t>佳木斯中恒热电有限公司</w:t>
      </w:r>
      <w:r>
        <w:rPr>
          <w:rFonts w:hint="default" w:ascii="Times New Roman" w:hAnsi="Times New Roman" w:eastAsia="宋体" w:cs="Times New Roman"/>
          <w:color w:val="auto"/>
          <w:sz w:val="24"/>
          <w:szCs w:val="24"/>
          <w:highlight w:val="none"/>
          <w:lang w:val="en-US" w:eastAsia="zh-CN"/>
        </w:rPr>
        <w:t>主热源</w:t>
      </w:r>
      <w:r>
        <w:rPr>
          <w:rFonts w:hint="eastAsia" w:ascii="Times New Roman" w:hAnsi="Times New Roman" w:eastAsia="宋体" w:cs="Times New Roman"/>
          <w:color w:val="auto"/>
          <w:sz w:val="24"/>
          <w:szCs w:val="24"/>
          <w:highlight w:val="none"/>
          <w:lang w:val="en-US" w:eastAsia="zh-CN"/>
        </w:rPr>
        <w:t>现有制</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补水系统，</w:t>
      </w:r>
      <w:r>
        <w:rPr>
          <w:rFonts w:hint="default" w:ascii="Times New Roman" w:hAnsi="Times New Roman" w:eastAsia="宋体" w:cs="Times New Roman"/>
          <w:color w:val="auto"/>
          <w:sz w:val="24"/>
          <w:szCs w:val="24"/>
          <w:highlight w:val="none"/>
          <w:lang w:val="en-US" w:eastAsia="zh-CN"/>
        </w:rPr>
        <w:t>脱硫废水经曝气、沉淀后用于脱硝补水和输煤系统除尘、除渣用水。含煤废水经厂区内现有污水处理间处理，处理工艺为过滤+沉淀+气浮，处理后的废水进入地下水池回用。锅炉排污水、软化水处理废水、处理后的含煤废水用于输煤栈桥冲洗、输煤系统除尘水、</w:t>
      </w:r>
      <w:r>
        <w:rPr>
          <w:rFonts w:hint="eastAsia" w:ascii="Times New Roman" w:hAnsi="Times New Roman" w:eastAsia="宋体" w:cs="Times New Roman"/>
          <w:color w:val="auto"/>
          <w:sz w:val="24"/>
          <w:szCs w:val="24"/>
          <w:highlight w:val="none"/>
          <w:lang w:val="en-US" w:eastAsia="zh-CN"/>
        </w:rPr>
        <w:t>渣库降尘等工序</w:t>
      </w:r>
      <w:r>
        <w:rPr>
          <w:rFonts w:hint="default" w:ascii="Times New Roman" w:hAnsi="Times New Roman" w:eastAsia="宋体" w:cs="Times New Roman"/>
          <w:color w:val="auto"/>
          <w:sz w:val="24"/>
          <w:szCs w:val="24"/>
          <w:highlight w:val="none"/>
          <w:lang w:val="en-US" w:eastAsia="zh-CN"/>
        </w:rPr>
        <w:t>，不外排</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本项目不新增员工，不新增生活污水。厂区生活污水</w:t>
      </w:r>
      <w:r>
        <w:rPr>
          <w:rFonts w:hint="eastAsia" w:ascii="Times New Roman" w:hAnsi="Times New Roman" w:eastAsia="宋体" w:cs="Times New Roman"/>
          <w:color w:val="auto"/>
          <w:highlight w:val="none"/>
          <w:lang w:eastAsia="zh-CN"/>
        </w:rPr>
        <w:t>通过</w:t>
      </w:r>
      <w:r>
        <w:rPr>
          <w:rFonts w:hint="default" w:ascii="Times New Roman" w:hAnsi="Times New Roman" w:eastAsia="宋体" w:cs="Times New Roman"/>
          <w:color w:val="auto"/>
          <w:highlight w:val="none"/>
        </w:rPr>
        <w:t>市政污水管网</w:t>
      </w:r>
      <w:r>
        <w:rPr>
          <w:rFonts w:hint="eastAsia" w:ascii="Times New Roman" w:hAnsi="Times New Roman" w:eastAsia="宋体" w:cs="Times New Roman"/>
          <w:color w:val="auto"/>
          <w:highlight w:val="none"/>
          <w:lang w:eastAsia="zh-CN"/>
        </w:rPr>
        <w:t>排入佳木斯西区污水处理厂</w:t>
      </w:r>
      <w:r>
        <w:rPr>
          <w:rFonts w:hint="default" w:ascii="Times New Roman" w:hAnsi="Times New Roman" w:eastAsia="宋体" w:cs="Times New Roman"/>
          <w:color w:val="auto"/>
          <w:highlight w:val="none"/>
        </w:rPr>
        <w:t>进行处理，达标排入</w:t>
      </w:r>
      <w:r>
        <w:rPr>
          <w:rFonts w:hint="eastAsia" w:ascii="Times New Roman" w:hAnsi="Times New Roman" w:eastAsia="宋体" w:cs="Times New Roman"/>
          <w:color w:val="auto"/>
          <w:highlight w:val="none"/>
          <w:lang w:val="en-US" w:eastAsia="zh-CN"/>
        </w:rPr>
        <w:t>松花江</w:t>
      </w:r>
      <w:r>
        <w:rPr>
          <w:rFonts w:hint="default" w:ascii="Times New Roman" w:hAnsi="Times New Roman" w:eastAsia="宋体" w:cs="Times New Roman"/>
          <w:color w:val="auto"/>
          <w:highlight w:val="none"/>
        </w:rPr>
        <w:t>。因此从地表水环境保护角度分析，建设可行。</w:t>
      </w:r>
    </w:p>
    <w:p w14:paraId="0022027D">
      <w:pPr>
        <w:ind w:firstLine="48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highlight w:val="none"/>
        </w:rPr>
        <w:t>根据声环境质量现状监测数据，本项目所在区域声环境质量较好，满足《声环境质量标准》（GB3096-2008）表1中</w:t>
      </w:r>
      <w:r>
        <w:rPr>
          <w:rFonts w:hint="eastAsia" w:ascii="Times New Roman" w:hAnsi="Times New Roman" w:eastAsia="宋体" w:cs="Times New Roman"/>
          <w:color w:val="auto"/>
          <w:highlight w:val="none"/>
          <w:lang w:eastAsia="zh-CN"/>
        </w:rPr>
        <w:t>3类</w:t>
      </w:r>
      <w:r>
        <w:rPr>
          <w:rFonts w:hint="default" w:ascii="Times New Roman" w:hAnsi="Times New Roman" w:eastAsia="宋体" w:cs="Times New Roman"/>
          <w:color w:val="auto"/>
          <w:highlight w:val="none"/>
        </w:rPr>
        <w:t>标准，具有一定的声环境容量。通过噪声预测结果分析可知，本项目运行期间厂界噪声达标，对区域声环境质量影响很小。综上所述，从保护声环境角度分析，项目建设可行。</w:t>
      </w:r>
    </w:p>
    <w:p w14:paraId="54CF316C">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both"/>
        <w:textAlignment w:val="auto"/>
        <w:rPr>
          <w:rFonts w:hint="eastAsia" w:ascii="Times New Roman" w:hAnsi="Times New Roman" w:eastAsia="宋体" w:cs="Times New Roman"/>
          <w:color w:val="auto"/>
          <w:kern w:val="2"/>
          <w:sz w:val="24"/>
          <w:szCs w:val="24"/>
          <w:highlight w:val="none"/>
          <w:lang w:eastAsia="zh-CN"/>
        </w:rPr>
      </w:pPr>
      <w:r>
        <w:rPr>
          <w:rFonts w:hint="default" w:ascii="Times New Roman" w:hAnsi="Times New Roman" w:eastAsia="宋体" w:cs="Times New Roman"/>
          <w:color w:val="auto"/>
          <w:kern w:val="2"/>
          <w:sz w:val="24"/>
          <w:szCs w:val="24"/>
          <w:highlight w:val="none"/>
        </w:rPr>
        <w:t>综上所述，本项目</w:t>
      </w:r>
      <w:r>
        <w:rPr>
          <w:rFonts w:hint="eastAsia" w:ascii="Times New Roman" w:hAnsi="Times New Roman" w:eastAsia="宋体" w:cs="Times New Roman"/>
          <w:color w:val="auto"/>
          <w:kern w:val="2"/>
          <w:sz w:val="24"/>
          <w:szCs w:val="24"/>
          <w:highlight w:val="none"/>
          <w:lang w:eastAsia="zh-CN"/>
        </w:rPr>
        <w:t>选址从环境角度分析是可以接受的，</w:t>
      </w:r>
      <w:r>
        <w:rPr>
          <w:rFonts w:hint="default" w:ascii="Times New Roman" w:hAnsi="Times New Roman" w:eastAsia="宋体" w:cs="Times New Roman"/>
          <w:color w:val="auto"/>
          <w:kern w:val="2"/>
          <w:sz w:val="24"/>
          <w:szCs w:val="24"/>
          <w:highlight w:val="none"/>
        </w:rPr>
        <w:t>选址是合理的</w:t>
      </w:r>
      <w:r>
        <w:rPr>
          <w:rFonts w:hint="eastAsia" w:ascii="Times New Roman" w:hAnsi="Times New Roman" w:eastAsia="宋体" w:cs="Times New Roman"/>
          <w:color w:val="auto"/>
          <w:kern w:val="2"/>
          <w:sz w:val="24"/>
          <w:szCs w:val="24"/>
          <w:highlight w:val="none"/>
          <w:lang w:eastAsia="zh-CN"/>
        </w:rPr>
        <w:t>。</w:t>
      </w:r>
    </w:p>
    <w:p w14:paraId="577292E7">
      <w:pPr>
        <w:pStyle w:val="4"/>
        <w:numPr>
          <w:ilvl w:val="1"/>
          <w:numId w:val="3"/>
        </w:numPr>
        <w:ind w:left="567" w:leftChars="0" w:hanging="567" w:firstLineChars="0"/>
        <w:rPr>
          <w:rFonts w:hint="default" w:ascii="Times New Roman" w:hAnsi="Times New Roman" w:eastAsia="宋体" w:cs="Times New Roman"/>
          <w:b/>
          <w:bCs/>
          <w:color w:val="auto"/>
          <w:highlight w:val="none"/>
        </w:rPr>
      </w:pPr>
      <w:bookmarkStart w:id="60" w:name="_Toc21041"/>
      <w:bookmarkStart w:id="61" w:name="_Toc15755"/>
      <w:r>
        <w:rPr>
          <w:rFonts w:hint="default" w:ascii="Times New Roman" w:hAnsi="Times New Roman" w:eastAsia="宋体" w:cs="Times New Roman"/>
          <w:b/>
          <w:bCs/>
          <w:color w:val="auto"/>
          <w:highlight w:val="none"/>
        </w:rPr>
        <w:t>关注的主要环境问题及环境影响</w:t>
      </w:r>
      <w:bookmarkEnd w:id="60"/>
      <w:bookmarkEnd w:id="61"/>
    </w:p>
    <w:p w14:paraId="119B5444">
      <w:pPr>
        <w:pStyle w:val="6"/>
        <w:numPr>
          <w:ilvl w:val="2"/>
          <w:numId w:val="3"/>
        </w:numPr>
        <w:bidi w:val="0"/>
        <w:ind w:left="709" w:leftChars="0" w:hanging="709" w:firstLineChars="0"/>
        <w:rPr>
          <w:rFonts w:hint="default" w:ascii="Times New Roman" w:hAnsi="Times New Roman" w:eastAsia="宋体" w:cs="Times New Roman"/>
          <w:color w:val="auto"/>
          <w:highlight w:val="none"/>
        </w:rPr>
      </w:pPr>
      <w:r>
        <w:rPr>
          <w:rFonts w:hint="eastAsia" w:ascii="Times New Roman" w:hAnsi="Times New Roman" w:cs="Times New Roman"/>
          <w:color w:val="auto"/>
          <w:highlight w:val="none"/>
          <w:lang w:val="en-US" w:eastAsia="zh-CN"/>
        </w:rPr>
        <w:t>对大气环境的影响</w:t>
      </w:r>
    </w:p>
    <w:p w14:paraId="795681CE">
      <w:pPr>
        <w:ind w:firstLine="48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本项目产生的废气主要是锅炉烟气，主要污染因子有锅炉排放的常规污染物</w:t>
      </w:r>
      <w:r>
        <w:rPr>
          <w:rFonts w:hint="eastAsia" w:ascii="Times New Roman" w:hAnsi="Times New Roman" w:eastAsia="宋体" w:cs="Times New Roman"/>
          <w:b w:val="0"/>
          <w:bCs w:val="0"/>
          <w:color w:val="auto"/>
          <w:sz w:val="24"/>
          <w:highlight w:val="none"/>
          <w:lang w:val="en-US" w:eastAsia="zh-CN"/>
        </w:rPr>
        <w:t>颗粒物</w:t>
      </w:r>
      <w:r>
        <w:rPr>
          <w:rFonts w:hint="default" w:ascii="Times New Roman" w:hAnsi="Times New Roman" w:eastAsia="宋体" w:cs="Times New Roman"/>
          <w:b w:val="0"/>
          <w:bCs w:val="0"/>
          <w:color w:val="auto"/>
          <w:sz w:val="24"/>
          <w:highlight w:val="none"/>
          <w:lang w:val="en-US" w:eastAsia="zh-CN"/>
        </w:rPr>
        <w:t>、SO</w:t>
      </w:r>
      <w:r>
        <w:rPr>
          <w:rFonts w:hint="default" w:ascii="Times New Roman" w:hAnsi="Times New Roman" w:eastAsia="宋体" w:cs="Times New Roman"/>
          <w:b w:val="0"/>
          <w:bCs w:val="0"/>
          <w:color w:val="auto"/>
          <w:sz w:val="24"/>
          <w:highlight w:val="none"/>
          <w:vertAlign w:val="subscript"/>
          <w:lang w:val="en-US" w:eastAsia="zh-CN"/>
        </w:rPr>
        <w:t>2</w:t>
      </w:r>
      <w:r>
        <w:rPr>
          <w:rFonts w:hint="default" w:ascii="Times New Roman" w:hAnsi="Times New Roman" w:eastAsia="宋体" w:cs="Times New Roman"/>
          <w:b w:val="0"/>
          <w:bCs w:val="0"/>
          <w:color w:val="auto"/>
          <w:sz w:val="24"/>
          <w:highlight w:val="none"/>
          <w:lang w:val="en-US" w:eastAsia="zh-CN"/>
        </w:rPr>
        <w:t>、NOx、汞及其化合物；输煤、碎煤产生的粉尘；脱硝产生的逃逸氨。</w:t>
      </w:r>
    </w:p>
    <w:p w14:paraId="0ED8727F">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①本项目</w:t>
      </w:r>
      <w:r>
        <w:rPr>
          <w:rFonts w:hint="eastAsia" w:ascii="Times New Roman" w:hAnsi="Times New Roman" w:eastAsia="宋体" w:cs="Times New Roman"/>
          <w:color w:val="auto"/>
          <w:highlight w:val="none"/>
          <w:lang w:val="en-US" w:eastAsia="zh-CN"/>
        </w:rPr>
        <w:t>建设1台58MW往复炉排热水锅炉</w:t>
      </w:r>
      <w:r>
        <w:rPr>
          <w:rFonts w:hint="default" w:ascii="Times New Roman" w:hAnsi="Times New Roman" w:eastAsia="宋体" w:cs="Times New Roman"/>
          <w:color w:val="auto"/>
          <w:highlight w:val="none"/>
        </w:rPr>
        <w:t>烟气采用</w:t>
      </w:r>
      <w:r>
        <w:rPr>
          <w:rFonts w:hint="eastAsia" w:ascii="Times New Roman" w:hAnsi="Times New Roman" w:eastAsia="宋体" w:cs="Times New Roman"/>
          <w:b w:val="0"/>
          <w:bCs w:val="0"/>
          <w:color w:val="auto"/>
          <w:sz w:val="24"/>
          <w:highlight w:val="none"/>
          <w:lang w:val="en-US" w:eastAsia="zh-CN"/>
        </w:rPr>
        <w:t>炉内喷钙+氨法脱硫+SNCR+亚氯酸钠脱硝+袋式除尘器工艺</w:t>
      </w:r>
      <w:r>
        <w:rPr>
          <w:rFonts w:hint="default" w:ascii="Times New Roman" w:hAnsi="Times New Roman" w:eastAsia="宋体" w:cs="Times New Roman"/>
          <w:b w:val="0"/>
          <w:bCs w:val="0"/>
          <w:color w:val="auto"/>
          <w:sz w:val="24"/>
          <w:highlight w:val="none"/>
          <w:lang w:val="en-US" w:eastAsia="zh-CN"/>
        </w:rPr>
        <w:t>对锅炉烟气进行净化处理</w:t>
      </w:r>
      <w:r>
        <w:rPr>
          <w:rFonts w:hint="eastAsia" w:ascii="Times New Roman" w:hAnsi="Times New Roman" w:eastAsia="宋体" w:cs="Times New Roman"/>
          <w:b w:val="0"/>
          <w:bCs w:val="0"/>
          <w:color w:val="auto"/>
          <w:sz w:val="24"/>
          <w:highlight w:val="none"/>
          <w:lang w:val="en-US" w:eastAsia="zh-CN"/>
        </w:rPr>
        <w:t>，</w:t>
      </w:r>
      <w:r>
        <w:rPr>
          <w:rFonts w:hint="default" w:ascii="Times New Roman" w:hAnsi="Times New Roman" w:eastAsia="宋体" w:cs="Times New Roman"/>
          <w:color w:val="auto"/>
          <w:highlight w:val="none"/>
        </w:rPr>
        <w:t>由</w:t>
      </w:r>
      <w:r>
        <w:rPr>
          <w:rFonts w:hint="eastAsia" w:ascii="Times New Roman" w:hAnsi="Times New Roman" w:eastAsia="宋体" w:cs="Times New Roman"/>
          <w:color w:val="auto"/>
          <w:highlight w:val="none"/>
          <w:lang w:val="en-US" w:eastAsia="zh-CN"/>
        </w:rPr>
        <w:t>70</w:t>
      </w:r>
      <w:r>
        <w:rPr>
          <w:rFonts w:hint="default" w:ascii="Times New Roman" w:hAnsi="Times New Roman" w:eastAsia="宋体" w:cs="Times New Roman"/>
          <w:color w:val="auto"/>
          <w:highlight w:val="none"/>
        </w:rPr>
        <w:t>m高、出口直径</w:t>
      </w:r>
      <w:r>
        <w:rPr>
          <w:rFonts w:hint="eastAsia" w:ascii="Times New Roman" w:hAnsi="Times New Roman" w:eastAsia="宋体" w:cs="Times New Roman"/>
          <w:color w:val="auto"/>
          <w:highlight w:val="none"/>
          <w:lang w:val="en-US" w:eastAsia="zh-CN"/>
        </w:rPr>
        <w:t>3.5</w:t>
      </w:r>
      <w:r>
        <w:rPr>
          <w:rFonts w:hint="default" w:ascii="Times New Roman" w:hAnsi="Times New Roman" w:eastAsia="宋体" w:cs="Times New Roman"/>
          <w:color w:val="auto"/>
          <w:highlight w:val="none"/>
        </w:rPr>
        <w:t>m的烟囱排入大气</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采取上述废气污染防治措施后，锅炉烟气污染物排放浓度满足超低排放限值要求（在基准氧含量6%条件下，烟尘、SO</w:t>
      </w:r>
      <w:r>
        <w:rPr>
          <w:rFonts w:hint="default" w:ascii="Times New Roman" w:hAnsi="Times New Roman" w:eastAsia="宋体" w:cs="Times New Roman"/>
          <w:color w:val="auto"/>
          <w:highlight w:val="none"/>
          <w:vertAlign w:val="subscript"/>
        </w:rPr>
        <w:t>2</w:t>
      </w:r>
      <w:r>
        <w:rPr>
          <w:rFonts w:hint="default" w:ascii="Times New Roman" w:hAnsi="Times New Roman" w:eastAsia="宋体" w:cs="Times New Roman"/>
          <w:color w:val="auto"/>
          <w:highlight w:val="none"/>
        </w:rPr>
        <w:t>、NO</w:t>
      </w:r>
      <w:r>
        <w:rPr>
          <w:rFonts w:hint="default" w:ascii="Times New Roman" w:hAnsi="Times New Roman" w:eastAsia="宋体" w:cs="Times New Roman"/>
          <w:color w:val="auto"/>
          <w:highlight w:val="none"/>
          <w:vertAlign w:val="subscript"/>
        </w:rPr>
        <w:t>X</w:t>
      </w:r>
      <w:r>
        <w:rPr>
          <w:rFonts w:hint="default" w:ascii="Times New Roman" w:hAnsi="Times New Roman" w:eastAsia="宋体" w:cs="Times New Roman"/>
          <w:color w:val="auto"/>
          <w:highlight w:val="none"/>
        </w:rPr>
        <w:t>排放浓度分别不高于10mg/m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、35mg/m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、50mg/m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）；汞及其化合物排放浓度满足《锅炉大气污染物排放标准》（GB13271-2014）表</w:t>
      </w:r>
      <w:r>
        <w:rPr>
          <w:rFonts w:hint="eastAsia" w:ascii="Times New Roman" w:hAnsi="Times New Roman" w:eastAsia="宋体" w:cs="Times New Roman"/>
          <w:color w:val="auto"/>
          <w:highlight w:val="none"/>
          <w:lang w:val="en-US" w:eastAsia="zh-CN"/>
        </w:rPr>
        <w:t>2新建</w:t>
      </w:r>
      <w:r>
        <w:rPr>
          <w:rFonts w:hint="default" w:ascii="Times New Roman" w:hAnsi="Times New Roman" w:eastAsia="宋体" w:cs="Times New Roman"/>
          <w:color w:val="auto"/>
          <w:highlight w:val="none"/>
        </w:rPr>
        <w:t>燃煤锅炉排放限值（浓度不高于0.05mg/m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w:t>
      </w:r>
    </w:p>
    <w:p w14:paraId="447ED57C">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②</w:t>
      </w:r>
      <w:r>
        <w:rPr>
          <w:rFonts w:hint="default" w:ascii="Times New Roman" w:hAnsi="Times New Roman" w:eastAsia="宋体" w:cs="Times New Roman"/>
          <w:color w:val="auto"/>
          <w:sz w:val="24"/>
          <w:szCs w:val="24"/>
          <w:highlight w:val="none"/>
          <w:lang w:val="en-US" w:eastAsia="zh-CN"/>
        </w:rPr>
        <w:t>本项目建设的上煤系统、碎煤系统均为全封闭结构，</w:t>
      </w:r>
      <w:r>
        <w:rPr>
          <w:rFonts w:hint="eastAsia" w:ascii="Times New Roman" w:hAnsi="Times New Roman" w:eastAsia="宋体" w:cs="Times New Roman"/>
          <w:color w:val="auto"/>
          <w:sz w:val="24"/>
          <w:szCs w:val="24"/>
          <w:highlight w:val="none"/>
          <w:lang w:val="en-US" w:eastAsia="zh-CN"/>
        </w:rPr>
        <w:t>碎煤室</w:t>
      </w:r>
      <w:r>
        <w:rPr>
          <w:rFonts w:hint="default" w:ascii="Times New Roman" w:hAnsi="Times New Roman" w:eastAsia="宋体" w:cs="Times New Roman"/>
          <w:color w:val="auto"/>
          <w:sz w:val="24"/>
          <w:szCs w:val="24"/>
          <w:highlight w:val="none"/>
        </w:rPr>
        <w:t>设置布袋除尘器</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处理后废气在车间内无组织排放</w:t>
      </w:r>
      <w:r>
        <w:rPr>
          <w:rFonts w:hint="default"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储煤场设置防风抑尘网，</w:t>
      </w:r>
      <w:r>
        <w:rPr>
          <w:rFonts w:hint="default" w:ascii="Times New Roman" w:hAnsi="Times New Roman" w:eastAsia="宋体" w:cs="Times New Roman"/>
          <w:color w:val="auto"/>
          <w:sz w:val="24"/>
          <w:szCs w:val="24"/>
          <w:highlight w:val="none"/>
        </w:rPr>
        <w:t>可有效减少煤尘污染。</w:t>
      </w:r>
      <w:r>
        <w:rPr>
          <w:rFonts w:hint="eastAsia" w:ascii="Times New Roman" w:hAnsi="Times New Roman" w:eastAsia="宋体" w:cs="Times New Roman"/>
          <w:color w:val="auto"/>
          <w:sz w:val="24"/>
          <w:szCs w:val="24"/>
          <w:highlight w:val="none"/>
          <w:lang w:val="en-US" w:eastAsia="zh-CN"/>
        </w:rPr>
        <w:t>灰库</w:t>
      </w:r>
      <w:r>
        <w:rPr>
          <w:rFonts w:hint="default" w:ascii="Times New Roman" w:hAnsi="Times New Roman" w:eastAsia="宋体" w:cs="Times New Roman"/>
          <w:color w:val="auto"/>
          <w:sz w:val="24"/>
          <w:szCs w:val="24"/>
          <w:highlight w:val="none"/>
          <w:lang w:val="en-US" w:eastAsia="zh-CN"/>
        </w:rPr>
        <w:t>、渣库为封闭式结构，</w:t>
      </w:r>
      <w:r>
        <w:rPr>
          <w:rFonts w:hint="eastAsia" w:ascii="Times New Roman" w:hAnsi="Times New Roman" w:eastAsia="宋体" w:cs="Times New Roman"/>
          <w:color w:val="auto"/>
          <w:sz w:val="24"/>
          <w:szCs w:val="24"/>
          <w:highlight w:val="none"/>
          <w:lang w:val="en-US" w:eastAsia="zh-CN"/>
        </w:rPr>
        <w:t>灰库</w:t>
      </w:r>
      <w:r>
        <w:rPr>
          <w:rFonts w:hint="default" w:ascii="Times New Roman" w:hAnsi="Times New Roman" w:eastAsia="宋体" w:cs="Times New Roman"/>
          <w:color w:val="auto"/>
          <w:sz w:val="24"/>
          <w:szCs w:val="24"/>
          <w:highlight w:val="none"/>
          <w:lang w:val="en-US" w:eastAsia="zh-CN"/>
        </w:rPr>
        <w:t>、石灰石粉仓</w:t>
      </w:r>
      <w:r>
        <w:rPr>
          <w:rFonts w:hint="eastAsia" w:ascii="Times New Roman" w:hAnsi="Times New Roman" w:eastAsia="宋体" w:cs="Times New Roman"/>
          <w:color w:val="auto"/>
          <w:sz w:val="24"/>
          <w:szCs w:val="24"/>
          <w:highlight w:val="none"/>
          <w:lang w:val="en-US" w:eastAsia="zh-CN"/>
        </w:rPr>
        <w:t>分别设置布袋除尘器，处理后废气经顶部排放口排放。</w:t>
      </w:r>
      <w:r>
        <w:rPr>
          <w:rFonts w:hint="default" w:ascii="Times New Roman" w:hAnsi="Times New Roman" w:eastAsia="宋体" w:cs="Times New Roman"/>
          <w:color w:val="auto"/>
          <w:sz w:val="24"/>
          <w:szCs w:val="24"/>
          <w:highlight w:val="none"/>
        </w:rPr>
        <w:t>采取</w:t>
      </w:r>
      <w:r>
        <w:rPr>
          <w:rFonts w:hint="default" w:ascii="Times New Roman" w:hAnsi="Times New Roman" w:eastAsia="宋体" w:cs="Times New Roman"/>
          <w:color w:val="auto"/>
          <w:sz w:val="24"/>
          <w:szCs w:val="24"/>
          <w:highlight w:val="none"/>
          <w:lang w:val="en-US" w:eastAsia="zh-CN"/>
        </w:rPr>
        <w:t>以上废气污染</w:t>
      </w:r>
      <w:r>
        <w:rPr>
          <w:rFonts w:hint="default" w:ascii="Times New Roman" w:hAnsi="Times New Roman" w:eastAsia="宋体" w:cs="Times New Roman"/>
          <w:color w:val="auto"/>
          <w:sz w:val="24"/>
          <w:szCs w:val="24"/>
          <w:highlight w:val="none"/>
        </w:rPr>
        <w:t>防治措施后，</w:t>
      </w:r>
      <w:r>
        <w:rPr>
          <w:rFonts w:hint="default" w:ascii="Times New Roman" w:hAnsi="Times New Roman" w:eastAsia="宋体" w:cs="Times New Roman"/>
          <w:b w:val="0"/>
          <w:bCs w:val="0"/>
          <w:color w:val="auto"/>
          <w:sz w:val="24"/>
          <w:szCs w:val="24"/>
          <w:highlight w:val="none"/>
        </w:rPr>
        <w:t>颗粒物的排放浓度</w:t>
      </w:r>
      <w:r>
        <w:rPr>
          <w:rFonts w:hint="eastAsia" w:ascii="Times New Roman" w:hAnsi="Times New Roman" w:eastAsia="宋体" w:cs="Times New Roman"/>
          <w:b w:val="0"/>
          <w:bCs w:val="0"/>
          <w:color w:val="auto"/>
          <w:sz w:val="24"/>
          <w:szCs w:val="24"/>
          <w:highlight w:val="none"/>
          <w:lang w:val="en-US" w:eastAsia="zh-CN"/>
        </w:rPr>
        <w:t>和排放速率均能</w:t>
      </w:r>
      <w:r>
        <w:rPr>
          <w:rFonts w:hint="default" w:ascii="Times New Roman" w:hAnsi="Times New Roman" w:eastAsia="宋体" w:cs="Times New Roman"/>
          <w:b w:val="0"/>
          <w:bCs w:val="0"/>
          <w:color w:val="auto"/>
          <w:sz w:val="24"/>
          <w:szCs w:val="24"/>
          <w:highlight w:val="none"/>
        </w:rPr>
        <w:t>满足《大气污染物综合排放标准》</w:t>
      </w:r>
      <w:r>
        <w:rPr>
          <w:rFonts w:hint="eastAsia"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GB16297-1996</w:t>
      </w:r>
      <w:r>
        <w:rPr>
          <w:rFonts w:hint="eastAsia"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表2新污染源大气污染物排放限值</w:t>
      </w:r>
      <w:r>
        <w:rPr>
          <w:rFonts w:hint="default" w:ascii="Times New Roman" w:hAnsi="Times New Roman" w:eastAsia="宋体" w:cs="Times New Roman"/>
          <w:color w:val="auto"/>
          <w:sz w:val="24"/>
          <w:szCs w:val="24"/>
          <w:highlight w:val="none"/>
        </w:rPr>
        <w:t>。</w:t>
      </w:r>
    </w:p>
    <w:p w14:paraId="466C35E0">
      <w:pPr>
        <w:pStyle w:val="6"/>
        <w:numPr>
          <w:ilvl w:val="2"/>
          <w:numId w:val="3"/>
        </w:numPr>
        <w:bidi w:val="0"/>
        <w:ind w:left="709" w:leftChars="0" w:hanging="709"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对水环境的影响</w:t>
      </w:r>
    </w:p>
    <w:p w14:paraId="0785CC16">
      <w:pPr>
        <w:ind w:firstLine="48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对地表水环境的影响</w:t>
      </w:r>
    </w:p>
    <w:p w14:paraId="2A1CB292">
      <w:pPr>
        <w:pStyle w:val="93"/>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eastAsia="宋体" w:cs="Times New Roman"/>
          <w:color w:val="auto"/>
          <w:spacing w:val="0"/>
          <w:kern w:val="2"/>
          <w:sz w:val="24"/>
          <w:szCs w:val="24"/>
          <w:highlight w:val="none"/>
          <w:lang w:val="en-US" w:eastAsia="zh-CN" w:bidi="ar-SA"/>
        </w:rPr>
      </w:pPr>
      <w:r>
        <w:rPr>
          <w:rFonts w:hint="default" w:ascii="Times New Roman" w:hAnsi="Times New Roman" w:eastAsia="宋体" w:cs="Times New Roman"/>
          <w:color w:val="auto"/>
          <w:spacing w:val="0"/>
          <w:kern w:val="2"/>
          <w:sz w:val="24"/>
          <w:szCs w:val="24"/>
          <w:highlight w:val="none"/>
          <w:lang w:val="en-US" w:eastAsia="zh-CN" w:bidi="ar-SA"/>
        </w:rPr>
        <w:t>本项目产生的生产废水全部回用，锅炉用水来自</w:t>
      </w:r>
      <w:r>
        <w:rPr>
          <w:rFonts w:hint="eastAsia" w:eastAsia="宋体" w:cs="Times New Roman"/>
          <w:color w:val="auto"/>
          <w:spacing w:val="0"/>
          <w:kern w:val="2"/>
          <w:sz w:val="24"/>
          <w:szCs w:val="24"/>
          <w:highlight w:val="none"/>
          <w:lang w:val="en-US" w:eastAsia="zh-CN" w:bidi="ar-SA"/>
        </w:rPr>
        <w:t>佳木斯中恒热电有限公司</w:t>
      </w:r>
      <w:r>
        <w:rPr>
          <w:rFonts w:hint="default" w:ascii="Times New Roman" w:hAnsi="Times New Roman" w:eastAsia="宋体" w:cs="Times New Roman"/>
          <w:color w:val="auto"/>
          <w:spacing w:val="0"/>
          <w:kern w:val="2"/>
          <w:sz w:val="24"/>
          <w:szCs w:val="24"/>
          <w:highlight w:val="none"/>
          <w:lang w:val="en-US" w:eastAsia="zh-CN" w:bidi="ar-SA"/>
        </w:rPr>
        <w:t>主热源现有制、补水系统</w:t>
      </w:r>
      <w:r>
        <w:rPr>
          <w:rFonts w:hint="eastAsia" w:eastAsia="宋体" w:cs="Times New Roman"/>
          <w:color w:val="auto"/>
          <w:spacing w:val="0"/>
          <w:kern w:val="2"/>
          <w:sz w:val="24"/>
          <w:szCs w:val="24"/>
          <w:highlight w:val="none"/>
          <w:lang w:val="en-US" w:eastAsia="zh-CN" w:bidi="ar-SA"/>
        </w:rPr>
        <w:t>。</w:t>
      </w:r>
      <w:r>
        <w:rPr>
          <w:rFonts w:hint="default" w:ascii="Times New Roman" w:hAnsi="Times New Roman" w:eastAsia="宋体" w:cs="Times New Roman"/>
          <w:color w:val="auto"/>
          <w:spacing w:val="0"/>
          <w:kern w:val="2"/>
          <w:sz w:val="24"/>
          <w:szCs w:val="24"/>
          <w:highlight w:val="none"/>
          <w:lang w:val="en-US" w:eastAsia="zh-CN" w:bidi="ar-SA"/>
        </w:rPr>
        <w:t>脱硫废水经曝气、沉淀后用于输煤系统除尘、除渣用水。含煤废水经厂区内现有污水处理间处理，处理工艺为过滤+沉淀+气浮，处理后的废水进入地下水池回用。软化水处理废水、处理后的脱硫废水、锅炉排污水用于脱硫、脱硝、输煤系统除尘水、</w:t>
      </w:r>
      <w:r>
        <w:rPr>
          <w:rFonts w:hint="eastAsia" w:eastAsia="宋体" w:cs="Times New Roman"/>
          <w:color w:val="auto"/>
          <w:spacing w:val="0"/>
          <w:kern w:val="2"/>
          <w:sz w:val="24"/>
          <w:szCs w:val="24"/>
          <w:highlight w:val="none"/>
          <w:lang w:val="en-US" w:eastAsia="zh-CN" w:bidi="ar-SA"/>
        </w:rPr>
        <w:t>渣库降尘等工序</w:t>
      </w:r>
      <w:r>
        <w:rPr>
          <w:rFonts w:hint="default" w:ascii="Times New Roman" w:hAnsi="Times New Roman" w:eastAsia="宋体" w:cs="Times New Roman"/>
          <w:color w:val="auto"/>
          <w:spacing w:val="0"/>
          <w:kern w:val="2"/>
          <w:sz w:val="24"/>
          <w:szCs w:val="24"/>
          <w:highlight w:val="none"/>
          <w:lang w:val="en-US" w:eastAsia="zh-CN" w:bidi="ar-SA"/>
        </w:rPr>
        <w:t>，不外排。</w:t>
      </w:r>
    </w:p>
    <w:p w14:paraId="630778E8">
      <w:pPr>
        <w:pStyle w:val="93"/>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0"/>
          <w:kern w:val="2"/>
          <w:sz w:val="24"/>
          <w:szCs w:val="24"/>
          <w:highlight w:val="none"/>
          <w:lang w:val="en-US" w:eastAsia="zh-CN" w:bidi="ar-SA"/>
        </w:rPr>
        <w:t>本项目不新增员工，不新增生活污水，厂区</w:t>
      </w:r>
      <w:r>
        <w:rPr>
          <w:rFonts w:hint="eastAsia" w:ascii="Times New Roman" w:hAnsi="Times New Roman" w:eastAsia="宋体" w:cs="Times New Roman"/>
          <w:color w:val="auto"/>
          <w:spacing w:val="0"/>
          <w:kern w:val="2"/>
          <w:sz w:val="24"/>
          <w:szCs w:val="24"/>
          <w:highlight w:val="none"/>
          <w:lang w:val="en-US" w:eastAsia="zh-CN" w:bidi="ar-SA"/>
        </w:rPr>
        <w:t>现有</w:t>
      </w:r>
      <w:r>
        <w:rPr>
          <w:rFonts w:hint="default" w:ascii="Times New Roman" w:hAnsi="Times New Roman" w:eastAsia="宋体" w:cs="Times New Roman"/>
          <w:color w:val="auto"/>
          <w:spacing w:val="0"/>
          <w:kern w:val="2"/>
          <w:sz w:val="24"/>
          <w:szCs w:val="24"/>
          <w:highlight w:val="none"/>
          <w:lang w:val="en-US" w:eastAsia="zh-CN" w:bidi="ar-SA"/>
        </w:rPr>
        <w:t>生活污水</w:t>
      </w:r>
      <w:r>
        <w:rPr>
          <w:rFonts w:hint="eastAsia" w:eastAsia="宋体" w:cs="Times New Roman"/>
          <w:color w:val="auto"/>
          <w:spacing w:val="0"/>
          <w:kern w:val="2"/>
          <w:sz w:val="24"/>
          <w:szCs w:val="24"/>
          <w:highlight w:val="none"/>
          <w:lang w:val="en-US" w:eastAsia="zh-CN" w:bidi="ar-SA"/>
        </w:rPr>
        <w:t>满足佳木斯西区污水处理厂进水水质指标</w:t>
      </w:r>
      <w:r>
        <w:rPr>
          <w:rFonts w:hint="default" w:ascii="Times New Roman" w:hAnsi="Times New Roman" w:eastAsia="宋体" w:cs="Times New Roman"/>
          <w:color w:val="auto"/>
          <w:spacing w:val="0"/>
          <w:kern w:val="2"/>
          <w:sz w:val="24"/>
          <w:szCs w:val="24"/>
          <w:highlight w:val="none"/>
          <w:lang w:val="en-US" w:eastAsia="zh-CN" w:bidi="ar-SA"/>
        </w:rPr>
        <w:t>经市政污水管网排入</w:t>
      </w:r>
      <w:r>
        <w:rPr>
          <w:rFonts w:hint="eastAsia" w:eastAsia="宋体" w:cs="Times New Roman"/>
          <w:color w:val="auto"/>
          <w:spacing w:val="0"/>
          <w:kern w:val="2"/>
          <w:sz w:val="24"/>
          <w:szCs w:val="24"/>
          <w:highlight w:val="none"/>
          <w:lang w:val="en-US" w:eastAsia="zh-CN" w:bidi="ar-SA"/>
        </w:rPr>
        <w:t>佳木斯西区污水处理厂</w:t>
      </w:r>
      <w:r>
        <w:rPr>
          <w:rFonts w:hint="default" w:ascii="Times New Roman" w:hAnsi="Times New Roman" w:eastAsia="宋体" w:cs="Times New Roman"/>
          <w:color w:val="auto"/>
          <w:spacing w:val="0"/>
          <w:kern w:val="2"/>
          <w:sz w:val="24"/>
          <w:szCs w:val="24"/>
          <w:highlight w:val="none"/>
          <w:lang w:val="en-US" w:eastAsia="zh-CN" w:bidi="ar-SA"/>
        </w:rPr>
        <w:t>处理</w:t>
      </w:r>
      <w:r>
        <w:rPr>
          <w:rFonts w:hint="eastAsia" w:eastAsia="宋体" w:cs="Times New Roman"/>
          <w:color w:val="auto"/>
          <w:spacing w:val="0"/>
          <w:kern w:val="2"/>
          <w:sz w:val="24"/>
          <w:szCs w:val="24"/>
          <w:highlight w:val="none"/>
          <w:lang w:val="en-US" w:eastAsia="zh-CN" w:bidi="ar-SA"/>
        </w:rPr>
        <w:t>，排放浓度达到《城镇污水处理厂污染物排放标准》（GB18918-2002）中一级A标准后</w:t>
      </w:r>
      <w:r>
        <w:rPr>
          <w:rFonts w:hint="default" w:ascii="Times New Roman" w:hAnsi="Times New Roman" w:eastAsia="宋体" w:cs="Times New Roman"/>
          <w:color w:val="auto"/>
          <w:spacing w:val="0"/>
          <w:kern w:val="2"/>
          <w:sz w:val="24"/>
          <w:szCs w:val="24"/>
          <w:highlight w:val="none"/>
          <w:lang w:val="en-US" w:eastAsia="zh-CN" w:bidi="ar-SA"/>
        </w:rPr>
        <w:t>排放至</w:t>
      </w:r>
      <w:r>
        <w:rPr>
          <w:rFonts w:hint="eastAsia" w:eastAsia="宋体" w:cs="Times New Roman"/>
          <w:color w:val="auto"/>
          <w:spacing w:val="0"/>
          <w:kern w:val="2"/>
          <w:sz w:val="24"/>
          <w:szCs w:val="24"/>
          <w:highlight w:val="none"/>
          <w:lang w:val="en-US" w:eastAsia="zh-CN" w:bidi="ar-SA"/>
        </w:rPr>
        <w:t>松花江</w:t>
      </w:r>
      <w:r>
        <w:rPr>
          <w:rFonts w:hint="default" w:ascii="Times New Roman" w:hAnsi="Times New Roman" w:eastAsia="宋体" w:cs="Times New Roman"/>
          <w:color w:val="auto"/>
          <w:spacing w:val="0"/>
          <w:kern w:val="2"/>
          <w:sz w:val="24"/>
          <w:szCs w:val="24"/>
          <w:highlight w:val="none"/>
          <w:lang w:val="en-US" w:eastAsia="zh-CN" w:bidi="ar-SA"/>
        </w:rPr>
        <w:t>。</w:t>
      </w:r>
    </w:p>
    <w:p w14:paraId="12029FA5">
      <w:pPr>
        <w:ind w:firstLine="48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对地下水环境的影响</w:t>
      </w:r>
    </w:p>
    <w:p w14:paraId="2A420A84">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本项目对地下水污染提出了严格的防渗措施及监控体系，在有效落实这些措施后，项目正常运行对地下水影响很小。</w:t>
      </w:r>
    </w:p>
    <w:p w14:paraId="7F5728B5">
      <w:pPr>
        <w:pStyle w:val="6"/>
        <w:numPr>
          <w:ilvl w:val="2"/>
          <w:numId w:val="3"/>
        </w:numPr>
        <w:bidi w:val="0"/>
        <w:ind w:left="709" w:leftChars="0" w:hanging="709" w:firstLineChars="0"/>
        <w:rPr>
          <w:rFonts w:hint="default" w:ascii="Times New Roman" w:hAnsi="Times New Roman" w:eastAsia="宋体" w:cs="Times New Roman"/>
          <w:color w:val="auto"/>
          <w:highlight w:val="none"/>
        </w:rPr>
      </w:pPr>
      <w:r>
        <w:rPr>
          <w:rFonts w:hint="eastAsia" w:ascii="Times New Roman" w:hAnsi="Times New Roman" w:cs="Times New Roman"/>
          <w:color w:val="auto"/>
          <w:highlight w:val="none"/>
          <w:lang w:val="en-US" w:eastAsia="zh-CN"/>
        </w:rPr>
        <w:t>对声环境的影响</w:t>
      </w:r>
    </w:p>
    <w:p w14:paraId="0FBD7D62">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锅炉风机应修建密闭隔声风机房，风机安装时采取减振基础、软管连接，鼓风机的进气口及引风机的出风口安装消声器</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同时，通过厂房隔声和距离衰减，厂界噪声可满足《工业企业厂界环境噪声排放标准》表1中的</w:t>
      </w:r>
      <w:r>
        <w:rPr>
          <w:rFonts w:hint="eastAsia" w:ascii="Times New Roman" w:hAnsi="Times New Roman" w:eastAsia="宋体" w:cs="Times New Roman"/>
          <w:color w:val="auto"/>
          <w:highlight w:val="none"/>
          <w:lang w:val="en-US" w:eastAsia="zh-CN"/>
        </w:rPr>
        <w:t>3类</w:t>
      </w:r>
      <w:r>
        <w:rPr>
          <w:rFonts w:hint="eastAsia" w:ascii="Times New Roman" w:hAnsi="Times New Roman" w:eastAsia="宋体" w:cs="Times New Roman"/>
          <w:color w:val="auto"/>
          <w:highlight w:val="none"/>
          <w:lang w:eastAsia="zh-CN"/>
        </w:rPr>
        <w:t>标准</w:t>
      </w: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声环境保护目标《声环境质量标准》（GB3096-2008）中2类区标准，</w:t>
      </w:r>
      <w:r>
        <w:rPr>
          <w:rFonts w:hint="default" w:ascii="Times New Roman" w:hAnsi="Times New Roman" w:eastAsia="宋体" w:cs="Times New Roman"/>
          <w:color w:val="auto"/>
          <w:highlight w:val="none"/>
        </w:rPr>
        <w:t>对声环境的不利影响较小。</w:t>
      </w:r>
    </w:p>
    <w:p w14:paraId="28337358">
      <w:pPr>
        <w:pStyle w:val="6"/>
        <w:numPr>
          <w:ilvl w:val="2"/>
          <w:numId w:val="3"/>
        </w:numPr>
        <w:bidi w:val="0"/>
        <w:ind w:left="709" w:leftChars="0" w:hanging="709"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固体废物对环境的影响</w:t>
      </w:r>
    </w:p>
    <w:p w14:paraId="0E064BDC">
      <w:pPr>
        <w:ind w:firstLine="48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本项目不新增员工，不新增生活垃圾，厂区现有生活垃圾集中收集由市政环卫部门统一处理。</w:t>
      </w:r>
    </w:p>
    <w:p w14:paraId="70E0BEB7">
      <w:pPr>
        <w:ind w:firstLine="480"/>
        <w:rPr>
          <w:rFonts w:hint="default"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val="en-US" w:eastAsia="zh-CN"/>
        </w:rPr>
        <w:t>飞灰、炉渣外售综合利用；废布袋由厂家回收，不在厂区内堆存；</w:t>
      </w:r>
      <w:r>
        <w:rPr>
          <w:rFonts w:hint="eastAsia" w:ascii="Times New Roman" w:hAnsi="Times New Roman" w:eastAsia="宋体" w:cs="Times New Roman"/>
          <w:color w:val="auto"/>
          <w:highlight w:val="none"/>
          <w:lang w:val="en-US" w:eastAsia="zh-CN"/>
        </w:rPr>
        <w:t>灰库</w:t>
      </w:r>
      <w:r>
        <w:rPr>
          <w:rFonts w:hint="default" w:ascii="Times New Roman" w:hAnsi="Times New Roman" w:eastAsia="宋体" w:cs="Times New Roman"/>
          <w:color w:val="auto"/>
          <w:highlight w:val="none"/>
          <w:lang w:val="en-US" w:eastAsia="zh-CN"/>
        </w:rPr>
        <w:t>除尘器收尘外售综合利用；</w:t>
      </w:r>
      <w:r>
        <w:rPr>
          <w:rFonts w:hint="eastAsia" w:ascii="Times New Roman" w:hAnsi="Times New Roman" w:eastAsia="宋体" w:cs="Times New Roman"/>
          <w:color w:val="auto"/>
          <w:highlight w:val="none"/>
          <w:lang w:val="en-US" w:eastAsia="zh-CN"/>
        </w:rPr>
        <w:t>生石灰</w:t>
      </w:r>
      <w:r>
        <w:rPr>
          <w:rFonts w:hint="default" w:ascii="Times New Roman" w:hAnsi="Times New Roman" w:eastAsia="宋体" w:cs="Times New Roman"/>
          <w:color w:val="auto"/>
          <w:highlight w:val="none"/>
          <w:lang w:val="en-US" w:eastAsia="zh-CN"/>
        </w:rPr>
        <w:t>粉仓除尘器收尘回用于脱硫工序；碎煤机除尘器收尘作为燃料入炉燃烧；</w:t>
      </w:r>
      <w:r>
        <w:rPr>
          <w:rFonts w:hint="eastAsia" w:ascii="Times New Roman" w:hAnsi="Times New Roman" w:eastAsia="宋体" w:cs="Times New Roman"/>
          <w:color w:val="auto"/>
          <w:highlight w:val="none"/>
          <w:lang w:val="en-US" w:eastAsia="zh-CN"/>
        </w:rPr>
        <w:t>沉渣</w:t>
      </w:r>
      <w:r>
        <w:rPr>
          <w:rFonts w:hint="default" w:ascii="Times New Roman" w:hAnsi="Times New Roman" w:eastAsia="宋体" w:cs="Times New Roman"/>
          <w:color w:val="auto"/>
          <w:highlight w:val="none"/>
          <w:lang w:val="en-US" w:eastAsia="zh-CN"/>
        </w:rPr>
        <w:t>定期清掏作为燃料入炉燃烧</w:t>
      </w:r>
      <w:r>
        <w:rPr>
          <w:rFonts w:hint="default" w:ascii="Times New Roman" w:hAnsi="Times New Roman" w:eastAsia="宋体" w:cs="Times New Roman"/>
          <w:color w:val="auto"/>
          <w:highlight w:val="none"/>
          <w:lang w:eastAsia="zh-CN"/>
        </w:rPr>
        <w:t>。</w:t>
      </w:r>
    </w:p>
    <w:p w14:paraId="251F10C2">
      <w:pPr>
        <w:ind w:firstLine="48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根据《国家危险废物名录（</w:t>
      </w:r>
      <w:r>
        <w:rPr>
          <w:rFonts w:hint="default" w:ascii="Times New Roman" w:hAnsi="Times New Roman" w:eastAsia="宋体" w:cs="Times New Roman"/>
          <w:color w:val="auto"/>
          <w:highlight w:val="none"/>
          <w:lang w:val="en-US" w:eastAsia="zh-CN"/>
        </w:rPr>
        <w:t>2025年版</w:t>
      </w: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废矿物油</w:t>
      </w:r>
      <w:r>
        <w:rPr>
          <w:rFonts w:hint="default" w:ascii="Times New Roman" w:hAnsi="Times New Roman" w:eastAsia="宋体" w:cs="Times New Roman"/>
          <w:color w:val="auto"/>
          <w:highlight w:val="none"/>
        </w:rPr>
        <w:t>属于危险废物</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废矿物油产生后暂存于危废贮存库，定期交由有资质单位处置，</w:t>
      </w:r>
      <w:r>
        <w:rPr>
          <w:rFonts w:hint="default" w:ascii="Times New Roman" w:hAnsi="Times New Roman" w:eastAsia="宋体" w:cs="Times New Roman"/>
          <w:color w:val="auto"/>
          <w:highlight w:val="none"/>
        </w:rPr>
        <w:t>不会对周围环境造成不利影响。</w:t>
      </w:r>
    </w:p>
    <w:p w14:paraId="69B6F8AA">
      <w:pPr>
        <w:pStyle w:val="6"/>
        <w:numPr>
          <w:ilvl w:val="2"/>
          <w:numId w:val="3"/>
        </w:numPr>
        <w:bidi w:val="0"/>
        <w:ind w:left="709" w:leftChars="0" w:hanging="709" w:firstLineChars="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环境风险对环境的影响</w:t>
      </w:r>
    </w:p>
    <w:p w14:paraId="2FA95B34">
      <w:pPr>
        <w:pStyle w:val="5"/>
        <w:rPr>
          <w:rFonts w:hint="default"/>
          <w:highlight w:val="none"/>
          <w:lang w:val="en-US" w:eastAsia="zh-CN"/>
        </w:rPr>
      </w:pPr>
      <w:r>
        <w:rPr>
          <w:rFonts w:hint="default" w:ascii="Times New Roman" w:hAnsi="Times New Roman" w:eastAsia="宋体" w:cs="Times New Roman"/>
          <w:color w:val="auto"/>
          <w:highlight w:val="none"/>
        </w:rPr>
        <w:t>本项目涉及的危险物质为</w:t>
      </w:r>
      <w:r>
        <w:rPr>
          <w:rFonts w:hint="eastAsia" w:eastAsia="宋体" w:cs="Times New Roman"/>
          <w:color w:val="auto"/>
          <w:highlight w:val="none"/>
          <w:lang w:val="en-US" w:eastAsia="zh-CN"/>
        </w:rPr>
        <w:t>废矿物油</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废矿物油</w:t>
      </w:r>
      <w:r>
        <w:rPr>
          <w:rFonts w:hint="default" w:ascii="Times New Roman" w:hAnsi="Times New Roman" w:eastAsia="宋体" w:cs="Times New Roman"/>
          <w:color w:val="auto"/>
          <w:highlight w:val="none"/>
        </w:rPr>
        <w:t>可能会引起火灾对环境空气和水体造成影响，柴油使用量很少，针对环境风险事故也采取了有效的风险减缓措施。综合分析，本项目对环境风险影响很小。</w:t>
      </w:r>
    </w:p>
    <w:p w14:paraId="76BBEAAD">
      <w:pPr>
        <w:pStyle w:val="6"/>
        <w:numPr>
          <w:ilvl w:val="2"/>
          <w:numId w:val="3"/>
        </w:numPr>
        <w:bidi w:val="0"/>
        <w:ind w:left="709" w:leftChars="0" w:hanging="709"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对</w:t>
      </w:r>
      <w:r>
        <w:rPr>
          <w:rFonts w:hint="eastAsia" w:ascii="Times New Roman" w:hAnsi="Times New Roman" w:eastAsia="宋体" w:cs="Times New Roman"/>
          <w:color w:val="auto"/>
          <w:highlight w:val="none"/>
          <w:lang w:val="en-US" w:eastAsia="zh-CN"/>
        </w:rPr>
        <w:t>土壤</w:t>
      </w:r>
      <w:r>
        <w:rPr>
          <w:rFonts w:hint="default" w:ascii="Times New Roman" w:hAnsi="Times New Roman" w:eastAsia="宋体" w:cs="Times New Roman"/>
          <w:color w:val="auto"/>
          <w:highlight w:val="none"/>
          <w:lang w:val="en-US" w:eastAsia="zh-CN"/>
        </w:rPr>
        <w:t>环境的影响</w:t>
      </w:r>
    </w:p>
    <w:p w14:paraId="62076F6F">
      <w:pPr>
        <w:pStyle w:val="5"/>
        <w:rPr>
          <w:rFonts w:hint="default"/>
          <w:highlight w:val="none"/>
        </w:rPr>
      </w:pPr>
      <w:r>
        <w:rPr>
          <w:rFonts w:hint="default" w:ascii="Times New Roman" w:hAnsi="Times New Roman" w:eastAsia="宋体" w:cs="Times New Roman"/>
          <w:color w:val="auto"/>
          <w:highlight w:val="none"/>
          <w:lang w:val="en-US" w:eastAsia="zh-CN"/>
        </w:rPr>
        <w:t>本项目锅炉废气采用高效除尘脱硫协同除汞，除汞效率</w:t>
      </w:r>
      <w:r>
        <w:rPr>
          <w:rFonts w:hint="eastAsia" w:ascii="Times New Roman" w:hAnsi="Times New Roman" w:eastAsia="宋体" w:cs="Times New Roman"/>
          <w:color w:val="auto"/>
          <w:highlight w:val="none"/>
          <w:lang w:val="en-US" w:eastAsia="zh-CN"/>
        </w:rPr>
        <w:t>7</w:t>
      </w:r>
      <w:r>
        <w:rPr>
          <w:rFonts w:hint="default" w:ascii="Times New Roman" w:hAnsi="Times New Roman" w:eastAsia="宋体" w:cs="Times New Roman"/>
          <w:color w:val="auto"/>
          <w:highlight w:val="none"/>
          <w:lang w:val="en-US" w:eastAsia="zh-CN"/>
        </w:rPr>
        <w:t>0%，锅炉废气经治理措施后烟气中汞及其化合物的排放速率较小，在大气沉降过程中对土壤环境影响可以忽略。厂区内不设储油罐，不会发生柴油泄漏污染土壤环境</w:t>
      </w:r>
      <w:r>
        <w:rPr>
          <w:rFonts w:hint="eastAsia" w:ascii="Times New Roman" w:hAnsi="Times New Roman" w:eastAsia="宋体" w:cs="Times New Roman"/>
          <w:color w:val="auto"/>
          <w:highlight w:val="none"/>
          <w:lang w:val="en-US" w:eastAsia="zh-CN"/>
        </w:rPr>
        <w:t>。</w:t>
      </w:r>
    </w:p>
    <w:p w14:paraId="78D5C2B4">
      <w:pPr>
        <w:pStyle w:val="6"/>
        <w:numPr>
          <w:ilvl w:val="2"/>
          <w:numId w:val="3"/>
        </w:numPr>
        <w:bidi w:val="0"/>
        <w:ind w:left="709" w:leftChars="0" w:hanging="709" w:firstLineChars="0"/>
        <w:rPr>
          <w:rFonts w:hint="default" w:ascii="Times New Roman" w:hAnsi="Times New Roman" w:eastAsia="宋体" w:cs="Times New Roman"/>
          <w:color w:val="auto"/>
          <w:highlight w:val="none"/>
        </w:rPr>
      </w:pPr>
      <w:r>
        <w:rPr>
          <w:rFonts w:hint="eastAsia" w:ascii="Times New Roman" w:hAnsi="Times New Roman" w:cs="Times New Roman"/>
          <w:color w:val="auto"/>
          <w:highlight w:val="none"/>
          <w:lang w:val="en-US" w:eastAsia="zh-CN"/>
        </w:rPr>
        <w:t>对生态环境的影响</w:t>
      </w:r>
    </w:p>
    <w:p w14:paraId="6DF26763">
      <w:pPr>
        <w:ind w:firstLine="48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本项目</w:t>
      </w:r>
      <w:r>
        <w:rPr>
          <w:rFonts w:hint="default" w:ascii="Times New Roman" w:hAnsi="Times New Roman" w:eastAsia="宋体" w:cs="Times New Roman"/>
          <w:color w:val="auto"/>
          <w:highlight w:val="none"/>
          <w:lang w:val="en-US" w:eastAsia="zh-CN"/>
        </w:rPr>
        <w:t>位于原厂界</w:t>
      </w:r>
      <w:r>
        <w:rPr>
          <w:rFonts w:hint="eastAsia" w:ascii="Times New Roman" w:hAnsi="Times New Roman" w:eastAsia="宋体" w:cs="Times New Roman"/>
          <w:color w:val="auto"/>
          <w:highlight w:val="none"/>
          <w:lang w:val="en-US" w:eastAsia="zh-CN"/>
        </w:rPr>
        <w:t>占地</w:t>
      </w:r>
      <w:r>
        <w:rPr>
          <w:rFonts w:hint="default" w:ascii="Times New Roman" w:hAnsi="Times New Roman" w:eastAsia="宋体" w:cs="Times New Roman"/>
          <w:color w:val="auto"/>
          <w:highlight w:val="none"/>
          <w:lang w:val="en-US" w:eastAsia="zh-CN"/>
        </w:rPr>
        <w:t>范围内</w:t>
      </w:r>
      <w:r>
        <w:rPr>
          <w:rFonts w:hint="eastAsia" w:ascii="Times New Roman" w:hAnsi="Times New Roman" w:eastAsia="宋体" w:cs="Times New Roman"/>
          <w:color w:val="auto"/>
          <w:highlight w:val="none"/>
          <w:lang w:val="en-US" w:eastAsia="zh-CN"/>
        </w:rPr>
        <w:t>，报告类型为</w:t>
      </w:r>
      <w:r>
        <w:rPr>
          <w:rFonts w:hint="default" w:ascii="Times New Roman" w:hAnsi="Times New Roman" w:eastAsia="宋体" w:cs="Times New Roman"/>
          <w:color w:val="auto"/>
          <w:highlight w:val="none"/>
          <w:lang w:val="en-US" w:eastAsia="zh-CN"/>
        </w:rPr>
        <w:t>污染影响类</w:t>
      </w:r>
      <w:r>
        <w:rPr>
          <w:rFonts w:hint="eastAsia" w:ascii="Times New Roman" w:hAnsi="Times New Roman" w:eastAsia="宋体" w:cs="Times New Roman"/>
          <w:color w:val="auto"/>
          <w:highlight w:val="none"/>
          <w:lang w:val="en-US" w:eastAsia="zh-CN"/>
        </w:rPr>
        <w:t>，性质为改</w:t>
      </w:r>
      <w:r>
        <w:rPr>
          <w:rFonts w:hint="default" w:ascii="Times New Roman" w:hAnsi="Times New Roman" w:eastAsia="宋体" w:cs="Times New Roman"/>
          <w:color w:val="auto"/>
          <w:highlight w:val="none"/>
          <w:lang w:val="en-US" w:eastAsia="zh-CN"/>
        </w:rPr>
        <w:t>扩建项目，</w:t>
      </w:r>
      <w:r>
        <w:rPr>
          <w:rFonts w:hint="eastAsia" w:ascii="Times New Roman" w:hAnsi="Times New Roman" w:eastAsia="宋体" w:cs="Times New Roman"/>
          <w:color w:val="auto"/>
          <w:highlight w:val="none"/>
          <w:lang w:val="en-US" w:eastAsia="zh-CN"/>
        </w:rPr>
        <w:t>本项目厂址</w:t>
      </w:r>
      <w:r>
        <w:rPr>
          <w:rFonts w:hint="default" w:ascii="Times New Roman" w:hAnsi="Times New Roman" w:eastAsia="宋体" w:cs="Times New Roman"/>
          <w:color w:val="auto"/>
          <w:highlight w:val="none"/>
          <w:lang w:val="en-US" w:eastAsia="zh-CN"/>
        </w:rPr>
        <w:t>符合规划环评要求、不涉及生态敏感区，</w:t>
      </w:r>
      <w:r>
        <w:rPr>
          <w:rFonts w:hint="eastAsia" w:ascii="Times New Roman" w:hAnsi="Times New Roman" w:eastAsia="宋体" w:cs="Times New Roman"/>
          <w:color w:val="auto"/>
          <w:highlight w:val="none"/>
          <w:lang w:val="en-US" w:eastAsia="zh-CN"/>
        </w:rPr>
        <w:t>对</w:t>
      </w:r>
      <w:r>
        <w:rPr>
          <w:rFonts w:hint="default" w:ascii="Times New Roman" w:hAnsi="Times New Roman" w:eastAsia="宋体" w:cs="Times New Roman"/>
          <w:color w:val="auto"/>
          <w:highlight w:val="none"/>
          <w:lang w:val="en-US" w:eastAsia="zh-CN"/>
        </w:rPr>
        <w:t>生态</w:t>
      </w:r>
      <w:r>
        <w:rPr>
          <w:rFonts w:hint="eastAsia" w:ascii="Times New Roman" w:hAnsi="Times New Roman" w:eastAsia="宋体" w:cs="Times New Roman"/>
          <w:color w:val="auto"/>
          <w:highlight w:val="none"/>
          <w:lang w:val="en-US" w:eastAsia="zh-CN"/>
        </w:rPr>
        <w:t>环境影响较小</w:t>
      </w:r>
      <w:r>
        <w:rPr>
          <w:rFonts w:hint="default" w:ascii="Times New Roman" w:hAnsi="Times New Roman" w:eastAsia="宋体" w:cs="Times New Roman"/>
          <w:color w:val="auto"/>
          <w:highlight w:val="none"/>
          <w:lang w:val="en-US" w:eastAsia="zh-CN"/>
        </w:rPr>
        <w:t>。</w:t>
      </w:r>
    </w:p>
    <w:p w14:paraId="220D4488">
      <w:pPr>
        <w:pStyle w:val="4"/>
        <w:numPr>
          <w:ilvl w:val="1"/>
          <w:numId w:val="3"/>
        </w:numPr>
        <w:ind w:left="567" w:leftChars="0" w:hanging="567" w:firstLineChars="0"/>
        <w:rPr>
          <w:rFonts w:hint="default" w:ascii="Times New Roman" w:hAnsi="Times New Roman" w:eastAsia="宋体" w:cs="Times New Roman"/>
          <w:b/>
          <w:bCs/>
          <w:color w:val="auto"/>
          <w:highlight w:val="none"/>
        </w:rPr>
      </w:pPr>
      <w:bookmarkStart w:id="62" w:name="_Toc15457"/>
      <w:bookmarkStart w:id="63" w:name="_Toc4754"/>
      <w:r>
        <w:rPr>
          <w:rFonts w:hint="default" w:ascii="Times New Roman" w:hAnsi="Times New Roman" w:eastAsia="宋体" w:cs="Times New Roman"/>
          <w:b/>
          <w:bCs/>
          <w:color w:val="auto"/>
          <w:highlight w:val="none"/>
        </w:rPr>
        <w:t>环境影响评价工作主要结论</w:t>
      </w:r>
      <w:bookmarkEnd w:id="62"/>
      <w:bookmarkEnd w:id="63"/>
    </w:p>
    <w:p w14:paraId="27D6ADA7">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本项目建设内容符合《产业结构调整指导目录（20</w:t>
      </w:r>
      <w:r>
        <w:rPr>
          <w:rFonts w:hint="default" w:ascii="Times New Roman" w:hAnsi="Times New Roman" w:eastAsia="宋体" w:cs="Times New Roman"/>
          <w:color w:val="auto"/>
          <w:highlight w:val="none"/>
          <w:lang w:val="en-US" w:eastAsia="zh-CN"/>
        </w:rPr>
        <w:t>24</w:t>
      </w:r>
      <w:r>
        <w:rPr>
          <w:rFonts w:hint="default" w:ascii="Times New Roman" w:hAnsi="Times New Roman" w:eastAsia="宋体" w:cs="Times New Roman"/>
          <w:color w:val="auto"/>
          <w:highlight w:val="none"/>
        </w:rPr>
        <w:t>年本）</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本项目运营期对周围环境的影响主要表现在对大气环境、地表水环境、地下水环境、声环境、固体废物影响，通过采取相应的环境污染防治措施后能够实现污染物达标排放，从而降低对周围环境及敏感目标的影响。经过预测分析，本项目建设对外环境影响较小，总量控制指标能够落实。综上所述，项目建设是合理可行</w:t>
      </w:r>
      <w:r>
        <w:rPr>
          <w:rFonts w:hint="eastAsia" w:ascii="Times New Roman" w:hAnsi="Times New Roman" w:eastAsia="宋体" w:cs="Times New Roman"/>
          <w:color w:val="auto"/>
          <w:highlight w:val="none"/>
          <w:lang w:eastAsia="zh-CN"/>
        </w:rPr>
        <w:t>的</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rPr>
        <w:br w:type="page"/>
      </w:r>
    </w:p>
    <w:p w14:paraId="11A8E9D5">
      <w:pPr>
        <w:pStyle w:val="3"/>
        <w:numPr>
          <w:ilvl w:val="0"/>
          <w:numId w:val="3"/>
        </w:numPr>
        <w:ind w:left="425" w:leftChars="0" w:hanging="425" w:firstLineChars="0"/>
        <w:rPr>
          <w:rFonts w:hint="default" w:ascii="Times New Roman" w:hAnsi="Times New Roman" w:eastAsia="宋体" w:cs="Times New Roman"/>
          <w:color w:val="auto"/>
          <w:highlight w:val="none"/>
        </w:rPr>
      </w:pPr>
      <w:bookmarkStart w:id="64" w:name="_Toc1257"/>
      <w:bookmarkStart w:id="65" w:name="_Toc732"/>
      <w:r>
        <w:rPr>
          <w:rFonts w:hint="default" w:ascii="Times New Roman" w:hAnsi="Times New Roman" w:eastAsia="宋体" w:cs="Times New Roman"/>
          <w:color w:val="auto"/>
          <w:highlight w:val="none"/>
        </w:rPr>
        <w:t>总则</w:t>
      </w:r>
      <w:bookmarkEnd w:id="64"/>
      <w:bookmarkEnd w:id="65"/>
    </w:p>
    <w:p w14:paraId="2155B8B5">
      <w:pPr>
        <w:pStyle w:val="4"/>
        <w:numPr>
          <w:ilvl w:val="1"/>
          <w:numId w:val="3"/>
        </w:numPr>
        <w:ind w:left="567" w:leftChars="0" w:hanging="567" w:firstLineChars="0"/>
        <w:rPr>
          <w:rFonts w:hint="default" w:ascii="Times New Roman" w:hAnsi="Times New Roman" w:eastAsia="宋体" w:cs="Times New Roman"/>
          <w:b/>
          <w:bCs/>
          <w:color w:val="auto"/>
          <w:highlight w:val="none"/>
        </w:rPr>
      </w:pPr>
      <w:bookmarkStart w:id="66" w:name="_Toc19009"/>
      <w:bookmarkStart w:id="67" w:name="_Toc28838"/>
      <w:r>
        <w:rPr>
          <w:rFonts w:hint="default" w:ascii="Times New Roman" w:hAnsi="Times New Roman" w:eastAsia="宋体" w:cs="Times New Roman"/>
          <w:b/>
          <w:bCs/>
          <w:color w:val="auto"/>
          <w:highlight w:val="none"/>
        </w:rPr>
        <w:t>编制依据</w:t>
      </w:r>
      <w:bookmarkEnd w:id="66"/>
      <w:bookmarkEnd w:id="67"/>
    </w:p>
    <w:p w14:paraId="0AAE74B8">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68" w:name="_Toc105659866"/>
      <w:bookmarkStart w:id="69" w:name="_Toc107238083"/>
      <w:bookmarkStart w:id="70" w:name="_Toc4110"/>
      <w:bookmarkStart w:id="71" w:name="_Toc15409"/>
      <w:bookmarkStart w:id="72" w:name="_Toc5509"/>
      <w:bookmarkStart w:id="73" w:name="_Toc2646"/>
      <w:r>
        <w:rPr>
          <w:rFonts w:hint="eastAsia" w:ascii="Times New Roman" w:hAnsi="Times New Roman" w:cs="Times New Roman"/>
          <w:color w:val="auto"/>
          <w:highlight w:val="none"/>
          <w:lang w:eastAsia="zh-CN"/>
        </w:rPr>
        <w:t>国家法律规范及部门规章</w:t>
      </w:r>
    </w:p>
    <w:p w14:paraId="0FB0CBF7">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（1）《中华人民共和国环境保护法》（主席令2014年第9号）（2015.1.1实施）；</w:t>
      </w:r>
    </w:p>
    <w:p w14:paraId="3B2A6058">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（2）《中华人民共和国环境影响评价法》（2018修正版）（2018.12.29实施）；</w:t>
      </w:r>
    </w:p>
    <w:p w14:paraId="378E4DA8">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（3）《中华人民共和国大气污染防治法》（2018修正版）（2018.10.26实施）；</w:t>
      </w:r>
    </w:p>
    <w:p w14:paraId="115A717A">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（4）《中华人民共和国水污染防治法》（2018.1.1实施）；</w:t>
      </w:r>
    </w:p>
    <w:p w14:paraId="291B2182">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（5）《中华人民共和国噪声污染防治法》中华人民共和国主席令第</w:t>
      </w:r>
      <w:r>
        <w:rPr>
          <w:rFonts w:hint="eastAsia" w:ascii="Times New Roman" w:hAnsi="Times New Roman" w:eastAsia="宋体" w:cs="Times New Roman"/>
          <w:color w:val="auto"/>
          <w:highlight w:val="none"/>
          <w:lang w:eastAsia="zh-CN"/>
        </w:rPr>
        <w:t>一〇四</w:t>
      </w:r>
      <w:r>
        <w:rPr>
          <w:rFonts w:hint="default" w:ascii="Times New Roman" w:hAnsi="Times New Roman" w:eastAsia="宋体" w:cs="Times New Roman"/>
          <w:color w:val="auto"/>
          <w:highlight w:val="none"/>
        </w:rPr>
        <w:t>号（2022.6.5实施）；</w:t>
      </w:r>
    </w:p>
    <w:p w14:paraId="3996D18D">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（6）《中华人民共和国固体废物污染环境防治法》（2020.9.1实施）；</w:t>
      </w:r>
    </w:p>
    <w:p w14:paraId="695B60BE">
      <w:pPr>
        <w:ind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（7）《中华人民共和国清洁生产促进法》（2012修订，2012年2月29日发布）</w:t>
      </w:r>
      <w:r>
        <w:rPr>
          <w:rFonts w:hint="default" w:ascii="Times New Roman" w:hAnsi="Times New Roman" w:eastAsia="宋体" w:cs="Times New Roman"/>
          <w:color w:val="auto"/>
          <w:highlight w:val="none"/>
          <w:lang w:eastAsia="zh-CN"/>
        </w:rPr>
        <w:t>。</w:t>
      </w:r>
    </w:p>
    <w:p w14:paraId="545A5D61">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8</w:t>
      </w:r>
      <w:r>
        <w:rPr>
          <w:rFonts w:hint="default" w:ascii="Times New Roman" w:hAnsi="Times New Roman" w:eastAsia="宋体" w:cs="Times New Roman"/>
          <w:color w:val="auto"/>
          <w:highlight w:val="none"/>
        </w:rPr>
        <w:t>）《中华人民共和国土壤污染防治法》（2019.1.1）；</w:t>
      </w:r>
    </w:p>
    <w:p w14:paraId="2D602B8F">
      <w:pPr>
        <w:ind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9</w:t>
      </w:r>
      <w:r>
        <w:rPr>
          <w:rFonts w:hint="default" w:ascii="Times New Roman" w:hAnsi="Times New Roman" w:eastAsia="宋体" w:cs="Times New Roman"/>
          <w:color w:val="auto"/>
          <w:highlight w:val="none"/>
        </w:rPr>
        <w:t>）《中华人民共和国土地管理法》（2019.8.26）；</w:t>
      </w:r>
    </w:p>
    <w:p w14:paraId="703CFFE9">
      <w:pPr>
        <w:pStyle w:val="6"/>
        <w:numPr>
          <w:ilvl w:val="2"/>
          <w:numId w:val="3"/>
        </w:numPr>
        <w:ind w:left="709" w:leftChars="0" w:hanging="709"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法规</w:t>
      </w:r>
      <w:bookmarkEnd w:id="68"/>
      <w:bookmarkEnd w:id="69"/>
      <w:bookmarkEnd w:id="70"/>
      <w:bookmarkEnd w:id="71"/>
      <w:bookmarkEnd w:id="72"/>
      <w:bookmarkEnd w:id="73"/>
    </w:p>
    <w:p w14:paraId="0F693764">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）中华人民共和国国务院令第682号《建设项目环境保护管理条例》（2017.10.1实施）；</w:t>
      </w:r>
    </w:p>
    <w:p w14:paraId="1DF6253B">
      <w:pPr>
        <w:ind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）《国务院关于印发水污染防治行动计划的通知》（国发</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2015</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17号，2015.4.2）</w:t>
      </w:r>
      <w:r>
        <w:rPr>
          <w:rFonts w:hint="default" w:ascii="Times New Roman" w:hAnsi="Times New Roman" w:eastAsia="宋体" w:cs="Times New Roman"/>
          <w:color w:val="auto"/>
          <w:highlight w:val="none"/>
          <w:lang w:eastAsia="zh-CN"/>
        </w:rPr>
        <w:t>。</w:t>
      </w:r>
    </w:p>
    <w:p w14:paraId="44B6BF85">
      <w:pPr>
        <w:ind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排污许可管理条例</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国务院令第736号</w:t>
      </w:r>
      <w:r>
        <w:rPr>
          <w:rFonts w:hint="default" w:ascii="Times New Roman" w:hAnsi="Times New Roman" w:eastAsia="宋体" w:cs="Times New Roman"/>
          <w:color w:val="auto"/>
          <w:highlight w:val="none"/>
          <w:lang w:eastAsia="zh-CN"/>
        </w:rPr>
        <w:t>，2021年3月1日起施行）；</w:t>
      </w:r>
    </w:p>
    <w:p w14:paraId="42275C94">
      <w:pPr>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lang w:eastAsia="zh-CN"/>
        </w:rPr>
        <w:t>）《地下水管理条例》（国务院令第748号，2021年12月1日起施行）</w:t>
      </w:r>
      <w:r>
        <w:rPr>
          <w:rFonts w:hint="eastAsia" w:ascii="Times New Roman" w:hAnsi="Times New Roman" w:eastAsia="宋体" w:cs="Times New Roman"/>
          <w:color w:val="auto"/>
          <w:highlight w:val="none"/>
          <w:lang w:eastAsia="zh-CN"/>
        </w:rPr>
        <w:t>；</w:t>
      </w:r>
    </w:p>
    <w:p w14:paraId="4BCE5070">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（5）《国务院关于印发</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空气质量持续改善行动计划的通知＞</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（国发</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2023</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24号）</w:t>
      </w:r>
      <w:r>
        <w:rPr>
          <w:rFonts w:hint="default" w:ascii="Times New Roman" w:hAnsi="Times New Roman" w:eastAsia="宋体" w:cs="Times New Roman"/>
          <w:color w:val="auto"/>
          <w:highlight w:val="none"/>
        </w:rPr>
        <w:t>。</w:t>
      </w:r>
    </w:p>
    <w:p w14:paraId="5F2D3EA4">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74" w:name="_Toc105659867"/>
      <w:bookmarkStart w:id="75" w:name="_Toc22402"/>
      <w:bookmarkStart w:id="76" w:name="_Toc10704"/>
      <w:bookmarkStart w:id="77" w:name="_Toc107238084"/>
      <w:bookmarkStart w:id="78" w:name="_Toc31830"/>
      <w:bookmarkStart w:id="79" w:name="_Toc6910"/>
      <w:r>
        <w:rPr>
          <w:rFonts w:hint="default" w:ascii="Times New Roman" w:hAnsi="Times New Roman" w:eastAsia="宋体" w:cs="Times New Roman"/>
          <w:color w:val="auto"/>
          <w:highlight w:val="none"/>
        </w:rPr>
        <w:t>部门规章</w:t>
      </w:r>
      <w:bookmarkEnd w:id="74"/>
      <w:bookmarkEnd w:id="75"/>
      <w:bookmarkEnd w:id="76"/>
      <w:bookmarkEnd w:id="77"/>
      <w:bookmarkEnd w:id="78"/>
      <w:bookmarkEnd w:id="79"/>
    </w:p>
    <w:p w14:paraId="25425D38">
      <w:pPr>
        <w:pStyle w:val="88"/>
        <w:spacing w:line="360" w:lineRule="auto"/>
        <w:ind w:firstLine="480" w:firstLineChars="200"/>
        <w:rPr>
          <w:rFonts w:hint="default" w:ascii="Times New Roman" w:hAnsi="Times New Roman" w:eastAsia="宋体" w:cs="Times New Roman"/>
          <w:color w:val="auto"/>
          <w:highlight w:val="none"/>
          <w:lang w:eastAsia="zh-CN"/>
        </w:rPr>
      </w:pPr>
      <w:bookmarkStart w:id="80" w:name="_Toc105659868"/>
      <w:bookmarkStart w:id="81" w:name="_Toc107238085"/>
      <w:r>
        <w:rPr>
          <w:rFonts w:hint="default" w:ascii="Times New Roman" w:hAnsi="Times New Roman" w:eastAsia="宋体" w:cs="Times New Roman"/>
          <w:color w:val="auto"/>
          <w:highlight w:val="none"/>
          <w:lang w:eastAsia="zh-CN"/>
        </w:rPr>
        <w:t>（1）《建设项目环境影响评价分类管理名录》（2021年版）</w:t>
      </w:r>
      <w:r>
        <w:rPr>
          <w:rFonts w:hint="default" w:ascii="Times New Roman" w:hAnsi="Times New Roman" w:eastAsia="宋体" w:cs="Times New Roman"/>
          <w:color w:val="auto"/>
          <w:kern w:val="2"/>
          <w:sz w:val="24"/>
          <w:szCs w:val="24"/>
          <w:highlight w:val="none"/>
          <w:lang w:bidi="ar"/>
        </w:rPr>
        <w:t>（生态环境部，部令第16号，2020</w:t>
      </w:r>
      <w:r>
        <w:rPr>
          <w:rFonts w:hint="eastAsia" w:ascii="Times New Roman" w:cs="Times New Roman"/>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bidi="ar"/>
        </w:rPr>
        <w:t>11</w:t>
      </w:r>
      <w:r>
        <w:rPr>
          <w:rFonts w:hint="eastAsia" w:ascii="Times New Roman" w:cs="Times New Roman"/>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bidi="ar"/>
        </w:rPr>
        <w:t>30）</w:t>
      </w:r>
      <w:r>
        <w:rPr>
          <w:rFonts w:hint="default" w:ascii="Times New Roman" w:hAnsi="Times New Roman" w:eastAsia="宋体" w:cs="Times New Roman"/>
          <w:color w:val="auto"/>
          <w:highlight w:val="none"/>
          <w:lang w:eastAsia="zh-CN"/>
        </w:rPr>
        <w:t>；</w:t>
      </w:r>
    </w:p>
    <w:p w14:paraId="3A237382">
      <w:pPr>
        <w:pStyle w:val="88"/>
        <w:spacing w:line="360" w:lineRule="auto"/>
        <w:ind w:firstLine="480" w:firstLineChars="20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（2）《产业结构调整指导目录（20</w:t>
      </w:r>
      <w:r>
        <w:rPr>
          <w:rFonts w:hint="default" w:ascii="Times New Roman" w:hAnsi="Times New Roman" w:eastAsia="宋体" w:cs="Times New Roman"/>
          <w:color w:val="auto"/>
          <w:highlight w:val="none"/>
          <w:lang w:val="en-US" w:eastAsia="zh-CN"/>
        </w:rPr>
        <w:t>24</w:t>
      </w:r>
      <w:r>
        <w:rPr>
          <w:rFonts w:hint="default" w:ascii="Times New Roman" w:hAnsi="Times New Roman" w:eastAsia="宋体" w:cs="Times New Roman"/>
          <w:color w:val="auto"/>
          <w:highlight w:val="none"/>
          <w:lang w:eastAsia="zh-CN"/>
        </w:rPr>
        <w:t>年本）》</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kern w:val="2"/>
          <w:sz w:val="24"/>
          <w:szCs w:val="24"/>
          <w:highlight w:val="none"/>
          <w:lang w:val="en-US" w:eastAsia="zh-CN"/>
        </w:rPr>
        <w:t>2024年2月1日施行</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highlight w:val="none"/>
          <w:lang w:eastAsia="zh-CN"/>
        </w:rPr>
        <w:t>；</w:t>
      </w:r>
    </w:p>
    <w:p w14:paraId="6B22C53C">
      <w:pPr>
        <w:pStyle w:val="88"/>
        <w:spacing w:line="360" w:lineRule="auto"/>
        <w:ind w:firstLine="480" w:firstLineChars="20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（3）《关于切实加强风险防范严格环境影响评价管理的通知》（环发〔2012〕98号）；</w:t>
      </w:r>
    </w:p>
    <w:p w14:paraId="34D73F76">
      <w:pPr>
        <w:pStyle w:val="88"/>
        <w:spacing w:line="360" w:lineRule="auto"/>
        <w:ind w:firstLine="480" w:firstLineChars="20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（4）《关于进一步加强环境影响评价管理防范环境风险的通知》（环发〔2012〕77号）；</w:t>
      </w:r>
    </w:p>
    <w:p w14:paraId="1BBDDD05">
      <w:pPr>
        <w:pStyle w:val="88"/>
        <w:spacing w:line="360" w:lineRule="auto"/>
        <w:ind w:firstLine="480" w:firstLineChars="20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（5）《黑龙江省人民政府关于实施“三线一单”生态环境分区管控的意见》（黑政发〔2020〕14号）；</w:t>
      </w:r>
    </w:p>
    <w:p w14:paraId="5383DA4C">
      <w:pPr>
        <w:pStyle w:val="88"/>
        <w:spacing w:line="360" w:lineRule="auto"/>
        <w:ind w:firstLine="480" w:firstLineChars="20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（6）</w:t>
      </w:r>
      <w:r>
        <w:rPr>
          <w:rFonts w:hint="eastAsia" w:ascii="Times New Roman" w:cs="Times New Roman"/>
          <w:color w:val="auto"/>
          <w:highlight w:val="none"/>
          <w:lang w:eastAsia="zh-CN"/>
        </w:rPr>
        <w:t>《佳木斯市人民政府关于实施“三线一单”生态环境分区管控的意见》（佳政规〔2021〕4号）</w:t>
      </w:r>
      <w:r>
        <w:rPr>
          <w:rFonts w:hint="default" w:ascii="Times New Roman" w:hAnsi="Times New Roman" w:eastAsia="宋体" w:cs="Times New Roman"/>
          <w:color w:val="auto"/>
          <w:highlight w:val="none"/>
          <w:lang w:eastAsia="zh-CN"/>
        </w:rPr>
        <w:t>；</w:t>
      </w:r>
    </w:p>
    <w:p w14:paraId="291A0CC4">
      <w:pPr>
        <w:pStyle w:val="88"/>
        <w:spacing w:line="360" w:lineRule="auto"/>
        <w:ind w:firstLine="480" w:firstLineChars="20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（7）《商品煤质量管理暂行办法》（2014.9.3）；</w:t>
      </w:r>
    </w:p>
    <w:p w14:paraId="6D00C554">
      <w:pPr>
        <w:pStyle w:val="88"/>
        <w:spacing w:line="360" w:lineRule="auto"/>
        <w:ind w:firstLine="480" w:firstLineChars="20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（8）中华人民共和国生态环境部《关于做好环境影响评价制度与排污许可制衔接相关工作的通知》（环办环评〔2017〕84号）；</w:t>
      </w:r>
    </w:p>
    <w:p w14:paraId="2CB0C3A8">
      <w:pPr>
        <w:pStyle w:val="88"/>
        <w:spacing w:line="360" w:lineRule="auto"/>
        <w:ind w:firstLine="480" w:firstLineChars="20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（9）《环境空气细颗粒物污染综合防治技术政策》（公告2013年第59号）2013.9.13发布实施；</w:t>
      </w:r>
    </w:p>
    <w:p w14:paraId="7326FA1F">
      <w:pPr>
        <w:pStyle w:val="88"/>
        <w:spacing w:line="360" w:lineRule="auto"/>
        <w:ind w:firstLine="480" w:firstLineChars="20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（10）生态环境部《关于加强重点行业建设项目区域削减措施监督管理的通知》（环办环评〔2020〕36号）；</w:t>
      </w:r>
    </w:p>
    <w:p w14:paraId="71328CF1">
      <w:pPr>
        <w:pStyle w:val="88"/>
        <w:spacing w:line="360" w:lineRule="auto"/>
        <w:ind w:firstLine="480" w:firstLineChars="20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（11）《黑龙江省国民经济和社会发展第十四个五年规划和</w:t>
      </w:r>
      <w:r>
        <w:rPr>
          <w:rFonts w:hint="eastAsia" w:ascii="Times New Roman" w:cs="Times New Roman"/>
          <w:color w:val="auto"/>
          <w:highlight w:val="none"/>
          <w:lang w:eastAsia="zh-CN"/>
        </w:rPr>
        <w:t>二〇三五</w:t>
      </w:r>
      <w:r>
        <w:rPr>
          <w:rFonts w:hint="default" w:ascii="Times New Roman" w:hAnsi="Times New Roman" w:eastAsia="宋体" w:cs="Times New Roman"/>
          <w:color w:val="auto"/>
          <w:highlight w:val="none"/>
          <w:lang w:eastAsia="zh-CN"/>
        </w:rPr>
        <w:t>年远景目标纲要的通知》；</w:t>
      </w:r>
    </w:p>
    <w:p w14:paraId="281ADB89">
      <w:pPr>
        <w:pStyle w:val="88"/>
        <w:spacing w:line="360" w:lineRule="auto"/>
        <w:ind w:firstLine="480" w:firstLineChars="20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（12）《黑龙江省“十四五”生态环境保护规划》（2021.12.29）；</w:t>
      </w:r>
    </w:p>
    <w:p w14:paraId="7955452D">
      <w:pPr>
        <w:pStyle w:val="88"/>
        <w:spacing w:line="360" w:lineRule="auto"/>
        <w:ind w:firstLine="480" w:firstLineChars="20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（13）《黑龙江省人民政府关于印发黑龙江省主体功能区规划的通知》（黑政发〔2012〕29号，2012</w:t>
      </w:r>
      <w:r>
        <w:rPr>
          <w:rFonts w:hint="eastAsia" w:ascii="Times New Roman" w:cs="Times New Roman"/>
          <w:color w:val="auto"/>
          <w:highlight w:val="none"/>
          <w:lang w:val="en-US" w:eastAsia="zh-CN"/>
        </w:rPr>
        <w:t>.</w:t>
      </w:r>
      <w:r>
        <w:rPr>
          <w:rFonts w:hint="default" w:ascii="Times New Roman" w:hAnsi="Times New Roman" w:eastAsia="宋体" w:cs="Times New Roman"/>
          <w:color w:val="auto"/>
          <w:highlight w:val="none"/>
          <w:lang w:eastAsia="zh-CN"/>
        </w:rPr>
        <w:t>4</w:t>
      </w:r>
      <w:r>
        <w:rPr>
          <w:rFonts w:hint="eastAsia" w:ascii="Times New Roman" w:cs="Times New Roman"/>
          <w:color w:val="auto"/>
          <w:highlight w:val="none"/>
          <w:lang w:val="en-US" w:eastAsia="zh-CN"/>
        </w:rPr>
        <w:t>.</w:t>
      </w:r>
      <w:r>
        <w:rPr>
          <w:rFonts w:hint="default" w:ascii="Times New Roman" w:hAnsi="Times New Roman" w:eastAsia="宋体" w:cs="Times New Roman"/>
          <w:color w:val="auto"/>
          <w:highlight w:val="none"/>
          <w:lang w:eastAsia="zh-CN"/>
        </w:rPr>
        <w:t>25）</w:t>
      </w:r>
    </w:p>
    <w:p w14:paraId="083E4F31">
      <w:pPr>
        <w:pStyle w:val="88"/>
        <w:spacing w:line="360" w:lineRule="auto"/>
        <w:ind w:firstLine="480" w:firstLineChars="20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（14）</w:t>
      </w:r>
      <w:r>
        <w:rPr>
          <w:rFonts w:hint="default" w:ascii="Times New Roman" w:hAnsi="Times New Roman" w:eastAsia="宋体" w:cs="Times New Roman"/>
          <w:color w:val="FF0000"/>
          <w:highlight w:val="none"/>
          <w:lang w:val="en-US" w:eastAsia="zh-CN"/>
        </w:rPr>
        <w:t>《黑龙江省固体废物污染环境防治条例》</w:t>
      </w:r>
      <w:r>
        <w:rPr>
          <w:rFonts w:hint="eastAsia" w:ascii="Times New Roman" w:cs="Times New Roman"/>
          <w:color w:val="FF0000"/>
          <w:highlight w:val="none"/>
          <w:lang w:val="en-US" w:eastAsia="zh-CN"/>
        </w:rPr>
        <w:t>（2025.1.1）</w:t>
      </w:r>
      <w:r>
        <w:rPr>
          <w:rFonts w:hint="default" w:ascii="Times New Roman" w:hAnsi="Times New Roman" w:eastAsia="宋体" w:cs="Times New Roman"/>
          <w:color w:val="FF0000"/>
          <w:highlight w:val="none"/>
          <w:lang w:eastAsia="zh-CN"/>
        </w:rPr>
        <w:t>；</w:t>
      </w:r>
    </w:p>
    <w:p w14:paraId="45FBD9DA">
      <w:pPr>
        <w:pStyle w:val="88"/>
        <w:spacing w:line="360" w:lineRule="auto"/>
        <w:ind w:firstLine="480" w:firstLineChars="20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（15）《黑龙江省生态功能区划》（黑政函〔2006〕75号）；</w:t>
      </w:r>
    </w:p>
    <w:p w14:paraId="6806C516">
      <w:pPr>
        <w:pStyle w:val="88"/>
        <w:spacing w:line="360" w:lineRule="auto"/>
        <w:ind w:firstLine="480" w:firstLineChars="20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（1</w:t>
      </w:r>
      <w:r>
        <w:rPr>
          <w:rFonts w:hint="eastAsia" w:ascii="Times New Roman" w:cs="Times New Roman"/>
          <w:color w:val="auto"/>
          <w:highlight w:val="none"/>
          <w:lang w:val="en-US" w:eastAsia="zh-CN"/>
        </w:rPr>
        <w:t>6</w:t>
      </w:r>
      <w:r>
        <w:rPr>
          <w:rFonts w:hint="default" w:ascii="Times New Roman" w:hAnsi="Times New Roman" w:eastAsia="宋体" w:cs="Times New Roman"/>
          <w:color w:val="auto"/>
          <w:highlight w:val="none"/>
          <w:lang w:eastAsia="zh-CN"/>
        </w:rPr>
        <w:t>）《国家危险废物名录（</w:t>
      </w:r>
      <w:r>
        <w:rPr>
          <w:rFonts w:hint="default" w:ascii="Times New Roman" w:hAnsi="Times New Roman" w:eastAsia="宋体" w:cs="Times New Roman"/>
          <w:color w:val="auto"/>
          <w:highlight w:val="none"/>
          <w:lang w:val="en-US" w:eastAsia="zh-CN"/>
        </w:rPr>
        <w:t>2025年版</w:t>
      </w:r>
      <w:r>
        <w:rPr>
          <w:rFonts w:hint="default" w:ascii="Times New Roman" w:hAnsi="Times New Roman" w:eastAsia="宋体" w:cs="Times New Roman"/>
          <w:color w:val="auto"/>
          <w:highlight w:val="none"/>
          <w:lang w:eastAsia="zh-CN"/>
        </w:rPr>
        <w:t>）》（部令 第</w:t>
      </w:r>
      <w:r>
        <w:rPr>
          <w:rFonts w:hint="eastAsia" w:ascii="Times New Roman" w:cs="Times New Roman"/>
          <w:color w:val="auto"/>
          <w:highlight w:val="none"/>
          <w:lang w:val="en-US" w:eastAsia="zh-CN"/>
        </w:rPr>
        <w:t>36</w:t>
      </w:r>
      <w:r>
        <w:rPr>
          <w:rFonts w:hint="default" w:ascii="Times New Roman" w:hAnsi="Times New Roman" w:eastAsia="宋体" w:cs="Times New Roman"/>
          <w:color w:val="auto"/>
          <w:highlight w:val="none"/>
          <w:lang w:eastAsia="zh-CN"/>
        </w:rPr>
        <w:t>号）；</w:t>
      </w:r>
    </w:p>
    <w:p w14:paraId="2C401145">
      <w:pPr>
        <w:pStyle w:val="88"/>
        <w:spacing w:line="360" w:lineRule="auto"/>
        <w:ind w:firstLine="480" w:firstLineChars="20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（1</w:t>
      </w:r>
      <w:r>
        <w:rPr>
          <w:rFonts w:hint="eastAsia" w:ascii="Times New Roman" w:cs="Times New Roman"/>
          <w:color w:val="auto"/>
          <w:highlight w:val="none"/>
          <w:lang w:val="en-US" w:eastAsia="zh-CN"/>
        </w:rPr>
        <w:t>7</w:t>
      </w:r>
      <w:r>
        <w:rPr>
          <w:rFonts w:hint="default" w:ascii="Times New Roman" w:hAnsi="Times New Roman" w:eastAsia="宋体" w:cs="Times New Roman"/>
          <w:color w:val="auto"/>
          <w:highlight w:val="none"/>
          <w:lang w:eastAsia="zh-CN"/>
        </w:rPr>
        <w:t>）《环境影响评价公众参与办法》（生态环境部令 第4号）；</w:t>
      </w:r>
    </w:p>
    <w:p w14:paraId="0D166B1A">
      <w:pPr>
        <w:pStyle w:val="88"/>
        <w:spacing w:line="360" w:lineRule="auto"/>
        <w:ind w:firstLine="480" w:firstLineChars="200"/>
        <w:rPr>
          <w:rFonts w:hint="default" w:ascii="Times New Roman" w:hAnsi="Times New Roman" w:eastAsia="宋体" w:cs="Times New Roman"/>
          <w:color w:val="auto"/>
          <w:highlight w:val="none"/>
          <w:lang w:eastAsia="zh-CN"/>
        </w:rPr>
      </w:pPr>
      <w:r>
        <w:rPr>
          <w:rFonts w:hint="eastAsia" w:ascii="Times New Roman" w:cs="Times New Roman"/>
          <w:color w:val="auto"/>
          <w:highlight w:val="none"/>
          <w:lang w:eastAsia="zh-CN"/>
        </w:rPr>
        <w:t>（</w:t>
      </w:r>
      <w:r>
        <w:rPr>
          <w:rFonts w:hint="eastAsia" w:ascii="Times New Roman" w:cs="Times New Roman"/>
          <w:color w:val="auto"/>
          <w:highlight w:val="none"/>
          <w:lang w:val="en-US" w:eastAsia="zh-CN"/>
        </w:rPr>
        <w:t>18</w:t>
      </w:r>
      <w:r>
        <w:rPr>
          <w:rFonts w:hint="eastAsia" w:ascii="Times New Roman" w:cs="Times New Roman"/>
          <w:color w:val="auto"/>
          <w:highlight w:val="none"/>
          <w:lang w:eastAsia="zh-CN"/>
        </w:rPr>
        <w:t>）</w:t>
      </w:r>
      <w:r>
        <w:rPr>
          <w:rFonts w:hint="default" w:ascii="Times New Roman" w:hAnsi="Times New Roman" w:eastAsia="宋体" w:cs="Times New Roman"/>
          <w:color w:val="auto"/>
          <w:kern w:val="2"/>
          <w:sz w:val="24"/>
          <w:szCs w:val="24"/>
          <w:highlight w:val="none"/>
          <w:lang w:bidi="ar"/>
        </w:rPr>
        <w:t>《关于全面加强生态环境保护坚决打好污染防治攻坚战的实施方案》的通知</w:t>
      </w:r>
      <w:r>
        <w:rPr>
          <w:rFonts w:hint="default" w:ascii="Times New Roman" w:hAnsi="Times New Roman" w:eastAsia="宋体" w:cs="Times New Roman"/>
          <w:color w:val="auto"/>
          <w:kern w:val="2"/>
          <w:sz w:val="24"/>
          <w:szCs w:val="24"/>
          <w:highlight w:val="none"/>
          <w:lang w:eastAsia="zh-CN" w:bidi="ar"/>
        </w:rPr>
        <w:t>（</w:t>
      </w:r>
      <w:r>
        <w:rPr>
          <w:rFonts w:hint="default" w:ascii="Times New Roman" w:hAnsi="Times New Roman" w:eastAsia="宋体" w:cs="Times New Roman"/>
          <w:color w:val="auto"/>
          <w:kern w:val="2"/>
          <w:sz w:val="24"/>
          <w:szCs w:val="24"/>
          <w:highlight w:val="none"/>
          <w:lang w:val="en-US" w:eastAsia="zh-CN" w:bidi="ar"/>
        </w:rPr>
        <w:t>2019年5月23日</w:t>
      </w:r>
      <w:r>
        <w:rPr>
          <w:rFonts w:hint="default" w:ascii="Times New Roman" w:hAnsi="Times New Roman" w:eastAsia="宋体" w:cs="Times New Roman"/>
          <w:color w:val="auto"/>
          <w:kern w:val="2"/>
          <w:sz w:val="24"/>
          <w:szCs w:val="24"/>
          <w:highlight w:val="none"/>
          <w:lang w:eastAsia="zh-CN" w:bidi="ar"/>
        </w:rPr>
        <w:t>）；</w:t>
      </w:r>
    </w:p>
    <w:p w14:paraId="456F7C50">
      <w:pPr>
        <w:pStyle w:val="88"/>
        <w:spacing w:line="360" w:lineRule="auto"/>
        <w:ind w:firstLine="480" w:firstLineChars="20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w:t>
      </w:r>
      <w:r>
        <w:rPr>
          <w:rFonts w:hint="eastAsia" w:ascii="Times New Roman" w:cs="Times New Roman"/>
          <w:color w:val="auto"/>
          <w:highlight w:val="none"/>
          <w:lang w:val="en-US" w:eastAsia="zh-CN"/>
        </w:rPr>
        <w:t>19</w:t>
      </w:r>
      <w:r>
        <w:rPr>
          <w:rFonts w:hint="default" w:ascii="Times New Roman" w:hAnsi="Times New Roman" w:eastAsia="宋体" w:cs="Times New Roman"/>
          <w:color w:val="auto"/>
          <w:highlight w:val="none"/>
          <w:lang w:eastAsia="zh-CN"/>
        </w:rPr>
        <w:t>）《黑龙江省水污染防治条例》（2023年12月1日施行）；</w:t>
      </w:r>
    </w:p>
    <w:p w14:paraId="6C850A2A">
      <w:pPr>
        <w:pStyle w:val="88"/>
        <w:spacing w:line="360" w:lineRule="auto"/>
        <w:ind w:firstLine="480" w:firstLineChars="20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w:t>
      </w:r>
      <w:r>
        <w:rPr>
          <w:rFonts w:hint="eastAsia" w:ascii="Times New Roman" w:cs="Times New Roman"/>
          <w:color w:val="auto"/>
          <w:highlight w:val="none"/>
          <w:lang w:val="en-US" w:eastAsia="zh-CN"/>
        </w:rPr>
        <w:t>0</w:t>
      </w:r>
      <w:r>
        <w:rPr>
          <w:rFonts w:hint="default" w:ascii="Times New Roman" w:hAnsi="Times New Roman" w:eastAsia="宋体" w:cs="Times New Roman"/>
          <w:color w:val="auto"/>
          <w:highlight w:val="none"/>
          <w:lang w:eastAsia="zh-CN"/>
        </w:rPr>
        <w:t>）《黑龙江省城市供热条例》（2021年10月29日</w:t>
      </w:r>
      <w:r>
        <w:rPr>
          <w:rFonts w:hint="default" w:ascii="Times New Roman" w:hAnsi="Times New Roman" w:eastAsia="宋体" w:cs="Times New Roman"/>
          <w:color w:val="auto"/>
          <w:highlight w:val="none"/>
          <w:lang w:val="en-US" w:eastAsia="zh-CN"/>
        </w:rPr>
        <w:t>修订</w:t>
      </w:r>
      <w:r>
        <w:rPr>
          <w:rFonts w:hint="default" w:ascii="Times New Roman" w:hAnsi="Times New Roman" w:eastAsia="宋体" w:cs="Times New Roman"/>
          <w:color w:val="auto"/>
          <w:highlight w:val="none"/>
          <w:lang w:eastAsia="zh-CN"/>
        </w:rPr>
        <w:t>）；</w:t>
      </w:r>
    </w:p>
    <w:p w14:paraId="08855F20">
      <w:pPr>
        <w:pStyle w:val="88"/>
        <w:spacing w:line="360" w:lineRule="auto"/>
        <w:ind w:firstLine="480" w:firstLineChars="200"/>
        <w:rPr>
          <w:rFonts w:hint="eastAsia" w:ascii="Times New Roman" w:cs="Times New Roman"/>
          <w:color w:val="auto"/>
          <w:highlight w:val="none"/>
          <w:lang w:val="en-US" w:eastAsia="zh-CN"/>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w:t>
      </w:r>
      <w:r>
        <w:rPr>
          <w:rFonts w:hint="eastAsia" w:ascii="Times New Roman" w:cs="Times New Roman"/>
          <w:color w:val="auto"/>
          <w:highlight w:val="none"/>
          <w:lang w:val="en-US" w:eastAsia="zh-CN"/>
        </w:rPr>
        <w:t>1）</w:t>
      </w:r>
      <w:r>
        <w:rPr>
          <w:rFonts w:hint="default" w:ascii="Times New Roman" w:hAnsi="Times New Roman" w:eastAsia="宋体" w:cs="Times New Roman"/>
          <w:color w:val="auto"/>
          <w:highlight w:val="none"/>
          <w:lang w:eastAsia="zh-CN"/>
        </w:rPr>
        <w:t>《黑龙江省人民政府关于印发</w:t>
      </w:r>
      <w:r>
        <w:rPr>
          <w:rFonts w:hint="eastAsia" w:ascii="Times New Roman" w:cs="Times New Roman"/>
          <w:color w:val="auto"/>
          <w:highlight w:val="none"/>
          <w:lang w:eastAsia="zh-CN"/>
        </w:rPr>
        <w:t>〈</w:t>
      </w:r>
      <w:r>
        <w:rPr>
          <w:rFonts w:hint="default" w:ascii="Times New Roman" w:hAnsi="Times New Roman" w:eastAsia="宋体" w:cs="Times New Roman"/>
          <w:color w:val="auto"/>
          <w:highlight w:val="none"/>
          <w:lang w:eastAsia="zh-CN"/>
        </w:rPr>
        <w:t>黑龙江省空气质量持续改善行动计划实施方案</w:t>
      </w:r>
      <w:r>
        <w:rPr>
          <w:rFonts w:hint="eastAsia" w:ascii="Times New Roman" w:cs="Times New Roman"/>
          <w:color w:val="auto"/>
          <w:highlight w:val="none"/>
          <w:lang w:eastAsia="zh-CN"/>
        </w:rPr>
        <w:t>〉的通知》</w:t>
      </w:r>
      <w:r>
        <w:rPr>
          <w:rFonts w:hint="default" w:ascii="Times New Roman" w:hAnsi="Times New Roman" w:eastAsia="宋体" w:cs="Times New Roman"/>
          <w:color w:val="auto"/>
          <w:highlight w:val="none"/>
          <w:lang w:eastAsia="zh-CN"/>
        </w:rPr>
        <w:t>（黑政发〔2023〕19号）</w:t>
      </w:r>
    </w:p>
    <w:p w14:paraId="10214CF4">
      <w:pPr>
        <w:pStyle w:val="88"/>
        <w:spacing w:line="360" w:lineRule="auto"/>
        <w:ind w:firstLine="480" w:firstLineChars="20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w:t>
      </w:r>
      <w:r>
        <w:rPr>
          <w:rFonts w:hint="eastAsia" w:ascii="Times New Roman" w:cs="Times New Roman"/>
          <w:color w:val="auto"/>
          <w:highlight w:val="none"/>
          <w:lang w:val="en-US" w:eastAsia="zh-CN"/>
        </w:rPr>
        <w:t>2</w:t>
      </w:r>
      <w:r>
        <w:rPr>
          <w:rFonts w:hint="default"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佳木斯</w:t>
      </w:r>
      <w:r>
        <w:rPr>
          <w:rFonts w:hint="eastAsia" w:ascii="Times New Roman" w:hAnsi="Times New Roman" w:eastAsia="宋体" w:cs="Times New Roman"/>
          <w:color w:val="auto"/>
          <w:highlight w:val="none"/>
          <w:lang w:eastAsia="zh-CN"/>
        </w:rPr>
        <w:t>市“十四五”生态环境保护规划》</w:t>
      </w:r>
    </w:p>
    <w:p w14:paraId="0A4CC299">
      <w:pPr>
        <w:pStyle w:val="88"/>
        <w:spacing w:line="360" w:lineRule="auto"/>
        <w:ind w:firstLine="480" w:firstLineChars="20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w:t>
      </w:r>
      <w:r>
        <w:rPr>
          <w:rFonts w:hint="eastAsia" w:ascii="Times New Roman" w:cs="Times New Roman"/>
          <w:color w:val="auto"/>
          <w:highlight w:val="none"/>
          <w:lang w:val="en-US" w:eastAsia="zh-CN"/>
        </w:rPr>
        <w:t>3</w:t>
      </w:r>
      <w:r>
        <w:rPr>
          <w:rFonts w:hint="default"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佳木斯</w:t>
      </w:r>
      <w:r>
        <w:rPr>
          <w:rFonts w:hint="eastAsia" w:ascii="Times New Roman" w:hAnsi="Times New Roman" w:eastAsia="宋体" w:cs="Times New Roman"/>
          <w:color w:val="auto"/>
          <w:highlight w:val="none"/>
          <w:lang w:eastAsia="zh-CN"/>
        </w:rPr>
        <w:t>市人民政府关于印发</w:t>
      </w:r>
      <w:r>
        <w:rPr>
          <w:rFonts w:hint="eastAsia" w:ascii="Times New Roman" w:cs="Times New Roman"/>
          <w:color w:val="auto"/>
          <w:highlight w:val="none"/>
          <w:lang w:eastAsia="zh-CN"/>
        </w:rPr>
        <w:t>〈</w:t>
      </w:r>
      <w:r>
        <w:rPr>
          <w:rFonts w:hint="eastAsia" w:ascii="Times New Roman" w:hAnsi="Times New Roman" w:eastAsia="宋体" w:cs="Times New Roman"/>
          <w:color w:val="auto"/>
          <w:highlight w:val="none"/>
          <w:lang w:val="en-US" w:eastAsia="zh-CN"/>
        </w:rPr>
        <w:t>关于佳木斯</w:t>
      </w:r>
      <w:r>
        <w:rPr>
          <w:rFonts w:hint="eastAsia" w:ascii="Times New Roman" w:hAnsi="Times New Roman" w:eastAsia="宋体" w:cs="Times New Roman"/>
          <w:color w:val="auto"/>
          <w:highlight w:val="none"/>
          <w:lang w:eastAsia="zh-CN"/>
        </w:rPr>
        <w:t>市空气质量持续改善行动计划实施方案</w:t>
      </w:r>
      <w:r>
        <w:rPr>
          <w:rFonts w:hint="eastAsia" w:ascii="Times New Roman" w:cs="Times New Roman"/>
          <w:color w:val="auto"/>
          <w:highlight w:val="none"/>
          <w:lang w:eastAsia="zh-CN"/>
        </w:rPr>
        <w:t>〉的通知》</w:t>
      </w:r>
      <w:r>
        <w:rPr>
          <w:rFonts w:hint="eastAsia" w:ascii="Times New Roman" w:hAnsi="Times New Roman" w:eastAsia="宋体" w:cs="Times New Roman"/>
          <w:color w:val="auto"/>
          <w:highlight w:val="none"/>
          <w:lang w:val="en-US" w:eastAsia="zh-CN"/>
        </w:rPr>
        <w:t>佳政发</w:t>
      </w:r>
      <w:r>
        <w:rPr>
          <w:rFonts w:hint="default" w:ascii="Times New Roman" w:hAnsi="Times New Roman" w:eastAsia="宋体" w:cs="Times New Roman"/>
          <w:color w:val="auto"/>
          <w:highlight w:val="none"/>
          <w:lang w:eastAsia="zh-CN"/>
        </w:rPr>
        <w:t>〔202</w:t>
      </w:r>
      <w:r>
        <w:rPr>
          <w:rFonts w:hint="eastAsia"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4号</w:t>
      </w:r>
    </w:p>
    <w:p w14:paraId="0F4F53A1">
      <w:pPr>
        <w:numPr>
          <w:ilvl w:val="0"/>
          <w:numId w:val="0"/>
        </w:numPr>
        <w:ind w:firstLine="480" w:firstLineChars="20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24</w:t>
      </w:r>
      <w:r>
        <w:rPr>
          <w:rFonts w:hint="eastAsia" w:ascii="Times New Roman" w:hAnsi="Times New Roman" w:eastAsia="宋体" w:cs="Times New Roman"/>
          <w:color w:val="auto"/>
          <w:highlight w:val="none"/>
          <w:lang w:eastAsia="zh-CN"/>
        </w:rPr>
        <w:t>）《污染影响类建设项目重大变动清单（试行）》（环办环评函〔</w:t>
      </w:r>
      <w:r>
        <w:rPr>
          <w:rFonts w:hint="default" w:ascii="Times New Roman" w:hAnsi="Times New Roman" w:eastAsia="宋体" w:cs="Times New Roman"/>
          <w:color w:val="auto"/>
          <w:highlight w:val="none"/>
          <w:lang w:eastAsia="zh-CN"/>
        </w:rPr>
        <w:t>2020</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eastAsia="zh-CN"/>
        </w:rPr>
        <w:t>688</w:t>
      </w:r>
      <w:r>
        <w:rPr>
          <w:rFonts w:hint="eastAsia" w:ascii="Times New Roman" w:hAnsi="Times New Roman" w:eastAsia="宋体" w:cs="Times New Roman"/>
          <w:color w:val="auto"/>
          <w:highlight w:val="none"/>
          <w:lang w:eastAsia="zh-CN"/>
        </w:rPr>
        <w:t>号）</w:t>
      </w:r>
    </w:p>
    <w:p w14:paraId="57D50E5E">
      <w:pPr>
        <w:numPr>
          <w:ilvl w:val="0"/>
          <w:numId w:val="0"/>
        </w:numPr>
        <w:ind w:firstLine="480" w:firstLineChars="20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25</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《关于印发环评管理中部分行业建设项目重大变动清单的通知》（环办〔2015〕52号）</w:t>
      </w:r>
    </w:p>
    <w:p w14:paraId="24A38D71">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82" w:name="_Toc12884"/>
      <w:bookmarkStart w:id="83" w:name="_Toc16612"/>
      <w:bookmarkStart w:id="84" w:name="_Toc14634"/>
      <w:bookmarkStart w:id="85" w:name="_Toc7008"/>
      <w:r>
        <w:rPr>
          <w:rFonts w:hint="default" w:ascii="Times New Roman" w:hAnsi="Times New Roman" w:eastAsia="宋体" w:cs="Times New Roman"/>
          <w:color w:val="auto"/>
          <w:highlight w:val="none"/>
        </w:rPr>
        <w:t>有关标准技术规范</w:t>
      </w:r>
      <w:bookmarkEnd w:id="82"/>
      <w:bookmarkEnd w:id="83"/>
      <w:bookmarkEnd w:id="84"/>
    </w:p>
    <w:p w14:paraId="6948BBF9">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（1）《建设项目环境影响评价技术导则 总纲》（HJ2.1-2016）；</w:t>
      </w:r>
    </w:p>
    <w:p w14:paraId="316F56D2">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（2）《环境影响评价技术导则 大气环境》（HJ2.2-2018）；</w:t>
      </w:r>
    </w:p>
    <w:p w14:paraId="53FFC5FD">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（3）《环境影响评价技术导则 地表水环境》（HJ2.3-2018）；</w:t>
      </w:r>
    </w:p>
    <w:p w14:paraId="1CEA38A0">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（4）《环境影响评价技术导则 地下水环境》</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HJ610-2016</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w:t>
      </w:r>
    </w:p>
    <w:p w14:paraId="691438D0">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（5）《环境影响评价技术导则 声环境》（HJ2.4-2021）；</w:t>
      </w:r>
    </w:p>
    <w:p w14:paraId="2DE9A53F">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（6）《环境影响评价技术导则 生态影响》（HJ19-2022）；</w:t>
      </w:r>
    </w:p>
    <w:p w14:paraId="08A61217">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（7）《建设项目环境风险评价技术导则》（HJ169-2018）；</w:t>
      </w:r>
    </w:p>
    <w:p w14:paraId="542317FD">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（8）《环境影响评价技术导则 土壤环境（试行）》（HJ964-2018）；</w:t>
      </w:r>
    </w:p>
    <w:p w14:paraId="4C15942D">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（9）《排污单位自行监测技术指南 总则》（HJ819-2017）；</w:t>
      </w:r>
    </w:p>
    <w:p w14:paraId="3B96F8D9">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（10）《排污单位自行监测技术指南 火力发电及锅炉》（HJ820-2017）；</w:t>
      </w:r>
    </w:p>
    <w:p w14:paraId="4F630A02">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（11）《排污许可证申请与核发技术规范 锅炉》（HJ953-2018）；</w:t>
      </w:r>
    </w:p>
    <w:p w14:paraId="5B331FC3">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（12）《污染源源强核算技术指南 准则》（HJ884-2018）；</w:t>
      </w:r>
    </w:p>
    <w:p w14:paraId="3F42A716">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（13）《污染源源强核算技术指南 锅炉》（HJ991-2018）；</w:t>
      </w:r>
    </w:p>
    <w:p w14:paraId="16459687">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（14）《给排水构筑物工程施工及验收规范》</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GB50141-2008</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w:t>
      </w:r>
    </w:p>
    <w:p w14:paraId="768A32FC">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（15）《地下水环境监测技术规范》</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HJ164-2020</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w:t>
      </w:r>
    </w:p>
    <w:p w14:paraId="1FD71BCB">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（16）《关于发布</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建设项目危险废物环境影响评价指南</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的公告》（环境保护部公告2017年第43号）</w:t>
      </w:r>
      <w:r>
        <w:rPr>
          <w:rFonts w:hint="default" w:ascii="Times New Roman" w:hAnsi="Times New Roman" w:eastAsia="宋体" w:cs="Times New Roman"/>
          <w:color w:val="auto"/>
          <w:highlight w:val="none"/>
          <w:lang w:eastAsia="zh-CN"/>
        </w:rPr>
        <w:t>；</w:t>
      </w:r>
    </w:p>
    <w:p w14:paraId="5E4A2E9F">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17</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工业锅炉污染防治可行技术指南</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HJ1178-2021</w:t>
      </w:r>
      <w:r>
        <w:rPr>
          <w:rFonts w:hint="default" w:ascii="Times New Roman" w:hAnsi="Times New Roman" w:eastAsia="宋体" w:cs="Times New Roman"/>
          <w:color w:val="auto"/>
          <w:highlight w:val="none"/>
          <w:lang w:eastAsia="zh-CN"/>
        </w:rPr>
        <w:t>）。</w:t>
      </w:r>
    </w:p>
    <w:p w14:paraId="7DB4443F">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default"/>
          <w:color w:val="auto"/>
          <w:highlight w:val="none"/>
          <w:lang w:val="en-US"/>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1</w:t>
      </w:r>
      <w:r>
        <w:rPr>
          <w:rFonts w:hint="eastAsia" w:ascii="Times New Roman" w:hAnsi="Times New Roman" w:eastAsia="宋体" w:cs="Times New Roman"/>
          <w:color w:val="auto"/>
          <w:highlight w:val="none"/>
          <w:lang w:val="en-US" w:eastAsia="zh-CN"/>
        </w:rPr>
        <w:t>8</w:t>
      </w:r>
      <w:r>
        <w:rPr>
          <w:rFonts w:hint="default" w:ascii="Times New Roman" w:hAnsi="Times New Roman" w:eastAsia="宋体" w:cs="Times New Roman"/>
          <w:color w:val="auto"/>
          <w:highlight w:val="none"/>
          <w:lang w:eastAsia="zh-CN"/>
        </w:rPr>
        <w:t>）《工业锅炉烟气治理工程技术规范》（HJ 462—2021）。</w:t>
      </w:r>
    </w:p>
    <w:p w14:paraId="2D3AAAF8">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86" w:name="_Toc20409"/>
      <w:bookmarkStart w:id="87" w:name="_Toc29146"/>
      <w:bookmarkStart w:id="88" w:name="_Toc20366"/>
      <w:r>
        <w:rPr>
          <w:rFonts w:hint="default" w:ascii="Times New Roman" w:hAnsi="Times New Roman" w:eastAsia="宋体" w:cs="Times New Roman"/>
          <w:color w:val="auto"/>
          <w:highlight w:val="none"/>
        </w:rPr>
        <w:t>其他技术资料</w:t>
      </w:r>
      <w:bookmarkEnd w:id="80"/>
      <w:bookmarkEnd w:id="81"/>
      <w:bookmarkEnd w:id="85"/>
      <w:bookmarkEnd w:id="86"/>
      <w:bookmarkEnd w:id="87"/>
      <w:bookmarkEnd w:id="88"/>
    </w:p>
    <w:p w14:paraId="04FEF19D">
      <w:pPr>
        <w:pStyle w:val="88"/>
        <w:numPr>
          <w:ilvl w:val="0"/>
          <w:numId w:val="8"/>
        </w:numPr>
        <w:spacing w:line="360" w:lineRule="auto"/>
        <w:ind w:firstLine="480" w:firstLineChars="20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《佳木斯中恒热电有限公司 新建、扩建锅炉房工程</w:t>
      </w:r>
      <w:r>
        <w:rPr>
          <w:rFonts w:hint="eastAsia" w:ascii="Times New Roman" w:cs="Times New Roman"/>
          <w:color w:val="auto"/>
          <w:highlight w:val="none"/>
          <w:lang w:val="en-US" w:eastAsia="zh-CN"/>
        </w:rPr>
        <w:t>环境影响报告书</w:t>
      </w:r>
      <w:r>
        <w:rPr>
          <w:rFonts w:hint="default" w:ascii="Times New Roman" w:hAnsi="Times New Roman" w:eastAsia="宋体" w:cs="Times New Roman"/>
          <w:color w:val="auto"/>
          <w:highlight w:val="none"/>
          <w:lang w:eastAsia="zh-CN"/>
        </w:rPr>
        <w:t>》</w:t>
      </w:r>
      <w:r>
        <w:rPr>
          <w:rFonts w:hint="eastAsia" w:ascii="Times New Roman" w:cs="Times New Roman"/>
          <w:color w:val="auto"/>
          <w:highlight w:val="none"/>
          <w:lang w:val="en-US" w:eastAsia="zh-CN"/>
        </w:rPr>
        <w:t>及其批复（佳环建审〔2014〕30号）</w:t>
      </w:r>
      <w:r>
        <w:rPr>
          <w:rFonts w:hint="default" w:ascii="Times New Roman" w:hAnsi="Times New Roman" w:eastAsia="宋体" w:cs="Times New Roman"/>
          <w:color w:val="auto"/>
          <w:highlight w:val="none"/>
          <w:lang w:eastAsia="zh-CN"/>
        </w:rPr>
        <w:t>；</w:t>
      </w:r>
    </w:p>
    <w:p w14:paraId="494B24B7">
      <w:pPr>
        <w:pStyle w:val="88"/>
        <w:numPr>
          <w:ilvl w:val="0"/>
          <w:numId w:val="8"/>
        </w:numPr>
        <w:spacing w:line="360" w:lineRule="auto"/>
        <w:ind w:firstLine="480" w:firstLineChars="20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《佳木斯中恒热电有限公司 新建、扩建锅炉房工程竣工环境保护验收》</w:t>
      </w:r>
      <w:r>
        <w:rPr>
          <w:rFonts w:hint="eastAsia" w:ascii="Times New Roman" w:cs="Times New Roman"/>
          <w:color w:val="auto"/>
          <w:highlight w:val="none"/>
          <w:lang w:val="en-US" w:eastAsia="zh-CN"/>
        </w:rPr>
        <w:t>及专家意见</w:t>
      </w:r>
      <w:r>
        <w:rPr>
          <w:rFonts w:hint="default" w:ascii="Times New Roman" w:hAnsi="Times New Roman" w:eastAsia="宋体" w:cs="Times New Roman"/>
          <w:color w:val="auto"/>
          <w:highlight w:val="none"/>
          <w:lang w:eastAsia="zh-CN"/>
        </w:rPr>
        <w:t>；</w:t>
      </w:r>
    </w:p>
    <w:p w14:paraId="5D399232">
      <w:pPr>
        <w:pStyle w:val="88"/>
        <w:numPr>
          <w:ilvl w:val="0"/>
          <w:numId w:val="8"/>
        </w:numPr>
        <w:spacing w:line="360" w:lineRule="auto"/>
        <w:ind w:firstLine="480" w:firstLineChars="200"/>
        <w:rPr>
          <w:rFonts w:hint="default" w:ascii="Times New Roman" w:hAnsi="Times New Roman" w:eastAsia="宋体" w:cs="Times New Roman"/>
          <w:color w:val="auto"/>
          <w:highlight w:val="none"/>
        </w:rPr>
      </w:pPr>
      <w:r>
        <w:rPr>
          <w:rFonts w:hint="eastAsia" w:ascii="Times New Roman" w:cs="Times New Roman"/>
          <w:color w:val="auto"/>
          <w:highlight w:val="none"/>
          <w:lang w:eastAsia="zh-CN"/>
        </w:rPr>
        <w:t>佳木斯中恒热电有限公司</w:t>
      </w:r>
      <w:r>
        <w:rPr>
          <w:rFonts w:hint="default" w:ascii="Times New Roman" w:hAnsi="Times New Roman" w:eastAsia="宋体" w:cs="Times New Roman"/>
          <w:color w:val="auto"/>
          <w:highlight w:val="none"/>
        </w:rPr>
        <w:t>提供</w:t>
      </w:r>
      <w:r>
        <w:rPr>
          <w:rFonts w:hint="eastAsia" w:ascii="Times New Roman" w:cs="Times New Roman"/>
          <w:color w:val="auto"/>
          <w:highlight w:val="none"/>
          <w:lang w:eastAsia="zh-CN"/>
        </w:rPr>
        <w:t>的</w:t>
      </w:r>
      <w:r>
        <w:rPr>
          <w:rFonts w:hint="default" w:ascii="Times New Roman" w:hAnsi="Times New Roman" w:eastAsia="宋体" w:cs="Times New Roman"/>
          <w:color w:val="auto"/>
          <w:highlight w:val="none"/>
        </w:rPr>
        <w:t>其他资料</w:t>
      </w:r>
      <w:r>
        <w:rPr>
          <w:rFonts w:hint="eastAsia" w:ascii="Times New Roman" w:cs="Times New Roman"/>
          <w:color w:val="auto"/>
          <w:highlight w:val="none"/>
          <w:lang w:eastAsia="zh-CN"/>
        </w:rPr>
        <w:t>。</w:t>
      </w:r>
    </w:p>
    <w:p w14:paraId="4F381B24">
      <w:pPr>
        <w:pStyle w:val="4"/>
        <w:numPr>
          <w:ilvl w:val="1"/>
          <w:numId w:val="3"/>
        </w:numPr>
        <w:ind w:left="567" w:leftChars="0" w:hanging="567" w:firstLineChars="0"/>
        <w:rPr>
          <w:rFonts w:hint="default" w:ascii="Times New Roman" w:hAnsi="Times New Roman" w:eastAsia="宋体" w:cs="Times New Roman"/>
          <w:b/>
          <w:bCs/>
          <w:color w:val="auto"/>
          <w:highlight w:val="none"/>
        </w:rPr>
      </w:pPr>
      <w:bookmarkStart w:id="89" w:name="_Toc1290"/>
      <w:bookmarkStart w:id="90" w:name="_Toc25523"/>
      <w:r>
        <w:rPr>
          <w:rFonts w:hint="default" w:ascii="Times New Roman" w:hAnsi="Times New Roman" w:eastAsia="宋体" w:cs="Times New Roman"/>
          <w:b/>
          <w:bCs/>
          <w:color w:val="auto"/>
          <w:highlight w:val="none"/>
        </w:rPr>
        <w:t>评价目的与原则</w:t>
      </w:r>
      <w:bookmarkEnd w:id="89"/>
      <w:bookmarkEnd w:id="90"/>
    </w:p>
    <w:p w14:paraId="0F3724E6">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91" w:name="_Toc107238087"/>
      <w:bookmarkStart w:id="92" w:name="_Toc23736"/>
      <w:bookmarkStart w:id="93" w:name="_Toc9352"/>
      <w:bookmarkStart w:id="94" w:name="_Toc105659870"/>
      <w:bookmarkStart w:id="95" w:name="_Toc27778"/>
      <w:bookmarkStart w:id="96" w:name="_Toc2030"/>
      <w:r>
        <w:rPr>
          <w:rFonts w:hint="default" w:ascii="Times New Roman" w:hAnsi="Times New Roman" w:eastAsia="宋体" w:cs="Times New Roman"/>
          <w:color w:val="auto"/>
          <w:highlight w:val="none"/>
        </w:rPr>
        <w:t>评价目的</w:t>
      </w:r>
      <w:bookmarkEnd w:id="91"/>
      <w:bookmarkEnd w:id="92"/>
      <w:bookmarkEnd w:id="93"/>
      <w:bookmarkEnd w:id="94"/>
      <w:bookmarkEnd w:id="95"/>
      <w:bookmarkEnd w:id="96"/>
    </w:p>
    <w:p w14:paraId="45EEB121">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评价主要针对工程建设对周围环境的影响，从环境的角度出发，以科学求实的态度，对工程所在地的环境质量现状进行调查和分析。并根据工程附近的环境特点和该地区环境质量的控制目标，对工程建设、营运时可能带来的环境影响进行评价。因此，本次评价目的如下：</w:t>
      </w:r>
    </w:p>
    <w:p w14:paraId="248FBED9">
      <w:pPr>
        <w:ind w:firstLine="48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1.</w:t>
      </w:r>
      <w:r>
        <w:rPr>
          <w:rFonts w:hint="default" w:ascii="Times New Roman" w:hAnsi="Times New Roman" w:eastAsia="宋体" w:cs="Times New Roman"/>
          <w:color w:val="auto"/>
          <w:highlight w:val="none"/>
        </w:rPr>
        <w:t>根据</w:t>
      </w:r>
      <w:r>
        <w:rPr>
          <w:rFonts w:hint="eastAsia" w:ascii="Times New Roman" w:hAnsi="Times New Roman" w:eastAsia="宋体" w:cs="Times New Roman"/>
          <w:color w:val="auto"/>
          <w:highlight w:val="none"/>
          <w:lang w:eastAsia="zh-CN"/>
        </w:rPr>
        <w:t>区域</w:t>
      </w:r>
      <w:r>
        <w:rPr>
          <w:rFonts w:hint="default" w:ascii="Times New Roman" w:hAnsi="Times New Roman" w:eastAsia="宋体" w:cs="Times New Roman"/>
          <w:color w:val="auto"/>
          <w:highlight w:val="none"/>
        </w:rPr>
        <w:t>资源情况，结合国家相关产业政策、环境保护政策，分析论证本项目的环境可行性。</w:t>
      </w:r>
    </w:p>
    <w:p w14:paraId="45625B84">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eastAsia="zh-CN"/>
        </w:rPr>
        <w:t>2.</w:t>
      </w:r>
      <w:r>
        <w:rPr>
          <w:rFonts w:hint="eastAsia" w:ascii="Times New Roman" w:hAnsi="Times New Roman" w:eastAsia="宋体" w:cs="Times New Roman"/>
          <w:color w:val="auto"/>
          <w:highlight w:val="none"/>
          <w:lang w:val="en-US" w:eastAsia="zh-CN"/>
        </w:rPr>
        <w:t>识别现有工程的环境问题，提出以新代老方案</w:t>
      </w:r>
    </w:p>
    <w:p w14:paraId="60531794">
      <w:pPr>
        <w:ind w:firstLine="48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通过对项目所在区域环境质量现状调查、监测及污染源调查，掌握该区域环境质量现状和污染源分布情况。</w:t>
      </w:r>
    </w:p>
    <w:p w14:paraId="40508085">
      <w:pPr>
        <w:ind w:firstLine="48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4</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通过工程分析，分析本项目涉及的工艺流程、产物环节及污染物排放特征，弄清“三废”排放规律、排放去向；核算“三废”产生量、排放量及浓度。</w:t>
      </w:r>
    </w:p>
    <w:p w14:paraId="75FEC8A1">
      <w:pPr>
        <w:ind w:firstLine="48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5</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预测或分析本项目排放的污染物对周围环境噪声的影响程度及范围。</w:t>
      </w:r>
    </w:p>
    <w:p w14:paraId="7DFBD96D">
      <w:pPr>
        <w:ind w:firstLine="48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6</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结合当前技术经济条件，提出技术经济可行的污染防治措施。</w:t>
      </w:r>
    </w:p>
    <w:p w14:paraId="3AAD5066">
      <w:pPr>
        <w:ind w:firstLine="48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7</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确保污染物达标排放、总量控制，将不利影响降至最低程度。</w:t>
      </w:r>
    </w:p>
    <w:p w14:paraId="2A21B418">
      <w:pPr>
        <w:ind w:firstLine="48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8</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提出项目的环境管理与监测计划。</w:t>
      </w:r>
    </w:p>
    <w:p w14:paraId="5D25CBFE">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97" w:name="_Toc17612"/>
      <w:bookmarkStart w:id="98" w:name="_Toc107238088"/>
      <w:bookmarkStart w:id="99" w:name="_Toc105659871"/>
      <w:bookmarkStart w:id="100" w:name="_Toc31640"/>
      <w:bookmarkStart w:id="101" w:name="_Toc28976"/>
      <w:bookmarkStart w:id="102" w:name="_Toc687"/>
      <w:r>
        <w:rPr>
          <w:rFonts w:hint="default" w:ascii="Times New Roman" w:hAnsi="Times New Roman" w:eastAsia="宋体" w:cs="Times New Roman"/>
          <w:color w:val="auto"/>
          <w:highlight w:val="none"/>
        </w:rPr>
        <w:t>评价原则</w:t>
      </w:r>
      <w:bookmarkEnd w:id="97"/>
      <w:bookmarkEnd w:id="98"/>
      <w:bookmarkEnd w:id="99"/>
      <w:bookmarkEnd w:id="100"/>
      <w:bookmarkEnd w:id="101"/>
      <w:bookmarkEnd w:id="102"/>
    </w:p>
    <w:p w14:paraId="72B9D181">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本项目的环境影响评价原则根据评价工作的流程和项目特性，分为以下三个原则，具体情况如下</w:t>
      </w:r>
      <w:r>
        <w:rPr>
          <w:rFonts w:hint="eastAsia" w:ascii="Times New Roman" w:hAnsi="Times New Roman" w:eastAsia="宋体" w:cs="Times New Roman"/>
          <w:color w:val="auto"/>
          <w:highlight w:val="none"/>
          <w:lang w:eastAsia="zh-CN"/>
        </w:rPr>
        <w:t>所示</w:t>
      </w:r>
      <w:r>
        <w:rPr>
          <w:rFonts w:hint="default" w:ascii="Times New Roman" w:hAnsi="Times New Roman" w:eastAsia="宋体" w:cs="Times New Roman"/>
          <w:color w:val="auto"/>
          <w:highlight w:val="none"/>
        </w:rPr>
        <w:t>。</w:t>
      </w:r>
    </w:p>
    <w:p w14:paraId="28287C34">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（1）依法评价。本次环境影响评价贯彻执行了我国环境保护相关法律法规、标准、政策和规划等，优化了项目建设和环境管理。</w:t>
      </w:r>
    </w:p>
    <w:p w14:paraId="5EFEEA2B">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（2）科学评价。本次环境影响评价规范了环境影响评价方法，科学分析了项目建设对环境质量的影响。</w:t>
      </w:r>
    </w:p>
    <w:p w14:paraId="4B6B7A16">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突出重点。本次环境影响评价根据建设项目的工程内容及其特点，明确与环境要素间的作用效应关系，根据规划环境影响评价结论和审查意见，充分利用符合时效的数据资料及成果，对建设项目主要环境影响予以重点分析和评价。</w:t>
      </w:r>
    </w:p>
    <w:p w14:paraId="35491194">
      <w:pPr>
        <w:pStyle w:val="6"/>
        <w:numPr>
          <w:ilvl w:val="2"/>
          <w:numId w:val="3"/>
        </w:numPr>
        <w:bidi w:val="0"/>
        <w:ind w:left="709" w:leftChars="0" w:hanging="709" w:firstLineChars="0"/>
        <w:rPr>
          <w:rFonts w:hint="default" w:ascii="Times New Roman" w:hAnsi="Times New Roman" w:eastAsia="宋体" w:cs="Times New Roman"/>
          <w:color w:val="auto"/>
          <w:highlight w:val="none"/>
        </w:rPr>
      </w:pPr>
      <w:bookmarkStart w:id="103" w:name="_Toc16979"/>
      <w:bookmarkStart w:id="104" w:name="_Toc2912"/>
      <w:bookmarkStart w:id="105" w:name="_Toc3440"/>
      <w:r>
        <w:rPr>
          <w:rFonts w:hint="default" w:ascii="Times New Roman" w:hAnsi="Times New Roman" w:eastAsia="宋体" w:cs="Times New Roman"/>
          <w:color w:val="auto"/>
          <w:highlight w:val="none"/>
        </w:rPr>
        <w:t>评价重点</w:t>
      </w:r>
      <w:bookmarkEnd w:id="103"/>
      <w:bookmarkEnd w:id="104"/>
      <w:bookmarkEnd w:id="105"/>
    </w:p>
    <w:p w14:paraId="32CE2514">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根据项目的排污特点及所在区域的环境特点，在工程分析基础上，重点进行大气</w:t>
      </w:r>
      <w:r>
        <w:rPr>
          <w:rFonts w:hint="default" w:ascii="Times New Roman" w:hAnsi="Times New Roman" w:eastAsia="宋体" w:cs="Times New Roman"/>
          <w:color w:val="auto"/>
          <w:highlight w:val="none"/>
          <w:lang w:eastAsia="zh-CN"/>
        </w:rPr>
        <w:t>环境</w:t>
      </w:r>
      <w:r>
        <w:rPr>
          <w:rFonts w:hint="default" w:ascii="Times New Roman" w:hAnsi="Times New Roman" w:eastAsia="宋体" w:cs="Times New Roman"/>
          <w:color w:val="auto"/>
          <w:highlight w:val="none"/>
        </w:rPr>
        <w:t>影响评价和声</w:t>
      </w:r>
      <w:r>
        <w:rPr>
          <w:rFonts w:hint="default" w:ascii="Times New Roman" w:hAnsi="Times New Roman" w:eastAsia="宋体" w:cs="Times New Roman"/>
          <w:color w:val="auto"/>
          <w:highlight w:val="none"/>
          <w:lang w:eastAsia="zh-CN"/>
        </w:rPr>
        <w:t>环境影响</w:t>
      </w:r>
      <w:r>
        <w:rPr>
          <w:rFonts w:hint="default" w:ascii="Times New Roman" w:hAnsi="Times New Roman" w:eastAsia="宋体" w:cs="Times New Roman"/>
          <w:color w:val="auto"/>
          <w:highlight w:val="none"/>
        </w:rPr>
        <w:t>评价，以及其他环境要素固体废物环境影响分析以及地表水环境影响分析等，有针对性地进一步提出污染防治措施和对策。</w:t>
      </w:r>
    </w:p>
    <w:p w14:paraId="73251259">
      <w:pPr>
        <w:pStyle w:val="4"/>
        <w:numPr>
          <w:ilvl w:val="1"/>
          <w:numId w:val="3"/>
        </w:numPr>
        <w:ind w:left="567" w:leftChars="0" w:hanging="567" w:firstLineChars="0"/>
        <w:rPr>
          <w:rFonts w:hint="default" w:ascii="Times New Roman" w:hAnsi="Times New Roman" w:eastAsia="宋体" w:cs="Times New Roman"/>
          <w:b/>
          <w:bCs/>
          <w:color w:val="auto"/>
          <w:highlight w:val="none"/>
        </w:rPr>
      </w:pPr>
      <w:bookmarkStart w:id="106" w:name="_Toc2628"/>
      <w:bookmarkStart w:id="107" w:name="_Toc25337"/>
      <w:r>
        <w:rPr>
          <w:rFonts w:hint="default" w:ascii="Times New Roman" w:hAnsi="Times New Roman" w:eastAsia="宋体" w:cs="Times New Roman"/>
          <w:b/>
          <w:bCs/>
          <w:color w:val="auto"/>
          <w:highlight w:val="none"/>
        </w:rPr>
        <w:t>评价因子与评价标准</w:t>
      </w:r>
      <w:bookmarkEnd w:id="106"/>
      <w:bookmarkEnd w:id="107"/>
    </w:p>
    <w:p w14:paraId="36BE73BD">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108" w:name="_Toc13898"/>
      <w:bookmarkStart w:id="109" w:name="_Toc107238090"/>
      <w:bookmarkStart w:id="110" w:name="_Toc21892"/>
      <w:bookmarkStart w:id="111" w:name="_Toc4272"/>
      <w:bookmarkStart w:id="112" w:name="_Toc28856"/>
      <w:bookmarkStart w:id="113" w:name="_Toc105659873"/>
      <w:r>
        <w:rPr>
          <w:rFonts w:hint="default" w:ascii="Times New Roman" w:hAnsi="Times New Roman" w:eastAsia="宋体" w:cs="Times New Roman"/>
          <w:color w:val="auto"/>
          <w:highlight w:val="none"/>
        </w:rPr>
        <w:t>环境影响因素识别</w:t>
      </w:r>
      <w:bookmarkEnd w:id="108"/>
      <w:bookmarkEnd w:id="109"/>
      <w:bookmarkEnd w:id="110"/>
      <w:bookmarkEnd w:id="111"/>
      <w:bookmarkEnd w:id="112"/>
      <w:bookmarkEnd w:id="113"/>
    </w:p>
    <w:p w14:paraId="62410495">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本项目的生产工艺和排污特征，结合拟选厂址的自然环境特点、环境质量现状、在充分分析本项目建设内容的基础上，识别建设项目实施可能对自然环境和社会环境产生的影响，本项目环境影响因素识别情况见表2</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3-1。</w:t>
      </w:r>
    </w:p>
    <w:p w14:paraId="2ABC8A31">
      <w:pPr>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表2.3-1 环境影响因素识别矩阵</w:t>
      </w:r>
    </w:p>
    <w:tbl>
      <w:tblPr>
        <w:tblStyle w:val="3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62"/>
        <w:gridCol w:w="1401"/>
        <w:gridCol w:w="1009"/>
        <w:gridCol w:w="1181"/>
        <w:gridCol w:w="1212"/>
        <w:gridCol w:w="833"/>
        <w:gridCol w:w="1007"/>
        <w:gridCol w:w="1017"/>
      </w:tblGrid>
      <w:tr w14:paraId="2CB79C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28" w:type="pct"/>
            <w:gridSpan w:val="2"/>
            <w:tcBorders>
              <w:tl2br w:val="nil"/>
              <w:tr2bl w:val="nil"/>
            </w:tcBorders>
            <w:noWrap w:val="0"/>
            <w:vAlign w:val="center"/>
          </w:tcPr>
          <w:p w14:paraId="3E32BA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影响因素</w:t>
            </w:r>
          </w:p>
        </w:tc>
        <w:tc>
          <w:tcPr>
            <w:tcW w:w="592" w:type="pct"/>
            <w:tcBorders>
              <w:tl2br w:val="nil"/>
              <w:tr2bl w:val="nil"/>
            </w:tcBorders>
            <w:noWrap w:val="0"/>
            <w:vAlign w:val="center"/>
          </w:tcPr>
          <w:p w14:paraId="7F306B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大气环境</w:t>
            </w:r>
          </w:p>
        </w:tc>
        <w:tc>
          <w:tcPr>
            <w:tcW w:w="693" w:type="pct"/>
            <w:tcBorders>
              <w:tl2br w:val="nil"/>
              <w:tr2bl w:val="nil"/>
            </w:tcBorders>
            <w:noWrap w:val="0"/>
            <w:vAlign w:val="center"/>
          </w:tcPr>
          <w:p w14:paraId="7D0D43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地表水环境</w:t>
            </w:r>
          </w:p>
        </w:tc>
        <w:tc>
          <w:tcPr>
            <w:tcW w:w="711" w:type="pct"/>
            <w:tcBorders>
              <w:tl2br w:val="nil"/>
              <w:tr2bl w:val="nil"/>
            </w:tcBorders>
            <w:noWrap w:val="0"/>
            <w:vAlign w:val="center"/>
          </w:tcPr>
          <w:p w14:paraId="5DEAFC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地下水环境</w:t>
            </w:r>
          </w:p>
        </w:tc>
        <w:tc>
          <w:tcPr>
            <w:tcW w:w="489" w:type="pct"/>
            <w:tcBorders>
              <w:tl2br w:val="nil"/>
              <w:tr2bl w:val="nil"/>
            </w:tcBorders>
            <w:noWrap w:val="0"/>
            <w:vAlign w:val="center"/>
          </w:tcPr>
          <w:p w14:paraId="4CFD23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声环境</w:t>
            </w:r>
          </w:p>
        </w:tc>
        <w:tc>
          <w:tcPr>
            <w:tcW w:w="591" w:type="pct"/>
            <w:tcBorders>
              <w:tl2br w:val="nil"/>
              <w:tr2bl w:val="nil"/>
            </w:tcBorders>
            <w:noWrap w:val="0"/>
            <w:vAlign w:val="center"/>
          </w:tcPr>
          <w:p w14:paraId="08A5B5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生态环境</w:t>
            </w:r>
          </w:p>
        </w:tc>
        <w:tc>
          <w:tcPr>
            <w:tcW w:w="593" w:type="pct"/>
            <w:tcBorders>
              <w:tl2br w:val="nil"/>
              <w:tr2bl w:val="nil"/>
            </w:tcBorders>
            <w:noWrap w:val="0"/>
            <w:vAlign w:val="center"/>
          </w:tcPr>
          <w:p w14:paraId="21C9CF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土壤环境</w:t>
            </w:r>
          </w:p>
        </w:tc>
      </w:tr>
      <w:tr w14:paraId="60CAD0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restart"/>
            <w:tcBorders>
              <w:tl2br w:val="nil"/>
              <w:tr2bl w:val="nil"/>
            </w:tcBorders>
            <w:noWrap w:val="0"/>
            <w:vAlign w:val="center"/>
          </w:tcPr>
          <w:p w14:paraId="7E131C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施工期</w:t>
            </w:r>
          </w:p>
        </w:tc>
        <w:tc>
          <w:tcPr>
            <w:tcW w:w="821" w:type="pct"/>
            <w:tcBorders>
              <w:tl2br w:val="nil"/>
              <w:tr2bl w:val="nil"/>
            </w:tcBorders>
            <w:noWrap w:val="0"/>
            <w:vAlign w:val="center"/>
          </w:tcPr>
          <w:p w14:paraId="3D9D6A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物料堆存</w:t>
            </w:r>
          </w:p>
        </w:tc>
        <w:tc>
          <w:tcPr>
            <w:tcW w:w="592" w:type="pct"/>
            <w:tcBorders>
              <w:tl2br w:val="nil"/>
              <w:tr2bl w:val="nil"/>
            </w:tcBorders>
            <w:noWrap w:val="0"/>
            <w:vAlign w:val="center"/>
          </w:tcPr>
          <w:p w14:paraId="6D678E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-1D</w:t>
            </w:r>
          </w:p>
        </w:tc>
        <w:tc>
          <w:tcPr>
            <w:tcW w:w="693" w:type="pct"/>
            <w:tcBorders>
              <w:tl2br w:val="nil"/>
              <w:tr2bl w:val="nil"/>
            </w:tcBorders>
            <w:noWrap w:val="0"/>
            <w:vAlign w:val="center"/>
          </w:tcPr>
          <w:p w14:paraId="08E4088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711" w:type="pct"/>
            <w:tcBorders>
              <w:tl2br w:val="nil"/>
              <w:tr2bl w:val="nil"/>
            </w:tcBorders>
            <w:noWrap w:val="0"/>
            <w:vAlign w:val="center"/>
          </w:tcPr>
          <w:p w14:paraId="49D284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489" w:type="pct"/>
            <w:tcBorders>
              <w:tl2br w:val="nil"/>
              <w:tr2bl w:val="nil"/>
            </w:tcBorders>
            <w:noWrap w:val="0"/>
            <w:vAlign w:val="center"/>
          </w:tcPr>
          <w:p w14:paraId="37455A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591" w:type="pct"/>
            <w:tcBorders>
              <w:tl2br w:val="nil"/>
              <w:tr2bl w:val="nil"/>
            </w:tcBorders>
            <w:noWrap w:val="0"/>
            <w:vAlign w:val="center"/>
          </w:tcPr>
          <w:p w14:paraId="4AB80A4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-1D</w:t>
            </w:r>
          </w:p>
        </w:tc>
        <w:tc>
          <w:tcPr>
            <w:tcW w:w="593" w:type="pct"/>
            <w:tcBorders>
              <w:tl2br w:val="nil"/>
              <w:tr2bl w:val="nil"/>
            </w:tcBorders>
            <w:noWrap w:val="0"/>
            <w:vAlign w:val="center"/>
          </w:tcPr>
          <w:p w14:paraId="50AC2A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r>
      <w:tr w14:paraId="091CE7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continue"/>
            <w:tcBorders>
              <w:tl2br w:val="nil"/>
              <w:tr2bl w:val="nil"/>
            </w:tcBorders>
            <w:noWrap w:val="0"/>
            <w:vAlign w:val="center"/>
          </w:tcPr>
          <w:p w14:paraId="06C0BA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821" w:type="pct"/>
            <w:tcBorders>
              <w:tl2br w:val="nil"/>
              <w:tr2bl w:val="nil"/>
            </w:tcBorders>
            <w:noWrap w:val="0"/>
            <w:vAlign w:val="center"/>
          </w:tcPr>
          <w:p w14:paraId="50C180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材料运输</w:t>
            </w:r>
          </w:p>
        </w:tc>
        <w:tc>
          <w:tcPr>
            <w:tcW w:w="592" w:type="pct"/>
            <w:tcBorders>
              <w:tl2br w:val="nil"/>
              <w:tr2bl w:val="nil"/>
            </w:tcBorders>
            <w:noWrap w:val="0"/>
            <w:vAlign w:val="center"/>
          </w:tcPr>
          <w:p w14:paraId="62B11F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-1D</w:t>
            </w:r>
          </w:p>
        </w:tc>
        <w:tc>
          <w:tcPr>
            <w:tcW w:w="693" w:type="pct"/>
            <w:tcBorders>
              <w:tl2br w:val="nil"/>
              <w:tr2bl w:val="nil"/>
            </w:tcBorders>
            <w:noWrap w:val="0"/>
            <w:vAlign w:val="center"/>
          </w:tcPr>
          <w:p w14:paraId="7CCD80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711" w:type="pct"/>
            <w:tcBorders>
              <w:tl2br w:val="nil"/>
              <w:tr2bl w:val="nil"/>
            </w:tcBorders>
            <w:noWrap w:val="0"/>
            <w:vAlign w:val="center"/>
          </w:tcPr>
          <w:p w14:paraId="642A6B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489" w:type="pct"/>
            <w:tcBorders>
              <w:tl2br w:val="nil"/>
              <w:tr2bl w:val="nil"/>
            </w:tcBorders>
            <w:noWrap w:val="0"/>
            <w:vAlign w:val="center"/>
          </w:tcPr>
          <w:p w14:paraId="2B5A5B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-1D</w:t>
            </w:r>
          </w:p>
        </w:tc>
        <w:tc>
          <w:tcPr>
            <w:tcW w:w="591" w:type="pct"/>
            <w:tcBorders>
              <w:tl2br w:val="nil"/>
              <w:tr2bl w:val="nil"/>
            </w:tcBorders>
            <w:noWrap w:val="0"/>
            <w:vAlign w:val="center"/>
          </w:tcPr>
          <w:p w14:paraId="001DAB8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593" w:type="pct"/>
            <w:tcBorders>
              <w:tl2br w:val="nil"/>
              <w:tr2bl w:val="nil"/>
            </w:tcBorders>
            <w:noWrap w:val="0"/>
            <w:vAlign w:val="center"/>
          </w:tcPr>
          <w:p w14:paraId="0B2754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r>
      <w:tr w14:paraId="3356BD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continue"/>
            <w:tcBorders>
              <w:tl2br w:val="nil"/>
              <w:tr2bl w:val="nil"/>
            </w:tcBorders>
            <w:noWrap w:val="0"/>
            <w:vAlign w:val="center"/>
          </w:tcPr>
          <w:p w14:paraId="275C01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821" w:type="pct"/>
            <w:tcBorders>
              <w:tl2br w:val="nil"/>
              <w:tr2bl w:val="nil"/>
            </w:tcBorders>
            <w:noWrap w:val="0"/>
            <w:vAlign w:val="center"/>
          </w:tcPr>
          <w:p w14:paraId="4BDA51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建筑施工</w:t>
            </w:r>
          </w:p>
        </w:tc>
        <w:tc>
          <w:tcPr>
            <w:tcW w:w="592" w:type="pct"/>
            <w:tcBorders>
              <w:tl2br w:val="nil"/>
              <w:tr2bl w:val="nil"/>
            </w:tcBorders>
            <w:noWrap w:val="0"/>
            <w:vAlign w:val="center"/>
          </w:tcPr>
          <w:p w14:paraId="25E869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-1D</w:t>
            </w:r>
          </w:p>
        </w:tc>
        <w:tc>
          <w:tcPr>
            <w:tcW w:w="693" w:type="pct"/>
            <w:tcBorders>
              <w:tl2br w:val="nil"/>
              <w:tr2bl w:val="nil"/>
            </w:tcBorders>
            <w:noWrap w:val="0"/>
            <w:vAlign w:val="center"/>
          </w:tcPr>
          <w:p w14:paraId="2F5A98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-1D</w:t>
            </w:r>
          </w:p>
        </w:tc>
        <w:tc>
          <w:tcPr>
            <w:tcW w:w="711" w:type="pct"/>
            <w:tcBorders>
              <w:tl2br w:val="nil"/>
              <w:tr2bl w:val="nil"/>
            </w:tcBorders>
            <w:noWrap w:val="0"/>
            <w:vAlign w:val="center"/>
          </w:tcPr>
          <w:p w14:paraId="570991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-1D</w:t>
            </w:r>
          </w:p>
        </w:tc>
        <w:tc>
          <w:tcPr>
            <w:tcW w:w="489" w:type="pct"/>
            <w:tcBorders>
              <w:tl2br w:val="nil"/>
              <w:tr2bl w:val="nil"/>
            </w:tcBorders>
            <w:noWrap w:val="0"/>
            <w:vAlign w:val="center"/>
          </w:tcPr>
          <w:p w14:paraId="179E6D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-2D</w:t>
            </w:r>
          </w:p>
        </w:tc>
        <w:tc>
          <w:tcPr>
            <w:tcW w:w="591" w:type="pct"/>
            <w:tcBorders>
              <w:tl2br w:val="nil"/>
              <w:tr2bl w:val="nil"/>
            </w:tcBorders>
            <w:noWrap w:val="0"/>
            <w:vAlign w:val="center"/>
          </w:tcPr>
          <w:p w14:paraId="32F404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-1D</w:t>
            </w:r>
          </w:p>
        </w:tc>
        <w:tc>
          <w:tcPr>
            <w:tcW w:w="593" w:type="pct"/>
            <w:tcBorders>
              <w:tl2br w:val="nil"/>
              <w:tr2bl w:val="nil"/>
            </w:tcBorders>
            <w:noWrap w:val="0"/>
            <w:vAlign w:val="center"/>
          </w:tcPr>
          <w:p w14:paraId="06BF0A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-1D</w:t>
            </w:r>
          </w:p>
        </w:tc>
      </w:tr>
      <w:tr w14:paraId="03CFE0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restart"/>
            <w:tcBorders>
              <w:tl2br w:val="nil"/>
              <w:tr2bl w:val="nil"/>
            </w:tcBorders>
            <w:noWrap w:val="0"/>
            <w:vAlign w:val="center"/>
          </w:tcPr>
          <w:p w14:paraId="3B29B9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运营期</w:t>
            </w:r>
          </w:p>
        </w:tc>
        <w:tc>
          <w:tcPr>
            <w:tcW w:w="821" w:type="pct"/>
            <w:tcBorders>
              <w:tl2br w:val="nil"/>
              <w:tr2bl w:val="nil"/>
            </w:tcBorders>
            <w:noWrap w:val="0"/>
            <w:vAlign w:val="center"/>
          </w:tcPr>
          <w:p w14:paraId="5C2D27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废气排放</w:t>
            </w:r>
          </w:p>
        </w:tc>
        <w:tc>
          <w:tcPr>
            <w:tcW w:w="592" w:type="pct"/>
            <w:tcBorders>
              <w:tl2br w:val="nil"/>
              <w:tr2bl w:val="nil"/>
            </w:tcBorders>
            <w:noWrap w:val="0"/>
            <w:vAlign w:val="center"/>
          </w:tcPr>
          <w:p w14:paraId="72004F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-1C</w:t>
            </w:r>
          </w:p>
        </w:tc>
        <w:tc>
          <w:tcPr>
            <w:tcW w:w="693" w:type="pct"/>
            <w:tcBorders>
              <w:tl2br w:val="nil"/>
              <w:tr2bl w:val="nil"/>
            </w:tcBorders>
            <w:noWrap w:val="0"/>
            <w:vAlign w:val="center"/>
          </w:tcPr>
          <w:p w14:paraId="67270A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711" w:type="pct"/>
            <w:tcBorders>
              <w:tl2br w:val="nil"/>
              <w:tr2bl w:val="nil"/>
            </w:tcBorders>
            <w:noWrap w:val="0"/>
            <w:vAlign w:val="center"/>
          </w:tcPr>
          <w:p w14:paraId="156B9B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489" w:type="pct"/>
            <w:tcBorders>
              <w:tl2br w:val="nil"/>
              <w:tr2bl w:val="nil"/>
            </w:tcBorders>
            <w:noWrap w:val="0"/>
            <w:vAlign w:val="center"/>
          </w:tcPr>
          <w:p w14:paraId="5E75A0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591" w:type="pct"/>
            <w:tcBorders>
              <w:tl2br w:val="nil"/>
              <w:tr2bl w:val="nil"/>
            </w:tcBorders>
            <w:noWrap w:val="0"/>
            <w:vAlign w:val="center"/>
          </w:tcPr>
          <w:p w14:paraId="45333A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593" w:type="pct"/>
            <w:tcBorders>
              <w:tl2br w:val="nil"/>
              <w:tr2bl w:val="nil"/>
            </w:tcBorders>
            <w:noWrap w:val="0"/>
            <w:vAlign w:val="center"/>
          </w:tcPr>
          <w:p w14:paraId="70C1BF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r>
      <w:tr w14:paraId="3AAE30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continue"/>
            <w:tcBorders>
              <w:tl2br w:val="nil"/>
              <w:tr2bl w:val="nil"/>
            </w:tcBorders>
            <w:noWrap w:val="0"/>
            <w:vAlign w:val="center"/>
          </w:tcPr>
          <w:p w14:paraId="0C6C5B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821" w:type="pct"/>
            <w:tcBorders>
              <w:tl2br w:val="nil"/>
              <w:tr2bl w:val="nil"/>
            </w:tcBorders>
            <w:noWrap w:val="0"/>
            <w:vAlign w:val="center"/>
          </w:tcPr>
          <w:p w14:paraId="51BAFE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废水排放</w:t>
            </w:r>
          </w:p>
        </w:tc>
        <w:tc>
          <w:tcPr>
            <w:tcW w:w="592" w:type="pct"/>
            <w:tcBorders>
              <w:tl2br w:val="nil"/>
              <w:tr2bl w:val="nil"/>
            </w:tcBorders>
            <w:noWrap w:val="0"/>
            <w:vAlign w:val="center"/>
          </w:tcPr>
          <w:p w14:paraId="38B9C4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693" w:type="pct"/>
            <w:tcBorders>
              <w:tl2br w:val="nil"/>
              <w:tr2bl w:val="nil"/>
            </w:tcBorders>
            <w:noWrap w:val="0"/>
            <w:vAlign w:val="center"/>
          </w:tcPr>
          <w:p w14:paraId="147EE4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-1C</w:t>
            </w:r>
          </w:p>
        </w:tc>
        <w:tc>
          <w:tcPr>
            <w:tcW w:w="711" w:type="pct"/>
            <w:tcBorders>
              <w:tl2br w:val="nil"/>
              <w:tr2bl w:val="nil"/>
            </w:tcBorders>
            <w:noWrap w:val="0"/>
            <w:vAlign w:val="center"/>
          </w:tcPr>
          <w:p w14:paraId="60E9374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489" w:type="pct"/>
            <w:tcBorders>
              <w:tl2br w:val="nil"/>
              <w:tr2bl w:val="nil"/>
            </w:tcBorders>
            <w:noWrap w:val="0"/>
            <w:vAlign w:val="center"/>
          </w:tcPr>
          <w:p w14:paraId="698509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591" w:type="pct"/>
            <w:tcBorders>
              <w:tl2br w:val="nil"/>
              <w:tr2bl w:val="nil"/>
            </w:tcBorders>
            <w:noWrap w:val="0"/>
            <w:vAlign w:val="center"/>
          </w:tcPr>
          <w:p w14:paraId="21E496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593" w:type="pct"/>
            <w:tcBorders>
              <w:tl2br w:val="nil"/>
              <w:tr2bl w:val="nil"/>
            </w:tcBorders>
            <w:noWrap w:val="0"/>
            <w:vAlign w:val="center"/>
          </w:tcPr>
          <w:p w14:paraId="38DB92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r>
      <w:tr w14:paraId="579116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continue"/>
            <w:tcBorders>
              <w:tl2br w:val="nil"/>
              <w:tr2bl w:val="nil"/>
            </w:tcBorders>
            <w:noWrap w:val="0"/>
            <w:vAlign w:val="center"/>
          </w:tcPr>
          <w:p w14:paraId="1AE996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821" w:type="pct"/>
            <w:tcBorders>
              <w:tl2br w:val="nil"/>
              <w:tr2bl w:val="nil"/>
            </w:tcBorders>
            <w:noWrap w:val="0"/>
            <w:vAlign w:val="center"/>
          </w:tcPr>
          <w:p w14:paraId="543ADC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噪声排放</w:t>
            </w:r>
          </w:p>
        </w:tc>
        <w:tc>
          <w:tcPr>
            <w:tcW w:w="592" w:type="pct"/>
            <w:tcBorders>
              <w:tl2br w:val="nil"/>
              <w:tr2bl w:val="nil"/>
            </w:tcBorders>
            <w:noWrap w:val="0"/>
            <w:vAlign w:val="center"/>
          </w:tcPr>
          <w:p w14:paraId="32DDF9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693" w:type="pct"/>
            <w:tcBorders>
              <w:tl2br w:val="nil"/>
              <w:tr2bl w:val="nil"/>
            </w:tcBorders>
            <w:noWrap w:val="0"/>
            <w:vAlign w:val="center"/>
          </w:tcPr>
          <w:p w14:paraId="384CDB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711" w:type="pct"/>
            <w:tcBorders>
              <w:tl2br w:val="nil"/>
              <w:tr2bl w:val="nil"/>
            </w:tcBorders>
            <w:noWrap w:val="0"/>
            <w:vAlign w:val="center"/>
          </w:tcPr>
          <w:p w14:paraId="210592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89" w:type="pct"/>
            <w:tcBorders>
              <w:tl2br w:val="nil"/>
              <w:tr2bl w:val="nil"/>
            </w:tcBorders>
            <w:noWrap w:val="0"/>
            <w:vAlign w:val="center"/>
          </w:tcPr>
          <w:p w14:paraId="31691A7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-1C</w:t>
            </w:r>
          </w:p>
        </w:tc>
        <w:tc>
          <w:tcPr>
            <w:tcW w:w="591" w:type="pct"/>
            <w:tcBorders>
              <w:tl2br w:val="nil"/>
              <w:tr2bl w:val="nil"/>
            </w:tcBorders>
            <w:noWrap w:val="0"/>
            <w:vAlign w:val="center"/>
          </w:tcPr>
          <w:p w14:paraId="771E2D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593" w:type="pct"/>
            <w:tcBorders>
              <w:tl2br w:val="nil"/>
              <w:tr2bl w:val="nil"/>
            </w:tcBorders>
            <w:noWrap w:val="0"/>
            <w:vAlign w:val="center"/>
          </w:tcPr>
          <w:p w14:paraId="4167CC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r>
      <w:tr w14:paraId="6E15A9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continue"/>
            <w:tcBorders>
              <w:tl2br w:val="nil"/>
              <w:tr2bl w:val="nil"/>
            </w:tcBorders>
            <w:noWrap w:val="0"/>
            <w:vAlign w:val="center"/>
          </w:tcPr>
          <w:p w14:paraId="00F773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821" w:type="pct"/>
            <w:tcBorders>
              <w:tl2br w:val="nil"/>
              <w:tr2bl w:val="nil"/>
            </w:tcBorders>
            <w:noWrap w:val="0"/>
            <w:vAlign w:val="center"/>
          </w:tcPr>
          <w:p w14:paraId="1BA22B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固体废物处置</w:t>
            </w:r>
          </w:p>
        </w:tc>
        <w:tc>
          <w:tcPr>
            <w:tcW w:w="592" w:type="pct"/>
            <w:tcBorders>
              <w:tl2br w:val="nil"/>
              <w:tr2bl w:val="nil"/>
            </w:tcBorders>
            <w:noWrap w:val="0"/>
            <w:vAlign w:val="center"/>
          </w:tcPr>
          <w:p w14:paraId="07E3AD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693" w:type="pct"/>
            <w:tcBorders>
              <w:tl2br w:val="nil"/>
              <w:tr2bl w:val="nil"/>
            </w:tcBorders>
            <w:noWrap w:val="0"/>
            <w:vAlign w:val="center"/>
          </w:tcPr>
          <w:p w14:paraId="17F10E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-1C</w:t>
            </w:r>
          </w:p>
        </w:tc>
        <w:tc>
          <w:tcPr>
            <w:tcW w:w="711" w:type="pct"/>
            <w:tcBorders>
              <w:tl2br w:val="nil"/>
              <w:tr2bl w:val="nil"/>
            </w:tcBorders>
            <w:noWrap w:val="0"/>
            <w:vAlign w:val="center"/>
          </w:tcPr>
          <w:p w14:paraId="185603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489" w:type="pct"/>
            <w:tcBorders>
              <w:tl2br w:val="nil"/>
              <w:tr2bl w:val="nil"/>
            </w:tcBorders>
            <w:noWrap w:val="0"/>
            <w:vAlign w:val="center"/>
          </w:tcPr>
          <w:p w14:paraId="06C235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591" w:type="pct"/>
            <w:tcBorders>
              <w:tl2br w:val="nil"/>
              <w:tr2bl w:val="nil"/>
            </w:tcBorders>
            <w:noWrap w:val="0"/>
            <w:vAlign w:val="center"/>
          </w:tcPr>
          <w:p w14:paraId="74C0BA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-1C</w:t>
            </w:r>
          </w:p>
        </w:tc>
        <w:tc>
          <w:tcPr>
            <w:tcW w:w="593" w:type="pct"/>
            <w:tcBorders>
              <w:tl2br w:val="nil"/>
              <w:tr2bl w:val="nil"/>
            </w:tcBorders>
            <w:noWrap w:val="0"/>
            <w:vAlign w:val="center"/>
          </w:tcPr>
          <w:p w14:paraId="0D7192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r>
      <w:tr w14:paraId="4F77F1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Merge w:val="continue"/>
            <w:tcBorders>
              <w:tl2br w:val="nil"/>
              <w:tr2bl w:val="nil"/>
            </w:tcBorders>
            <w:noWrap w:val="0"/>
            <w:vAlign w:val="center"/>
          </w:tcPr>
          <w:p w14:paraId="19DADD6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821" w:type="pct"/>
            <w:tcBorders>
              <w:tl2br w:val="nil"/>
              <w:tr2bl w:val="nil"/>
            </w:tcBorders>
            <w:noWrap w:val="0"/>
            <w:vAlign w:val="center"/>
          </w:tcPr>
          <w:p w14:paraId="14FE89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事故排放</w:t>
            </w:r>
          </w:p>
        </w:tc>
        <w:tc>
          <w:tcPr>
            <w:tcW w:w="592" w:type="pct"/>
            <w:tcBorders>
              <w:tl2br w:val="nil"/>
              <w:tr2bl w:val="nil"/>
            </w:tcBorders>
            <w:noWrap w:val="0"/>
            <w:vAlign w:val="center"/>
          </w:tcPr>
          <w:p w14:paraId="41B2B1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-2D</w:t>
            </w:r>
          </w:p>
        </w:tc>
        <w:tc>
          <w:tcPr>
            <w:tcW w:w="693" w:type="pct"/>
            <w:tcBorders>
              <w:tl2br w:val="nil"/>
              <w:tr2bl w:val="nil"/>
            </w:tcBorders>
            <w:noWrap w:val="0"/>
            <w:vAlign w:val="center"/>
          </w:tcPr>
          <w:p w14:paraId="40B9D8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val="en-US" w:eastAsia="zh-CN"/>
              </w:rPr>
              <w:t>D</w:t>
            </w:r>
          </w:p>
        </w:tc>
        <w:tc>
          <w:tcPr>
            <w:tcW w:w="711" w:type="pct"/>
            <w:tcBorders>
              <w:tl2br w:val="nil"/>
              <w:tr2bl w:val="nil"/>
            </w:tcBorders>
            <w:noWrap w:val="0"/>
            <w:vAlign w:val="center"/>
          </w:tcPr>
          <w:p w14:paraId="023D00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-1D</w:t>
            </w:r>
          </w:p>
        </w:tc>
        <w:tc>
          <w:tcPr>
            <w:tcW w:w="489" w:type="pct"/>
            <w:tcBorders>
              <w:tl2br w:val="nil"/>
              <w:tr2bl w:val="nil"/>
            </w:tcBorders>
            <w:noWrap w:val="0"/>
            <w:vAlign w:val="center"/>
          </w:tcPr>
          <w:p w14:paraId="376DA1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-1D</w:t>
            </w:r>
          </w:p>
        </w:tc>
        <w:tc>
          <w:tcPr>
            <w:tcW w:w="591" w:type="pct"/>
            <w:tcBorders>
              <w:tl2br w:val="nil"/>
              <w:tr2bl w:val="nil"/>
            </w:tcBorders>
            <w:noWrap w:val="0"/>
            <w:vAlign w:val="center"/>
          </w:tcPr>
          <w:p w14:paraId="494EBD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593" w:type="pct"/>
            <w:tcBorders>
              <w:tl2br w:val="nil"/>
              <w:tr2bl w:val="nil"/>
            </w:tcBorders>
            <w:noWrap w:val="0"/>
            <w:vAlign w:val="center"/>
          </w:tcPr>
          <w:p w14:paraId="6CCFAD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r>
      <w:tr w14:paraId="101C42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8"/>
            <w:tcBorders>
              <w:tl2br w:val="nil"/>
              <w:tr2bl w:val="nil"/>
            </w:tcBorders>
            <w:noWrap w:val="0"/>
            <w:vAlign w:val="center"/>
          </w:tcPr>
          <w:p w14:paraId="35D6F9F5">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注：1、表中“+”表示正效益，“</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”表示负效益。</w:t>
            </w:r>
          </w:p>
          <w:p w14:paraId="4D4C0EC5">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val="en-US" w:eastAsia="zh-CN"/>
              </w:rPr>
              <w:t>表中数字表示影响的相对程度，“1”表示影响较小，“2”表示影响中等，“3”表示影响较大。</w:t>
            </w:r>
          </w:p>
          <w:p w14:paraId="2117BA14">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lang w:val="en-US" w:eastAsia="zh-CN"/>
              </w:rPr>
              <w:t>表中“D”表示短期影响，“C表示长期影响”。</w:t>
            </w:r>
          </w:p>
        </w:tc>
      </w:tr>
    </w:tbl>
    <w:p w14:paraId="4E157BAC">
      <w:pPr>
        <w:bidi w:val="0"/>
        <w:rPr>
          <w:rFonts w:hint="default" w:ascii="Times New Roman" w:hAnsi="Times New Roman" w:eastAsia="宋体" w:cs="Times New Roman"/>
          <w:color w:val="auto"/>
          <w:highlight w:val="none"/>
        </w:rPr>
      </w:pPr>
      <w:bookmarkStart w:id="114" w:name="_Toc21649"/>
      <w:bookmarkStart w:id="115" w:name="_Toc105659874"/>
      <w:bookmarkStart w:id="116" w:name="_Toc107238091"/>
      <w:r>
        <w:rPr>
          <w:rFonts w:hint="default" w:ascii="Times New Roman" w:hAnsi="Times New Roman" w:eastAsia="宋体" w:cs="Times New Roman"/>
          <w:color w:val="auto"/>
          <w:highlight w:val="none"/>
        </w:rPr>
        <w:t>由表2</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3-1可知，本项目施工期对周围环境产生的主要负面影响主要是对大气环境、声环境和土壤环境质量产生的短期影响，运营期主要负面影响是废气和废水污染对环境质量产生的影响。本项目产生的废气、废水、噪声、固体废物均采取了妥善的处理处置措施，不会对周边大气环境、声环境、地表水及地下水环境产生明显影响。</w:t>
      </w:r>
    </w:p>
    <w:p w14:paraId="13F04201">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117" w:name="_Toc13569"/>
      <w:bookmarkStart w:id="118" w:name="_Toc27929"/>
      <w:bookmarkStart w:id="119" w:name="_Toc2754"/>
      <w:r>
        <w:rPr>
          <w:rFonts w:hint="default" w:ascii="Times New Roman" w:hAnsi="Times New Roman" w:eastAsia="宋体" w:cs="Times New Roman"/>
          <w:color w:val="auto"/>
          <w:highlight w:val="none"/>
        </w:rPr>
        <w:t>评价因子</w:t>
      </w:r>
      <w:bookmarkEnd w:id="114"/>
      <w:bookmarkEnd w:id="115"/>
      <w:bookmarkEnd w:id="116"/>
      <w:bookmarkEnd w:id="117"/>
      <w:bookmarkEnd w:id="118"/>
      <w:bookmarkEnd w:id="119"/>
    </w:p>
    <w:p w14:paraId="626AD409">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根据本项目污染物排放特点和对环境影响因子的识别，确定了本项目环境影响评价因子，评价因子详见表2</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3-2</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表2</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3-3。</w:t>
      </w:r>
    </w:p>
    <w:p w14:paraId="13CB5BD7">
      <w:pPr>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 xml:space="preserve">表2.3-2 </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本项目环境影响评价因子筛选表</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12"/>
        <w:gridCol w:w="904"/>
        <w:gridCol w:w="1263"/>
        <w:gridCol w:w="5743"/>
      </w:tblGrid>
      <w:tr w14:paraId="1DD20E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359" w:type="pct"/>
            <w:tcBorders>
              <w:tl2br w:val="nil"/>
              <w:tr2bl w:val="nil"/>
            </w:tcBorders>
            <w:noWrap w:val="0"/>
            <w:vAlign w:val="center"/>
          </w:tcPr>
          <w:p w14:paraId="07192169">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bookmarkStart w:id="120" w:name="_Toc28697"/>
            <w:bookmarkStart w:id="121" w:name="_Toc107238092"/>
            <w:bookmarkStart w:id="122" w:name="_Toc105659875"/>
            <w:r>
              <w:rPr>
                <w:rFonts w:hint="default" w:ascii="Times New Roman" w:hAnsi="Times New Roman" w:eastAsia="宋体" w:cs="Times New Roman"/>
                <w:color w:val="auto"/>
                <w:sz w:val="21"/>
                <w:szCs w:val="21"/>
                <w:highlight w:val="none"/>
              </w:rPr>
              <w:t>序号</w:t>
            </w:r>
          </w:p>
        </w:tc>
        <w:tc>
          <w:tcPr>
            <w:tcW w:w="530" w:type="pct"/>
            <w:tcBorders>
              <w:tl2br w:val="nil"/>
              <w:tr2bl w:val="nil"/>
            </w:tcBorders>
            <w:noWrap w:val="0"/>
            <w:vAlign w:val="center"/>
          </w:tcPr>
          <w:p w14:paraId="46371C3C">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环境要素</w:t>
            </w:r>
          </w:p>
        </w:tc>
        <w:tc>
          <w:tcPr>
            <w:tcW w:w="741" w:type="pct"/>
            <w:tcBorders>
              <w:tl2br w:val="nil"/>
              <w:tr2bl w:val="nil"/>
            </w:tcBorders>
            <w:noWrap w:val="0"/>
            <w:vAlign w:val="center"/>
          </w:tcPr>
          <w:p w14:paraId="62965752">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评价专题</w:t>
            </w:r>
          </w:p>
        </w:tc>
        <w:tc>
          <w:tcPr>
            <w:tcW w:w="3369" w:type="pct"/>
            <w:tcBorders>
              <w:tl2br w:val="nil"/>
              <w:tr2bl w:val="nil"/>
            </w:tcBorders>
            <w:noWrap w:val="0"/>
            <w:vAlign w:val="center"/>
          </w:tcPr>
          <w:p w14:paraId="40B0562A">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评价因子</w:t>
            </w:r>
          </w:p>
        </w:tc>
      </w:tr>
      <w:tr w14:paraId="70AD28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9" w:type="pct"/>
            <w:vMerge w:val="restart"/>
            <w:tcBorders>
              <w:tl2br w:val="nil"/>
              <w:tr2bl w:val="nil"/>
            </w:tcBorders>
            <w:noWrap w:val="0"/>
            <w:vAlign w:val="center"/>
          </w:tcPr>
          <w:p w14:paraId="3AC5D53F">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530" w:type="pct"/>
            <w:vMerge w:val="restart"/>
            <w:tcBorders>
              <w:tl2br w:val="nil"/>
              <w:tr2bl w:val="nil"/>
            </w:tcBorders>
            <w:noWrap w:val="0"/>
            <w:vAlign w:val="center"/>
          </w:tcPr>
          <w:p w14:paraId="0C65910C">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环境空气</w:t>
            </w:r>
          </w:p>
        </w:tc>
        <w:tc>
          <w:tcPr>
            <w:tcW w:w="741" w:type="pct"/>
            <w:tcBorders>
              <w:tl2br w:val="nil"/>
              <w:tr2bl w:val="nil"/>
            </w:tcBorders>
            <w:noWrap w:val="0"/>
            <w:vAlign w:val="center"/>
          </w:tcPr>
          <w:p w14:paraId="08A31DBE">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现状评价</w:t>
            </w:r>
          </w:p>
        </w:tc>
        <w:tc>
          <w:tcPr>
            <w:tcW w:w="3369" w:type="pct"/>
            <w:tcBorders>
              <w:tl2br w:val="nil"/>
              <w:tr2bl w:val="nil"/>
            </w:tcBorders>
            <w:noWrap w:val="0"/>
            <w:vAlign w:val="center"/>
          </w:tcPr>
          <w:p w14:paraId="53B15312">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left"/>
              <w:textAlignment w:val="auto"/>
              <w:outlineLvl w:val="9"/>
              <w:rPr>
                <w:rFonts w:hint="default" w:ascii="Times New Roman" w:hAnsi="Times New Roman" w:eastAsia="宋体" w:cs="Times New Roman"/>
                <w:color w:val="auto"/>
                <w:spacing w:val="0"/>
                <w:kern w:val="0"/>
                <w:sz w:val="21"/>
                <w:szCs w:val="21"/>
                <w:highlight w:val="none"/>
                <w:lang w:val="en-US" w:eastAsia="zh-CN"/>
              </w:rPr>
            </w:pPr>
            <w:r>
              <w:rPr>
                <w:rFonts w:hint="default" w:ascii="Times New Roman" w:hAnsi="Times New Roman" w:eastAsia="宋体" w:cs="Times New Roman"/>
                <w:color w:val="auto"/>
                <w:spacing w:val="0"/>
                <w:sz w:val="21"/>
                <w:szCs w:val="21"/>
                <w:highlight w:val="none"/>
              </w:rPr>
              <w:t>PM</w:t>
            </w:r>
            <w:r>
              <w:rPr>
                <w:rFonts w:hint="default" w:ascii="Times New Roman" w:hAnsi="Times New Roman" w:eastAsia="宋体" w:cs="Times New Roman"/>
                <w:color w:val="auto"/>
                <w:spacing w:val="0"/>
                <w:sz w:val="21"/>
                <w:szCs w:val="21"/>
                <w:highlight w:val="none"/>
                <w:vertAlign w:val="subscript"/>
              </w:rPr>
              <w:t>10</w:t>
            </w:r>
            <w:r>
              <w:rPr>
                <w:rFonts w:hint="default" w:ascii="Times New Roman" w:hAnsi="Times New Roman" w:eastAsia="宋体" w:cs="Times New Roman"/>
                <w:color w:val="auto"/>
                <w:spacing w:val="0"/>
                <w:sz w:val="21"/>
                <w:szCs w:val="21"/>
                <w:highlight w:val="none"/>
              </w:rPr>
              <w:t>、</w:t>
            </w:r>
            <w:r>
              <w:rPr>
                <w:rFonts w:hint="default" w:ascii="Times New Roman" w:hAnsi="Times New Roman" w:eastAsia="宋体" w:cs="Times New Roman"/>
                <w:color w:val="auto"/>
                <w:spacing w:val="0"/>
                <w:kern w:val="0"/>
                <w:sz w:val="21"/>
                <w:szCs w:val="21"/>
                <w:highlight w:val="none"/>
              </w:rPr>
              <w:t>PM</w:t>
            </w:r>
            <w:r>
              <w:rPr>
                <w:rFonts w:hint="default" w:ascii="Times New Roman" w:hAnsi="Times New Roman" w:eastAsia="宋体" w:cs="Times New Roman"/>
                <w:color w:val="auto"/>
                <w:spacing w:val="0"/>
                <w:kern w:val="0"/>
                <w:sz w:val="21"/>
                <w:szCs w:val="21"/>
                <w:highlight w:val="none"/>
                <w:vertAlign w:val="subscript"/>
              </w:rPr>
              <w:t>2.5</w:t>
            </w:r>
            <w:r>
              <w:rPr>
                <w:rFonts w:hint="default" w:ascii="Times New Roman" w:hAnsi="Times New Roman" w:eastAsia="宋体" w:cs="Times New Roman"/>
                <w:color w:val="auto"/>
                <w:spacing w:val="0"/>
                <w:sz w:val="21"/>
                <w:szCs w:val="21"/>
                <w:highlight w:val="none"/>
              </w:rPr>
              <w:t>、SO</w:t>
            </w:r>
            <w:r>
              <w:rPr>
                <w:rFonts w:hint="default" w:ascii="Times New Roman" w:hAnsi="Times New Roman" w:eastAsia="宋体" w:cs="Times New Roman"/>
                <w:color w:val="auto"/>
                <w:spacing w:val="0"/>
                <w:sz w:val="21"/>
                <w:szCs w:val="21"/>
                <w:highlight w:val="none"/>
                <w:vertAlign w:val="subscript"/>
              </w:rPr>
              <w:t>2</w:t>
            </w:r>
            <w:r>
              <w:rPr>
                <w:rFonts w:hint="default" w:ascii="Times New Roman" w:hAnsi="Times New Roman" w:eastAsia="宋体" w:cs="Times New Roman"/>
                <w:color w:val="auto"/>
                <w:spacing w:val="0"/>
                <w:sz w:val="21"/>
                <w:szCs w:val="21"/>
                <w:highlight w:val="none"/>
              </w:rPr>
              <w:t>、NO</w:t>
            </w:r>
            <w:r>
              <w:rPr>
                <w:rFonts w:hint="default" w:ascii="Times New Roman" w:hAnsi="Times New Roman" w:eastAsia="宋体" w:cs="Times New Roman"/>
                <w:color w:val="auto"/>
                <w:spacing w:val="0"/>
                <w:sz w:val="21"/>
                <w:szCs w:val="21"/>
                <w:highlight w:val="none"/>
                <w:vertAlign w:val="subscript"/>
              </w:rPr>
              <w:t>2</w:t>
            </w:r>
            <w:r>
              <w:rPr>
                <w:rFonts w:hint="default" w:ascii="Times New Roman" w:hAnsi="Times New Roman" w:eastAsia="宋体" w:cs="Times New Roman"/>
                <w:color w:val="auto"/>
                <w:spacing w:val="0"/>
                <w:sz w:val="21"/>
                <w:szCs w:val="21"/>
                <w:highlight w:val="none"/>
              </w:rPr>
              <w:t>、</w:t>
            </w:r>
            <w:r>
              <w:rPr>
                <w:rFonts w:hint="default" w:ascii="Times New Roman" w:hAnsi="Times New Roman" w:eastAsia="宋体" w:cs="Times New Roman"/>
                <w:color w:val="auto"/>
                <w:spacing w:val="0"/>
                <w:kern w:val="0"/>
                <w:sz w:val="21"/>
                <w:szCs w:val="21"/>
                <w:highlight w:val="none"/>
                <w:lang w:val="en-US" w:eastAsia="zh-CN"/>
              </w:rPr>
              <w:t>CO、O</w:t>
            </w:r>
            <w:r>
              <w:rPr>
                <w:rFonts w:hint="default" w:ascii="Times New Roman" w:hAnsi="Times New Roman" w:eastAsia="宋体" w:cs="Times New Roman"/>
                <w:color w:val="auto"/>
                <w:spacing w:val="0"/>
                <w:kern w:val="0"/>
                <w:sz w:val="21"/>
                <w:szCs w:val="21"/>
                <w:highlight w:val="none"/>
                <w:vertAlign w:val="subscript"/>
                <w:lang w:val="en-US" w:eastAsia="zh-CN"/>
              </w:rPr>
              <w:t>3</w:t>
            </w:r>
            <w:r>
              <w:rPr>
                <w:rFonts w:hint="default" w:ascii="Times New Roman" w:hAnsi="Times New Roman" w:eastAsia="宋体"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lang w:val="en-US" w:eastAsia="zh-CN"/>
              </w:rPr>
              <w:t>TSP</w:t>
            </w:r>
            <w:r>
              <w:rPr>
                <w:rFonts w:hint="default" w:ascii="Times New Roman" w:hAnsi="Times New Roman" w:eastAsia="宋体" w:cs="Times New Roman"/>
                <w:color w:val="auto"/>
                <w:spacing w:val="0"/>
                <w:sz w:val="21"/>
                <w:szCs w:val="21"/>
                <w:highlight w:val="none"/>
                <w:lang w:eastAsia="zh-CN"/>
              </w:rPr>
              <w:t>、</w:t>
            </w:r>
            <w:r>
              <w:rPr>
                <w:rFonts w:hint="default" w:ascii="Times New Roman" w:hAnsi="Times New Roman" w:eastAsia="宋体" w:cs="Times New Roman"/>
                <w:color w:val="auto"/>
                <w:spacing w:val="0"/>
                <w:kern w:val="0"/>
                <w:sz w:val="21"/>
                <w:szCs w:val="21"/>
                <w:highlight w:val="none"/>
                <w:lang w:val="en-US" w:eastAsia="zh-CN"/>
              </w:rPr>
              <w:t>NH</w:t>
            </w:r>
            <w:r>
              <w:rPr>
                <w:rFonts w:hint="default" w:ascii="Times New Roman" w:hAnsi="Times New Roman" w:eastAsia="宋体" w:cs="Times New Roman"/>
                <w:color w:val="auto"/>
                <w:spacing w:val="0"/>
                <w:kern w:val="0"/>
                <w:sz w:val="21"/>
                <w:szCs w:val="21"/>
                <w:highlight w:val="none"/>
                <w:vertAlign w:val="subscript"/>
                <w:lang w:val="en-US" w:eastAsia="zh-CN"/>
              </w:rPr>
              <w:t>3</w:t>
            </w:r>
            <w:r>
              <w:rPr>
                <w:rFonts w:hint="default" w:ascii="Times New Roman" w:hAnsi="Times New Roman" w:eastAsia="宋体"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lang w:val="en-US" w:eastAsia="zh-CN"/>
              </w:rPr>
              <w:t>Hg</w:t>
            </w:r>
          </w:p>
        </w:tc>
      </w:tr>
      <w:tr w14:paraId="016F8B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9" w:type="pct"/>
            <w:vMerge w:val="continue"/>
            <w:tcBorders>
              <w:tl2br w:val="nil"/>
              <w:tr2bl w:val="nil"/>
            </w:tcBorders>
            <w:noWrap w:val="0"/>
            <w:vAlign w:val="center"/>
          </w:tcPr>
          <w:p w14:paraId="60108652">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530" w:type="pct"/>
            <w:vMerge w:val="continue"/>
            <w:tcBorders>
              <w:tl2br w:val="nil"/>
              <w:tr2bl w:val="nil"/>
            </w:tcBorders>
            <w:noWrap w:val="0"/>
            <w:vAlign w:val="center"/>
          </w:tcPr>
          <w:p w14:paraId="361180CE">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741" w:type="pct"/>
            <w:tcBorders>
              <w:tl2br w:val="nil"/>
              <w:tr2bl w:val="nil"/>
            </w:tcBorders>
            <w:noWrap w:val="0"/>
            <w:vAlign w:val="center"/>
          </w:tcPr>
          <w:p w14:paraId="73306A86">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预测评价</w:t>
            </w:r>
          </w:p>
        </w:tc>
        <w:tc>
          <w:tcPr>
            <w:tcW w:w="3369" w:type="pct"/>
            <w:tcBorders>
              <w:tl2br w:val="nil"/>
              <w:tr2bl w:val="nil"/>
            </w:tcBorders>
            <w:noWrap w:val="0"/>
            <w:vAlign w:val="center"/>
          </w:tcPr>
          <w:p w14:paraId="0C859B40">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left"/>
              <w:textAlignment w:val="auto"/>
              <w:outlineLvl w:val="9"/>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rPr>
              <w:t>PM</w:t>
            </w:r>
            <w:r>
              <w:rPr>
                <w:rFonts w:hint="default" w:ascii="Times New Roman" w:hAnsi="Times New Roman" w:eastAsia="宋体" w:cs="Times New Roman"/>
                <w:color w:val="auto"/>
                <w:spacing w:val="0"/>
                <w:sz w:val="21"/>
                <w:szCs w:val="21"/>
                <w:highlight w:val="none"/>
                <w:vertAlign w:val="subscript"/>
              </w:rPr>
              <w:t>10</w:t>
            </w:r>
            <w:r>
              <w:rPr>
                <w:rFonts w:hint="default" w:ascii="Times New Roman" w:hAnsi="Times New Roman" w:eastAsia="宋体" w:cs="Times New Roman"/>
                <w:color w:val="auto"/>
                <w:spacing w:val="0"/>
                <w:sz w:val="21"/>
                <w:szCs w:val="21"/>
                <w:highlight w:val="none"/>
              </w:rPr>
              <w:t>、</w:t>
            </w:r>
            <w:r>
              <w:rPr>
                <w:rFonts w:hint="default" w:ascii="Times New Roman" w:hAnsi="Times New Roman" w:eastAsia="宋体" w:cs="Times New Roman"/>
                <w:color w:val="auto"/>
                <w:spacing w:val="0"/>
                <w:kern w:val="0"/>
                <w:sz w:val="21"/>
                <w:szCs w:val="21"/>
                <w:highlight w:val="none"/>
              </w:rPr>
              <w:t>PM</w:t>
            </w:r>
            <w:r>
              <w:rPr>
                <w:rFonts w:hint="default" w:ascii="Times New Roman" w:hAnsi="Times New Roman" w:eastAsia="宋体" w:cs="Times New Roman"/>
                <w:color w:val="auto"/>
                <w:spacing w:val="0"/>
                <w:kern w:val="0"/>
                <w:sz w:val="21"/>
                <w:szCs w:val="21"/>
                <w:highlight w:val="none"/>
                <w:vertAlign w:val="subscript"/>
              </w:rPr>
              <w:t>2.5</w:t>
            </w:r>
            <w:r>
              <w:rPr>
                <w:rFonts w:hint="default" w:ascii="Times New Roman" w:hAnsi="Times New Roman" w:eastAsia="宋体" w:cs="Times New Roman"/>
                <w:color w:val="auto"/>
                <w:spacing w:val="0"/>
                <w:sz w:val="21"/>
                <w:szCs w:val="21"/>
                <w:highlight w:val="none"/>
              </w:rPr>
              <w:t>、SO</w:t>
            </w:r>
            <w:r>
              <w:rPr>
                <w:rFonts w:hint="default" w:ascii="Times New Roman" w:hAnsi="Times New Roman" w:eastAsia="宋体" w:cs="Times New Roman"/>
                <w:color w:val="auto"/>
                <w:spacing w:val="0"/>
                <w:sz w:val="21"/>
                <w:szCs w:val="21"/>
                <w:highlight w:val="none"/>
                <w:vertAlign w:val="subscript"/>
              </w:rPr>
              <w:t>2</w:t>
            </w:r>
            <w:r>
              <w:rPr>
                <w:rFonts w:hint="default" w:ascii="Times New Roman" w:hAnsi="Times New Roman" w:eastAsia="宋体" w:cs="Times New Roman"/>
                <w:color w:val="auto"/>
                <w:spacing w:val="0"/>
                <w:sz w:val="21"/>
                <w:szCs w:val="21"/>
                <w:highlight w:val="none"/>
              </w:rPr>
              <w:t>、NO</w:t>
            </w:r>
            <w:r>
              <w:rPr>
                <w:rFonts w:hint="default" w:ascii="Times New Roman" w:hAnsi="Times New Roman" w:eastAsia="宋体" w:cs="Times New Roman"/>
                <w:color w:val="auto"/>
                <w:spacing w:val="0"/>
                <w:sz w:val="21"/>
                <w:szCs w:val="21"/>
                <w:highlight w:val="none"/>
                <w:vertAlign w:val="subscript"/>
              </w:rPr>
              <w:t>2</w:t>
            </w:r>
            <w:r>
              <w:rPr>
                <w:rFonts w:hint="default" w:ascii="Times New Roman" w:hAnsi="Times New Roman" w:eastAsia="宋体" w:cs="Times New Roman"/>
                <w:color w:val="auto"/>
                <w:spacing w:val="0"/>
                <w:sz w:val="21"/>
                <w:szCs w:val="21"/>
                <w:highlight w:val="none"/>
              </w:rPr>
              <w:t>、</w:t>
            </w:r>
            <w:r>
              <w:rPr>
                <w:rFonts w:hint="default" w:ascii="Times New Roman" w:hAnsi="Times New Roman" w:eastAsia="宋体" w:cs="Times New Roman"/>
                <w:color w:val="auto"/>
                <w:spacing w:val="0"/>
                <w:sz w:val="21"/>
                <w:szCs w:val="21"/>
                <w:highlight w:val="none"/>
                <w:lang w:val="en-US" w:eastAsia="zh-CN"/>
              </w:rPr>
              <w:t>TSP、</w:t>
            </w:r>
            <w:r>
              <w:rPr>
                <w:rFonts w:hint="default" w:ascii="Times New Roman" w:hAnsi="Times New Roman" w:eastAsia="宋体" w:cs="Times New Roman"/>
                <w:color w:val="auto"/>
                <w:spacing w:val="0"/>
                <w:kern w:val="0"/>
                <w:sz w:val="21"/>
                <w:szCs w:val="21"/>
                <w:highlight w:val="none"/>
                <w:lang w:val="en-US" w:eastAsia="zh-CN"/>
              </w:rPr>
              <w:t>NH</w:t>
            </w:r>
            <w:r>
              <w:rPr>
                <w:rFonts w:hint="default" w:ascii="Times New Roman" w:hAnsi="Times New Roman" w:eastAsia="宋体" w:cs="Times New Roman"/>
                <w:color w:val="auto"/>
                <w:spacing w:val="0"/>
                <w:kern w:val="0"/>
                <w:sz w:val="21"/>
                <w:szCs w:val="21"/>
                <w:highlight w:val="none"/>
                <w:vertAlign w:val="subscript"/>
                <w:lang w:val="en-US" w:eastAsia="zh-CN"/>
              </w:rPr>
              <w:t>3</w:t>
            </w:r>
            <w:r>
              <w:rPr>
                <w:rFonts w:hint="default" w:ascii="Times New Roman" w:hAnsi="Times New Roman" w:eastAsia="宋体"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lang w:val="en-US" w:eastAsia="zh-CN"/>
              </w:rPr>
              <w:t>Hg</w:t>
            </w:r>
          </w:p>
        </w:tc>
      </w:tr>
      <w:tr w14:paraId="21B8A5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9" w:type="pct"/>
            <w:vMerge w:val="restart"/>
            <w:tcBorders>
              <w:tl2br w:val="nil"/>
              <w:tr2bl w:val="nil"/>
            </w:tcBorders>
            <w:noWrap w:val="0"/>
            <w:vAlign w:val="center"/>
          </w:tcPr>
          <w:p w14:paraId="765081EE">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530" w:type="pct"/>
            <w:vMerge w:val="restart"/>
            <w:tcBorders>
              <w:tl2br w:val="nil"/>
              <w:tr2bl w:val="nil"/>
            </w:tcBorders>
            <w:noWrap w:val="0"/>
            <w:vAlign w:val="center"/>
          </w:tcPr>
          <w:p w14:paraId="3933E2BF">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地表水</w:t>
            </w:r>
          </w:p>
          <w:p w14:paraId="084CFF0E">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w:t>
            </w:r>
          </w:p>
        </w:tc>
        <w:tc>
          <w:tcPr>
            <w:tcW w:w="741" w:type="pct"/>
            <w:tcBorders>
              <w:tl2br w:val="nil"/>
              <w:tr2bl w:val="nil"/>
            </w:tcBorders>
            <w:noWrap w:val="0"/>
            <w:vAlign w:val="center"/>
          </w:tcPr>
          <w:p w14:paraId="1D525209">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现状评价</w:t>
            </w:r>
          </w:p>
        </w:tc>
        <w:tc>
          <w:tcPr>
            <w:tcW w:w="3369" w:type="pct"/>
            <w:tcBorders>
              <w:tl2br w:val="nil"/>
              <w:tr2bl w:val="nil"/>
            </w:tcBorders>
            <w:noWrap w:val="0"/>
            <w:vAlign w:val="center"/>
          </w:tcPr>
          <w:p w14:paraId="6B66BB9C">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COD、BOD</w:t>
            </w:r>
            <w:r>
              <w:rPr>
                <w:rFonts w:hint="default" w:ascii="Times New Roman" w:hAnsi="Times New Roman" w:eastAsia="宋体" w:cs="Times New Roman"/>
                <w:color w:val="auto"/>
                <w:kern w:val="2"/>
                <w:sz w:val="21"/>
                <w:szCs w:val="21"/>
                <w:highlight w:val="none"/>
                <w:vertAlign w:val="subscript"/>
                <w:lang w:val="en-US" w:eastAsia="zh-CN"/>
              </w:rPr>
              <w:t>5</w:t>
            </w:r>
            <w:r>
              <w:rPr>
                <w:rFonts w:hint="default" w:ascii="Times New Roman" w:hAnsi="Times New Roman" w:eastAsia="宋体" w:cs="Times New Roman"/>
                <w:color w:val="auto"/>
                <w:kern w:val="2"/>
                <w:sz w:val="21"/>
                <w:szCs w:val="21"/>
                <w:highlight w:val="none"/>
                <w:lang w:val="en-US" w:eastAsia="zh-CN"/>
              </w:rPr>
              <w:t>、NH</w:t>
            </w:r>
            <w:r>
              <w:rPr>
                <w:rFonts w:hint="default" w:ascii="Times New Roman" w:hAnsi="Times New Roman" w:eastAsia="宋体" w:cs="Times New Roman"/>
                <w:color w:val="auto"/>
                <w:kern w:val="2"/>
                <w:sz w:val="21"/>
                <w:szCs w:val="21"/>
                <w:highlight w:val="none"/>
                <w:vertAlign w:val="subscript"/>
                <w:lang w:val="en-US" w:eastAsia="zh-CN"/>
              </w:rPr>
              <w:t>3</w:t>
            </w:r>
            <w:r>
              <w:rPr>
                <w:rFonts w:hint="default" w:ascii="Times New Roman" w:hAnsi="Times New Roman" w:eastAsia="宋体" w:cs="Times New Roman"/>
                <w:color w:val="auto"/>
                <w:kern w:val="2"/>
                <w:sz w:val="21"/>
                <w:szCs w:val="21"/>
                <w:highlight w:val="none"/>
                <w:lang w:val="en-US" w:eastAsia="zh-CN"/>
              </w:rPr>
              <w:t>-N、高锰酸盐指数、总磷、氟化物、溶解氧</w:t>
            </w:r>
            <w:r>
              <w:rPr>
                <w:rFonts w:hint="eastAsia" w:ascii="Times New Roman" w:hAnsi="Times New Roman" w:eastAsia="宋体" w:cs="Times New Roman"/>
                <w:color w:val="auto"/>
                <w:kern w:val="2"/>
                <w:sz w:val="21"/>
                <w:szCs w:val="21"/>
                <w:highlight w:val="none"/>
                <w:lang w:val="en-US" w:eastAsia="zh-CN"/>
              </w:rPr>
              <w:t>、pH值、悬浮物、硫化物、总砷、总汞、总铅、总铬。</w:t>
            </w:r>
          </w:p>
        </w:tc>
      </w:tr>
      <w:tr w14:paraId="02FA58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9" w:type="pct"/>
            <w:vMerge w:val="continue"/>
            <w:tcBorders>
              <w:tl2br w:val="nil"/>
              <w:tr2bl w:val="nil"/>
            </w:tcBorders>
            <w:noWrap w:val="0"/>
            <w:vAlign w:val="center"/>
          </w:tcPr>
          <w:p w14:paraId="28F17F0A">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530" w:type="pct"/>
            <w:vMerge w:val="continue"/>
            <w:tcBorders>
              <w:tl2br w:val="nil"/>
              <w:tr2bl w:val="nil"/>
            </w:tcBorders>
            <w:noWrap w:val="0"/>
            <w:vAlign w:val="center"/>
          </w:tcPr>
          <w:p w14:paraId="68F02DC3">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741" w:type="pct"/>
            <w:tcBorders>
              <w:tl2br w:val="nil"/>
              <w:tr2bl w:val="nil"/>
            </w:tcBorders>
            <w:noWrap w:val="0"/>
            <w:vAlign w:val="center"/>
          </w:tcPr>
          <w:p w14:paraId="13E77F1A">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预测评价</w:t>
            </w:r>
          </w:p>
        </w:tc>
        <w:tc>
          <w:tcPr>
            <w:tcW w:w="3369" w:type="pct"/>
            <w:tcBorders>
              <w:tl2br w:val="nil"/>
              <w:tr2bl w:val="nil"/>
            </w:tcBorders>
            <w:noWrap w:val="0"/>
            <w:vAlign w:val="center"/>
          </w:tcPr>
          <w:p w14:paraId="0EB16FA2">
            <w:pPr>
              <w:pStyle w:val="69"/>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论述</w:t>
            </w:r>
            <w:r>
              <w:rPr>
                <w:rFonts w:hint="default" w:ascii="Times New Roman" w:hAnsi="Times New Roman" w:eastAsia="宋体" w:cs="Times New Roman"/>
                <w:color w:val="auto"/>
                <w:sz w:val="21"/>
                <w:szCs w:val="21"/>
                <w:highlight w:val="none"/>
              </w:rPr>
              <w:t>水污染控制和水环境影响减缓措施有效性评价和依托污水处理设施的环境可行性评价</w:t>
            </w:r>
          </w:p>
        </w:tc>
      </w:tr>
      <w:tr w14:paraId="396E33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9" w:type="pct"/>
            <w:vMerge w:val="restart"/>
            <w:tcBorders>
              <w:tl2br w:val="nil"/>
              <w:tr2bl w:val="nil"/>
            </w:tcBorders>
            <w:noWrap w:val="0"/>
            <w:vAlign w:val="center"/>
          </w:tcPr>
          <w:p w14:paraId="465F3686">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3</w:t>
            </w:r>
          </w:p>
        </w:tc>
        <w:tc>
          <w:tcPr>
            <w:tcW w:w="530" w:type="pct"/>
            <w:vMerge w:val="restart"/>
            <w:tcBorders>
              <w:tl2br w:val="nil"/>
              <w:tr2bl w:val="nil"/>
            </w:tcBorders>
            <w:noWrap w:val="0"/>
            <w:vAlign w:val="center"/>
          </w:tcPr>
          <w:p w14:paraId="41DB63A1">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声环境</w:t>
            </w:r>
          </w:p>
        </w:tc>
        <w:tc>
          <w:tcPr>
            <w:tcW w:w="741" w:type="pct"/>
            <w:tcBorders>
              <w:tl2br w:val="nil"/>
              <w:tr2bl w:val="nil"/>
            </w:tcBorders>
            <w:noWrap w:val="0"/>
            <w:vAlign w:val="center"/>
          </w:tcPr>
          <w:p w14:paraId="09E050CE">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现状评价</w:t>
            </w:r>
          </w:p>
        </w:tc>
        <w:tc>
          <w:tcPr>
            <w:tcW w:w="3369" w:type="pct"/>
            <w:tcBorders>
              <w:tl2br w:val="nil"/>
              <w:tr2bl w:val="nil"/>
            </w:tcBorders>
            <w:noWrap w:val="0"/>
            <w:vAlign w:val="center"/>
          </w:tcPr>
          <w:p w14:paraId="3197F2A5">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left"/>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等效连续A声级Leq（A）</w:t>
            </w:r>
          </w:p>
        </w:tc>
      </w:tr>
      <w:tr w14:paraId="2D0552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9" w:type="pct"/>
            <w:vMerge w:val="continue"/>
            <w:tcBorders>
              <w:tl2br w:val="nil"/>
              <w:tr2bl w:val="nil"/>
            </w:tcBorders>
            <w:noWrap w:val="0"/>
            <w:vAlign w:val="center"/>
          </w:tcPr>
          <w:p w14:paraId="58D366A7">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530" w:type="pct"/>
            <w:vMerge w:val="continue"/>
            <w:tcBorders>
              <w:tl2br w:val="nil"/>
              <w:tr2bl w:val="nil"/>
            </w:tcBorders>
            <w:noWrap w:val="0"/>
            <w:vAlign w:val="center"/>
          </w:tcPr>
          <w:p w14:paraId="1BDF68FA">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741" w:type="pct"/>
            <w:tcBorders>
              <w:tl2br w:val="nil"/>
              <w:tr2bl w:val="nil"/>
            </w:tcBorders>
            <w:noWrap w:val="0"/>
            <w:vAlign w:val="center"/>
          </w:tcPr>
          <w:p w14:paraId="05BF77EB">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预测评价</w:t>
            </w:r>
          </w:p>
        </w:tc>
        <w:tc>
          <w:tcPr>
            <w:tcW w:w="3369" w:type="pct"/>
            <w:tcBorders>
              <w:tl2br w:val="nil"/>
              <w:tr2bl w:val="nil"/>
            </w:tcBorders>
            <w:noWrap w:val="0"/>
            <w:vAlign w:val="center"/>
          </w:tcPr>
          <w:p w14:paraId="198FB87D">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left"/>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等效连续A声级Leq（A）</w:t>
            </w:r>
          </w:p>
        </w:tc>
      </w:tr>
      <w:tr w14:paraId="20EC64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9" w:type="pct"/>
            <w:vMerge w:val="restart"/>
            <w:tcBorders>
              <w:tl2br w:val="nil"/>
              <w:tr2bl w:val="nil"/>
            </w:tcBorders>
            <w:noWrap w:val="0"/>
            <w:vAlign w:val="center"/>
          </w:tcPr>
          <w:p w14:paraId="0F150D46">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4</w:t>
            </w:r>
          </w:p>
        </w:tc>
        <w:tc>
          <w:tcPr>
            <w:tcW w:w="530" w:type="pct"/>
            <w:vMerge w:val="restart"/>
            <w:tcBorders>
              <w:tl2br w:val="nil"/>
              <w:tr2bl w:val="nil"/>
            </w:tcBorders>
            <w:noWrap w:val="0"/>
            <w:vAlign w:val="center"/>
          </w:tcPr>
          <w:p w14:paraId="3F23AE03">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固体废物</w:t>
            </w:r>
          </w:p>
        </w:tc>
        <w:tc>
          <w:tcPr>
            <w:tcW w:w="741" w:type="pct"/>
            <w:tcBorders>
              <w:tl2br w:val="nil"/>
              <w:tr2bl w:val="nil"/>
            </w:tcBorders>
            <w:noWrap w:val="0"/>
            <w:vAlign w:val="center"/>
          </w:tcPr>
          <w:p w14:paraId="570F6A21">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现状评价</w:t>
            </w:r>
          </w:p>
        </w:tc>
        <w:tc>
          <w:tcPr>
            <w:tcW w:w="3369" w:type="pct"/>
            <w:tcBorders>
              <w:tl2br w:val="nil"/>
              <w:tr2bl w:val="nil"/>
            </w:tcBorders>
            <w:noWrap w:val="0"/>
            <w:vAlign w:val="center"/>
          </w:tcPr>
          <w:p w14:paraId="052A1F7B">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val="en-US"/>
              </w:rPr>
            </w:pPr>
            <w:r>
              <w:rPr>
                <w:rFonts w:hint="eastAsia" w:eastAsia="宋体" w:cs="Times New Roman"/>
                <w:color w:val="auto"/>
                <w:sz w:val="21"/>
                <w:szCs w:val="21"/>
                <w:highlight w:val="none"/>
                <w:lang w:val="en-US" w:eastAsia="zh-CN"/>
              </w:rPr>
              <w:t>/</w:t>
            </w:r>
          </w:p>
        </w:tc>
      </w:tr>
      <w:tr w14:paraId="1FEBA6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9" w:type="pct"/>
            <w:vMerge w:val="continue"/>
            <w:tcBorders>
              <w:tl2br w:val="nil"/>
              <w:tr2bl w:val="nil"/>
            </w:tcBorders>
            <w:noWrap w:val="0"/>
            <w:vAlign w:val="center"/>
          </w:tcPr>
          <w:p w14:paraId="4F3446AE">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530" w:type="pct"/>
            <w:vMerge w:val="continue"/>
            <w:tcBorders>
              <w:tl2br w:val="nil"/>
              <w:tr2bl w:val="nil"/>
            </w:tcBorders>
            <w:noWrap w:val="0"/>
            <w:vAlign w:val="center"/>
          </w:tcPr>
          <w:p w14:paraId="1F306919">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741" w:type="pct"/>
            <w:tcBorders>
              <w:tl2br w:val="nil"/>
              <w:tr2bl w:val="nil"/>
            </w:tcBorders>
            <w:noWrap w:val="0"/>
            <w:vAlign w:val="center"/>
          </w:tcPr>
          <w:p w14:paraId="0887DCA3">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预测评价</w:t>
            </w:r>
          </w:p>
        </w:tc>
        <w:tc>
          <w:tcPr>
            <w:tcW w:w="3369" w:type="pct"/>
            <w:tcBorders>
              <w:tl2br w:val="nil"/>
              <w:tr2bl w:val="nil"/>
            </w:tcBorders>
            <w:noWrap w:val="0"/>
            <w:vAlign w:val="center"/>
          </w:tcPr>
          <w:p w14:paraId="4F7AAD5C">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left"/>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生活垃圾、锅炉</w:t>
            </w:r>
            <w:r>
              <w:rPr>
                <w:rFonts w:hint="default" w:ascii="Times New Roman" w:hAnsi="Times New Roman" w:eastAsia="宋体" w:cs="Times New Roman"/>
                <w:color w:val="auto"/>
                <w:sz w:val="21"/>
                <w:szCs w:val="21"/>
                <w:highlight w:val="none"/>
                <w:lang w:val="en-US" w:eastAsia="zh-CN"/>
              </w:rPr>
              <w:t>灰渣</w:t>
            </w:r>
            <w:r>
              <w:rPr>
                <w:rFonts w:hint="default" w:ascii="Times New Roman" w:hAnsi="Times New Roman" w:eastAsia="宋体" w:cs="Times New Roman"/>
                <w:bCs/>
                <w:color w:val="auto"/>
                <w:sz w:val="21"/>
                <w:szCs w:val="21"/>
                <w:highlight w:val="none"/>
              </w:rPr>
              <w:t>、</w:t>
            </w:r>
            <w:r>
              <w:rPr>
                <w:rFonts w:hint="eastAsia" w:eastAsia="宋体" w:cs="Times New Roman"/>
                <w:bCs/>
                <w:color w:val="auto"/>
                <w:sz w:val="21"/>
                <w:szCs w:val="21"/>
                <w:highlight w:val="none"/>
                <w:lang w:val="en-US" w:eastAsia="zh-CN"/>
              </w:rPr>
              <w:t>废矿物油、除尘器收尘、</w:t>
            </w:r>
            <w:r>
              <w:rPr>
                <w:rFonts w:hint="default" w:ascii="Times New Roman" w:hAnsi="Times New Roman" w:eastAsia="宋体" w:cs="Times New Roman"/>
                <w:bCs/>
                <w:color w:val="auto"/>
                <w:sz w:val="21"/>
                <w:szCs w:val="21"/>
                <w:highlight w:val="none"/>
                <w:lang w:val="en-US" w:eastAsia="zh-CN"/>
              </w:rPr>
              <w:t>废布袋</w:t>
            </w:r>
            <w:r>
              <w:rPr>
                <w:rFonts w:hint="eastAsia" w:eastAsia="宋体" w:cs="Times New Roman"/>
                <w:bCs/>
                <w:color w:val="auto"/>
                <w:sz w:val="21"/>
                <w:szCs w:val="21"/>
                <w:highlight w:val="none"/>
                <w:lang w:val="en-US" w:eastAsia="zh-CN"/>
              </w:rPr>
              <w:t>、沉渣</w:t>
            </w:r>
          </w:p>
        </w:tc>
      </w:tr>
      <w:tr w14:paraId="56C2C5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49" w:hRule="atLeast"/>
          <w:jc w:val="center"/>
        </w:trPr>
        <w:tc>
          <w:tcPr>
            <w:tcW w:w="359" w:type="pct"/>
            <w:vMerge w:val="restart"/>
            <w:tcBorders>
              <w:tl2br w:val="nil"/>
              <w:tr2bl w:val="nil"/>
            </w:tcBorders>
            <w:noWrap w:val="0"/>
            <w:vAlign w:val="center"/>
          </w:tcPr>
          <w:p w14:paraId="300E13FD">
            <w:pPr>
              <w:pStyle w:val="15"/>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w:t>
            </w:r>
          </w:p>
        </w:tc>
        <w:tc>
          <w:tcPr>
            <w:tcW w:w="530" w:type="pct"/>
            <w:vMerge w:val="restart"/>
            <w:tcBorders>
              <w:tl2br w:val="nil"/>
              <w:tr2bl w:val="nil"/>
            </w:tcBorders>
            <w:noWrap w:val="0"/>
            <w:vAlign w:val="center"/>
          </w:tcPr>
          <w:p w14:paraId="09FB6AE4">
            <w:pPr>
              <w:pStyle w:val="15"/>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土壤环境</w:t>
            </w:r>
          </w:p>
        </w:tc>
        <w:tc>
          <w:tcPr>
            <w:tcW w:w="741" w:type="pct"/>
            <w:tcBorders>
              <w:tl2br w:val="nil"/>
              <w:tr2bl w:val="nil"/>
            </w:tcBorders>
            <w:noWrap w:val="0"/>
            <w:vAlign w:val="center"/>
          </w:tcPr>
          <w:p w14:paraId="6FD7BA42">
            <w:pPr>
              <w:pStyle w:val="15"/>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现状评价</w:t>
            </w:r>
          </w:p>
        </w:tc>
        <w:tc>
          <w:tcPr>
            <w:tcW w:w="3369" w:type="pct"/>
            <w:tcBorders>
              <w:tl2br w:val="nil"/>
              <w:tr2bl w:val="nil"/>
            </w:tcBorders>
            <w:noWrap w:val="0"/>
            <w:vAlign w:val="center"/>
          </w:tcPr>
          <w:p w14:paraId="0BF9912C">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left"/>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砷、镉、铬（六价）、铜、铅、汞、镍、四氯化碳、氯仿、氯甲烷、1,1-二氯乙烷、1,2-二氯乙烷、1,1-二氯乙烯、顺-1,2-二氯乙烯、反-1,2-二氯乙烯、二氯甲烷、1,2-二氯丙烷、1,1,1,2-四氯乙烷、1,1,2,2-四氯乙烷、四氯乙烯、1,1,1-三氯乙烷、1,1,2-三氯乙烷、三氯乙烯、1,2,3-三氯丙烷、氯乙烯、氯苯、1,2-二氯苯、1,4-二氯苯、乙苯、苯乙烯、硝基苯、苯胺、2-氯酚、苯并[a]蒽、苯并[a]芘、苯并[b]荧蒽、苯并[k]荧蒽、䓛（又名1，2-苯并菲）、二苯并[a,h]蒽、茚并[1,2,3-cd]芘、萘、苯、甲苯、间二甲苯+对二甲苯、邻二甲苯、pH</w:t>
            </w:r>
            <w:r>
              <w:rPr>
                <w:rFonts w:hint="eastAsia" w:eastAsia="宋体" w:cs="Times New Roman"/>
                <w:color w:val="auto"/>
                <w:sz w:val="21"/>
                <w:szCs w:val="21"/>
                <w:highlight w:val="none"/>
                <w:lang w:val="en-US" w:eastAsia="zh-CN"/>
              </w:rPr>
              <w:t>、锌</w:t>
            </w:r>
          </w:p>
        </w:tc>
      </w:tr>
      <w:tr w14:paraId="5EF940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359" w:type="pct"/>
            <w:vMerge w:val="continue"/>
            <w:tcBorders>
              <w:tl2br w:val="nil"/>
              <w:tr2bl w:val="nil"/>
            </w:tcBorders>
            <w:noWrap w:val="0"/>
            <w:vAlign w:val="center"/>
          </w:tcPr>
          <w:p w14:paraId="5D59A45A">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530" w:type="pct"/>
            <w:vMerge w:val="continue"/>
            <w:tcBorders>
              <w:tl2br w:val="nil"/>
              <w:tr2bl w:val="nil"/>
            </w:tcBorders>
            <w:noWrap w:val="0"/>
            <w:vAlign w:val="center"/>
          </w:tcPr>
          <w:p w14:paraId="6AA639CA">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741" w:type="pct"/>
            <w:tcBorders>
              <w:tl2br w:val="nil"/>
              <w:tr2bl w:val="nil"/>
            </w:tcBorders>
            <w:noWrap w:val="0"/>
            <w:vAlign w:val="center"/>
          </w:tcPr>
          <w:p w14:paraId="17727309">
            <w:pPr>
              <w:pStyle w:val="15"/>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预测评价</w:t>
            </w:r>
          </w:p>
        </w:tc>
        <w:tc>
          <w:tcPr>
            <w:tcW w:w="3369" w:type="pct"/>
            <w:tcBorders>
              <w:tl2br w:val="nil"/>
              <w:tr2bl w:val="nil"/>
            </w:tcBorders>
            <w:noWrap w:val="0"/>
            <w:vAlign w:val="center"/>
          </w:tcPr>
          <w:p w14:paraId="29095C86">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left"/>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汞</w:t>
            </w:r>
          </w:p>
        </w:tc>
      </w:tr>
    </w:tbl>
    <w:p w14:paraId="195F52BD">
      <w:pPr>
        <w:keepNext/>
        <w:keepLines/>
        <w:pageBreakBefore w:val="0"/>
        <w:widowControl w:val="0"/>
        <w:kinsoku/>
        <w:wordWrap/>
        <w:overflowPunct/>
        <w:topLinePunct w:val="0"/>
        <w:autoSpaceDE/>
        <w:autoSpaceDN/>
        <w:bidi w:val="0"/>
        <w:adjustRightInd/>
        <w:snapToGrid/>
        <w:spacing w:before="0" w:after="0" w:line="480" w:lineRule="exact"/>
        <w:ind w:left="0" w:firstLine="0" w:firstLineChars="0"/>
        <w:jc w:val="center"/>
        <w:textAlignment w:val="auto"/>
        <w:outlineLvl w:val="9"/>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sz w:val="24"/>
          <w:szCs w:val="24"/>
          <w:highlight w:val="none"/>
          <w:lang w:eastAsia="zh-CN"/>
        </w:rPr>
        <w:t>表</w:t>
      </w:r>
      <w:r>
        <w:rPr>
          <w:rFonts w:hint="default" w:ascii="Times New Roman" w:hAnsi="Times New Roman" w:eastAsia="宋体" w:cs="Times New Roman"/>
          <w:b w:val="0"/>
          <w:bCs w:val="0"/>
          <w:color w:val="auto"/>
          <w:sz w:val="24"/>
          <w:szCs w:val="24"/>
          <w:highlight w:val="none"/>
          <w:lang w:val="en-US" w:eastAsia="zh-CN"/>
        </w:rPr>
        <w:t>2.3-3  本项目生态评价因子的识别与筛选</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1"/>
        <w:gridCol w:w="1385"/>
        <w:gridCol w:w="2270"/>
        <w:gridCol w:w="1815"/>
        <w:gridCol w:w="1265"/>
        <w:gridCol w:w="1086"/>
      </w:tblGrid>
      <w:tr w14:paraId="01211A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1" w:type="pct"/>
            <w:tcBorders>
              <w:tl2br w:val="nil"/>
              <w:tr2bl w:val="nil"/>
            </w:tcBorders>
            <w:noWrap w:val="0"/>
            <w:vAlign w:val="center"/>
          </w:tcPr>
          <w:p w14:paraId="299E3260">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时期</w:t>
            </w:r>
          </w:p>
        </w:tc>
        <w:tc>
          <w:tcPr>
            <w:tcW w:w="812" w:type="pct"/>
            <w:tcBorders>
              <w:tl2br w:val="nil"/>
              <w:tr2bl w:val="nil"/>
            </w:tcBorders>
            <w:noWrap w:val="0"/>
            <w:vAlign w:val="center"/>
          </w:tcPr>
          <w:p w14:paraId="164B853C">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受影响对象</w:t>
            </w:r>
          </w:p>
        </w:tc>
        <w:tc>
          <w:tcPr>
            <w:tcW w:w="1331" w:type="pct"/>
            <w:tcBorders>
              <w:tl2br w:val="nil"/>
              <w:tr2bl w:val="nil"/>
            </w:tcBorders>
            <w:noWrap w:val="0"/>
            <w:vAlign w:val="center"/>
          </w:tcPr>
          <w:p w14:paraId="53A41BB8">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评价因子</w:t>
            </w:r>
          </w:p>
        </w:tc>
        <w:tc>
          <w:tcPr>
            <w:tcW w:w="1064" w:type="pct"/>
            <w:tcBorders>
              <w:tl2br w:val="nil"/>
              <w:tr2bl w:val="nil"/>
            </w:tcBorders>
            <w:noWrap w:val="0"/>
            <w:vAlign w:val="center"/>
          </w:tcPr>
          <w:p w14:paraId="4B216D50">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工程内容及影响方式</w:t>
            </w:r>
          </w:p>
        </w:tc>
        <w:tc>
          <w:tcPr>
            <w:tcW w:w="742" w:type="pct"/>
            <w:tcBorders>
              <w:tl2br w:val="nil"/>
              <w:tr2bl w:val="nil"/>
            </w:tcBorders>
            <w:noWrap w:val="0"/>
            <w:vAlign w:val="center"/>
          </w:tcPr>
          <w:p w14:paraId="0FDB1922">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影响性质</w:t>
            </w:r>
          </w:p>
        </w:tc>
        <w:tc>
          <w:tcPr>
            <w:tcW w:w="637" w:type="pct"/>
            <w:tcBorders>
              <w:tl2br w:val="nil"/>
              <w:tr2bl w:val="nil"/>
            </w:tcBorders>
            <w:noWrap w:val="0"/>
            <w:vAlign w:val="center"/>
          </w:tcPr>
          <w:p w14:paraId="5E9B2558">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影响程度</w:t>
            </w:r>
          </w:p>
        </w:tc>
      </w:tr>
      <w:tr w14:paraId="64DF8E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1" w:type="pct"/>
            <w:vMerge w:val="restart"/>
            <w:tcBorders>
              <w:tl2br w:val="nil"/>
              <w:tr2bl w:val="nil"/>
            </w:tcBorders>
            <w:noWrap w:val="0"/>
            <w:vAlign w:val="center"/>
          </w:tcPr>
          <w:p w14:paraId="14952DB9">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施</w:t>
            </w:r>
          </w:p>
          <w:p w14:paraId="781482B3">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w:t>
            </w:r>
          </w:p>
          <w:p w14:paraId="2CF2AA22">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期</w:t>
            </w:r>
          </w:p>
        </w:tc>
        <w:tc>
          <w:tcPr>
            <w:tcW w:w="812" w:type="pct"/>
            <w:tcBorders>
              <w:tl2br w:val="nil"/>
              <w:tr2bl w:val="nil"/>
            </w:tcBorders>
            <w:noWrap w:val="0"/>
            <w:vAlign w:val="center"/>
          </w:tcPr>
          <w:p w14:paraId="480BE210">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物种</w:t>
            </w:r>
          </w:p>
        </w:tc>
        <w:tc>
          <w:tcPr>
            <w:tcW w:w="1331" w:type="pct"/>
            <w:tcBorders>
              <w:tl2br w:val="nil"/>
              <w:tr2bl w:val="nil"/>
            </w:tcBorders>
            <w:noWrap w:val="0"/>
            <w:vAlign w:val="center"/>
          </w:tcPr>
          <w:p w14:paraId="4E694084">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分布范围、种群数量、种群结构、行为</w:t>
            </w:r>
          </w:p>
        </w:tc>
        <w:tc>
          <w:tcPr>
            <w:tcW w:w="1064" w:type="pct"/>
            <w:tcBorders>
              <w:tl2br w:val="nil"/>
              <w:tr2bl w:val="nil"/>
            </w:tcBorders>
            <w:noWrap w:val="0"/>
            <w:vAlign w:val="center"/>
          </w:tcPr>
          <w:p w14:paraId="462197F9">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土石方施工等施工建设内容</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rPr>
              <w:t>间接</w:t>
            </w:r>
          </w:p>
        </w:tc>
        <w:tc>
          <w:tcPr>
            <w:tcW w:w="742" w:type="pct"/>
            <w:tcBorders>
              <w:tl2br w:val="nil"/>
              <w:tr2bl w:val="nil"/>
            </w:tcBorders>
            <w:noWrap w:val="0"/>
            <w:vAlign w:val="center"/>
          </w:tcPr>
          <w:p w14:paraId="69633C6D">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短期可逆</w:t>
            </w:r>
          </w:p>
        </w:tc>
        <w:tc>
          <w:tcPr>
            <w:tcW w:w="637" w:type="pct"/>
            <w:tcBorders>
              <w:tl2br w:val="nil"/>
              <w:tr2bl w:val="nil"/>
            </w:tcBorders>
            <w:noWrap w:val="0"/>
            <w:vAlign w:val="center"/>
          </w:tcPr>
          <w:p w14:paraId="74203890">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弱</w:t>
            </w:r>
          </w:p>
        </w:tc>
      </w:tr>
      <w:tr w14:paraId="0198C8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1" w:type="pct"/>
            <w:vMerge w:val="continue"/>
            <w:tcBorders>
              <w:tl2br w:val="nil"/>
              <w:tr2bl w:val="nil"/>
            </w:tcBorders>
            <w:noWrap w:val="0"/>
            <w:vAlign w:val="center"/>
          </w:tcPr>
          <w:p w14:paraId="438FD176">
            <w:pPr>
              <w:pStyle w:val="100"/>
              <w:bidi w:val="0"/>
              <w:spacing w:line="240" w:lineRule="auto"/>
              <w:jc w:val="center"/>
              <w:rPr>
                <w:rFonts w:hint="default" w:ascii="Times New Roman" w:hAnsi="Times New Roman" w:eastAsia="宋体" w:cs="Times New Roman"/>
                <w:color w:val="auto"/>
                <w:sz w:val="21"/>
                <w:szCs w:val="21"/>
                <w:highlight w:val="none"/>
              </w:rPr>
            </w:pPr>
          </w:p>
        </w:tc>
        <w:tc>
          <w:tcPr>
            <w:tcW w:w="812" w:type="pct"/>
            <w:tcBorders>
              <w:tl2br w:val="nil"/>
              <w:tr2bl w:val="nil"/>
            </w:tcBorders>
            <w:noWrap w:val="0"/>
            <w:vAlign w:val="center"/>
          </w:tcPr>
          <w:p w14:paraId="51FA8F8E">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生物群落</w:t>
            </w:r>
          </w:p>
        </w:tc>
        <w:tc>
          <w:tcPr>
            <w:tcW w:w="1331" w:type="pct"/>
            <w:tcBorders>
              <w:tl2br w:val="nil"/>
              <w:tr2bl w:val="nil"/>
            </w:tcBorders>
            <w:noWrap w:val="0"/>
            <w:vAlign w:val="center"/>
          </w:tcPr>
          <w:p w14:paraId="4E86E3F6">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物种组成、群落结构</w:t>
            </w:r>
          </w:p>
        </w:tc>
        <w:tc>
          <w:tcPr>
            <w:tcW w:w="1064" w:type="pct"/>
            <w:tcBorders>
              <w:tl2br w:val="nil"/>
              <w:tr2bl w:val="nil"/>
            </w:tcBorders>
            <w:noWrap w:val="0"/>
            <w:vAlign w:val="center"/>
          </w:tcPr>
          <w:p w14:paraId="44F0A339">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土石方施工等施工建设内容</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rPr>
              <w:t>间接</w:t>
            </w:r>
          </w:p>
        </w:tc>
        <w:tc>
          <w:tcPr>
            <w:tcW w:w="742" w:type="pct"/>
            <w:tcBorders>
              <w:tl2br w:val="nil"/>
              <w:tr2bl w:val="nil"/>
            </w:tcBorders>
            <w:noWrap w:val="0"/>
            <w:vAlign w:val="center"/>
          </w:tcPr>
          <w:p w14:paraId="54605108">
            <w:pPr>
              <w:pStyle w:val="100"/>
              <w:bidi w:val="0"/>
              <w:spacing w:line="24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短期可逆</w:t>
            </w:r>
          </w:p>
        </w:tc>
        <w:tc>
          <w:tcPr>
            <w:tcW w:w="637" w:type="pct"/>
            <w:tcBorders>
              <w:tl2br w:val="nil"/>
              <w:tr2bl w:val="nil"/>
            </w:tcBorders>
            <w:noWrap w:val="0"/>
            <w:vAlign w:val="center"/>
          </w:tcPr>
          <w:p w14:paraId="7DB5B4A2">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无</w:t>
            </w:r>
          </w:p>
        </w:tc>
      </w:tr>
      <w:tr w14:paraId="1F018A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1" w:type="pct"/>
            <w:vMerge w:val="continue"/>
            <w:tcBorders>
              <w:tl2br w:val="nil"/>
              <w:tr2bl w:val="nil"/>
            </w:tcBorders>
            <w:noWrap w:val="0"/>
            <w:vAlign w:val="center"/>
          </w:tcPr>
          <w:p w14:paraId="0A98F0C1">
            <w:pPr>
              <w:pStyle w:val="100"/>
              <w:bidi w:val="0"/>
              <w:spacing w:line="240" w:lineRule="auto"/>
              <w:jc w:val="center"/>
              <w:rPr>
                <w:rFonts w:hint="default" w:ascii="Times New Roman" w:hAnsi="Times New Roman" w:eastAsia="宋体" w:cs="Times New Roman"/>
                <w:color w:val="auto"/>
                <w:sz w:val="21"/>
                <w:szCs w:val="21"/>
                <w:highlight w:val="none"/>
              </w:rPr>
            </w:pPr>
          </w:p>
        </w:tc>
        <w:tc>
          <w:tcPr>
            <w:tcW w:w="812" w:type="pct"/>
            <w:tcBorders>
              <w:tl2br w:val="nil"/>
              <w:tr2bl w:val="nil"/>
            </w:tcBorders>
            <w:noWrap w:val="0"/>
            <w:vAlign w:val="center"/>
          </w:tcPr>
          <w:p w14:paraId="502F8058">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生物多样性</w:t>
            </w:r>
          </w:p>
        </w:tc>
        <w:tc>
          <w:tcPr>
            <w:tcW w:w="1331" w:type="pct"/>
            <w:tcBorders>
              <w:tl2br w:val="nil"/>
              <w:tr2bl w:val="nil"/>
            </w:tcBorders>
            <w:noWrap w:val="0"/>
            <w:vAlign w:val="center"/>
          </w:tcPr>
          <w:p w14:paraId="721F448F">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物种丰富度、均匀度、优势度</w:t>
            </w:r>
          </w:p>
        </w:tc>
        <w:tc>
          <w:tcPr>
            <w:tcW w:w="1064" w:type="pct"/>
            <w:tcBorders>
              <w:tl2br w:val="nil"/>
              <w:tr2bl w:val="nil"/>
            </w:tcBorders>
            <w:noWrap w:val="0"/>
            <w:vAlign w:val="center"/>
          </w:tcPr>
          <w:p w14:paraId="68AC899B">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土石方施工等施工建设内容</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rPr>
              <w:t>间接</w:t>
            </w:r>
          </w:p>
        </w:tc>
        <w:tc>
          <w:tcPr>
            <w:tcW w:w="742" w:type="pct"/>
            <w:tcBorders>
              <w:tl2br w:val="nil"/>
              <w:tr2bl w:val="nil"/>
            </w:tcBorders>
            <w:noWrap w:val="0"/>
            <w:vAlign w:val="center"/>
          </w:tcPr>
          <w:p w14:paraId="3047A23A">
            <w:pPr>
              <w:pStyle w:val="100"/>
              <w:bidi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短期可逆</w:t>
            </w:r>
          </w:p>
        </w:tc>
        <w:tc>
          <w:tcPr>
            <w:tcW w:w="637" w:type="pct"/>
            <w:tcBorders>
              <w:tl2br w:val="nil"/>
              <w:tr2bl w:val="nil"/>
            </w:tcBorders>
            <w:noWrap w:val="0"/>
            <w:vAlign w:val="center"/>
          </w:tcPr>
          <w:p w14:paraId="525766EF">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无</w:t>
            </w:r>
          </w:p>
        </w:tc>
      </w:tr>
      <w:tr w14:paraId="227136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1" w:type="pct"/>
            <w:vMerge w:val="restart"/>
            <w:tcBorders>
              <w:tl2br w:val="nil"/>
              <w:tr2bl w:val="nil"/>
            </w:tcBorders>
            <w:noWrap w:val="0"/>
            <w:vAlign w:val="center"/>
          </w:tcPr>
          <w:p w14:paraId="4CD5EE2C">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运</w:t>
            </w:r>
          </w:p>
          <w:p w14:paraId="273EF0E1">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营</w:t>
            </w:r>
          </w:p>
          <w:p w14:paraId="69F6C147">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期</w:t>
            </w:r>
          </w:p>
        </w:tc>
        <w:tc>
          <w:tcPr>
            <w:tcW w:w="812" w:type="pct"/>
            <w:tcBorders>
              <w:tl2br w:val="nil"/>
              <w:tr2bl w:val="nil"/>
            </w:tcBorders>
            <w:noWrap w:val="0"/>
            <w:vAlign w:val="center"/>
          </w:tcPr>
          <w:p w14:paraId="7AC445B3">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物种</w:t>
            </w:r>
          </w:p>
        </w:tc>
        <w:tc>
          <w:tcPr>
            <w:tcW w:w="1331" w:type="pct"/>
            <w:tcBorders>
              <w:tl2br w:val="nil"/>
              <w:tr2bl w:val="nil"/>
            </w:tcBorders>
            <w:noWrap w:val="0"/>
            <w:vAlign w:val="center"/>
          </w:tcPr>
          <w:p w14:paraId="10E477F3">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分布范围、种群数量、种群结构、行为</w:t>
            </w:r>
          </w:p>
        </w:tc>
        <w:tc>
          <w:tcPr>
            <w:tcW w:w="1064" w:type="pct"/>
            <w:tcBorders>
              <w:tl2br w:val="nil"/>
              <w:tr2bl w:val="nil"/>
            </w:tcBorders>
            <w:noWrap w:val="0"/>
            <w:vAlign w:val="center"/>
          </w:tcPr>
          <w:p w14:paraId="12F76B6A">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锅炉</w:t>
            </w:r>
            <w:r>
              <w:rPr>
                <w:rFonts w:hint="default" w:ascii="Times New Roman" w:hAnsi="Times New Roman" w:eastAsia="宋体" w:cs="Times New Roman"/>
                <w:color w:val="auto"/>
                <w:sz w:val="21"/>
                <w:szCs w:val="21"/>
                <w:highlight w:val="none"/>
                <w:lang w:eastAsia="zh-CN"/>
              </w:rPr>
              <w:t>废气、噪声</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rPr>
              <w:t>间接</w:t>
            </w:r>
          </w:p>
        </w:tc>
        <w:tc>
          <w:tcPr>
            <w:tcW w:w="742" w:type="pct"/>
            <w:tcBorders>
              <w:tl2br w:val="nil"/>
              <w:tr2bl w:val="nil"/>
            </w:tcBorders>
            <w:noWrap w:val="0"/>
            <w:vAlign w:val="center"/>
          </w:tcPr>
          <w:p w14:paraId="018766CD">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长期可逆</w:t>
            </w:r>
          </w:p>
        </w:tc>
        <w:tc>
          <w:tcPr>
            <w:tcW w:w="637" w:type="pct"/>
            <w:tcBorders>
              <w:tl2br w:val="nil"/>
              <w:tr2bl w:val="nil"/>
            </w:tcBorders>
            <w:noWrap w:val="0"/>
            <w:vAlign w:val="center"/>
          </w:tcPr>
          <w:p w14:paraId="1719C4E2">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无</w:t>
            </w:r>
          </w:p>
        </w:tc>
      </w:tr>
      <w:tr w14:paraId="01925C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1" w:type="pct"/>
            <w:vMerge w:val="continue"/>
            <w:tcBorders>
              <w:tl2br w:val="nil"/>
              <w:tr2bl w:val="nil"/>
            </w:tcBorders>
            <w:noWrap w:val="0"/>
            <w:vAlign w:val="center"/>
          </w:tcPr>
          <w:p w14:paraId="2721C3D4">
            <w:pPr>
              <w:pStyle w:val="100"/>
              <w:bidi w:val="0"/>
              <w:spacing w:line="240" w:lineRule="auto"/>
              <w:jc w:val="center"/>
              <w:rPr>
                <w:rFonts w:hint="default" w:ascii="Times New Roman" w:hAnsi="Times New Roman" w:eastAsia="宋体" w:cs="Times New Roman"/>
                <w:color w:val="auto"/>
                <w:sz w:val="21"/>
                <w:szCs w:val="21"/>
                <w:highlight w:val="none"/>
              </w:rPr>
            </w:pPr>
          </w:p>
        </w:tc>
        <w:tc>
          <w:tcPr>
            <w:tcW w:w="812" w:type="pct"/>
            <w:tcBorders>
              <w:tl2br w:val="nil"/>
              <w:tr2bl w:val="nil"/>
            </w:tcBorders>
            <w:noWrap w:val="0"/>
            <w:vAlign w:val="center"/>
          </w:tcPr>
          <w:p w14:paraId="0FFB2BE5">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生物群落</w:t>
            </w:r>
          </w:p>
        </w:tc>
        <w:tc>
          <w:tcPr>
            <w:tcW w:w="1331" w:type="pct"/>
            <w:tcBorders>
              <w:tl2br w:val="nil"/>
              <w:tr2bl w:val="nil"/>
            </w:tcBorders>
            <w:noWrap w:val="0"/>
            <w:vAlign w:val="center"/>
          </w:tcPr>
          <w:p w14:paraId="5AB1F1D6">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物种组成、群落结构</w:t>
            </w:r>
          </w:p>
        </w:tc>
        <w:tc>
          <w:tcPr>
            <w:tcW w:w="1064" w:type="pct"/>
            <w:tcBorders>
              <w:tl2br w:val="nil"/>
              <w:tr2bl w:val="nil"/>
            </w:tcBorders>
            <w:noWrap w:val="0"/>
            <w:vAlign w:val="center"/>
          </w:tcPr>
          <w:p w14:paraId="5BABAB07">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锅炉</w:t>
            </w:r>
            <w:r>
              <w:rPr>
                <w:rFonts w:hint="default" w:ascii="Times New Roman" w:hAnsi="Times New Roman" w:eastAsia="宋体" w:cs="Times New Roman"/>
                <w:color w:val="auto"/>
                <w:sz w:val="21"/>
                <w:szCs w:val="21"/>
                <w:highlight w:val="none"/>
                <w:lang w:eastAsia="zh-CN"/>
              </w:rPr>
              <w:t>废气、噪声</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rPr>
              <w:t>间接</w:t>
            </w:r>
          </w:p>
        </w:tc>
        <w:tc>
          <w:tcPr>
            <w:tcW w:w="742" w:type="pct"/>
            <w:tcBorders>
              <w:tl2br w:val="nil"/>
              <w:tr2bl w:val="nil"/>
            </w:tcBorders>
            <w:noWrap w:val="0"/>
            <w:vAlign w:val="center"/>
          </w:tcPr>
          <w:p w14:paraId="76BA8A1A">
            <w:pPr>
              <w:pStyle w:val="10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长期可逆</w:t>
            </w:r>
          </w:p>
        </w:tc>
        <w:tc>
          <w:tcPr>
            <w:tcW w:w="637" w:type="pct"/>
            <w:tcBorders>
              <w:tl2br w:val="nil"/>
              <w:tr2bl w:val="nil"/>
            </w:tcBorders>
            <w:noWrap w:val="0"/>
            <w:vAlign w:val="center"/>
          </w:tcPr>
          <w:p w14:paraId="50D74E17">
            <w:pPr>
              <w:pStyle w:val="100"/>
              <w:bidi w:val="0"/>
              <w:spacing w:line="24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无</w:t>
            </w:r>
          </w:p>
        </w:tc>
      </w:tr>
    </w:tbl>
    <w:p w14:paraId="20479860">
      <w:pPr>
        <w:pStyle w:val="6"/>
        <w:numPr>
          <w:ilvl w:val="2"/>
          <w:numId w:val="3"/>
        </w:numPr>
        <w:bidi w:val="0"/>
        <w:ind w:left="709" w:leftChars="0" w:hanging="709" w:firstLineChars="0"/>
        <w:rPr>
          <w:rFonts w:hint="default" w:ascii="Times New Roman" w:hAnsi="Times New Roman" w:eastAsia="宋体" w:cs="Times New Roman"/>
          <w:color w:val="auto"/>
          <w:highlight w:val="none"/>
        </w:rPr>
      </w:pPr>
      <w:bookmarkStart w:id="123" w:name="_Toc25960"/>
      <w:bookmarkStart w:id="124" w:name="_Toc14612"/>
      <w:bookmarkStart w:id="125" w:name="_Toc22110"/>
      <w:r>
        <w:rPr>
          <w:rFonts w:hint="default" w:ascii="Times New Roman" w:hAnsi="Times New Roman" w:eastAsia="宋体" w:cs="Times New Roman"/>
          <w:color w:val="auto"/>
          <w:highlight w:val="none"/>
        </w:rPr>
        <w:t>环境功能区</w:t>
      </w:r>
      <w:bookmarkEnd w:id="123"/>
      <w:bookmarkEnd w:id="124"/>
      <w:bookmarkEnd w:id="125"/>
    </w:p>
    <w:p w14:paraId="16F6F44F">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本项目大气环境功能区划为《环境空气质量标准》（GB3095-2012）二类功能区，执行《环境空气质量标准》（GB3095-2012）二级标准及其修改单中的相关规定；声环境功能区属于《声环境质量标准》（GB3096-2008）</w:t>
      </w:r>
      <w:r>
        <w:rPr>
          <w:rFonts w:hint="eastAsia" w:ascii="Times New Roman" w:hAnsi="Times New Roman" w:eastAsia="宋体" w:cs="Times New Roman"/>
          <w:color w:val="auto"/>
          <w:highlight w:val="none"/>
          <w:lang w:eastAsia="zh-CN"/>
        </w:rPr>
        <w:t>3类</w:t>
      </w:r>
      <w:r>
        <w:rPr>
          <w:rFonts w:hint="default" w:ascii="Times New Roman" w:hAnsi="Times New Roman" w:eastAsia="宋体" w:cs="Times New Roman"/>
          <w:color w:val="auto"/>
          <w:highlight w:val="none"/>
        </w:rPr>
        <w:t>声环境功能区，执行《声环境质量标准》（GB3096-2008）表1环境噪声限值中的</w:t>
      </w:r>
      <w:r>
        <w:rPr>
          <w:rFonts w:hint="eastAsia" w:ascii="Times New Roman" w:hAnsi="Times New Roman" w:eastAsia="宋体" w:cs="Times New Roman"/>
          <w:color w:val="auto"/>
          <w:highlight w:val="none"/>
          <w:lang w:eastAsia="zh-CN"/>
        </w:rPr>
        <w:t>3类</w:t>
      </w:r>
      <w:r>
        <w:rPr>
          <w:rFonts w:hint="default" w:ascii="Times New Roman" w:hAnsi="Times New Roman" w:eastAsia="宋体" w:cs="Times New Roman"/>
          <w:color w:val="auto"/>
          <w:highlight w:val="none"/>
        </w:rPr>
        <w:t>标准；</w:t>
      </w:r>
      <w:r>
        <w:rPr>
          <w:rFonts w:hint="default" w:ascii="Times New Roman" w:hAnsi="Times New Roman" w:eastAsia="宋体" w:cs="Times New Roman"/>
          <w:color w:val="auto"/>
          <w:highlight w:val="none"/>
          <w:lang w:eastAsia="zh-CN"/>
        </w:rPr>
        <w:t>本项目</w:t>
      </w:r>
      <w:r>
        <w:rPr>
          <w:rFonts w:hint="default" w:ascii="Times New Roman" w:hAnsi="Times New Roman" w:eastAsia="宋体" w:cs="Times New Roman"/>
          <w:color w:val="auto"/>
          <w:highlight w:val="none"/>
        </w:rPr>
        <w:t>最终纳污水域为</w:t>
      </w:r>
      <w:r>
        <w:rPr>
          <w:rFonts w:hint="eastAsia" w:ascii="Times New Roman" w:hAnsi="Times New Roman" w:eastAsia="宋体" w:cs="Times New Roman"/>
          <w:color w:val="auto"/>
          <w:highlight w:val="none"/>
          <w:lang w:val="en-US" w:eastAsia="zh-CN"/>
        </w:rPr>
        <w:t>松花江－佳木斯市排污控制区（起始断面为汤旺河汇入口上1km、终止断面为佳木斯港务局断面）</w:t>
      </w:r>
      <w:r>
        <w:rPr>
          <w:rFonts w:hint="default" w:ascii="Times New Roman" w:hAnsi="Times New Roman" w:eastAsia="宋体" w:cs="Times New Roman"/>
          <w:color w:val="auto"/>
          <w:highlight w:val="none"/>
        </w:rPr>
        <w:t>，根据《全国重要江河湖泊水功能区划</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2011</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2030年</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》（黑龙江省）</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执行《地表水环境质量标准》（GB3838-2002）Ⅳ类标准</w:t>
      </w:r>
      <w:r>
        <w:rPr>
          <w:rFonts w:hint="default"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eastAsia="zh-CN"/>
        </w:rPr>
        <w:t>本项目所在区域为规划的工业用地，</w:t>
      </w:r>
      <w:r>
        <w:rPr>
          <w:rFonts w:hint="default" w:ascii="Times New Roman" w:hAnsi="Times New Roman" w:eastAsia="宋体" w:cs="Times New Roman"/>
          <w:color w:val="auto"/>
          <w:highlight w:val="none"/>
        </w:rPr>
        <w:t>项目厂区内土壤环境执行《土壤环境质量建设用地土壤污染风险管控标准（试行）》（GB36600-2018）表1中筛选值第二类用地限值要求。</w:t>
      </w:r>
    </w:p>
    <w:p w14:paraId="5CAE37F3">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126" w:name="_Toc17228"/>
      <w:bookmarkStart w:id="127" w:name="_Toc10525"/>
      <w:bookmarkStart w:id="128" w:name="_Toc28226"/>
      <w:r>
        <w:rPr>
          <w:rFonts w:hint="default" w:ascii="Times New Roman" w:hAnsi="Times New Roman" w:eastAsia="宋体" w:cs="Times New Roman"/>
          <w:color w:val="auto"/>
          <w:highlight w:val="none"/>
        </w:rPr>
        <w:t>评价标准</w:t>
      </w:r>
      <w:bookmarkEnd w:id="120"/>
      <w:bookmarkEnd w:id="121"/>
      <w:bookmarkEnd w:id="122"/>
      <w:bookmarkEnd w:id="126"/>
      <w:bookmarkEnd w:id="127"/>
      <w:bookmarkEnd w:id="128"/>
    </w:p>
    <w:p w14:paraId="4DA9528B">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环境质量标准</w:t>
      </w:r>
    </w:p>
    <w:p w14:paraId="6A9908AC">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本项目环境空气质量标准执行情况见表2</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3-4。</w:t>
      </w:r>
    </w:p>
    <w:p w14:paraId="5A358F4E">
      <w:pPr>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表2.3-</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本项目环境空气质量标准情况表  单位：μg/m</w:t>
      </w:r>
      <w:r>
        <w:rPr>
          <w:rFonts w:hint="default" w:ascii="Times New Roman" w:hAnsi="Times New Roman" w:eastAsia="宋体" w:cs="Times New Roman"/>
          <w:color w:val="auto"/>
          <w:highlight w:val="none"/>
          <w:vertAlign w:val="superscript"/>
        </w:rPr>
        <w:t>3</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Layout w:type="autofit"/>
        <w:tblCellMar>
          <w:top w:w="0" w:type="dxa"/>
          <w:left w:w="108" w:type="dxa"/>
          <w:bottom w:w="0" w:type="dxa"/>
          <w:right w:w="108" w:type="dxa"/>
        </w:tblCellMar>
      </w:tblPr>
      <w:tblGrid>
        <w:gridCol w:w="1178"/>
        <w:gridCol w:w="1260"/>
        <w:gridCol w:w="1983"/>
        <w:gridCol w:w="1064"/>
        <w:gridCol w:w="3037"/>
      </w:tblGrid>
      <w:tr w14:paraId="213E2AFA">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blHeader/>
          <w:jc w:val="center"/>
        </w:trPr>
        <w:tc>
          <w:tcPr>
            <w:tcW w:w="691" w:type="pct"/>
            <w:tcBorders>
              <w:tl2br w:val="nil"/>
              <w:tr2bl w:val="nil"/>
            </w:tcBorders>
            <w:vAlign w:val="center"/>
          </w:tcPr>
          <w:p w14:paraId="0222D47C">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序号</w:t>
            </w:r>
          </w:p>
        </w:tc>
        <w:tc>
          <w:tcPr>
            <w:tcW w:w="739" w:type="pct"/>
            <w:tcBorders>
              <w:tl2br w:val="nil"/>
              <w:tr2bl w:val="nil"/>
            </w:tcBorders>
            <w:vAlign w:val="center"/>
          </w:tcPr>
          <w:p w14:paraId="1F21CF9D">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污染物</w:t>
            </w:r>
          </w:p>
        </w:tc>
        <w:tc>
          <w:tcPr>
            <w:tcW w:w="1163" w:type="pct"/>
            <w:tcBorders>
              <w:tl2br w:val="nil"/>
              <w:tr2bl w:val="nil"/>
            </w:tcBorders>
            <w:vAlign w:val="center"/>
          </w:tcPr>
          <w:p w14:paraId="092BEFEB">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取值时间</w:t>
            </w:r>
          </w:p>
        </w:tc>
        <w:tc>
          <w:tcPr>
            <w:tcW w:w="624" w:type="pct"/>
            <w:tcBorders>
              <w:tl2br w:val="nil"/>
              <w:tr2bl w:val="nil"/>
            </w:tcBorders>
            <w:vAlign w:val="center"/>
          </w:tcPr>
          <w:p w14:paraId="2DB00184">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浓度限值</w:t>
            </w:r>
          </w:p>
        </w:tc>
        <w:tc>
          <w:tcPr>
            <w:tcW w:w="1781" w:type="pct"/>
            <w:tcBorders>
              <w:tl2br w:val="nil"/>
              <w:tr2bl w:val="nil"/>
            </w:tcBorders>
            <w:vAlign w:val="center"/>
          </w:tcPr>
          <w:p w14:paraId="6B0F62A9">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标准来源</w:t>
            </w:r>
          </w:p>
        </w:tc>
      </w:tr>
      <w:tr w14:paraId="00CC3F22">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jc w:val="center"/>
        </w:trPr>
        <w:tc>
          <w:tcPr>
            <w:tcW w:w="691" w:type="pct"/>
            <w:vMerge w:val="restart"/>
            <w:tcBorders>
              <w:tl2br w:val="nil"/>
              <w:tr2bl w:val="nil"/>
            </w:tcBorders>
            <w:vAlign w:val="center"/>
          </w:tcPr>
          <w:p w14:paraId="7342E3BF">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w:t>
            </w:r>
          </w:p>
        </w:tc>
        <w:tc>
          <w:tcPr>
            <w:tcW w:w="739" w:type="pct"/>
            <w:vMerge w:val="restart"/>
            <w:tcBorders>
              <w:tl2br w:val="nil"/>
              <w:tr2bl w:val="nil"/>
            </w:tcBorders>
            <w:vAlign w:val="center"/>
          </w:tcPr>
          <w:p w14:paraId="799A38CA">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SO</w:t>
            </w:r>
            <w:r>
              <w:rPr>
                <w:rFonts w:hint="default" w:ascii="Times New Roman" w:hAnsi="Times New Roman" w:eastAsia="宋体" w:cs="Times New Roman"/>
                <w:color w:val="auto"/>
                <w:highlight w:val="none"/>
                <w:vertAlign w:val="subscript"/>
              </w:rPr>
              <w:t>2</w:t>
            </w:r>
          </w:p>
        </w:tc>
        <w:tc>
          <w:tcPr>
            <w:tcW w:w="1163" w:type="pct"/>
            <w:tcBorders>
              <w:tl2br w:val="nil"/>
              <w:tr2bl w:val="nil"/>
            </w:tcBorders>
            <w:vAlign w:val="center"/>
          </w:tcPr>
          <w:p w14:paraId="57F8B640">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年平均</w:t>
            </w:r>
          </w:p>
        </w:tc>
        <w:tc>
          <w:tcPr>
            <w:tcW w:w="624" w:type="pct"/>
            <w:tcBorders>
              <w:tl2br w:val="nil"/>
              <w:tr2bl w:val="nil"/>
            </w:tcBorders>
            <w:vAlign w:val="center"/>
          </w:tcPr>
          <w:p w14:paraId="18F3DDE9">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60</w:t>
            </w:r>
          </w:p>
        </w:tc>
        <w:tc>
          <w:tcPr>
            <w:tcW w:w="1781" w:type="pct"/>
            <w:vMerge w:val="restart"/>
            <w:tcBorders>
              <w:tl2br w:val="nil"/>
              <w:tr2bl w:val="nil"/>
            </w:tcBorders>
            <w:vAlign w:val="center"/>
          </w:tcPr>
          <w:p w14:paraId="2A8E05F9">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《环境空气质量标准》（GB3095-2012）二级标准</w:t>
            </w:r>
          </w:p>
        </w:tc>
      </w:tr>
      <w:tr w14:paraId="04E35212">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jc w:val="center"/>
        </w:trPr>
        <w:tc>
          <w:tcPr>
            <w:tcW w:w="691" w:type="pct"/>
            <w:vMerge w:val="continue"/>
            <w:tcBorders>
              <w:tl2br w:val="nil"/>
              <w:tr2bl w:val="nil"/>
            </w:tcBorders>
            <w:vAlign w:val="center"/>
          </w:tcPr>
          <w:p w14:paraId="71D240D9">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c>
          <w:tcPr>
            <w:tcW w:w="739" w:type="pct"/>
            <w:vMerge w:val="continue"/>
            <w:tcBorders>
              <w:tl2br w:val="nil"/>
              <w:tr2bl w:val="nil"/>
            </w:tcBorders>
            <w:vAlign w:val="center"/>
          </w:tcPr>
          <w:p w14:paraId="17FD0F7D">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c>
          <w:tcPr>
            <w:tcW w:w="1163" w:type="pct"/>
            <w:tcBorders>
              <w:tl2br w:val="nil"/>
              <w:tr2bl w:val="nil"/>
            </w:tcBorders>
            <w:vAlign w:val="center"/>
          </w:tcPr>
          <w:p w14:paraId="587E4090">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24小时平均</w:t>
            </w:r>
          </w:p>
        </w:tc>
        <w:tc>
          <w:tcPr>
            <w:tcW w:w="624" w:type="pct"/>
            <w:tcBorders>
              <w:tl2br w:val="nil"/>
              <w:tr2bl w:val="nil"/>
            </w:tcBorders>
            <w:vAlign w:val="center"/>
          </w:tcPr>
          <w:p w14:paraId="7BC9533F">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150</w:t>
            </w:r>
          </w:p>
        </w:tc>
        <w:tc>
          <w:tcPr>
            <w:tcW w:w="1781" w:type="pct"/>
            <w:vMerge w:val="continue"/>
            <w:tcBorders>
              <w:tl2br w:val="nil"/>
              <w:tr2bl w:val="nil"/>
            </w:tcBorders>
            <w:vAlign w:val="center"/>
          </w:tcPr>
          <w:p w14:paraId="0FD2FB4D">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r>
      <w:tr w14:paraId="0FBCD488">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jc w:val="center"/>
        </w:trPr>
        <w:tc>
          <w:tcPr>
            <w:tcW w:w="691" w:type="pct"/>
            <w:vMerge w:val="continue"/>
            <w:tcBorders>
              <w:tl2br w:val="nil"/>
              <w:tr2bl w:val="nil"/>
            </w:tcBorders>
            <w:vAlign w:val="center"/>
          </w:tcPr>
          <w:p w14:paraId="5A9275D3">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c>
          <w:tcPr>
            <w:tcW w:w="739" w:type="pct"/>
            <w:vMerge w:val="continue"/>
            <w:tcBorders>
              <w:tl2br w:val="nil"/>
              <w:tr2bl w:val="nil"/>
            </w:tcBorders>
            <w:vAlign w:val="center"/>
          </w:tcPr>
          <w:p w14:paraId="37973608">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c>
          <w:tcPr>
            <w:tcW w:w="1163" w:type="pct"/>
            <w:tcBorders>
              <w:tl2br w:val="nil"/>
              <w:tr2bl w:val="nil"/>
            </w:tcBorders>
            <w:vAlign w:val="center"/>
          </w:tcPr>
          <w:p w14:paraId="59E16CFA">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1小时平均</w:t>
            </w:r>
          </w:p>
        </w:tc>
        <w:tc>
          <w:tcPr>
            <w:tcW w:w="624" w:type="pct"/>
            <w:tcBorders>
              <w:tl2br w:val="nil"/>
              <w:tr2bl w:val="nil"/>
            </w:tcBorders>
            <w:vAlign w:val="center"/>
          </w:tcPr>
          <w:p w14:paraId="183E4C2A">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500</w:t>
            </w:r>
          </w:p>
        </w:tc>
        <w:tc>
          <w:tcPr>
            <w:tcW w:w="1781" w:type="pct"/>
            <w:vMerge w:val="continue"/>
            <w:tcBorders>
              <w:tl2br w:val="nil"/>
              <w:tr2bl w:val="nil"/>
            </w:tcBorders>
            <w:vAlign w:val="center"/>
          </w:tcPr>
          <w:p w14:paraId="0C85B6A3">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r>
      <w:tr w14:paraId="766750F9">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jc w:val="center"/>
        </w:trPr>
        <w:tc>
          <w:tcPr>
            <w:tcW w:w="691" w:type="pct"/>
            <w:vMerge w:val="restart"/>
            <w:tcBorders>
              <w:tl2br w:val="nil"/>
              <w:tr2bl w:val="nil"/>
            </w:tcBorders>
            <w:vAlign w:val="center"/>
          </w:tcPr>
          <w:p w14:paraId="3FAA14C1">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w:t>
            </w:r>
          </w:p>
        </w:tc>
        <w:tc>
          <w:tcPr>
            <w:tcW w:w="739" w:type="pct"/>
            <w:vMerge w:val="restart"/>
            <w:tcBorders>
              <w:tl2br w:val="nil"/>
              <w:tr2bl w:val="nil"/>
            </w:tcBorders>
            <w:vAlign w:val="center"/>
          </w:tcPr>
          <w:p w14:paraId="37ABFCA2">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PM</w:t>
            </w:r>
            <w:r>
              <w:rPr>
                <w:rFonts w:hint="default" w:ascii="Times New Roman" w:hAnsi="Times New Roman" w:eastAsia="宋体" w:cs="Times New Roman"/>
                <w:color w:val="auto"/>
                <w:highlight w:val="none"/>
                <w:vertAlign w:val="subscript"/>
              </w:rPr>
              <w:t>10</w:t>
            </w:r>
          </w:p>
        </w:tc>
        <w:tc>
          <w:tcPr>
            <w:tcW w:w="1163" w:type="pct"/>
            <w:tcBorders>
              <w:tl2br w:val="nil"/>
              <w:tr2bl w:val="nil"/>
            </w:tcBorders>
            <w:vAlign w:val="center"/>
          </w:tcPr>
          <w:p w14:paraId="6C5C8578">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年平均</w:t>
            </w:r>
          </w:p>
        </w:tc>
        <w:tc>
          <w:tcPr>
            <w:tcW w:w="624" w:type="pct"/>
            <w:tcBorders>
              <w:tl2br w:val="nil"/>
              <w:tr2bl w:val="nil"/>
            </w:tcBorders>
            <w:vAlign w:val="center"/>
          </w:tcPr>
          <w:p w14:paraId="1FC88916">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70</w:t>
            </w:r>
          </w:p>
        </w:tc>
        <w:tc>
          <w:tcPr>
            <w:tcW w:w="1781" w:type="pct"/>
            <w:vMerge w:val="continue"/>
            <w:tcBorders>
              <w:tl2br w:val="nil"/>
              <w:tr2bl w:val="nil"/>
            </w:tcBorders>
            <w:vAlign w:val="center"/>
          </w:tcPr>
          <w:p w14:paraId="114134B6">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r>
      <w:tr w14:paraId="139760EB">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jc w:val="center"/>
        </w:trPr>
        <w:tc>
          <w:tcPr>
            <w:tcW w:w="691" w:type="pct"/>
            <w:vMerge w:val="continue"/>
            <w:tcBorders>
              <w:tl2br w:val="nil"/>
              <w:tr2bl w:val="nil"/>
            </w:tcBorders>
            <w:vAlign w:val="center"/>
          </w:tcPr>
          <w:p w14:paraId="44F2D688">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c>
          <w:tcPr>
            <w:tcW w:w="739" w:type="pct"/>
            <w:vMerge w:val="continue"/>
            <w:tcBorders>
              <w:tl2br w:val="nil"/>
              <w:tr2bl w:val="nil"/>
            </w:tcBorders>
            <w:vAlign w:val="center"/>
          </w:tcPr>
          <w:p w14:paraId="33BCFDD7">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c>
          <w:tcPr>
            <w:tcW w:w="1163" w:type="pct"/>
            <w:tcBorders>
              <w:tl2br w:val="nil"/>
              <w:tr2bl w:val="nil"/>
            </w:tcBorders>
            <w:vAlign w:val="center"/>
          </w:tcPr>
          <w:p w14:paraId="34AC6DE4">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24小时平均</w:t>
            </w:r>
          </w:p>
        </w:tc>
        <w:tc>
          <w:tcPr>
            <w:tcW w:w="624" w:type="pct"/>
            <w:tcBorders>
              <w:tl2br w:val="nil"/>
              <w:tr2bl w:val="nil"/>
            </w:tcBorders>
            <w:vAlign w:val="center"/>
          </w:tcPr>
          <w:p w14:paraId="2203DA85">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150</w:t>
            </w:r>
          </w:p>
        </w:tc>
        <w:tc>
          <w:tcPr>
            <w:tcW w:w="1781" w:type="pct"/>
            <w:vMerge w:val="continue"/>
            <w:tcBorders>
              <w:tl2br w:val="nil"/>
              <w:tr2bl w:val="nil"/>
            </w:tcBorders>
            <w:vAlign w:val="center"/>
          </w:tcPr>
          <w:p w14:paraId="2105DFC2">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r>
      <w:tr w14:paraId="10A3C222">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jc w:val="center"/>
        </w:trPr>
        <w:tc>
          <w:tcPr>
            <w:tcW w:w="691" w:type="pct"/>
            <w:vMerge w:val="restart"/>
            <w:tcBorders>
              <w:tl2br w:val="nil"/>
              <w:tr2bl w:val="nil"/>
            </w:tcBorders>
            <w:vAlign w:val="center"/>
          </w:tcPr>
          <w:p w14:paraId="7F87FA32">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w:t>
            </w:r>
          </w:p>
        </w:tc>
        <w:tc>
          <w:tcPr>
            <w:tcW w:w="739" w:type="pct"/>
            <w:vMerge w:val="restart"/>
            <w:tcBorders>
              <w:tl2br w:val="nil"/>
              <w:tr2bl w:val="nil"/>
            </w:tcBorders>
            <w:vAlign w:val="center"/>
          </w:tcPr>
          <w:p w14:paraId="15B04B0A">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NO</w:t>
            </w:r>
            <w:r>
              <w:rPr>
                <w:rFonts w:hint="default" w:ascii="Times New Roman" w:hAnsi="Times New Roman" w:eastAsia="宋体" w:cs="Times New Roman"/>
                <w:color w:val="auto"/>
                <w:highlight w:val="none"/>
                <w:vertAlign w:val="subscript"/>
              </w:rPr>
              <w:t>2</w:t>
            </w:r>
          </w:p>
        </w:tc>
        <w:tc>
          <w:tcPr>
            <w:tcW w:w="1163" w:type="pct"/>
            <w:tcBorders>
              <w:tl2br w:val="nil"/>
              <w:tr2bl w:val="nil"/>
            </w:tcBorders>
            <w:vAlign w:val="center"/>
          </w:tcPr>
          <w:p w14:paraId="4B4841D1">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年平均</w:t>
            </w:r>
          </w:p>
        </w:tc>
        <w:tc>
          <w:tcPr>
            <w:tcW w:w="624" w:type="pct"/>
            <w:tcBorders>
              <w:tl2br w:val="nil"/>
              <w:tr2bl w:val="nil"/>
            </w:tcBorders>
            <w:vAlign w:val="center"/>
          </w:tcPr>
          <w:p w14:paraId="5385F8A2">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40</w:t>
            </w:r>
          </w:p>
        </w:tc>
        <w:tc>
          <w:tcPr>
            <w:tcW w:w="1781" w:type="pct"/>
            <w:vMerge w:val="continue"/>
            <w:tcBorders>
              <w:tl2br w:val="nil"/>
              <w:tr2bl w:val="nil"/>
            </w:tcBorders>
            <w:vAlign w:val="center"/>
          </w:tcPr>
          <w:p w14:paraId="72407A88">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r>
      <w:tr w14:paraId="3D15C74E">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jc w:val="center"/>
        </w:trPr>
        <w:tc>
          <w:tcPr>
            <w:tcW w:w="691" w:type="pct"/>
            <w:vMerge w:val="continue"/>
            <w:tcBorders>
              <w:tl2br w:val="nil"/>
              <w:tr2bl w:val="nil"/>
            </w:tcBorders>
            <w:vAlign w:val="center"/>
          </w:tcPr>
          <w:p w14:paraId="3D77D526">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c>
          <w:tcPr>
            <w:tcW w:w="739" w:type="pct"/>
            <w:vMerge w:val="continue"/>
            <w:tcBorders>
              <w:tl2br w:val="nil"/>
              <w:tr2bl w:val="nil"/>
            </w:tcBorders>
            <w:vAlign w:val="center"/>
          </w:tcPr>
          <w:p w14:paraId="1CCA0F89">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c>
          <w:tcPr>
            <w:tcW w:w="1163" w:type="pct"/>
            <w:tcBorders>
              <w:tl2br w:val="nil"/>
              <w:tr2bl w:val="nil"/>
            </w:tcBorders>
            <w:vAlign w:val="center"/>
          </w:tcPr>
          <w:p w14:paraId="745B2137">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24小时平均</w:t>
            </w:r>
          </w:p>
        </w:tc>
        <w:tc>
          <w:tcPr>
            <w:tcW w:w="624" w:type="pct"/>
            <w:tcBorders>
              <w:tl2br w:val="nil"/>
              <w:tr2bl w:val="nil"/>
            </w:tcBorders>
            <w:vAlign w:val="center"/>
          </w:tcPr>
          <w:p w14:paraId="7990008E">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80</w:t>
            </w:r>
          </w:p>
        </w:tc>
        <w:tc>
          <w:tcPr>
            <w:tcW w:w="1781" w:type="pct"/>
            <w:vMerge w:val="continue"/>
            <w:tcBorders>
              <w:tl2br w:val="nil"/>
              <w:tr2bl w:val="nil"/>
            </w:tcBorders>
            <w:vAlign w:val="center"/>
          </w:tcPr>
          <w:p w14:paraId="293A6E73">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r>
      <w:tr w14:paraId="728FA437">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jc w:val="center"/>
        </w:trPr>
        <w:tc>
          <w:tcPr>
            <w:tcW w:w="691" w:type="pct"/>
            <w:vMerge w:val="continue"/>
            <w:tcBorders>
              <w:tl2br w:val="nil"/>
              <w:tr2bl w:val="nil"/>
            </w:tcBorders>
            <w:vAlign w:val="center"/>
          </w:tcPr>
          <w:p w14:paraId="1C2961AE">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c>
          <w:tcPr>
            <w:tcW w:w="739" w:type="pct"/>
            <w:vMerge w:val="continue"/>
            <w:tcBorders>
              <w:tl2br w:val="nil"/>
              <w:tr2bl w:val="nil"/>
            </w:tcBorders>
            <w:vAlign w:val="center"/>
          </w:tcPr>
          <w:p w14:paraId="3397E887">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c>
          <w:tcPr>
            <w:tcW w:w="1163" w:type="pct"/>
            <w:tcBorders>
              <w:tl2br w:val="nil"/>
              <w:tr2bl w:val="nil"/>
            </w:tcBorders>
            <w:vAlign w:val="center"/>
          </w:tcPr>
          <w:p w14:paraId="736E42A8">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1小时平均</w:t>
            </w:r>
          </w:p>
        </w:tc>
        <w:tc>
          <w:tcPr>
            <w:tcW w:w="624" w:type="pct"/>
            <w:tcBorders>
              <w:tl2br w:val="nil"/>
              <w:tr2bl w:val="nil"/>
            </w:tcBorders>
            <w:vAlign w:val="center"/>
          </w:tcPr>
          <w:p w14:paraId="47DA83AD">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200</w:t>
            </w:r>
          </w:p>
        </w:tc>
        <w:tc>
          <w:tcPr>
            <w:tcW w:w="1781" w:type="pct"/>
            <w:vMerge w:val="continue"/>
            <w:tcBorders>
              <w:tl2br w:val="nil"/>
              <w:tr2bl w:val="nil"/>
            </w:tcBorders>
            <w:vAlign w:val="center"/>
          </w:tcPr>
          <w:p w14:paraId="26753A66">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r>
      <w:tr w14:paraId="35005ABC">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jc w:val="center"/>
        </w:trPr>
        <w:tc>
          <w:tcPr>
            <w:tcW w:w="691" w:type="pct"/>
            <w:vMerge w:val="restart"/>
            <w:tcBorders>
              <w:tl2br w:val="nil"/>
              <w:tr2bl w:val="nil"/>
            </w:tcBorders>
            <w:vAlign w:val="center"/>
          </w:tcPr>
          <w:p w14:paraId="67CA54A9">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w:t>
            </w:r>
          </w:p>
        </w:tc>
        <w:tc>
          <w:tcPr>
            <w:tcW w:w="739" w:type="pct"/>
            <w:vMerge w:val="restart"/>
            <w:tcBorders>
              <w:tl2br w:val="nil"/>
              <w:tr2bl w:val="nil"/>
            </w:tcBorders>
            <w:vAlign w:val="center"/>
          </w:tcPr>
          <w:p w14:paraId="7CA0791D">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PM</w:t>
            </w:r>
            <w:r>
              <w:rPr>
                <w:rFonts w:hint="default" w:ascii="Times New Roman" w:hAnsi="Times New Roman" w:eastAsia="宋体" w:cs="Times New Roman"/>
                <w:color w:val="auto"/>
                <w:highlight w:val="none"/>
                <w:vertAlign w:val="subscript"/>
              </w:rPr>
              <w:t>2.5</w:t>
            </w:r>
          </w:p>
        </w:tc>
        <w:tc>
          <w:tcPr>
            <w:tcW w:w="1163" w:type="pct"/>
            <w:tcBorders>
              <w:tl2br w:val="nil"/>
              <w:tr2bl w:val="nil"/>
            </w:tcBorders>
            <w:vAlign w:val="center"/>
          </w:tcPr>
          <w:p w14:paraId="4D2044C0">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年平均</w:t>
            </w:r>
          </w:p>
        </w:tc>
        <w:tc>
          <w:tcPr>
            <w:tcW w:w="624" w:type="pct"/>
            <w:tcBorders>
              <w:tl2br w:val="nil"/>
              <w:tr2bl w:val="nil"/>
            </w:tcBorders>
            <w:vAlign w:val="center"/>
          </w:tcPr>
          <w:p w14:paraId="5AB3CDB5">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35</w:t>
            </w:r>
          </w:p>
        </w:tc>
        <w:tc>
          <w:tcPr>
            <w:tcW w:w="1781" w:type="pct"/>
            <w:vMerge w:val="continue"/>
            <w:tcBorders>
              <w:tl2br w:val="nil"/>
              <w:tr2bl w:val="nil"/>
            </w:tcBorders>
            <w:vAlign w:val="center"/>
          </w:tcPr>
          <w:p w14:paraId="1C68BFA3">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r>
      <w:tr w14:paraId="136CBC9E">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jc w:val="center"/>
        </w:trPr>
        <w:tc>
          <w:tcPr>
            <w:tcW w:w="691" w:type="pct"/>
            <w:vMerge w:val="continue"/>
            <w:tcBorders>
              <w:tl2br w:val="nil"/>
              <w:tr2bl w:val="nil"/>
            </w:tcBorders>
            <w:vAlign w:val="center"/>
          </w:tcPr>
          <w:p w14:paraId="09DE81B0">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c>
          <w:tcPr>
            <w:tcW w:w="739" w:type="pct"/>
            <w:vMerge w:val="continue"/>
            <w:tcBorders>
              <w:tl2br w:val="nil"/>
              <w:tr2bl w:val="nil"/>
            </w:tcBorders>
            <w:vAlign w:val="center"/>
          </w:tcPr>
          <w:p w14:paraId="76D0D167">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c>
          <w:tcPr>
            <w:tcW w:w="1163" w:type="pct"/>
            <w:tcBorders>
              <w:tl2br w:val="nil"/>
              <w:tr2bl w:val="nil"/>
            </w:tcBorders>
            <w:vAlign w:val="center"/>
          </w:tcPr>
          <w:p w14:paraId="7B97A776">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24小时平均</w:t>
            </w:r>
          </w:p>
        </w:tc>
        <w:tc>
          <w:tcPr>
            <w:tcW w:w="624" w:type="pct"/>
            <w:tcBorders>
              <w:tl2br w:val="nil"/>
              <w:tr2bl w:val="nil"/>
            </w:tcBorders>
            <w:vAlign w:val="center"/>
          </w:tcPr>
          <w:p w14:paraId="3C3BC239">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75</w:t>
            </w:r>
          </w:p>
        </w:tc>
        <w:tc>
          <w:tcPr>
            <w:tcW w:w="1781" w:type="pct"/>
            <w:vMerge w:val="continue"/>
            <w:tcBorders>
              <w:tl2br w:val="nil"/>
              <w:tr2bl w:val="nil"/>
            </w:tcBorders>
            <w:vAlign w:val="center"/>
          </w:tcPr>
          <w:p w14:paraId="30764D1A">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r>
      <w:tr w14:paraId="15062BFA">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jc w:val="center"/>
        </w:trPr>
        <w:tc>
          <w:tcPr>
            <w:tcW w:w="691" w:type="pct"/>
            <w:vMerge w:val="restart"/>
            <w:tcBorders>
              <w:tl2br w:val="nil"/>
              <w:tr2bl w:val="nil"/>
            </w:tcBorders>
            <w:vAlign w:val="center"/>
          </w:tcPr>
          <w:p w14:paraId="48523953">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w:t>
            </w:r>
          </w:p>
        </w:tc>
        <w:tc>
          <w:tcPr>
            <w:tcW w:w="739" w:type="pct"/>
            <w:vMerge w:val="restart"/>
            <w:tcBorders>
              <w:tl2br w:val="nil"/>
              <w:tr2bl w:val="nil"/>
            </w:tcBorders>
            <w:vAlign w:val="center"/>
          </w:tcPr>
          <w:p w14:paraId="77C6BD20">
            <w:pPr>
              <w:pStyle w:val="68"/>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CO</w:t>
            </w:r>
          </w:p>
        </w:tc>
        <w:tc>
          <w:tcPr>
            <w:tcW w:w="1163" w:type="pct"/>
            <w:tcBorders>
              <w:tl2br w:val="nil"/>
              <w:tr2bl w:val="nil"/>
            </w:tcBorders>
            <w:vAlign w:val="center"/>
          </w:tcPr>
          <w:p w14:paraId="4F67B88E">
            <w:pPr>
              <w:pStyle w:val="68"/>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24小时平均</w:t>
            </w:r>
          </w:p>
        </w:tc>
        <w:tc>
          <w:tcPr>
            <w:tcW w:w="624" w:type="pct"/>
            <w:tcBorders>
              <w:tl2br w:val="nil"/>
              <w:tr2bl w:val="nil"/>
            </w:tcBorders>
            <w:vAlign w:val="center"/>
          </w:tcPr>
          <w:p w14:paraId="79631846">
            <w:pPr>
              <w:pStyle w:val="68"/>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4mg/m</w:t>
            </w:r>
            <w:r>
              <w:rPr>
                <w:rFonts w:hint="default" w:ascii="Times New Roman" w:hAnsi="Times New Roman" w:eastAsia="宋体" w:cs="Times New Roman"/>
                <w:color w:val="auto"/>
                <w:highlight w:val="none"/>
                <w:vertAlign w:val="superscript"/>
              </w:rPr>
              <w:t>3</w:t>
            </w:r>
          </w:p>
        </w:tc>
        <w:tc>
          <w:tcPr>
            <w:tcW w:w="1781" w:type="pct"/>
            <w:vMerge w:val="continue"/>
            <w:tcBorders>
              <w:tl2br w:val="nil"/>
              <w:tr2bl w:val="nil"/>
            </w:tcBorders>
            <w:vAlign w:val="center"/>
          </w:tcPr>
          <w:p w14:paraId="68DB4D8C">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r>
      <w:tr w14:paraId="5E5FD0BF">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jc w:val="center"/>
        </w:trPr>
        <w:tc>
          <w:tcPr>
            <w:tcW w:w="691" w:type="pct"/>
            <w:vMerge w:val="continue"/>
            <w:tcBorders>
              <w:tl2br w:val="nil"/>
              <w:tr2bl w:val="nil"/>
            </w:tcBorders>
            <w:vAlign w:val="center"/>
          </w:tcPr>
          <w:p w14:paraId="550AAD70">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c>
          <w:tcPr>
            <w:tcW w:w="739" w:type="pct"/>
            <w:vMerge w:val="continue"/>
            <w:tcBorders>
              <w:tl2br w:val="nil"/>
              <w:tr2bl w:val="nil"/>
            </w:tcBorders>
            <w:vAlign w:val="center"/>
          </w:tcPr>
          <w:p w14:paraId="34B9DE2E">
            <w:pPr>
              <w:pStyle w:val="68"/>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c>
          <w:tcPr>
            <w:tcW w:w="1163" w:type="pct"/>
            <w:tcBorders>
              <w:tl2br w:val="nil"/>
              <w:tr2bl w:val="nil"/>
            </w:tcBorders>
            <w:vAlign w:val="center"/>
          </w:tcPr>
          <w:p w14:paraId="289E9940">
            <w:pPr>
              <w:pStyle w:val="68"/>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1小时平均</w:t>
            </w:r>
          </w:p>
        </w:tc>
        <w:tc>
          <w:tcPr>
            <w:tcW w:w="624" w:type="pct"/>
            <w:tcBorders>
              <w:tl2br w:val="nil"/>
              <w:tr2bl w:val="nil"/>
            </w:tcBorders>
            <w:vAlign w:val="center"/>
          </w:tcPr>
          <w:p w14:paraId="4F64F49C">
            <w:pPr>
              <w:pStyle w:val="68"/>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10mg/m</w:t>
            </w:r>
            <w:r>
              <w:rPr>
                <w:rFonts w:hint="default" w:ascii="Times New Roman" w:hAnsi="Times New Roman" w:eastAsia="宋体" w:cs="Times New Roman"/>
                <w:color w:val="auto"/>
                <w:highlight w:val="none"/>
                <w:vertAlign w:val="superscript"/>
              </w:rPr>
              <w:t>3</w:t>
            </w:r>
          </w:p>
        </w:tc>
        <w:tc>
          <w:tcPr>
            <w:tcW w:w="1781" w:type="pct"/>
            <w:vMerge w:val="continue"/>
            <w:tcBorders>
              <w:tl2br w:val="nil"/>
              <w:tr2bl w:val="nil"/>
            </w:tcBorders>
            <w:vAlign w:val="center"/>
          </w:tcPr>
          <w:p w14:paraId="1D741278">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r>
      <w:tr w14:paraId="06DC2D6F">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jc w:val="center"/>
        </w:trPr>
        <w:tc>
          <w:tcPr>
            <w:tcW w:w="691" w:type="pct"/>
            <w:vMerge w:val="restart"/>
            <w:tcBorders>
              <w:tl2br w:val="nil"/>
              <w:tr2bl w:val="nil"/>
            </w:tcBorders>
            <w:vAlign w:val="center"/>
          </w:tcPr>
          <w:p w14:paraId="3635873B">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w:t>
            </w:r>
          </w:p>
        </w:tc>
        <w:tc>
          <w:tcPr>
            <w:tcW w:w="739" w:type="pct"/>
            <w:vMerge w:val="restart"/>
            <w:tcBorders>
              <w:tl2br w:val="nil"/>
              <w:tr2bl w:val="nil"/>
            </w:tcBorders>
            <w:vAlign w:val="center"/>
          </w:tcPr>
          <w:p w14:paraId="0823EF4F">
            <w:pPr>
              <w:pStyle w:val="68"/>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O</w:t>
            </w:r>
            <w:r>
              <w:rPr>
                <w:rFonts w:hint="default" w:ascii="Times New Roman" w:hAnsi="Times New Roman" w:eastAsia="宋体" w:cs="Times New Roman"/>
                <w:color w:val="auto"/>
                <w:highlight w:val="none"/>
                <w:vertAlign w:val="subscript"/>
              </w:rPr>
              <w:t>3</w:t>
            </w:r>
          </w:p>
        </w:tc>
        <w:tc>
          <w:tcPr>
            <w:tcW w:w="1163" w:type="pct"/>
            <w:tcBorders>
              <w:tl2br w:val="nil"/>
              <w:tr2bl w:val="nil"/>
            </w:tcBorders>
            <w:vAlign w:val="center"/>
          </w:tcPr>
          <w:p w14:paraId="229CC248">
            <w:pPr>
              <w:pStyle w:val="68"/>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日最大8小时平均</w:t>
            </w:r>
          </w:p>
        </w:tc>
        <w:tc>
          <w:tcPr>
            <w:tcW w:w="624" w:type="pct"/>
            <w:tcBorders>
              <w:tl2br w:val="nil"/>
              <w:tr2bl w:val="nil"/>
            </w:tcBorders>
            <w:vAlign w:val="center"/>
          </w:tcPr>
          <w:p w14:paraId="467A2215">
            <w:pPr>
              <w:pStyle w:val="68"/>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160</w:t>
            </w:r>
          </w:p>
        </w:tc>
        <w:tc>
          <w:tcPr>
            <w:tcW w:w="1781" w:type="pct"/>
            <w:vMerge w:val="continue"/>
            <w:tcBorders>
              <w:tl2br w:val="nil"/>
              <w:tr2bl w:val="nil"/>
            </w:tcBorders>
            <w:vAlign w:val="center"/>
          </w:tcPr>
          <w:p w14:paraId="07053656">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r>
      <w:tr w14:paraId="3282E70D">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jc w:val="center"/>
        </w:trPr>
        <w:tc>
          <w:tcPr>
            <w:tcW w:w="691" w:type="pct"/>
            <w:vMerge w:val="continue"/>
            <w:tcBorders>
              <w:tl2br w:val="nil"/>
              <w:tr2bl w:val="nil"/>
            </w:tcBorders>
            <w:vAlign w:val="center"/>
          </w:tcPr>
          <w:p w14:paraId="106BE46D">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c>
          <w:tcPr>
            <w:tcW w:w="739" w:type="pct"/>
            <w:vMerge w:val="continue"/>
            <w:tcBorders>
              <w:tl2br w:val="nil"/>
              <w:tr2bl w:val="nil"/>
            </w:tcBorders>
            <w:vAlign w:val="center"/>
          </w:tcPr>
          <w:p w14:paraId="61B529C2">
            <w:pPr>
              <w:pStyle w:val="68"/>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c>
          <w:tcPr>
            <w:tcW w:w="1163" w:type="pct"/>
            <w:tcBorders>
              <w:tl2br w:val="nil"/>
              <w:tr2bl w:val="nil"/>
            </w:tcBorders>
            <w:vAlign w:val="center"/>
          </w:tcPr>
          <w:p w14:paraId="076E3F86">
            <w:pPr>
              <w:pStyle w:val="68"/>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1小时平均</w:t>
            </w:r>
          </w:p>
        </w:tc>
        <w:tc>
          <w:tcPr>
            <w:tcW w:w="624" w:type="pct"/>
            <w:tcBorders>
              <w:tl2br w:val="nil"/>
              <w:tr2bl w:val="nil"/>
            </w:tcBorders>
            <w:vAlign w:val="center"/>
          </w:tcPr>
          <w:p w14:paraId="4E591205">
            <w:pPr>
              <w:pStyle w:val="68"/>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200</w:t>
            </w:r>
          </w:p>
        </w:tc>
        <w:tc>
          <w:tcPr>
            <w:tcW w:w="1781" w:type="pct"/>
            <w:vMerge w:val="continue"/>
            <w:tcBorders>
              <w:tl2br w:val="nil"/>
              <w:tr2bl w:val="nil"/>
            </w:tcBorders>
            <w:vAlign w:val="center"/>
          </w:tcPr>
          <w:p w14:paraId="463BE073">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r>
      <w:tr w14:paraId="3EC6B122">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125" w:hRule="atLeast"/>
          <w:jc w:val="center"/>
        </w:trPr>
        <w:tc>
          <w:tcPr>
            <w:tcW w:w="691" w:type="pct"/>
            <w:vMerge w:val="restart"/>
            <w:tcBorders>
              <w:tl2br w:val="nil"/>
              <w:tr2bl w:val="nil"/>
            </w:tcBorders>
            <w:vAlign w:val="center"/>
          </w:tcPr>
          <w:p w14:paraId="4A594AEF">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w:t>
            </w:r>
          </w:p>
        </w:tc>
        <w:tc>
          <w:tcPr>
            <w:tcW w:w="739" w:type="pct"/>
            <w:vMerge w:val="restart"/>
            <w:tcBorders>
              <w:tl2br w:val="nil"/>
              <w:tr2bl w:val="nil"/>
            </w:tcBorders>
            <w:vAlign w:val="center"/>
          </w:tcPr>
          <w:p w14:paraId="0C688DEA">
            <w:pPr>
              <w:pStyle w:val="68"/>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TSP</w:t>
            </w:r>
          </w:p>
        </w:tc>
        <w:tc>
          <w:tcPr>
            <w:tcW w:w="1163" w:type="pct"/>
            <w:tcBorders>
              <w:tl2br w:val="nil"/>
              <w:tr2bl w:val="nil"/>
            </w:tcBorders>
            <w:vAlign w:val="center"/>
          </w:tcPr>
          <w:p w14:paraId="4C78C44F">
            <w:pPr>
              <w:pStyle w:val="68"/>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年平均</w:t>
            </w:r>
          </w:p>
        </w:tc>
        <w:tc>
          <w:tcPr>
            <w:tcW w:w="624" w:type="pct"/>
            <w:tcBorders>
              <w:tl2br w:val="nil"/>
              <w:tr2bl w:val="nil"/>
            </w:tcBorders>
            <w:vAlign w:val="center"/>
          </w:tcPr>
          <w:p w14:paraId="04814747">
            <w:pPr>
              <w:pStyle w:val="68"/>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200</w:t>
            </w:r>
          </w:p>
        </w:tc>
        <w:tc>
          <w:tcPr>
            <w:tcW w:w="1781" w:type="pct"/>
            <w:vMerge w:val="continue"/>
            <w:tcBorders>
              <w:tl2br w:val="nil"/>
              <w:tr2bl w:val="nil"/>
            </w:tcBorders>
            <w:vAlign w:val="center"/>
          </w:tcPr>
          <w:p w14:paraId="4AE90C8F">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r>
      <w:tr w14:paraId="7364284E">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200" w:hRule="atLeast"/>
          <w:jc w:val="center"/>
        </w:trPr>
        <w:tc>
          <w:tcPr>
            <w:tcW w:w="691" w:type="pct"/>
            <w:vMerge w:val="continue"/>
            <w:tcBorders>
              <w:tl2br w:val="nil"/>
              <w:tr2bl w:val="nil"/>
            </w:tcBorders>
            <w:vAlign w:val="center"/>
          </w:tcPr>
          <w:p w14:paraId="24C38AA9">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c>
          <w:tcPr>
            <w:tcW w:w="739" w:type="pct"/>
            <w:vMerge w:val="continue"/>
            <w:tcBorders>
              <w:tl2br w:val="nil"/>
              <w:tr2bl w:val="nil"/>
            </w:tcBorders>
            <w:vAlign w:val="center"/>
          </w:tcPr>
          <w:p w14:paraId="6DD5E2E8">
            <w:pPr>
              <w:pStyle w:val="68"/>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c>
          <w:tcPr>
            <w:tcW w:w="1163" w:type="pct"/>
            <w:tcBorders>
              <w:tl2br w:val="nil"/>
              <w:tr2bl w:val="nil"/>
            </w:tcBorders>
            <w:vAlign w:val="center"/>
          </w:tcPr>
          <w:p w14:paraId="0D494C0B">
            <w:pPr>
              <w:pStyle w:val="68"/>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24小时平均</w:t>
            </w:r>
          </w:p>
        </w:tc>
        <w:tc>
          <w:tcPr>
            <w:tcW w:w="624" w:type="pct"/>
            <w:tcBorders>
              <w:tl2br w:val="nil"/>
              <w:tr2bl w:val="nil"/>
            </w:tcBorders>
            <w:vAlign w:val="center"/>
          </w:tcPr>
          <w:p w14:paraId="34EBE177">
            <w:pPr>
              <w:pStyle w:val="68"/>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300</w:t>
            </w:r>
          </w:p>
        </w:tc>
        <w:tc>
          <w:tcPr>
            <w:tcW w:w="1781" w:type="pct"/>
            <w:vMerge w:val="continue"/>
            <w:tcBorders>
              <w:tl2br w:val="nil"/>
              <w:tr2bl w:val="nil"/>
            </w:tcBorders>
            <w:vAlign w:val="center"/>
          </w:tcPr>
          <w:p w14:paraId="2C1467EB">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r>
      <w:tr w14:paraId="29778C60">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90" w:hRule="atLeast"/>
          <w:jc w:val="center"/>
        </w:trPr>
        <w:tc>
          <w:tcPr>
            <w:tcW w:w="691" w:type="pct"/>
            <w:tcBorders>
              <w:tl2br w:val="nil"/>
              <w:tr2bl w:val="nil"/>
            </w:tcBorders>
            <w:vAlign w:val="center"/>
          </w:tcPr>
          <w:p w14:paraId="21DA154C">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8</w:t>
            </w:r>
          </w:p>
        </w:tc>
        <w:tc>
          <w:tcPr>
            <w:tcW w:w="739" w:type="pct"/>
            <w:tcBorders>
              <w:tl2br w:val="nil"/>
              <w:tr2bl w:val="nil"/>
            </w:tcBorders>
            <w:vAlign w:val="center"/>
          </w:tcPr>
          <w:p w14:paraId="595F136E">
            <w:pPr>
              <w:pStyle w:val="68"/>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Hg</w:t>
            </w:r>
          </w:p>
        </w:tc>
        <w:tc>
          <w:tcPr>
            <w:tcW w:w="1163" w:type="pct"/>
            <w:tcBorders>
              <w:tl2br w:val="nil"/>
              <w:tr2bl w:val="nil"/>
            </w:tcBorders>
            <w:vAlign w:val="center"/>
          </w:tcPr>
          <w:p w14:paraId="43FC4D20">
            <w:pPr>
              <w:pStyle w:val="68"/>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年平均</w:t>
            </w:r>
          </w:p>
        </w:tc>
        <w:tc>
          <w:tcPr>
            <w:tcW w:w="624" w:type="pct"/>
            <w:tcBorders>
              <w:tl2br w:val="nil"/>
              <w:tr2bl w:val="nil"/>
            </w:tcBorders>
            <w:vAlign w:val="center"/>
          </w:tcPr>
          <w:p w14:paraId="6E267EED">
            <w:pPr>
              <w:pStyle w:val="68"/>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0.05</w:t>
            </w:r>
          </w:p>
        </w:tc>
        <w:tc>
          <w:tcPr>
            <w:tcW w:w="1781" w:type="pct"/>
            <w:tcBorders>
              <w:tl2br w:val="nil"/>
              <w:tr2bl w:val="nil"/>
            </w:tcBorders>
            <w:vAlign w:val="center"/>
          </w:tcPr>
          <w:p w14:paraId="7CC6531C">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《环境空气质量标准》（GB3095-2012）附录A</w:t>
            </w:r>
          </w:p>
        </w:tc>
      </w:tr>
      <w:tr w14:paraId="6777B767">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90" w:hRule="atLeast"/>
          <w:jc w:val="center"/>
        </w:trPr>
        <w:tc>
          <w:tcPr>
            <w:tcW w:w="691" w:type="pct"/>
            <w:tcBorders>
              <w:tl2br w:val="nil"/>
              <w:tr2bl w:val="nil"/>
            </w:tcBorders>
            <w:vAlign w:val="center"/>
          </w:tcPr>
          <w:p w14:paraId="22DE7640">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9</w:t>
            </w:r>
          </w:p>
        </w:tc>
        <w:tc>
          <w:tcPr>
            <w:tcW w:w="739" w:type="pct"/>
            <w:tcBorders>
              <w:tl2br w:val="nil"/>
              <w:tr2bl w:val="nil"/>
            </w:tcBorders>
            <w:vAlign w:val="center"/>
          </w:tcPr>
          <w:p w14:paraId="2148E526">
            <w:pPr>
              <w:pStyle w:val="68"/>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NH</w:t>
            </w:r>
            <w:r>
              <w:rPr>
                <w:rFonts w:hint="default" w:ascii="Times New Roman" w:hAnsi="Times New Roman" w:eastAsia="宋体" w:cs="Times New Roman"/>
                <w:color w:val="auto"/>
                <w:highlight w:val="none"/>
                <w:vertAlign w:val="subscript"/>
              </w:rPr>
              <w:t>3</w:t>
            </w:r>
          </w:p>
        </w:tc>
        <w:tc>
          <w:tcPr>
            <w:tcW w:w="1163" w:type="pct"/>
            <w:tcBorders>
              <w:tl2br w:val="nil"/>
              <w:tr2bl w:val="nil"/>
            </w:tcBorders>
            <w:vAlign w:val="center"/>
          </w:tcPr>
          <w:p w14:paraId="2A6E2B19">
            <w:pPr>
              <w:pStyle w:val="68"/>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1小时平均</w:t>
            </w:r>
          </w:p>
        </w:tc>
        <w:tc>
          <w:tcPr>
            <w:tcW w:w="624" w:type="pct"/>
            <w:tcBorders>
              <w:tl2br w:val="nil"/>
              <w:tr2bl w:val="nil"/>
            </w:tcBorders>
            <w:vAlign w:val="center"/>
          </w:tcPr>
          <w:p w14:paraId="0E20A7A0">
            <w:pPr>
              <w:pStyle w:val="68"/>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200</w:t>
            </w:r>
          </w:p>
        </w:tc>
        <w:tc>
          <w:tcPr>
            <w:tcW w:w="1781" w:type="pct"/>
            <w:tcBorders>
              <w:tl2br w:val="nil"/>
              <w:tr2bl w:val="nil"/>
            </w:tcBorders>
            <w:vAlign w:val="center"/>
          </w:tcPr>
          <w:p w14:paraId="303F8621">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《环境影响评价技术导则</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大气环境》（HJ2.2-2018）附录D</w:t>
            </w:r>
          </w:p>
        </w:tc>
      </w:tr>
    </w:tbl>
    <w:p w14:paraId="112052BE">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地表水环境质量标准</w:t>
      </w:r>
    </w:p>
    <w:p w14:paraId="004FE120">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2"/>
          <w:sz w:val="24"/>
          <w:szCs w:val="24"/>
          <w:highlight w:val="none"/>
          <w:lang w:eastAsia="zh-CN"/>
        </w:rPr>
        <w:t>本项目</w:t>
      </w:r>
      <w:r>
        <w:rPr>
          <w:rFonts w:hint="default" w:ascii="Times New Roman" w:hAnsi="Times New Roman" w:eastAsia="宋体" w:cs="Times New Roman"/>
          <w:color w:val="auto"/>
          <w:kern w:val="2"/>
          <w:sz w:val="24"/>
          <w:szCs w:val="24"/>
          <w:highlight w:val="none"/>
        </w:rPr>
        <w:t>最终纳污水域为</w:t>
      </w:r>
      <w:r>
        <w:rPr>
          <w:rFonts w:hint="default" w:ascii="Times New Roman" w:hAnsi="Times New Roman" w:eastAsia="宋体" w:cs="Times New Roman"/>
          <w:color w:val="auto"/>
          <w:kern w:val="2"/>
          <w:sz w:val="24"/>
          <w:szCs w:val="24"/>
          <w:highlight w:val="none"/>
          <w:lang w:val="en-US" w:eastAsia="zh-CN"/>
        </w:rPr>
        <w:t>松花江</w:t>
      </w:r>
      <w:r>
        <w:rPr>
          <w:rFonts w:hint="eastAsia" w:ascii="Times New Roman" w:hAnsi="Times New Roman" w:eastAsia="宋体" w:cs="Times New Roman"/>
          <w:color w:val="auto"/>
          <w:kern w:val="2"/>
          <w:sz w:val="24"/>
          <w:szCs w:val="24"/>
          <w:highlight w:val="none"/>
          <w:lang w:val="en-US" w:eastAsia="zh-CN"/>
        </w:rPr>
        <w:t>－</w:t>
      </w:r>
      <w:r>
        <w:rPr>
          <w:rFonts w:hint="default" w:ascii="Times New Roman" w:hAnsi="Times New Roman" w:eastAsia="宋体" w:cs="Times New Roman"/>
          <w:color w:val="auto"/>
          <w:kern w:val="2"/>
          <w:sz w:val="24"/>
          <w:szCs w:val="24"/>
          <w:highlight w:val="none"/>
          <w:lang w:val="en-US" w:eastAsia="zh-CN"/>
        </w:rPr>
        <w:t>佳木斯市排污控制区（起始断面为汤旺河汇入口上1km、终止断面为佳木斯港务局断面）</w:t>
      </w:r>
      <w:r>
        <w:rPr>
          <w:rFonts w:hint="default" w:ascii="Times New Roman" w:hAnsi="Times New Roman" w:eastAsia="宋体" w:cs="Times New Roman"/>
          <w:color w:val="auto"/>
          <w:kern w:val="2"/>
          <w:sz w:val="24"/>
          <w:szCs w:val="24"/>
          <w:highlight w:val="none"/>
        </w:rPr>
        <w:t>，根据《全国重要江河湖泊水功能区划</w:t>
      </w:r>
      <w:r>
        <w:rPr>
          <w:rFonts w:hint="eastAsia" w:ascii="Times New Roman" w:hAnsi="Times New Roman" w:eastAsia="宋体" w:cs="Times New Roman"/>
          <w:color w:val="auto"/>
          <w:kern w:val="2"/>
          <w:sz w:val="24"/>
          <w:szCs w:val="24"/>
          <w:highlight w:val="none"/>
          <w:lang w:eastAsia="zh-CN"/>
        </w:rPr>
        <w:t>（</w:t>
      </w:r>
      <w:r>
        <w:rPr>
          <w:rFonts w:hint="default" w:ascii="Times New Roman" w:hAnsi="Times New Roman" w:eastAsia="宋体" w:cs="Times New Roman"/>
          <w:color w:val="auto"/>
          <w:kern w:val="2"/>
          <w:sz w:val="24"/>
          <w:szCs w:val="24"/>
          <w:highlight w:val="none"/>
        </w:rPr>
        <w:t>2011</w:t>
      </w:r>
      <w:r>
        <w:rPr>
          <w:rFonts w:hint="eastAsia" w:ascii="Times New Roman" w:hAnsi="Times New Roman" w:eastAsia="宋体" w:cs="Times New Roman"/>
          <w:color w:val="auto"/>
          <w:kern w:val="2"/>
          <w:sz w:val="24"/>
          <w:szCs w:val="24"/>
          <w:highlight w:val="none"/>
          <w:lang w:eastAsia="zh-CN"/>
        </w:rPr>
        <w:t>—</w:t>
      </w:r>
      <w:r>
        <w:rPr>
          <w:rFonts w:hint="default" w:ascii="Times New Roman" w:hAnsi="Times New Roman" w:eastAsia="宋体" w:cs="Times New Roman"/>
          <w:color w:val="auto"/>
          <w:kern w:val="2"/>
          <w:sz w:val="24"/>
          <w:szCs w:val="24"/>
          <w:highlight w:val="none"/>
        </w:rPr>
        <w:t>2030年</w:t>
      </w:r>
      <w:r>
        <w:rPr>
          <w:rFonts w:hint="eastAsia" w:ascii="Times New Roman" w:hAnsi="Times New Roman" w:eastAsia="宋体" w:cs="Times New Roman"/>
          <w:color w:val="auto"/>
          <w:kern w:val="2"/>
          <w:sz w:val="24"/>
          <w:szCs w:val="24"/>
          <w:highlight w:val="none"/>
          <w:lang w:eastAsia="zh-CN"/>
        </w:rPr>
        <w:t>）</w:t>
      </w:r>
      <w:r>
        <w:rPr>
          <w:rFonts w:hint="default" w:ascii="Times New Roman" w:hAnsi="Times New Roman" w:eastAsia="宋体" w:cs="Times New Roman"/>
          <w:color w:val="auto"/>
          <w:kern w:val="2"/>
          <w:sz w:val="24"/>
          <w:szCs w:val="24"/>
          <w:highlight w:val="none"/>
        </w:rPr>
        <w:t>》（黑龙江省），执行《地表水环境质量标准》（GB3838-2002）Ⅳ类标准</w:t>
      </w:r>
      <w:r>
        <w:rPr>
          <w:rFonts w:hint="default" w:ascii="Times New Roman" w:hAnsi="Times New Roman" w:eastAsia="宋体" w:cs="Times New Roman"/>
          <w:color w:val="auto"/>
          <w:kern w:val="2"/>
          <w:sz w:val="24"/>
          <w:szCs w:val="24"/>
          <w:highlight w:val="none"/>
          <w:lang w:eastAsia="zh-CN"/>
        </w:rPr>
        <w:t>。</w:t>
      </w:r>
      <w:r>
        <w:rPr>
          <w:rFonts w:hint="default" w:ascii="Times New Roman" w:hAnsi="Times New Roman" w:eastAsia="宋体" w:cs="Times New Roman"/>
          <w:color w:val="auto"/>
          <w:highlight w:val="none"/>
        </w:rPr>
        <w:t>本项目地表水环境质量标准执行情况见表2-3-5。</w:t>
      </w:r>
    </w:p>
    <w:p w14:paraId="6AF34169">
      <w:pPr>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表2.3-</w:t>
      </w:r>
      <w:r>
        <w:rPr>
          <w:rFonts w:hint="default"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rPr>
        <w:t>地表水水质评价标准  单位：mg/L（pH值除外）</w:t>
      </w:r>
    </w:p>
    <w:tbl>
      <w:tblPr>
        <w:tblStyle w:val="37"/>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70"/>
        <w:gridCol w:w="1395"/>
        <w:gridCol w:w="5007"/>
      </w:tblGrid>
      <w:tr w14:paraId="23DA7F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65" w:type="dxa"/>
            <w:gridSpan w:val="2"/>
            <w:vMerge w:val="restart"/>
            <w:noWrap w:val="0"/>
            <w:vAlign w:val="center"/>
          </w:tcPr>
          <w:p w14:paraId="35DE3770">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评价标准</w:t>
            </w:r>
          </w:p>
          <w:p w14:paraId="372D201D">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指标</w:t>
            </w:r>
          </w:p>
        </w:tc>
        <w:tc>
          <w:tcPr>
            <w:tcW w:w="5007" w:type="dxa"/>
            <w:noWrap w:val="0"/>
            <w:vAlign w:val="center"/>
          </w:tcPr>
          <w:p w14:paraId="629BE422">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《地表水环境质量标准》（GB3838-2002）</w:t>
            </w:r>
          </w:p>
        </w:tc>
      </w:tr>
      <w:tr w14:paraId="5F86FA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65" w:type="dxa"/>
            <w:gridSpan w:val="2"/>
            <w:vMerge w:val="continue"/>
            <w:noWrap w:val="0"/>
            <w:vAlign w:val="center"/>
          </w:tcPr>
          <w:p w14:paraId="2493B929">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p>
        </w:tc>
        <w:tc>
          <w:tcPr>
            <w:tcW w:w="5007" w:type="dxa"/>
            <w:noWrap w:val="0"/>
            <w:vAlign w:val="center"/>
          </w:tcPr>
          <w:p w14:paraId="0285B2F3">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Ⅳ类</w:t>
            </w:r>
          </w:p>
        </w:tc>
      </w:tr>
      <w:tr w14:paraId="556203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65" w:type="dxa"/>
            <w:gridSpan w:val="2"/>
            <w:noWrap w:val="0"/>
            <w:vAlign w:val="center"/>
          </w:tcPr>
          <w:p w14:paraId="260304D9">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pH（无量纲）</w:t>
            </w:r>
          </w:p>
        </w:tc>
        <w:tc>
          <w:tcPr>
            <w:tcW w:w="5007" w:type="dxa"/>
            <w:noWrap w:val="0"/>
            <w:vAlign w:val="center"/>
          </w:tcPr>
          <w:p w14:paraId="6D4C52C7">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6-9</w:t>
            </w:r>
          </w:p>
        </w:tc>
      </w:tr>
      <w:tr w14:paraId="65C461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70" w:type="dxa"/>
            <w:noWrap w:val="0"/>
            <w:vAlign w:val="center"/>
          </w:tcPr>
          <w:p w14:paraId="523BE2C2">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溶解氧</w:t>
            </w:r>
          </w:p>
        </w:tc>
        <w:tc>
          <w:tcPr>
            <w:tcW w:w="1395" w:type="dxa"/>
            <w:noWrap w:val="0"/>
            <w:vAlign w:val="center"/>
          </w:tcPr>
          <w:p w14:paraId="745EB9C6">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p>
        </w:tc>
        <w:tc>
          <w:tcPr>
            <w:tcW w:w="5007" w:type="dxa"/>
            <w:noWrap w:val="0"/>
            <w:vAlign w:val="center"/>
          </w:tcPr>
          <w:p w14:paraId="580DD84B">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3</w:t>
            </w:r>
          </w:p>
        </w:tc>
      </w:tr>
      <w:tr w14:paraId="234E46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70" w:type="dxa"/>
            <w:noWrap w:val="0"/>
            <w:vAlign w:val="center"/>
          </w:tcPr>
          <w:p w14:paraId="69D88B5C">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CODcr</w:t>
            </w:r>
          </w:p>
        </w:tc>
        <w:tc>
          <w:tcPr>
            <w:tcW w:w="1395" w:type="dxa"/>
            <w:noWrap w:val="0"/>
            <w:vAlign w:val="center"/>
          </w:tcPr>
          <w:p w14:paraId="6FD7B7D4">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p>
        </w:tc>
        <w:tc>
          <w:tcPr>
            <w:tcW w:w="5007" w:type="dxa"/>
            <w:noWrap w:val="0"/>
            <w:vAlign w:val="center"/>
          </w:tcPr>
          <w:p w14:paraId="4336B543">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10</w:t>
            </w:r>
          </w:p>
        </w:tc>
      </w:tr>
      <w:tr w14:paraId="475A8A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70" w:type="dxa"/>
            <w:noWrap w:val="0"/>
            <w:vAlign w:val="center"/>
          </w:tcPr>
          <w:p w14:paraId="5BE61D2E">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BOD</w:t>
            </w:r>
            <w:r>
              <w:rPr>
                <w:rFonts w:hint="default" w:ascii="Times New Roman" w:hAnsi="Times New Roman" w:eastAsia="宋体" w:cs="Times New Roman"/>
                <w:color w:val="auto"/>
                <w:highlight w:val="none"/>
                <w:vertAlign w:val="subscript"/>
              </w:rPr>
              <w:t>5</w:t>
            </w:r>
          </w:p>
        </w:tc>
        <w:tc>
          <w:tcPr>
            <w:tcW w:w="1395" w:type="dxa"/>
            <w:noWrap w:val="0"/>
            <w:vAlign w:val="center"/>
          </w:tcPr>
          <w:p w14:paraId="213AB35C">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p>
        </w:tc>
        <w:tc>
          <w:tcPr>
            <w:tcW w:w="5007" w:type="dxa"/>
            <w:noWrap w:val="0"/>
            <w:vAlign w:val="center"/>
          </w:tcPr>
          <w:p w14:paraId="711083E8">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6</w:t>
            </w:r>
          </w:p>
        </w:tc>
      </w:tr>
      <w:tr w14:paraId="7183B2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70" w:type="dxa"/>
            <w:noWrap w:val="0"/>
            <w:vAlign w:val="center"/>
          </w:tcPr>
          <w:p w14:paraId="310F72DF">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高锰酸盐指数</w:t>
            </w:r>
          </w:p>
        </w:tc>
        <w:tc>
          <w:tcPr>
            <w:tcW w:w="1395" w:type="dxa"/>
            <w:noWrap w:val="0"/>
            <w:vAlign w:val="center"/>
          </w:tcPr>
          <w:p w14:paraId="7CCB295F">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p>
        </w:tc>
        <w:tc>
          <w:tcPr>
            <w:tcW w:w="5007" w:type="dxa"/>
            <w:noWrap w:val="0"/>
            <w:vAlign w:val="center"/>
          </w:tcPr>
          <w:p w14:paraId="0ED4420F">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w:t>
            </w:r>
          </w:p>
        </w:tc>
      </w:tr>
      <w:tr w14:paraId="45F897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70" w:type="dxa"/>
            <w:noWrap w:val="0"/>
            <w:vAlign w:val="center"/>
          </w:tcPr>
          <w:p w14:paraId="38997F22">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NH</w:t>
            </w:r>
            <w:r>
              <w:rPr>
                <w:rFonts w:hint="default" w:ascii="Times New Roman" w:hAnsi="Times New Roman" w:eastAsia="宋体" w:cs="Times New Roman"/>
                <w:color w:val="auto"/>
                <w:highlight w:val="none"/>
                <w:vertAlign w:val="subscript"/>
              </w:rPr>
              <w:t>3</w:t>
            </w:r>
            <w:r>
              <w:rPr>
                <w:rFonts w:hint="default" w:ascii="Times New Roman" w:hAnsi="Times New Roman" w:eastAsia="宋体" w:cs="Times New Roman"/>
                <w:color w:val="auto"/>
                <w:highlight w:val="none"/>
              </w:rPr>
              <w:t>-N</w:t>
            </w:r>
          </w:p>
        </w:tc>
        <w:tc>
          <w:tcPr>
            <w:tcW w:w="1395" w:type="dxa"/>
            <w:noWrap w:val="0"/>
            <w:vAlign w:val="center"/>
          </w:tcPr>
          <w:p w14:paraId="0A703E75">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p>
        </w:tc>
        <w:tc>
          <w:tcPr>
            <w:tcW w:w="5007" w:type="dxa"/>
            <w:noWrap w:val="0"/>
            <w:vAlign w:val="center"/>
          </w:tcPr>
          <w:p w14:paraId="7409C855">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1.5</w:t>
            </w:r>
          </w:p>
        </w:tc>
      </w:tr>
      <w:tr w14:paraId="2DBEA0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70" w:type="dxa"/>
            <w:noWrap w:val="0"/>
            <w:vAlign w:val="center"/>
          </w:tcPr>
          <w:p w14:paraId="70C78531">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总磷</w:t>
            </w:r>
          </w:p>
        </w:tc>
        <w:tc>
          <w:tcPr>
            <w:tcW w:w="1395" w:type="dxa"/>
            <w:noWrap w:val="0"/>
            <w:vAlign w:val="center"/>
          </w:tcPr>
          <w:p w14:paraId="2888E7F2">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p>
        </w:tc>
        <w:tc>
          <w:tcPr>
            <w:tcW w:w="5007" w:type="dxa"/>
            <w:noWrap w:val="0"/>
            <w:vAlign w:val="center"/>
          </w:tcPr>
          <w:p w14:paraId="42A0FDC6">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0.3</w:t>
            </w:r>
          </w:p>
        </w:tc>
      </w:tr>
      <w:tr w14:paraId="4EEA09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70" w:type="dxa"/>
            <w:noWrap w:val="0"/>
            <w:vAlign w:val="center"/>
          </w:tcPr>
          <w:p w14:paraId="53922F60">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总氮</w:t>
            </w:r>
          </w:p>
        </w:tc>
        <w:tc>
          <w:tcPr>
            <w:tcW w:w="1395" w:type="dxa"/>
            <w:noWrap w:val="0"/>
            <w:vAlign w:val="center"/>
          </w:tcPr>
          <w:p w14:paraId="01A4F8AE">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p>
        </w:tc>
        <w:tc>
          <w:tcPr>
            <w:tcW w:w="5007" w:type="dxa"/>
            <w:noWrap w:val="0"/>
            <w:vAlign w:val="center"/>
          </w:tcPr>
          <w:p w14:paraId="6C27FD2C">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1.5</w:t>
            </w:r>
          </w:p>
        </w:tc>
      </w:tr>
      <w:tr w14:paraId="518E37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70" w:type="dxa"/>
            <w:noWrap w:val="0"/>
            <w:vAlign w:val="center"/>
          </w:tcPr>
          <w:p w14:paraId="039E275B">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挥发酚</w:t>
            </w:r>
          </w:p>
        </w:tc>
        <w:tc>
          <w:tcPr>
            <w:tcW w:w="1395" w:type="dxa"/>
            <w:noWrap w:val="0"/>
            <w:vAlign w:val="center"/>
          </w:tcPr>
          <w:p w14:paraId="6D37AB02">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p>
        </w:tc>
        <w:tc>
          <w:tcPr>
            <w:tcW w:w="5007" w:type="dxa"/>
            <w:noWrap w:val="0"/>
            <w:vAlign w:val="center"/>
          </w:tcPr>
          <w:p w14:paraId="3462EB4E">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0.005</w:t>
            </w:r>
          </w:p>
        </w:tc>
      </w:tr>
      <w:tr w14:paraId="7098A1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70" w:type="dxa"/>
            <w:noWrap w:val="0"/>
            <w:vAlign w:val="center"/>
          </w:tcPr>
          <w:p w14:paraId="7BC232E4">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氟化物</w:t>
            </w:r>
          </w:p>
        </w:tc>
        <w:tc>
          <w:tcPr>
            <w:tcW w:w="1395" w:type="dxa"/>
            <w:noWrap w:val="0"/>
            <w:vAlign w:val="center"/>
          </w:tcPr>
          <w:p w14:paraId="2BB450A6">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p>
        </w:tc>
        <w:tc>
          <w:tcPr>
            <w:tcW w:w="5007" w:type="dxa"/>
            <w:noWrap w:val="0"/>
            <w:vAlign w:val="center"/>
          </w:tcPr>
          <w:p w14:paraId="7F0DFAA5">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1.5</w:t>
            </w:r>
          </w:p>
        </w:tc>
      </w:tr>
      <w:tr w14:paraId="7DA092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70" w:type="dxa"/>
            <w:noWrap w:val="0"/>
            <w:vAlign w:val="center"/>
          </w:tcPr>
          <w:p w14:paraId="64BD4323">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硫化物</w:t>
            </w:r>
          </w:p>
        </w:tc>
        <w:tc>
          <w:tcPr>
            <w:tcW w:w="1395" w:type="dxa"/>
            <w:noWrap w:val="0"/>
            <w:vAlign w:val="center"/>
          </w:tcPr>
          <w:p w14:paraId="565C8F3A">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p>
        </w:tc>
        <w:tc>
          <w:tcPr>
            <w:tcW w:w="5007" w:type="dxa"/>
            <w:noWrap w:val="0"/>
            <w:vAlign w:val="center"/>
          </w:tcPr>
          <w:p w14:paraId="7EF49760">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0.5</w:t>
            </w:r>
          </w:p>
        </w:tc>
      </w:tr>
      <w:tr w14:paraId="503968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70" w:type="dxa"/>
            <w:noWrap w:val="0"/>
            <w:vAlign w:val="center"/>
          </w:tcPr>
          <w:p w14:paraId="2F722B4F">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石油类</w:t>
            </w:r>
          </w:p>
        </w:tc>
        <w:tc>
          <w:tcPr>
            <w:tcW w:w="1395" w:type="dxa"/>
            <w:noWrap w:val="0"/>
            <w:vAlign w:val="center"/>
          </w:tcPr>
          <w:p w14:paraId="032B7BD7">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p>
        </w:tc>
        <w:tc>
          <w:tcPr>
            <w:tcW w:w="5007" w:type="dxa"/>
            <w:noWrap w:val="0"/>
            <w:vAlign w:val="center"/>
          </w:tcPr>
          <w:p w14:paraId="3889F384">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0.5</w:t>
            </w:r>
          </w:p>
        </w:tc>
      </w:tr>
      <w:tr w14:paraId="153597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70" w:type="dxa"/>
            <w:noWrap w:val="0"/>
            <w:vAlign w:val="center"/>
          </w:tcPr>
          <w:p w14:paraId="47158B32">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砷</w:t>
            </w:r>
          </w:p>
        </w:tc>
        <w:tc>
          <w:tcPr>
            <w:tcW w:w="1395" w:type="dxa"/>
            <w:noWrap w:val="0"/>
            <w:vAlign w:val="center"/>
          </w:tcPr>
          <w:p w14:paraId="04B76B58">
            <w:pPr>
              <w:pStyle w:val="63"/>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p>
        </w:tc>
        <w:tc>
          <w:tcPr>
            <w:tcW w:w="5007" w:type="dxa"/>
            <w:noWrap w:val="0"/>
            <w:vAlign w:val="center"/>
          </w:tcPr>
          <w:p w14:paraId="652D7161">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0.1</w:t>
            </w:r>
          </w:p>
        </w:tc>
      </w:tr>
      <w:tr w14:paraId="388DF2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70" w:type="dxa"/>
            <w:noWrap w:val="0"/>
            <w:vAlign w:val="center"/>
          </w:tcPr>
          <w:p w14:paraId="65E4A42B">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汞</w:t>
            </w:r>
          </w:p>
        </w:tc>
        <w:tc>
          <w:tcPr>
            <w:tcW w:w="1395" w:type="dxa"/>
            <w:noWrap w:val="0"/>
            <w:vAlign w:val="center"/>
          </w:tcPr>
          <w:p w14:paraId="4CDC3887">
            <w:pPr>
              <w:pStyle w:val="63"/>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p>
        </w:tc>
        <w:tc>
          <w:tcPr>
            <w:tcW w:w="5007" w:type="dxa"/>
            <w:noWrap w:val="0"/>
            <w:vAlign w:val="center"/>
          </w:tcPr>
          <w:p w14:paraId="4CFD95A8">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0.001</w:t>
            </w:r>
          </w:p>
        </w:tc>
      </w:tr>
      <w:tr w14:paraId="08E865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70" w:type="dxa"/>
            <w:noWrap w:val="0"/>
            <w:vAlign w:val="center"/>
          </w:tcPr>
          <w:p w14:paraId="7463C719">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铅</w:t>
            </w:r>
          </w:p>
        </w:tc>
        <w:tc>
          <w:tcPr>
            <w:tcW w:w="1395" w:type="dxa"/>
            <w:noWrap w:val="0"/>
            <w:vAlign w:val="center"/>
          </w:tcPr>
          <w:p w14:paraId="57896EE3">
            <w:pPr>
              <w:pStyle w:val="63"/>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p>
        </w:tc>
        <w:tc>
          <w:tcPr>
            <w:tcW w:w="5007" w:type="dxa"/>
            <w:noWrap w:val="0"/>
            <w:vAlign w:val="center"/>
          </w:tcPr>
          <w:p w14:paraId="4F6CFE74">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0.05</w:t>
            </w:r>
          </w:p>
        </w:tc>
      </w:tr>
      <w:tr w14:paraId="196F30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70" w:type="dxa"/>
            <w:noWrap w:val="0"/>
            <w:vAlign w:val="center"/>
          </w:tcPr>
          <w:p w14:paraId="1FD3005D">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铬（六价）</w:t>
            </w:r>
          </w:p>
        </w:tc>
        <w:tc>
          <w:tcPr>
            <w:tcW w:w="1395" w:type="dxa"/>
            <w:noWrap w:val="0"/>
            <w:vAlign w:val="center"/>
          </w:tcPr>
          <w:p w14:paraId="68153B0A">
            <w:pPr>
              <w:pStyle w:val="63"/>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p>
        </w:tc>
        <w:tc>
          <w:tcPr>
            <w:tcW w:w="5007" w:type="dxa"/>
            <w:noWrap w:val="0"/>
            <w:vAlign w:val="center"/>
          </w:tcPr>
          <w:p w14:paraId="71653B4D">
            <w:pPr>
              <w:pStyle w:val="63"/>
              <w:keepNext w:val="0"/>
              <w:keepLines w:val="0"/>
              <w:pageBreakBefore w:val="0"/>
              <w:widowControl w:val="0"/>
              <w:kinsoku/>
              <w:wordWrap/>
              <w:overflowPunct/>
              <w:topLinePunct w:val="0"/>
              <w:autoSpaceDE/>
              <w:autoSpaceDN/>
              <w:bidi w:val="0"/>
              <w:adjustRightInd/>
              <w:snapToGrid/>
              <w:ind w:left="0" w:leftChars="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0.05</w:t>
            </w:r>
          </w:p>
        </w:tc>
      </w:tr>
    </w:tbl>
    <w:p w14:paraId="5061367C">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声环境质量标准</w:t>
      </w:r>
    </w:p>
    <w:p w14:paraId="57CB143D">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both"/>
        <w:textAlignment w:val="auto"/>
        <w:rPr>
          <w:rFonts w:hint="default" w:ascii="Times New Roman" w:hAnsi="Times New Roman" w:eastAsia="宋体" w:cs="Times New Roman"/>
          <w:color w:val="auto"/>
          <w:kern w:val="2"/>
          <w:sz w:val="24"/>
          <w:szCs w:val="21"/>
          <w:highlight w:val="none"/>
        </w:rPr>
      </w:pPr>
      <w:r>
        <w:rPr>
          <w:color w:val="auto"/>
          <w:sz w:val="24"/>
          <w:highlight w:val="none"/>
        </w:rPr>
        <mc:AlternateContent>
          <mc:Choice Requires="wps">
            <w:drawing>
              <wp:anchor distT="0" distB="0" distL="114300" distR="114300" simplePos="0" relativeHeight="251737088" behindDoc="0" locked="0" layoutInCell="1" allowOverlap="1">
                <wp:simplePos x="0" y="0"/>
                <wp:positionH relativeFrom="column">
                  <wp:posOffset>2540000</wp:posOffset>
                </wp:positionH>
                <wp:positionV relativeFrom="paragraph">
                  <wp:posOffset>1668780</wp:posOffset>
                </wp:positionV>
                <wp:extent cx="658495" cy="246380"/>
                <wp:effectExtent l="93345" t="6350" r="10160" b="528320"/>
                <wp:wrapNone/>
                <wp:docPr id="23" name="矩形标注 23"/>
                <wp:cNvGraphicFramePr/>
                <a:graphic xmlns:a="http://schemas.openxmlformats.org/drawingml/2006/main">
                  <a:graphicData uri="http://schemas.microsoft.com/office/word/2010/wordprocessingShape">
                    <wps:wsp>
                      <wps:cNvSpPr/>
                      <wps:spPr>
                        <a:xfrm>
                          <a:off x="0" y="0"/>
                          <a:ext cx="658495" cy="246380"/>
                        </a:xfrm>
                        <a:prstGeom prst="wedgeRectCallout">
                          <a:avLst>
                            <a:gd name="adj1" fmla="val -63211"/>
                            <a:gd name="adj2" fmla="val 255670"/>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69C024">
                            <w:pPr>
                              <w:keepNext w:val="0"/>
                              <w:keepLines w:val="0"/>
                              <w:pageBreakBefore w:val="0"/>
                              <w:widowControl/>
                              <w:kinsoku/>
                              <w:wordWrap/>
                              <w:overflowPunct/>
                              <w:topLinePunct w:val="0"/>
                              <w:autoSpaceDE/>
                              <w:autoSpaceDN/>
                              <w:bidi w:val="0"/>
                              <w:adjustRightInd w:val="0"/>
                              <w:snapToGrid w:val="0"/>
                              <w:spacing w:after="0"/>
                              <w:ind w:left="0" w:leftChars="0" w:firstLine="0" w:firstLineChars="0"/>
                              <w:jc w:val="both"/>
                              <w:textAlignment w:val="auto"/>
                              <w:rPr>
                                <w:rFonts w:hint="eastAsia" w:ascii="宋体" w:hAnsi="宋体" w:eastAsia="宋体" w:cs="宋体"/>
                                <w:b/>
                                <w:bCs/>
                                <w:color w:val="FF0000"/>
                                <w:sz w:val="21"/>
                                <w:szCs w:val="21"/>
                                <w:lang w:val="en-US" w:eastAsia="zh-CN"/>
                              </w:rPr>
                            </w:pPr>
                            <w:r>
                              <w:rPr>
                                <w:rFonts w:hint="eastAsia" w:ascii="宋体" w:hAnsi="宋体" w:eastAsia="宋体" w:cs="宋体"/>
                                <w:b/>
                                <w:bCs/>
                                <w:color w:val="FF0000"/>
                                <w:sz w:val="21"/>
                                <w:szCs w:val="21"/>
                                <w:lang w:val="en-US" w:eastAsia="zh-CN"/>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00pt;margin-top:131.4pt;height:19.4pt;width:51.85pt;z-index:251737088;v-text-anchor:middle;mso-width-relative:page;mso-height-relative:page;" filled="f" stroked="t" coordsize="21600,21600" o:gfxdata="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ISAmYHXAAAACwEAAA8AAAAAAAAAAQAgAAAAIgAAAGRycy9kb3ducmV2LnhtbFBLAQIU&#10;ABQAAAAIAIdO4kAmOjUunwIAACUFAAAOAAAAAAAAAAEAIAAAACYBAABkcnMvZTJvRG9jLnhtbFBL&#10;BQYAAAAABgAGAFkBAAA3BgAAAAA=&#10;" adj="-2854,66025">
                <v:fill on="f" focussize="0,0"/>
                <v:stroke weight="1pt" color="#FF0000 [3204]" joinstyle="round"/>
                <v:imagedata o:title=""/>
                <o:lock v:ext="edit" aspectratio="f"/>
                <v:textbox>
                  <w:txbxContent>
                    <w:p w14:paraId="5F69C024">
                      <w:pPr>
                        <w:keepNext w:val="0"/>
                        <w:keepLines w:val="0"/>
                        <w:pageBreakBefore w:val="0"/>
                        <w:widowControl/>
                        <w:kinsoku/>
                        <w:wordWrap/>
                        <w:overflowPunct/>
                        <w:topLinePunct w:val="0"/>
                        <w:autoSpaceDE/>
                        <w:autoSpaceDN/>
                        <w:bidi w:val="0"/>
                        <w:adjustRightInd w:val="0"/>
                        <w:snapToGrid w:val="0"/>
                        <w:spacing w:after="0"/>
                        <w:ind w:left="0" w:leftChars="0" w:firstLine="0" w:firstLineChars="0"/>
                        <w:jc w:val="both"/>
                        <w:textAlignment w:val="auto"/>
                        <w:rPr>
                          <w:rFonts w:hint="eastAsia" w:ascii="宋体" w:hAnsi="宋体" w:eastAsia="宋体" w:cs="宋体"/>
                          <w:b/>
                          <w:bCs/>
                          <w:color w:val="FF0000"/>
                          <w:sz w:val="21"/>
                          <w:szCs w:val="21"/>
                          <w:lang w:val="en-US" w:eastAsia="zh-CN"/>
                        </w:rPr>
                      </w:pPr>
                      <w:r>
                        <w:rPr>
                          <w:rFonts w:hint="eastAsia" w:ascii="宋体" w:hAnsi="宋体" w:eastAsia="宋体" w:cs="宋体"/>
                          <w:b/>
                          <w:bCs/>
                          <w:color w:val="FF0000"/>
                          <w:sz w:val="21"/>
                          <w:szCs w:val="21"/>
                          <w:lang w:val="en-US" w:eastAsia="zh-CN"/>
                        </w:rPr>
                        <w:t>本项目</w:t>
                      </w:r>
                    </w:p>
                  </w:txbxContent>
                </v:textbox>
              </v:shape>
            </w:pict>
          </mc:Fallback>
        </mc:AlternateContent>
      </w:r>
      <w:r>
        <w:rPr>
          <w:rFonts w:hint="default" w:ascii="Times New Roman" w:hAnsi="Times New Roman" w:eastAsia="宋体" w:cs="Times New Roman"/>
          <w:color w:val="auto"/>
          <w:kern w:val="2"/>
          <w:sz w:val="24"/>
          <w:szCs w:val="21"/>
          <w:highlight w:val="none"/>
        </w:rPr>
        <w:t>根据</w:t>
      </w:r>
      <w:r>
        <w:rPr>
          <w:rFonts w:hint="eastAsia" w:ascii="Times New Roman" w:hAnsi="Times New Roman" w:eastAsia="宋体" w:cs="Times New Roman"/>
          <w:color w:val="auto"/>
          <w:kern w:val="2"/>
          <w:sz w:val="24"/>
          <w:szCs w:val="24"/>
          <w:highlight w:val="none"/>
          <w:lang w:val="en-US" w:eastAsia="zh-CN" w:bidi="ar"/>
        </w:rPr>
        <w:t>佳木斯</w:t>
      </w:r>
      <w:r>
        <w:rPr>
          <w:rFonts w:hint="default" w:ascii="Times New Roman" w:hAnsi="Times New Roman" w:eastAsia="宋体" w:cs="Times New Roman"/>
          <w:color w:val="auto"/>
          <w:kern w:val="2"/>
          <w:sz w:val="24"/>
          <w:szCs w:val="24"/>
          <w:highlight w:val="none"/>
          <w:lang w:bidi="ar"/>
        </w:rPr>
        <w:t>市</w:t>
      </w:r>
      <w:r>
        <w:rPr>
          <w:rFonts w:hint="default" w:ascii="Times New Roman" w:hAnsi="Times New Roman" w:eastAsia="宋体" w:cs="Times New Roman"/>
          <w:color w:val="auto"/>
          <w:kern w:val="2"/>
          <w:sz w:val="24"/>
          <w:szCs w:val="24"/>
          <w:highlight w:val="none"/>
          <w:lang w:eastAsia="zh-CN" w:bidi="ar"/>
        </w:rPr>
        <w:t>城区声</w:t>
      </w:r>
      <w:r>
        <w:rPr>
          <w:rFonts w:hint="default" w:ascii="Times New Roman" w:hAnsi="Times New Roman" w:eastAsia="宋体" w:cs="Times New Roman"/>
          <w:color w:val="auto"/>
          <w:kern w:val="2"/>
          <w:sz w:val="24"/>
          <w:szCs w:val="24"/>
          <w:highlight w:val="none"/>
          <w:lang w:bidi="ar"/>
        </w:rPr>
        <w:t>环境功能区</w:t>
      </w:r>
      <w:r>
        <w:rPr>
          <w:rFonts w:hint="eastAsia" w:ascii="Times New Roman" w:hAnsi="Times New Roman" w:eastAsia="宋体" w:cs="Times New Roman"/>
          <w:color w:val="auto"/>
          <w:kern w:val="2"/>
          <w:sz w:val="24"/>
          <w:szCs w:val="24"/>
          <w:highlight w:val="none"/>
          <w:lang w:val="en-US" w:eastAsia="zh-CN" w:bidi="ar"/>
        </w:rPr>
        <w:t>规划成果图，见图2.3-1</w:t>
      </w:r>
      <w:r>
        <w:rPr>
          <w:rFonts w:hint="default" w:ascii="Times New Roman" w:hAnsi="Times New Roman" w:eastAsia="宋体" w:cs="Times New Roman"/>
          <w:color w:val="auto"/>
          <w:kern w:val="2"/>
          <w:sz w:val="24"/>
          <w:szCs w:val="21"/>
          <w:highlight w:val="none"/>
        </w:rPr>
        <w:t>，项目所在地划分为</w:t>
      </w:r>
      <w:r>
        <w:rPr>
          <w:rFonts w:hint="eastAsia" w:ascii="Times New Roman" w:hAnsi="Times New Roman" w:eastAsia="宋体" w:cs="Times New Roman"/>
          <w:color w:val="auto"/>
          <w:kern w:val="2"/>
          <w:sz w:val="24"/>
          <w:szCs w:val="21"/>
          <w:highlight w:val="none"/>
          <w:lang w:val="en-US" w:eastAsia="zh-CN"/>
        </w:rPr>
        <w:t>3类</w:t>
      </w:r>
      <w:r>
        <w:rPr>
          <w:rFonts w:hint="default" w:ascii="Times New Roman" w:hAnsi="Times New Roman" w:eastAsia="宋体" w:cs="Times New Roman"/>
          <w:color w:val="auto"/>
          <w:kern w:val="2"/>
          <w:sz w:val="24"/>
          <w:szCs w:val="21"/>
          <w:highlight w:val="none"/>
        </w:rPr>
        <w:t>声环境功能区，本项目所在区域执行《声环境质量标准》</w:t>
      </w:r>
      <w:r>
        <w:rPr>
          <w:rFonts w:hint="default" w:ascii="Times New Roman" w:hAnsi="Times New Roman" w:eastAsia="宋体" w:cs="Times New Roman"/>
          <w:color w:val="auto"/>
          <w:kern w:val="2"/>
          <w:sz w:val="24"/>
          <w:szCs w:val="21"/>
          <w:highlight w:val="none"/>
          <w:lang w:eastAsia="zh-CN"/>
        </w:rPr>
        <w:t>（</w:t>
      </w:r>
      <w:r>
        <w:rPr>
          <w:rFonts w:hint="default" w:ascii="Times New Roman" w:hAnsi="Times New Roman" w:eastAsia="宋体" w:cs="Times New Roman"/>
          <w:color w:val="auto"/>
          <w:kern w:val="2"/>
          <w:sz w:val="24"/>
          <w:szCs w:val="21"/>
          <w:highlight w:val="none"/>
        </w:rPr>
        <w:t>GB3096-2008</w:t>
      </w:r>
      <w:r>
        <w:rPr>
          <w:rFonts w:hint="default" w:ascii="Times New Roman" w:hAnsi="Times New Roman" w:eastAsia="宋体" w:cs="Times New Roman"/>
          <w:color w:val="auto"/>
          <w:kern w:val="2"/>
          <w:sz w:val="24"/>
          <w:szCs w:val="21"/>
          <w:highlight w:val="none"/>
          <w:lang w:eastAsia="zh-CN"/>
        </w:rPr>
        <w:t>）</w:t>
      </w:r>
      <w:r>
        <w:rPr>
          <w:rFonts w:hint="default" w:ascii="Times New Roman" w:hAnsi="Times New Roman" w:eastAsia="宋体" w:cs="Times New Roman"/>
          <w:color w:val="auto"/>
          <w:kern w:val="2"/>
          <w:sz w:val="24"/>
          <w:szCs w:val="21"/>
          <w:highlight w:val="none"/>
        </w:rPr>
        <w:t>中</w:t>
      </w:r>
      <w:r>
        <w:rPr>
          <w:rFonts w:hint="eastAsia" w:ascii="Times New Roman" w:hAnsi="Times New Roman" w:eastAsia="宋体" w:cs="Times New Roman"/>
          <w:color w:val="auto"/>
          <w:kern w:val="2"/>
          <w:sz w:val="24"/>
          <w:szCs w:val="21"/>
          <w:highlight w:val="none"/>
          <w:lang w:val="en-US" w:eastAsia="zh-CN"/>
        </w:rPr>
        <w:t>3类</w:t>
      </w:r>
      <w:r>
        <w:rPr>
          <w:rFonts w:hint="default" w:ascii="Times New Roman" w:hAnsi="Times New Roman" w:eastAsia="宋体" w:cs="Times New Roman"/>
          <w:color w:val="auto"/>
          <w:kern w:val="2"/>
          <w:sz w:val="24"/>
          <w:szCs w:val="21"/>
          <w:highlight w:val="none"/>
        </w:rPr>
        <w:t>区标准</w:t>
      </w:r>
      <w:r>
        <w:rPr>
          <w:rFonts w:hint="eastAsia" w:ascii="Times New Roman" w:hAnsi="Times New Roman" w:eastAsia="宋体" w:cs="Times New Roman"/>
          <w:color w:val="auto"/>
          <w:kern w:val="2"/>
          <w:sz w:val="24"/>
          <w:szCs w:val="21"/>
          <w:highlight w:val="none"/>
          <w:lang w:eastAsia="zh-CN"/>
        </w:rPr>
        <w:t>，</w:t>
      </w:r>
      <w:r>
        <w:rPr>
          <w:rFonts w:hint="default" w:ascii="Times New Roman" w:hAnsi="Times New Roman" w:eastAsia="宋体" w:cs="Times New Roman"/>
          <w:color w:val="auto"/>
          <w:kern w:val="2"/>
          <w:sz w:val="24"/>
          <w:szCs w:val="21"/>
          <w:highlight w:val="none"/>
          <w:lang w:eastAsia="zh-CN"/>
        </w:rPr>
        <w:t>项目周围敏感点</w:t>
      </w:r>
      <w:r>
        <w:rPr>
          <w:rFonts w:hint="eastAsia" w:ascii="Times New Roman" w:hAnsi="Times New Roman" w:eastAsia="宋体" w:cs="Times New Roman"/>
          <w:color w:val="auto"/>
          <w:kern w:val="2"/>
          <w:sz w:val="24"/>
          <w:szCs w:val="21"/>
          <w:highlight w:val="none"/>
          <w:lang w:val="en-US" w:eastAsia="zh-CN"/>
        </w:rPr>
        <w:t>执行</w:t>
      </w:r>
      <w:r>
        <w:rPr>
          <w:rFonts w:hint="default" w:ascii="Times New Roman" w:hAnsi="Times New Roman" w:eastAsia="宋体" w:cs="Times New Roman"/>
          <w:color w:val="auto"/>
          <w:kern w:val="2"/>
          <w:sz w:val="24"/>
          <w:szCs w:val="21"/>
          <w:highlight w:val="none"/>
        </w:rPr>
        <w:t>《声环境质量标准》</w:t>
      </w:r>
      <w:r>
        <w:rPr>
          <w:rFonts w:hint="default" w:ascii="Times New Roman" w:hAnsi="Times New Roman" w:eastAsia="宋体" w:cs="Times New Roman"/>
          <w:color w:val="auto"/>
          <w:kern w:val="2"/>
          <w:sz w:val="24"/>
          <w:szCs w:val="21"/>
          <w:highlight w:val="none"/>
          <w:lang w:eastAsia="zh-CN"/>
        </w:rPr>
        <w:t>（</w:t>
      </w:r>
      <w:r>
        <w:rPr>
          <w:rFonts w:hint="default" w:ascii="Times New Roman" w:hAnsi="Times New Roman" w:eastAsia="宋体" w:cs="Times New Roman"/>
          <w:color w:val="auto"/>
          <w:kern w:val="2"/>
          <w:sz w:val="24"/>
          <w:szCs w:val="21"/>
          <w:highlight w:val="none"/>
        </w:rPr>
        <w:t>GB3096-2008</w:t>
      </w:r>
      <w:r>
        <w:rPr>
          <w:rFonts w:hint="default" w:ascii="Times New Roman" w:hAnsi="Times New Roman" w:eastAsia="宋体" w:cs="Times New Roman"/>
          <w:color w:val="auto"/>
          <w:kern w:val="2"/>
          <w:sz w:val="24"/>
          <w:szCs w:val="21"/>
          <w:highlight w:val="none"/>
          <w:lang w:eastAsia="zh-CN"/>
        </w:rPr>
        <w:t>）</w:t>
      </w:r>
      <w:r>
        <w:rPr>
          <w:rFonts w:hint="default" w:ascii="Times New Roman" w:hAnsi="Times New Roman" w:eastAsia="宋体" w:cs="Times New Roman"/>
          <w:color w:val="auto"/>
          <w:kern w:val="2"/>
          <w:sz w:val="24"/>
          <w:szCs w:val="21"/>
          <w:highlight w:val="none"/>
        </w:rPr>
        <w:t>中</w:t>
      </w:r>
      <w:r>
        <w:rPr>
          <w:rFonts w:hint="eastAsia" w:ascii="Times New Roman" w:hAnsi="Times New Roman" w:eastAsia="宋体" w:cs="Times New Roman"/>
          <w:color w:val="auto"/>
          <w:kern w:val="2"/>
          <w:sz w:val="24"/>
          <w:szCs w:val="21"/>
          <w:highlight w:val="none"/>
          <w:lang w:val="en-US" w:eastAsia="zh-CN"/>
        </w:rPr>
        <w:t>2类</w:t>
      </w:r>
      <w:r>
        <w:rPr>
          <w:rFonts w:hint="default" w:ascii="Times New Roman" w:hAnsi="Times New Roman" w:eastAsia="宋体" w:cs="Times New Roman"/>
          <w:color w:val="auto"/>
          <w:kern w:val="2"/>
          <w:sz w:val="24"/>
          <w:szCs w:val="21"/>
          <w:highlight w:val="none"/>
        </w:rPr>
        <w:t>区标准</w:t>
      </w:r>
      <w:r>
        <w:rPr>
          <w:rFonts w:hint="eastAsia" w:ascii="Times New Roman" w:hAnsi="Times New Roman" w:eastAsia="宋体" w:cs="Times New Roman"/>
          <w:color w:val="auto"/>
          <w:kern w:val="2"/>
          <w:sz w:val="24"/>
          <w:szCs w:val="21"/>
          <w:highlight w:val="none"/>
          <w:lang w:eastAsia="zh-CN"/>
        </w:rPr>
        <w:t>；</w:t>
      </w:r>
      <w:r>
        <w:rPr>
          <w:rFonts w:hint="default" w:ascii="Times New Roman" w:hAnsi="Times New Roman" w:eastAsia="宋体" w:cs="Times New Roman"/>
          <w:color w:val="auto"/>
          <w:kern w:val="2"/>
          <w:sz w:val="24"/>
          <w:szCs w:val="21"/>
          <w:highlight w:val="none"/>
        </w:rPr>
        <w:t>详见表2.</w:t>
      </w:r>
      <w:r>
        <w:rPr>
          <w:rFonts w:hint="eastAsia" w:ascii="Times New Roman" w:hAnsi="Times New Roman" w:eastAsia="宋体" w:cs="Times New Roman"/>
          <w:color w:val="auto"/>
          <w:kern w:val="2"/>
          <w:sz w:val="24"/>
          <w:szCs w:val="21"/>
          <w:highlight w:val="none"/>
          <w:lang w:val="en-US" w:eastAsia="zh-CN"/>
        </w:rPr>
        <w:t>3</w:t>
      </w:r>
      <w:r>
        <w:rPr>
          <w:rFonts w:hint="default" w:ascii="Times New Roman" w:hAnsi="Times New Roman" w:eastAsia="宋体" w:cs="Times New Roman"/>
          <w:color w:val="auto"/>
          <w:kern w:val="2"/>
          <w:sz w:val="24"/>
          <w:szCs w:val="21"/>
          <w:highlight w:val="none"/>
        </w:rPr>
        <w:t>-</w:t>
      </w:r>
      <w:r>
        <w:rPr>
          <w:rFonts w:hint="eastAsia" w:ascii="Times New Roman" w:hAnsi="Times New Roman" w:eastAsia="宋体" w:cs="Times New Roman"/>
          <w:color w:val="auto"/>
          <w:kern w:val="2"/>
          <w:sz w:val="24"/>
          <w:szCs w:val="21"/>
          <w:highlight w:val="none"/>
          <w:lang w:val="en-US" w:eastAsia="zh-CN"/>
        </w:rPr>
        <w:t>6</w:t>
      </w:r>
      <w:r>
        <w:rPr>
          <w:rFonts w:hint="default" w:ascii="Times New Roman" w:hAnsi="Times New Roman" w:eastAsia="宋体" w:cs="Times New Roman"/>
          <w:color w:val="auto"/>
          <w:kern w:val="2"/>
          <w:sz w:val="24"/>
          <w:szCs w:val="21"/>
          <w:highlight w:val="none"/>
        </w:rPr>
        <w:t>。</w:t>
      </w:r>
    </w:p>
    <w:p w14:paraId="7D37B0C8">
      <w:pPr>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highlight w:val="none"/>
        </w:rPr>
      </w:pPr>
      <w:r>
        <w:rPr>
          <w:color w:val="auto"/>
          <w:sz w:val="24"/>
          <w:highlight w:val="none"/>
        </w:rPr>
        <w:drawing>
          <wp:anchor distT="0" distB="0" distL="114300" distR="114300" simplePos="0" relativeHeight="251736064" behindDoc="0" locked="0" layoutInCell="1" allowOverlap="1">
            <wp:simplePos x="0" y="0"/>
            <wp:positionH relativeFrom="column">
              <wp:posOffset>-91440</wp:posOffset>
            </wp:positionH>
            <wp:positionV relativeFrom="paragraph">
              <wp:posOffset>130175</wp:posOffset>
            </wp:positionV>
            <wp:extent cx="5294630" cy="2435225"/>
            <wp:effectExtent l="0" t="0" r="1270" b="3175"/>
            <wp:wrapTopAndBottom/>
            <wp:docPr id="26" name="图片 38" descr="0e06861b810fa69b48910af189c6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8" descr="0e06861b810fa69b48910af189c6203"/>
                    <pic:cNvPicPr>
                      <a:picLocks noChangeAspect="1"/>
                    </pic:cNvPicPr>
                  </pic:nvPicPr>
                  <pic:blipFill>
                    <a:blip r:embed="rId20"/>
                    <a:stretch>
                      <a:fillRect/>
                    </a:stretch>
                  </pic:blipFill>
                  <pic:spPr>
                    <a:xfrm>
                      <a:off x="0" y="0"/>
                      <a:ext cx="5294630" cy="2435225"/>
                    </a:xfrm>
                    <a:prstGeom prst="rect">
                      <a:avLst/>
                    </a:prstGeom>
                    <a:noFill/>
                    <a:ln>
                      <a:noFill/>
                    </a:ln>
                  </pic:spPr>
                </pic:pic>
              </a:graphicData>
            </a:graphic>
          </wp:anchor>
        </w:drawing>
      </w:r>
      <w:r>
        <w:rPr>
          <w:rFonts w:hint="eastAsia" w:ascii="Times New Roman" w:hAnsi="Times New Roman" w:eastAsia="宋体" w:cs="Times New Roman"/>
          <w:b/>
          <w:bCs w:val="0"/>
          <w:color w:val="auto"/>
          <w:kern w:val="2"/>
          <w:sz w:val="24"/>
          <w:szCs w:val="24"/>
          <w:highlight w:val="none"/>
          <w:lang w:val="en-US" w:eastAsia="zh-CN"/>
        </w:rPr>
        <w:t>图</w:t>
      </w:r>
      <w:r>
        <w:rPr>
          <w:rFonts w:hint="default" w:ascii="Times New Roman" w:hAnsi="Times New Roman" w:eastAsia="宋体" w:cs="Times New Roman"/>
          <w:b/>
          <w:bCs w:val="0"/>
          <w:color w:val="auto"/>
          <w:kern w:val="2"/>
          <w:sz w:val="24"/>
          <w:szCs w:val="24"/>
          <w:highlight w:val="none"/>
        </w:rPr>
        <w:t>2.</w:t>
      </w:r>
      <w:r>
        <w:rPr>
          <w:rFonts w:hint="eastAsia" w:ascii="Times New Roman" w:hAnsi="Times New Roman" w:eastAsia="宋体" w:cs="Times New Roman"/>
          <w:b/>
          <w:bCs w:val="0"/>
          <w:color w:val="auto"/>
          <w:kern w:val="2"/>
          <w:sz w:val="24"/>
          <w:szCs w:val="24"/>
          <w:highlight w:val="none"/>
          <w:lang w:val="en-US" w:eastAsia="zh-CN"/>
        </w:rPr>
        <w:t>3</w:t>
      </w:r>
      <w:r>
        <w:rPr>
          <w:rFonts w:hint="default" w:ascii="Times New Roman" w:hAnsi="Times New Roman" w:eastAsia="宋体" w:cs="Times New Roman"/>
          <w:b/>
          <w:bCs w:val="0"/>
          <w:color w:val="auto"/>
          <w:kern w:val="2"/>
          <w:sz w:val="24"/>
          <w:szCs w:val="24"/>
          <w:highlight w:val="none"/>
        </w:rPr>
        <w:t>-</w:t>
      </w:r>
      <w:r>
        <w:rPr>
          <w:rFonts w:hint="eastAsia" w:ascii="Times New Roman" w:hAnsi="Times New Roman" w:eastAsia="宋体" w:cs="Times New Roman"/>
          <w:b/>
          <w:bCs w:val="0"/>
          <w:color w:val="auto"/>
          <w:kern w:val="2"/>
          <w:sz w:val="24"/>
          <w:szCs w:val="24"/>
          <w:highlight w:val="none"/>
          <w:lang w:val="en-US" w:eastAsia="zh-CN"/>
        </w:rPr>
        <w:t>1</w:t>
      </w:r>
      <w:r>
        <w:rPr>
          <w:rFonts w:hint="default" w:ascii="Times New Roman" w:hAnsi="Times New Roman" w:eastAsia="宋体" w:cs="Times New Roman"/>
          <w:b/>
          <w:bCs w:val="0"/>
          <w:color w:val="auto"/>
          <w:kern w:val="2"/>
          <w:sz w:val="24"/>
          <w:szCs w:val="24"/>
          <w:highlight w:val="none"/>
        </w:rPr>
        <w:t xml:space="preserve">  </w:t>
      </w:r>
      <w:r>
        <w:rPr>
          <w:rFonts w:hint="eastAsia" w:ascii="Times New Roman" w:hAnsi="Times New Roman" w:eastAsia="宋体" w:cs="Times New Roman"/>
          <w:b/>
          <w:bCs w:val="0"/>
          <w:color w:val="auto"/>
          <w:kern w:val="2"/>
          <w:sz w:val="24"/>
          <w:szCs w:val="24"/>
          <w:highlight w:val="none"/>
          <w:lang w:val="en-US" w:eastAsia="zh-CN"/>
        </w:rPr>
        <w:t>佳木斯</w:t>
      </w:r>
      <w:r>
        <w:rPr>
          <w:rFonts w:hint="default" w:ascii="Times New Roman" w:hAnsi="Times New Roman" w:eastAsia="宋体" w:cs="Times New Roman"/>
          <w:b/>
          <w:bCs w:val="0"/>
          <w:color w:val="auto"/>
          <w:kern w:val="2"/>
          <w:sz w:val="24"/>
          <w:szCs w:val="24"/>
          <w:highlight w:val="none"/>
        </w:rPr>
        <w:t>市</w:t>
      </w:r>
      <w:r>
        <w:rPr>
          <w:rFonts w:hint="default" w:ascii="Times New Roman" w:hAnsi="Times New Roman" w:eastAsia="宋体" w:cs="Times New Roman"/>
          <w:b/>
          <w:bCs w:val="0"/>
          <w:color w:val="auto"/>
          <w:kern w:val="2"/>
          <w:sz w:val="24"/>
          <w:szCs w:val="24"/>
          <w:highlight w:val="none"/>
          <w:lang w:eastAsia="zh-CN"/>
        </w:rPr>
        <w:t>城区声</w:t>
      </w:r>
      <w:r>
        <w:rPr>
          <w:rFonts w:hint="default" w:ascii="Times New Roman" w:hAnsi="Times New Roman" w:eastAsia="宋体" w:cs="Times New Roman"/>
          <w:b/>
          <w:bCs w:val="0"/>
          <w:color w:val="auto"/>
          <w:kern w:val="2"/>
          <w:sz w:val="24"/>
          <w:szCs w:val="24"/>
          <w:highlight w:val="none"/>
        </w:rPr>
        <w:t>环境功能区</w:t>
      </w:r>
      <w:r>
        <w:rPr>
          <w:rFonts w:hint="default" w:ascii="Times New Roman" w:hAnsi="Times New Roman" w:eastAsia="宋体" w:cs="Times New Roman"/>
          <w:b/>
          <w:bCs w:val="0"/>
          <w:color w:val="auto"/>
          <w:kern w:val="2"/>
          <w:sz w:val="24"/>
          <w:szCs w:val="24"/>
          <w:highlight w:val="none"/>
          <w:lang w:val="en-US" w:eastAsia="zh-CN"/>
        </w:rPr>
        <w:t>规划成果图</w:t>
      </w:r>
    </w:p>
    <w:p w14:paraId="7BD9CCD1">
      <w:pPr>
        <w:ind w:firstLine="0" w:firstLineChars="0"/>
        <w:jc w:val="center"/>
        <w:rPr>
          <w:rFonts w:hint="default" w:ascii="Times New Roman" w:hAnsi="Times New Roman" w:eastAsia="宋体" w:cs="Times New Roman"/>
          <w:color w:val="auto"/>
          <w:highlight w:val="none"/>
        </w:rPr>
      </w:pPr>
    </w:p>
    <w:p w14:paraId="44A43A05">
      <w:pPr>
        <w:ind w:firstLine="0" w:firstLineChars="0"/>
        <w:jc w:val="center"/>
        <w:rPr>
          <w:rFonts w:hint="default" w:ascii="Times New Roman" w:hAnsi="Times New Roman" w:eastAsia="宋体" w:cs="Times New Roman"/>
          <w:color w:val="auto"/>
          <w:highlight w:val="none"/>
        </w:rPr>
      </w:pPr>
    </w:p>
    <w:p w14:paraId="1596036C">
      <w:pPr>
        <w:ind w:firstLine="0" w:firstLineChars="0"/>
        <w:jc w:val="center"/>
        <w:rPr>
          <w:rFonts w:hint="default" w:ascii="Times New Roman" w:hAnsi="Times New Roman" w:eastAsia="宋体" w:cs="Times New Roman"/>
          <w:color w:val="auto"/>
          <w:highlight w:val="none"/>
        </w:rPr>
      </w:pPr>
    </w:p>
    <w:p w14:paraId="52BD6C65">
      <w:pPr>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表2.3-</w:t>
      </w:r>
      <w:r>
        <w:rPr>
          <w:rFonts w:hint="default" w:ascii="Times New Roman" w:hAnsi="Times New Roman" w:eastAsia="宋体" w:cs="Times New Roman"/>
          <w:color w:val="auto"/>
          <w:highlight w:val="none"/>
          <w:lang w:val="en-US" w:eastAsia="zh-CN"/>
        </w:rPr>
        <w:t>6</w:t>
      </w:r>
      <w:r>
        <w:rPr>
          <w:rFonts w:hint="default" w:ascii="Times New Roman" w:hAnsi="Times New Roman" w:eastAsia="宋体" w:cs="Times New Roman"/>
          <w:color w:val="auto"/>
          <w:highlight w:val="none"/>
        </w:rPr>
        <w:t>声环境质量标准值  单位：dB（A）</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75"/>
        <w:gridCol w:w="2183"/>
        <w:gridCol w:w="1088"/>
        <w:gridCol w:w="832"/>
        <w:gridCol w:w="670"/>
        <w:gridCol w:w="902"/>
        <w:gridCol w:w="1100"/>
        <w:gridCol w:w="872"/>
      </w:tblGrid>
      <w:tr w14:paraId="6A1892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513" w:type="pct"/>
            <w:vMerge w:val="restart"/>
            <w:tcBorders>
              <w:tl2br w:val="nil"/>
              <w:tr2bl w:val="nil"/>
            </w:tcBorders>
            <w:vAlign w:val="center"/>
          </w:tcPr>
          <w:p w14:paraId="7AFF00A7">
            <w:pPr>
              <w:pStyle w:val="63"/>
              <w:contextualSpacing/>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类别</w:t>
            </w:r>
          </w:p>
        </w:tc>
        <w:tc>
          <w:tcPr>
            <w:tcW w:w="1280" w:type="pct"/>
            <w:vMerge w:val="restart"/>
            <w:tcBorders>
              <w:tl2br w:val="nil"/>
              <w:tr2bl w:val="nil"/>
            </w:tcBorders>
            <w:vAlign w:val="center"/>
          </w:tcPr>
          <w:p w14:paraId="224975DA">
            <w:pPr>
              <w:widowControl/>
              <w:spacing w:line="240" w:lineRule="auto"/>
              <w:ind w:firstLine="0" w:firstLineChars="0"/>
              <w:contextualSpacing/>
              <w:jc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标准名称</w:t>
            </w:r>
          </w:p>
        </w:tc>
        <w:tc>
          <w:tcPr>
            <w:tcW w:w="638" w:type="pct"/>
            <w:vMerge w:val="restart"/>
            <w:tcBorders>
              <w:tl2br w:val="nil"/>
              <w:tr2bl w:val="nil"/>
            </w:tcBorders>
            <w:vAlign w:val="center"/>
          </w:tcPr>
          <w:p w14:paraId="37DB7562">
            <w:pPr>
              <w:pStyle w:val="63"/>
              <w:contextualSpacing/>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污染因子</w:t>
            </w:r>
          </w:p>
        </w:tc>
        <w:tc>
          <w:tcPr>
            <w:tcW w:w="1410" w:type="pct"/>
            <w:gridSpan w:val="3"/>
            <w:tcBorders>
              <w:tl2br w:val="nil"/>
              <w:tr2bl w:val="nil"/>
            </w:tcBorders>
            <w:vAlign w:val="center"/>
          </w:tcPr>
          <w:p w14:paraId="4C140144">
            <w:pPr>
              <w:pStyle w:val="63"/>
              <w:contextualSpacing/>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标准值</w:t>
            </w:r>
          </w:p>
        </w:tc>
        <w:tc>
          <w:tcPr>
            <w:tcW w:w="645" w:type="pct"/>
            <w:vMerge w:val="restart"/>
            <w:tcBorders>
              <w:tl2br w:val="nil"/>
              <w:tr2bl w:val="nil"/>
            </w:tcBorders>
            <w:vAlign w:val="center"/>
          </w:tcPr>
          <w:p w14:paraId="2E0AC854">
            <w:pPr>
              <w:pStyle w:val="63"/>
              <w:contextualSpacing/>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备注</w:t>
            </w:r>
          </w:p>
        </w:tc>
        <w:tc>
          <w:tcPr>
            <w:tcW w:w="511" w:type="pct"/>
            <w:vMerge w:val="restart"/>
            <w:tcBorders>
              <w:tl2br w:val="nil"/>
              <w:tr2bl w:val="nil"/>
            </w:tcBorders>
            <w:vAlign w:val="center"/>
          </w:tcPr>
          <w:p w14:paraId="03440E0E">
            <w:pPr>
              <w:pStyle w:val="63"/>
              <w:contextualSpacing/>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单位</w:t>
            </w:r>
          </w:p>
        </w:tc>
      </w:tr>
      <w:tr w14:paraId="558332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13" w:type="pct"/>
            <w:vMerge w:val="continue"/>
            <w:tcBorders>
              <w:tl2br w:val="nil"/>
              <w:tr2bl w:val="nil"/>
            </w:tcBorders>
            <w:vAlign w:val="center"/>
          </w:tcPr>
          <w:p w14:paraId="74B35781">
            <w:pPr>
              <w:pStyle w:val="63"/>
              <w:contextualSpacing/>
              <w:rPr>
                <w:rFonts w:hint="default" w:ascii="Times New Roman" w:hAnsi="Times New Roman" w:eastAsia="宋体" w:cs="Times New Roman"/>
                <w:color w:val="auto"/>
                <w:highlight w:val="none"/>
              </w:rPr>
            </w:pPr>
          </w:p>
        </w:tc>
        <w:tc>
          <w:tcPr>
            <w:tcW w:w="1280" w:type="pct"/>
            <w:vMerge w:val="continue"/>
            <w:tcBorders>
              <w:tl2br w:val="nil"/>
              <w:tr2bl w:val="nil"/>
            </w:tcBorders>
            <w:vAlign w:val="center"/>
          </w:tcPr>
          <w:p w14:paraId="1BCD06A8">
            <w:pPr>
              <w:widowControl/>
              <w:spacing w:line="240" w:lineRule="auto"/>
              <w:ind w:firstLine="0" w:firstLineChars="0"/>
              <w:contextualSpacing/>
              <w:jc w:val="center"/>
              <w:rPr>
                <w:rFonts w:hint="default" w:ascii="Times New Roman" w:hAnsi="Times New Roman" w:eastAsia="宋体" w:cs="Times New Roman"/>
                <w:color w:val="auto"/>
                <w:sz w:val="21"/>
                <w:highlight w:val="none"/>
              </w:rPr>
            </w:pPr>
          </w:p>
        </w:tc>
        <w:tc>
          <w:tcPr>
            <w:tcW w:w="638" w:type="pct"/>
            <w:vMerge w:val="continue"/>
            <w:tcBorders>
              <w:tl2br w:val="nil"/>
              <w:tr2bl w:val="nil"/>
            </w:tcBorders>
            <w:vAlign w:val="center"/>
          </w:tcPr>
          <w:p w14:paraId="3DE0B56D">
            <w:pPr>
              <w:pStyle w:val="63"/>
              <w:contextualSpacing/>
              <w:rPr>
                <w:rFonts w:hint="default" w:ascii="Times New Roman" w:hAnsi="Times New Roman" w:eastAsia="宋体" w:cs="Times New Roman"/>
                <w:color w:val="auto"/>
                <w:highlight w:val="none"/>
              </w:rPr>
            </w:pPr>
          </w:p>
        </w:tc>
        <w:tc>
          <w:tcPr>
            <w:tcW w:w="881" w:type="pct"/>
            <w:gridSpan w:val="2"/>
            <w:tcBorders>
              <w:tl2br w:val="nil"/>
              <w:tr2bl w:val="nil"/>
            </w:tcBorders>
            <w:vAlign w:val="center"/>
          </w:tcPr>
          <w:p w14:paraId="425E1D79">
            <w:pPr>
              <w:pStyle w:val="63"/>
              <w:contextualSpacing/>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类别</w:t>
            </w:r>
          </w:p>
        </w:tc>
        <w:tc>
          <w:tcPr>
            <w:tcW w:w="529" w:type="pct"/>
            <w:tcBorders>
              <w:tl2br w:val="nil"/>
              <w:tr2bl w:val="nil"/>
            </w:tcBorders>
            <w:vAlign w:val="center"/>
          </w:tcPr>
          <w:p w14:paraId="3D41FBE1">
            <w:pPr>
              <w:pStyle w:val="63"/>
              <w:contextualSpacing/>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数值</w:t>
            </w:r>
          </w:p>
        </w:tc>
        <w:tc>
          <w:tcPr>
            <w:tcW w:w="645" w:type="pct"/>
            <w:vMerge w:val="continue"/>
            <w:tcBorders>
              <w:tl2br w:val="nil"/>
              <w:tr2bl w:val="nil"/>
            </w:tcBorders>
            <w:vAlign w:val="center"/>
          </w:tcPr>
          <w:p w14:paraId="2D8998B8">
            <w:pPr>
              <w:pStyle w:val="63"/>
              <w:contextualSpacing/>
              <w:rPr>
                <w:rFonts w:hint="default" w:ascii="Times New Roman" w:hAnsi="Times New Roman" w:eastAsia="宋体" w:cs="Times New Roman"/>
                <w:color w:val="auto"/>
                <w:highlight w:val="none"/>
              </w:rPr>
            </w:pPr>
          </w:p>
        </w:tc>
        <w:tc>
          <w:tcPr>
            <w:tcW w:w="511" w:type="pct"/>
            <w:vMerge w:val="continue"/>
            <w:tcBorders>
              <w:tl2br w:val="nil"/>
              <w:tr2bl w:val="nil"/>
            </w:tcBorders>
            <w:vAlign w:val="center"/>
          </w:tcPr>
          <w:p w14:paraId="1EB72A02">
            <w:pPr>
              <w:pStyle w:val="63"/>
              <w:contextualSpacing/>
              <w:rPr>
                <w:rFonts w:hint="default" w:ascii="Times New Roman" w:hAnsi="Times New Roman" w:eastAsia="宋体" w:cs="Times New Roman"/>
                <w:color w:val="auto"/>
                <w:highlight w:val="none"/>
              </w:rPr>
            </w:pPr>
          </w:p>
        </w:tc>
      </w:tr>
      <w:tr w14:paraId="46BFB4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513" w:type="pct"/>
            <w:vMerge w:val="restart"/>
            <w:tcBorders>
              <w:tl2br w:val="nil"/>
              <w:tr2bl w:val="nil"/>
            </w:tcBorders>
            <w:vAlign w:val="center"/>
          </w:tcPr>
          <w:p w14:paraId="23EDC2E6">
            <w:pPr>
              <w:pStyle w:val="63"/>
              <w:contextualSpacing/>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声环境</w:t>
            </w:r>
          </w:p>
        </w:tc>
        <w:tc>
          <w:tcPr>
            <w:tcW w:w="1280" w:type="pct"/>
            <w:vMerge w:val="restart"/>
            <w:tcBorders>
              <w:tl2br w:val="nil"/>
              <w:tr2bl w:val="nil"/>
            </w:tcBorders>
            <w:vAlign w:val="center"/>
          </w:tcPr>
          <w:p w14:paraId="7C6B72B5">
            <w:pPr>
              <w:pStyle w:val="63"/>
              <w:contextualSpacing/>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《声环境质量标准》（GB3096-2008）</w:t>
            </w:r>
          </w:p>
        </w:tc>
        <w:tc>
          <w:tcPr>
            <w:tcW w:w="638" w:type="pct"/>
            <w:vMerge w:val="restart"/>
            <w:tcBorders>
              <w:tl2br w:val="nil"/>
              <w:tr2bl w:val="nil"/>
            </w:tcBorders>
            <w:vAlign w:val="center"/>
          </w:tcPr>
          <w:p w14:paraId="57D42805">
            <w:pPr>
              <w:pStyle w:val="63"/>
              <w:contextualSpacing/>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噪声</w:t>
            </w:r>
          </w:p>
        </w:tc>
        <w:tc>
          <w:tcPr>
            <w:tcW w:w="488" w:type="pct"/>
            <w:vMerge w:val="restart"/>
            <w:tcBorders>
              <w:tl2br w:val="nil"/>
              <w:tr2bl w:val="nil"/>
            </w:tcBorders>
            <w:vAlign w:val="center"/>
          </w:tcPr>
          <w:p w14:paraId="1320174B">
            <w:pPr>
              <w:pStyle w:val="63"/>
              <w:contextualSpacing/>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2类</w:t>
            </w:r>
          </w:p>
        </w:tc>
        <w:tc>
          <w:tcPr>
            <w:tcW w:w="393" w:type="pct"/>
            <w:tcBorders>
              <w:tl2br w:val="nil"/>
              <w:tr2bl w:val="nil"/>
            </w:tcBorders>
            <w:shd w:val="clear" w:color="auto" w:fill="auto"/>
            <w:vAlign w:val="center"/>
          </w:tcPr>
          <w:p w14:paraId="5361EA31">
            <w:pPr>
              <w:pStyle w:val="63"/>
              <w:ind w:firstLine="0" w:firstLineChars="0"/>
              <w:contextualSpacing/>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highlight w:val="none"/>
              </w:rPr>
              <w:t>昼间</w:t>
            </w:r>
          </w:p>
        </w:tc>
        <w:tc>
          <w:tcPr>
            <w:tcW w:w="529" w:type="pct"/>
            <w:tcBorders>
              <w:tl2br w:val="nil"/>
              <w:tr2bl w:val="nil"/>
            </w:tcBorders>
            <w:vAlign w:val="center"/>
          </w:tcPr>
          <w:p w14:paraId="6930A2D4">
            <w:pPr>
              <w:pStyle w:val="63"/>
              <w:contextualSpacing/>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60</w:t>
            </w:r>
          </w:p>
        </w:tc>
        <w:tc>
          <w:tcPr>
            <w:tcW w:w="645" w:type="pct"/>
            <w:vMerge w:val="restart"/>
            <w:tcBorders>
              <w:tl2br w:val="nil"/>
              <w:tr2bl w:val="nil"/>
            </w:tcBorders>
            <w:vAlign w:val="center"/>
          </w:tcPr>
          <w:p w14:paraId="614284BE">
            <w:pPr>
              <w:pStyle w:val="63"/>
              <w:contextualSpacing/>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保护目标</w:t>
            </w:r>
          </w:p>
        </w:tc>
        <w:tc>
          <w:tcPr>
            <w:tcW w:w="511" w:type="pct"/>
            <w:vMerge w:val="restart"/>
            <w:tcBorders>
              <w:tl2br w:val="nil"/>
              <w:tr2bl w:val="nil"/>
            </w:tcBorders>
            <w:vAlign w:val="center"/>
          </w:tcPr>
          <w:p w14:paraId="42DEBE46">
            <w:pPr>
              <w:pStyle w:val="63"/>
              <w:ind w:firstLine="0" w:firstLineChars="0"/>
              <w:contextualSpacing/>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highlight w:val="none"/>
              </w:rPr>
              <w:t>dB</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A</w:t>
            </w:r>
            <w:r>
              <w:rPr>
                <w:rFonts w:hint="eastAsia" w:ascii="Times New Roman" w:hAnsi="Times New Roman" w:eastAsia="宋体" w:cs="Times New Roman"/>
                <w:color w:val="auto"/>
                <w:highlight w:val="none"/>
                <w:lang w:eastAsia="zh-CN"/>
              </w:rPr>
              <w:t>)</w:t>
            </w:r>
          </w:p>
        </w:tc>
      </w:tr>
      <w:tr w14:paraId="18439C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513" w:type="pct"/>
            <w:vMerge w:val="continue"/>
            <w:tcBorders>
              <w:tl2br w:val="nil"/>
              <w:tr2bl w:val="nil"/>
            </w:tcBorders>
            <w:vAlign w:val="center"/>
          </w:tcPr>
          <w:p w14:paraId="31C1E3B6">
            <w:pPr>
              <w:pStyle w:val="63"/>
              <w:contextualSpacing/>
              <w:rPr>
                <w:rFonts w:hint="default" w:ascii="Times New Roman" w:hAnsi="Times New Roman" w:eastAsia="宋体" w:cs="Times New Roman"/>
                <w:color w:val="auto"/>
                <w:highlight w:val="none"/>
              </w:rPr>
            </w:pPr>
          </w:p>
        </w:tc>
        <w:tc>
          <w:tcPr>
            <w:tcW w:w="1280" w:type="pct"/>
            <w:vMerge w:val="continue"/>
            <w:tcBorders>
              <w:tl2br w:val="nil"/>
              <w:tr2bl w:val="nil"/>
            </w:tcBorders>
            <w:vAlign w:val="center"/>
          </w:tcPr>
          <w:p w14:paraId="267F5982">
            <w:pPr>
              <w:pStyle w:val="63"/>
              <w:contextualSpacing/>
              <w:rPr>
                <w:rFonts w:hint="default" w:ascii="Times New Roman" w:hAnsi="Times New Roman" w:eastAsia="宋体" w:cs="Times New Roman"/>
                <w:color w:val="auto"/>
                <w:highlight w:val="none"/>
              </w:rPr>
            </w:pPr>
          </w:p>
        </w:tc>
        <w:tc>
          <w:tcPr>
            <w:tcW w:w="638" w:type="pct"/>
            <w:vMerge w:val="continue"/>
            <w:tcBorders>
              <w:tl2br w:val="nil"/>
              <w:tr2bl w:val="nil"/>
            </w:tcBorders>
            <w:vAlign w:val="center"/>
          </w:tcPr>
          <w:p w14:paraId="128A0644">
            <w:pPr>
              <w:pStyle w:val="63"/>
              <w:contextualSpacing/>
              <w:rPr>
                <w:rFonts w:hint="default" w:ascii="Times New Roman" w:hAnsi="Times New Roman" w:eastAsia="宋体" w:cs="Times New Roman"/>
                <w:color w:val="auto"/>
                <w:highlight w:val="none"/>
              </w:rPr>
            </w:pPr>
          </w:p>
        </w:tc>
        <w:tc>
          <w:tcPr>
            <w:tcW w:w="488" w:type="pct"/>
            <w:vMerge w:val="continue"/>
            <w:tcBorders>
              <w:tl2br w:val="nil"/>
              <w:tr2bl w:val="nil"/>
            </w:tcBorders>
            <w:vAlign w:val="center"/>
          </w:tcPr>
          <w:p w14:paraId="5530F581">
            <w:pPr>
              <w:pStyle w:val="63"/>
              <w:contextualSpacing/>
              <w:rPr>
                <w:rFonts w:hint="default" w:ascii="Times New Roman" w:hAnsi="Times New Roman" w:eastAsia="宋体" w:cs="Times New Roman"/>
                <w:color w:val="auto"/>
                <w:highlight w:val="none"/>
              </w:rPr>
            </w:pPr>
          </w:p>
        </w:tc>
        <w:tc>
          <w:tcPr>
            <w:tcW w:w="393" w:type="pct"/>
            <w:tcBorders>
              <w:tl2br w:val="nil"/>
              <w:tr2bl w:val="nil"/>
            </w:tcBorders>
            <w:shd w:val="clear" w:color="auto" w:fill="auto"/>
            <w:vAlign w:val="center"/>
          </w:tcPr>
          <w:p w14:paraId="0193E0CD">
            <w:pPr>
              <w:pStyle w:val="63"/>
              <w:ind w:firstLine="0" w:firstLineChars="0"/>
              <w:contextualSpacing/>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highlight w:val="none"/>
              </w:rPr>
              <w:t>夜间</w:t>
            </w:r>
          </w:p>
        </w:tc>
        <w:tc>
          <w:tcPr>
            <w:tcW w:w="529" w:type="pct"/>
            <w:tcBorders>
              <w:tl2br w:val="nil"/>
              <w:tr2bl w:val="nil"/>
            </w:tcBorders>
            <w:vAlign w:val="center"/>
          </w:tcPr>
          <w:p w14:paraId="4FC0DD79">
            <w:pPr>
              <w:pStyle w:val="63"/>
              <w:contextualSpacing/>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50</w:t>
            </w:r>
          </w:p>
        </w:tc>
        <w:tc>
          <w:tcPr>
            <w:tcW w:w="645" w:type="pct"/>
            <w:vMerge w:val="continue"/>
            <w:tcBorders>
              <w:tl2br w:val="nil"/>
              <w:tr2bl w:val="nil"/>
            </w:tcBorders>
            <w:vAlign w:val="center"/>
          </w:tcPr>
          <w:p w14:paraId="1642E8EF">
            <w:pPr>
              <w:pStyle w:val="63"/>
              <w:contextualSpacing/>
              <w:rPr>
                <w:rFonts w:hint="default" w:ascii="Times New Roman" w:hAnsi="Times New Roman" w:eastAsia="宋体" w:cs="Times New Roman"/>
                <w:color w:val="auto"/>
                <w:highlight w:val="none"/>
                <w:lang w:val="en-US" w:eastAsia="zh-CN"/>
              </w:rPr>
            </w:pPr>
          </w:p>
        </w:tc>
        <w:tc>
          <w:tcPr>
            <w:tcW w:w="511" w:type="pct"/>
            <w:vMerge w:val="continue"/>
            <w:tcBorders>
              <w:tl2br w:val="nil"/>
              <w:tr2bl w:val="nil"/>
            </w:tcBorders>
            <w:vAlign w:val="center"/>
          </w:tcPr>
          <w:p w14:paraId="5CF7DAEB">
            <w:pPr>
              <w:pStyle w:val="63"/>
              <w:contextualSpacing/>
              <w:rPr>
                <w:rFonts w:hint="eastAsia" w:ascii="Times New Roman" w:hAnsi="Times New Roman" w:eastAsia="宋体" w:cs="Times New Roman"/>
                <w:color w:val="auto"/>
                <w:highlight w:val="none"/>
                <w:lang w:val="en-US" w:eastAsia="zh-CN"/>
              </w:rPr>
            </w:pPr>
          </w:p>
        </w:tc>
      </w:tr>
      <w:tr w14:paraId="3FAF91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513" w:type="pct"/>
            <w:vMerge w:val="continue"/>
            <w:tcBorders>
              <w:tl2br w:val="nil"/>
              <w:tr2bl w:val="nil"/>
            </w:tcBorders>
            <w:vAlign w:val="center"/>
          </w:tcPr>
          <w:p w14:paraId="65A2A8AF">
            <w:pPr>
              <w:pStyle w:val="63"/>
              <w:contextualSpacing/>
              <w:rPr>
                <w:rFonts w:hint="default" w:ascii="Times New Roman" w:hAnsi="Times New Roman" w:eastAsia="宋体" w:cs="Times New Roman"/>
                <w:color w:val="auto"/>
                <w:highlight w:val="none"/>
              </w:rPr>
            </w:pPr>
          </w:p>
        </w:tc>
        <w:tc>
          <w:tcPr>
            <w:tcW w:w="1280" w:type="pct"/>
            <w:vMerge w:val="continue"/>
            <w:tcBorders>
              <w:tl2br w:val="nil"/>
              <w:tr2bl w:val="nil"/>
            </w:tcBorders>
            <w:vAlign w:val="center"/>
          </w:tcPr>
          <w:p w14:paraId="4E24182E">
            <w:pPr>
              <w:pStyle w:val="63"/>
              <w:contextualSpacing/>
              <w:rPr>
                <w:rFonts w:hint="default" w:ascii="Times New Roman" w:hAnsi="Times New Roman" w:eastAsia="宋体" w:cs="Times New Roman"/>
                <w:color w:val="auto"/>
                <w:highlight w:val="none"/>
              </w:rPr>
            </w:pPr>
          </w:p>
        </w:tc>
        <w:tc>
          <w:tcPr>
            <w:tcW w:w="638" w:type="pct"/>
            <w:vMerge w:val="continue"/>
            <w:tcBorders>
              <w:tl2br w:val="nil"/>
              <w:tr2bl w:val="nil"/>
            </w:tcBorders>
            <w:vAlign w:val="center"/>
          </w:tcPr>
          <w:p w14:paraId="15F3A49E">
            <w:pPr>
              <w:pStyle w:val="63"/>
              <w:contextualSpacing/>
              <w:rPr>
                <w:rFonts w:hint="default" w:ascii="Times New Roman" w:hAnsi="Times New Roman" w:eastAsia="宋体" w:cs="Times New Roman"/>
                <w:color w:val="auto"/>
                <w:highlight w:val="none"/>
              </w:rPr>
            </w:pPr>
          </w:p>
        </w:tc>
        <w:tc>
          <w:tcPr>
            <w:tcW w:w="488" w:type="pct"/>
            <w:vMerge w:val="restart"/>
            <w:tcBorders>
              <w:tl2br w:val="nil"/>
              <w:tr2bl w:val="nil"/>
            </w:tcBorders>
            <w:shd w:val="clear" w:color="auto" w:fill="auto"/>
            <w:vAlign w:val="center"/>
          </w:tcPr>
          <w:p w14:paraId="71862884">
            <w:pPr>
              <w:pStyle w:val="63"/>
              <w:ind w:firstLine="0" w:firstLineChars="0"/>
              <w:contextualSpacing/>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3类</w:t>
            </w:r>
          </w:p>
        </w:tc>
        <w:tc>
          <w:tcPr>
            <w:tcW w:w="393" w:type="pct"/>
            <w:tcBorders>
              <w:tl2br w:val="nil"/>
              <w:tr2bl w:val="nil"/>
            </w:tcBorders>
            <w:shd w:val="clear" w:color="auto" w:fill="auto"/>
            <w:vAlign w:val="center"/>
          </w:tcPr>
          <w:p w14:paraId="1503612C">
            <w:pPr>
              <w:pStyle w:val="63"/>
              <w:ind w:firstLine="0" w:firstLineChars="0"/>
              <w:contextualSpacing/>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highlight w:val="none"/>
              </w:rPr>
              <w:t>昼间</w:t>
            </w:r>
          </w:p>
        </w:tc>
        <w:tc>
          <w:tcPr>
            <w:tcW w:w="529" w:type="pct"/>
            <w:tcBorders>
              <w:tl2br w:val="nil"/>
              <w:tr2bl w:val="nil"/>
            </w:tcBorders>
            <w:shd w:val="clear" w:color="auto" w:fill="auto"/>
            <w:vAlign w:val="center"/>
          </w:tcPr>
          <w:p w14:paraId="771E21C4">
            <w:pPr>
              <w:pStyle w:val="63"/>
              <w:ind w:firstLine="0" w:firstLineChars="0"/>
              <w:contextualSpacing/>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highlight w:val="none"/>
                <w:lang w:val="en-US" w:eastAsia="zh-CN"/>
              </w:rPr>
              <w:t>65</w:t>
            </w:r>
          </w:p>
        </w:tc>
        <w:tc>
          <w:tcPr>
            <w:tcW w:w="645" w:type="pct"/>
            <w:vMerge w:val="restart"/>
            <w:tcBorders>
              <w:tl2br w:val="nil"/>
              <w:tr2bl w:val="nil"/>
            </w:tcBorders>
            <w:shd w:val="clear" w:color="auto" w:fill="auto"/>
            <w:vAlign w:val="center"/>
          </w:tcPr>
          <w:p w14:paraId="529B777A">
            <w:pPr>
              <w:pStyle w:val="63"/>
              <w:ind w:firstLine="0" w:firstLineChars="0"/>
              <w:contextualSpacing/>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highlight w:val="none"/>
                <w:lang w:val="en-US" w:eastAsia="zh-CN"/>
              </w:rPr>
              <w:t>厂界</w:t>
            </w:r>
          </w:p>
        </w:tc>
        <w:tc>
          <w:tcPr>
            <w:tcW w:w="511" w:type="pct"/>
            <w:vMerge w:val="continue"/>
            <w:tcBorders>
              <w:tl2br w:val="nil"/>
              <w:tr2bl w:val="nil"/>
            </w:tcBorders>
            <w:shd w:val="clear" w:color="auto" w:fill="auto"/>
            <w:vAlign w:val="center"/>
          </w:tcPr>
          <w:p w14:paraId="303E7CFD">
            <w:pPr>
              <w:pStyle w:val="63"/>
              <w:ind w:firstLine="0" w:firstLineChars="0"/>
              <w:contextualSpacing/>
              <w:rPr>
                <w:rFonts w:hint="eastAsia" w:ascii="Times New Roman" w:hAnsi="Times New Roman" w:eastAsia="宋体" w:cs="Times New Roman"/>
                <w:color w:val="auto"/>
                <w:kern w:val="2"/>
                <w:sz w:val="21"/>
                <w:szCs w:val="21"/>
                <w:highlight w:val="none"/>
                <w:lang w:val="en-US" w:eastAsia="zh-CN" w:bidi="ar-SA"/>
              </w:rPr>
            </w:pPr>
          </w:p>
        </w:tc>
      </w:tr>
      <w:tr w14:paraId="6EC98F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513" w:type="pct"/>
            <w:vMerge w:val="continue"/>
            <w:tcBorders>
              <w:tl2br w:val="nil"/>
              <w:tr2bl w:val="nil"/>
            </w:tcBorders>
            <w:vAlign w:val="center"/>
          </w:tcPr>
          <w:p w14:paraId="4D50CFBD">
            <w:pPr>
              <w:pStyle w:val="63"/>
              <w:contextualSpacing/>
              <w:rPr>
                <w:rFonts w:hint="default" w:ascii="Times New Roman" w:hAnsi="Times New Roman" w:eastAsia="宋体" w:cs="Times New Roman"/>
                <w:color w:val="auto"/>
                <w:highlight w:val="none"/>
              </w:rPr>
            </w:pPr>
          </w:p>
        </w:tc>
        <w:tc>
          <w:tcPr>
            <w:tcW w:w="1280" w:type="pct"/>
            <w:vMerge w:val="continue"/>
            <w:tcBorders>
              <w:tl2br w:val="nil"/>
              <w:tr2bl w:val="nil"/>
            </w:tcBorders>
            <w:vAlign w:val="center"/>
          </w:tcPr>
          <w:p w14:paraId="7EC3FE6B">
            <w:pPr>
              <w:pStyle w:val="63"/>
              <w:contextualSpacing/>
              <w:rPr>
                <w:rFonts w:hint="default" w:ascii="Times New Roman" w:hAnsi="Times New Roman" w:eastAsia="宋体" w:cs="Times New Roman"/>
                <w:color w:val="auto"/>
                <w:highlight w:val="none"/>
              </w:rPr>
            </w:pPr>
          </w:p>
        </w:tc>
        <w:tc>
          <w:tcPr>
            <w:tcW w:w="638" w:type="pct"/>
            <w:vMerge w:val="continue"/>
            <w:tcBorders>
              <w:tl2br w:val="nil"/>
              <w:tr2bl w:val="nil"/>
            </w:tcBorders>
            <w:vAlign w:val="center"/>
          </w:tcPr>
          <w:p w14:paraId="1BFDDEB7">
            <w:pPr>
              <w:pStyle w:val="63"/>
              <w:contextualSpacing/>
              <w:rPr>
                <w:rFonts w:hint="default" w:ascii="Times New Roman" w:hAnsi="Times New Roman" w:eastAsia="宋体" w:cs="Times New Roman"/>
                <w:color w:val="auto"/>
                <w:highlight w:val="none"/>
              </w:rPr>
            </w:pPr>
          </w:p>
        </w:tc>
        <w:tc>
          <w:tcPr>
            <w:tcW w:w="488" w:type="pct"/>
            <w:vMerge w:val="continue"/>
            <w:tcBorders>
              <w:tl2br w:val="nil"/>
              <w:tr2bl w:val="nil"/>
            </w:tcBorders>
            <w:vAlign w:val="center"/>
          </w:tcPr>
          <w:p w14:paraId="0B8B30EC">
            <w:pPr>
              <w:pStyle w:val="63"/>
              <w:contextualSpacing/>
              <w:rPr>
                <w:rFonts w:hint="default" w:ascii="Times New Roman" w:hAnsi="Times New Roman" w:eastAsia="宋体" w:cs="Times New Roman"/>
                <w:color w:val="auto"/>
                <w:highlight w:val="none"/>
              </w:rPr>
            </w:pPr>
          </w:p>
        </w:tc>
        <w:tc>
          <w:tcPr>
            <w:tcW w:w="393" w:type="pct"/>
            <w:tcBorders>
              <w:tl2br w:val="nil"/>
              <w:tr2bl w:val="nil"/>
            </w:tcBorders>
            <w:shd w:val="clear" w:color="auto" w:fill="auto"/>
            <w:vAlign w:val="center"/>
          </w:tcPr>
          <w:p w14:paraId="2F79112B">
            <w:pPr>
              <w:pStyle w:val="63"/>
              <w:ind w:firstLine="0" w:firstLineChars="0"/>
              <w:contextualSpacing/>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highlight w:val="none"/>
              </w:rPr>
              <w:t>夜间</w:t>
            </w:r>
          </w:p>
        </w:tc>
        <w:tc>
          <w:tcPr>
            <w:tcW w:w="529" w:type="pct"/>
            <w:tcBorders>
              <w:tl2br w:val="nil"/>
              <w:tr2bl w:val="nil"/>
            </w:tcBorders>
            <w:shd w:val="clear" w:color="auto" w:fill="auto"/>
            <w:vAlign w:val="center"/>
          </w:tcPr>
          <w:p w14:paraId="6C0572E8">
            <w:pPr>
              <w:pStyle w:val="63"/>
              <w:ind w:firstLine="0" w:firstLineChars="0"/>
              <w:contextualSpacing/>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highlight w:val="none"/>
                <w:lang w:val="en-US" w:eastAsia="zh-CN"/>
              </w:rPr>
              <w:t>55</w:t>
            </w:r>
          </w:p>
        </w:tc>
        <w:tc>
          <w:tcPr>
            <w:tcW w:w="645" w:type="pct"/>
            <w:vMerge w:val="continue"/>
            <w:tcBorders>
              <w:tl2br w:val="nil"/>
              <w:tr2bl w:val="nil"/>
            </w:tcBorders>
            <w:shd w:val="clear" w:color="auto" w:fill="auto"/>
            <w:vAlign w:val="center"/>
          </w:tcPr>
          <w:p w14:paraId="708835C0">
            <w:pPr>
              <w:pStyle w:val="63"/>
              <w:ind w:firstLine="0" w:firstLineChars="0"/>
              <w:contextualSpacing/>
              <w:rPr>
                <w:rFonts w:hint="eastAsia" w:ascii="Times New Roman" w:hAnsi="Times New Roman" w:eastAsia="宋体" w:cs="Times New Roman"/>
                <w:color w:val="auto"/>
                <w:kern w:val="2"/>
                <w:sz w:val="21"/>
                <w:szCs w:val="21"/>
                <w:highlight w:val="none"/>
                <w:lang w:val="en-US" w:eastAsia="zh-CN" w:bidi="ar-SA"/>
              </w:rPr>
            </w:pPr>
          </w:p>
        </w:tc>
        <w:tc>
          <w:tcPr>
            <w:tcW w:w="511" w:type="pct"/>
            <w:vMerge w:val="continue"/>
            <w:tcBorders>
              <w:tl2br w:val="nil"/>
              <w:tr2bl w:val="nil"/>
            </w:tcBorders>
            <w:shd w:val="clear" w:color="auto" w:fill="auto"/>
            <w:vAlign w:val="center"/>
          </w:tcPr>
          <w:p w14:paraId="5A242984">
            <w:pPr>
              <w:pStyle w:val="63"/>
              <w:ind w:firstLine="0" w:firstLineChars="0"/>
              <w:contextualSpacing/>
              <w:rPr>
                <w:rFonts w:hint="eastAsia" w:ascii="Times New Roman" w:hAnsi="Times New Roman" w:eastAsia="宋体" w:cs="Times New Roman"/>
                <w:color w:val="auto"/>
                <w:kern w:val="2"/>
                <w:sz w:val="21"/>
                <w:szCs w:val="21"/>
                <w:highlight w:val="none"/>
                <w:lang w:val="en-US" w:eastAsia="zh-CN" w:bidi="ar-SA"/>
              </w:rPr>
            </w:pPr>
          </w:p>
        </w:tc>
      </w:tr>
    </w:tbl>
    <w:p w14:paraId="7F9BCB70">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土壤污染风险管控标准</w:t>
      </w:r>
    </w:p>
    <w:p w14:paraId="69A3D02D">
      <w:pPr>
        <w:ind w:firstLine="480"/>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本项目土壤评价范围内的建设用地</w:t>
      </w:r>
      <w:r>
        <w:rPr>
          <w:rFonts w:hint="eastAsia" w:ascii="Times New Roman" w:hAnsi="Times New Roman" w:eastAsia="宋体" w:cs="Times New Roman"/>
          <w:color w:val="FF0000"/>
          <w:highlight w:val="none"/>
          <w:lang w:val="en-US" w:eastAsia="zh-CN"/>
        </w:rPr>
        <w:t>包括工业用地和居住用地，工业用地</w:t>
      </w:r>
      <w:r>
        <w:rPr>
          <w:rFonts w:hint="default" w:ascii="Times New Roman" w:hAnsi="Times New Roman" w:eastAsia="宋体" w:cs="Times New Roman"/>
          <w:color w:val="FF0000"/>
          <w:highlight w:val="none"/>
        </w:rPr>
        <w:t>执行《土壤环境质量 建设用地土壤污染风险管控标准（试行）》（GB36600-2018）表1建设用地土壤污染风险筛选值</w:t>
      </w:r>
      <w:r>
        <w:rPr>
          <w:rFonts w:hint="eastAsia" w:ascii="Times New Roman" w:hAnsi="Times New Roman" w:eastAsia="宋体" w:cs="Times New Roman"/>
          <w:color w:val="FF0000"/>
          <w:highlight w:val="none"/>
          <w:lang w:val="en-US" w:eastAsia="zh-CN"/>
        </w:rPr>
        <w:t>和管制值</w:t>
      </w:r>
      <w:r>
        <w:rPr>
          <w:rFonts w:hint="default" w:ascii="Times New Roman" w:hAnsi="Times New Roman" w:eastAsia="宋体" w:cs="Times New Roman"/>
          <w:color w:val="FF0000"/>
          <w:highlight w:val="none"/>
        </w:rPr>
        <w:t>中的第二类用地标准，</w:t>
      </w:r>
      <w:r>
        <w:rPr>
          <w:rFonts w:hint="eastAsia" w:ascii="Times New Roman" w:hAnsi="Times New Roman" w:eastAsia="宋体" w:cs="Times New Roman"/>
          <w:color w:val="FF0000"/>
          <w:highlight w:val="none"/>
          <w:lang w:val="en-US" w:eastAsia="zh-CN"/>
        </w:rPr>
        <w:t>居住用地执行《土壤环境质量 建设用地土壤污染风险管控标准（试行）》（GB36600-2018）表1建设用地土壤污染风险筛选值和管制值中的第一类用地标准，农用地执行</w:t>
      </w:r>
      <w:r>
        <w:rPr>
          <w:rFonts w:hint="default" w:ascii="Times New Roman" w:hAnsi="Times New Roman" w:eastAsia="宋体" w:cs="Times New Roman"/>
          <w:color w:val="FF0000"/>
          <w:highlight w:val="none"/>
        </w:rPr>
        <w:t>《土壤环境质量 农用地土壤污染风险管控标准</w:t>
      </w:r>
      <w:r>
        <w:rPr>
          <w:rFonts w:hint="eastAsia" w:ascii="Times New Roman" w:hAnsi="Times New Roman" w:eastAsia="宋体" w:cs="Times New Roman"/>
          <w:color w:val="FF0000"/>
          <w:highlight w:val="none"/>
          <w:lang w:eastAsia="zh-CN"/>
        </w:rPr>
        <w:t>（</w:t>
      </w:r>
      <w:r>
        <w:rPr>
          <w:rFonts w:hint="default" w:ascii="Times New Roman" w:hAnsi="Times New Roman" w:eastAsia="宋体" w:cs="Times New Roman"/>
          <w:color w:val="FF0000"/>
          <w:highlight w:val="none"/>
        </w:rPr>
        <w:t>试行</w:t>
      </w:r>
      <w:r>
        <w:rPr>
          <w:rFonts w:hint="eastAsia" w:ascii="Times New Roman" w:hAnsi="Times New Roman" w:eastAsia="宋体" w:cs="Times New Roman"/>
          <w:color w:val="FF0000"/>
          <w:highlight w:val="none"/>
          <w:lang w:eastAsia="zh-CN"/>
        </w:rPr>
        <w:t>）</w:t>
      </w:r>
      <w:r>
        <w:rPr>
          <w:rFonts w:hint="default" w:ascii="Times New Roman" w:hAnsi="Times New Roman" w:eastAsia="宋体" w:cs="Times New Roman"/>
          <w:color w:val="FF0000"/>
          <w:highlight w:val="none"/>
        </w:rPr>
        <w:t>》</w:t>
      </w:r>
      <w:r>
        <w:rPr>
          <w:rFonts w:hint="eastAsia" w:ascii="Times New Roman" w:hAnsi="Times New Roman" w:eastAsia="宋体" w:cs="Times New Roman"/>
          <w:color w:val="FF0000"/>
          <w:highlight w:val="none"/>
          <w:lang w:eastAsia="zh-CN"/>
        </w:rPr>
        <w:t>（</w:t>
      </w:r>
      <w:r>
        <w:rPr>
          <w:rFonts w:hint="default" w:ascii="Times New Roman" w:hAnsi="Times New Roman" w:eastAsia="宋体" w:cs="Times New Roman"/>
          <w:color w:val="FF0000"/>
          <w:highlight w:val="none"/>
        </w:rPr>
        <w:t>GB 15618-2018</w:t>
      </w:r>
      <w:r>
        <w:rPr>
          <w:rFonts w:hint="eastAsia" w:ascii="Times New Roman" w:hAnsi="Times New Roman" w:eastAsia="宋体" w:cs="Times New Roman"/>
          <w:color w:val="FF0000"/>
          <w:highlight w:val="none"/>
          <w:lang w:eastAsia="zh-CN"/>
        </w:rPr>
        <w:t>）</w:t>
      </w:r>
      <w:r>
        <w:rPr>
          <w:rFonts w:hint="default" w:ascii="Times New Roman" w:hAnsi="Times New Roman" w:eastAsia="宋体" w:cs="Times New Roman"/>
          <w:color w:val="FF0000"/>
          <w:highlight w:val="none"/>
          <w:lang w:val="en-US" w:eastAsia="zh-CN"/>
        </w:rPr>
        <w:t>土壤污染风险筛选值</w:t>
      </w:r>
      <w:r>
        <w:rPr>
          <w:rFonts w:hint="default" w:ascii="Times New Roman" w:hAnsi="Times New Roman" w:eastAsia="宋体" w:cs="Times New Roman"/>
          <w:color w:val="FF0000"/>
          <w:highlight w:val="none"/>
        </w:rPr>
        <w:t>。</w:t>
      </w:r>
    </w:p>
    <w:p w14:paraId="108413DF">
      <w:pPr>
        <w:ind w:firstLine="0" w:firstLineChars="0"/>
        <w:jc w:val="center"/>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表2.3-</w:t>
      </w:r>
      <w:r>
        <w:rPr>
          <w:rFonts w:hint="default" w:ascii="Times New Roman" w:hAnsi="Times New Roman" w:eastAsia="宋体" w:cs="Times New Roman"/>
          <w:color w:val="FF0000"/>
          <w:highlight w:val="none"/>
          <w:lang w:val="en-US" w:eastAsia="zh-CN"/>
        </w:rPr>
        <w:t>7</w:t>
      </w:r>
      <w:r>
        <w:rPr>
          <w:rFonts w:hint="default" w:ascii="Times New Roman" w:hAnsi="Times New Roman" w:eastAsia="宋体" w:cs="Times New Roman"/>
          <w:color w:val="FF0000"/>
          <w:highlight w:val="none"/>
        </w:rPr>
        <w:t>《土壤环境质量 建设用地土壤污染风险管控标准（试行）》</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62"/>
        <w:gridCol w:w="1819"/>
        <w:gridCol w:w="1485"/>
        <w:gridCol w:w="1485"/>
        <w:gridCol w:w="1483"/>
        <w:gridCol w:w="1488"/>
      </w:tblGrid>
      <w:tr w14:paraId="029AB5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vMerge w:val="restart"/>
            <w:tcBorders>
              <w:tl2br w:val="nil"/>
              <w:tr2bl w:val="nil"/>
            </w:tcBorders>
            <w:vAlign w:val="center"/>
          </w:tcPr>
          <w:p w14:paraId="7FA6F0D3">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序号</w:t>
            </w:r>
          </w:p>
        </w:tc>
        <w:tc>
          <w:tcPr>
            <w:tcW w:w="1067" w:type="pct"/>
            <w:vMerge w:val="restart"/>
            <w:tcBorders>
              <w:tl2br w:val="nil"/>
              <w:tr2bl w:val="nil"/>
            </w:tcBorders>
            <w:vAlign w:val="center"/>
          </w:tcPr>
          <w:p w14:paraId="30D0E68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污染物项目</w:t>
            </w:r>
          </w:p>
        </w:tc>
        <w:tc>
          <w:tcPr>
            <w:tcW w:w="1742" w:type="pct"/>
            <w:gridSpan w:val="2"/>
            <w:tcBorders>
              <w:tl2br w:val="nil"/>
              <w:tr2bl w:val="nil"/>
            </w:tcBorders>
            <w:vAlign w:val="center"/>
          </w:tcPr>
          <w:p w14:paraId="234D547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b w:val="0"/>
                <w:bCs w:val="0"/>
                <w:color w:val="FF0000"/>
                <w:kern w:val="2"/>
                <w:sz w:val="21"/>
                <w:szCs w:val="21"/>
                <w:highlight w:val="none"/>
              </w:rPr>
            </w:pPr>
            <w:r>
              <w:rPr>
                <w:rFonts w:hint="default" w:ascii="Times New Roman" w:hAnsi="Times New Roman" w:eastAsia="宋体" w:cs="Times New Roman"/>
                <w:b w:val="0"/>
                <w:bCs w:val="0"/>
                <w:color w:val="FF0000"/>
                <w:kern w:val="2"/>
                <w:sz w:val="21"/>
                <w:szCs w:val="21"/>
                <w:highlight w:val="none"/>
                <w:lang w:bidi="ar"/>
              </w:rPr>
              <w:t>筛选值</w:t>
            </w:r>
            <w:r>
              <w:rPr>
                <w:rFonts w:hint="default" w:ascii="Times New Roman" w:hAnsi="Times New Roman" w:eastAsia="宋体" w:cs="Times New Roman"/>
                <w:b w:val="0"/>
                <w:bCs w:val="0"/>
                <w:color w:val="FF0000"/>
                <w:sz w:val="21"/>
                <w:szCs w:val="21"/>
                <w:highlight w:val="none"/>
              </w:rPr>
              <w:t>（mg/kg）</w:t>
            </w:r>
          </w:p>
        </w:tc>
        <w:tc>
          <w:tcPr>
            <w:tcW w:w="1743" w:type="pct"/>
            <w:gridSpan w:val="2"/>
            <w:tcBorders>
              <w:tl2br w:val="nil"/>
              <w:tr2bl w:val="nil"/>
            </w:tcBorders>
            <w:vAlign w:val="center"/>
          </w:tcPr>
          <w:p w14:paraId="0A74B9AB">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b w:val="0"/>
                <w:bCs w:val="0"/>
                <w:color w:val="FF0000"/>
                <w:kern w:val="2"/>
                <w:sz w:val="21"/>
                <w:szCs w:val="21"/>
                <w:highlight w:val="none"/>
              </w:rPr>
            </w:pPr>
            <w:r>
              <w:rPr>
                <w:rFonts w:hint="default" w:ascii="Times New Roman" w:hAnsi="Times New Roman" w:eastAsia="宋体" w:cs="Times New Roman"/>
                <w:b w:val="0"/>
                <w:bCs w:val="0"/>
                <w:color w:val="FF0000"/>
                <w:kern w:val="2"/>
                <w:sz w:val="21"/>
                <w:szCs w:val="21"/>
                <w:highlight w:val="none"/>
                <w:lang w:bidi="ar"/>
              </w:rPr>
              <w:t>管制值</w:t>
            </w:r>
            <w:r>
              <w:rPr>
                <w:rFonts w:hint="default" w:ascii="Times New Roman" w:hAnsi="Times New Roman" w:eastAsia="宋体" w:cs="Times New Roman"/>
                <w:b w:val="0"/>
                <w:bCs w:val="0"/>
                <w:color w:val="FF0000"/>
                <w:sz w:val="21"/>
                <w:szCs w:val="21"/>
                <w:highlight w:val="none"/>
              </w:rPr>
              <w:t>（mg/kg）</w:t>
            </w:r>
          </w:p>
        </w:tc>
      </w:tr>
      <w:tr w14:paraId="53F025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vMerge w:val="continue"/>
            <w:tcBorders>
              <w:tl2br w:val="nil"/>
              <w:tr2bl w:val="nil"/>
            </w:tcBorders>
            <w:vAlign w:val="center"/>
          </w:tcPr>
          <w:p w14:paraId="1C3BE098">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p>
        </w:tc>
        <w:tc>
          <w:tcPr>
            <w:tcW w:w="1067" w:type="pct"/>
            <w:vMerge w:val="continue"/>
            <w:tcBorders>
              <w:tl2br w:val="nil"/>
              <w:tr2bl w:val="nil"/>
            </w:tcBorders>
            <w:vAlign w:val="center"/>
          </w:tcPr>
          <w:p w14:paraId="213DF2F3">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p>
        </w:tc>
        <w:tc>
          <w:tcPr>
            <w:tcW w:w="871" w:type="pct"/>
            <w:tcBorders>
              <w:tl2br w:val="nil"/>
              <w:tr2bl w:val="nil"/>
            </w:tcBorders>
            <w:vAlign w:val="center"/>
          </w:tcPr>
          <w:p w14:paraId="43395FB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eastAsia="zh-CN" w:bidi="ar"/>
              </w:rPr>
            </w:pPr>
            <w:r>
              <w:rPr>
                <w:rFonts w:hint="default" w:ascii="Times New Roman" w:hAnsi="Times New Roman" w:eastAsia="宋体" w:cs="Times New Roman"/>
                <w:color w:val="FF0000"/>
                <w:kern w:val="2"/>
                <w:sz w:val="21"/>
                <w:szCs w:val="21"/>
                <w:highlight w:val="none"/>
                <w:lang w:eastAsia="zh-CN" w:bidi="ar"/>
              </w:rPr>
              <w:t>第一类用地</w:t>
            </w:r>
          </w:p>
        </w:tc>
        <w:tc>
          <w:tcPr>
            <w:tcW w:w="871" w:type="pct"/>
            <w:tcBorders>
              <w:tl2br w:val="nil"/>
              <w:tr2bl w:val="nil"/>
            </w:tcBorders>
            <w:vAlign w:val="center"/>
          </w:tcPr>
          <w:p w14:paraId="7700050D">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eastAsia="zh-CN" w:bidi="ar"/>
              </w:rPr>
            </w:pPr>
            <w:r>
              <w:rPr>
                <w:rFonts w:hint="default" w:ascii="Times New Roman" w:hAnsi="Times New Roman" w:eastAsia="宋体" w:cs="Times New Roman"/>
                <w:color w:val="FF0000"/>
                <w:kern w:val="2"/>
                <w:sz w:val="21"/>
                <w:szCs w:val="21"/>
                <w:highlight w:val="none"/>
                <w:lang w:eastAsia="zh-CN" w:bidi="ar"/>
              </w:rPr>
              <w:t>第二类用地</w:t>
            </w:r>
          </w:p>
        </w:tc>
        <w:tc>
          <w:tcPr>
            <w:tcW w:w="870" w:type="pct"/>
            <w:tcBorders>
              <w:tl2br w:val="nil"/>
              <w:tr2bl w:val="nil"/>
            </w:tcBorders>
            <w:vAlign w:val="center"/>
          </w:tcPr>
          <w:p w14:paraId="04DEE8CE">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eastAsia="zh-CN" w:bidi="ar"/>
              </w:rPr>
              <w:t>第一类用地</w:t>
            </w:r>
          </w:p>
        </w:tc>
        <w:tc>
          <w:tcPr>
            <w:tcW w:w="873" w:type="pct"/>
            <w:tcBorders>
              <w:tl2br w:val="nil"/>
              <w:tr2bl w:val="nil"/>
            </w:tcBorders>
            <w:vAlign w:val="center"/>
          </w:tcPr>
          <w:p w14:paraId="139E5767">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eastAsia="zh-CN" w:bidi="ar"/>
              </w:rPr>
              <w:t>第二类用地</w:t>
            </w:r>
          </w:p>
        </w:tc>
      </w:tr>
      <w:tr w14:paraId="040010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098F6910">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1</w:t>
            </w:r>
          </w:p>
        </w:tc>
        <w:tc>
          <w:tcPr>
            <w:tcW w:w="1067" w:type="pct"/>
            <w:tcBorders>
              <w:tl2br w:val="nil"/>
              <w:tr2bl w:val="nil"/>
            </w:tcBorders>
            <w:vAlign w:val="center"/>
          </w:tcPr>
          <w:p w14:paraId="26746B3E">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砷</w:t>
            </w:r>
          </w:p>
        </w:tc>
        <w:tc>
          <w:tcPr>
            <w:tcW w:w="871" w:type="pct"/>
            <w:tcBorders>
              <w:tl2br w:val="nil"/>
              <w:tr2bl w:val="nil"/>
            </w:tcBorders>
            <w:vAlign w:val="center"/>
          </w:tcPr>
          <w:p w14:paraId="7C872006">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20</w:t>
            </w:r>
          </w:p>
        </w:tc>
        <w:tc>
          <w:tcPr>
            <w:tcW w:w="871" w:type="pct"/>
            <w:tcBorders>
              <w:tl2br w:val="nil"/>
              <w:tr2bl w:val="nil"/>
            </w:tcBorders>
            <w:vAlign w:val="center"/>
          </w:tcPr>
          <w:p w14:paraId="684994F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60</w:t>
            </w:r>
          </w:p>
        </w:tc>
        <w:tc>
          <w:tcPr>
            <w:tcW w:w="870" w:type="pct"/>
            <w:tcBorders>
              <w:tl2br w:val="nil"/>
              <w:tr2bl w:val="nil"/>
            </w:tcBorders>
            <w:vAlign w:val="center"/>
          </w:tcPr>
          <w:p w14:paraId="4EE45CA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120</w:t>
            </w:r>
          </w:p>
        </w:tc>
        <w:tc>
          <w:tcPr>
            <w:tcW w:w="873" w:type="pct"/>
            <w:tcBorders>
              <w:tl2br w:val="nil"/>
              <w:tr2bl w:val="nil"/>
            </w:tcBorders>
            <w:vAlign w:val="center"/>
          </w:tcPr>
          <w:p w14:paraId="474900E0">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140</w:t>
            </w:r>
          </w:p>
        </w:tc>
      </w:tr>
      <w:tr w14:paraId="19AFA1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629ED65C">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2</w:t>
            </w:r>
          </w:p>
        </w:tc>
        <w:tc>
          <w:tcPr>
            <w:tcW w:w="1067" w:type="pct"/>
            <w:tcBorders>
              <w:tl2br w:val="nil"/>
              <w:tr2bl w:val="nil"/>
            </w:tcBorders>
            <w:vAlign w:val="center"/>
          </w:tcPr>
          <w:p w14:paraId="1567DB1D">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 xml:space="preserve">镉 </w:t>
            </w:r>
          </w:p>
        </w:tc>
        <w:tc>
          <w:tcPr>
            <w:tcW w:w="871" w:type="pct"/>
            <w:tcBorders>
              <w:tl2br w:val="nil"/>
              <w:tr2bl w:val="nil"/>
            </w:tcBorders>
            <w:vAlign w:val="center"/>
          </w:tcPr>
          <w:p w14:paraId="7A7E4AF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20</w:t>
            </w:r>
          </w:p>
        </w:tc>
        <w:tc>
          <w:tcPr>
            <w:tcW w:w="871" w:type="pct"/>
            <w:tcBorders>
              <w:tl2br w:val="nil"/>
              <w:tr2bl w:val="nil"/>
            </w:tcBorders>
            <w:vAlign w:val="center"/>
          </w:tcPr>
          <w:p w14:paraId="09848D7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65</w:t>
            </w:r>
          </w:p>
        </w:tc>
        <w:tc>
          <w:tcPr>
            <w:tcW w:w="870" w:type="pct"/>
            <w:tcBorders>
              <w:tl2br w:val="nil"/>
              <w:tr2bl w:val="nil"/>
            </w:tcBorders>
            <w:vAlign w:val="center"/>
          </w:tcPr>
          <w:p w14:paraId="223923C6">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47</w:t>
            </w:r>
          </w:p>
        </w:tc>
        <w:tc>
          <w:tcPr>
            <w:tcW w:w="873" w:type="pct"/>
            <w:tcBorders>
              <w:tl2br w:val="nil"/>
              <w:tr2bl w:val="nil"/>
            </w:tcBorders>
            <w:vAlign w:val="center"/>
          </w:tcPr>
          <w:p w14:paraId="2BE84EF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172</w:t>
            </w:r>
          </w:p>
        </w:tc>
      </w:tr>
      <w:tr w14:paraId="3E8844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7EE9F94D">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3</w:t>
            </w:r>
          </w:p>
        </w:tc>
        <w:tc>
          <w:tcPr>
            <w:tcW w:w="1067" w:type="pct"/>
            <w:tcBorders>
              <w:tl2br w:val="nil"/>
              <w:tr2bl w:val="nil"/>
            </w:tcBorders>
            <w:vAlign w:val="center"/>
          </w:tcPr>
          <w:p w14:paraId="330748F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铬（六价）</w:t>
            </w:r>
          </w:p>
        </w:tc>
        <w:tc>
          <w:tcPr>
            <w:tcW w:w="871" w:type="pct"/>
            <w:tcBorders>
              <w:tl2br w:val="nil"/>
              <w:tr2bl w:val="nil"/>
            </w:tcBorders>
            <w:vAlign w:val="center"/>
          </w:tcPr>
          <w:p w14:paraId="6571E65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3.0</w:t>
            </w:r>
          </w:p>
        </w:tc>
        <w:tc>
          <w:tcPr>
            <w:tcW w:w="871" w:type="pct"/>
            <w:tcBorders>
              <w:tl2br w:val="nil"/>
              <w:tr2bl w:val="nil"/>
            </w:tcBorders>
            <w:vAlign w:val="center"/>
          </w:tcPr>
          <w:p w14:paraId="20BDEF03">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5.7</w:t>
            </w:r>
          </w:p>
        </w:tc>
        <w:tc>
          <w:tcPr>
            <w:tcW w:w="870" w:type="pct"/>
            <w:tcBorders>
              <w:tl2br w:val="nil"/>
              <w:tr2bl w:val="nil"/>
            </w:tcBorders>
            <w:vAlign w:val="center"/>
          </w:tcPr>
          <w:p w14:paraId="2AEC26D8">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30</w:t>
            </w:r>
          </w:p>
        </w:tc>
        <w:tc>
          <w:tcPr>
            <w:tcW w:w="873" w:type="pct"/>
            <w:tcBorders>
              <w:tl2br w:val="nil"/>
              <w:tr2bl w:val="nil"/>
            </w:tcBorders>
            <w:vAlign w:val="center"/>
          </w:tcPr>
          <w:p w14:paraId="5D37931C">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78</w:t>
            </w:r>
          </w:p>
        </w:tc>
      </w:tr>
      <w:tr w14:paraId="7A9460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6FE8032C">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4</w:t>
            </w:r>
          </w:p>
        </w:tc>
        <w:tc>
          <w:tcPr>
            <w:tcW w:w="1067" w:type="pct"/>
            <w:tcBorders>
              <w:tl2br w:val="nil"/>
              <w:tr2bl w:val="nil"/>
            </w:tcBorders>
            <w:vAlign w:val="center"/>
          </w:tcPr>
          <w:p w14:paraId="4166F697">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铜</w:t>
            </w:r>
          </w:p>
        </w:tc>
        <w:tc>
          <w:tcPr>
            <w:tcW w:w="871" w:type="pct"/>
            <w:tcBorders>
              <w:tl2br w:val="nil"/>
              <w:tr2bl w:val="nil"/>
            </w:tcBorders>
            <w:vAlign w:val="center"/>
          </w:tcPr>
          <w:p w14:paraId="7E2F0CAD">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2000</w:t>
            </w:r>
          </w:p>
        </w:tc>
        <w:tc>
          <w:tcPr>
            <w:tcW w:w="871" w:type="pct"/>
            <w:tcBorders>
              <w:tl2br w:val="nil"/>
              <w:tr2bl w:val="nil"/>
            </w:tcBorders>
            <w:vAlign w:val="center"/>
          </w:tcPr>
          <w:p w14:paraId="3D55E762">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18000</w:t>
            </w:r>
          </w:p>
        </w:tc>
        <w:tc>
          <w:tcPr>
            <w:tcW w:w="870" w:type="pct"/>
            <w:tcBorders>
              <w:tl2br w:val="nil"/>
              <w:tr2bl w:val="nil"/>
            </w:tcBorders>
            <w:vAlign w:val="center"/>
          </w:tcPr>
          <w:p w14:paraId="0114ABD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8000</w:t>
            </w:r>
          </w:p>
        </w:tc>
        <w:tc>
          <w:tcPr>
            <w:tcW w:w="873" w:type="pct"/>
            <w:tcBorders>
              <w:tl2br w:val="nil"/>
              <w:tr2bl w:val="nil"/>
            </w:tcBorders>
            <w:vAlign w:val="center"/>
          </w:tcPr>
          <w:p w14:paraId="4AF0210D">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36000</w:t>
            </w:r>
          </w:p>
        </w:tc>
      </w:tr>
      <w:tr w14:paraId="34C824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7DA59BDC">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5</w:t>
            </w:r>
          </w:p>
        </w:tc>
        <w:tc>
          <w:tcPr>
            <w:tcW w:w="1067" w:type="pct"/>
            <w:tcBorders>
              <w:tl2br w:val="nil"/>
              <w:tr2bl w:val="nil"/>
            </w:tcBorders>
            <w:vAlign w:val="center"/>
          </w:tcPr>
          <w:p w14:paraId="5593060C">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铅</w:t>
            </w:r>
          </w:p>
        </w:tc>
        <w:tc>
          <w:tcPr>
            <w:tcW w:w="871" w:type="pct"/>
            <w:tcBorders>
              <w:tl2br w:val="nil"/>
              <w:tr2bl w:val="nil"/>
            </w:tcBorders>
            <w:vAlign w:val="center"/>
          </w:tcPr>
          <w:p w14:paraId="421320BB">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400</w:t>
            </w:r>
          </w:p>
        </w:tc>
        <w:tc>
          <w:tcPr>
            <w:tcW w:w="871" w:type="pct"/>
            <w:tcBorders>
              <w:tl2br w:val="nil"/>
              <w:tr2bl w:val="nil"/>
            </w:tcBorders>
            <w:vAlign w:val="center"/>
          </w:tcPr>
          <w:p w14:paraId="5E0013C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800</w:t>
            </w:r>
          </w:p>
        </w:tc>
        <w:tc>
          <w:tcPr>
            <w:tcW w:w="870" w:type="pct"/>
            <w:tcBorders>
              <w:tl2br w:val="nil"/>
              <w:tr2bl w:val="nil"/>
            </w:tcBorders>
            <w:vAlign w:val="center"/>
          </w:tcPr>
          <w:p w14:paraId="02582EFF">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800</w:t>
            </w:r>
          </w:p>
        </w:tc>
        <w:tc>
          <w:tcPr>
            <w:tcW w:w="873" w:type="pct"/>
            <w:tcBorders>
              <w:tl2br w:val="nil"/>
              <w:tr2bl w:val="nil"/>
            </w:tcBorders>
            <w:vAlign w:val="center"/>
          </w:tcPr>
          <w:p w14:paraId="3EA7852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2500</w:t>
            </w:r>
          </w:p>
        </w:tc>
      </w:tr>
      <w:tr w14:paraId="7D7D58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35E17B8E">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6</w:t>
            </w:r>
          </w:p>
        </w:tc>
        <w:tc>
          <w:tcPr>
            <w:tcW w:w="1067" w:type="pct"/>
            <w:tcBorders>
              <w:tl2br w:val="nil"/>
              <w:tr2bl w:val="nil"/>
            </w:tcBorders>
            <w:vAlign w:val="center"/>
          </w:tcPr>
          <w:p w14:paraId="72EEB7B9">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汞</w:t>
            </w:r>
          </w:p>
        </w:tc>
        <w:tc>
          <w:tcPr>
            <w:tcW w:w="871" w:type="pct"/>
            <w:tcBorders>
              <w:tl2br w:val="nil"/>
              <w:tr2bl w:val="nil"/>
            </w:tcBorders>
            <w:vAlign w:val="center"/>
          </w:tcPr>
          <w:p w14:paraId="51592B6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8</w:t>
            </w:r>
          </w:p>
        </w:tc>
        <w:tc>
          <w:tcPr>
            <w:tcW w:w="871" w:type="pct"/>
            <w:tcBorders>
              <w:tl2br w:val="nil"/>
              <w:tr2bl w:val="nil"/>
            </w:tcBorders>
            <w:vAlign w:val="center"/>
          </w:tcPr>
          <w:p w14:paraId="23CEBFE6">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38</w:t>
            </w:r>
          </w:p>
        </w:tc>
        <w:tc>
          <w:tcPr>
            <w:tcW w:w="870" w:type="pct"/>
            <w:tcBorders>
              <w:tl2br w:val="nil"/>
              <w:tr2bl w:val="nil"/>
            </w:tcBorders>
            <w:vAlign w:val="center"/>
          </w:tcPr>
          <w:p w14:paraId="359CD81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33</w:t>
            </w:r>
          </w:p>
        </w:tc>
        <w:tc>
          <w:tcPr>
            <w:tcW w:w="873" w:type="pct"/>
            <w:tcBorders>
              <w:tl2br w:val="nil"/>
              <w:tr2bl w:val="nil"/>
            </w:tcBorders>
            <w:vAlign w:val="center"/>
          </w:tcPr>
          <w:p w14:paraId="1D82DCD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82</w:t>
            </w:r>
          </w:p>
        </w:tc>
      </w:tr>
      <w:tr w14:paraId="301085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0C1338A6">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7</w:t>
            </w:r>
          </w:p>
        </w:tc>
        <w:tc>
          <w:tcPr>
            <w:tcW w:w="1067" w:type="pct"/>
            <w:tcBorders>
              <w:tl2br w:val="nil"/>
              <w:tr2bl w:val="nil"/>
            </w:tcBorders>
            <w:vAlign w:val="center"/>
          </w:tcPr>
          <w:p w14:paraId="7D317002">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镍</w:t>
            </w:r>
          </w:p>
        </w:tc>
        <w:tc>
          <w:tcPr>
            <w:tcW w:w="871" w:type="pct"/>
            <w:tcBorders>
              <w:tl2br w:val="nil"/>
              <w:tr2bl w:val="nil"/>
            </w:tcBorders>
            <w:vAlign w:val="center"/>
          </w:tcPr>
          <w:p w14:paraId="3BE5C307">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150</w:t>
            </w:r>
          </w:p>
        </w:tc>
        <w:tc>
          <w:tcPr>
            <w:tcW w:w="871" w:type="pct"/>
            <w:tcBorders>
              <w:tl2br w:val="nil"/>
              <w:tr2bl w:val="nil"/>
            </w:tcBorders>
            <w:vAlign w:val="center"/>
          </w:tcPr>
          <w:p w14:paraId="4478C88E">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900</w:t>
            </w:r>
          </w:p>
        </w:tc>
        <w:tc>
          <w:tcPr>
            <w:tcW w:w="870" w:type="pct"/>
            <w:tcBorders>
              <w:tl2br w:val="nil"/>
              <w:tr2bl w:val="nil"/>
            </w:tcBorders>
            <w:vAlign w:val="center"/>
          </w:tcPr>
          <w:p w14:paraId="62868B2C">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600</w:t>
            </w:r>
          </w:p>
        </w:tc>
        <w:tc>
          <w:tcPr>
            <w:tcW w:w="873" w:type="pct"/>
            <w:tcBorders>
              <w:tl2br w:val="nil"/>
              <w:tr2bl w:val="nil"/>
            </w:tcBorders>
            <w:vAlign w:val="center"/>
          </w:tcPr>
          <w:p w14:paraId="1A778276">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200</w:t>
            </w:r>
          </w:p>
        </w:tc>
      </w:tr>
      <w:tr w14:paraId="76D5DB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47" w:type="pct"/>
            <w:tcBorders>
              <w:tl2br w:val="nil"/>
              <w:tr2bl w:val="nil"/>
            </w:tcBorders>
            <w:vAlign w:val="center"/>
          </w:tcPr>
          <w:p w14:paraId="6E40184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8</w:t>
            </w:r>
          </w:p>
        </w:tc>
        <w:tc>
          <w:tcPr>
            <w:tcW w:w="1067" w:type="pct"/>
            <w:tcBorders>
              <w:tl2br w:val="nil"/>
              <w:tr2bl w:val="nil"/>
            </w:tcBorders>
            <w:vAlign w:val="center"/>
          </w:tcPr>
          <w:p w14:paraId="398C0657">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四氯化碳</w:t>
            </w:r>
          </w:p>
        </w:tc>
        <w:tc>
          <w:tcPr>
            <w:tcW w:w="871" w:type="pct"/>
            <w:tcBorders>
              <w:tl2br w:val="nil"/>
              <w:tr2bl w:val="nil"/>
            </w:tcBorders>
            <w:vAlign w:val="center"/>
          </w:tcPr>
          <w:p w14:paraId="0B7D9CC9">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0.9</w:t>
            </w:r>
          </w:p>
        </w:tc>
        <w:tc>
          <w:tcPr>
            <w:tcW w:w="871" w:type="pct"/>
            <w:tcBorders>
              <w:tl2br w:val="nil"/>
              <w:tr2bl w:val="nil"/>
            </w:tcBorders>
            <w:vAlign w:val="center"/>
          </w:tcPr>
          <w:p w14:paraId="004FED8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2.8</w:t>
            </w:r>
          </w:p>
        </w:tc>
        <w:tc>
          <w:tcPr>
            <w:tcW w:w="870" w:type="pct"/>
            <w:tcBorders>
              <w:tl2br w:val="nil"/>
              <w:tr2bl w:val="nil"/>
            </w:tcBorders>
            <w:vAlign w:val="center"/>
          </w:tcPr>
          <w:p w14:paraId="2B8A21D7">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9</w:t>
            </w:r>
          </w:p>
        </w:tc>
        <w:tc>
          <w:tcPr>
            <w:tcW w:w="873" w:type="pct"/>
            <w:tcBorders>
              <w:tl2br w:val="nil"/>
              <w:tr2bl w:val="nil"/>
            </w:tcBorders>
            <w:vAlign w:val="center"/>
          </w:tcPr>
          <w:p w14:paraId="0E6420C8">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36</w:t>
            </w:r>
          </w:p>
        </w:tc>
      </w:tr>
      <w:tr w14:paraId="47880A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5DBAB1B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9</w:t>
            </w:r>
          </w:p>
        </w:tc>
        <w:tc>
          <w:tcPr>
            <w:tcW w:w="1067" w:type="pct"/>
            <w:tcBorders>
              <w:tl2br w:val="nil"/>
              <w:tr2bl w:val="nil"/>
            </w:tcBorders>
            <w:vAlign w:val="center"/>
          </w:tcPr>
          <w:p w14:paraId="57566C7C">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氯仿</w:t>
            </w:r>
          </w:p>
        </w:tc>
        <w:tc>
          <w:tcPr>
            <w:tcW w:w="871" w:type="pct"/>
            <w:tcBorders>
              <w:tl2br w:val="nil"/>
              <w:tr2bl w:val="nil"/>
            </w:tcBorders>
            <w:vAlign w:val="center"/>
          </w:tcPr>
          <w:p w14:paraId="1C9C5FF9">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0.3</w:t>
            </w:r>
          </w:p>
        </w:tc>
        <w:tc>
          <w:tcPr>
            <w:tcW w:w="871" w:type="pct"/>
            <w:tcBorders>
              <w:tl2br w:val="nil"/>
              <w:tr2bl w:val="nil"/>
            </w:tcBorders>
            <w:vAlign w:val="center"/>
          </w:tcPr>
          <w:p w14:paraId="2D3E0F98">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0.9</w:t>
            </w:r>
          </w:p>
        </w:tc>
        <w:tc>
          <w:tcPr>
            <w:tcW w:w="870" w:type="pct"/>
            <w:tcBorders>
              <w:tl2br w:val="nil"/>
              <w:tr2bl w:val="nil"/>
            </w:tcBorders>
            <w:vAlign w:val="center"/>
          </w:tcPr>
          <w:p w14:paraId="2367BBFE">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5</w:t>
            </w:r>
          </w:p>
        </w:tc>
        <w:tc>
          <w:tcPr>
            <w:tcW w:w="873" w:type="pct"/>
            <w:tcBorders>
              <w:tl2br w:val="nil"/>
              <w:tr2bl w:val="nil"/>
            </w:tcBorders>
            <w:vAlign w:val="center"/>
          </w:tcPr>
          <w:p w14:paraId="7383EC89">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10</w:t>
            </w:r>
          </w:p>
        </w:tc>
      </w:tr>
      <w:tr w14:paraId="3BE76A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48DC43D8">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10</w:t>
            </w:r>
          </w:p>
        </w:tc>
        <w:tc>
          <w:tcPr>
            <w:tcW w:w="1067" w:type="pct"/>
            <w:tcBorders>
              <w:tl2br w:val="nil"/>
              <w:tr2bl w:val="nil"/>
            </w:tcBorders>
            <w:vAlign w:val="center"/>
          </w:tcPr>
          <w:p w14:paraId="77EAE199">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氯甲烷</w:t>
            </w:r>
          </w:p>
        </w:tc>
        <w:tc>
          <w:tcPr>
            <w:tcW w:w="871" w:type="pct"/>
            <w:tcBorders>
              <w:tl2br w:val="nil"/>
              <w:tr2bl w:val="nil"/>
            </w:tcBorders>
            <w:vAlign w:val="center"/>
          </w:tcPr>
          <w:p w14:paraId="35A7C4CB">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12</w:t>
            </w:r>
          </w:p>
        </w:tc>
        <w:tc>
          <w:tcPr>
            <w:tcW w:w="871" w:type="pct"/>
            <w:tcBorders>
              <w:tl2br w:val="nil"/>
              <w:tr2bl w:val="nil"/>
            </w:tcBorders>
            <w:vAlign w:val="center"/>
          </w:tcPr>
          <w:p w14:paraId="65559EA7">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37</w:t>
            </w:r>
          </w:p>
        </w:tc>
        <w:tc>
          <w:tcPr>
            <w:tcW w:w="870" w:type="pct"/>
            <w:tcBorders>
              <w:tl2br w:val="nil"/>
              <w:tr2bl w:val="nil"/>
            </w:tcBorders>
            <w:vAlign w:val="center"/>
          </w:tcPr>
          <w:p w14:paraId="7E6ED24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21</w:t>
            </w:r>
          </w:p>
        </w:tc>
        <w:tc>
          <w:tcPr>
            <w:tcW w:w="873" w:type="pct"/>
            <w:tcBorders>
              <w:tl2br w:val="nil"/>
              <w:tr2bl w:val="nil"/>
            </w:tcBorders>
            <w:vAlign w:val="center"/>
          </w:tcPr>
          <w:p w14:paraId="57E1E4F7">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120</w:t>
            </w:r>
          </w:p>
        </w:tc>
      </w:tr>
      <w:tr w14:paraId="6E49B1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739121D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11</w:t>
            </w:r>
          </w:p>
        </w:tc>
        <w:tc>
          <w:tcPr>
            <w:tcW w:w="1067" w:type="pct"/>
            <w:tcBorders>
              <w:tl2br w:val="nil"/>
              <w:tr2bl w:val="nil"/>
            </w:tcBorders>
            <w:vAlign w:val="center"/>
          </w:tcPr>
          <w:p w14:paraId="3C53585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1,1-二氯乙烷</w:t>
            </w:r>
          </w:p>
        </w:tc>
        <w:tc>
          <w:tcPr>
            <w:tcW w:w="871" w:type="pct"/>
            <w:tcBorders>
              <w:tl2br w:val="nil"/>
              <w:tr2bl w:val="nil"/>
            </w:tcBorders>
            <w:vAlign w:val="center"/>
          </w:tcPr>
          <w:p w14:paraId="4FED198E">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3</w:t>
            </w:r>
          </w:p>
        </w:tc>
        <w:tc>
          <w:tcPr>
            <w:tcW w:w="871" w:type="pct"/>
            <w:tcBorders>
              <w:tl2br w:val="nil"/>
              <w:tr2bl w:val="nil"/>
            </w:tcBorders>
            <w:vAlign w:val="center"/>
          </w:tcPr>
          <w:p w14:paraId="6267BAAC">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9</w:t>
            </w:r>
          </w:p>
        </w:tc>
        <w:tc>
          <w:tcPr>
            <w:tcW w:w="870" w:type="pct"/>
            <w:tcBorders>
              <w:tl2br w:val="nil"/>
              <w:tr2bl w:val="nil"/>
            </w:tcBorders>
            <w:vAlign w:val="center"/>
          </w:tcPr>
          <w:p w14:paraId="3BDD2CD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20</w:t>
            </w:r>
          </w:p>
        </w:tc>
        <w:tc>
          <w:tcPr>
            <w:tcW w:w="873" w:type="pct"/>
            <w:tcBorders>
              <w:tl2br w:val="nil"/>
              <w:tr2bl w:val="nil"/>
            </w:tcBorders>
            <w:vAlign w:val="center"/>
          </w:tcPr>
          <w:p w14:paraId="29D3DED0">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100</w:t>
            </w:r>
          </w:p>
        </w:tc>
      </w:tr>
      <w:tr w14:paraId="7493A0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4020EA7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12</w:t>
            </w:r>
          </w:p>
        </w:tc>
        <w:tc>
          <w:tcPr>
            <w:tcW w:w="1067" w:type="pct"/>
            <w:tcBorders>
              <w:tl2br w:val="nil"/>
              <w:tr2bl w:val="nil"/>
            </w:tcBorders>
            <w:vAlign w:val="center"/>
          </w:tcPr>
          <w:p w14:paraId="36DB6A1F">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1,2-二氯乙烷</w:t>
            </w:r>
          </w:p>
        </w:tc>
        <w:tc>
          <w:tcPr>
            <w:tcW w:w="871" w:type="pct"/>
            <w:tcBorders>
              <w:tl2br w:val="nil"/>
              <w:tr2bl w:val="nil"/>
            </w:tcBorders>
            <w:vAlign w:val="center"/>
          </w:tcPr>
          <w:p w14:paraId="5D962363">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0.52</w:t>
            </w:r>
          </w:p>
        </w:tc>
        <w:tc>
          <w:tcPr>
            <w:tcW w:w="871" w:type="pct"/>
            <w:tcBorders>
              <w:tl2br w:val="nil"/>
              <w:tr2bl w:val="nil"/>
            </w:tcBorders>
            <w:vAlign w:val="center"/>
          </w:tcPr>
          <w:p w14:paraId="7C58AF7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5</w:t>
            </w:r>
          </w:p>
        </w:tc>
        <w:tc>
          <w:tcPr>
            <w:tcW w:w="870" w:type="pct"/>
            <w:tcBorders>
              <w:tl2br w:val="nil"/>
              <w:tr2bl w:val="nil"/>
            </w:tcBorders>
            <w:vAlign w:val="center"/>
          </w:tcPr>
          <w:p w14:paraId="7D361640">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6</w:t>
            </w:r>
          </w:p>
        </w:tc>
        <w:tc>
          <w:tcPr>
            <w:tcW w:w="873" w:type="pct"/>
            <w:tcBorders>
              <w:tl2br w:val="nil"/>
              <w:tr2bl w:val="nil"/>
            </w:tcBorders>
            <w:vAlign w:val="center"/>
          </w:tcPr>
          <w:p w14:paraId="2A11836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21</w:t>
            </w:r>
          </w:p>
        </w:tc>
      </w:tr>
      <w:tr w14:paraId="08874E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1AD39BB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13</w:t>
            </w:r>
          </w:p>
        </w:tc>
        <w:tc>
          <w:tcPr>
            <w:tcW w:w="1067" w:type="pct"/>
            <w:tcBorders>
              <w:tl2br w:val="nil"/>
              <w:tr2bl w:val="nil"/>
            </w:tcBorders>
            <w:vAlign w:val="center"/>
          </w:tcPr>
          <w:p w14:paraId="411B892D">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1,1-二氯乙烯</w:t>
            </w:r>
          </w:p>
        </w:tc>
        <w:tc>
          <w:tcPr>
            <w:tcW w:w="871" w:type="pct"/>
            <w:tcBorders>
              <w:tl2br w:val="nil"/>
              <w:tr2bl w:val="nil"/>
            </w:tcBorders>
            <w:vAlign w:val="center"/>
          </w:tcPr>
          <w:p w14:paraId="2C151CD9">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12</w:t>
            </w:r>
          </w:p>
        </w:tc>
        <w:tc>
          <w:tcPr>
            <w:tcW w:w="871" w:type="pct"/>
            <w:tcBorders>
              <w:tl2br w:val="nil"/>
              <w:tr2bl w:val="nil"/>
            </w:tcBorders>
            <w:vAlign w:val="center"/>
          </w:tcPr>
          <w:p w14:paraId="58DDADFE">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66</w:t>
            </w:r>
          </w:p>
        </w:tc>
        <w:tc>
          <w:tcPr>
            <w:tcW w:w="870" w:type="pct"/>
            <w:tcBorders>
              <w:tl2br w:val="nil"/>
              <w:tr2bl w:val="nil"/>
            </w:tcBorders>
            <w:vAlign w:val="center"/>
          </w:tcPr>
          <w:p w14:paraId="0388C52D">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40</w:t>
            </w:r>
          </w:p>
        </w:tc>
        <w:tc>
          <w:tcPr>
            <w:tcW w:w="873" w:type="pct"/>
            <w:tcBorders>
              <w:tl2br w:val="nil"/>
              <w:tr2bl w:val="nil"/>
            </w:tcBorders>
            <w:vAlign w:val="center"/>
          </w:tcPr>
          <w:p w14:paraId="677D048B">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200</w:t>
            </w:r>
          </w:p>
        </w:tc>
      </w:tr>
      <w:tr w14:paraId="69025C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77F970F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14</w:t>
            </w:r>
          </w:p>
        </w:tc>
        <w:tc>
          <w:tcPr>
            <w:tcW w:w="1067" w:type="pct"/>
            <w:tcBorders>
              <w:tl2br w:val="nil"/>
              <w:tr2bl w:val="nil"/>
            </w:tcBorders>
            <w:vAlign w:val="center"/>
          </w:tcPr>
          <w:p w14:paraId="3DB3ED7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顺-1,2-二氯乙烯</w:t>
            </w:r>
          </w:p>
        </w:tc>
        <w:tc>
          <w:tcPr>
            <w:tcW w:w="871" w:type="pct"/>
            <w:tcBorders>
              <w:tl2br w:val="nil"/>
              <w:tr2bl w:val="nil"/>
            </w:tcBorders>
            <w:vAlign w:val="center"/>
          </w:tcPr>
          <w:p w14:paraId="5A82C01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66</w:t>
            </w:r>
          </w:p>
        </w:tc>
        <w:tc>
          <w:tcPr>
            <w:tcW w:w="871" w:type="pct"/>
            <w:tcBorders>
              <w:tl2br w:val="nil"/>
              <w:tr2bl w:val="nil"/>
            </w:tcBorders>
            <w:vAlign w:val="center"/>
          </w:tcPr>
          <w:p w14:paraId="75F3CDC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596</w:t>
            </w:r>
          </w:p>
        </w:tc>
        <w:tc>
          <w:tcPr>
            <w:tcW w:w="870" w:type="pct"/>
            <w:tcBorders>
              <w:tl2br w:val="nil"/>
              <w:tr2bl w:val="nil"/>
            </w:tcBorders>
            <w:vAlign w:val="center"/>
          </w:tcPr>
          <w:p w14:paraId="2A0DDB06">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200</w:t>
            </w:r>
          </w:p>
        </w:tc>
        <w:tc>
          <w:tcPr>
            <w:tcW w:w="873" w:type="pct"/>
            <w:tcBorders>
              <w:tl2br w:val="nil"/>
              <w:tr2bl w:val="nil"/>
            </w:tcBorders>
            <w:vAlign w:val="center"/>
          </w:tcPr>
          <w:p w14:paraId="329251E3">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2000</w:t>
            </w:r>
          </w:p>
        </w:tc>
      </w:tr>
      <w:tr w14:paraId="7E6773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68AEBB13">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15</w:t>
            </w:r>
          </w:p>
        </w:tc>
        <w:tc>
          <w:tcPr>
            <w:tcW w:w="1067" w:type="pct"/>
            <w:tcBorders>
              <w:tl2br w:val="nil"/>
              <w:tr2bl w:val="nil"/>
            </w:tcBorders>
            <w:vAlign w:val="center"/>
          </w:tcPr>
          <w:p w14:paraId="3107EDFC">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反-1,2-二氯乙烯</w:t>
            </w:r>
          </w:p>
        </w:tc>
        <w:tc>
          <w:tcPr>
            <w:tcW w:w="871" w:type="pct"/>
            <w:tcBorders>
              <w:tl2br w:val="nil"/>
              <w:tr2bl w:val="nil"/>
            </w:tcBorders>
            <w:vAlign w:val="center"/>
          </w:tcPr>
          <w:p w14:paraId="62189B22">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10</w:t>
            </w:r>
          </w:p>
        </w:tc>
        <w:tc>
          <w:tcPr>
            <w:tcW w:w="871" w:type="pct"/>
            <w:tcBorders>
              <w:tl2br w:val="nil"/>
              <w:tr2bl w:val="nil"/>
            </w:tcBorders>
            <w:vAlign w:val="center"/>
          </w:tcPr>
          <w:p w14:paraId="6B22CF26">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51</w:t>
            </w:r>
          </w:p>
        </w:tc>
        <w:tc>
          <w:tcPr>
            <w:tcW w:w="870" w:type="pct"/>
            <w:tcBorders>
              <w:tl2br w:val="nil"/>
              <w:tr2bl w:val="nil"/>
            </w:tcBorders>
            <w:vAlign w:val="center"/>
          </w:tcPr>
          <w:p w14:paraId="6FA6AD6F">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31</w:t>
            </w:r>
          </w:p>
        </w:tc>
        <w:tc>
          <w:tcPr>
            <w:tcW w:w="873" w:type="pct"/>
            <w:tcBorders>
              <w:tl2br w:val="nil"/>
              <w:tr2bl w:val="nil"/>
            </w:tcBorders>
            <w:vAlign w:val="center"/>
          </w:tcPr>
          <w:p w14:paraId="1F159AE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163</w:t>
            </w:r>
          </w:p>
        </w:tc>
      </w:tr>
      <w:tr w14:paraId="14F1ED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27317E6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16</w:t>
            </w:r>
          </w:p>
        </w:tc>
        <w:tc>
          <w:tcPr>
            <w:tcW w:w="1067" w:type="pct"/>
            <w:tcBorders>
              <w:tl2br w:val="nil"/>
              <w:tr2bl w:val="nil"/>
            </w:tcBorders>
            <w:vAlign w:val="center"/>
          </w:tcPr>
          <w:p w14:paraId="69D4F297">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二氯甲烷</w:t>
            </w:r>
          </w:p>
        </w:tc>
        <w:tc>
          <w:tcPr>
            <w:tcW w:w="871" w:type="pct"/>
            <w:tcBorders>
              <w:tl2br w:val="nil"/>
              <w:tr2bl w:val="nil"/>
            </w:tcBorders>
            <w:vAlign w:val="center"/>
          </w:tcPr>
          <w:p w14:paraId="0BF73EE0">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94</w:t>
            </w:r>
          </w:p>
        </w:tc>
        <w:tc>
          <w:tcPr>
            <w:tcW w:w="871" w:type="pct"/>
            <w:tcBorders>
              <w:tl2br w:val="nil"/>
              <w:tr2bl w:val="nil"/>
            </w:tcBorders>
            <w:vAlign w:val="center"/>
          </w:tcPr>
          <w:p w14:paraId="5D09472B">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616</w:t>
            </w:r>
          </w:p>
        </w:tc>
        <w:tc>
          <w:tcPr>
            <w:tcW w:w="870" w:type="pct"/>
            <w:tcBorders>
              <w:tl2br w:val="nil"/>
              <w:tr2bl w:val="nil"/>
            </w:tcBorders>
            <w:vAlign w:val="center"/>
          </w:tcPr>
          <w:p w14:paraId="3F146EEF">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300</w:t>
            </w:r>
          </w:p>
        </w:tc>
        <w:tc>
          <w:tcPr>
            <w:tcW w:w="873" w:type="pct"/>
            <w:tcBorders>
              <w:tl2br w:val="nil"/>
              <w:tr2bl w:val="nil"/>
            </w:tcBorders>
            <w:vAlign w:val="center"/>
          </w:tcPr>
          <w:p w14:paraId="0402CD2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2000</w:t>
            </w:r>
          </w:p>
        </w:tc>
      </w:tr>
      <w:tr w14:paraId="7DC731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494BE34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17</w:t>
            </w:r>
          </w:p>
        </w:tc>
        <w:tc>
          <w:tcPr>
            <w:tcW w:w="1067" w:type="pct"/>
            <w:tcBorders>
              <w:tl2br w:val="nil"/>
              <w:tr2bl w:val="nil"/>
            </w:tcBorders>
            <w:vAlign w:val="center"/>
          </w:tcPr>
          <w:p w14:paraId="14DAF34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1,2-二氯丙烷</w:t>
            </w:r>
          </w:p>
        </w:tc>
        <w:tc>
          <w:tcPr>
            <w:tcW w:w="871" w:type="pct"/>
            <w:tcBorders>
              <w:tl2br w:val="nil"/>
              <w:tr2bl w:val="nil"/>
            </w:tcBorders>
            <w:vAlign w:val="center"/>
          </w:tcPr>
          <w:p w14:paraId="4A71356B">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1</w:t>
            </w:r>
          </w:p>
        </w:tc>
        <w:tc>
          <w:tcPr>
            <w:tcW w:w="871" w:type="pct"/>
            <w:tcBorders>
              <w:tl2br w:val="nil"/>
              <w:tr2bl w:val="nil"/>
            </w:tcBorders>
            <w:vAlign w:val="center"/>
          </w:tcPr>
          <w:p w14:paraId="52D0482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5</w:t>
            </w:r>
          </w:p>
        </w:tc>
        <w:tc>
          <w:tcPr>
            <w:tcW w:w="870" w:type="pct"/>
            <w:tcBorders>
              <w:tl2br w:val="nil"/>
              <w:tr2bl w:val="nil"/>
            </w:tcBorders>
            <w:vAlign w:val="center"/>
          </w:tcPr>
          <w:p w14:paraId="4673FA78">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5</w:t>
            </w:r>
          </w:p>
        </w:tc>
        <w:tc>
          <w:tcPr>
            <w:tcW w:w="873" w:type="pct"/>
            <w:tcBorders>
              <w:tl2br w:val="nil"/>
              <w:tr2bl w:val="nil"/>
            </w:tcBorders>
            <w:vAlign w:val="center"/>
          </w:tcPr>
          <w:p w14:paraId="4A311370">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47</w:t>
            </w:r>
          </w:p>
        </w:tc>
      </w:tr>
      <w:tr w14:paraId="6DB83D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6575B14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18</w:t>
            </w:r>
          </w:p>
        </w:tc>
        <w:tc>
          <w:tcPr>
            <w:tcW w:w="1067" w:type="pct"/>
            <w:tcBorders>
              <w:tl2br w:val="nil"/>
              <w:tr2bl w:val="nil"/>
            </w:tcBorders>
            <w:vAlign w:val="center"/>
          </w:tcPr>
          <w:p w14:paraId="699C26C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1,1,1,2-四氯乙烷</w:t>
            </w:r>
          </w:p>
        </w:tc>
        <w:tc>
          <w:tcPr>
            <w:tcW w:w="871" w:type="pct"/>
            <w:tcBorders>
              <w:tl2br w:val="nil"/>
              <w:tr2bl w:val="nil"/>
            </w:tcBorders>
            <w:vAlign w:val="center"/>
          </w:tcPr>
          <w:p w14:paraId="6913000D">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2.6</w:t>
            </w:r>
          </w:p>
        </w:tc>
        <w:tc>
          <w:tcPr>
            <w:tcW w:w="871" w:type="pct"/>
            <w:tcBorders>
              <w:tl2br w:val="nil"/>
              <w:tr2bl w:val="nil"/>
            </w:tcBorders>
            <w:vAlign w:val="center"/>
          </w:tcPr>
          <w:p w14:paraId="7408654D">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10</w:t>
            </w:r>
          </w:p>
        </w:tc>
        <w:tc>
          <w:tcPr>
            <w:tcW w:w="870" w:type="pct"/>
            <w:tcBorders>
              <w:tl2br w:val="nil"/>
              <w:tr2bl w:val="nil"/>
            </w:tcBorders>
            <w:vAlign w:val="center"/>
          </w:tcPr>
          <w:p w14:paraId="07BB0480">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26</w:t>
            </w:r>
          </w:p>
        </w:tc>
        <w:tc>
          <w:tcPr>
            <w:tcW w:w="873" w:type="pct"/>
            <w:tcBorders>
              <w:tl2br w:val="nil"/>
              <w:tr2bl w:val="nil"/>
            </w:tcBorders>
            <w:vAlign w:val="center"/>
          </w:tcPr>
          <w:p w14:paraId="75A5C29C">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100</w:t>
            </w:r>
          </w:p>
        </w:tc>
      </w:tr>
      <w:tr w14:paraId="296AE0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50083CFE">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19</w:t>
            </w:r>
          </w:p>
        </w:tc>
        <w:tc>
          <w:tcPr>
            <w:tcW w:w="1067" w:type="pct"/>
            <w:tcBorders>
              <w:tl2br w:val="nil"/>
              <w:tr2bl w:val="nil"/>
            </w:tcBorders>
            <w:vAlign w:val="center"/>
          </w:tcPr>
          <w:p w14:paraId="795D889D">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1,1,2,2-四氯乙烷</w:t>
            </w:r>
          </w:p>
        </w:tc>
        <w:tc>
          <w:tcPr>
            <w:tcW w:w="871" w:type="pct"/>
            <w:tcBorders>
              <w:tl2br w:val="nil"/>
              <w:tr2bl w:val="nil"/>
            </w:tcBorders>
            <w:vAlign w:val="center"/>
          </w:tcPr>
          <w:p w14:paraId="364959A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1.6</w:t>
            </w:r>
          </w:p>
        </w:tc>
        <w:tc>
          <w:tcPr>
            <w:tcW w:w="871" w:type="pct"/>
            <w:tcBorders>
              <w:tl2br w:val="nil"/>
              <w:tr2bl w:val="nil"/>
            </w:tcBorders>
            <w:vAlign w:val="center"/>
          </w:tcPr>
          <w:p w14:paraId="11129BA7">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6.8</w:t>
            </w:r>
          </w:p>
        </w:tc>
        <w:tc>
          <w:tcPr>
            <w:tcW w:w="870" w:type="pct"/>
            <w:tcBorders>
              <w:tl2br w:val="nil"/>
              <w:tr2bl w:val="nil"/>
            </w:tcBorders>
            <w:vAlign w:val="center"/>
          </w:tcPr>
          <w:p w14:paraId="73723E1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14</w:t>
            </w:r>
          </w:p>
        </w:tc>
        <w:tc>
          <w:tcPr>
            <w:tcW w:w="873" w:type="pct"/>
            <w:tcBorders>
              <w:tl2br w:val="nil"/>
              <w:tr2bl w:val="nil"/>
            </w:tcBorders>
            <w:vAlign w:val="center"/>
          </w:tcPr>
          <w:p w14:paraId="5C6D601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50</w:t>
            </w:r>
          </w:p>
        </w:tc>
      </w:tr>
      <w:tr w14:paraId="2AD9C9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4759143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20</w:t>
            </w:r>
          </w:p>
        </w:tc>
        <w:tc>
          <w:tcPr>
            <w:tcW w:w="1067" w:type="pct"/>
            <w:tcBorders>
              <w:tl2br w:val="nil"/>
              <w:tr2bl w:val="nil"/>
            </w:tcBorders>
            <w:vAlign w:val="center"/>
          </w:tcPr>
          <w:p w14:paraId="08D030D7">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四氯乙烯</w:t>
            </w:r>
          </w:p>
        </w:tc>
        <w:tc>
          <w:tcPr>
            <w:tcW w:w="871" w:type="pct"/>
            <w:tcBorders>
              <w:tl2br w:val="nil"/>
              <w:tr2bl w:val="nil"/>
            </w:tcBorders>
            <w:vAlign w:val="center"/>
          </w:tcPr>
          <w:p w14:paraId="3A13865B">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11</w:t>
            </w:r>
          </w:p>
        </w:tc>
        <w:tc>
          <w:tcPr>
            <w:tcW w:w="871" w:type="pct"/>
            <w:tcBorders>
              <w:tl2br w:val="nil"/>
              <w:tr2bl w:val="nil"/>
            </w:tcBorders>
            <w:vAlign w:val="center"/>
          </w:tcPr>
          <w:p w14:paraId="3727BEA9">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53</w:t>
            </w:r>
          </w:p>
        </w:tc>
        <w:tc>
          <w:tcPr>
            <w:tcW w:w="870" w:type="pct"/>
            <w:tcBorders>
              <w:tl2br w:val="nil"/>
              <w:tr2bl w:val="nil"/>
            </w:tcBorders>
            <w:vAlign w:val="center"/>
          </w:tcPr>
          <w:p w14:paraId="274DF2E9">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34</w:t>
            </w:r>
          </w:p>
        </w:tc>
        <w:tc>
          <w:tcPr>
            <w:tcW w:w="873" w:type="pct"/>
            <w:tcBorders>
              <w:tl2br w:val="nil"/>
              <w:tr2bl w:val="nil"/>
            </w:tcBorders>
            <w:vAlign w:val="center"/>
          </w:tcPr>
          <w:p w14:paraId="16741478">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183</w:t>
            </w:r>
          </w:p>
        </w:tc>
      </w:tr>
      <w:tr w14:paraId="68CAF5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3D9CB28E">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21</w:t>
            </w:r>
          </w:p>
        </w:tc>
        <w:tc>
          <w:tcPr>
            <w:tcW w:w="1067" w:type="pct"/>
            <w:tcBorders>
              <w:tl2br w:val="nil"/>
              <w:tr2bl w:val="nil"/>
            </w:tcBorders>
            <w:vAlign w:val="center"/>
          </w:tcPr>
          <w:p w14:paraId="4363C1F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1,1,1-三氯乙烷</w:t>
            </w:r>
          </w:p>
        </w:tc>
        <w:tc>
          <w:tcPr>
            <w:tcW w:w="871" w:type="pct"/>
            <w:tcBorders>
              <w:tl2br w:val="nil"/>
              <w:tr2bl w:val="nil"/>
            </w:tcBorders>
            <w:vAlign w:val="center"/>
          </w:tcPr>
          <w:p w14:paraId="6F425D59">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701</w:t>
            </w:r>
          </w:p>
        </w:tc>
        <w:tc>
          <w:tcPr>
            <w:tcW w:w="871" w:type="pct"/>
            <w:tcBorders>
              <w:tl2br w:val="nil"/>
              <w:tr2bl w:val="nil"/>
            </w:tcBorders>
            <w:vAlign w:val="center"/>
          </w:tcPr>
          <w:p w14:paraId="7943C72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840</w:t>
            </w:r>
          </w:p>
        </w:tc>
        <w:tc>
          <w:tcPr>
            <w:tcW w:w="870" w:type="pct"/>
            <w:tcBorders>
              <w:tl2br w:val="nil"/>
              <w:tr2bl w:val="nil"/>
            </w:tcBorders>
            <w:vAlign w:val="center"/>
          </w:tcPr>
          <w:p w14:paraId="085998A7">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840</w:t>
            </w:r>
          </w:p>
        </w:tc>
        <w:tc>
          <w:tcPr>
            <w:tcW w:w="873" w:type="pct"/>
            <w:tcBorders>
              <w:tl2br w:val="nil"/>
              <w:tr2bl w:val="nil"/>
            </w:tcBorders>
            <w:vAlign w:val="center"/>
          </w:tcPr>
          <w:p w14:paraId="41BECAB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840</w:t>
            </w:r>
          </w:p>
        </w:tc>
      </w:tr>
      <w:tr w14:paraId="625EC5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53EF3FDD">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22</w:t>
            </w:r>
          </w:p>
        </w:tc>
        <w:tc>
          <w:tcPr>
            <w:tcW w:w="1067" w:type="pct"/>
            <w:tcBorders>
              <w:tl2br w:val="nil"/>
              <w:tr2bl w:val="nil"/>
            </w:tcBorders>
            <w:vAlign w:val="center"/>
          </w:tcPr>
          <w:p w14:paraId="4B0886AD">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1,1,2-三氯乙烷</w:t>
            </w:r>
          </w:p>
        </w:tc>
        <w:tc>
          <w:tcPr>
            <w:tcW w:w="871" w:type="pct"/>
            <w:tcBorders>
              <w:tl2br w:val="nil"/>
              <w:tr2bl w:val="nil"/>
            </w:tcBorders>
            <w:vAlign w:val="center"/>
          </w:tcPr>
          <w:p w14:paraId="63F90ADC">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0.6</w:t>
            </w:r>
          </w:p>
        </w:tc>
        <w:tc>
          <w:tcPr>
            <w:tcW w:w="871" w:type="pct"/>
            <w:tcBorders>
              <w:tl2br w:val="nil"/>
              <w:tr2bl w:val="nil"/>
            </w:tcBorders>
            <w:vAlign w:val="center"/>
          </w:tcPr>
          <w:p w14:paraId="3DCB736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2.8</w:t>
            </w:r>
          </w:p>
        </w:tc>
        <w:tc>
          <w:tcPr>
            <w:tcW w:w="870" w:type="pct"/>
            <w:tcBorders>
              <w:tl2br w:val="nil"/>
              <w:tr2bl w:val="nil"/>
            </w:tcBorders>
            <w:vAlign w:val="center"/>
          </w:tcPr>
          <w:p w14:paraId="6C971449">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5</w:t>
            </w:r>
          </w:p>
        </w:tc>
        <w:tc>
          <w:tcPr>
            <w:tcW w:w="873" w:type="pct"/>
            <w:tcBorders>
              <w:tl2br w:val="nil"/>
              <w:tr2bl w:val="nil"/>
            </w:tcBorders>
            <w:vAlign w:val="center"/>
          </w:tcPr>
          <w:p w14:paraId="28E97036">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15</w:t>
            </w:r>
          </w:p>
        </w:tc>
      </w:tr>
      <w:tr w14:paraId="622AC6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6A741373">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23</w:t>
            </w:r>
          </w:p>
        </w:tc>
        <w:tc>
          <w:tcPr>
            <w:tcW w:w="1067" w:type="pct"/>
            <w:tcBorders>
              <w:tl2br w:val="nil"/>
              <w:tr2bl w:val="nil"/>
            </w:tcBorders>
            <w:vAlign w:val="center"/>
          </w:tcPr>
          <w:p w14:paraId="12EBC6F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三氯乙烯</w:t>
            </w:r>
          </w:p>
        </w:tc>
        <w:tc>
          <w:tcPr>
            <w:tcW w:w="871" w:type="pct"/>
            <w:tcBorders>
              <w:tl2br w:val="nil"/>
              <w:tr2bl w:val="nil"/>
            </w:tcBorders>
            <w:vAlign w:val="center"/>
          </w:tcPr>
          <w:p w14:paraId="1FA5B496">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0.7</w:t>
            </w:r>
          </w:p>
        </w:tc>
        <w:tc>
          <w:tcPr>
            <w:tcW w:w="871" w:type="pct"/>
            <w:tcBorders>
              <w:tl2br w:val="nil"/>
              <w:tr2bl w:val="nil"/>
            </w:tcBorders>
            <w:vAlign w:val="center"/>
          </w:tcPr>
          <w:p w14:paraId="40C503C2">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2.8</w:t>
            </w:r>
          </w:p>
        </w:tc>
        <w:tc>
          <w:tcPr>
            <w:tcW w:w="870" w:type="pct"/>
            <w:tcBorders>
              <w:tl2br w:val="nil"/>
              <w:tr2bl w:val="nil"/>
            </w:tcBorders>
            <w:vAlign w:val="center"/>
          </w:tcPr>
          <w:p w14:paraId="28652D36">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7</w:t>
            </w:r>
          </w:p>
        </w:tc>
        <w:tc>
          <w:tcPr>
            <w:tcW w:w="873" w:type="pct"/>
            <w:tcBorders>
              <w:tl2br w:val="nil"/>
              <w:tr2bl w:val="nil"/>
            </w:tcBorders>
            <w:vAlign w:val="center"/>
          </w:tcPr>
          <w:p w14:paraId="117937C9">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20</w:t>
            </w:r>
          </w:p>
        </w:tc>
      </w:tr>
      <w:tr w14:paraId="2DBB23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1A18A342">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24</w:t>
            </w:r>
          </w:p>
        </w:tc>
        <w:tc>
          <w:tcPr>
            <w:tcW w:w="1067" w:type="pct"/>
            <w:tcBorders>
              <w:tl2br w:val="nil"/>
              <w:tr2bl w:val="nil"/>
            </w:tcBorders>
            <w:vAlign w:val="center"/>
          </w:tcPr>
          <w:p w14:paraId="20B453AD">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1,2,3-三氯丙烷</w:t>
            </w:r>
          </w:p>
        </w:tc>
        <w:tc>
          <w:tcPr>
            <w:tcW w:w="871" w:type="pct"/>
            <w:tcBorders>
              <w:tl2br w:val="nil"/>
              <w:tr2bl w:val="nil"/>
            </w:tcBorders>
            <w:vAlign w:val="center"/>
          </w:tcPr>
          <w:p w14:paraId="533B687E">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0.05</w:t>
            </w:r>
          </w:p>
        </w:tc>
        <w:tc>
          <w:tcPr>
            <w:tcW w:w="871" w:type="pct"/>
            <w:tcBorders>
              <w:tl2br w:val="nil"/>
              <w:tr2bl w:val="nil"/>
            </w:tcBorders>
            <w:vAlign w:val="center"/>
          </w:tcPr>
          <w:p w14:paraId="41B52CEF">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0.5</w:t>
            </w:r>
          </w:p>
        </w:tc>
        <w:tc>
          <w:tcPr>
            <w:tcW w:w="870" w:type="pct"/>
            <w:tcBorders>
              <w:tl2br w:val="nil"/>
              <w:tr2bl w:val="nil"/>
            </w:tcBorders>
            <w:vAlign w:val="center"/>
          </w:tcPr>
          <w:p w14:paraId="76145A1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0.5</w:t>
            </w:r>
          </w:p>
        </w:tc>
        <w:tc>
          <w:tcPr>
            <w:tcW w:w="873" w:type="pct"/>
            <w:tcBorders>
              <w:tl2br w:val="nil"/>
              <w:tr2bl w:val="nil"/>
            </w:tcBorders>
            <w:vAlign w:val="center"/>
          </w:tcPr>
          <w:p w14:paraId="359A2D97">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5</w:t>
            </w:r>
          </w:p>
        </w:tc>
      </w:tr>
      <w:tr w14:paraId="1040E7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63FD41B7">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25</w:t>
            </w:r>
          </w:p>
        </w:tc>
        <w:tc>
          <w:tcPr>
            <w:tcW w:w="1067" w:type="pct"/>
            <w:tcBorders>
              <w:tl2br w:val="nil"/>
              <w:tr2bl w:val="nil"/>
            </w:tcBorders>
            <w:vAlign w:val="center"/>
          </w:tcPr>
          <w:p w14:paraId="55B7329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氯乙烯</w:t>
            </w:r>
          </w:p>
        </w:tc>
        <w:tc>
          <w:tcPr>
            <w:tcW w:w="871" w:type="pct"/>
            <w:tcBorders>
              <w:tl2br w:val="nil"/>
              <w:tr2bl w:val="nil"/>
            </w:tcBorders>
            <w:vAlign w:val="center"/>
          </w:tcPr>
          <w:p w14:paraId="7780C0B0">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0.12</w:t>
            </w:r>
          </w:p>
        </w:tc>
        <w:tc>
          <w:tcPr>
            <w:tcW w:w="871" w:type="pct"/>
            <w:tcBorders>
              <w:tl2br w:val="nil"/>
              <w:tr2bl w:val="nil"/>
            </w:tcBorders>
            <w:vAlign w:val="center"/>
          </w:tcPr>
          <w:p w14:paraId="6336495C">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0.43</w:t>
            </w:r>
          </w:p>
        </w:tc>
        <w:tc>
          <w:tcPr>
            <w:tcW w:w="870" w:type="pct"/>
            <w:tcBorders>
              <w:tl2br w:val="nil"/>
              <w:tr2bl w:val="nil"/>
            </w:tcBorders>
            <w:vAlign w:val="center"/>
          </w:tcPr>
          <w:p w14:paraId="36A7A4C3">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1.2</w:t>
            </w:r>
          </w:p>
        </w:tc>
        <w:tc>
          <w:tcPr>
            <w:tcW w:w="873" w:type="pct"/>
            <w:tcBorders>
              <w:tl2br w:val="nil"/>
              <w:tr2bl w:val="nil"/>
            </w:tcBorders>
            <w:vAlign w:val="center"/>
          </w:tcPr>
          <w:p w14:paraId="16D3B5D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4.3</w:t>
            </w:r>
          </w:p>
        </w:tc>
      </w:tr>
      <w:tr w14:paraId="769EA7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7BF30DCE">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26</w:t>
            </w:r>
          </w:p>
        </w:tc>
        <w:tc>
          <w:tcPr>
            <w:tcW w:w="1067" w:type="pct"/>
            <w:tcBorders>
              <w:tl2br w:val="nil"/>
              <w:tr2bl w:val="nil"/>
            </w:tcBorders>
            <w:vAlign w:val="center"/>
          </w:tcPr>
          <w:p w14:paraId="073B2E3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苯</w:t>
            </w:r>
          </w:p>
        </w:tc>
        <w:tc>
          <w:tcPr>
            <w:tcW w:w="871" w:type="pct"/>
            <w:tcBorders>
              <w:tl2br w:val="nil"/>
              <w:tr2bl w:val="nil"/>
            </w:tcBorders>
            <w:vAlign w:val="center"/>
          </w:tcPr>
          <w:p w14:paraId="28B8992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1</w:t>
            </w:r>
          </w:p>
        </w:tc>
        <w:tc>
          <w:tcPr>
            <w:tcW w:w="871" w:type="pct"/>
            <w:tcBorders>
              <w:tl2br w:val="nil"/>
              <w:tr2bl w:val="nil"/>
            </w:tcBorders>
            <w:vAlign w:val="center"/>
          </w:tcPr>
          <w:p w14:paraId="5B275C63">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4</w:t>
            </w:r>
          </w:p>
        </w:tc>
        <w:tc>
          <w:tcPr>
            <w:tcW w:w="870" w:type="pct"/>
            <w:tcBorders>
              <w:tl2br w:val="nil"/>
              <w:tr2bl w:val="nil"/>
            </w:tcBorders>
            <w:vAlign w:val="center"/>
          </w:tcPr>
          <w:p w14:paraId="314DA19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10</w:t>
            </w:r>
          </w:p>
        </w:tc>
        <w:tc>
          <w:tcPr>
            <w:tcW w:w="873" w:type="pct"/>
            <w:tcBorders>
              <w:tl2br w:val="nil"/>
              <w:tr2bl w:val="nil"/>
            </w:tcBorders>
            <w:vAlign w:val="center"/>
          </w:tcPr>
          <w:p w14:paraId="0F8263D0">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40</w:t>
            </w:r>
          </w:p>
        </w:tc>
      </w:tr>
      <w:tr w14:paraId="27FE77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3B02532D">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27</w:t>
            </w:r>
          </w:p>
        </w:tc>
        <w:tc>
          <w:tcPr>
            <w:tcW w:w="1067" w:type="pct"/>
            <w:tcBorders>
              <w:tl2br w:val="nil"/>
              <w:tr2bl w:val="nil"/>
            </w:tcBorders>
            <w:vAlign w:val="center"/>
          </w:tcPr>
          <w:p w14:paraId="0D232638">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氯苯</w:t>
            </w:r>
          </w:p>
        </w:tc>
        <w:tc>
          <w:tcPr>
            <w:tcW w:w="871" w:type="pct"/>
            <w:tcBorders>
              <w:tl2br w:val="nil"/>
              <w:tr2bl w:val="nil"/>
            </w:tcBorders>
            <w:vAlign w:val="center"/>
          </w:tcPr>
          <w:p w14:paraId="1DECFE30">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68</w:t>
            </w:r>
          </w:p>
        </w:tc>
        <w:tc>
          <w:tcPr>
            <w:tcW w:w="871" w:type="pct"/>
            <w:tcBorders>
              <w:tl2br w:val="nil"/>
              <w:tr2bl w:val="nil"/>
            </w:tcBorders>
            <w:vAlign w:val="center"/>
          </w:tcPr>
          <w:p w14:paraId="122204FB">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270</w:t>
            </w:r>
          </w:p>
        </w:tc>
        <w:tc>
          <w:tcPr>
            <w:tcW w:w="870" w:type="pct"/>
            <w:tcBorders>
              <w:tl2br w:val="nil"/>
              <w:tr2bl w:val="nil"/>
            </w:tcBorders>
            <w:vAlign w:val="center"/>
          </w:tcPr>
          <w:p w14:paraId="0D75747B">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200</w:t>
            </w:r>
          </w:p>
        </w:tc>
        <w:tc>
          <w:tcPr>
            <w:tcW w:w="873" w:type="pct"/>
            <w:tcBorders>
              <w:tl2br w:val="nil"/>
              <w:tr2bl w:val="nil"/>
            </w:tcBorders>
            <w:vAlign w:val="center"/>
          </w:tcPr>
          <w:p w14:paraId="1853068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1000</w:t>
            </w:r>
          </w:p>
        </w:tc>
      </w:tr>
      <w:tr w14:paraId="7F3772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3FD72AA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28</w:t>
            </w:r>
          </w:p>
        </w:tc>
        <w:tc>
          <w:tcPr>
            <w:tcW w:w="1067" w:type="pct"/>
            <w:tcBorders>
              <w:tl2br w:val="nil"/>
              <w:tr2bl w:val="nil"/>
            </w:tcBorders>
            <w:vAlign w:val="center"/>
          </w:tcPr>
          <w:p w14:paraId="55B618C3">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1,2-二氯苯</w:t>
            </w:r>
          </w:p>
        </w:tc>
        <w:tc>
          <w:tcPr>
            <w:tcW w:w="871" w:type="pct"/>
            <w:tcBorders>
              <w:tl2br w:val="nil"/>
              <w:tr2bl w:val="nil"/>
            </w:tcBorders>
            <w:vAlign w:val="center"/>
          </w:tcPr>
          <w:p w14:paraId="31BC9716">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560</w:t>
            </w:r>
          </w:p>
        </w:tc>
        <w:tc>
          <w:tcPr>
            <w:tcW w:w="871" w:type="pct"/>
            <w:tcBorders>
              <w:tl2br w:val="nil"/>
              <w:tr2bl w:val="nil"/>
            </w:tcBorders>
            <w:vAlign w:val="center"/>
          </w:tcPr>
          <w:p w14:paraId="26EA7FBC">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560</w:t>
            </w:r>
          </w:p>
        </w:tc>
        <w:tc>
          <w:tcPr>
            <w:tcW w:w="870" w:type="pct"/>
            <w:tcBorders>
              <w:tl2br w:val="nil"/>
              <w:tr2bl w:val="nil"/>
            </w:tcBorders>
            <w:vAlign w:val="center"/>
          </w:tcPr>
          <w:p w14:paraId="189A3A4F">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560</w:t>
            </w:r>
          </w:p>
        </w:tc>
        <w:tc>
          <w:tcPr>
            <w:tcW w:w="873" w:type="pct"/>
            <w:tcBorders>
              <w:tl2br w:val="nil"/>
              <w:tr2bl w:val="nil"/>
            </w:tcBorders>
            <w:vAlign w:val="center"/>
          </w:tcPr>
          <w:p w14:paraId="3B9F3D67">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560</w:t>
            </w:r>
          </w:p>
        </w:tc>
      </w:tr>
      <w:tr w14:paraId="6D0DBE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281A9B2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29</w:t>
            </w:r>
          </w:p>
        </w:tc>
        <w:tc>
          <w:tcPr>
            <w:tcW w:w="1067" w:type="pct"/>
            <w:tcBorders>
              <w:tl2br w:val="nil"/>
              <w:tr2bl w:val="nil"/>
            </w:tcBorders>
            <w:vAlign w:val="center"/>
          </w:tcPr>
          <w:p w14:paraId="4E7C63F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1,4-二氯苯</w:t>
            </w:r>
          </w:p>
        </w:tc>
        <w:tc>
          <w:tcPr>
            <w:tcW w:w="871" w:type="pct"/>
            <w:tcBorders>
              <w:tl2br w:val="nil"/>
              <w:tr2bl w:val="nil"/>
            </w:tcBorders>
            <w:vAlign w:val="center"/>
          </w:tcPr>
          <w:p w14:paraId="32AE6F92">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5.6</w:t>
            </w:r>
          </w:p>
        </w:tc>
        <w:tc>
          <w:tcPr>
            <w:tcW w:w="871" w:type="pct"/>
            <w:tcBorders>
              <w:tl2br w:val="nil"/>
              <w:tr2bl w:val="nil"/>
            </w:tcBorders>
            <w:vAlign w:val="center"/>
          </w:tcPr>
          <w:p w14:paraId="5D3DFFE7">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20</w:t>
            </w:r>
          </w:p>
        </w:tc>
        <w:tc>
          <w:tcPr>
            <w:tcW w:w="870" w:type="pct"/>
            <w:tcBorders>
              <w:tl2br w:val="nil"/>
              <w:tr2bl w:val="nil"/>
            </w:tcBorders>
            <w:vAlign w:val="center"/>
          </w:tcPr>
          <w:p w14:paraId="52F679C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56</w:t>
            </w:r>
          </w:p>
        </w:tc>
        <w:tc>
          <w:tcPr>
            <w:tcW w:w="873" w:type="pct"/>
            <w:tcBorders>
              <w:tl2br w:val="nil"/>
              <w:tr2bl w:val="nil"/>
            </w:tcBorders>
            <w:vAlign w:val="center"/>
          </w:tcPr>
          <w:p w14:paraId="67B5F5C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200</w:t>
            </w:r>
          </w:p>
        </w:tc>
      </w:tr>
      <w:tr w14:paraId="6513B2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7703D7A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30</w:t>
            </w:r>
          </w:p>
        </w:tc>
        <w:tc>
          <w:tcPr>
            <w:tcW w:w="1067" w:type="pct"/>
            <w:tcBorders>
              <w:tl2br w:val="nil"/>
              <w:tr2bl w:val="nil"/>
            </w:tcBorders>
            <w:vAlign w:val="center"/>
          </w:tcPr>
          <w:p w14:paraId="6404AF00">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乙苯</w:t>
            </w:r>
          </w:p>
        </w:tc>
        <w:tc>
          <w:tcPr>
            <w:tcW w:w="871" w:type="pct"/>
            <w:tcBorders>
              <w:tl2br w:val="nil"/>
              <w:tr2bl w:val="nil"/>
            </w:tcBorders>
            <w:vAlign w:val="center"/>
          </w:tcPr>
          <w:p w14:paraId="5343128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7.2</w:t>
            </w:r>
          </w:p>
        </w:tc>
        <w:tc>
          <w:tcPr>
            <w:tcW w:w="871" w:type="pct"/>
            <w:tcBorders>
              <w:tl2br w:val="nil"/>
              <w:tr2bl w:val="nil"/>
            </w:tcBorders>
            <w:vAlign w:val="center"/>
          </w:tcPr>
          <w:p w14:paraId="43476DAD">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28</w:t>
            </w:r>
          </w:p>
        </w:tc>
        <w:tc>
          <w:tcPr>
            <w:tcW w:w="870" w:type="pct"/>
            <w:tcBorders>
              <w:tl2br w:val="nil"/>
              <w:tr2bl w:val="nil"/>
            </w:tcBorders>
            <w:vAlign w:val="center"/>
          </w:tcPr>
          <w:p w14:paraId="45311AE3">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72</w:t>
            </w:r>
          </w:p>
        </w:tc>
        <w:tc>
          <w:tcPr>
            <w:tcW w:w="873" w:type="pct"/>
            <w:tcBorders>
              <w:tl2br w:val="nil"/>
              <w:tr2bl w:val="nil"/>
            </w:tcBorders>
            <w:vAlign w:val="center"/>
          </w:tcPr>
          <w:p w14:paraId="6854A0F7">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280</w:t>
            </w:r>
          </w:p>
        </w:tc>
      </w:tr>
      <w:tr w14:paraId="1FF33C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6897AC8B">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31</w:t>
            </w:r>
          </w:p>
        </w:tc>
        <w:tc>
          <w:tcPr>
            <w:tcW w:w="1067" w:type="pct"/>
            <w:tcBorders>
              <w:tl2br w:val="nil"/>
              <w:tr2bl w:val="nil"/>
            </w:tcBorders>
            <w:vAlign w:val="center"/>
          </w:tcPr>
          <w:p w14:paraId="160D861E">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苯乙烯</w:t>
            </w:r>
          </w:p>
        </w:tc>
        <w:tc>
          <w:tcPr>
            <w:tcW w:w="871" w:type="pct"/>
            <w:tcBorders>
              <w:tl2br w:val="nil"/>
              <w:tr2bl w:val="nil"/>
            </w:tcBorders>
            <w:vAlign w:val="center"/>
          </w:tcPr>
          <w:p w14:paraId="7C76DA07">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1290</w:t>
            </w:r>
          </w:p>
        </w:tc>
        <w:tc>
          <w:tcPr>
            <w:tcW w:w="871" w:type="pct"/>
            <w:tcBorders>
              <w:tl2br w:val="nil"/>
              <w:tr2bl w:val="nil"/>
            </w:tcBorders>
            <w:vAlign w:val="center"/>
          </w:tcPr>
          <w:p w14:paraId="5849DBE6">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1290</w:t>
            </w:r>
          </w:p>
        </w:tc>
        <w:tc>
          <w:tcPr>
            <w:tcW w:w="870" w:type="pct"/>
            <w:tcBorders>
              <w:tl2br w:val="nil"/>
              <w:tr2bl w:val="nil"/>
            </w:tcBorders>
            <w:vAlign w:val="center"/>
          </w:tcPr>
          <w:p w14:paraId="1246ED4B">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1290</w:t>
            </w:r>
          </w:p>
        </w:tc>
        <w:tc>
          <w:tcPr>
            <w:tcW w:w="873" w:type="pct"/>
            <w:tcBorders>
              <w:tl2br w:val="nil"/>
              <w:tr2bl w:val="nil"/>
            </w:tcBorders>
            <w:vAlign w:val="center"/>
          </w:tcPr>
          <w:p w14:paraId="19EC36E9">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1200</w:t>
            </w:r>
          </w:p>
        </w:tc>
      </w:tr>
      <w:tr w14:paraId="3E0668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3BE15A49">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32</w:t>
            </w:r>
          </w:p>
        </w:tc>
        <w:tc>
          <w:tcPr>
            <w:tcW w:w="1067" w:type="pct"/>
            <w:tcBorders>
              <w:tl2br w:val="nil"/>
              <w:tr2bl w:val="nil"/>
            </w:tcBorders>
            <w:vAlign w:val="center"/>
          </w:tcPr>
          <w:p w14:paraId="427B334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甲苯</w:t>
            </w:r>
          </w:p>
        </w:tc>
        <w:tc>
          <w:tcPr>
            <w:tcW w:w="871" w:type="pct"/>
            <w:tcBorders>
              <w:tl2br w:val="nil"/>
              <w:tr2bl w:val="nil"/>
            </w:tcBorders>
            <w:vAlign w:val="center"/>
          </w:tcPr>
          <w:p w14:paraId="35F372F0">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1200</w:t>
            </w:r>
          </w:p>
        </w:tc>
        <w:tc>
          <w:tcPr>
            <w:tcW w:w="871" w:type="pct"/>
            <w:tcBorders>
              <w:tl2br w:val="nil"/>
              <w:tr2bl w:val="nil"/>
            </w:tcBorders>
            <w:vAlign w:val="center"/>
          </w:tcPr>
          <w:p w14:paraId="7E692A46">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1200</w:t>
            </w:r>
          </w:p>
        </w:tc>
        <w:tc>
          <w:tcPr>
            <w:tcW w:w="870" w:type="pct"/>
            <w:tcBorders>
              <w:tl2br w:val="nil"/>
              <w:tr2bl w:val="nil"/>
            </w:tcBorders>
            <w:vAlign w:val="center"/>
          </w:tcPr>
          <w:p w14:paraId="2DF28DC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1200</w:t>
            </w:r>
          </w:p>
        </w:tc>
        <w:tc>
          <w:tcPr>
            <w:tcW w:w="873" w:type="pct"/>
            <w:tcBorders>
              <w:tl2br w:val="nil"/>
              <w:tr2bl w:val="nil"/>
            </w:tcBorders>
            <w:vAlign w:val="center"/>
          </w:tcPr>
          <w:p w14:paraId="66DC98E6">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1200</w:t>
            </w:r>
          </w:p>
        </w:tc>
      </w:tr>
      <w:tr w14:paraId="1A3587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5269E528">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33</w:t>
            </w:r>
          </w:p>
        </w:tc>
        <w:tc>
          <w:tcPr>
            <w:tcW w:w="1067" w:type="pct"/>
            <w:tcBorders>
              <w:tl2br w:val="nil"/>
              <w:tr2bl w:val="nil"/>
            </w:tcBorders>
            <w:vAlign w:val="center"/>
          </w:tcPr>
          <w:p w14:paraId="7664592F">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间二甲苯+对二甲苯</w:t>
            </w:r>
          </w:p>
        </w:tc>
        <w:tc>
          <w:tcPr>
            <w:tcW w:w="871" w:type="pct"/>
            <w:tcBorders>
              <w:tl2br w:val="nil"/>
              <w:tr2bl w:val="nil"/>
            </w:tcBorders>
            <w:vAlign w:val="center"/>
          </w:tcPr>
          <w:p w14:paraId="2176349B">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163</w:t>
            </w:r>
          </w:p>
        </w:tc>
        <w:tc>
          <w:tcPr>
            <w:tcW w:w="871" w:type="pct"/>
            <w:tcBorders>
              <w:tl2br w:val="nil"/>
              <w:tr2bl w:val="nil"/>
            </w:tcBorders>
            <w:vAlign w:val="center"/>
          </w:tcPr>
          <w:p w14:paraId="7DE036F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570</w:t>
            </w:r>
          </w:p>
        </w:tc>
        <w:tc>
          <w:tcPr>
            <w:tcW w:w="870" w:type="pct"/>
            <w:tcBorders>
              <w:tl2br w:val="nil"/>
              <w:tr2bl w:val="nil"/>
            </w:tcBorders>
            <w:vAlign w:val="center"/>
          </w:tcPr>
          <w:p w14:paraId="202AF0FE">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500</w:t>
            </w:r>
          </w:p>
        </w:tc>
        <w:tc>
          <w:tcPr>
            <w:tcW w:w="873" w:type="pct"/>
            <w:tcBorders>
              <w:tl2br w:val="nil"/>
              <w:tr2bl w:val="nil"/>
            </w:tcBorders>
            <w:vAlign w:val="center"/>
          </w:tcPr>
          <w:p w14:paraId="3186166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570</w:t>
            </w:r>
          </w:p>
        </w:tc>
      </w:tr>
      <w:tr w14:paraId="356822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3E64C01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34</w:t>
            </w:r>
          </w:p>
        </w:tc>
        <w:tc>
          <w:tcPr>
            <w:tcW w:w="1067" w:type="pct"/>
            <w:tcBorders>
              <w:tl2br w:val="nil"/>
              <w:tr2bl w:val="nil"/>
            </w:tcBorders>
            <w:vAlign w:val="center"/>
          </w:tcPr>
          <w:p w14:paraId="4520688B">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邻二甲苯</w:t>
            </w:r>
          </w:p>
        </w:tc>
        <w:tc>
          <w:tcPr>
            <w:tcW w:w="871" w:type="pct"/>
            <w:tcBorders>
              <w:tl2br w:val="nil"/>
              <w:tr2bl w:val="nil"/>
            </w:tcBorders>
            <w:vAlign w:val="center"/>
          </w:tcPr>
          <w:p w14:paraId="69C50952">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222</w:t>
            </w:r>
          </w:p>
        </w:tc>
        <w:tc>
          <w:tcPr>
            <w:tcW w:w="871" w:type="pct"/>
            <w:tcBorders>
              <w:tl2br w:val="nil"/>
              <w:tr2bl w:val="nil"/>
            </w:tcBorders>
            <w:vAlign w:val="center"/>
          </w:tcPr>
          <w:p w14:paraId="1C679FF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640</w:t>
            </w:r>
          </w:p>
        </w:tc>
        <w:tc>
          <w:tcPr>
            <w:tcW w:w="870" w:type="pct"/>
            <w:tcBorders>
              <w:tl2br w:val="nil"/>
              <w:tr2bl w:val="nil"/>
            </w:tcBorders>
            <w:vAlign w:val="center"/>
          </w:tcPr>
          <w:p w14:paraId="1B73997F">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640</w:t>
            </w:r>
          </w:p>
        </w:tc>
        <w:tc>
          <w:tcPr>
            <w:tcW w:w="873" w:type="pct"/>
            <w:tcBorders>
              <w:tl2br w:val="nil"/>
              <w:tr2bl w:val="nil"/>
            </w:tcBorders>
            <w:vAlign w:val="center"/>
          </w:tcPr>
          <w:p w14:paraId="5A7A6D1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640</w:t>
            </w:r>
          </w:p>
        </w:tc>
      </w:tr>
      <w:tr w14:paraId="68CF3E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25D29A62">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35</w:t>
            </w:r>
          </w:p>
        </w:tc>
        <w:tc>
          <w:tcPr>
            <w:tcW w:w="1067" w:type="pct"/>
            <w:tcBorders>
              <w:tl2br w:val="nil"/>
              <w:tr2bl w:val="nil"/>
            </w:tcBorders>
            <w:vAlign w:val="center"/>
          </w:tcPr>
          <w:p w14:paraId="370DF39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硝基苯</w:t>
            </w:r>
          </w:p>
        </w:tc>
        <w:tc>
          <w:tcPr>
            <w:tcW w:w="871" w:type="pct"/>
            <w:tcBorders>
              <w:tl2br w:val="nil"/>
              <w:tr2bl w:val="nil"/>
            </w:tcBorders>
            <w:vAlign w:val="center"/>
          </w:tcPr>
          <w:p w14:paraId="5D301CA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34</w:t>
            </w:r>
          </w:p>
        </w:tc>
        <w:tc>
          <w:tcPr>
            <w:tcW w:w="871" w:type="pct"/>
            <w:tcBorders>
              <w:tl2br w:val="nil"/>
              <w:tr2bl w:val="nil"/>
            </w:tcBorders>
            <w:vAlign w:val="center"/>
          </w:tcPr>
          <w:p w14:paraId="58E47BB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76</w:t>
            </w:r>
          </w:p>
        </w:tc>
        <w:tc>
          <w:tcPr>
            <w:tcW w:w="870" w:type="pct"/>
            <w:tcBorders>
              <w:tl2br w:val="nil"/>
              <w:tr2bl w:val="nil"/>
            </w:tcBorders>
            <w:vAlign w:val="center"/>
          </w:tcPr>
          <w:p w14:paraId="7B24811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190</w:t>
            </w:r>
          </w:p>
        </w:tc>
        <w:tc>
          <w:tcPr>
            <w:tcW w:w="873" w:type="pct"/>
            <w:tcBorders>
              <w:tl2br w:val="nil"/>
              <w:tr2bl w:val="nil"/>
            </w:tcBorders>
            <w:vAlign w:val="center"/>
          </w:tcPr>
          <w:p w14:paraId="191FBBCF">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760</w:t>
            </w:r>
          </w:p>
        </w:tc>
      </w:tr>
      <w:tr w14:paraId="0BB23A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42FFA0AB">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36</w:t>
            </w:r>
          </w:p>
        </w:tc>
        <w:tc>
          <w:tcPr>
            <w:tcW w:w="1067" w:type="pct"/>
            <w:tcBorders>
              <w:tl2br w:val="nil"/>
              <w:tr2bl w:val="nil"/>
            </w:tcBorders>
            <w:vAlign w:val="center"/>
          </w:tcPr>
          <w:p w14:paraId="348CA910">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苯胺</w:t>
            </w:r>
          </w:p>
        </w:tc>
        <w:tc>
          <w:tcPr>
            <w:tcW w:w="871" w:type="pct"/>
            <w:tcBorders>
              <w:tl2br w:val="nil"/>
              <w:tr2bl w:val="nil"/>
            </w:tcBorders>
            <w:vAlign w:val="center"/>
          </w:tcPr>
          <w:p w14:paraId="0FD0411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92</w:t>
            </w:r>
          </w:p>
        </w:tc>
        <w:tc>
          <w:tcPr>
            <w:tcW w:w="871" w:type="pct"/>
            <w:tcBorders>
              <w:tl2br w:val="nil"/>
              <w:tr2bl w:val="nil"/>
            </w:tcBorders>
            <w:vAlign w:val="center"/>
          </w:tcPr>
          <w:p w14:paraId="22C0DBC7">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260</w:t>
            </w:r>
          </w:p>
        </w:tc>
        <w:tc>
          <w:tcPr>
            <w:tcW w:w="870" w:type="pct"/>
            <w:tcBorders>
              <w:tl2br w:val="nil"/>
              <w:tr2bl w:val="nil"/>
            </w:tcBorders>
            <w:vAlign w:val="center"/>
          </w:tcPr>
          <w:p w14:paraId="16C5F00C">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211</w:t>
            </w:r>
          </w:p>
        </w:tc>
        <w:tc>
          <w:tcPr>
            <w:tcW w:w="873" w:type="pct"/>
            <w:tcBorders>
              <w:tl2br w:val="nil"/>
              <w:tr2bl w:val="nil"/>
            </w:tcBorders>
            <w:vAlign w:val="center"/>
          </w:tcPr>
          <w:p w14:paraId="65462109">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663</w:t>
            </w:r>
          </w:p>
        </w:tc>
      </w:tr>
      <w:tr w14:paraId="5848B9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3D5E8E7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37</w:t>
            </w:r>
          </w:p>
        </w:tc>
        <w:tc>
          <w:tcPr>
            <w:tcW w:w="1067" w:type="pct"/>
            <w:tcBorders>
              <w:tl2br w:val="nil"/>
              <w:tr2bl w:val="nil"/>
            </w:tcBorders>
            <w:vAlign w:val="center"/>
          </w:tcPr>
          <w:p w14:paraId="1B230F9E">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2-氯酚</w:t>
            </w:r>
          </w:p>
        </w:tc>
        <w:tc>
          <w:tcPr>
            <w:tcW w:w="871" w:type="pct"/>
            <w:tcBorders>
              <w:tl2br w:val="nil"/>
              <w:tr2bl w:val="nil"/>
            </w:tcBorders>
            <w:vAlign w:val="center"/>
          </w:tcPr>
          <w:p w14:paraId="7288B3C7">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250</w:t>
            </w:r>
          </w:p>
        </w:tc>
        <w:tc>
          <w:tcPr>
            <w:tcW w:w="871" w:type="pct"/>
            <w:tcBorders>
              <w:tl2br w:val="nil"/>
              <w:tr2bl w:val="nil"/>
            </w:tcBorders>
            <w:vAlign w:val="center"/>
          </w:tcPr>
          <w:p w14:paraId="1FC72DF2">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2256</w:t>
            </w:r>
          </w:p>
        </w:tc>
        <w:tc>
          <w:tcPr>
            <w:tcW w:w="870" w:type="pct"/>
            <w:tcBorders>
              <w:tl2br w:val="nil"/>
              <w:tr2bl w:val="nil"/>
            </w:tcBorders>
            <w:vAlign w:val="center"/>
          </w:tcPr>
          <w:p w14:paraId="3D4DD15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500</w:t>
            </w:r>
          </w:p>
        </w:tc>
        <w:tc>
          <w:tcPr>
            <w:tcW w:w="873" w:type="pct"/>
            <w:tcBorders>
              <w:tl2br w:val="nil"/>
              <w:tr2bl w:val="nil"/>
            </w:tcBorders>
            <w:vAlign w:val="center"/>
          </w:tcPr>
          <w:p w14:paraId="76E9AA97">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4500</w:t>
            </w:r>
          </w:p>
        </w:tc>
      </w:tr>
      <w:tr w14:paraId="0E6B93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5254B768">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38</w:t>
            </w:r>
          </w:p>
        </w:tc>
        <w:tc>
          <w:tcPr>
            <w:tcW w:w="1067" w:type="pct"/>
            <w:tcBorders>
              <w:tl2br w:val="nil"/>
              <w:tr2bl w:val="nil"/>
            </w:tcBorders>
            <w:vAlign w:val="center"/>
          </w:tcPr>
          <w:p w14:paraId="56FFB2B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苯并[a]蒽</w:t>
            </w:r>
          </w:p>
        </w:tc>
        <w:tc>
          <w:tcPr>
            <w:tcW w:w="871" w:type="pct"/>
            <w:tcBorders>
              <w:tl2br w:val="nil"/>
              <w:tr2bl w:val="nil"/>
            </w:tcBorders>
            <w:vAlign w:val="center"/>
          </w:tcPr>
          <w:p w14:paraId="3566BF9E">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5.5</w:t>
            </w:r>
          </w:p>
        </w:tc>
        <w:tc>
          <w:tcPr>
            <w:tcW w:w="871" w:type="pct"/>
            <w:tcBorders>
              <w:tl2br w:val="nil"/>
              <w:tr2bl w:val="nil"/>
            </w:tcBorders>
            <w:vAlign w:val="center"/>
          </w:tcPr>
          <w:p w14:paraId="6ABCCD8C">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15</w:t>
            </w:r>
          </w:p>
        </w:tc>
        <w:tc>
          <w:tcPr>
            <w:tcW w:w="870" w:type="pct"/>
            <w:tcBorders>
              <w:tl2br w:val="nil"/>
              <w:tr2bl w:val="nil"/>
            </w:tcBorders>
            <w:vAlign w:val="center"/>
          </w:tcPr>
          <w:p w14:paraId="481BD93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55</w:t>
            </w:r>
          </w:p>
        </w:tc>
        <w:tc>
          <w:tcPr>
            <w:tcW w:w="873" w:type="pct"/>
            <w:tcBorders>
              <w:tl2br w:val="nil"/>
              <w:tr2bl w:val="nil"/>
            </w:tcBorders>
            <w:vAlign w:val="center"/>
          </w:tcPr>
          <w:p w14:paraId="127D7796">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151</w:t>
            </w:r>
          </w:p>
        </w:tc>
      </w:tr>
      <w:tr w14:paraId="0BDBBF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1A9CFD68">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39</w:t>
            </w:r>
          </w:p>
        </w:tc>
        <w:tc>
          <w:tcPr>
            <w:tcW w:w="1067" w:type="pct"/>
            <w:tcBorders>
              <w:tl2br w:val="nil"/>
              <w:tr2bl w:val="nil"/>
            </w:tcBorders>
            <w:vAlign w:val="center"/>
          </w:tcPr>
          <w:p w14:paraId="3F902DA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苯并[a]芘</w:t>
            </w:r>
          </w:p>
        </w:tc>
        <w:tc>
          <w:tcPr>
            <w:tcW w:w="871" w:type="pct"/>
            <w:tcBorders>
              <w:tl2br w:val="nil"/>
              <w:tr2bl w:val="nil"/>
            </w:tcBorders>
            <w:vAlign w:val="center"/>
          </w:tcPr>
          <w:p w14:paraId="497FFE12">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0.55</w:t>
            </w:r>
          </w:p>
        </w:tc>
        <w:tc>
          <w:tcPr>
            <w:tcW w:w="871" w:type="pct"/>
            <w:tcBorders>
              <w:tl2br w:val="nil"/>
              <w:tr2bl w:val="nil"/>
            </w:tcBorders>
            <w:vAlign w:val="center"/>
          </w:tcPr>
          <w:p w14:paraId="6F10EE03">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1.5</w:t>
            </w:r>
          </w:p>
        </w:tc>
        <w:tc>
          <w:tcPr>
            <w:tcW w:w="870" w:type="pct"/>
            <w:tcBorders>
              <w:tl2br w:val="nil"/>
              <w:tr2bl w:val="nil"/>
            </w:tcBorders>
            <w:vAlign w:val="center"/>
          </w:tcPr>
          <w:p w14:paraId="7CC0CD5E">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5.5</w:t>
            </w:r>
          </w:p>
        </w:tc>
        <w:tc>
          <w:tcPr>
            <w:tcW w:w="873" w:type="pct"/>
            <w:tcBorders>
              <w:tl2br w:val="nil"/>
              <w:tr2bl w:val="nil"/>
            </w:tcBorders>
            <w:vAlign w:val="center"/>
          </w:tcPr>
          <w:p w14:paraId="783FA34E">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15</w:t>
            </w:r>
          </w:p>
        </w:tc>
      </w:tr>
      <w:tr w14:paraId="3D2F33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1A71EF2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40</w:t>
            </w:r>
          </w:p>
        </w:tc>
        <w:tc>
          <w:tcPr>
            <w:tcW w:w="1067" w:type="pct"/>
            <w:tcBorders>
              <w:tl2br w:val="nil"/>
              <w:tr2bl w:val="nil"/>
            </w:tcBorders>
            <w:vAlign w:val="center"/>
          </w:tcPr>
          <w:p w14:paraId="7538611B">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苯并[b]荧蒽</w:t>
            </w:r>
          </w:p>
        </w:tc>
        <w:tc>
          <w:tcPr>
            <w:tcW w:w="871" w:type="pct"/>
            <w:tcBorders>
              <w:tl2br w:val="nil"/>
              <w:tr2bl w:val="nil"/>
            </w:tcBorders>
            <w:vAlign w:val="center"/>
          </w:tcPr>
          <w:p w14:paraId="30384857">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5.5</w:t>
            </w:r>
          </w:p>
        </w:tc>
        <w:tc>
          <w:tcPr>
            <w:tcW w:w="871" w:type="pct"/>
            <w:tcBorders>
              <w:tl2br w:val="nil"/>
              <w:tr2bl w:val="nil"/>
            </w:tcBorders>
            <w:vAlign w:val="center"/>
          </w:tcPr>
          <w:p w14:paraId="73CE6107">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15</w:t>
            </w:r>
          </w:p>
        </w:tc>
        <w:tc>
          <w:tcPr>
            <w:tcW w:w="870" w:type="pct"/>
            <w:tcBorders>
              <w:tl2br w:val="nil"/>
              <w:tr2bl w:val="nil"/>
            </w:tcBorders>
            <w:vAlign w:val="center"/>
          </w:tcPr>
          <w:p w14:paraId="66F4DCDE">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55</w:t>
            </w:r>
          </w:p>
        </w:tc>
        <w:tc>
          <w:tcPr>
            <w:tcW w:w="873" w:type="pct"/>
            <w:tcBorders>
              <w:tl2br w:val="nil"/>
              <w:tr2bl w:val="nil"/>
            </w:tcBorders>
            <w:vAlign w:val="center"/>
          </w:tcPr>
          <w:p w14:paraId="7FBE4149">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151</w:t>
            </w:r>
          </w:p>
        </w:tc>
      </w:tr>
      <w:tr w14:paraId="5EB3DF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200D14C2">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41</w:t>
            </w:r>
          </w:p>
        </w:tc>
        <w:tc>
          <w:tcPr>
            <w:tcW w:w="1067" w:type="pct"/>
            <w:tcBorders>
              <w:tl2br w:val="nil"/>
              <w:tr2bl w:val="nil"/>
            </w:tcBorders>
            <w:vAlign w:val="center"/>
          </w:tcPr>
          <w:p w14:paraId="2F23362C">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苯并[k]荧蒽</w:t>
            </w:r>
          </w:p>
        </w:tc>
        <w:tc>
          <w:tcPr>
            <w:tcW w:w="871" w:type="pct"/>
            <w:tcBorders>
              <w:tl2br w:val="nil"/>
              <w:tr2bl w:val="nil"/>
            </w:tcBorders>
            <w:vAlign w:val="center"/>
          </w:tcPr>
          <w:p w14:paraId="6FDCA28B">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55</w:t>
            </w:r>
          </w:p>
        </w:tc>
        <w:tc>
          <w:tcPr>
            <w:tcW w:w="871" w:type="pct"/>
            <w:tcBorders>
              <w:tl2br w:val="nil"/>
              <w:tr2bl w:val="nil"/>
            </w:tcBorders>
            <w:vAlign w:val="center"/>
          </w:tcPr>
          <w:p w14:paraId="0756371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151</w:t>
            </w:r>
          </w:p>
        </w:tc>
        <w:tc>
          <w:tcPr>
            <w:tcW w:w="870" w:type="pct"/>
            <w:tcBorders>
              <w:tl2br w:val="nil"/>
              <w:tr2bl w:val="nil"/>
            </w:tcBorders>
            <w:vAlign w:val="center"/>
          </w:tcPr>
          <w:p w14:paraId="6722C85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550</w:t>
            </w:r>
          </w:p>
        </w:tc>
        <w:tc>
          <w:tcPr>
            <w:tcW w:w="873" w:type="pct"/>
            <w:tcBorders>
              <w:tl2br w:val="nil"/>
              <w:tr2bl w:val="nil"/>
            </w:tcBorders>
            <w:vAlign w:val="center"/>
          </w:tcPr>
          <w:p w14:paraId="5C425519">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1500</w:t>
            </w:r>
          </w:p>
        </w:tc>
      </w:tr>
      <w:tr w14:paraId="33C162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4AD4797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42</w:t>
            </w:r>
          </w:p>
        </w:tc>
        <w:tc>
          <w:tcPr>
            <w:tcW w:w="1067" w:type="pct"/>
            <w:tcBorders>
              <w:tl2br w:val="nil"/>
              <w:tr2bl w:val="nil"/>
            </w:tcBorders>
            <w:vAlign w:val="center"/>
          </w:tcPr>
          <w:p w14:paraId="6105CFA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䓛</w:t>
            </w:r>
          </w:p>
        </w:tc>
        <w:tc>
          <w:tcPr>
            <w:tcW w:w="871" w:type="pct"/>
            <w:tcBorders>
              <w:tl2br w:val="nil"/>
              <w:tr2bl w:val="nil"/>
            </w:tcBorders>
            <w:vAlign w:val="center"/>
          </w:tcPr>
          <w:p w14:paraId="3A19D602">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490</w:t>
            </w:r>
          </w:p>
        </w:tc>
        <w:tc>
          <w:tcPr>
            <w:tcW w:w="871" w:type="pct"/>
            <w:tcBorders>
              <w:tl2br w:val="nil"/>
              <w:tr2bl w:val="nil"/>
            </w:tcBorders>
            <w:vAlign w:val="center"/>
          </w:tcPr>
          <w:p w14:paraId="794E5DAC">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1293</w:t>
            </w:r>
          </w:p>
        </w:tc>
        <w:tc>
          <w:tcPr>
            <w:tcW w:w="870" w:type="pct"/>
            <w:tcBorders>
              <w:tl2br w:val="nil"/>
              <w:tr2bl w:val="nil"/>
            </w:tcBorders>
            <w:vAlign w:val="center"/>
          </w:tcPr>
          <w:p w14:paraId="47F319A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4900</w:t>
            </w:r>
          </w:p>
        </w:tc>
        <w:tc>
          <w:tcPr>
            <w:tcW w:w="873" w:type="pct"/>
            <w:tcBorders>
              <w:tl2br w:val="nil"/>
              <w:tr2bl w:val="nil"/>
            </w:tcBorders>
            <w:vAlign w:val="center"/>
          </w:tcPr>
          <w:p w14:paraId="7BFDDF5B">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12900</w:t>
            </w:r>
          </w:p>
        </w:tc>
      </w:tr>
      <w:tr w14:paraId="75A0DB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72A9B009">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43</w:t>
            </w:r>
          </w:p>
        </w:tc>
        <w:tc>
          <w:tcPr>
            <w:tcW w:w="1067" w:type="pct"/>
            <w:tcBorders>
              <w:tl2br w:val="nil"/>
              <w:tr2bl w:val="nil"/>
            </w:tcBorders>
            <w:vAlign w:val="center"/>
          </w:tcPr>
          <w:p w14:paraId="0F0511CF">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二苯并[a,h]蒽</w:t>
            </w:r>
          </w:p>
        </w:tc>
        <w:tc>
          <w:tcPr>
            <w:tcW w:w="871" w:type="pct"/>
            <w:tcBorders>
              <w:tl2br w:val="nil"/>
              <w:tr2bl w:val="nil"/>
            </w:tcBorders>
            <w:vAlign w:val="center"/>
          </w:tcPr>
          <w:p w14:paraId="63191BF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0.55</w:t>
            </w:r>
          </w:p>
        </w:tc>
        <w:tc>
          <w:tcPr>
            <w:tcW w:w="871" w:type="pct"/>
            <w:tcBorders>
              <w:tl2br w:val="nil"/>
              <w:tr2bl w:val="nil"/>
            </w:tcBorders>
            <w:vAlign w:val="center"/>
          </w:tcPr>
          <w:p w14:paraId="6458B66C">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1.5</w:t>
            </w:r>
          </w:p>
        </w:tc>
        <w:tc>
          <w:tcPr>
            <w:tcW w:w="870" w:type="pct"/>
            <w:tcBorders>
              <w:tl2br w:val="nil"/>
              <w:tr2bl w:val="nil"/>
            </w:tcBorders>
            <w:vAlign w:val="center"/>
          </w:tcPr>
          <w:p w14:paraId="21A2D458">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5.5</w:t>
            </w:r>
          </w:p>
        </w:tc>
        <w:tc>
          <w:tcPr>
            <w:tcW w:w="873" w:type="pct"/>
            <w:tcBorders>
              <w:tl2br w:val="nil"/>
              <w:tr2bl w:val="nil"/>
            </w:tcBorders>
            <w:vAlign w:val="center"/>
          </w:tcPr>
          <w:p w14:paraId="333E478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15</w:t>
            </w:r>
          </w:p>
        </w:tc>
      </w:tr>
      <w:tr w14:paraId="2AA12F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7EAE871D">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44</w:t>
            </w:r>
          </w:p>
        </w:tc>
        <w:tc>
          <w:tcPr>
            <w:tcW w:w="1067" w:type="pct"/>
            <w:tcBorders>
              <w:tl2br w:val="nil"/>
              <w:tr2bl w:val="nil"/>
            </w:tcBorders>
            <w:vAlign w:val="center"/>
          </w:tcPr>
          <w:p w14:paraId="212D6516">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茚并[1,2,3-cd]芘</w:t>
            </w:r>
          </w:p>
        </w:tc>
        <w:tc>
          <w:tcPr>
            <w:tcW w:w="871" w:type="pct"/>
            <w:tcBorders>
              <w:tl2br w:val="nil"/>
              <w:tr2bl w:val="nil"/>
            </w:tcBorders>
            <w:vAlign w:val="center"/>
          </w:tcPr>
          <w:p w14:paraId="1A7735E8">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5.5</w:t>
            </w:r>
          </w:p>
        </w:tc>
        <w:tc>
          <w:tcPr>
            <w:tcW w:w="871" w:type="pct"/>
            <w:tcBorders>
              <w:tl2br w:val="nil"/>
              <w:tr2bl w:val="nil"/>
            </w:tcBorders>
            <w:vAlign w:val="center"/>
          </w:tcPr>
          <w:p w14:paraId="3E77BEA9">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15</w:t>
            </w:r>
          </w:p>
        </w:tc>
        <w:tc>
          <w:tcPr>
            <w:tcW w:w="870" w:type="pct"/>
            <w:tcBorders>
              <w:tl2br w:val="nil"/>
              <w:tr2bl w:val="nil"/>
            </w:tcBorders>
            <w:vAlign w:val="center"/>
          </w:tcPr>
          <w:p w14:paraId="6DBF9F64">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55</w:t>
            </w:r>
          </w:p>
        </w:tc>
        <w:tc>
          <w:tcPr>
            <w:tcW w:w="873" w:type="pct"/>
            <w:tcBorders>
              <w:tl2br w:val="nil"/>
              <w:tr2bl w:val="nil"/>
            </w:tcBorders>
            <w:vAlign w:val="center"/>
          </w:tcPr>
          <w:p w14:paraId="04A4492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151</w:t>
            </w:r>
          </w:p>
        </w:tc>
      </w:tr>
      <w:tr w14:paraId="3BC223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47" w:type="pct"/>
            <w:tcBorders>
              <w:tl2br w:val="nil"/>
              <w:tr2bl w:val="nil"/>
            </w:tcBorders>
            <w:vAlign w:val="center"/>
          </w:tcPr>
          <w:p w14:paraId="0525D1DF">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45</w:t>
            </w:r>
          </w:p>
        </w:tc>
        <w:tc>
          <w:tcPr>
            <w:tcW w:w="1067" w:type="pct"/>
            <w:tcBorders>
              <w:tl2br w:val="nil"/>
              <w:tr2bl w:val="nil"/>
            </w:tcBorders>
            <w:vAlign w:val="center"/>
          </w:tcPr>
          <w:p w14:paraId="3CF00973">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rPr>
            </w:pPr>
            <w:r>
              <w:rPr>
                <w:rFonts w:hint="default" w:ascii="Times New Roman" w:hAnsi="Times New Roman" w:eastAsia="宋体" w:cs="Times New Roman"/>
                <w:color w:val="FF0000"/>
                <w:kern w:val="2"/>
                <w:sz w:val="21"/>
                <w:szCs w:val="21"/>
                <w:highlight w:val="none"/>
                <w:lang w:bidi="ar"/>
              </w:rPr>
              <w:t>萘</w:t>
            </w:r>
          </w:p>
        </w:tc>
        <w:tc>
          <w:tcPr>
            <w:tcW w:w="871" w:type="pct"/>
            <w:tcBorders>
              <w:tl2br w:val="nil"/>
              <w:tr2bl w:val="nil"/>
            </w:tcBorders>
            <w:vAlign w:val="center"/>
          </w:tcPr>
          <w:p w14:paraId="39A34E53">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25</w:t>
            </w:r>
          </w:p>
        </w:tc>
        <w:tc>
          <w:tcPr>
            <w:tcW w:w="871" w:type="pct"/>
            <w:tcBorders>
              <w:tl2br w:val="nil"/>
              <w:tr2bl w:val="nil"/>
            </w:tcBorders>
            <w:vAlign w:val="center"/>
          </w:tcPr>
          <w:p w14:paraId="63C0A6B9">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70</w:t>
            </w:r>
          </w:p>
        </w:tc>
        <w:tc>
          <w:tcPr>
            <w:tcW w:w="870" w:type="pct"/>
            <w:tcBorders>
              <w:tl2br w:val="nil"/>
              <w:tr2bl w:val="nil"/>
            </w:tcBorders>
            <w:vAlign w:val="center"/>
          </w:tcPr>
          <w:p w14:paraId="0CE0BF7F">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255</w:t>
            </w:r>
          </w:p>
        </w:tc>
        <w:tc>
          <w:tcPr>
            <w:tcW w:w="873" w:type="pct"/>
            <w:tcBorders>
              <w:tl2br w:val="nil"/>
              <w:tr2bl w:val="nil"/>
            </w:tcBorders>
            <w:vAlign w:val="center"/>
          </w:tcPr>
          <w:p w14:paraId="39C3495D">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bidi="ar"/>
              </w:rPr>
            </w:pPr>
            <w:r>
              <w:rPr>
                <w:rFonts w:hint="default" w:ascii="Times New Roman" w:hAnsi="Times New Roman" w:eastAsia="宋体" w:cs="Times New Roman"/>
                <w:color w:val="FF0000"/>
                <w:kern w:val="2"/>
                <w:sz w:val="21"/>
                <w:szCs w:val="21"/>
                <w:highlight w:val="none"/>
                <w:lang w:bidi="ar"/>
              </w:rPr>
              <w:t>700</w:t>
            </w:r>
          </w:p>
        </w:tc>
      </w:tr>
    </w:tbl>
    <w:p w14:paraId="37C646BC">
      <w:pPr>
        <w:ind w:firstLine="0" w:firstLineChars="0"/>
        <w:jc w:val="center"/>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highlight w:val="none"/>
        </w:rPr>
        <w:t>表2-</w:t>
      </w:r>
      <w:r>
        <w:rPr>
          <w:rFonts w:hint="default" w:ascii="Times New Roman" w:hAnsi="Times New Roman" w:eastAsia="宋体" w:cs="Times New Roman"/>
          <w:color w:val="FF0000"/>
          <w:highlight w:val="none"/>
          <w:lang w:val="en-US" w:eastAsia="zh-CN"/>
        </w:rPr>
        <w:t>3-</w:t>
      </w:r>
      <w:r>
        <w:rPr>
          <w:rFonts w:hint="eastAsia" w:ascii="Times New Roman" w:hAnsi="Times New Roman" w:eastAsia="宋体" w:cs="Times New Roman"/>
          <w:color w:val="FF0000"/>
          <w:highlight w:val="none"/>
          <w:lang w:val="en-US" w:eastAsia="zh-CN"/>
        </w:rPr>
        <w:t>8</w:t>
      </w:r>
      <w:r>
        <w:rPr>
          <w:rFonts w:hint="default" w:ascii="Times New Roman" w:hAnsi="Times New Roman" w:eastAsia="宋体" w:cs="Times New Roman"/>
          <w:color w:val="FF0000"/>
          <w:highlight w:val="none"/>
        </w:rPr>
        <w:t xml:space="preserve"> 《土壤环境质量 </w:t>
      </w:r>
      <w:r>
        <w:rPr>
          <w:rFonts w:hint="default" w:ascii="Times New Roman" w:hAnsi="Times New Roman" w:eastAsia="宋体" w:cs="Times New Roman"/>
          <w:color w:val="FF0000"/>
          <w:highlight w:val="none"/>
          <w:lang w:val="en-US" w:eastAsia="zh-CN"/>
        </w:rPr>
        <w:t>农</w:t>
      </w:r>
      <w:r>
        <w:rPr>
          <w:rFonts w:hint="default" w:ascii="Times New Roman" w:hAnsi="Times New Roman" w:eastAsia="宋体" w:cs="Times New Roman"/>
          <w:color w:val="FF0000"/>
          <w:highlight w:val="none"/>
        </w:rPr>
        <w:t>用地土壤污染风险管控标准（试行）》</w:t>
      </w:r>
    </w:p>
    <w:tbl>
      <w:tblPr>
        <w:tblStyle w:val="38"/>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85"/>
        <w:gridCol w:w="793"/>
        <w:gridCol w:w="1065"/>
        <w:gridCol w:w="1315"/>
        <w:gridCol w:w="1357"/>
        <w:gridCol w:w="1484"/>
        <w:gridCol w:w="1323"/>
      </w:tblGrid>
      <w:tr w14:paraId="58B53A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26" w:type="dxa"/>
            <w:vMerge w:val="restart"/>
            <w:tcBorders>
              <w:tl2br w:val="nil"/>
              <w:tr2bl w:val="nil"/>
            </w:tcBorders>
            <w:vAlign w:val="center"/>
          </w:tcPr>
          <w:p w14:paraId="796CB1D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序号</w:t>
            </w:r>
          </w:p>
        </w:tc>
        <w:tc>
          <w:tcPr>
            <w:tcW w:w="2043" w:type="dxa"/>
            <w:gridSpan w:val="2"/>
            <w:vMerge w:val="restart"/>
            <w:tcBorders>
              <w:tl2br w:val="nil"/>
              <w:tr2bl w:val="nil"/>
            </w:tcBorders>
            <w:vAlign w:val="center"/>
          </w:tcPr>
          <w:p w14:paraId="142C54E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污染物项目</w:t>
            </w:r>
            <w:r>
              <w:rPr>
                <w:rFonts w:hint="default" w:ascii="Times New Roman" w:hAnsi="Times New Roman" w:eastAsia="宋体" w:cs="Times New Roman"/>
                <w:color w:val="FF0000"/>
                <w:sz w:val="21"/>
                <w:szCs w:val="21"/>
                <w:highlight w:val="none"/>
                <w:vertAlign w:val="superscript"/>
                <w:lang w:val="en-US" w:eastAsia="zh-CN" w:bidi="ar-SA"/>
              </w:rPr>
              <w:t>①②</w:t>
            </w:r>
          </w:p>
        </w:tc>
        <w:tc>
          <w:tcPr>
            <w:tcW w:w="5919" w:type="dxa"/>
            <w:gridSpan w:val="4"/>
            <w:tcBorders>
              <w:tl2br w:val="nil"/>
              <w:tr2bl w:val="nil"/>
            </w:tcBorders>
            <w:vAlign w:val="center"/>
          </w:tcPr>
          <w:p w14:paraId="6894C21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风险筛选值</w:t>
            </w:r>
          </w:p>
        </w:tc>
      </w:tr>
      <w:tr w14:paraId="274A05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26" w:type="dxa"/>
            <w:vMerge w:val="continue"/>
            <w:tcBorders>
              <w:tl2br w:val="nil"/>
              <w:tr2bl w:val="nil"/>
            </w:tcBorders>
            <w:vAlign w:val="center"/>
          </w:tcPr>
          <w:p w14:paraId="4D6FC66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p>
        </w:tc>
        <w:tc>
          <w:tcPr>
            <w:tcW w:w="2043" w:type="dxa"/>
            <w:gridSpan w:val="2"/>
            <w:vMerge w:val="continue"/>
            <w:tcBorders>
              <w:tl2br w:val="nil"/>
              <w:tr2bl w:val="nil"/>
            </w:tcBorders>
            <w:vAlign w:val="center"/>
          </w:tcPr>
          <w:p w14:paraId="2A12C52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p>
        </w:tc>
        <w:tc>
          <w:tcPr>
            <w:tcW w:w="1400" w:type="dxa"/>
            <w:tcBorders>
              <w:tl2br w:val="nil"/>
              <w:tr2bl w:val="nil"/>
            </w:tcBorders>
            <w:vAlign w:val="center"/>
          </w:tcPr>
          <w:p w14:paraId="55CBA6F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pH≤5.5</w:t>
            </w:r>
          </w:p>
        </w:tc>
        <w:tc>
          <w:tcPr>
            <w:tcW w:w="1450" w:type="dxa"/>
            <w:tcBorders>
              <w:tl2br w:val="nil"/>
              <w:tr2bl w:val="nil"/>
            </w:tcBorders>
            <w:vAlign w:val="center"/>
          </w:tcPr>
          <w:p w14:paraId="4E5E2C8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5＜pH≤6.5</w:t>
            </w:r>
          </w:p>
        </w:tc>
        <w:tc>
          <w:tcPr>
            <w:tcW w:w="1600" w:type="dxa"/>
            <w:tcBorders>
              <w:tl2br w:val="nil"/>
              <w:tr2bl w:val="nil"/>
            </w:tcBorders>
            <w:shd w:val="clear" w:color="auto" w:fill="auto"/>
            <w:vAlign w:val="center"/>
          </w:tcPr>
          <w:p w14:paraId="427F429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6.5＜pH≤7.5</w:t>
            </w:r>
          </w:p>
        </w:tc>
        <w:tc>
          <w:tcPr>
            <w:tcW w:w="1469" w:type="dxa"/>
            <w:tcBorders>
              <w:tl2br w:val="nil"/>
              <w:tr2bl w:val="nil"/>
            </w:tcBorders>
            <w:shd w:val="clear" w:color="auto" w:fill="auto"/>
            <w:vAlign w:val="center"/>
          </w:tcPr>
          <w:p w14:paraId="1D7CE02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pH＞7.5</w:t>
            </w:r>
          </w:p>
        </w:tc>
      </w:tr>
      <w:tr w14:paraId="1D4E70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26" w:type="dxa"/>
            <w:vMerge w:val="restart"/>
            <w:tcBorders>
              <w:tl2br w:val="nil"/>
              <w:tr2bl w:val="nil"/>
            </w:tcBorders>
            <w:vAlign w:val="center"/>
          </w:tcPr>
          <w:p w14:paraId="438BE75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1</w:t>
            </w:r>
          </w:p>
        </w:tc>
        <w:tc>
          <w:tcPr>
            <w:tcW w:w="860" w:type="dxa"/>
            <w:vMerge w:val="restart"/>
            <w:tcBorders>
              <w:tl2br w:val="nil"/>
              <w:tr2bl w:val="nil"/>
            </w:tcBorders>
            <w:vAlign w:val="center"/>
          </w:tcPr>
          <w:p w14:paraId="6CD557A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镉</w:t>
            </w:r>
          </w:p>
        </w:tc>
        <w:tc>
          <w:tcPr>
            <w:tcW w:w="1183" w:type="dxa"/>
            <w:tcBorders>
              <w:tl2br w:val="nil"/>
              <w:tr2bl w:val="nil"/>
            </w:tcBorders>
            <w:vAlign w:val="center"/>
          </w:tcPr>
          <w:p w14:paraId="740D84F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水田</w:t>
            </w:r>
          </w:p>
        </w:tc>
        <w:tc>
          <w:tcPr>
            <w:tcW w:w="1400" w:type="dxa"/>
            <w:tcBorders>
              <w:tl2br w:val="nil"/>
              <w:tr2bl w:val="nil"/>
            </w:tcBorders>
            <w:vAlign w:val="center"/>
          </w:tcPr>
          <w:p w14:paraId="23B624D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0.3</w:t>
            </w:r>
          </w:p>
        </w:tc>
        <w:tc>
          <w:tcPr>
            <w:tcW w:w="1450" w:type="dxa"/>
            <w:tcBorders>
              <w:tl2br w:val="nil"/>
              <w:tr2bl w:val="nil"/>
            </w:tcBorders>
            <w:vAlign w:val="center"/>
          </w:tcPr>
          <w:p w14:paraId="5A144C3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0.4</w:t>
            </w:r>
          </w:p>
        </w:tc>
        <w:tc>
          <w:tcPr>
            <w:tcW w:w="1600" w:type="dxa"/>
            <w:tcBorders>
              <w:tl2br w:val="nil"/>
              <w:tr2bl w:val="nil"/>
            </w:tcBorders>
            <w:vAlign w:val="center"/>
          </w:tcPr>
          <w:p w14:paraId="634E48C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0.6</w:t>
            </w:r>
          </w:p>
        </w:tc>
        <w:tc>
          <w:tcPr>
            <w:tcW w:w="1469" w:type="dxa"/>
            <w:tcBorders>
              <w:tl2br w:val="nil"/>
              <w:tr2bl w:val="nil"/>
            </w:tcBorders>
            <w:vAlign w:val="center"/>
          </w:tcPr>
          <w:p w14:paraId="240F332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0.8</w:t>
            </w:r>
          </w:p>
        </w:tc>
      </w:tr>
      <w:tr w14:paraId="59C273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26" w:type="dxa"/>
            <w:vMerge w:val="continue"/>
            <w:tcBorders>
              <w:tl2br w:val="nil"/>
              <w:tr2bl w:val="nil"/>
            </w:tcBorders>
            <w:vAlign w:val="center"/>
          </w:tcPr>
          <w:p w14:paraId="5D18891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p>
        </w:tc>
        <w:tc>
          <w:tcPr>
            <w:tcW w:w="860" w:type="dxa"/>
            <w:vMerge w:val="continue"/>
            <w:tcBorders>
              <w:tl2br w:val="nil"/>
              <w:tr2bl w:val="nil"/>
            </w:tcBorders>
            <w:vAlign w:val="center"/>
          </w:tcPr>
          <w:p w14:paraId="750DE5E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p>
        </w:tc>
        <w:tc>
          <w:tcPr>
            <w:tcW w:w="1183" w:type="dxa"/>
            <w:tcBorders>
              <w:tl2br w:val="nil"/>
              <w:tr2bl w:val="nil"/>
            </w:tcBorders>
            <w:vAlign w:val="center"/>
          </w:tcPr>
          <w:p w14:paraId="175305B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其他</w:t>
            </w:r>
          </w:p>
        </w:tc>
        <w:tc>
          <w:tcPr>
            <w:tcW w:w="1400" w:type="dxa"/>
            <w:tcBorders>
              <w:tl2br w:val="nil"/>
              <w:tr2bl w:val="nil"/>
            </w:tcBorders>
            <w:vAlign w:val="center"/>
          </w:tcPr>
          <w:p w14:paraId="68B75EC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0.3</w:t>
            </w:r>
          </w:p>
        </w:tc>
        <w:tc>
          <w:tcPr>
            <w:tcW w:w="1450" w:type="dxa"/>
            <w:tcBorders>
              <w:tl2br w:val="nil"/>
              <w:tr2bl w:val="nil"/>
            </w:tcBorders>
            <w:vAlign w:val="center"/>
          </w:tcPr>
          <w:p w14:paraId="397332F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0.3</w:t>
            </w:r>
          </w:p>
        </w:tc>
        <w:tc>
          <w:tcPr>
            <w:tcW w:w="1600" w:type="dxa"/>
            <w:tcBorders>
              <w:tl2br w:val="nil"/>
              <w:tr2bl w:val="nil"/>
            </w:tcBorders>
            <w:vAlign w:val="center"/>
          </w:tcPr>
          <w:p w14:paraId="1B4183BC">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0.3</w:t>
            </w:r>
          </w:p>
        </w:tc>
        <w:tc>
          <w:tcPr>
            <w:tcW w:w="1469" w:type="dxa"/>
            <w:tcBorders>
              <w:tl2br w:val="nil"/>
              <w:tr2bl w:val="nil"/>
            </w:tcBorders>
            <w:vAlign w:val="center"/>
          </w:tcPr>
          <w:p w14:paraId="6AF4D68C">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0.6</w:t>
            </w:r>
          </w:p>
        </w:tc>
      </w:tr>
      <w:tr w14:paraId="22B475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26" w:type="dxa"/>
            <w:vMerge w:val="restart"/>
            <w:tcBorders>
              <w:tl2br w:val="nil"/>
              <w:tr2bl w:val="nil"/>
            </w:tcBorders>
            <w:vAlign w:val="center"/>
          </w:tcPr>
          <w:p w14:paraId="000CE71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2</w:t>
            </w:r>
          </w:p>
        </w:tc>
        <w:tc>
          <w:tcPr>
            <w:tcW w:w="860" w:type="dxa"/>
            <w:vMerge w:val="restart"/>
            <w:tcBorders>
              <w:tl2br w:val="nil"/>
              <w:tr2bl w:val="nil"/>
            </w:tcBorders>
            <w:vAlign w:val="center"/>
          </w:tcPr>
          <w:p w14:paraId="30484A56">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汞</w:t>
            </w:r>
          </w:p>
        </w:tc>
        <w:tc>
          <w:tcPr>
            <w:tcW w:w="1183" w:type="dxa"/>
            <w:tcBorders>
              <w:tl2br w:val="nil"/>
              <w:tr2bl w:val="nil"/>
            </w:tcBorders>
            <w:shd w:val="clear" w:color="auto" w:fill="auto"/>
            <w:vAlign w:val="center"/>
          </w:tcPr>
          <w:p w14:paraId="38A7DD8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水田</w:t>
            </w:r>
          </w:p>
        </w:tc>
        <w:tc>
          <w:tcPr>
            <w:tcW w:w="1400" w:type="dxa"/>
            <w:tcBorders>
              <w:tl2br w:val="nil"/>
              <w:tr2bl w:val="nil"/>
            </w:tcBorders>
            <w:vAlign w:val="center"/>
          </w:tcPr>
          <w:p w14:paraId="7BCCB1D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0.5</w:t>
            </w:r>
          </w:p>
        </w:tc>
        <w:tc>
          <w:tcPr>
            <w:tcW w:w="1450" w:type="dxa"/>
            <w:tcBorders>
              <w:tl2br w:val="nil"/>
              <w:tr2bl w:val="nil"/>
            </w:tcBorders>
            <w:vAlign w:val="center"/>
          </w:tcPr>
          <w:p w14:paraId="7D701E2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0.5</w:t>
            </w:r>
          </w:p>
        </w:tc>
        <w:tc>
          <w:tcPr>
            <w:tcW w:w="1600" w:type="dxa"/>
            <w:tcBorders>
              <w:tl2br w:val="nil"/>
              <w:tr2bl w:val="nil"/>
            </w:tcBorders>
            <w:vAlign w:val="center"/>
          </w:tcPr>
          <w:p w14:paraId="6A3FC8D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0.6</w:t>
            </w:r>
          </w:p>
        </w:tc>
        <w:tc>
          <w:tcPr>
            <w:tcW w:w="1469" w:type="dxa"/>
            <w:tcBorders>
              <w:tl2br w:val="nil"/>
              <w:tr2bl w:val="nil"/>
            </w:tcBorders>
            <w:vAlign w:val="center"/>
          </w:tcPr>
          <w:p w14:paraId="5BC545D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1.0</w:t>
            </w:r>
          </w:p>
        </w:tc>
      </w:tr>
      <w:tr w14:paraId="03B0C7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26" w:type="dxa"/>
            <w:vMerge w:val="continue"/>
            <w:tcBorders>
              <w:tl2br w:val="nil"/>
              <w:tr2bl w:val="nil"/>
            </w:tcBorders>
            <w:vAlign w:val="center"/>
          </w:tcPr>
          <w:p w14:paraId="39E480D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p>
        </w:tc>
        <w:tc>
          <w:tcPr>
            <w:tcW w:w="860" w:type="dxa"/>
            <w:vMerge w:val="continue"/>
            <w:tcBorders>
              <w:tl2br w:val="nil"/>
              <w:tr2bl w:val="nil"/>
            </w:tcBorders>
            <w:vAlign w:val="center"/>
          </w:tcPr>
          <w:p w14:paraId="6A7E37B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p>
        </w:tc>
        <w:tc>
          <w:tcPr>
            <w:tcW w:w="1183" w:type="dxa"/>
            <w:tcBorders>
              <w:tl2br w:val="nil"/>
              <w:tr2bl w:val="nil"/>
            </w:tcBorders>
            <w:shd w:val="clear" w:color="auto" w:fill="auto"/>
            <w:vAlign w:val="center"/>
          </w:tcPr>
          <w:p w14:paraId="0F3F7E2C">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其他</w:t>
            </w:r>
          </w:p>
        </w:tc>
        <w:tc>
          <w:tcPr>
            <w:tcW w:w="1400" w:type="dxa"/>
            <w:tcBorders>
              <w:tl2br w:val="nil"/>
              <w:tr2bl w:val="nil"/>
            </w:tcBorders>
            <w:vAlign w:val="center"/>
          </w:tcPr>
          <w:p w14:paraId="7AEA5DF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1.3</w:t>
            </w:r>
          </w:p>
        </w:tc>
        <w:tc>
          <w:tcPr>
            <w:tcW w:w="1450" w:type="dxa"/>
            <w:tcBorders>
              <w:tl2br w:val="nil"/>
              <w:tr2bl w:val="nil"/>
            </w:tcBorders>
            <w:vAlign w:val="center"/>
          </w:tcPr>
          <w:p w14:paraId="30D0BB7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1.8</w:t>
            </w:r>
          </w:p>
        </w:tc>
        <w:tc>
          <w:tcPr>
            <w:tcW w:w="1600" w:type="dxa"/>
            <w:tcBorders>
              <w:tl2br w:val="nil"/>
              <w:tr2bl w:val="nil"/>
            </w:tcBorders>
            <w:vAlign w:val="center"/>
          </w:tcPr>
          <w:p w14:paraId="79A8EC96">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2.4</w:t>
            </w:r>
          </w:p>
        </w:tc>
        <w:tc>
          <w:tcPr>
            <w:tcW w:w="1469" w:type="dxa"/>
            <w:tcBorders>
              <w:tl2br w:val="nil"/>
              <w:tr2bl w:val="nil"/>
            </w:tcBorders>
            <w:vAlign w:val="center"/>
          </w:tcPr>
          <w:p w14:paraId="6D3AA20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3.4</w:t>
            </w:r>
          </w:p>
        </w:tc>
      </w:tr>
      <w:tr w14:paraId="234C95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26" w:type="dxa"/>
            <w:vMerge w:val="restart"/>
            <w:tcBorders>
              <w:tl2br w:val="nil"/>
              <w:tr2bl w:val="nil"/>
            </w:tcBorders>
            <w:vAlign w:val="center"/>
          </w:tcPr>
          <w:p w14:paraId="4876CAA6">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3</w:t>
            </w:r>
          </w:p>
        </w:tc>
        <w:tc>
          <w:tcPr>
            <w:tcW w:w="860" w:type="dxa"/>
            <w:vMerge w:val="restart"/>
            <w:tcBorders>
              <w:tl2br w:val="nil"/>
              <w:tr2bl w:val="nil"/>
            </w:tcBorders>
            <w:vAlign w:val="center"/>
          </w:tcPr>
          <w:p w14:paraId="5CD4F1F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砷</w:t>
            </w:r>
          </w:p>
        </w:tc>
        <w:tc>
          <w:tcPr>
            <w:tcW w:w="1183" w:type="dxa"/>
            <w:tcBorders>
              <w:tl2br w:val="nil"/>
              <w:tr2bl w:val="nil"/>
            </w:tcBorders>
            <w:shd w:val="clear" w:color="auto" w:fill="auto"/>
            <w:vAlign w:val="center"/>
          </w:tcPr>
          <w:p w14:paraId="207DEEE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水田</w:t>
            </w:r>
          </w:p>
        </w:tc>
        <w:tc>
          <w:tcPr>
            <w:tcW w:w="1400" w:type="dxa"/>
            <w:tcBorders>
              <w:tl2br w:val="nil"/>
              <w:tr2bl w:val="nil"/>
            </w:tcBorders>
            <w:vAlign w:val="center"/>
          </w:tcPr>
          <w:p w14:paraId="61182A1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30</w:t>
            </w:r>
          </w:p>
        </w:tc>
        <w:tc>
          <w:tcPr>
            <w:tcW w:w="1450" w:type="dxa"/>
            <w:tcBorders>
              <w:tl2br w:val="nil"/>
              <w:tr2bl w:val="nil"/>
            </w:tcBorders>
            <w:vAlign w:val="center"/>
          </w:tcPr>
          <w:p w14:paraId="69781B6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30</w:t>
            </w:r>
          </w:p>
        </w:tc>
        <w:tc>
          <w:tcPr>
            <w:tcW w:w="1600" w:type="dxa"/>
            <w:tcBorders>
              <w:tl2br w:val="nil"/>
              <w:tr2bl w:val="nil"/>
            </w:tcBorders>
            <w:vAlign w:val="center"/>
          </w:tcPr>
          <w:p w14:paraId="57C0349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25</w:t>
            </w:r>
          </w:p>
        </w:tc>
        <w:tc>
          <w:tcPr>
            <w:tcW w:w="1469" w:type="dxa"/>
            <w:tcBorders>
              <w:tl2br w:val="nil"/>
              <w:tr2bl w:val="nil"/>
            </w:tcBorders>
            <w:vAlign w:val="center"/>
          </w:tcPr>
          <w:p w14:paraId="144FF87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20</w:t>
            </w:r>
          </w:p>
        </w:tc>
      </w:tr>
      <w:tr w14:paraId="6A2995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26" w:type="dxa"/>
            <w:vMerge w:val="continue"/>
            <w:tcBorders>
              <w:tl2br w:val="nil"/>
              <w:tr2bl w:val="nil"/>
            </w:tcBorders>
            <w:vAlign w:val="center"/>
          </w:tcPr>
          <w:p w14:paraId="2AC7B5E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p>
        </w:tc>
        <w:tc>
          <w:tcPr>
            <w:tcW w:w="860" w:type="dxa"/>
            <w:vMerge w:val="continue"/>
            <w:tcBorders>
              <w:tl2br w:val="nil"/>
              <w:tr2bl w:val="nil"/>
            </w:tcBorders>
            <w:vAlign w:val="center"/>
          </w:tcPr>
          <w:p w14:paraId="61B2CD3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p>
        </w:tc>
        <w:tc>
          <w:tcPr>
            <w:tcW w:w="1183" w:type="dxa"/>
            <w:tcBorders>
              <w:tl2br w:val="nil"/>
              <w:tr2bl w:val="nil"/>
            </w:tcBorders>
            <w:shd w:val="clear" w:color="auto" w:fill="auto"/>
            <w:vAlign w:val="center"/>
          </w:tcPr>
          <w:p w14:paraId="5D6672D4">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其他</w:t>
            </w:r>
          </w:p>
        </w:tc>
        <w:tc>
          <w:tcPr>
            <w:tcW w:w="1400" w:type="dxa"/>
            <w:tcBorders>
              <w:tl2br w:val="nil"/>
              <w:tr2bl w:val="nil"/>
            </w:tcBorders>
            <w:vAlign w:val="center"/>
          </w:tcPr>
          <w:p w14:paraId="1CC8BE6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40</w:t>
            </w:r>
          </w:p>
        </w:tc>
        <w:tc>
          <w:tcPr>
            <w:tcW w:w="1450" w:type="dxa"/>
            <w:tcBorders>
              <w:tl2br w:val="nil"/>
              <w:tr2bl w:val="nil"/>
            </w:tcBorders>
            <w:vAlign w:val="center"/>
          </w:tcPr>
          <w:p w14:paraId="6E28E4E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40</w:t>
            </w:r>
          </w:p>
        </w:tc>
        <w:tc>
          <w:tcPr>
            <w:tcW w:w="1600" w:type="dxa"/>
            <w:tcBorders>
              <w:tl2br w:val="nil"/>
              <w:tr2bl w:val="nil"/>
            </w:tcBorders>
            <w:vAlign w:val="center"/>
          </w:tcPr>
          <w:p w14:paraId="26828CA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30</w:t>
            </w:r>
          </w:p>
        </w:tc>
        <w:tc>
          <w:tcPr>
            <w:tcW w:w="1469" w:type="dxa"/>
            <w:tcBorders>
              <w:tl2br w:val="nil"/>
              <w:tr2bl w:val="nil"/>
            </w:tcBorders>
            <w:vAlign w:val="center"/>
          </w:tcPr>
          <w:p w14:paraId="06BCE0E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25</w:t>
            </w:r>
          </w:p>
        </w:tc>
      </w:tr>
      <w:tr w14:paraId="613261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26" w:type="dxa"/>
            <w:vMerge w:val="restart"/>
            <w:tcBorders>
              <w:tl2br w:val="nil"/>
              <w:tr2bl w:val="nil"/>
            </w:tcBorders>
            <w:vAlign w:val="center"/>
          </w:tcPr>
          <w:p w14:paraId="2ACC8CF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4</w:t>
            </w:r>
          </w:p>
        </w:tc>
        <w:tc>
          <w:tcPr>
            <w:tcW w:w="860" w:type="dxa"/>
            <w:vMerge w:val="restart"/>
            <w:tcBorders>
              <w:tl2br w:val="nil"/>
              <w:tr2bl w:val="nil"/>
            </w:tcBorders>
            <w:vAlign w:val="center"/>
          </w:tcPr>
          <w:p w14:paraId="028953C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铅</w:t>
            </w:r>
          </w:p>
        </w:tc>
        <w:tc>
          <w:tcPr>
            <w:tcW w:w="1183" w:type="dxa"/>
            <w:tcBorders>
              <w:tl2br w:val="nil"/>
              <w:tr2bl w:val="nil"/>
            </w:tcBorders>
            <w:shd w:val="clear" w:color="auto" w:fill="auto"/>
            <w:vAlign w:val="center"/>
          </w:tcPr>
          <w:p w14:paraId="41B15894">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水田</w:t>
            </w:r>
          </w:p>
        </w:tc>
        <w:tc>
          <w:tcPr>
            <w:tcW w:w="1400" w:type="dxa"/>
            <w:tcBorders>
              <w:tl2br w:val="nil"/>
              <w:tr2bl w:val="nil"/>
            </w:tcBorders>
            <w:vAlign w:val="center"/>
          </w:tcPr>
          <w:p w14:paraId="2DB4FE2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80</w:t>
            </w:r>
          </w:p>
        </w:tc>
        <w:tc>
          <w:tcPr>
            <w:tcW w:w="1450" w:type="dxa"/>
            <w:tcBorders>
              <w:tl2br w:val="nil"/>
              <w:tr2bl w:val="nil"/>
            </w:tcBorders>
            <w:vAlign w:val="center"/>
          </w:tcPr>
          <w:p w14:paraId="69ADF8C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100</w:t>
            </w:r>
          </w:p>
        </w:tc>
        <w:tc>
          <w:tcPr>
            <w:tcW w:w="1600" w:type="dxa"/>
            <w:tcBorders>
              <w:tl2br w:val="nil"/>
              <w:tr2bl w:val="nil"/>
            </w:tcBorders>
            <w:vAlign w:val="center"/>
          </w:tcPr>
          <w:p w14:paraId="4711504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140</w:t>
            </w:r>
          </w:p>
        </w:tc>
        <w:tc>
          <w:tcPr>
            <w:tcW w:w="1469" w:type="dxa"/>
            <w:tcBorders>
              <w:tl2br w:val="nil"/>
              <w:tr2bl w:val="nil"/>
            </w:tcBorders>
            <w:vAlign w:val="center"/>
          </w:tcPr>
          <w:p w14:paraId="1BE1FDF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240</w:t>
            </w:r>
          </w:p>
        </w:tc>
      </w:tr>
      <w:tr w14:paraId="493BE8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26" w:type="dxa"/>
            <w:vMerge w:val="continue"/>
            <w:tcBorders>
              <w:tl2br w:val="nil"/>
              <w:tr2bl w:val="nil"/>
            </w:tcBorders>
            <w:vAlign w:val="center"/>
          </w:tcPr>
          <w:p w14:paraId="3D68038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p>
        </w:tc>
        <w:tc>
          <w:tcPr>
            <w:tcW w:w="860" w:type="dxa"/>
            <w:vMerge w:val="continue"/>
            <w:tcBorders>
              <w:tl2br w:val="nil"/>
              <w:tr2bl w:val="nil"/>
            </w:tcBorders>
            <w:vAlign w:val="center"/>
          </w:tcPr>
          <w:p w14:paraId="67EE776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p>
        </w:tc>
        <w:tc>
          <w:tcPr>
            <w:tcW w:w="1183" w:type="dxa"/>
            <w:tcBorders>
              <w:tl2br w:val="nil"/>
              <w:tr2bl w:val="nil"/>
            </w:tcBorders>
            <w:shd w:val="clear" w:color="auto" w:fill="auto"/>
            <w:vAlign w:val="center"/>
          </w:tcPr>
          <w:p w14:paraId="74B95AF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其他</w:t>
            </w:r>
          </w:p>
        </w:tc>
        <w:tc>
          <w:tcPr>
            <w:tcW w:w="1400" w:type="dxa"/>
            <w:tcBorders>
              <w:tl2br w:val="nil"/>
              <w:tr2bl w:val="nil"/>
            </w:tcBorders>
            <w:vAlign w:val="center"/>
          </w:tcPr>
          <w:p w14:paraId="2EDD73EC">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70</w:t>
            </w:r>
          </w:p>
        </w:tc>
        <w:tc>
          <w:tcPr>
            <w:tcW w:w="1450" w:type="dxa"/>
            <w:tcBorders>
              <w:tl2br w:val="nil"/>
              <w:tr2bl w:val="nil"/>
            </w:tcBorders>
            <w:vAlign w:val="center"/>
          </w:tcPr>
          <w:p w14:paraId="0FA8E07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90</w:t>
            </w:r>
          </w:p>
        </w:tc>
        <w:tc>
          <w:tcPr>
            <w:tcW w:w="1600" w:type="dxa"/>
            <w:tcBorders>
              <w:tl2br w:val="nil"/>
              <w:tr2bl w:val="nil"/>
            </w:tcBorders>
            <w:vAlign w:val="center"/>
          </w:tcPr>
          <w:p w14:paraId="00C9F54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120</w:t>
            </w:r>
          </w:p>
        </w:tc>
        <w:tc>
          <w:tcPr>
            <w:tcW w:w="1469" w:type="dxa"/>
            <w:tcBorders>
              <w:tl2br w:val="nil"/>
              <w:tr2bl w:val="nil"/>
            </w:tcBorders>
            <w:vAlign w:val="center"/>
          </w:tcPr>
          <w:p w14:paraId="366A325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170</w:t>
            </w:r>
          </w:p>
        </w:tc>
      </w:tr>
      <w:tr w14:paraId="6D6865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26" w:type="dxa"/>
            <w:vMerge w:val="restart"/>
            <w:tcBorders>
              <w:tl2br w:val="nil"/>
              <w:tr2bl w:val="nil"/>
            </w:tcBorders>
            <w:vAlign w:val="center"/>
          </w:tcPr>
          <w:p w14:paraId="5DA80E4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5</w:t>
            </w:r>
          </w:p>
        </w:tc>
        <w:tc>
          <w:tcPr>
            <w:tcW w:w="860" w:type="dxa"/>
            <w:vMerge w:val="restart"/>
            <w:tcBorders>
              <w:tl2br w:val="nil"/>
              <w:tr2bl w:val="nil"/>
            </w:tcBorders>
            <w:vAlign w:val="center"/>
          </w:tcPr>
          <w:p w14:paraId="3C5C05F4">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铬</w:t>
            </w:r>
          </w:p>
        </w:tc>
        <w:tc>
          <w:tcPr>
            <w:tcW w:w="1183" w:type="dxa"/>
            <w:tcBorders>
              <w:tl2br w:val="nil"/>
              <w:tr2bl w:val="nil"/>
            </w:tcBorders>
            <w:shd w:val="clear" w:color="auto" w:fill="auto"/>
            <w:vAlign w:val="center"/>
          </w:tcPr>
          <w:p w14:paraId="5C4CDAC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水田</w:t>
            </w:r>
          </w:p>
        </w:tc>
        <w:tc>
          <w:tcPr>
            <w:tcW w:w="1400" w:type="dxa"/>
            <w:tcBorders>
              <w:tl2br w:val="nil"/>
              <w:tr2bl w:val="nil"/>
            </w:tcBorders>
            <w:vAlign w:val="center"/>
          </w:tcPr>
          <w:p w14:paraId="5D4E9A7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250</w:t>
            </w:r>
          </w:p>
        </w:tc>
        <w:tc>
          <w:tcPr>
            <w:tcW w:w="1450" w:type="dxa"/>
            <w:tcBorders>
              <w:tl2br w:val="nil"/>
              <w:tr2bl w:val="nil"/>
            </w:tcBorders>
            <w:vAlign w:val="center"/>
          </w:tcPr>
          <w:p w14:paraId="0B8BE63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250</w:t>
            </w:r>
          </w:p>
        </w:tc>
        <w:tc>
          <w:tcPr>
            <w:tcW w:w="1600" w:type="dxa"/>
            <w:tcBorders>
              <w:tl2br w:val="nil"/>
              <w:tr2bl w:val="nil"/>
            </w:tcBorders>
            <w:vAlign w:val="center"/>
          </w:tcPr>
          <w:p w14:paraId="2872A4B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300</w:t>
            </w:r>
          </w:p>
        </w:tc>
        <w:tc>
          <w:tcPr>
            <w:tcW w:w="1469" w:type="dxa"/>
            <w:tcBorders>
              <w:tl2br w:val="nil"/>
              <w:tr2bl w:val="nil"/>
            </w:tcBorders>
            <w:vAlign w:val="center"/>
          </w:tcPr>
          <w:p w14:paraId="6F38035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350</w:t>
            </w:r>
          </w:p>
        </w:tc>
      </w:tr>
      <w:tr w14:paraId="57025B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26" w:type="dxa"/>
            <w:vMerge w:val="continue"/>
            <w:tcBorders>
              <w:tl2br w:val="nil"/>
              <w:tr2bl w:val="nil"/>
            </w:tcBorders>
            <w:vAlign w:val="center"/>
          </w:tcPr>
          <w:p w14:paraId="42ECDFF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p>
        </w:tc>
        <w:tc>
          <w:tcPr>
            <w:tcW w:w="860" w:type="dxa"/>
            <w:vMerge w:val="continue"/>
            <w:tcBorders>
              <w:tl2br w:val="nil"/>
              <w:tr2bl w:val="nil"/>
            </w:tcBorders>
            <w:vAlign w:val="center"/>
          </w:tcPr>
          <w:p w14:paraId="18FC3C2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p>
        </w:tc>
        <w:tc>
          <w:tcPr>
            <w:tcW w:w="1183" w:type="dxa"/>
            <w:tcBorders>
              <w:tl2br w:val="nil"/>
              <w:tr2bl w:val="nil"/>
            </w:tcBorders>
            <w:shd w:val="clear" w:color="auto" w:fill="auto"/>
            <w:vAlign w:val="center"/>
          </w:tcPr>
          <w:p w14:paraId="49940BE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其他</w:t>
            </w:r>
          </w:p>
        </w:tc>
        <w:tc>
          <w:tcPr>
            <w:tcW w:w="1400" w:type="dxa"/>
            <w:tcBorders>
              <w:tl2br w:val="nil"/>
              <w:tr2bl w:val="nil"/>
            </w:tcBorders>
            <w:vAlign w:val="center"/>
          </w:tcPr>
          <w:p w14:paraId="4D0F305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150</w:t>
            </w:r>
          </w:p>
        </w:tc>
        <w:tc>
          <w:tcPr>
            <w:tcW w:w="1450" w:type="dxa"/>
            <w:tcBorders>
              <w:tl2br w:val="nil"/>
              <w:tr2bl w:val="nil"/>
            </w:tcBorders>
            <w:vAlign w:val="center"/>
          </w:tcPr>
          <w:p w14:paraId="67E94C8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150</w:t>
            </w:r>
          </w:p>
        </w:tc>
        <w:tc>
          <w:tcPr>
            <w:tcW w:w="1600" w:type="dxa"/>
            <w:tcBorders>
              <w:tl2br w:val="nil"/>
              <w:tr2bl w:val="nil"/>
            </w:tcBorders>
            <w:vAlign w:val="center"/>
          </w:tcPr>
          <w:p w14:paraId="10D3BD0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200</w:t>
            </w:r>
          </w:p>
        </w:tc>
        <w:tc>
          <w:tcPr>
            <w:tcW w:w="1469" w:type="dxa"/>
            <w:tcBorders>
              <w:tl2br w:val="nil"/>
              <w:tr2bl w:val="nil"/>
            </w:tcBorders>
            <w:vAlign w:val="center"/>
          </w:tcPr>
          <w:p w14:paraId="331CCB8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250</w:t>
            </w:r>
          </w:p>
        </w:tc>
      </w:tr>
      <w:tr w14:paraId="09D9FF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26" w:type="dxa"/>
            <w:vMerge w:val="restart"/>
            <w:tcBorders>
              <w:tl2br w:val="nil"/>
              <w:tr2bl w:val="nil"/>
            </w:tcBorders>
            <w:vAlign w:val="center"/>
          </w:tcPr>
          <w:p w14:paraId="262669FC">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6</w:t>
            </w:r>
          </w:p>
        </w:tc>
        <w:tc>
          <w:tcPr>
            <w:tcW w:w="860" w:type="dxa"/>
            <w:vMerge w:val="restart"/>
            <w:tcBorders>
              <w:tl2br w:val="nil"/>
              <w:tr2bl w:val="nil"/>
            </w:tcBorders>
            <w:vAlign w:val="center"/>
          </w:tcPr>
          <w:p w14:paraId="682F5B0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铜</w:t>
            </w:r>
          </w:p>
        </w:tc>
        <w:tc>
          <w:tcPr>
            <w:tcW w:w="1183" w:type="dxa"/>
            <w:tcBorders>
              <w:tl2br w:val="nil"/>
              <w:tr2bl w:val="nil"/>
            </w:tcBorders>
            <w:shd w:val="clear" w:color="auto" w:fill="auto"/>
            <w:vAlign w:val="center"/>
          </w:tcPr>
          <w:p w14:paraId="531AECF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水田</w:t>
            </w:r>
          </w:p>
        </w:tc>
        <w:tc>
          <w:tcPr>
            <w:tcW w:w="1400" w:type="dxa"/>
            <w:tcBorders>
              <w:tl2br w:val="nil"/>
              <w:tr2bl w:val="nil"/>
            </w:tcBorders>
            <w:vAlign w:val="center"/>
          </w:tcPr>
          <w:p w14:paraId="687DA15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150</w:t>
            </w:r>
          </w:p>
        </w:tc>
        <w:tc>
          <w:tcPr>
            <w:tcW w:w="1450" w:type="dxa"/>
            <w:tcBorders>
              <w:tl2br w:val="nil"/>
              <w:tr2bl w:val="nil"/>
            </w:tcBorders>
            <w:vAlign w:val="center"/>
          </w:tcPr>
          <w:p w14:paraId="395B494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150</w:t>
            </w:r>
          </w:p>
        </w:tc>
        <w:tc>
          <w:tcPr>
            <w:tcW w:w="1600" w:type="dxa"/>
            <w:tcBorders>
              <w:tl2br w:val="nil"/>
              <w:tr2bl w:val="nil"/>
            </w:tcBorders>
            <w:vAlign w:val="center"/>
          </w:tcPr>
          <w:p w14:paraId="106AD52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200</w:t>
            </w:r>
          </w:p>
        </w:tc>
        <w:tc>
          <w:tcPr>
            <w:tcW w:w="1469" w:type="dxa"/>
            <w:tcBorders>
              <w:tl2br w:val="nil"/>
              <w:tr2bl w:val="nil"/>
            </w:tcBorders>
            <w:vAlign w:val="center"/>
          </w:tcPr>
          <w:p w14:paraId="63EA4E2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200</w:t>
            </w:r>
          </w:p>
        </w:tc>
      </w:tr>
      <w:tr w14:paraId="0D6638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26" w:type="dxa"/>
            <w:vMerge w:val="continue"/>
            <w:tcBorders>
              <w:tl2br w:val="nil"/>
              <w:tr2bl w:val="nil"/>
            </w:tcBorders>
            <w:vAlign w:val="center"/>
          </w:tcPr>
          <w:p w14:paraId="392F91F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p>
        </w:tc>
        <w:tc>
          <w:tcPr>
            <w:tcW w:w="860" w:type="dxa"/>
            <w:vMerge w:val="continue"/>
            <w:tcBorders>
              <w:tl2br w:val="nil"/>
              <w:tr2bl w:val="nil"/>
            </w:tcBorders>
            <w:vAlign w:val="center"/>
          </w:tcPr>
          <w:p w14:paraId="2E06E46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p>
        </w:tc>
        <w:tc>
          <w:tcPr>
            <w:tcW w:w="1183" w:type="dxa"/>
            <w:tcBorders>
              <w:tl2br w:val="nil"/>
              <w:tr2bl w:val="nil"/>
            </w:tcBorders>
            <w:shd w:val="clear" w:color="auto" w:fill="auto"/>
            <w:vAlign w:val="center"/>
          </w:tcPr>
          <w:p w14:paraId="560C4DC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其他</w:t>
            </w:r>
          </w:p>
        </w:tc>
        <w:tc>
          <w:tcPr>
            <w:tcW w:w="1400" w:type="dxa"/>
            <w:tcBorders>
              <w:tl2br w:val="nil"/>
              <w:tr2bl w:val="nil"/>
            </w:tcBorders>
            <w:vAlign w:val="center"/>
          </w:tcPr>
          <w:p w14:paraId="20F91506">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50</w:t>
            </w:r>
          </w:p>
        </w:tc>
        <w:tc>
          <w:tcPr>
            <w:tcW w:w="1450" w:type="dxa"/>
            <w:tcBorders>
              <w:tl2br w:val="nil"/>
              <w:tr2bl w:val="nil"/>
            </w:tcBorders>
            <w:vAlign w:val="center"/>
          </w:tcPr>
          <w:p w14:paraId="5D8AD48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50</w:t>
            </w:r>
          </w:p>
        </w:tc>
        <w:tc>
          <w:tcPr>
            <w:tcW w:w="1600" w:type="dxa"/>
            <w:tcBorders>
              <w:tl2br w:val="nil"/>
              <w:tr2bl w:val="nil"/>
            </w:tcBorders>
            <w:vAlign w:val="center"/>
          </w:tcPr>
          <w:p w14:paraId="023155D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100</w:t>
            </w:r>
          </w:p>
        </w:tc>
        <w:tc>
          <w:tcPr>
            <w:tcW w:w="1469" w:type="dxa"/>
            <w:tcBorders>
              <w:tl2br w:val="nil"/>
              <w:tr2bl w:val="nil"/>
            </w:tcBorders>
            <w:vAlign w:val="center"/>
          </w:tcPr>
          <w:p w14:paraId="2421CFE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100</w:t>
            </w:r>
          </w:p>
        </w:tc>
      </w:tr>
      <w:tr w14:paraId="4A5AA6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26" w:type="dxa"/>
            <w:tcBorders>
              <w:tl2br w:val="nil"/>
              <w:tr2bl w:val="nil"/>
            </w:tcBorders>
            <w:vAlign w:val="center"/>
          </w:tcPr>
          <w:p w14:paraId="3E275A7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7</w:t>
            </w:r>
          </w:p>
        </w:tc>
        <w:tc>
          <w:tcPr>
            <w:tcW w:w="2043" w:type="dxa"/>
            <w:gridSpan w:val="2"/>
            <w:tcBorders>
              <w:tl2br w:val="nil"/>
              <w:tr2bl w:val="nil"/>
            </w:tcBorders>
            <w:vAlign w:val="center"/>
          </w:tcPr>
          <w:p w14:paraId="55184D5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镍</w:t>
            </w:r>
          </w:p>
        </w:tc>
        <w:tc>
          <w:tcPr>
            <w:tcW w:w="1400" w:type="dxa"/>
            <w:tcBorders>
              <w:tl2br w:val="nil"/>
              <w:tr2bl w:val="nil"/>
            </w:tcBorders>
            <w:vAlign w:val="center"/>
          </w:tcPr>
          <w:p w14:paraId="06E4F16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60</w:t>
            </w:r>
          </w:p>
        </w:tc>
        <w:tc>
          <w:tcPr>
            <w:tcW w:w="1450" w:type="dxa"/>
            <w:tcBorders>
              <w:tl2br w:val="nil"/>
              <w:tr2bl w:val="nil"/>
            </w:tcBorders>
            <w:vAlign w:val="center"/>
          </w:tcPr>
          <w:p w14:paraId="6132DFC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70</w:t>
            </w:r>
          </w:p>
        </w:tc>
        <w:tc>
          <w:tcPr>
            <w:tcW w:w="1600" w:type="dxa"/>
            <w:tcBorders>
              <w:tl2br w:val="nil"/>
              <w:tr2bl w:val="nil"/>
            </w:tcBorders>
            <w:vAlign w:val="center"/>
          </w:tcPr>
          <w:p w14:paraId="272E78D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100</w:t>
            </w:r>
          </w:p>
        </w:tc>
        <w:tc>
          <w:tcPr>
            <w:tcW w:w="1469" w:type="dxa"/>
            <w:tcBorders>
              <w:tl2br w:val="nil"/>
              <w:tr2bl w:val="nil"/>
            </w:tcBorders>
            <w:vAlign w:val="center"/>
          </w:tcPr>
          <w:p w14:paraId="129FF67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190</w:t>
            </w:r>
          </w:p>
        </w:tc>
      </w:tr>
      <w:tr w14:paraId="43CF02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26" w:type="dxa"/>
            <w:tcBorders>
              <w:tl2br w:val="nil"/>
              <w:tr2bl w:val="nil"/>
            </w:tcBorders>
            <w:vAlign w:val="center"/>
          </w:tcPr>
          <w:p w14:paraId="7C30241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8</w:t>
            </w:r>
          </w:p>
        </w:tc>
        <w:tc>
          <w:tcPr>
            <w:tcW w:w="2043" w:type="dxa"/>
            <w:gridSpan w:val="2"/>
            <w:tcBorders>
              <w:tl2br w:val="nil"/>
              <w:tr2bl w:val="nil"/>
            </w:tcBorders>
            <w:vAlign w:val="center"/>
          </w:tcPr>
          <w:p w14:paraId="27094E3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锌</w:t>
            </w:r>
          </w:p>
        </w:tc>
        <w:tc>
          <w:tcPr>
            <w:tcW w:w="1400" w:type="dxa"/>
            <w:tcBorders>
              <w:tl2br w:val="nil"/>
              <w:tr2bl w:val="nil"/>
            </w:tcBorders>
            <w:vAlign w:val="center"/>
          </w:tcPr>
          <w:p w14:paraId="1F9A8DF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200</w:t>
            </w:r>
          </w:p>
        </w:tc>
        <w:tc>
          <w:tcPr>
            <w:tcW w:w="1450" w:type="dxa"/>
            <w:tcBorders>
              <w:tl2br w:val="nil"/>
              <w:tr2bl w:val="nil"/>
            </w:tcBorders>
            <w:vAlign w:val="center"/>
          </w:tcPr>
          <w:p w14:paraId="0F8DDF5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200</w:t>
            </w:r>
          </w:p>
        </w:tc>
        <w:tc>
          <w:tcPr>
            <w:tcW w:w="1600" w:type="dxa"/>
            <w:tcBorders>
              <w:tl2br w:val="nil"/>
              <w:tr2bl w:val="nil"/>
            </w:tcBorders>
            <w:vAlign w:val="center"/>
          </w:tcPr>
          <w:p w14:paraId="6B4137A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250</w:t>
            </w:r>
          </w:p>
        </w:tc>
        <w:tc>
          <w:tcPr>
            <w:tcW w:w="1469" w:type="dxa"/>
            <w:tcBorders>
              <w:tl2br w:val="nil"/>
              <w:tr2bl w:val="nil"/>
            </w:tcBorders>
            <w:vAlign w:val="center"/>
          </w:tcPr>
          <w:p w14:paraId="69E2790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300</w:t>
            </w:r>
          </w:p>
        </w:tc>
      </w:tr>
      <w:tr w14:paraId="574364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288" w:type="dxa"/>
            <w:gridSpan w:val="7"/>
            <w:tcBorders>
              <w:tl2br w:val="nil"/>
              <w:tr2bl w:val="nil"/>
            </w:tcBorders>
            <w:vAlign w:val="center"/>
          </w:tcPr>
          <w:p w14:paraId="727AC918">
            <w:pPr>
              <w:keepNext w:val="0"/>
              <w:keepLines w:val="0"/>
              <w:pageBreakBefore w:val="0"/>
              <w:widowControl w:val="0"/>
              <w:kinsoku/>
              <w:wordWrap/>
              <w:overflowPunct/>
              <w:topLinePunct w:val="0"/>
              <w:autoSpaceDE w:val="0"/>
              <w:autoSpaceDN w:val="0"/>
              <w:bidi w:val="0"/>
              <w:adjustRightInd w:val="0"/>
              <w:snapToGrid/>
              <w:spacing w:line="240" w:lineRule="auto"/>
              <w:ind w:left="0" w:leftChars="0" w:firstLine="0" w:firstLineChars="0"/>
              <w:jc w:val="left"/>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注：①重金属和类金属砷均按元素总量计。</w:t>
            </w:r>
          </w:p>
          <w:p w14:paraId="53019ED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left"/>
              <w:textAlignment w:val="bottom"/>
              <w:outlineLvl w:val="9"/>
              <w:rPr>
                <w:rFonts w:hint="default" w:ascii="Times New Roman" w:hAnsi="Times New Roman" w:eastAsia="宋体" w:cs="Times New Roman"/>
                <w:color w:val="FF0000"/>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bidi="ar-SA"/>
              </w:rPr>
              <w:t>②对于水旱轮作地，采用其中较严格的风险筛选值。</w:t>
            </w:r>
          </w:p>
        </w:tc>
      </w:tr>
    </w:tbl>
    <w:p w14:paraId="1A55E346">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污染物排放标准</w:t>
      </w:r>
    </w:p>
    <w:p w14:paraId="75B9D927">
      <w:pPr>
        <w:ind w:firstLine="48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1.</w:t>
      </w:r>
      <w:r>
        <w:rPr>
          <w:rFonts w:hint="default" w:ascii="Times New Roman" w:hAnsi="Times New Roman" w:eastAsia="宋体" w:cs="Times New Roman"/>
          <w:color w:val="auto"/>
          <w:highlight w:val="none"/>
        </w:rPr>
        <w:t>大气污染物排放标准</w:t>
      </w:r>
    </w:p>
    <w:p w14:paraId="06E33757">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本项目锅炉烟气中排放的烟尘、SO</w:t>
      </w:r>
      <w:r>
        <w:rPr>
          <w:rFonts w:hint="default" w:ascii="Times New Roman" w:hAnsi="Times New Roman" w:eastAsia="宋体" w:cs="Times New Roman"/>
          <w:color w:val="auto"/>
          <w:highlight w:val="none"/>
          <w:vertAlign w:val="subscript"/>
        </w:rPr>
        <w:t>2</w:t>
      </w:r>
      <w:r>
        <w:rPr>
          <w:rFonts w:hint="default" w:ascii="Times New Roman" w:hAnsi="Times New Roman" w:eastAsia="宋体" w:cs="Times New Roman"/>
          <w:color w:val="auto"/>
          <w:highlight w:val="none"/>
        </w:rPr>
        <w:t>、NOx</w:t>
      </w:r>
      <w:r>
        <w:rPr>
          <w:rFonts w:hint="eastAsia" w:ascii="Times New Roman" w:hAnsi="Times New Roman" w:eastAsia="宋体" w:cs="Times New Roman"/>
          <w:color w:val="auto"/>
          <w:highlight w:val="none"/>
          <w:lang w:eastAsia="zh-CN"/>
        </w:rPr>
        <w:t>浓度要</w:t>
      </w:r>
      <w:r>
        <w:rPr>
          <w:rFonts w:hint="default" w:ascii="Times New Roman" w:hAnsi="Times New Roman" w:eastAsia="宋体" w:cs="Times New Roman"/>
          <w:color w:val="auto"/>
          <w:highlight w:val="none"/>
        </w:rPr>
        <w:t>满足《关于印发</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全面实施燃煤电厂超低排放和节能改造工作方案</w:t>
      </w:r>
      <w:r>
        <w:rPr>
          <w:rFonts w:hint="eastAsia" w:ascii="Times New Roman" w:hAnsi="Times New Roman" w:eastAsia="宋体" w:cs="Times New Roman"/>
          <w:color w:val="auto"/>
          <w:highlight w:val="none"/>
          <w:lang w:eastAsia="zh-CN"/>
        </w:rPr>
        <w:t>〉的通知》</w:t>
      </w:r>
      <w:r>
        <w:rPr>
          <w:rFonts w:hint="default" w:ascii="Times New Roman" w:hAnsi="Times New Roman" w:eastAsia="宋体" w:cs="Times New Roman"/>
          <w:color w:val="auto"/>
          <w:highlight w:val="none"/>
        </w:rPr>
        <w:t>（环发</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2015</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164 号）要求，达到超低排放限值（在基准氧含量6%条件下，烟尘、SO</w:t>
      </w:r>
      <w:r>
        <w:rPr>
          <w:rFonts w:hint="default" w:ascii="Times New Roman" w:hAnsi="Times New Roman" w:eastAsia="宋体" w:cs="Times New Roman"/>
          <w:color w:val="auto"/>
          <w:highlight w:val="none"/>
          <w:vertAlign w:val="subscript"/>
        </w:rPr>
        <w:t>2</w:t>
      </w:r>
      <w:r>
        <w:rPr>
          <w:rFonts w:hint="default" w:ascii="Times New Roman" w:hAnsi="Times New Roman" w:eastAsia="宋体" w:cs="Times New Roman"/>
          <w:color w:val="auto"/>
          <w:highlight w:val="none"/>
        </w:rPr>
        <w:t>、NO</w:t>
      </w:r>
      <w:r>
        <w:rPr>
          <w:rFonts w:hint="default" w:ascii="Times New Roman" w:hAnsi="Times New Roman" w:eastAsia="宋体" w:cs="Times New Roman"/>
          <w:color w:val="auto"/>
          <w:highlight w:val="none"/>
          <w:vertAlign w:val="subscript"/>
        </w:rPr>
        <w:t>X</w:t>
      </w:r>
      <w:r>
        <w:rPr>
          <w:rFonts w:hint="default" w:ascii="Times New Roman" w:hAnsi="Times New Roman" w:eastAsia="宋体" w:cs="Times New Roman"/>
          <w:color w:val="auto"/>
          <w:highlight w:val="none"/>
        </w:rPr>
        <w:t>排放浓度分别不高于10mg/m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、35mg/m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、50mg/m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）要求，烟气黑度、汞及其化合物执行《锅炉大气污染物排放标准》（GB13271-2014）表</w:t>
      </w:r>
      <w:r>
        <w:rPr>
          <w:rFonts w:hint="eastAsia" w:ascii="Times New Roman" w:hAnsi="Times New Roman" w:eastAsia="宋体" w:cs="Times New Roman"/>
          <w:color w:val="auto"/>
          <w:highlight w:val="none"/>
          <w:lang w:val="en-US" w:eastAsia="zh-CN"/>
        </w:rPr>
        <w:t>2标准</w:t>
      </w:r>
      <w:r>
        <w:rPr>
          <w:rFonts w:hint="default" w:ascii="Times New Roman" w:hAnsi="Times New Roman" w:eastAsia="宋体" w:cs="Times New Roman"/>
          <w:color w:val="auto"/>
          <w:highlight w:val="none"/>
        </w:rPr>
        <w:t>限值；颗粒物执行《大气污染物综合排放标准》（GB16297-1996）表2</w:t>
      </w:r>
      <w:r>
        <w:rPr>
          <w:rFonts w:hint="default" w:ascii="Times New Roman" w:hAnsi="Times New Roman" w:eastAsia="宋体" w:cs="Times New Roman"/>
          <w:color w:val="auto"/>
          <w:highlight w:val="none"/>
          <w:lang w:val="en-US" w:eastAsia="zh-CN"/>
        </w:rPr>
        <w:t>新污染源大气污染物排放限值</w:t>
      </w:r>
      <w:r>
        <w:rPr>
          <w:rFonts w:hint="default" w:ascii="Times New Roman" w:hAnsi="Times New Roman" w:eastAsia="宋体" w:cs="Times New Roman"/>
          <w:color w:val="auto"/>
          <w:highlight w:val="none"/>
        </w:rPr>
        <w:t>；NH</w:t>
      </w:r>
      <w:r>
        <w:rPr>
          <w:rFonts w:hint="default" w:ascii="Times New Roman" w:hAnsi="Times New Roman" w:eastAsia="宋体" w:cs="Times New Roman"/>
          <w:color w:val="auto"/>
          <w:highlight w:val="none"/>
          <w:vertAlign w:val="subscript"/>
        </w:rPr>
        <w:t>3</w:t>
      </w:r>
      <w:r>
        <w:rPr>
          <w:rFonts w:hint="default" w:ascii="Times New Roman" w:hAnsi="Times New Roman" w:eastAsia="宋体" w:cs="Times New Roman"/>
          <w:color w:val="auto"/>
          <w:highlight w:val="none"/>
        </w:rPr>
        <w:t>排放执行《恶臭污染物排放标准》（GB14554-93）表1恶臭污染物厂界二级标准限值。具体标准限值见表2.3-</w:t>
      </w:r>
      <w:r>
        <w:rPr>
          <w:rFonts w:hint="eastAsia" w:ascii="Times New Roman" w:hAnsi="Times New Roman" w:eastAsia="宋体" w:cs="Times New Roman"/>
          <w:color w:val="auto"/>
          <w:highlight w:val="none"/>
          <w:lang w:val="en-US" w:eastAsia="zh-CN"/>
        </w:rPr>
        <w:t>9</w:t>
      </w:r>
      <w:r>
        <w:rPr>
          <w:rFonts w:hint="default" w:ascii="Times New Roman" w:hAnsi="Times New Roman" w:eastAsia="宋体" w:cs="Times New Roman"/>
          <w:color w:val="auto"/>
          <w:highlight w:val="none"/>
        </w:rPr>
        <w:t>。</w:t>
      </w:r>
    </w:p>
    <w:p w14:paraId="4284939A">
      <w:pPr>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表2.3-</w:t>
      </w:r>
      <w:r>
        <w:rPr>
          <w:rFonts w:hint="eastAsia" w:ascii="Times New Roman" w:hAnsi="Times New Roman" w:eastAsia="宋体" w:cs="Times New Roman"/>
          <w:color w:val="auto"/>
          <w:highlight w:val="none"/>
          <w:lang w:val="en-US" w:eastAsia="zh-CN"/>
        </w:rPr>
        <w:t>9</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 xml:space="preserve"> 废气污染物排放标准</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Layout w:type="autofit"/>
        <w:tblCellMar>
          <w:top w:w="0" w:type="dxa"/>
          <w:left w:w="108" w:type="dxa"/>
          <w:bottom w:w="0" w:type="dxa"/>
          <w:right w:w="108" w:type="dxa"/>
        </w:tblCellMar>
      </w:tblPr>
      <w:tblGrid>
        <w:gridCol w:w="1396"/>
        <w:gridCol w:w="1263"/>
        <w:gridCol w:w="849"/>
        <w:gridCol w:w="1134"/>
        <w:gridCol w:w="3880"/>
      </w:tblGrid>
      <w:tr w14:paraId="5B5773DF">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jc w:val="center"/>
        </w:trPr>
        <w:tc>
          <w:tcPr>
            <w:tcW w:w="819" w:type="pct"/>
            <w:tcBorders>
              <w:tl2br w:val="nil"/>
              <w:tr2bl w:val="nil"/>
            </w:tcBorders>
            <w:vAlign w:val="center"/>
          </w:tcPr>
          <w:p w14:paraId="6B978D11">
            <w:pPr>
              <w:pStyle w:val="63"/>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污染源类型</w:t>
            </w:r>
          </w:p>
        </w:tc>
        <w:tc>
          <w:tcPr>
            <w:tcW w:w="741" w:type="pct"/>
            <w:tcBorders>
              <w:tl2br w:val="nil"/>
              <w:tr2bl w:val="nil"/>
            </w:tcBorders>
            <w:vAlign w:val="center"/>
          </w:tcPr>
          <w:p w14:paraId="17A03D95">
            <w:pPr>
              <w:pStyle w:val="63"/>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w:t>
            </w:r>
          </w:p>
        </w:tc>
        <w:tc>
          <w:tcPr>
            <w:tcW w:w="498" w:type="pct"/>
            <w:tcBorders>
              <w:tl2br w:val="nil"/>
              <w:tr2bl w:val="nil"/>
            </w:tcBorders>
            <w:vAlign w:val="center"/>
          </w:tcPr>
          <w:p w14:paraId="69EDAEAF">
            <w:pPr>
              <w:pStyle w:val="63"/>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单位</w:t>
            </w:r>
          </w:p>
        </w:tc>
        <w:tc>
          <w:tcPr>
            <w:tcW w:w="665" w:type="pct"/>
            <w:tcBorders>
              <w:tl2br w:val="nil"/>
              <w:tr2bl w:val="nil"/>
            </w:tcBorders>
            <w:vAlign w:val="center"/>
          </w:tcPr>
          <w:p w14:paraId="1433B210">
            <w:pPr>
              <w:pStyle w:val="63"/>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标准限值</w:t>
            </w:r>
          </w:p>
        </w:tc>
        <w:tc>
          <w:tcPr>
            <w:tcW w:w="2276" w:type="pct"/>
            <w:tcBorders>
              <w:tl2br w:val="nil"/>
              <w:tr2bl w:val="nil"/>
            </w:tcBorders>
            <w:vAlign w:val="center"/>
          </w:tcPr>
          <w:p w14:paraId="250819F3">
            <w:pPr>
              <w:pStyle w:val="63"/>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标准来源</w:t>
            </w:r>
          </w:p>
        </w:tc>
      </w:tr>
      <w:tr w14:paraId="25F0ED2B">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jc w:val="center"/>
        </w:trPr>
        <w:tc>
          <w:tcPr>
            <w:tcW w:w="819" w:type="pct"/>
            <w:vMerge w:val="restart"/>
            <w:tcBorders>
              <w:tl2br w:val="nil"/>
              <w:tr2bl w:val="nil"/>
            </w:tcBorders>
            <w:vAlign w:val="center"/>
          </w:tcPr>
          <w:p w14:paraId="1225FFC1">
            <w:pPr>
              <w:pStyle w:val="63"/>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5#锅炉</w:t>
            </w:r>
          </w:p>
        </w:tc>
        <w:tc>
          <w:tcPr>
            <w:tcW w:w="741" w:type="pct"/>
            <w:tcBorders>
              <w:tl2br w:val="nil"/>
              <w:tr2bl w:val="nil"/>
            </w:tcBorders>
            <w:vAlign w:val="center"/>
          </w:tcPr>
          <w:p w14:paraId="2A9AB9D3">
            <w:pPr>
              <w:pStyle w:val="63"/>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烟尘</w:t>
            </w:r>
          </w:p>
        </w:tc>
        <w:tc>
          <w:tcPr>
            <w:tcW w:w="498" w:type="pct"/>
            <w:tcBorders>
              <w:tl2br w:val="nil"/>
              <w:tr2bl w:val="nil"/>
            </w:tcBorders>
            <w:vAlign w:val="center"/>
          </w:tcPr>
          <w:p w14:paraId="2D83D82D">
            <w:pPr>
              <w:pStyle w:val="63"/>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mg/m</w:t>
            </w:r>
            <w:r>
              <w:rPr>
                <w:rFonts w:hint="default" w:ascii="Times New Roman" w:hAnsi="Times New Roman" w:eastAsia="宋体" w:cs="Times New Roman"/>
                <w:color w:val="auto"/>
                <w:sz w:val="21"/>
                <w:szCs w:val="21"/>
                <w:highlight w:val="none"/>
                <w:vertAlign w:val="superscript"/>
              </w:rPr>
              <w:t>3</w:t>
            </w:r>
          </w:p>
        </w:tc>
        <w:tc>
          <w:tcPr>
            <w:tcW w:w="665" w:type="pct"/>
            <w:tcBorders>
              <w:tl2br w:val="nil"/>
              <w:tr2bl w:val="nil"/>
            </w:tcBorders>
            <w:vAlign w:val="center"/>
          </w:tcPr>
          <w:p w14:paraId="68FBB571">
            <w:pPr>
              <w:pStyle w:val="63"/>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c>
          <w:tcPr>
            <w:tcW w:w="2276" w:type="pct"/>
            <w:vMerge w:val="restart"/>
            <w:tcBorders>
              <w:tl2br w:val="nil"/>
              <w:tr2bl w:val="nil"/>
            </w:tcBorders>
            <w:vAlign w:val="center"/>
          </w:tcPr>
          <w:p w14:paraId="1735F2D0">
            <w:pPr>
              <w:pStyle w:val="63"/>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《关于印发</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全面实施燃煤电厂超低排放和节能改造工作方案</w:t>
            </w:r>
            <w:r>
              <w:rPr>
                <w:rFonts w:hint="eastAsia" w:ascii="Times New Roman" w:hAnsi="Times New Roman" w:eastAsia="宋体" w:cs="Times New Roman"/>
                <w:color w:val="auto"/>
                <w:sz w:val="21"/>
                <w:szCs w:val="21"/>
                <w:highlight w:val="none"/>
                <w:lang w:eastAsia="zh-CN"/>
              </w:rPr>
              <w:t>〉的通知》</w:t>
            </w:r>
            <w:r>
              <w:rPr>
                <w:rFonts w:hint="default" w:ascii="Times New Roman" w:hAnsi="Times New Roman" w:eastAsia="宋体" w:cs="Times New Roman"/>
                <w:color w:val="auto"/>
                <w:sz w:val="21"/>
                <w:szCs w:val="21"/>
                <w:highlight w:val="none"/>
              </w:rPr>
              <w:t>（环发</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2015</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164号）要求</w:t>
            </w:r>
          </w:p>
        </w:tc>
      </w:tr>
      <w:tr w14:paraId="336DC08C">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jc w:val="center"/>
        </w:trPr>
        <w:tc>
          <w:tcPr>
            <w:tcW w:w="819" w:type="pct"/>
            <w:vMerge w:val="continue"/>
            <w:tcBorders>
              <w:tl2br w:val="nil"/>
              <w:tr2bl w:val="nil"/>
            </w:tcBorders>
            <w:vAlign w:val="center"/>
          </w:tcPr>
          <w:p w14:paraId="1095881A">
            <w:pPr>
              <w:pStyle w:val="63"/>
              <w:rPr>
                <w:rFonts w:hint="default" w:ascii="Times New Roman" w:hAnsi="Times New Roman" w:eastAsia="宋体" w:cs="Times New Roman"/>
                <w:color w:val="auto"/>
                <w:sz w:val="21"/>
                <w:szCs w:val="21"/>
                <w:highlight w:val="none"/>
              </w:rPr>
            </w:pPr>
          </w:p>
        </w:tc>
        <w:tc>
          <w:tcPr>
            <w:tcW w:w="741" w:type="pct"/>
            <w:tcBorders>
              <w:tl2br w:val="nil"/>
              <w:tr2bl w:val="nil"/>
            </w:tcBorders>
            <w:vAlign w:val="center"/>
          </w:tcPr>
          <w:p w14:paraId="5A20C9E8">
            <w:pPr>
              <w:pStyle w:val="63"/>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SO</w:t>
            </w:r>
            <w:r>
              <w:rPr>
                <w:rFonts w:hint="default" w:ascii="Times New Roman" w:hAnsi="Times New Roman" w:eastAsia="宋体" w:cs="Times New Roman"/>
                <w:color w:val="auto"/>
                <w:sz w:val="21"/>
                <w:szCs w:val="21"/>
                <w:highlight w:val="none"/>
                <w:vertAlign w:val="subscript"/>
              </w:rPr>
              <w:t>2</w:t>
            </w:r>
          </w:p>
        </w:tc>
        <w:tc>
          <w:tcPr>
            <w:tcW w:w="498" w:type="pct"/>
            <w:tcBorders>
              <w:tl2br w:val="nil"/>
              <w:tr2bl w:val="nil"/>
            </w:tcBorders>
            <w:vAlign w:val="center"/>
          </w:tcPr>
          <w:p w14:paraId="0D8BF2F9">
            <w:pPr>
              <w:pStyle w:val="63"/>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mg/m</w:t>
            </w:r>
            <w:r>
              <w:rPr>
                <w:rFonts w:hint="default" w:ascii="Times New Roman" w:hAnsi="Times New Roman" w:eastAsia="宋体" w:cs="Times New Roman"/>
                <w:color w:val="auto"/>
                <w:sz w:val="21"/>
                <w:szCs w:val="21"/>
                <w:highlight w:val="none"/>
                <w:vertAlign w:val="superscript"/>
              </w:rPr>
              <w:t>3</w:t>
            </w:r>
          </w:p>
        </w:tc>
        <w:tc>
          <w:tcPr>
            <w:tcW w:w="665" w:type="pct"/>
            <w:tcBorders>
              <w:tl2br w:val="nil"/>
              <w:tr2bl w:val="nil"/>
            </w:tcBorders>
            <w:vAlign w:val="center"/>
          </w:tcPr>
          <w:p w14:paraId="780AC453">
            <w:pPr>
              <w:pStyle w:val="63"/>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35</w:t>
            </w:r>
          </w:p>
        </w:tc>
        <w:tc>
          <w:tcPr>
            <w:tcW w:w="2276" w:type="pct"/>
            <w:vMerge w:val="continue"/>
            <w:tcBorders>
              <w:tl2br w:val="nil"/>
              <w:tr2bl w:val="nil"/>
            </w:tcBorders>
            <w:vAlign w:val="center"/>
          </w:tcPr>
          <w:p w14:paraId="31C6A937">
            <w:pPr>
              <w:pStyle w:val="63"/>
              <w:rPr>
                <w:rFonts w:hint="default" w:ascii="Times New Roman" w:hAnsi="Times New Roman" w:eastAsia="宋体" w:cs="Times New Roman"/>
                <w:color w:val="auto"/>
                <w:sz w:val="21"/>
                <w:szCs w:val="21"/>
                <w:highlight w:val="none"/>
              </w:rPr>
            </w:pPr>
          </w:p>
        </w:tc>
      </w:tr>
      <w:tr w14:paraId="543AFA2A">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jc w:val="center"/>
        </w:trPr>
        <w:tc>
          <w:tcPr>
            <w:tcW w:w="819" w:type="pct"/>
            <w:vMerge w:val="continue"/>
            <w:tcBorders>
              <w:tl2br w:val="nil"/>
              <w:tr2bl w:val="nil"/>
            </w:tcBorders>
            <w:vAlign w:val="center"/>
          </w:tcPr>
          <w:p w14:paraId="06D83529">
            <w:pPr>
              <w:pStyle w:val="63"/>
              <w:rPr>
                <w:rFonts w:hint="default" w:ascii="Times New Roman" w:hAnsi="Times New Roman" w:eastAsia="宋体" w:cs="Times New Roman"/>
                <w:color w:val="auto"/>
                <w:sz w:val="21"/>
                <w:szCs w:val="21"/>
                <w:highlight w:val="none"/>
              </w:rPr>
            </w:pPr>
          </w:p>
        </w:tc>
        <w:tc>
          <w:tcPr>
            <w:tcW w:w="741" w:type="pct"/>
            <w:tcBorders>
              <w:tl2br w:val="nil"/>
              <w:tr2bl w:val="nil"/>
            </w:tcBorders>
            <w:vAlign w:val="center"/>
          </w:tcPr>
          <w:p w14:paraId="3B7DE649">
            <w:pPr>
              <w:pStyle w:val="63"/>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NO</w:t>
            </w:r>
            <w:r>
              <w:rPr>
                <w:rFonts w:hint="default" w:ascii="Times New Roman" w:hAnsi="Times New Roman" w:eastAsia="宋体" w:cs="Times New Roman"/>
                <w:color w:val="auto"/>
                <w:sz w:val="21"/>
                <w:szCs w:val="21"/>
                <w:highlight w:val="none"/>
                <w:vertAlign w:val="subscript"/>
              </w:rPr>
              <w:t>X</w:t>
            </w:r>
          </w:p>
        </w:tc>
        <w:tc>
          <w:tcPr>
            <w:tcW w:w="498" w:type="pct"/>
            <w:tcBorders>
              <w:tl2br w:val="nil"/>
              <w:tr2bl w:val="nil"/>
            </w:tcBorders>
            <w:vAlign w:val="center"/>
          </w:tcPr>
          <w:p w14:paraId="3099347B">
            <w:pPr>
              <w:pStyle w:val="63"/>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mg/m</w:t>
            </w:r>
            <w:r>
              <w:rPr>
                <w:rFonts w:hint="default" w:ascii="Times New Roman" w:hAnsi="Times New Roman" w:eastAsia="宋体" w:cs="Times New Roman"/>
                <w:color w:val="auto"/>
                <w:sz w:val="21"/>
                <w:szCs w:val="21"/>
                <w:highlight w:val="none"/>
                <w:vertAlign w:val="superscript"/>
              </w:rPr>
              <w:t>3</w:t>
            </w:r>
          </w:p>
        </w:tc>
        <w:tc>
          <w:tcPr>
            <w:tcW w:w="665" w:type="pct"/>
            <w:tcBorders>
              <w:tl2br w:val="nil"/>
              <w:tr2bl w:val="nil"/>
            </w:tcBorders>
            <w:vAlign w:val="center"/>
          </w:tcPr>
          <w:p w14:paraId="6C901ED5">
            <w:pPr>
              <w:pStyle w:val="63"/>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50</w:t>
            </w:r>
          </w:p>
        </w:tc>
        <w:tc>
          <w:tcPr>
            <w:tcW w:w="2276" w:type="pct"/>
            <w:vMerge w:val="continue"/>
            <w:tcBorders>
              <w:tl2br w:val="nil"/>
              <w:tr2bl w:val="nil"/>
            </w:tcBorders>
            <w:vAlign w:val="center"/>
          </w:tcPr>
          <w:p w14:paraId="74320BF2">
            <w:pPr>
              <w:pStyle w:val="63"/>
              <w:rPr>
                <w:rFonts w:hint="default" w:ascii="Times New Roman" w:hAnsi="Times New Roman" w:eastAsia="宋体" w:cs="Times New Roman"/>
                <w:color w:val="auto"/>
                <w:sz w:val="21"/>
                <w:szCs w:val="21"/>
                <w:highlight w:val="none"/>
              </w:rPr>
            </w:pPr>
          </w:p>
        </w:tc>
      </w:tr>
      <w:tr w14:paraId="20485A41">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jc w:val="center"/>
        </w:trPr>
        <w:tc>
          <w:tcPr>
            <w:tcW w:w="819" w:type="pct"/>
            <w:vMerge w:val="continue"/>
            <w:tcBorders>
              <w:tl2br w:val="nil"/>
              <w:tr2bl w:val="nil"/>
            </w:tcBorders>
            <w:vAlign w:val="center"/>
          </w:tcPr>
          <w:p w14:paraId="3B1F3DD8">
            <w:pPr>
              <w:pStyle w:val="63"/>
              <w:rPr>
                <w:rFonts w:hint="default" w:ascii="Times New Roman" w:hAnsi="Times New Roman" w:eastAsia="宋体" w:cs="Times New Roman"/>
                <w:color w:val="auto"/>
                <w:sz w:val="21"/>
                <w:szCs w:val="21"/>
                <w:highlight w:val="none"/>
              </w:rPr>
            </w:pPr>
          </w:p>
        </w:tc>
        <w:tc>
          <w:tcPr>
            <w:tcW w:w="741" w:type="pct"/>
            <w:tcBorders>
              <w:tl2br w:val="nil"/>
              <w:tr2bl w:val="nil"/>
            </w:tcBorders>
            <w:vAlign w:val="center"/>
          </w:tcPr>
          <w:p w14:paraId="7EC56E9C">
            <w:pPr>
              <w:pStyle w:val="63"/>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烟气黑度</w:t>
            </w:r>
          </w:p>
        </w:tc>
        <w:tc>
          <w:tcPr>
            <w:tcW w:w="498" w:type="pct"/>
            <w:tcBorders>
              <w:tl2br w:val="nil"/>
              <w:tr2bl w:val="nil"/>
            </w:tcBorders>
            <w:vAlign w:val="center"/>
          </w:tcPr>
          <w:p w14:paraId="016CC782">
            <w:pPr>
              <w:pStyle w:val="63"/>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65" w:type="pct"/>
            <w:tcBorders>
              <w:tl2br w:val="nil"/>
              <w:tr2bl w:val="nil"/>
            </w:tcBorders>
            <w:vAlign w:val="center"/>
          </w:tcPr>
          <w:p w14:paraId="2153B988">
            <w:pPr>
              <w:pStyle w:val="63"/>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2276" w:type="pct"/>
            <w:vMerge w:val="restart"/>
            <w:tcBorders>
              <w:tl2br w:val="nil"/>
              <w:tr2bl w:val="nil"/>
            </w:tcBorders>
            <w:vAlign w:val="center"/>
          </w:tcPr>
          <w:p w14:paraId="0FC425D2">
            <w:pPr>
              <w:pStyle w:val="63"/>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《锅炉大气污染物排放标准》（GB13271-2014）表</w:t>
            </w:r>
            <w:r>
              <w:rPr>
                <w:rFonts w:hint="eastAsia" w:ascii="Times New Roman" w:hAnsi="Times New Roman" w:eastAsia="宋体" w:cs="Times New Roman"/>
                <w:color w:val="auto"/>
                <w:sz w:val="21"/>
                <w:szCs w:val="21"/>
                <w:highlight w:val="none"/>
                <w:lang w:val="en-US" w:eastAsia="zh-CN"/>
              </w:rPr>
              <w:t>2标准</w:t>
            </w:r>
            <w:r>
              <w:rPr>
                <w:rFonts w:hint="default" w:ascii="Times New Roman" w:hAnsi="Times New Roman" w:eastAsia="宋体" w:cs="Times New Roman"/>
                <w:color w:val="auto"/>
                <w:sz w:val="21"/>
                <w:szCs w:val="21"/>
                <w:highlight w:val="none"/>
              </w:rPr>
              <w:t>限值</w:t>
            </w:r>
          </w:p>
        </w:tc>
      </w:tr>
      <w:tr w14:paraId="2E429A8C">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90" w:hRule="atLeast"/>
          <w:jc w:val="center"/>
        </w:trPr>
        <w:tc>
          <w:tcPr>
            <w:tcW w:w="819" w:type="pct"/>
            <w:vMerge w:val="continue"/>
            <w:tcBorders>
              <w:tl2br w:val="nil"/>
              <w:tr2bl w:val="nil"/>
            </w:tcBorders>
            <w:vAlign w:val="center"/>
          </w:tcPr>
          <w:p w14:paraId="5C1601A7">
            <w:pPr>
              <w:pStyle w:val="63"/>
              <w:rPr>
                <w:rFonts w:hint="default" w:ascii="Times New Roman" w:hAnsi="Times New Roman" w:eastAsia="宋体" w:cs="Times New Roman"/>
                <w:color w:val="auto"/>
                <w:sz w:val="21"/>
                <w:szCs w:val="21"/>
                <w:highlight w:val="none"/>
              </w:rPr>
            </w:pPr>
          </w:p>
        </w:tc>
        <w:tc>
          <w:tcPr>
            <w:tcW w:w="741" w:type="pct"/>
            <w:tcBorders>
              <w:tl2br w:val="nil"/>
              <w:tr2bl w:val="nil"/>
            </w:tcBorders>
            <w:vAlign w:val="center"/>
          </w:tcPr>
          <w:p w14:paraId="5C97D1E0">
            <w:pPr>
              <w:pStyle w:val="63"/>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汞及其化合物</w:t>
            </w:r>
          </w:p>
        </w:tc>
        <w:tc>
          <w:tcPr>
            <w:tcW w:w="498" w:type="pct"/>
            <w:tcBorders>
              <w:tl2br w:val="nil"/>
              <w:tr2bl w:val="nil"/>
            </w:tcBorders>
            <w:vAlign w:val="center"/>
          </w:tcPr>
          <w:p w14:paraId="64CB5065">
            <w:pPr>
              <w:pStyle w:val="63"/>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mg/m</w:t>
            </w:r>
            <w:r>
              <w:rPr>
                <w:rFonts w:hint="default" w:ascii="Times New Roman" w:hAnsi="Times New Roman" w:eastAsia="宋体" w:cs="Times New Roman"/>
                <w:color w:val="auto"/>
                <w:sz w:val="21"/>
                <w:szCs w:val="21"/>
                <w:highlight w:val="none"/>
                <w:vertAlign w:val="superscript"/>
              </w:rPr>
              <w:t>3</w:t>
            </w:r>
          </w:p>
        </w:tc>
        <w:tc>
          <w:tcPr>
            <w:tcW w:w="665" w:type="pct"/>
            <w:tcBorders>
              <w:tl2br w:val="nil"/>
              <w:tr2bl w:val="nil"/>
            </w:tcBorders>
            <w:vAlign w:val="center"/>
          </w:tcPr>
          <w:p w14:paraId="11028A06">
            <w:pPr>
              <w:pStyle w:val="63"/>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0.05</w:t>
            </w:r>
          </w:p>
        </w:tc>
        <w:tc>
          <w:tcPr>
            <w:tcW w:w="2276" w:type="pct"/>
            <w:vMerge w:val="continue"/>
            <w:tcBorders>
              <w:tl2br w:val="nil"/>
              <w:tr2bl w:val="nil"/>
            </w:tcBorders>
            <w:vAlign w:val="center"/>
          </w:tcPr>
          <w:p w14:paraId="4C616861">
            <w:pPr>
              <w:pStyle w:val="63"/>
              <w:rPr>
                <w:rFonts w:hint="default" w:ascii="Times New Roman" w:hAnsi="Times New Roman" w:eastAsia="宋体" w:cs="Times New Roman"/>
                <w:color w:val="auto"/>
                <w:sz w:val="21"/>
                <w:szCs w:val="21"/>
                <w:highlight w:val="none"/>
              </w:rPr>
            </w:pPr>
          </w:p>
        </w:tc>
      </w:tr>
      <w:tr w14:paraId="621D21A1">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461" w:hRule="atLeast"/>
          <w:jc w:val="center"/>
        </w:trPr>
        <w:tc>
          <w:tcPr>
            <w:tcW w:w="819" w:type="pct"/>
            <w:vMerge w:val="restart"/>
            <w:tcBorders>
              <w:tl2br w:val="nil"/>
              <w:tr2bl w:val="nil"/>
            </w:tcBorders>
            <w:vAlign w:val="center"/>
          </w:tcPr>
          <w:p w14:paraId="0B05CCC6">
            <w:pPr>
              <w:pStyle w:val="63"/>
              <w:jc w:val="center"/>
              <w:rPr>
                <w:rFonts w:hint="eastAsia"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灰库</w:t>
            </w:r>
          </w:p>
          <w:p w14:paraId="334AA103">
            <w:pPr>
              <w:ind w:left="0" w:leftChars="0" w:firstLine="0" w:firstLineChars="0"/>
              <w:jc w:val="center"/>
              <w:rPr>
                <w:rFonts w:hint="default"/>
                <w:color w:val="FF0000"/>
                <w:highlight w:val="none"/>
                <w:lang w:val="en-US" w:eastAsia="zh-CN"/>
              </w:rPr>
            </w:pPr>
            <w:r>
              <w:rPr>
                <w:rFonts w:hint="eastAsia" w:ascii="Times New Roman" w:hAnsi="Times New Roman" w:eastAsia="宋体" w:cs="Times New Roman"/>
                <w:color w:val="FF0000"/>
                <w:sz w:val="21"/>
                <w:szCs w:val="21"/>
                <w:highlight w:val="none"/>
                <w:lang w:val="en-US" w:eastAsia="zh-CN"/>
              </w:rPr>
              <w:t>生石灰粉仓</w:t>
            </w:r>
          </w:p>
        </w:tc>
        <w:tc>
          <w:tcPr>
            <w:tcW w:w="741" w:type="pct"/>
            <w:vMerge w:val="restart"/>
            <w:tcBorders>
              <w:tl2br w:val="nil"/>
              <w:tr2bl w:val="nil"/>
            </w:tcBorders>
            <w:vAlign w:val="center"/>
          </w:tcPr>
          <w:p w14:paraId="7298DDB3">
            <w:pPr>
              <w:pStyle w:val="63"/>
              <w:rPr>
                <w:rFonts w:hint="eastAsia"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颗粒物</w:t>
            </w:r>
          </w:p>
        </w:tc>
        <w:tc>
          <w:tcPr>
            <w:tcW w:w="498" w:type="pct"/>
            <w:tcBorders>
              <w:tl2br w:val="nil"/>
              <w:tr2bl w:val="nil"/>
            </w:tcBorders>
            <w:vAlign w:val="center"/>
          </w:tcPr>
          <w:p w14:paraId="7E2D8950">
            <w:pPr>
              <w:pStyle w:val="63"/>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mg/m</w:t>
            </w:r>
            <w:r>
              <w:rPr>
                <w:rFonts w:hint="default" w:ascii="Times New Roman" w:hAnsi="Times New Roman" w:eastAsia="宋体" w:cs="Times New Roman"/>
                <w:color w:val="FF0000"/>
                <w:sz w:val="21"/>
                <w:szCs w:val="21"/>
                <w:highlight w:val="none"/>
                <w:vertAlign w:val="superscript"/>
              </w:rPr>
              <w:t>3</w:t>
            </w:r>
          </w:p>
        </w:tc>
        <w:tc>
          <w:tcPr>
            <w:tcW w:w="665" w:type="pct"/>
            <w:tcBorders>
              <w:tl2br w:val="nil"/>
              <w:tr2bl w:val="nil"/>
            </w:tcBorders>
            <w:vAlign w:val="center"/>
          </w:tcPr>
          <w:p w14:paraId="7BC6EA72">
            <w:pPr>
              <w:pStyle w:val="63"/>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120</w:t>
            </w:r>
          </w:p>
        </w:tc>
        <w:tc>
          <w:tcPr>
            <w:tcW w:w="2276" w:type="pct"/>
            <w:vMerge w:val="restart"/>
            <w:tcBorders>
              <w:tl2br w:val="nil"/>
              <w:tr2bl w:val="nil"/>
            </w:tcBorders>
            <w:vAlign w:val="center"/>
          </w:tcPr>
          <w:p w14:paraId="7551B7CC">
            <w:pPr>
              <w:pStyle w:val="63"/>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rPr>
              <w:t>《大气污染物综合排放标准》（GB16297-1996）表2</w:t>
            </w:r>
            <w:r>
              <w:rPr>
                <w:rFonts w:hint="eastAsia" w:ascii="Times New Roman" w:hAnsi="Times New Roman" w:eastAsia="宋体" w:cs="Times New Roman"/>
                <w:color w:val="FF0000"/>
                <w:sz w:val="21"/>
                <w:szCs w:val="21"/>
                <w:highlight w:val="none"/>
                <w:lang w:val="en-US" w:eastAsia="zh-CN"/>
              </w:rPr>
              <w:t>新污染源大气污染物排放限值</w:t>
            </w:r>
          </w:p>
        </w:tc>
      </w:tr>
      <w:tr w14:paraId="52460E7D">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90" w:hRule="atLeast"/>
          <w:jc w:val="center"/>
        </w:trPr>
        <w:tc>
          <w:tcPr>
            <w:tcW w:w="819" w:type="pct"/>
            <w:vMerge w:val="continue"/>
            <w:tcBorders>
              <w:tl2br w:val="nil"/>
              <w:tr2bl w:val="nil"/>
            </w:tcBorders>
            <w:vAlign w:val="center"/>
          </w:tcPr>
          <w:p w14:paraId="7E778B3E">
            <w:pPr>
              <w:pStyle w:val="63"/>
              <w:rPr>
                <w:rFonts w:hint="default" w:ascii="Times New Roman" w:hAnsi="Times New Roman" w:eastAsia="宋体" w:cs="Times New Roman"/>
                <w:color w:val="auto"/>
                <w:sz w:val="21"/>
                <w:szCs w:val="21"/>
                <w:highlight w:val="none"/>
              </w:rPr>
            </w:pPr>
          </w:p>
        </w:tc>
        <w:tc>
          <w:tcPr>
            <w:tcW w:w="741" w:type="pct"/>
            <w:vMerge w:val="continue"/>
            <w:tcBorders>
              <w:tl2br w:val="nil"/>
              <w:tr2bl w:val="nil"/>
            </w:tcBorders>
            <w:vAlign w:val="center"/>
          </w:tcPr>
          <w:p w14:paraId="590473B1">
            <w:pPr>
              <w:pStyle w:val="63"/>
              <w:rPr>
                <w:rFonts w:hint="eastAsia" w:ascii="Times New Roman" w:hAnsi="Times New Roman" w:eastAsia="宋体" w:cs="Times New Roman"/>
                <w:color w:val="auto"/>
                <w:sz w:val="21"/>
                <w:szCs w:val="21"/>
                <w:highlight w:val="none"/>
                <w:lang w:val="en-US" w:eastAsia="zh-CN"/>
              </w:rPr>
            </w:pPr>
          </w:p>
        </w:tc>
        <w:tc>
          <w:tcPr>
            <w:tcW w:w="498" w:type="pct"/>
            <w:tcBorders>
              <w:tl2br w:val="nil"/>
              <w:tr2bl w:val="nil"/>
            </w:tcBorders>
            <w:vAlign w:val="center"/>
          </w:tcPr>
          <w:p w14:paraId="5CBF8773">
            <w:pPr>
              <w:pStyle w:val="63"/>
              <w:rPr>
                <w:rFonts w:hint="eastAsia"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kg/h</w:t>
            </w:r>
          </w:p>
        </w:tc>
        <w:tc>
          <w:tcPr>
            <w:tcW w:w="665" w:type="pct"/>
            <w:tcBorders>
              <w:tl2br w:val="nil"/>
              <w:tr2bl w:val="nil"/>
            </w:tcBorders>
            <w:vAlign w:val="center"/>
          </w:tcPr>
          <w:p w14:paraId="4C157503">
            <w:pPr>
              <w:pStyle w:val="63"/>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0.39</w:t>
            </w:r>
          </w:p>
        </w:tc>
        <w:tc>
          <w:tcPr>
            <w:tcW w:w="2276" w:type="pct"/>
            <w:vMerge w:val="continue"/>
            <w:tcBorders>
              <w:tl2br w:val="nil"/>
              <w:tr2bl w:val="nil"/>
            </w:tcBorders>
            <w:vAlign w:val="center"/>
          </w:tcPr>
          <w:p w14:paraId="62389DFD">
            <w:pPr>
              <w:pStyle w:val="63"/>
              <w:rPr>
                <w:rFonts w:hint="default" w:ascii="Times New Roman" w:hAnsi="Times New Roman" w:eastAsia="宋体" w:cs="Times New Roman"/>
                <w:color w:val="auto"/>
                <w:sz w:val="21"/>
                <w:szCs w:val="21"/>
                <w:highlight w:val="none"/>
              </w:rPr>
            </w:pPr>
          </w:p>
        </w:tc>
      </w:tr>
      <w:tr w14:paraId="29514E19">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680" w:hRule="atLeast"/>
          <w:jc w:val="center"/>
        </w:trPr>
        <w:tc>
          <w:tcPr>
            <w:tcW w:w="819" w:type="pct"/>
            <w:vMerge w:val="restart"/>
            <w:tcBorders>
              <w:tl2br w:val="nil"/>
              <w:tr2bl w:val="nil"/>
            </w:tcBorders>
            <w:vAlign w:val="center"/>
          </w:tcPr>
          <w:p w14:paraId="33C65885">
            <w:pPr>
              <w:pStyle w:val="63"/>
              <w:contextualSpacing/>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无组织</w:t>
            </w:r>
          </w:p>
        </w:tc>
        <w:tc>
          <w:tcPr>
            <w:tcW w:w="741" w:type="pct"/>
            <w:tcBorders>
              <w:tl2br w:val="nil"/>
              <w:tr2bl w:val="nil"/>
            </w:tcBorders>
            <w:vAlign w:val="center"/>
          </w:tcPr>
          <w:p w14:paraId="2B8F95EC">
            <w:pPr>
              <w:pStyle w:val="63"/>
              <w:contextualSpacing/>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NH</w:t>
            </w:r>
            <w:r>
              <w:rPr>
                <w:rFonts w:hint="default" w:ascii="Times New Roman" w:hAnsi="Times New Roman" w:eastAsia="宋体" w:cs="Times New Roman"/>
                <w:color w:val="auto"/>
                <w:sz w:val="21"/>
                <w:szCs w:val="21"/>
                <w:highlight w:val="none"/>
                <w:vertAlign w:val="subscript"/>
              </w:rPr>
              <w:t>3</w:t>
            </w:r>
          </w:p>
        </w:tc>
        <w:tc>
          <w:tcPr>
            <w:tcW w:w="498" w:type="pct"/>
            <w:tcBorders>
              <w:tl2br w:val="nil"/>
              <w:tr2bl w:val="nil"/>
            </w:tcBorders>
            <w:vAlign w:val="center"/>
          </w:tcPr>
          <w:p w14:paraId="726421D1">
            <w:pPr>
              <w:pStyle w:val="63"/>
              <w:contextualSpacing/>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mg/m</w:t>
            </w:r>
            <w:r>
              <w:rPr>
                <w:rFonts w:hint="default" w:ascii="Times New Roman" w:hAnsi="Times New Roman" w:eastAsia="宋体" w:cs="Times New Roman"/>
                <w:color w:val="auto"/>
                <w:sz w:val="21"/>
                <w:szCs w:val="21"/>
                <w:highlight w:val="none"/>
                <w:vertAlign w:val="superscript"/>
              </w:rPr>
              <w:t>3</w:t>
            </w:r>
          </w:p>
        </w:tc>
        <w:tc>
          <w:tcPr>
            <w:tcW w:w="665" w:type="pct"/>
            <w:tcBorders>
              <w:tl2br w:val="nil"/>
              <w:tr2bl w:val="nil"/>
            </w:tcBorders>
            <w:vAlign w:val="center"/>
          </w:tcPr>
          <w:p w14:paraId="04531463">
            <w:pPr>
              <w:pStyle w:val="63"/>
              <w:contextualSpacing/>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1.5</w:t>
            </w:r>
          </w:p>
        </w:tc>
        <w:tc>
          <w:tcPr>
            <w:tcW w:w="2276" w:type="pct"/>
            <w:tcBorders>
              <w:tl2br w:val="nil"/>
              <w:tr2bl w:val="nil"/>
            </w:tcBorders>
            <w:vAlign w:val="center"/>
          </w:tcPr>
          <w:p w14:paraId="139D7AB0">
            <w:pPr>
              <w:pStyle w:val="63"/>
              <w:contextualSpacing/>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《恶臭污染物排放标准》（GB14554-93）</w:t>
            </w:r>
            <w:r>
              <w:rPr>
                <w:rFonts w:hint="eastAsia" w:ascii="Times New Roman" w:hAnsi="Times New Roman" w:eastAsia="宋体" w:cs="Times New Roman"/>
                <w:color w:val="auto"/>
                <w:sz w:val="21"/>
                <w:szCs w:val="21"/>
                <w:highlight w:val="none"/>
                <w:lang w:eastAsia="zh-CN"/>
              </w:rPr>
              <w:t>中表</w:t>
            </w:r>
            <w:r>
              <w:rPr>
                <w:rFonts w:hint="eastAsia" w:ascii="Times New Roman" w:hAnsi="Times New Roman" w:eastAsia="宋体" w:cs="Times New Roman"/>
                <w:color w:val="auto"/>
                <w:sz w:val="21"/>
                <w:szCs w:val="21"/>
                <w:highlight w:val="none"/>
                <w:lang w:val="en-US" w:eastAsia="zh-CN"/>
              </w:rPr>
              <w:t>1恶臭污染物厂界标准限值</w:t>
            </w:r>
          </w:p>
        </w:tc>
      </w:tr>
      <w:tr w14:paraId="158214D7">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481" w:hRule="atLeast"/>
          <w:jc w:val="center"/>
        </w:trPr>
        <w:tc>
          <w:tcPr>
            <w:tcW w:w="819" w:type="pct"/>
            <w:vMerge w:val="continue"/>
            <w:tcBorders>
              <w:tl2br w:val="nil"/>
              <w:tr2bl w:val="nil"/>
            </w:tcBorders>
            <w:vAlign w:val="center"/>
          </w:tcPr>
          <w:p w14:paraId="4E7671DD">
            <w:pPr>
              <w:pStyle w:val="63"/>
              <w:contextualSpacing/>
              <w:rPr>
                <w:rFonts w:hint="default" w:ascii="Times New Roman" w:hAnsi="Times New Roman" w:eastAsia="宋体" w:cs="Times New Roman"/>
                <w:color w:val="auto"/>
                <w:sz w:val="21"/>
                <w:szCs w:val="21"/>
                <w:highlight w:val="none"/>
              </w:rPr>
            </w:pPr>
          </w:p>
        </w:tc>
        <w:tc>
          <w:tcPr>
            <w:tcW w:w="741" w:type="pct"/>
            <w:tcBorders>
              <w:tl2br w:val="nil"/>
              <w:tr2bl w:val="nil"/>
            </w:tcBorders>
            <w:vAlign w:val="center"/>
          </w:tcPr>
          <w:p w14:paraId="3C61AA24">
            <w:pPr>
              <w:pStyle w:val="63"/>
              <w:contextualSpacing/>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颗粒物</w:t>
            </w:r>
          </w:p>
        </w:tc>
        <w:tc>
          <w:tcPr>
            <w:tcW w:w="498" w:type="pct"/>
            <w:tcBorders>
              <w:tl2br w:val="nil"/>
              <w:tr2bl w:val="nil"/>
            </w:tcBorders>
            <w:vAlign w:val="center"/>
          </w:tcPr>
          <w:p w14:paraId="66703DE5">
            <w:pPr>
              <w:pStyle w:val="63"/>
              <w:contextualSpacing/>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mg/m</w:t>
            </w:r>
            <w:r>
              <w:rPr>
                <w:rFonts w:hint="default" w:ascii="Times New Roman" w:hAnsi="Times New Roman" w:eastAsia="宋体" w:cs="Times New Roman"/>
                <w:color w:val="auto"/>
                <w:sz w:val="21"/>
                <w:szCs w:val="21"/>
                <w:highlight w:val="none"/>
                <w:vertAlign w:val="superscript"/>
              </w:rPr>
              <w:t>3</w:t>
            </w:r>
          </w:p>
        </w:tc>
        <w:tc>
          <w:tcPr>
            <w:tcW w:w="665" w:type="pct"/>
            <w:tcBorders>
              <w:tl2br w:val="nil"/>
              <w:tr2bl w:val="nil"/>
            </w:tcBorders>
            <w:vAlign w:val="center"/>
          </w:tcPr>
          <w:p w14:paraId="0F88D418">
            <w:pPr>
              <w:pStyle w:val="63"/>
              <w:contextualSpacing/>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c>
          <w:tcPr>
            <w:tcW w:w="2276" w:type="pct"/>
            <w:tcBorders>
              <w:tl2br w:val="nil"/>
              <w:tr2bl w:val="nil"/>
            </w:tcBorders>
            <w:vAlign w:val="center"/>
          </w:tcPr>
          <w:p w14:paraId="1069C9BC">
            <w:pPr>
              <w:pStyle w:val="63"/>
              <w:contextualSpacing/>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《大气污染物综合排放标准》（GB16297-1996）表2无组织排放监控浓度限值</w:t>
            </w:r>
          </w:p>
        </w:tc>
      </w:tr>
    </w:tbl>
    <w:p w14:paraId="5268A6C6">
      <w:pPr>
        <w:ind w:firstLine="480"/>
        <w:rPr>
          <w:rFonts w:hint="eastAsia" w:ascii="Times New Roman" w:hAnsi="Times New Roman" w:eastAsia="宋体" w:cs="Times New Roman"/>
          <w:b/>
          <w:bCs/>
          <w:color w:val="FF0000"/>
          <w:sz w:val="21"/>
          <w:szCs w:val="21"/>
          <w:highlight w:val="none"/>
          <w:lang w:eastAsia="zh-CN"/>
        </w:rPr>
      </w:pPr>
      <w:r>
        <w:rPr>
          <w:rFonts w:hint="eastAsia" w:ascii="Times New Roman" w:hAnsi="Times New Roman" w:eastAsia="宋体" w:cs="Times New Roman"/>
          <w:b/>
          <w:bCs/>
          <w:color w:val="FF0000"/>
          <w:sz w:val="21"/>
          <w:szCs w:val="21"/>
          <w:highlight w:val="none"/>
          <w:lang w:val="en-US" w:eastAsia="zh-CN"/>
        </w:rPr>
        <w:t>注：</w:t>
      </w:r>
      <w:r>
        <w:rPr>
          <w:rFonts w:hint="default" w:ascii="Times New Roman" w:hAnsi="Times New Roman" w:eastAsia="宋体" w:cs="Times New Roman"/>
          <w:b/>
          <w:bCs/>
          <w:color w:val="FF0000"/>
          <w:sz w:val="21"/>
          <w:szCs w:val="21"/>
          <w:highlight w:val="none"/>
        </w:rPr>
        <w:t>根据《大气污染物综合排放标准》（GB16297-1996）“7其他规定， 新污染源的</w:t>
      </w:r>
      <w:r>
        <w:rPr>
          <w:rFonts w:hint="eastAsia" w:ascii="Times New Roman" w:hAnsi="Times New Roman" w:eastAsia="宋体" w:cs="Times New Roman"/>
          <w:b/>
          <w:bCs/>
          <w:color w:val="FF0000"/>
          <w:sz w:val="21"/>
          <w:szCs w:val="21"/>
          <w:highlight w:val="none"/>
          <w:lang w:eastAsia="zh-CN"/>
        </w:rPr>
        <w:t>排气筒</w:t>
      </w:r>
      <w:r>
        <w:rPr>
          <w:rFonts w:hint="default" w:ascii="Times New Roman" w:hAnsi="Times New Roman" w:eastAsia="宋体" w:cs="Times New Roman"/>
          <w:b/>
          <w:bCs/>
          <w:color w:val="FF0000"/>
          <w:sz w:val="21"/>
          <w:szCs w:val="21"/>
          <w:highlight w:val="none"/>
        </w:rPr>
        <w:t>一般不应低于15m。若某新污染源的排气筒必须低于15m时</w:t>
      </w:r>
      <w:r>
        <w:rPr>
          <w:rFonts w:hint="eastAsia" w:ascii="Times New Roman" w:hAnsi="Times New Roman" w:eastAsia="宋体" w:cs="Times New Roman"/>
          <w:b/>
          <w:bCs/>
          <w:color w:val="FF0000"/>
          <w:sz w:val="21"/>
          <w:szCs w:val="21"/>
          <w:highlight w:val="none"/>
          <w:lang w:eastAsia="zh-CN"/>
        </w:rPr>
        <w:t>，</w:t>
      </w:r>
      <w:r>
        <w:rPr>
          <w:rFonts w:hint="default" w:ascii="Times New Roman" w:hAnsi="Times New Roman" w:eastAsia="宋体" w:cs="Times New Roman"/>
          <w:b/>
          <w:bCs/>
          <w:color w:val="FF0000"/>
          <w:sz w:val="21"/>
          <w:szCs w:val="21"/>
          <w:highlight w:val="none"/>
        </w:rPr>
        <w:t>其排放速率标准值按7.3的外推计算结果再严格50%执行</w:t>
      </w:r>
      <w:r>
        <w:rPr>
          <w:rFonts w:hint="eastAsia" w:ascii="Times New Roman" w:hAnsi="Times New Roman" w:eastAsia="宋体" w:cs="Times New Roman"/>
          <w:b/>
          <w:bCs/>
          <w:color w:val="FF0000"/>
          <w:sz w:val="21"/>
          <w:szCs w:val="21"/>
          <w:highlight w:val="none"/>
          <w:lang w:eastAsia="zh-CN"/>
        </w:rPr>
        <w:t>；</w:t>
      </w:r>
      <w:r>
        <w:rPr>
          <w:rFonts w:hint="default" w:ascii="Times New Roman" w:hAnsi="Times New Roman" w:eastAsia="宋体" w:cs="Times New Roman"/>
          <w:b/>
          <w:bCs/>
          <w:color w:val="FF0000"/>
          <w:sz w:val="21"/>
          <w:szCs w:val="21"/>
          <w:highlight w:val="none"/>
        </w:rPr>
        <w:t>排气筒高度应高于周围200米半径范围的建筑5米以上，不能达到该要求的排气筒应按其高度表列排放速率标准值严格50%执行”，本项目</w:t>
      </w:r>
      <w:r>
        <w:rPr>
          <w:rFonts w:hint="eastAsia" w:ascii="Times New Roman" w:hAnsi="Times New Roman" w:eastAsia="宋体" w:cs="Times New Roman"/>
          <w:b/>
          <w:bCs/>
          <w:color w:val="FF0000"/>
          <w:sz w:val="21"/>
          <w:szCs w:val="21"/>
          <w:highlight w:val="none"/>
          <w:lang w:eastAsia="zh-CN"/>
        </w:rPr>
        <w:t>生石灰</w:t>
      </w:r>
      <w:r>
        <w:rPr>
          <w:rFonts w:hint="eastAsia" w:cs="Times New Roman"/>
          <w:b/>
          <w:bCs/>
          <w:color w:val="FF0000"/>
          <w:sz w:val="21"/>
          <w:szCs w:val="21"/>
          <w:highlight w:val="none"/>
          <w:lang w:eastAsia="zh-CN"/>
        </w:rPr>
        <w:t>粉</w:t>
      </w:r>
      <w:r>
        <w:rPr>
          <w:rFonts w:hint="default" w:ascii="Times New Roman" w:hAnsi="Times New Roman" w:eastAsia="宋体" w:cs="Times New Roman"/>
          <w:b/>
          <w:bCs/>
          <w:color w:val="FF0000"/>
          <w:sz w:val="21"/>
          <w:szCs w:val="21"/>
          <w:highlight w:val="none"/>
        </w:rPr>
        <w:t>仓</w:t>
      </w:r>
      <w:r>
        <w:rPr>
          <w:rFonts w:hint="eastAsia" w:ascii="Times New Roman" w:hAnsi="Times New Roman" w:eastAsia="宋体" w:cs="Times New Roman"/>
          <w:b/>
          <w:bCs/>
          <w:color w:val="FF0000"/>
          <w:sz w:val="21"/>
          <w:szCs w:val="21"/>
          <w:highlight w:val="none"/>
          <w:lang w:val="en-US" w:eastAsia="zh-CN"/>
        </w:rPr>
        <w:t>和灰库</w:t>
      </w:r>
      <w:r>
        <w:rPr>
          <w:rFonts w:hint="default" w:ascii="Times New Roman" w:hAnsi="Times New Roman" w:eastAsia="宋体" w:cs="Times New Roman"/>
          <w:b/>
          <w:bCs/>
          <w:color w:val="FF0000"/>
          <w:sz w:val="21"/>
          <w:szCs w:val="21"/>
          <w:highlight w:val="none"/>
        </w:rPr>
        <w:t>排放高度</w:t>
      </w:r>
      <w:r>
        <w:rPr>
          <w:rFonts w:hint="eastAsia" w:ascii="Times New Roman" w:hAnsi="Times New Roman" w:eastAsia="宋体" w:cs="Times New Roman"/>
          <w:b/>
          <w:bCs/>
          <w:color w:val="FF0000"/>
          <w:sz w:val="21"/>
          <w:szCs w:val="21"/>
          <w:highlight w:val="none"/>
          <w:lang w:val="en-US" w:eastAsia="zh-CN"/>
        </w:rPr>
        <w:t>均</w:t>
      </w:r>
      <w:r>
        <w:rPr>
          <w:rFonts w:hint="default" w:ascii="Times New Roman" w:hAnsi="Times New Roman" w:eastAsia="宋体" w:cs="Times New Roman"/>
          <w:b/>
          <w:bCs/>
          <w:color w:val="FF0000"/>
          <w:sz w:val="21"/>
          <w:szCs w:val="21"/>
          <w:highlight w:val="none"/>
        </w:rPr>
        <w:t>为</w:t>
      </w:r>
      <w:r>
        <w:rPr>
          <w:rFonts w:hint="eastAsia" w:ascii="Times New Roman" w:hAnsi="Times New Roman" w:eastAsia="宋体" w:cs="Times New Roman"/>
          <w:b/>
          <w:bCs/>
          <w:color w:val="FF0000"/>
          <w:sz w:val="21"/>
          <w:szCs w:val="21"/>
          <w:highlight w:val="none"/>
          <w:lang w:val="en-US" w:eastAsia="zh-CN"/>
        </w:rPr>
        <w:t>10</w:t>
      </w:r>
      <w:r>
        <w:rPr>
          <w:rFonts w:hint="default" w:ascii="Times New Roman" w:hAnsi="Times New Roman" w:eastAsia="宋体" w:cs="Times New Roman"/>
          <w:b/>
          <w:bCs/>
          <w:color w:val="FF0000"/>
          <w:sz w:val="21"/>
          <w:szCs w:val="21"/>
          <w:highlight w:val="none"/>
        </w:rPr>
        <w:t>m</w:t>
      </w:r>
      <w:r>
        <w:rPr>
          <w:rFonts w:hint="eastAsia" w:ascii="Times New Roman" w:hAnsi="Times New Roman" w:eastAsia="宋体" w:cs="Times New Roman"/>
          <w:b/>
          <w:bCs/>
          <w:color w:val="FF0000"/>
          <w:sz w:val="21"/>
          <w:szCs w:val="21"/>
          <w:highlight w:val="none"/>
          <w:lang w:val="en-US" w:eastAsia="zh-CN"/>
        </w:rPr>
        <w:t>，按外推法计算，10m高排气筒排放速率为1.56kg/h，严格50%后排放速率为0.78kg/h，生石灰粉仓和灰库排放高度</w:t>
      </w:r>
      <w:r>
        <w:rPr>
          <w:rFonts w:hint="default" w:ascii="Times New Roman" w:hAnsi="Times New Roman" w:eastAsia="宋体" w:cs="Times New Roman"/>
          <w:b/>
          <w:bCs/>
          <w:color w:val="FF0000"/>
          <w:sz w:val="21"/>
          <w:szCs w:val="21"/>
          <w:highlight w:val="none"/>
        </w:rPr>
        <w:t>未高于周围200m半径范围的建筑5m以上，排放速率严格50%执行</w:t>
      </w:r>
      <w:r>
        <w:rPr>
          <w:rFonts w:hint="eastAsia" w:ascii="Times New Roman" w:hAnsi="Times New Roman" w:eastAsia="宋体" w:cs="Times New Roman"/>
          <w:b/>
          <w:bCs/>
          <w:color w:val="FF0000"/>
          <w:sz w:val="21"/>
          <w:szCs w:val="21"/>
          <w:highlight w:val="none"/>
          <w:lang w:eastAsia="zh-CN"/>
        </w:rPr>
        <w:t>，</w:t>
      </w:r>
      <w:r>
        <w:rPr>
          <w:rFonts w:hint="eastAsia" w:ascii="Times New Roman" w:hAnsi="Times New Roman" w:eastAsia="宋体" w:cs="Times New Roman"/>
          <w:b/>
          <w:bCs/>
          <w:color w:val="FF0000"/>
          <w:sz w:val="21"/>
          <w:szCs w:val="21"/>
          <w:highlight w:val="none"/>
          <w:lang w:val="en-US" w:eastAsia="zh-CN"/>
        </w:rPr>
        <w:t>严格50%后排放速率为0.39kg/h</w:t>
      </w:r>
      <w:r>
        <w:rPr>
          <w:rFonts w:hint="eastAsia" w:ascii="Times New Roman" w:hAnsi="Times New Roman" w:eastAsia="宋体" w:cs="Times New Roman"/>
          <w:b/>
          <w:bCs/>
          <w:color w:val="FF0000"/>
          <w:sz w:val="21"/>
          <w:szCs w:val="21"/>
          <w:highlight w:val="none"/>
          <w:lang w:eastAsia="zh-CN"/>
        </w:rPr>
        <w:t>。</w:t>
      </w:r>
    </w:p>
    <w:p w14:paraId="2E0B46E1">
      <w:pPr>
        <w:ind w:firstLine="48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2.</w:t>
      </w:r>
      <w:r>
        <w:rPr>
          <w:rFonts w:hint="default" w:ascii="Times New Roman" w:hAnsi="Times New Roman" w:eastAsia="宋体" w:cs="Times New Roman"/>
          <w:color w:val="auto"/>
          <w:highlight w:val="none"/>
        </w:rPr>
        <w:t>废水排放标准</w:t>
      </w:r>
    </w:p>
    <w:p w14:paraId="1F911340">
      <w:pPr>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本工程生产废水全部回用，</w:t>
      </w:r>
      <w:r>
        <w:rPr>
          <w:rFonts w:hint="default" w:ascii="Times New Roman" w:hAnsi="Times New Roman" w:eastAsia="宋体" w:cs="Times New Roman"/>
          <w:color w:val="auto"/>
          <w:sz w:val="24"/>
          <w:szCs w:val="24"/>
          <w:highlight w:val="none"/>
          <w:lang w:val="en-US" w:eastAsia="zh-CN"/>
        </w:rPr>
        <w:t>锅炉用水来自</w:t>
      </w:r>
      <w:r>
        <w:rPr>
          <w:rFonts w:hint="eastAsia" w:ascii="Times New Roman" w:hAnsi="Times New Roman" w:eastAsia="宋体" w:cs="Times New Roman"/>
          <w:color w:val="auto"/>
          <w:sz w:val="24"/>
          <w:szCs w:val="24"/>
          <w:highlight w:val="none"/>
          <w:lang w:val="en-US" w:eastAsia="zh-CN"/>
        </w:rPr>
        <w:t>佳木斯中恒热电有限公司</w:t>
      </w:r>
      <w:r>
        <w:rPr>
          <w:rFonts w:hint="default" w:ascii="Times New Roman" w:hAnsi="Times New Roman" w:eastAsia="宋体" w:cs="Times New Roman"/>
          <w:color w:val="auto"/>
          <w:sz w:val="24"/>
          <w:szCs w:val="24"/>
          <w:highlight w:val="none"/>
          <w:lang w:val="en-US" w:eastAsia="zh-CN"/>
        </w:rPr>
        <w:t>主热源</w:t>
      </w:r>
      <w:r>
        <w:rPr>
          <w:rFonts w:hint="eastAsia" w:ascii="Times New Roman" w:hAnsi="Times New Roman" w:eastAsia="宋体" w:cs="Times New Roman"/>
          <w:color w:val="auto"/>
          <w:sz w:val="24"/>
          <w:szCs w:val="24"/>
          <w:highlight w:val="none"/>
          <w:lang w:val="en-US" w:eastAsia="zh-CN"/>
        </w:rPr>
        <w:t>现有制</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补水系统。</w:t>
      </w:r>
      <w:r>
        <w:rPr>
          <w:rFonts w:hint="default" w:ascii="Times New Roman" w:hAnsi="Times New Roman" w:eastAsia="宋体" w:cs="Times New Roman"/>
          <w:color w:val="auto"/>
          <w:sz w:val="24"/>
          <w:szCs w:val="24"/>
          <w:highlight w:val="none"/>
          <w:lang w:val="en-US" w:eastAsia="zh-CN"/>
        </w:rPr>
        <w:t>脱硫废水经曝气、沉淀后用于</w:t>
      </w:r>
      <w:r>
        <w:rPr>
          <w:rFonts w:hint="eastAsia" w:ascii="Times New Roman" w:hAnsi="Times New Roman" w:eastAsia="宋体" w:cs="Times New Roman"/>
          <w:color w:val="auto"/>
          <w:sz w:val="24"/>
          <w:szCs w:val="24"/>
          <w:highlight w:val="none"/>
          <w:lang w:val="en-US" w:eastAsia="zh-CN"/>
        </w:rPr>
        <w:t>脱硝补水和</w:t>
      </w:r>
      <w:r>
        <w:rPr>
          <w:rFonts w:hint="default" w:ascii="Times New Roman" w:hAnsi="Times New Roman" w:eastAsia="宋体" w:cs="Times New Roman"/>
          <w:color w:val="auto"/>
          <w:sz w:val="24"/>
          <w:szCs w:val="24"/>
          <w:highlight w:val="none"/>
          <w:lang w:val="en-US" w:eastAsia="zh-CN"/>
        </w:rPr>
        <w:t>输煤系统除尘、除渣用水。含煤废水经厂区内现有污水处理间处理，处理工艺为过滤+沉淀+气浮，处理后的废水进入地下水池回用。锅炉排污水</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软化水处理废水、</w:t>
      </w:r>
      <w:r>
        <w:rPr>
          <w:rFonts w:hint="eastAsia" w:ascii="Times New Roman" w:hAnsi="Times New Roman" w:eastAsia="宋体" w:cs="Times New Roman"/>
          <w:color w:val="auto"/>
          <w:sz w:val="24"/>
          <w:szCs w:val="24"/>
          <w:highlight w:val="none"/>
          <w:lang w:val="en-US" w:eastAsia="zh-CN"/>
        </w:rPr>
        <w:t>处理后的含煤废水</w:t>
      </w:r>
      <w:r>
        <w:rPr>
          <w:rFonts w:hint="default" w:ascii="Times New Roman" w:hAnsi="Times New Roman" w:eastAsia="宋体" w:cs="Times New Roman"/>
          <w:color w:val="auto"/>
          <w:sz w:val="24"/>
          <w:szCs w:val="24"/>
          <w:highlight w:val="none"/>
          <w:lang w:val="en-US" w:eastAsia="zh-CN"/>
        </w:rPr>
        <w:t>用于</w:t>
      </w:r>
      <w:r>
        <w:rPr>
          <w:rFonts w:hint="eastAsia" w:ascii="Times New Roman" w:hAnsi="Times New Roman" w:eastAsia="宋体" w:cs="Times New Roman"/>
          <w:color w:val="auto"/>
          <w:sz w:val="24"/>
          <w:szCs w:val="24"/>
          <w:highlight w:val="none"/>
          <w:lang w:val="en-US" w:eastAsia="zh-CN"/>
        </w:rPr>
        <w:t>输煤栈桥冲洗、</w:t>
      </w:r>
      <w:r>
        <w:rPr>
          <w:rFonts w:hint="default" w:ascii="Times New Roman" w:hAnsi="Times New Roman" w:eastAsia="宋体" w:cs="Times New Roman"/>
          <w:color w:val="auto"/>
          <w:sz w:val="24"/>
          <w:szCs w:val="24"/>
          <w:highlight w:val="none"/>
          <w:lang w:val="en-US" w:eastAsia="zh-CN"/>
        </w:rPr>
        <w:t>输煤系统除尘水、</w:t>
      </w:r>
      <w:r>
        <w:rPr>
          <w:rFonts w:hint="eastAsia" w:ascii="Times New Roman" w:hAnsi="Times New Roman" w:eastAsia="宋体" w:cs="Times New Roman"/>
          <w:color w:val="auto"/>
          <w:sz w:val="24"/>
          <w:szCs w:val="24"/>
          <w:highlight w:val="none"/>
          <w:lang w:val="en-US" w:eastAsia="zh-CN"/>
        </w:rPr>
        <w:t>渣库降尘等工序</w:t>
      </w:r>
      <w:r>
        <w:rPr>
          <w:rFonts w:hint="default" w:ascii="Times New Roman" w:hAnsi="Times New Roman" w:eastAsia="宋体" w:cs="Times New Roman"/>
          <w:color w:val="auto"/>
          <w:sz w:val="24"/>
          <w:szCs w:val="24"/>
          <w:highlight w:val="none"/>
          <w:lang w:val="en-US" w:eastAsia="zh-CN"/>
        </w:rPr>
        <w:t>，不外排</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无人员新增，不新增生活污水</w:t>
      </w:r>
      <w:r>
        <w:rPr>
          <w:rFonts w:hint="eastAsia" w:ascii="Times New Roman" w:hAnsi="Times New Roman" w:eastAsia="宋体" w:cs="Times New Roman"/>
          <w:color w:val="auto"/>
          <w:highlight w:val="none"/>
          <w:lang w:eastAsia="zh-CN"/>
        </w:rPr>
        <w:t>，现有生活污水经过市政污水管网进入佳木斯西区污水处理厂，达标后排</w:t>
      </w:r>
      <w:r>
        <w:rPr>
          <w:rFonts w:hint="eastAsia" w:ascii="Times New Roman" w:hAnsi="Times New Roman" w:eastAsia="宋体" w:cs="Times New Roman"/>
          <w:color w:val="auto"/>
          <w:highlight w:val="none"/>
          <w:lang w:val="en-US" w:eastAsia="zh-CN"/>
        </w:rPr>
        <w:t>入松花江</w:t>
      </w:r>
      <w:r>
        <w:rPr>
          <w:rFonts w:hint="eastAsia" w:ascii="Times New Roman" w:hAnsi="Times New Roman" w:eastAsia="宋体" w:cs="Times New Roman"/>
          <w:color w:val="auto"/>
          <w:highlight w:val="none"/>
          <w:lang w:eastAsia="zh-CN"/>
        </w:rPr>
        <w:t>。</w:t>
      </w:r>
    </w:p>
    <w:p w14:paraId="674C0731">
      <w:pPr>
        <w:bidi w:val="0"/>
        <w:ind w:left="0" w:leftChars="0" w:firstLine="0" w:firstLineChars="0"/>
        <w:jc w:val="center"/>
        <w:rPr>
          <w:rFonts w:hint="default" w:ascii="Times New Roman" w:hAnsi="Times New Roman" w:eastAsia="宋体" w:cs="Times New Roman"/>
          <w:color w:val="auto"/>
          <w:spacing w:val="16"/>
          <w:szCs w:val="24"/>
          <w:highlight w:val="none"/>
          <w:lang w:val="en-US" w:eastAsia="zh-CN"/>
        </w:rPr>
      </w:pPr>
      <w:r>
        <w:rPr>
          <w:rFonts w:hint="default" w:ascii="Times New Roman" w:hAnsi="Times New Roman" w:eastAsia="宋体" w:cs="Times New Roman"/>
          <w:color w:val="auto"/>
          <w:highlight w:val="none"/>
        </w:rPr>
        <w:t>表2</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3-</w:t>
      </w:r>
      <w:r>
        <w:rPr>
          <w:rFonts w:hint="eastAsia" w:ascii="Times New Roman" w:hAnsi="Times New Roman" w:eastAsia="宋体" w:cs="Times New Roman"/>
          <w:color w:val="auto"/>
          <w:highlight w:val="none"/>
          <w:lang w:val="en-US" w:eastAsia="zh-CN"/>
        </w:rPr>
        <w:t>10</w:t>
      </w:r>
      <w:r>
        <w:rPr>
          <w:rFonts w:hint="default" w:ascii="Times New Roman" w:hAnsi="Times New Roman" w:eastAsia="宋体" w:cs="Times New Roman"/>
          <w:color w:val="auto"/>
          <w:highlight w:val="none"/>
        </w:rPr>
        <w:t xml:space="preserve">  本项目污染物排放标准</w:t>
      </w:r>
      <w:r>
        <w:rPr>
          <w:rFonts w:hint="default" w:ascii="Times New Roman" w:hAnsi="Times New Roman" w:eastAsia="宋体" w:cs="Times New Roman"/>
          <w:color w:val="auto"/>
          <w:highlight w:val="none"/>
          <w:lang w:val="en-US" w:eastAsia="zh-CN"/>
        </w:rPr>
        <w:t>表</w:t>
      </w:r>
    </w:p>
    <w:tbl>
      <w:tblPr>
        <w:tblStyle w:val="37"/>
        <w:tblW w:w="499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Layout w:type="fixed"/>
        <w:tblCellMar>
          <w:top w:w="0" w:type="dxa"/>
          <w:left w:w="108" w:type="dxa"/>
          <w:bottom w:w="0" w:type="dxa"/>
          <w:right w:w="108" w:type="dxa"/>
        </w:tblCellMar>
      </w:tblPr>
      <w:tblGrid>
        <w:gridCol w:w="648"/>
        <w:gridCol w:w="2915"/>
        <w:gridCol w:w="1934"/>
        <w:gridCol w:w="1583"/>
        <w:gridCol w:w="1433"/>
      </w:tblGrid>
      <w:tr w14:paraId="729EC3BD">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cantSplit/>
          <w:trHeight w:val="397" w:hRule="atLeast"/>
          <w:jc w:val="center"/>
        </w:trPr>
        <w:tc>
          <w:tcPr>
            <w:tcW w:w="380" w:type="pct"/>
            <w:vMerge w:val="restart"/>
            <w:tcBorders>
              <w:tl2br w:val="nil"/>
              <w:tr2bl w:val="nil"/>
            </w:tcBorders>
            <w:noWrap w:val="0"/>
            <w:vAlign w:val="center"/>
          </w:tcPr>
          <w:p w14:paraId="6209F9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类别</w:t>
            </w:r>
          </w:p>
        </w:tc>
        <w:tc>
          <w:tcPr>
            <w:tcW w:w="1712" w:type="pct"/>
            <w:vMerge w:val="restart"/>
            <w:tcBorders>
              <w:tl2br w:val="nil"/>
              <w:tr2bl w:val="nil"/>
            </w:tcBorders>
            <w:noWrap w:val="0"/>
            <w:vAlign w:val="center"/>
          </w:tcPr>
          <w:p w14:paraId="32653C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标准名称及级（类）别</w:t>
            </w:r>
          </w:p>
        </w:tc>
        <w:tc>
          <w:tcPr>
            <w:tcW w:w="1135" w:type="pct"/>
            <w:vMerge w:val="restart"/>
            <w:tcBorders>
              <w:tl2br w:val="nil"/>
              <w:tr2bl w:val="nil"/>
            </w:tcBorders>
            <w:noWrap w:val="0"/>
            <w:vAlign w:val="center"/>
          </w:tcPr>
          <w:p w14:paraId="7AB5FD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因子</w:t>
            </w:r>
          </w:p>
        </w:tc>
        <w:tc>
          <w:tcPr>
            <w:tcW w:w="1771" w:type="pct"/>
            <w:gridSpan w:val="2"/>
            <w:tcBorders>
              <w:tl2br w:val="nil"/>
              <w:tr2bl w:val="nil"/>
            </w:tcBorders>
            <w:noWrap w:val="0"/>
            <w:vAlign w:val="center"/>
          </w:tcPr>
          <w:p w14:paraId="29DE5B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标准值</w:t>
            </w:r>
          </w:p>
        </w:tc>
      </w:tr>
      <w:tr w14:paraId="3AF816BE">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cantSplit/>
          <w:trHeight w:val="397" w:hRule="atLeast"/>
          <w:jc w:val="center"/>
        </w:trPr>
        <w:tc>
          <w:tcPr>
            <w:tcW w:w="380" w:type="pct"/>
            <w:vMerge w:val="continue"/>
            <w:tcBorders>
              <w:tl2br w:val="nil"/>
              <w:tr2bl w:val="nil"/>
            </w:tcBorders>
            <w:noWrap w:val="0"/>
            <w:vAlign w:val="center"/>
          </w:tcPr>
          <w:p w14:paraId="40D3FE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1712" w:type="pct"/>
            <w:vMerge w:val="continue"/>
            <w:tcBorders>
              <w:tl2br w:val="nil"/>
              <w:tr2bl w:val="nil"/>
            </w:tcBorders>
            <w:noWrap w:val="0"/>
            <w:vAlign w:val="center"/>
          </w:tcPr>
          <w:p w14:paraId="5BCBB8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1135" w:type="pct"/>
            <w:vMerge w:val="continue"/>
            <w:tcBorders>
              <w:tl2br w:val="nil"/>
              <w:tr2bl w:val="nil"/>
            </w:tcBorders>
            <w:noWrap w:val="0"/>
            <w:vAlign w:val="center"/>
          </w:tcPr>
          <w:p w14:paraId="633CC8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929" w:type="pct"/>
            <w:tcBorders>
              <w:tl2br w:val="nil"/>
              <w:tr2bl w:val="nil"/>
            </w:tcBorders>
            <w:noWrap w:val="0"/>
            <w:vAlign w:val="center"/>
          </w:tcPr>
          <w:p w14:paraId="4074AD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单位</w:t>
            </w:r>
          </w:p>
        </w:tc>
        <w:tc>
          <w:tcPr>
            <w:tcW w:w="841" w:type="pct"/>
            <w:tcBorders>
              <w:tl2br w:val="nil"/>
              <w:tr2bl w:val="nil"/>
            </w:tcBorders>
            <w:noWrap w:val="0"/>
            <w:vAlign w:val="center"/>
          </w:tcPr>
          <w:p w14:paraId="5D2E97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数值</w:t>
            </w:r>
          </w:p>
        </w:tc>
      </w:tr>
      <w:tr w14:paraId="6D0D5CD3">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cantSplit/>
          <w:trHeight w:val="397" w:hRule="atLeast"/>
          <w:jc w:val="center"/>
        </w:trPr>
        <w:tc>
          <w:tcPr>
            <w:tcW w:w="380" w:type="pct"/>
            <w:vMerge w:val="restart"/>
            <w:tcBorders>
              <w:tl2br w:val="nil"/>
              <w:tr2bl w:val="nil"/>
            </w:tcBorders>
            <w:noWrap w:val="0"/>
            <w:vAlign w:val="center"/>
          </w:tcPr>
          <w:p w14:paraId="78B9D8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废水</w:t>
            </w:r>
          </w:p>
        </w:tc>
        <w:tc>
          <w:tcPr>
            <w:tcW w:w="1712" w:type="pct"/>
            <w:vMerge w:val="restart"/>
            <w:tcBorders>
              <w:tl2br w:val="nil"/>
              <w:tr2bl w:val="nil"/>
            </w:tcBorders>
            <w:noWrap w:val="0"/>
            <w:vAlign w:val="center"/>
          </w:tcPr>
          <w:p w14:paraId="22BB3E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《污水综合排放标准》（GB8978-1996）表4中三级</w:t>
            </w:r>
          </w:p>
        </w:tc>
        <w:tc>
          <w:tcPr>
            <w:tcW w:w="1135" w:type="pct"/>
            <w:tcBorders>
              <w:tl2br w:val="nil"/>
              <w:tr2bl w:val="nil"/>
            </w:tcBorders>
            <w:noWrap w:val="0"/>
            <w:vAlign w:val="center"/>
          </w:tcPr>
          <w:p w14:paraId="31DA28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pH</w:t>
            </w:r>
          </w:p>
        </w:tc>
        <w:tc>
          <w:tcPr>
            <w:tcW w:w="929" w:type="pct"/>
            <w:tcBorders>
              <w:tl2br w:val="nil"/>
              <w:tr2bl w:val="nil"/>
            </w:tcBorders>
            <w:noWrap w:val="0"/>
            <w:vAlign w:val="center"/>
          </w:tcPr>
          <w:p w14:paraId="3086A16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无量纲</w:t>
            </w:r>
          </w:p>
        </w:tc>
        <w:tc>
          <w:tcPr>
            <w:tcW w:w="841" w:type="pct"/>
            <w:tcBorders>
              <w:tl2br w:val="nil"/>
              <w:tr2bl w:val="nil"/>
            </w:tcBorders>
            <w:noWrap w:val="0"/>
            <w:vAlign w:val="center"/>
          </w:tcPr>
          <w:p w14:paraId="1D969D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6-9</w:t>
            </w:r>
          </w:p>
        </w:tc>
      </w:tr>
      <w:tr w14:paraId="3BE213DC">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cantSplit/>
          <w:trHeight w:val="397" w:hRule="atLeast"/>
          <w:jc w:val="center"/>
        </w:trPr>
        <w:tc>
          <w:tcPr>
            <w:tcW w:w="380" w:type="pct"/>
            <w:vMerge w:val="continue"/>
            <w:tcBorders>
              <w:tl2br w:val="nil"/>
              <w:tr2bl w:val="nil"/>
            </w:tcBorders>
            <w:noWrap w:val="0"/>
            <w:vAlign w:val="center"/>
          </w:tcPr>
          <w:p w14:paraId="204F71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1712" w:type="pct"/>
            <w:vMerge w:val="continue"/>
            <w:tcBorders>
              <w:tl2br w:val="nil"/>
              <w:tr2bl w:val="nil"/>
            </w:tcBorders>
            <w:noWrap w:val="0"/>
            <w:vAlign w:val="center"/>
          </w:tcPr>
          <w:p w14:paraId="058E13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1135" w:type="pct"/>
            <w:tcBorders>
              <w:tl2br w:val="nil"/>
              <w:tr2bl w:val="nil"/>
            </w:tcBorders>
            <w:noWrap w:val="0"/>
            <w:vAlign w:val="center"/>
          </w:tcPr>
          <w:p w14:paraId="50D23C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COD</w:t>
            </w:r>
          </w:p>
        </w:tc>
        <w:tc>
          <w:tcPr>
            <w:tcW w:w="929" w:type="pct"/>
            <w:tcBorders>
              <w:tl2br w:val="nil"/>
              <w:tr2bl w:val="nil"/>
            </w:tcBorders>
            <w:noWrap w:val="0"/>
            <w:vAlign w:val="center"/>
          </w:tcPr>
          <w:p w14:paraId="1FC201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mg/</w:t>
            </w:r>
            <w:r>
              <w:rPr>
                <w:rFonts w:hint="default" w:ascii="Times New Roman" w:hAnsi="Times New Roman" w:eastAsia="宋体" w:cs="Times New Roman"/>
                <w:color w:val="auto"/>
                <w:sz w:val="21"/>
                <w:szCs w:val="21"/>
                <w:highlight w:val="none"/>
                <w:lang w:val="en-US" w:eastAsia="zh-CN"/>
              </w:rPr>
              <w:t>L</w:t>
            </w:r>
          </w:p>
        </w:tc>
        <w:tc>
          <w:tcPr>
            <w:tcW w:w="841" w:type="pct"/>
            <w:tcBorders>
              <w:tl2br w:val="nil"/>
              <w:tr2bl w:val="nil"/>
            </w:tcBorders>
            <w:noWrap w:val="0"/>
            <w:vAlign w:val="center"/>
          </w:tcPr>
          <w:p w14:paraId="1FCD8B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500</w:t>
            </w:r>
          </w:p>
        </w:tc>
      </w:tr>
      <w:tr w14:paraId="0C93A917">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cantSplit/>
          <w:trHeight w:val="397" w:hRule="atLeast"/>
          <w:jc w:val="center"/>
        </w:trPr>
        <w:tc>
          <w:tcPr>
            <w:tcW w:w="380" w:type="pct"/>
            <w:vMerge w:val="continue"/>
            <w:tcBorders>
              <w:tl2br w:val="nil"/>
              <w:tr2bl w:val="nil"/>
            </w:tcBorders>
            <w:noWrap w:val="0"/>
            <w:vAlign w:val="center"/>
          </w:tcPr>
          <w:p w14:paraId="29F6E4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1712" w:type="pct"/>
            <w:vMerge w:val="continue"/>
            <w:tcBorders>
              <w:tl2br w:val="nil"/>
              <w:tr2bl w:val="nil"/>
            </w:tcBorders>
            <w:noWrap w:val="0"/>
            <w:vAlign w:val="center"/>
          </w:tcPr>
          <w:p w14:paraId="4AFD22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1135" w:type="pct"/>
            <w:tcBorders>
              <w:tl2br w:val="nil"/>
              <w:tr2bl w:val="nil"/>
            </w:tcBorders>
            <w:noWrap w:val="0"/>
            <w:vAlign w:val="center"/>
          </w:tcPr>
          <w:p w14:paraId="018BED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BOD</w:t>
            </w:r>
            <w:r>
              <w:rPr>
                <w:rFonts w:hint="default" w:ascii="Times New Roman" w:hAnsi="Times New Roman" w:eastAsia="宋体" w:cs="Times New Roman"/>
                <w:color w:val="auto"/>
                <w:sz w:val="21"/>
                <w:szCs w:val="21"/>
                <w:highlight w:val="none"/>
                <w:vertAlign w:val="subscript"/>
                <w:lang w:val="en-US" w:eastAsia="zh-CN"/>
              </w:rPr>
              <w:t>5</w:t>
            </w:r>
          </w:p>
        </w:tc>
        <w:tc>
          <w:tcPr>
            <w:tcW w:w="929" w:type="pct"/>
            <w:tcBorders>
              <w:tl2br w:val="nil"/>
              <w:tr2bl w:val="nil"/>
            </w:tcBorders>
            <w:noWrap w:val="0"/>
            <w:vAlign w:val="center"/>
          </w:tcPr>
          <w:p w14:paraId="3124689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mg/</w:t>
            </w:r>
            <w:r>
              <w:rPr>
                <w:rFonts w:hint="default" w:ascii="Times New Roman" w:hAnsi="Times New Roman" w:eastAsia="宋体" w:cs="Times New Roman"/>
                <w:color w:val="auto"/>
                <w:sz w:val="21"/>
                <w:szCs w:val="21"/>
                <w:highlight w:val="none"/>
                <w:lang w:val="en-US" w:eastAsia="zh-CN"/>
              </w:rPr>
              <w:t>L</w:t>
            </w:r>
          </w:p>
        </w:tc>
        <w:tc>
          <w:tcPr>
            <w:tcW w:w="841" w:type="pct"/>
            <w:tcBorders>
              <w:tl2br w:val="nil"/>
              <w:tr2bl w:val="nil"/>
            </w:tcBorders>
            <w:noWrap w:val="0"/>
            <w:vAlign w:val="center"/>
          </w:tcPr>
          <w:p w14:paraId="284EB4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300</w:t>
            </w:r>
          </w:p>
        </w:tc>
      </w:tr>
      <w:tr w14:paraId="7BE4A7F1">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cantSplit/>
          <w:trHeight w:val="397" w:hRule="atLeast"/>
          <w:jc w:val="center"/>
        </w:trPr>
        <w:tc>
          <w:tcPr>
            <w:tcW w:w="380" w:type="pct"/>
            <w:vMerge w:val="continue"/>
            <w:tcBorders>
              <w:tl2br w:val="nil"/>
              <w:tr2bl w:val="nil"/>
            </w:tcBorders>
            <w:noWrap w:val="0"/>
            <w:vAlign w:val="center"/>
          </w:tcPr>
          <w:p w14:paraId="54723A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1712" w:type="pct"/>
            <w:vMerge w:val="continue"/>
            <w:tcBorders>
              <w:tl2br w:val="nil"/>
              <w:tr2bl w:val="nil"/>
            </w:tcBorders>
            <w:noWrap w:val="0"/>
            <w:vAlign w:val="center"/>
          </w:tcPr>
          <w:p w14:paraId="44A539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1135" w:type="pct"/>
            <w:tcBorders>
              <w:tl2br w:val="nil"/>
              <w:tr2bl w:val="nil"/>
            </w:tcBorders>
            <w:noWrap w:val="0"/>
            <w:vAlign w:val="center"/>
          </w:tcPr>
          <w:p w14:paraId="34B7AC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SS</w:t>
            </w:r>
          </w:p>
        </w:tc>
        <w:tc>
          <w:tcPr>
            <w:tcW w:w="929" w:type="pct"/>
            <w:tcBorders>
              <w:tl2br w:val="nil"/>
              <w:tr2bl w:val="nil"/>
            </w:tcBorders>
            <w:noWrap w:val="0"/>
            <w:vAlign w:val="center"/>
          </w:tcPr>
          <w:p w14:paraId="2E2D62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mg/</w:t>
            </w:r>
            <w:r>
              <w:rPr>
                <w:rFonts w:hint="default" w:ascii="Times New Roman" w:hAnsi="Times New Roman" w:eastAsia="宋体" w:cs="Times New Roman"/>
                <w:color w:val="auto"/>
                <w:sz w:val="21"/>
                <w:szCs w:val="21"/>
                <w:highlight w:val="none"/>
                <w:lang w:val="en-US" w:eastAsia="zh-CN"/>
              </w:rPr>
              <w:t>L</w:t>
            </w:r>
          </w:p>
        </w:tc>
        <w:tc>
          <w:tcPr>
            <w:tcW w:w="841" w:type="pct"/>
            <w:tcBorders>
              <w:tl2br w:val="nil"/>
              <w:tr2bl w:val="nil"/>
            </w:tcBorders>
            <w:noWrap w:val="0"/>
            <w:vAlign w:val="center"/>
          </w:tcPr>
          <w:p w14:paraId="52071D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400</w:t>
            </w:r>
          </w:p>
        </w:tc>
      </w:tr>
      <w:tr w14:paraId="6981B629">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cantSplit/>
          <w:trHeight w:val="397" w:hRule="atLeast"/>
          <w:jc w:val="center"/>
        </w:trPr>
        <w:tc>
          <w:tcPr>
            <w:tcW w:w="380" w:type="pct"/>
            <w:vMerge w:val="continue"/>
            <w:tcBorders>
              <w:tl2br w:val="nil"/>
              <w:tr2bl w:val="nil"/>
            </w:tcBorders>
            <w:noWrap w:val="0"/>
            <w:vAlign w:val="center"/>
          </w:tcPr>
          <w:p w14:paraId="34FC1F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1712" w:type="pct"/>
            <w:vMerge w:val="continue"/>
            <w:tcBorders>
              <w:tl2br w:val="nil"/>
              <w:tr2bl w:val="nil"/>
            </w:tcBorders>
            <w:noWrap w:val="0"/>
            <w:vAlign w:val="center"/>
          </w:tcPr>
          <w:p w14:paraId="09B6ED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1135" w:type="pct"/>
            <w:tcBorders>
              <w:tl2br w:val="nil"/>
              <w:tr2bl w:val="nil"/>
            </w:tcBorders>
            <w:noWrap w:val="0"/>
            <w:vAlign w:val="center"/>
          </w:tcPr>
          <w:p w14:paraId="59D142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氨氮</w:t>
            </w:r>
          </w:p>
        </w:tc>
        <w:tc>
          <w:tcPr>
            <w:tcW w:w="929" w:type="pct"/>
            <w:tcBorders>
              <w:tl2br w:val="nil"/>
              <w:tr2bl w:val="nil"/>
            </w:tcBorders>
            <w:noWrap w:val="0"/>
            <w:vAlign w:val="center"/>
          </w:tcPr>
          <w:p w14:paraId="5BEBD9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mg/</w:t>
            </w:r>
            <w:r>
              <w:rPr>
                <w:rFonts w:hint="default" w:ascii="Times New Roman" w:hAnsi="Times New Roman" w:eastAsia="宋体" w:cs="Times New Roman"/>
                <w:color w:val="auto"/>
                <w:sz w:val="21"/>
                <w:szCs w:val="21"/>
                <w:highlight w:val="none"/>
                <w:lang w:val="en-US" w:eastAsia="zh-CN"/>
              </w:rPr>
              <w:t>L</w:t>
            </w:r>
          </w:p>
        </w:tc>
        <w:tc>
          <w:tcPr>
            <w:tcW w:w="841" w:type="pct"/>
            <w:tcBorders>
              <w:tl2br w:val="nil"/>
              <w:tr2bl w:val="nil"/>
            </w:tcBorders>
            <w:noWrap w:val="0"/>
            <w:vAlign w:val="center"/>
          </w:tcPr>
          <w:p w14:paraId="7F4333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w:t>
            </w:r>
          </w:p>
        </w:tc>
      </w:tr>
      <w:tr w14:paraId="303B375F">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cantSplit/>
          <w:trHeight w:val="397" w:hRule="atLeast"/>
          <w:jc w:val="center"/>
        </w:trPr>
        <w:tc>
          <w:tcPr>
            <w:tcW w:w="380" w:type="pct"/>
            <w:vMerge w:val="continue"/>
            <w:tcBorders>
              <w:tl2br w:val="nil"/>
              <w:tr2bl w:val="nil"/>
            </w:tcBorders>
            <w:noWrap w:val="0"/>
            <w:vAlign w:val="center"/>
          </w:tcPr>
          <w:p w14:paraId="57FCE3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1712" w:type="pct"/>
            <w:vMerge w:val="continue"/>
            <w:tcBorders>
              <w:tl2br w:val="nil"/>
              <w:tr2bl w:val="nil"/>
            </w:tcBorders>
            <w:noWrap w:val="0"/>
            <w:vAlign w:val="center"/>
          </w:tcPr>
          <w:p w14:paraId="560B2D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1135" w:type="pct"/>
            <w:tcBorders>
              <w:tl2br w:val="nil"/>
              <w:tr2bl w:val="nil"/>
            </w:tcBorders>
            <w:noWrap w:val="0"/>
            <w:vAlign w:val="center"/>
          </w:tcPr>
          <w:p w14:paraId="3C6E761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总氮</w:t>
            </w:r>
          </w:p>
        </w:tc>
        <w:tc>
          <w:tcPr>
            <w:tcW w:w="929" w:type="pct"/>
            <w:tcBorders>
              <w:tl2br w:val="nil"/>
              <w:tr2bl w:val="nil"/>
            </w:tcBorders>
            <w:noWrap w:val="0"/>
            <w:vAlign w:val="center"/>
          </w:tcPr>
          <w:p w14:paraId="1F56AA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mg/</w:t>
            </w:r>
            <w:r>
              <w:rPr>
                <w:rFonts w:hint="default" w:ascii="Times New Roman" w:hAnsi="Times New Roman" w:eastAsia="宋体" w:cs="Times New Roman"/>
                <w:color w:val="auto"/>
                <w:sz w:val="21"/>
                <w:szCs w:val="21"/>
                <w:highlight w:val="none"/>
                <w:lang w:val="en-US" w:eastAsia="zh-CN"/>
              </w:rPr>
              <w:t>L</w:t>
            </w:r>
          </w:p>
        </w:tc>
        <w:tc>
          <w:tcPr>
            <w:tcW w:w="841" w:type="pct"/>
            <w:tcBorders>
              <w:tl2br w:val="nil"/>
              <w:tr2bl w:val="nil"/>
            </w:tcBorders>
            <w:noWrap w:val="0"/>
            <w:vAlign w:val="center"/>
          </w:tcPr>
          <w:p w14:paraId="4E3A20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w:t>
            </w:r>
          </w:p>
        </w:tc>
      </w:tr>
      <w:tr w14:paraId="29A62642">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cantSplit/>
          <w:trHeight w:val="397" w:hRule="atLeast"/>
          <w:jc w:val="center"/>
        </w:trPr>
        <w:tc>
          <w:tcPr>
            <w:tcW w:w="380" w:type="pct"/>
            <w:vMerge w:val="continue"/>
            <w:tcBorders>
              <w:tl2br w:val="nil"/>
              <w:tr2bl w:val="nil"/>
            </w:tcBorders>
            <w:noWrap w:val="0"/>
            <w:vAlign w:val="center"/>
          </w:tcPr>
          <w:p w14:paraId="1685E64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1712" w:type="pct"/>
            <w:vMerge w:val="continue"/>
            <w:tcBorders>
              <w:tl2br w:val="nil"/>
              <w:tr2bl w:val="nil"/>
            </w:tcBorders>
            <w:noWrap w:val="0"/>
            <w:vAlign w:val="center"/>
          </w:tcPr>
          <w:p w14:paraId="02D9DC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1135" w:type="pct"/>
            <w:tcBorders>
              <w:tl2br w:val="nil"/>
              <w:tr2bl w:val="nil"/>
            </w:tcBorders>
            <w:noWrap w:val="0"/>
            <w:vAlign w:val="center"/>
          </w:tcPr>
          <w:p w14:paraId="0551F6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总磷</w:t>
            </w:r>
          </w:p>
        </w:tc>
        <w:tc>
          <w:tcPr>
            <w:tcW w:w="929" w:type="pct"/>
            <w:tcBorders>
              <w:tl2br w:val="nil"/>
              <w:tr2bl w:val="nil"/>
            </w:tcBorders>
            <w:noWrap w:val="0"/>
            <w:vAlign w:val="center"/>
          </w:tcPr>
          <w:p w14:paraId="2718A5C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mg/</w:t>
            </w:r>
            <w:r>
              <w:rPr>
                <w:rFonts w:hint="default" w:ascii="Times New Roman" w:hAnsi="Times New Roman" w:eastAsia="宋体" w:cs="Times New Roman"/>
                <w:color w:val="auto"/>
                <w:sz w:val="21"/>
                <w:szCs w:val="21"/>
                <w:highlight w:val="none"/>
                <w:lang w:val="en-US" w:eastAsia="zh-CN"/>
              </w:rPr>
              <w:t>L</w:t>
            </w:r>
          </w:p>
        </w:tc>
        <w:tc>
          <w:tcPr>
            <w:tcW w:w="841" w:type="pct"/>
            <w:tcBorders>
              <w:tl2br w:val="nil"/>
              <w:tr2bl w:val="nil"/>
            </w:tcBorders>
            <w:noWrap w:val="0"/>
            <w:vAlign w:val="center"/>
          </w:tcPr>
          <w:p w14:paraId="2825A28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bl>
    <w:p w14:paraId="3C21125B">
      <w:pPr>
        <w:ind w:firstLine="48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3.</w:t>
      </w:r>
      <w:r>
        <w:rPr>
          <w:rFonts w:hint="default" w:ascii="Times New Roman" w:hAnsi="Times New Roman" w:eastAsia="宋体" w:cs="Times New Roman"/>
          <w:color w:val="auto"/>
          <w:highlight w:val="none"/>
        </w:rPr>
        <w:t>噪声排放标准</w:t>
      </w:r>
    </w:p>
    <w:p w14:paraId="0E4E43FB">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本项目施工期噪声排放执行</w:t>
      </w:r>
      <w:r>
        <w:rPr>
          <w:rFonts w:hint="eastAsia" w:ascii="Times New Roman" w:hAnsi="Times New Roman" w:eastAsia="宋体" w:cs="Times New Roman"/>
          <w:color w:val="auto"/>
          <w:highlight w:val="none"/>
          <w:lang w:eastAsia="zh-CN"/>
        </w:rPr>
        <w:t>《建筑施工噪声排放标准》（GB12523-2025）</w:t>
      </w:r>
      <w:r>
        <w:rPr>
          <w:rFonts w:hint="default" w:ascii="Times New Roman" w:hAnsi="Times New Roman" w:eastAsia="宋体" w:cs="Times New Roman"/>
          <w:color w:val="auto"/>
          <w:highlight w:val="none"/>
        </w:rPr>
        <w:t>表1中标准限值。运营期</w:t>
      </w:r>
      <w:r>
        <w:rPr>
          <w:rFonts w:hint="eastAsia" w:ascii="Times New Roman" w:hAnsi="Times New Roman" w:eastAsia="宋体" w:cs="Times New Roman"/>
          <w:color w:val="auto"/>
          <w:highlight w:val="none"/>
          <w:lang w:eastAsia="zh-CN"/>
        </w:rPr>
        <w:t>厂界</w:t>
      </w:r>
      <w:r>
        <w:rPr>
          <w:rFonts w:hint="default" w:ascii="Times New Roman" w:hAnsi="Times New Roman" w:eastAsia="宋体" w:cs="Times New Roman"/>
          <w:color w:val="auto"/>
          <w:highlight w:val="none"/>
        </w:rPr>
        <w:t>噪声执行《工业企业厂界环境噪声排放标准》（GB12348-2008）</w:t>
      </w:r>
      <w:r>
        <w:rPr>
          <w:rFonts w:hint="eastAsia"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类标准</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具体标准值见表2.3-</w:t>
      </w:r>
      <w:r>
        <w:rPr>
          <w:rFonts w:hint="default" w:ascii="Times New Roman" w:hAnsi="Times New Roman" w:eastAsia="宋体" w:cs="Times New Roman"/>
          <w:color w:val="auto"/>
          <w:highlight w:val="none"/>
          <w:lang w:val="en-US" w:eastAsia="zh-CN"/>
        </w:rPr>
        <w:t>1</w:t>
      </w:r>
      <w:r>
        <w:rPr>
          <w:rFonts w:hint="eastAsia"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w:t>
      </w:r>
    </w:p>
    <w:p w14:paraId="3EF55F61">
      <w:pPr>
        <w:ind w:firstLine="0" w:firstLineChars="0"/>
        <w:jc w:val="center"/>
        <w:rPr>
          <w:rFonts w:hint="default" w:ascii="Times New Roman" w:hAnsi="Times New Roman" w:eastAsia="宋体" w:cs="Times New Roman"/>
          <w:color w:val="auto"/>
          <w:highlight w:val="none"/>
        </w:rPr>
      </w:pPr>
    </w:p>
    <w:p w14:paraId="1804B71C">
      <w:pPr>
        <w:ind w:firstLine="0" w:firstLineChars="0"/>
        <w:jc w:val="center"/>
        <w:rPr>
          <w:rFonts w:hint="default" w:ascii="Times New Roman" w:hAnsi="Times New Roman" w:eastAsia="宋体" w:cs="Times New Roman"/>
          <w:color w:val="auto"/>
          <w:highlight w:val="none"/>
        </w:rPr>
      </w:pPr>
    </w:p>
    <w:p w14:paraId="3FE91077">
      <w:pPr>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表2.3-</w:t>
      </w:r>
      <w:r>
        <w:rPr>
          <w:rFonts w:hint="default" w:ascii="Times New Roman" w:hAnsi="Times New Roman" w:eastAsia="宋体" w:cs="Times New Roman"/>
          <w:color w:val="auto"/>
          <w:highlight w:val="none"/>
          <w:lang w:val="en-US" w:eastAsia="zh-CN"/>
        </w:rPr>
        <w:t>1</w:t>
      </w:r>
      <w:r>
        <w:rPr>
          <w:rFonts w:hint="eastAsia"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噪声排放标准值</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833"/>
        <w:gridCol w:w="1042"/>
        <w:gridCol w:w="914"/>
        <w:gridCol w:w="851"/>
        <w:gridCol w:w="3882"/>
      </w:tblGrid>
      <w:tr w14:paraId="779B105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21" w:hRule="atLeast"/>
          <w:jc w:val="center"/>
        </w:trPr>
        <w:tc>
          <w:tcPr>
            <w:tcW w:w="1075" w:type="pct"/>
            <w:vMerge w:val="restart"/>
            <w:vAlign w:val="center"/>
          </w:tcPr>
          <w:p w14:paraId="04EDD6EC">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对象</w:t>
            </w:r>
          </w:p>
        </w:tc>
        <w:tc>
          <w:tcPr>
            <w:tcW w:w="611" w:type="pct"/>
            <w:vMerge w:val="restart"/>
            <w:vAlign w:val="center"/>
          </w:tcPr>
          <w:p w14:paraId="1FA7E8CA">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单位</w:t>
            </w:r>
          </w:p>
        </w:tc>
        <w:tc>
          <w:tcPr>
            <w:tcW w:w="1035" w:type="pct"/>
            <w:gridSpan w:val="2"/>
            <w:vAlign w:val="center"/>
          </w:tcPr>
          <w:p w14:paraId="587416F9">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标准限值</w:t>
            </w:r>
          </w:p>
        </w:tc>
        <w:tc>
          <w:tcPr>
            <w:tcW w:w="2277" w:type="pct"/>
            <w:vMerge w:val="restart"/>
            <w:vAlign w:val="center"/>
          </w:tcPr>
          <w:p w14:paraId="58E356A4">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标准来源</w:t>
            </w:r>
          </w:p>
        </w:tc>
      </w:tr>
      <w:tr w14:paraId="3170BA3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84" w:hRule="atLeast"/>
          <w:jc w:val="center"/>
        </w:trPr>
        <w:tc>
          <w:tcPr>
            <w:tcW w:w="1075" w:type="pct"/>
            <w:vMerge w:val="continue"/>
            <w:vAlign w:val="center"/>
          </w:tcPr>
          <w:p w14:paraId="5FCCFF26">
            <w:pPr>
              <w:pStyle w:val="63"/>
              <w:rPr>
                <w:rFonts w:hint="default" w:ascii="Times New Roman" w:hAnsi="Times New Roman" w:eastAsia="宋体" w:cs="Times New Roman"/>
                <w:color w:val="auto"/>
                <w:highlight w:val="none"/>
              </w:rPr>
            </w:pPr>
          </w:p>
        </w:tc>
        <w:tc>
          <w:tcPr>
            <w:tcW w:w="611" w:type="pct"/>
            <w:vMerge w:val="continue"/>
            <w:vAlign w:val="center"/>
          </w:tcPr>
          <w:p w14:paraId="755F3E8B">
            <w:pPr>
              <w:pStyle w:val="63"/>
              <w:rPr>
                <w:rFonts w:hint="default" w:ascii="Times New Roman" w:hAnsi="Times New Roman" w:eastAsia="宋体" w:cs="Times New Roman"/>
                <w:color w:val="auto"/>
                <w:highlight w:val="none"/>
              </w:rPr>
            </w:pPr>
          </w:p>
        </w:tc>
        <w:tc>
          <w:tcPr>
            <w:tcW w:w="536" w:type="pct"/>
            <w:vAlign w:val="center"/>
          </w:tcPr>
          <w:p w14:paraId="681E058D">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昼间</w:t>
            </w:r>
          </w:p>
        </w:tc>
        <w:tc>
          <w:tcPr>
            <w:tcW w:w="499" w:type="pct"/>
            <w:vAlign w:val="center"/>
          </w:tcPr>
          <w:p w14:paraId="7866BBB2">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夜间</w:t>
            </w:r>
          </w:p>
        </w:tc>
        <w:tc>
          <w:tcPr>
            <w:tcW w:w="2277" w:type="pct"/>
            <w:vMerge w:val="continue"/>
            <w:vAlign w:val="center"/>
          </w:tcPr>
          <w:p w14:paraId="24F36802">
            <w:pPr>
              <w:pStyle w:val="63"/>
              <w:rPr>
                <w:rFonts w:hint="default" w:ascii="Times New Roman" w:hAnsi="Times New Roman" w:eastAsia="宋体" w:cs="Times New Roman"/>
                <w:color w:val="auto"/>
                <w:highlight w:val="none"/>
              </w:rPr>
            </w:pPr>
          </w:p>
        </w:tc>
      </w:tr>
      <w:tr w14:paraId="3E5DB7A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7" w:hRule="atLeast"/>
          <w:jc w:val="center"/>
        </w:trPr>
        <w:tc>
          <w:tcPr>
            <w:tcW w:w="1075" w:type="pct"/>
            <w:vAlign w:val="center"/>
          </w:tcPr>
          <w:p w14:paraId="14748170">
            <w:pPr>
              <w:pStyle w:val="63"/>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运营期</w:t>
            </w:r>
            <w:r>
              <w:rPr>
                <w:rFonts w:hint="default" w:ascii="Times New Roman" w:hAnsi="Times New Roman" w:eastAsia="宋体" w:cs="Times New Roman"/>
                <w:color w:val="auto"/>
                <w:highlight w:val="none"/>
              </w:rPr>
              <w:t>厂界噪声</w:t>
            </w:r>
          </w:p>
        </w:tc>
        <w:tc>
          <w:tcPr>
            <w:tcW w:w="611" w:type="pct"/>
            <w:vAlign w:val="center"/>
          </w:tcPr>
          <w:p w14:paraId="6A4DCA45">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dB</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A</w:t>
            </w:r>
            <w:r>
              <w:rPr>
                <w:rFonts w:hint="eastAsia" w:ascii="Times New Roman" w:hAnsi="Times New Roman" w:eastAsia="宋体" w:cs="Times New Roman"/>
                <w:color w:val="auto"/>
                <w:highlight w:val="none"/>
                <w:lang w:eastAsia="zh-CN"/>
              </w:rPr>
              <w:t>)</w:t>
            </w:r>
          </w:p>
        </w:tc>
        <w:tc>
          <w:tcPr>
            <w:tcW w:w="536" w:type="pct"/>
            <w:vAlign w:val="center"/>
          </w:tcPr>
          <w:p w14:paraId="6FC5E9C2">
            <w:pPr>
              <w:pStyle w:val="63"/>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65</w:t>
            </w:r>
          </w:p>
        </w:tc>
        <w:tc>
          <w:tcPr>
            <w:tcW w:w="499" w:type="pct"/>
            <w:vAlign w:val="center"/>
          </w:tcPr>
          <w:p w14:paraId="6D794C1F">
            <w:pPr>
              <w:pStyle w:val="63"/>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55</w:t>
            </w:r>
          </w:p>
        </w:tc>
        <w:tc>
          <w:tcPr>
            <w:tcW w:w="2277" w:type="pct"/>
            <w:vAlign w:val="center"/>
          </w:tcPr>
          <w:p w14:paraId="1CDEEBEE">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《工业企业厂界环境噪声排放标准》（GB12348-2008）表1中</w:t>
            </w:r>
            <w:r>
              <w:rPr>
                <w:rFonts w:hint="eastAsia"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类标准</w:t>
            </w:r>
          </w:p>
        </w:tc>
      </w:tr>
      <w:tr w14:paraId="28416AE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0" w:hRule="atLeast"/>
          <w:jc w:val="center"/>
        </w:trPr>
        <w:tc>
          <w:tcPr>
            <w:tcW w:w="1075" w:type="pct"/>
            <w:vAlign w:val="center"/>
          </w:tcPr>
          <w:p w14:paraId="159F9C3D">
            <w:pPr>
              <w:pStyle w:val="63"/>
              <w:ind w:firstLine="0" w:firstLineChars="0"/>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highlight w:val="none"/>
              </w:rPr>
              <w:t>施工期厂界噪声</w:t>
            </w:r>
          </w:p>
        </w:tc>
        <w:tc>
          <w:tcPr>
            <w:tcW w:w="611" w:type="pct"/>
            <w:vAlign w:val="center"/>
          </w:tcPr>
          <w:p w14:paraId="2EC1BA4C">
            <w:pPr>
              <w:pStyle w:val="63"/>
              <w:ind w:firstLine="0" w:firstLineChars="0"/>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highlight w:val="none"/>
              </w:rPr>
              <w:t>dB</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A</w:t>
            </w:r>
            <w:r>
              <w:rPr>
                <w:rFonts w:hint="eastAsia" w:ascii="Times New Roman" w:hAnsi="Times New Roman" w:eastAsia="宋体" w:cs="Times New Roman"/>
                <w:color w:val="auto"/>
                <w:highlight w:val="none"/>
                <w:lang w:eastAsia="zh-CN"/>
              </w:rPr>
              <w:t>)</w:t>
            </w:r>
          </w:p>
        </w:tc>
        <w:tc>
          <w:tcPr>
            <w:tcW w:w="536" w:type="pct"/>
            <w:vAlign w:val="center"/>
          </w:tcPr>
          <w:p w14:paraId="7A3348DF">
            <w:pPr>
              <w:pStyle w:val="63"/>
              <w:ind w:firstLine="0" w:firstLineChars="0"/>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highlight w:val="none"/>
              </w:rPr>
              <w:t>70</w:t>
            </w:r>
          </w:p>
        </w:tc>
        <w:tc>
          <w:tcPr>
            <w:tcW w:w="499" w:type="pct"/>
            <w:vAlign w:val="center"/>
          </w:tcPr>
          <w:p w14:paraId="2F8E9247">
            <w:pPr>
              <w:pStyle w:val="63"/>
              <w:ind w:firstLine="0" w:firstLineChars="0"/>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highlight w:val="none"/>
              </w:rPr>
              <w:t>55</w:t>
            </w:r>
          </w:p>
        </w:tc>
        <w:tc>
          <w:tcPr>
            <w:tcW w:w="2277" w:type="pct"/>
            <w:vAlign w:val="center"/>
          </w:tcPr>
          <w:p w14:paraId="2E94E940">
            <w:pPr>
              <w:pStyle w:val="63"/>
              <w:ind w:firstLine="0" w:firstLineChars="0"/>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highlight w:val="none"/>
                <w:lang w:eastAsia="zh-CN"/>
              </w:rPr>
              <w:t>《建筑施工噪声排放标准》（GB12523-2025）</w:t>
            </w:r>
          </w:p>
        </w:tc>
      </w:tr>
    </w:tbl>
    <w:p w14:paraId="418B8D6A">
      <w:pPr>
        <w:ind w:firstLine="48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4.</w:t>
      </w:r>
      <w:r>
        <w:rPr>
          <w:rFonts w:hint="default" w:ascii="Times New Roman" w:hAnsi="Times New Roman" w:eastAsia="宋体" w:cs="Times New Roman"/>
          <w:color w:val="auto"/>
          <w:highlight w:val="none"/>
        </w:rPr>
        <w:t>固体废物排放标准</w:t>
      </w:r>
    </w:p>
    <w:p w14:paraId="408D0866">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本项目所排放的固体废物应执行《一般工业固体废物贮存和填埋</w:t>
      </w:r>
      <w:r>
        <w:rPr>
          <w:rFonts w:hint="eastAsia" w:ascii="Times New Roman" w:hAnsi="Times New Roman" w:eastAsia="宋体" w:cs="Times New Roman"/>
          <w:color w:val="auto"/>
          <w:highlight w:val="none"/>
          <w:lang w:eastAsia="zh-CN"/>
        </w:rPr>
        <w:t>污染</w:t>
      </w:r>
      <w:r>
        <w:rPr>
          <w:rFonts w:hint="default" w:ascii="Times New Roman" w:hAnsi="Times New Roman" w:eastAsia="宋体" w:cs="Times New Roman"/>
          <w:color w:val="auto"/>
          <w:highlight w:val="none"/>
        </w:rPr>
        <w:t>控制标准》（GB 18599-2020）</w:t>
      </w:r>
      <w:r>
        <w:rPr>
          <w:rFonts w:hint="eastAsia" w:ascii="Times New Roman" w:hAnsi="Times New Roman" w:eastAsia="宋体" w:cs="Times New Roman"/>
          <w:color w:val="auto"/>
          <w:highlight w:val="none"/>
          <w:lang w:eastAsia="zh-CN"/>
        </w:rPr>
        <w:t>、《固体废物分类与代码目录》</w:t>
      </w:r>
      <w:r>
        <w:rPr>
          <w:rFonts w:hint="default" w:ascii="Times New Roman" w:hAnsi="Times New Roman" w:eastAsia="宋体" w:cs="Times New Roman"/>
          <w:color w:val="auto"/>
          <w:highlight w:val="none"/>
        </w:rPr>
        <w:t>及《危险废物贮存污染控制标准》（GB18597-20</w:t>
      </w:r>
      <w:r>
        <w:rPr>
          <w:rFonts w:hint="default" w:ascii="Times New Roman" w:hAnsi="Times New Roman" w:eastAsia="宋体" w:cs="Times New Roman"/>
          <w:color w:val="auto"/>
          <w:highlight w:val="none"/>
          <w:lang w:val="en-US" w:eastAsia="zh-CN"/>
        </w:rPr>
        <w:t>23</w:t>
      </w:r>
      <w:r>
        <w:rPr>
          <w:rFonts w:hint="default" w:ascii="Times New Roman" w:hAnsi="Times New Roman" w:eastAsia="宋体" w:cs="Times New Roman"/>
          <w:color w:val="auto"/>
          <w:highlight w:val="none"/>
        </w:rPr>
        <w:t>）。</w:t>
      </w:r>
    </w:p>
    <w:p w14:paraId="31AC0101">
      <w:pPr>
        <w:pStyle w:val="4"/>
        <w:numPr>
          <w:ilvl w:val="1"/>
          <w:numId w:val="3"/>
        </w:numPr>
        <w:ind w:left="567" w:leftChars="0" w:hanging="567" w:firstLineChars="0"/>
        <w:outlineLvl w:val="1"/>
        <w:rPr>
          <w:rFonts w:hint="default" w:ascii="Times New Roman" w:hAnsi="Times New Roman" w:eastAsia="宋体" w:cs="Times New Roman"/>
          <w:b/>
          <w:bCs/>
          <w:color w:val="auto"/>
          <w:highlight w:val="none"/>
        </w:rPr>
      </w:pPr>
      <w:bookmarkStart w:id="129" w:name="_Toc24658"/>
      <w:bookmarkStart w:id="130" w:name="_Toc21922"/>
      <w:r>
        <w:rPr>
          <w:rFonts w:hint="default" w:ascii="Times New Roman" w:hAnsi="Times New Roman" w:eastAsia="宋体" w:cs="Times New Roman"/>
          <w:b/>
          <w:bCs/>
          <w:color w:val="auto"/>
          <w:highlight w:val="none"/>
        </w:rPr>
        <w:t>评价工作等级和评价范围</w:t>
      </w:r>
      <w:bookmarkEnd w:id="129"/>
      <w:bookmarkEnd w:id="130"/>
    </w:p>
    <w:p w14:paraId="33BAC041">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131" w:name="_Toc5586"/>
      <w:bookmarkStart w:id="132" w:name="_Toc105659877"/>
      <w:bookmarkStart w:id="133" w:name="_Toc28337"/>
      <w:bookmarkStart w:id="134" w:name="_Toc3074"/>
      <w:bookmarkStart w:id="135" w:name="_Toc29043"/>
      <w:bookmarkStart w:id="136" w:name="_Toc107238094"/>
      <w:r>
        <w:rPr>
          <w:rFonts w:hint="default" w:ascii="Times New Roman" w:hAnsi="Times New Roman" w:eastAsia="宋体" w:cs="Times New Roman"/>
          <w:color w:val="auto"/>
          <w:highlight w:val="none"/>
        </w:rPr>
        <w:t>环境空气</w:t>
      </w:r>
      <w:bookmarkEnd w:id="131"/>
      <w:bookmarkEnd w:id="132"/>
      <w:bookmarkEnd w:id="133"/>
      <w:bookmarkEnd w:id="134"/>
      <w:bookmarkEnd w:id="135"/>
      <w:bookmarkEnd w:id="136"/>
    </w:p>
    <w:p w14:paraId="44455AA7">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评价工作等级</w:t>
      </w:r>
    </w:p>
    <w:p w14:paraId="43A811E1">
      <w:pPr>
        <w:pStyle w:val="93"/>
        <w:keepNext w:val="0"/>
        <w:keepLines w:val="0"/>
        <w:pageBreakBefore w:val="0"/>
        <w:widowControl w:val="0"/>
        <w:kinsoku/>
        <w:wordWrap/>
        <w:overflowPunct/>
        <w:topLinePunct w:val="0"/>
        <w:autoSpaceDE/>
        <w:autoSpaceDN/>
        <w:bidi w:val="0"/>
        <w:adjustRightInd/>
        <w:snapToGrid/>
        <w:spacing w:line="360" w:lineRule="auto"/>
        <w:ind w:leftChars="0" w:firstLine="480" w:firstLineChars="200"/>
        <w:jc w:val="both"/>
        <w:textAlignment w:val="auto"/>
        <w:outlineLvl w:val="9"/>
        <w:rPr>
          <w:rFonts w:hint="default" w:ascii="Times New Roman" w:hAnsi="Times New Roman" w:eastAsia="宋体" w:cs="Times New Roman"/>
          <w:color w:val="auto"/>
          <w:spacing w:val="0"/>
          <w:sz w:val="24"/>
          <w:szCs w:val="24"/>
          <w:highlight w:val="none"/>
          <w:vertAlign w:val="baseline"/>
          <w:lang w:val="en-US" w:eastAsia="zh-CN"/>
        </w:rPr>
      </w:pPr>
      <w:r>
        <w:rPr>
          <w:rFonts w:hint="default" w:ascii="Times New Roman" w:hAnsi="Times New Roman" w:eastAsia="宋体" w:cs="Times New Roman"/>
          <w:color w:val="auto"/>
          <w:spacing w:val="0"/>
          <w:sz w:val="24"/>
          <w:highlight w:val="none"/>
          <w:lang w:val="en-US" w:eastAsia="zh-CN"/>
        </w:rPr>
        <w:t>依据</w:t>
      </w:r>
      <w:r>
        <w:rPr>
          <w:rFonts w:hint="default" w:ascii="Times New Roman" w:hAnsi="Times New Roman" w:eastAsia="宋体" w:cs="Times New Roman"/>
          <w:color w:val="auto"/>
          <w:spacing w:val="0"/>
          <w:sz w:val="24"/>
          <w:highlight w:val="none"/>
        </w:rPr>
        <w:t>《环境影响评价技术导则 大气环境（HJ2.2-20</w:t>
      </w:r>
      <w:r>
        <w:rPr>
          <w:rFonts w:hint="default" w:ascii="Times New Roman" w:hAnsi="Times New Roman" w:eastAsia="宋体" w:cs="Times New Roman"/>
          <w:color w:val="auto"/>
          <w:spacing w:val="0"/>
          <w:sz w:val="24"/>
          <w:highlight w:val="none"/>
          <w:lang w:val="en-US" w:eastAsia="zh-CN"/>
        </w:rPr>
        <w:t>1</w:t>
      </w:r>
      <w:r>
        <w:rPr>
          <w:rFonts w:hint="default" w:ascii="Times New Roman" w:hAnsi="Times New Roman" w:eastAsia="宋体" w:cs="Times New Roman"/>
          <w:color w:val="auto"/>
          <w:spacing w:val="0"/>
          <w:sz w:val="24"/>
          <w:highlight w:val="none"/>
        </w:rPr>
        <w:t>8）</w:t>
      </w:r>
      <w:r>
        <w:rPr>
          <w:rFonts w:hint="default" w:ascii="Times New Roman" w:hAnsi="Times New Roman" w:eastAsia="宋体" w:cs="Times New Roman"/>
          <w:color w:val="auto"/>
          <w:spacing w:val="0"/>
          <w:sz w:val="24"/>
          <w:highlight w:val="none"/>
          <w:lang w:eastAsia="zh-CN"/>
        </w:rPr>
        <w:t>》</w:t>
      </w:r>
      <w:r>
        <w:rPr>
          <w:rFonts w:hint="default" w:ascii="Times New Roman" w:hAnsi="Times New Roman" w:eastAsia="宋体" w:cs="Times New Roman"/>
          <w:color w:val="auto"/>
          <w:spacing w:val="0"/>
          <w:sz w:val="24"/>
          <w:highlight w:val="none"/>
          <w:lang w:val="en-US" w:eastAsia="zh-CN"/>
        </w:rPr>
        <w:t>中</w:t>
      </w:r>
      <w:r>
        <w:rPr>
          <w:rFonts w:hint="eastAsia" w:eastAsia="宋体" w:cs="Times New Roman"/>
          <w:color w:val="auto"/>
          <w:spacing w:val="0"/>
          <w:sz w:val="24"/>
          <w:highlight w:val="none"/>
          <w:lang w:eastAsia="zh-CN"/>
        </w:rPr>
        <w:t>“</w:t>
      </w:r>
      <w:r>
        <w:rPr>
          <w:rFonts w:hint="default" w:ascii="Times New Roman" w:hAnsi="Times New Roman" w:eastAsia="宋体" w:cs="Times New Roman"/>
          <w:color w:val="auto"/>
          <w:spacing w:val="0"/>
          <w:sz w:val="24"/>
          <w:highlight w:val="none"/>
          <w:lang w:val="en-US" w:eastAsia="zh-CN"/>
        </w:rPr>
        <w:t>5.1环境影响识别与评价因子筛选</w:t>
      </w:r>
      <w:r>
        <w:rPr>
          <w:rFonts w:hint="default" w:ascii="Times New Roman" w:hAnsi="Times New Roman" w:eastAsia="宋体" w:cs="Times New Roman"/>
          <w:color w:val="auto"/>
          <w:spacing w:val="0"/>
          <w:sz w:val="24"/>
          <w:highlight w:val="none"/>
          <w:lang w:eastAsia="zh-CN"/>
        </w:rPr>
        <w:t>”</w:t>
      </w:r>
      <w:r>
        <w:rPr>
          <w:rFonts w:hint="default" w:ascii="Times New Roman" w:hAnsi="Times New Roman" w:eastAsia="宋体" w:cs="Times New Roman"/>
          <w:color w:val="auto"/>
          <w:spacing w:val="0"/>
          <w:sz w:val="24"/>
          <w:highlight w:val="none"/>
          <w:lang w:val="en-US" w:eastAsia="zh-CN"/>
        </w:rPr>
        <w:t>要求，</w:t>
      </w:r>
      <w:r>
        <w:rPr>
          <w:rFonts w:hint="default" w:ascii="Times New Roman" w:hAnsi="Times New Roman" w:eastAsia="宋体" w:cs="Times New Roman"/>
          <w:iCs/>
          <w:color w:val="auto"/>
          <w:spacing w:val="0"/>
          <w:kern w:val="0"/>
          <w:sz w:val="24"/>
          <w:szCs w:val="24"/>
          <w:highlight w:val="none"/>
          <w:lang w:val="en-US" w:eastAsia="zh-CN"/>
        </w:rPr>
        <w:t>本项目大气环境影响评价因子主要为项目排放的基本污染物及其他污染物，同时当建设项目排放的SO</w:t>
      </w:r>
      <w:r>
        <w:rPr>
          <w:rFonts w:hint="default" w:ascii="Times New Roman" w:hAnsi="Times New Roman" w:eastAsia="宋体" w:cs="Times New Roman"/>
          <w:iCs/>
          <w:color w:val="auto"/>
          <w:spacing w:val="0"/>
          <w:kern w:val="0"/>
          <w:sz w:val="24"/>
          <w:szCs w:val="24"/>
          <w:highlight w:val="none"/>
          <w:vertAlign w:val="subscript"/>
          <w:lang w:val="en-US" w:eastAsia="zh-CN"/>
        </w:rPr>
        <w:t>2</w:t>
      </w:r>
      <w:r>
        <w:rPr>
          <w:rFonts w:hint="default" w:ascii="Times New Roman" w:hAnsi="Times New Roman" w:eastAsia="宋体" w:cs="Times New Roman"/>
          <w:iCs/>
          <w:color w:val="auto"/>
          <w:spacing w:val="0"/>
          <w:kern w:val="0"/>
          <w:sz w:val="24"/>
          <w:szCs w:val="24"/>
          <w:highlight w:val="none"/>
          <w:lang w:val="en-US" w:eastAsia="zh-CN"/>
        </w:rPr>
        <w:t>和NOx年排放量大于或等于500t/a时，评价因子应增加二次</w:t>
      </w:r>
      <w:r>
        <w:rPr>
          <w:rFonts w:hint="default" w:ascii="Times New Roman" w:hAnsi="Times New Roman" w:eastAsia="宋体" w:cs="Times New Roman"/>
          <w:color w:val="auto"/>
          <w:spacing w:val="0"/>
          <w:sz w:val="24"/>
          <w:szCs w:val="24"/>
          <w:highlight w:val="none"/>
        </w:rPr>
        <w:t>PM</w:t>
      </w:r>
      <w:r>
        <w:rPr>
          <w:rFonts w:hint="default" w:ascii="Times New Roman" w:hAnsi="Times New Roman" w:eastAsia="宋体" w:cs="Times New Roman"/>
          <w:color w:val="auto"/>
          <w:spacing w:val="0"/>
          <w:sz w:val="24"/>
          <w:szCs w:val="24"/>
          <w:highlight w:val="none"/>
          <w:vertAlign w:val="subscript"/>
        </w:rPr>
        <w:t>2.5</w:t>
      </w:r>
      <w:r>
        <w:rPr>
          <w:rFonts w:hint="default" w:ascii="Times New Roman" w:hAnsi="Times New Roman" w:eastAsia="宋体" w:cs="Times New Roman"/>
          <w:color w:val="auto"/>
          <w:spacing w:val="0"/>
          <w:sz w:val="24"/>
          <w:szCs w:val="24"/>
          <w:highlight w:val="none"/>
          <w:vertAlign w:val="baseline"/>
          <w:lang w:val="en-US" w:eastAsia="zh-CN"/>
        </w:rPr>
        <w:t>。</w:t>
      </w:r>
      <w:r>
        <w:rPr>
          <w:rFonts w:hint="eastAsia" w:eastAsia="宋体" w:cs="Times New Roman"/>
          <w:color w:val="auto"/>
          <w:spacing w:val="0"/>
          <w:sz w:val="24"/>
          <w:highlight w:val="none"/>
          <w:lang w:eastAsia="zh-CN"/>
        </w:rPr>
        <w:t>”</w:t>
      </w:r>
    </w:p>
    <w:p w14:paraId="73159F9D">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iCs/>
          <w:color w:val="auto"/>
          <w:spacing w:val="0"/>
          <w:kern w:val="0"/>
          <w:sz w:val="24"/>
          <w:szCs w:val="24"/>
          <w:highlight w:val="none"/>
        </w:rPr>
        <w:t>根据</w:t>
      </w:r>
      <w:r>
        <w:rPr>
          <w:rFonts w:hint="default" w:ascii="Times New Roman" w:hAnsi="Times New Roman" w:eastAsia="宋体" w:cs="Times New Roman"/>
          <w:iCs/>
          <w:color w:val="auto"/>
          <w:spacing w:val="0"/>
          <w:kern w:val="0"/>
          <w:sz w:val="24"/>
          <w:szCs w:val="24"/>
          <w:highlight w:val="none"/>
          <w:lang w:val="en-US" w:eastAsia="zh-CN"/>
        </w:rPr>
        <w:t>对本</w:t>
      </w:r>
      <w:r>
        <w:rPr>
          <w:rFonts w:hint="default" w:ascii="Times New Roman" w:hAnsi="Times New Roman" w:eastAsia="宋体" w:cs="Times New Roman"/>
          <w:iCs/>
          <w:color w:val="auto"/>
          <w:spacing w:val="0"/>
          <w:kern w:val="0"/>
          <w:sz w:val="24"/>
          <w:szCs w:val="24"/>
          <w:highlight w:val="none"/>
          <w:lang w:eastAsia="zh-CN"/>
        </w:rPr>
        <w:t>项目污染源初步调查和</w:t>
      </w:r>
      <w:r>
        <w:rPr>
          <w:rFonts w:hint="default" w:ascii="Times New Roman" w:hAnsi="Times New Roman" w:eastAsia="宋体" w:cs="Times New Roman"/>
          <w:iCs/>
          <w:color w:val="auto"/>
          <w:spacing w:val="0"/>
          <w:kern w:val="0"/>
          <w:sz w:val="24"/>
          <w:szCs w:val="24"/>
          <w:highlight w:val="none"/>
        </w:rPr>
        <w:t>工程分析</w:t>
      </w:r>
      <w:r>
        <w:rPr>
          <w:rFonts w:hint="default" w:ascii="Times New Roman" w:hAnsi="Times New Roman" w:eastAsia="宋体" w:cs="Times New Roman"/>
          <w:iCs/>
          <w:color w:val="auto"/>
          <w:spacing w:val="0"/>
          <w:kern w:val="0"/>
          <w:sz w:val="24"/>
          <w:szCs w:val="24"/>
          <w:highlight w:val="none"/>
          <w:lang w:val="en-US" w:eastAsia="zh-CN"/>
        </w:rPr>
        <w:t>的</w:t>
      </w:r>
      <w:r>
        <w:rPr>
          <w:rFonts w:hint="default" w:ascii="Times New Roman" w:hAnsi="Times New Roman" w:eastAsia="宋体" w:cs="Times New Roman"/>
          <w:iCs/>
          <w:color w:val="auto"/>
          <w:spacing w:val="0"/>
          <w:kern w:val="0"/>
          <w:sz w:val="24"/>
          <w:szCs w:val="24"/>
          <w:highlight w:val="none"/>
        </w:rPr>
        <w:t>结果</w:t>
      </w:r>
      <w:r>
        <w:rPr>
          <w:rFonts w:hint="default" w:ascii="Times New Roman" w:hAnsi="Times New Roman" w:eastAsia="宋体" w:cs="Times New Roman"/>
          <w:iCs/>
          <w:color w:val="auto"/>
          <w:spacing w:val="0"/>
          <w:kern w:val="0"/>
          <w:sz w:val="24"/>
          <w:szCs w:val="24"/>
          <w:highlight w:val="none"/>
          <w:lang w:val="en-US" w:eastAsia="zh-CN"/>
        </w:rPr>
        <w:t>可知</w:t>
      </w:r>
      <w:r>
        <w:rPr>
          <w:rFonts w:hint="default" w:ascii="Times New Roman" w:hAnsi="Times New Roman" w:eastAsia="宋体" w:cs="Times New Roman"/>
          <w:iCs/>
          <w:color w:val="auto"/>
          <w:spacing w:val="0"/>
          <w:kern w:val="0"/>
          <w:sz w:val="24"/>
          <w:szCs w:val="24"/>
          <w:highlight w:val="none"/>
        </w:rPr>
        <w:t>，</w:t>
      </w:r>
      <w:r>
        <w:rPr>
          <w:rFonts w:hint="default" w:ascii="Times New Roman" w:hAnsi="Times New Roman" w:eastAsia="宋体" w:cs="Times New Roman"/>
          <w:iCs/>
          <w:color w:val="auto"/>
          <w:spacing w:val="0"/>
          <w:kern w:val="0"/>
          <w:sz w:val="24"/>
          <w:szCs w:val="24"/>
          <w:highlight w:val="none"/>
          <w:lang w:val="en-US" w:eastAsia="zh-CN"/>
        </w:rPr>
        <w:t>本项目排放的废气污染物有烟尘</w:t>
      </w:r>
      <w:r>
        <w:rPr>
          <w:rFonts w:hint="default" w:ascii="Times New Roman" w:hAnsi="Times New Roman" w:eastAsia="宋体" w:cs="Times New Roman"/>
          <w:iCs/>
          <w:color w:val="auto"/>
          <w:spacing w:val="0"/>
          <w:kern w:val="0"/>
          <w:sz w:val="24"/>
          <w:szCs w:val="24"/>
          <w:highlight w:val="none"/>
        </w:rPr>
        <w:t>、SO</w:t>
      </w:r>
      <w:r>
        <w:rPr>
          <w:rFonts w:hint="default" w:ascii="Times New Roman" w:hAnsi="Times New Roman" w:eastAsia="宋体" w:cs="Times New Roman"/>
          <w:iCs/>
          <w:color w:val="auto"/>
          <w:spacing w:val="0"/>
          <w:kern w:val="0"/>
          <w:sz w:val="24"/>
          <w:szCs w:val="24"/>
          <w:highlight w:val="none"/>
          <w:vertAlign w:val="subscript"/>
        </w:rPr>
        <w:t>2</w:t>
      </w:r>
      <w:r>
        <w:rPr>
          <w:rFonts w:hint="default" w:ascii="Times New Roman" w:hAnsi="Times New Roman" w:eastAsia="宋体" w:cs="Times New Roman"/>
          <w:iCs/>
          <w:color w:val="auto"/>
          <w:spacing w:val="0"/>
          <w:kern w:val="0"/>
          <w:sz w:val="24"/>
          <w:szCs w:val="24"/>
          <w:highlight w:val="none"/>
        </w:rPr>
        <w:t>、NO</w:t>
      </w:r>
      <w:r>
        <w:rPr>
          <w:rFonts w:hint="default" w:ascii="Times New Roman" w:hAnsi="Times New Roman" w:eastAsia="宋体" w:cs="Times New Roman"/>
          <w:iCs/>
          <w:color w:val="auto"/>
          <w:spacing w:val="0"/>
          <w:kern w:val="0"/>
          <w:sz w:val="24"/>
          <w:szCs w:val="24"/>
          <w:highlight w:val="none"/>
          <w:vertAlign w:val="subscript"/>
          <w:lang w:val="en-US" w:eastAsia="zh-CN"/>
        </w:rPr>
        <w:t>x</w:t>
      </w:r>
      <w:r>
        <w:rPr>
          <w:rFonts w:hint="default" w:ascii="Times New Roman" w:hAnsi="Times New Roman" w:eastAsia="宋体" w:cs="Times New Roman"/>
          <w:iCs/>
          <w:color w:val="auto"/>
          <w:spacing w:val="0"/>
          <w:kern w:val="0"/>
          <w:sz w:val="24"/>
          <w:szCs w:val="24"/>
          <w:highlight w:val="none"/>
          <w:lang w:eastAsia="zh-CN"/>
        </w:rPr>
        <w:t>，</w:t>
      </w:r>
      <w:r>
        <w:rPr>
          <w:rFonts w:hint="default" w:ascii="Times New Roman" w:hAnsi="Times New Roman" w:eastAsia="宋体" w:cs="Times New Roman"/>
          <w:iCs/>
          <w:color w:val="auto"/>
          <w:spacing w:val="0"/>
          <w:kern w:val="0"/>
          <w:sz w:val="24"/>
          <w:szCs w:val="24"/>
          <w:highlight w:val="none"/>
          <w:lang w:val="en-US" w:eastAsia="zh-CN"/>
        </w:rPr>
        <w:t>特征污染物有汞及其化合物、TSP和NH</w:t>
      </w:r>
      <w:r>
        <w:rPr>
          <w:rFonts w:hint="default" w:ascii="Times New Roman" w:hAnsi="Times New Roman" w:eastAsia="宋体" w:cs="Times New Roman"/>
          <w:iCs/>
          <w:color w:val="auto"/>
          <w:spacing w:val="0"/>
          <w:kern w:val="0"/>
          <w:sz w:val="24"/>
          <w:szCs w:val="24"/>
          <w:highlight w:val="none"/>
          <w:vertAlign w:val="subscript"/>
          <w:lang w:val="en-US" w:eastAsia="zh-CN"/>
        </w:rPr>
        <w:t>3</w:t>
      </w:r>
      <w:r>
        <w:rPr>
          <w:rFonts w:hint="default" w:ascii="Times New Roman" w:hAnsi="Times New Roman" w:eastAsia="宋体" w:cs="Times New Roman"/>
          <w:iCs/>
          <w:color w:val="auto"/>
          <w:spacing w:val="0"/>
          <w:kern w:val="0"/>
          <w:sz w:val="24"/>
          <w:szCs w:val="24"/>
          <w:highlight w:val="none"/>
          <w:lang w:eastAsia="zh-CN"/>
        </w:rPr>
        <w:t>。</w:t>
      </w:r>
      <w:r>
        <w:rPr>
          <w:rFonts w:hint="default" w:ascii="Times New Roman" w:hAnsi="Times New Roman" w:eastAsia="宋体" w:cs="Times New Roman"/>
          <w:iCs/>
          <w:color w:val="auto"/>
          <w:spacing w:val="0"/>
          <w:kern w:val="0"/>
          <w:sz w:val="24"/>
          <w:szCs w:val="24"/>
          <w:highlight w:val="none"/>
          <w:lang w:val="en-US" w:eastAsia="zh-CN"/>
        </w:rPr>
        <w:t>本次评价等级判定污染物烟尘以</w:t>
      </w:r>
      <w:r>
        <w:rPr>
          <w:rFonts w:hint="default" w:ascii="Times New Roman" w:hAnsi="Times New Roman" w:eastAsia="宋体" w:cs="Times New Roman"/>
          <w:color w:val="auto"/>
          <w:spacing w:val="0"/>
          <w:sz w:val="24"/>
          <w:highlight w:val="none"/>
        </w:rPr>
        <w:t>《环境影响评价技术导则 大气环境（HJ2.2-20</w:t>
      </w:r>
      <w:r>
        <w:rPr>
          <w:rFonts w:hint="default" w:ascii="Times New Roman" w:hAnsi="Times New Roman" w:eastAsia="宋体" w:cs="Times New Roman"/>
          <w:color w:val="auto"/>
          <w:spacing w:val="0"/>
          <w:sz w:val="24"/>
          <w:highlight w:val="none"/>
          <w:lang w:val="en-US" w:eastAsia="zh-CN"/>
        </w:rPr>
        <w:t>1</w:t>
      </w:r>
      <w:r>
        <w:rPr>
          <w:rFonts w:hint="default" w:ascii="Times New Roman" w:hAnsi="Times New Roman" w:eastAsia="宋体" w:cs="Times New Roman"/>
          <w:color w:val="auto"/>
          <w:spacing w:val="0"/>
          <w:sz w:val="24"/>
          <w:highlight w:val="none"/>
        </w:rPr>
        <w:t>8）</w:t>
      </w:r>
      <w:r>
        <w:rPr>
          <w:rFonts w:hint="default" w:ascii="Times New Roman" w:hAnsi="Times New Roman" w:eastAsia="宋体" w:cs="Times New Roman"/>
          <w:color w:val="auto"/>
          <w:spacing w:val="0"/>
          <w:sz w:val="24"/>
          <w:highlight w:val="none"/>
          <w:lang w:eastAsia="zh-CN"/>
        </w:rPr>
        <w:t>》</w:t>
      </w:r>
      <w:r>
        <w:rPr>
          <w:rFonts w:hint="default" w:ascii="Times New Roman" w:hAnsi="Times New Roman" w:eastAsia="宋体" w:cs="Times New Roman"/>
          <w:color w:val="auto"/>
          <w:spacing w:val="0"/>
          <w:sz w:val="24"/>
          <w:highlight w:val="none"/>
          <w:lang w:val="en-US" w:eastAsia="zh-CN"/>
        </w:rPr>
        <w:t>章节</w:t>
      </w:r>
      <w:r>
        <w:rPr>
          <w:rFonts w:hint="default" w:ascii="Times New Roman" w:hAnsi="Times New Roman" w:eastAsia="宋体" w:cs="Times New Roman"/>
          <w:color w:val="auto"/>
          <w:spacing w:val="0"/>
          <w:sz w:val="24"/>
          <w:highlight w:val="none"/>
          <w:lang w:eastAsia="zh-CN"/>
        </w:rPr>
        <w:t>“</w:t>
      </w:r>
      <w:r>
        <w:rPr>
          <w:rFonts w:hint="default" w:ascii="Times New Roman" w:hAnsi="Times New Roman" w:eastAsia="宋体" w:cs="Times New Roman"/>
          <w:color w:val="auto"/>
          <w:spacing w:val="0"/>
          <w:sz w:val="24"/>
          <w:highlight w:val="none"/>
          <w:lang w:val="en-US" w:eastAsia="zh-CN"/>
        </w:rPr>
        <w:t>3.3基本污染物</w:t>
      </w:r>
      <w:r>
        <w:rPr>
          <w:rFonts w:hint="default" w:ascii="Times New Roman" w:hAnsi="Times New Roman" w:eastAsia="宋体" w:cs="Times New Roman"/>
          <w:color w:val="auto"/>
          <w:spacing w:val="0"/>
          <w:sz w:val="24"/>
          <w:highlight w:val="none"/>
          <w:lang w:eastAsia="zh-CN"/>
        </w:rPr>
        <w:t>”</w:t>
      </w:r>
      <w:r>
        <w:rPr>
          <w:rFonts w:hint="default" w:ascii="Times New Roman" w:hAnsi="Times New Roman" w:eastAsia="宋体" w:cs="Times New Roman"/>
          <w:color w:val="auto"/>
          <w:spacing w:val="0"/>
          <w:sz w:val="24"/>
          <w:highlight w:val="none"/>
          <w:lang w:val="en-US" w:eastAsia="zh-CN"/>
        </w:rPr>
        <w:t>中的</w:t>
      </w:r>
      <w:r>
        <w:rPr>
          <w:rFonts w:hint="default" w:ascii="Times New Roman" w:hAnsi="Times New Roman" w:eastAsia="宋体" w:cs="Times New Roman"/>
          <w:iCs/>
          <w:color w:val="auto"/>
          <w:spacing w:val="0"/>
          <w:kern w:val="0"/>
          <w:sz w:val="24"/>
          <w:szCs w:val="24"/>
          <w:highlight w:val="none"/>
          <w:lang w:val="en-US" w:eastAsia="zh-CN"/>
        </w:rPr>
        <w:t>可吸入颗粒物（PM</w:t>
      </w:r>
      <w:r>
        <w:rPr>
          <w:rFonts w:hint="default" w:ascii="Times New Roman" w:hAnsi="Times New Roman" w:eastAsia="宋体" w:cs="Times New Roman"/>
          <w:iCs/>
          <w:color w:val="auto"/>
          <w:spacing w:val="0"/>
          <w:kern w:val="0"/>
          <w:sz w:val="24"/>
          <w:szCs w:val="24"/>
          <w:highlight w:val="none"/>
          <w:vertAlign w:val="subscript"/>
          <w:lang w:val="en-US" w:eastAsia="zh-CN"/>
        </w:rPr>
        <w:t>10</w:t>
      </w:r>
      <w:r>
        <w:rPr>
          <w:rFonts w:hint="default" w:ascii="Times New Roman" w:hAnsi="Times New Roman" w:eastAsia="宋体" w:cs="Times New Roman"/>
          <w:iCs/>
          <w:color w:val="auto"/>
          <w:spacing w:val="0"/>
          <w:kern w:val="0"/>
          <w:sz w:val="24"/>
          <w:szCs w:val="24"/>
          <w:highlight w:val="none"/>
          <w:lang w:val="en-US" w:eastAsia="zh-CN"/>
        </w:rPr>
        <w:t>）</w:t>
      </w:r>
      <w:r>
        <w:rPr>
          <w:rFonts w:hint="default" w:ascii="Times New Roman" w:hAnsi="Times New Roman" w:eastAsia="宋体" w:cs="Times New Roman"/>
          <w:iCs/>
          <w:color w:val="auto"/>
          <w:spacing w:val="0"/>
          <w:kern w:val="0"/>
          <w:sz w:val="24"/>
          <w:szCs w:val="24"/>
          <w:highlight w:val="none"/>
          <w:vertAlign w:val="baseline"/>
          <w:lang w:val="en-US" w:eastAsia="zh-CN"/>
        </w:rPr>
        <w:t>和细颗粒物（PM</w:t>
      </w:r>
      <w:r>
        <w:rPr>
          <w:rFonts w:hint="default" w:ascii="Times New Roman" w:hAnsi="Times New Roman" w:eastAsia="宋体" w:cs="Times New Roman"/>
          <w:iCs/>
          <w:color w:val="auto"/>
          <w:spacing w:val="0"/>
          <w:kern w:val="0"/>
          <w:sz w:val="24"/>
          <w:szCs w:val="24"/>
          <w:highlight w:val="none"/>
          <w:vertAlign w:val="subscript"/>
          <w:lang w:val="en-US" w:eastAsia="zh-CN"/>
        </w:rPr>
        <w:t>2.5</w:t>
      </w:r>
      <w:r>
        <w:rPr>
          <w:rFonts w:hint="default" w:ascii="Times New Roman" w:hAnsi="Times New Roman" w:eastAsia="宋体" w:cs="Times New Roman"/>
          <w:iCs/>
          <w:color w:val="auto"/>
          <w:spacing w:val="0"/>
          <w:kern w:val="0"/>
          <w:sz w:val="24"/>
          <w:szCs w:val="24"/>
          <w:highlight w:val="none"/>
          <w:vertAlign w:val="baseline"/>
          <w:lang w:val="en-US" w:eastAsia="zh-CN"/>
        </w:rPr>
        <w:t>）</w:t>
      </w:r>
      <w:r>
        <w:rPr>
          <w:rFonts w:hint="default" w:ascii="Times New Roman" w:hAnsi="Times New Roman" w:eastAsia="宋体" w:cs="Times New Roman"/>
          <w:iCs/>
          <w:color w:val="auto"/>
          <w:spacing w:val="0"/>
          <w:kern w:val="0"/>
          <w:sz w:val="24"/>
          <w:szCs w:val="24"/>
          <w:highlight w:val="none"/>
          <w:lang w:val="en-US" w:eastAsia="zh-CN"/>
        </w:rPr>
        <w:t>作为评价因子</w:t>
      </w:r>
      <w:r>
        <w:rPr>
          <w:rFonts w:hint="default" w:ascii="Times New Roman" w:hAnsi="Times New Roman" w:eastAsia="宋体" w:cs="Times New Roman"/>
          <w:iCs/>
          <w:color w:val="auto"/>
          <w:spacing w:val="0"/>
          <w:kern w:val="0"/>
          <w:sz w:val="24"/>
          <w:szCs w:val="24"/>
          <w:highlight w:val="none"/>
          <w:lang w:eastAsia="zh-CN"/>
        </w:rPr>
        <w:t>，</w:t>
      </w:r>
      <w:r>
        <w:rPr>
          <w:rFonts w:hint="eastAsia" w:ascii="Times New Roman" w:hAnsi="Times New Roman" w:eastAsia="宋体" w:cs="Times New Roman"/>
          <w:iCs/>
          <w:color w:val="auto"/>
          <w:spacing w:val="0"/>
          <w:kern w:val="0"/>
          <w:sz w:val="24"/>
          <w:szCs w:val="24"/>
          <w:highlight w:val="none"/>
          <w:lang w:val="en-US" w:eastAsia="zh-CN"/>
        </w:rPr>
        <w:t>灰库</w:t>
      </w:r>
      <w:r>
        <w:rPr>
          <w:rFonts w:hint="default" w:ascii="Times New Roman" w:hAnsi="Times New Roman" w:eastAsia="宋体" w:cs="Times New Roman"/>
          <w:iCs/>
          <w:color w:val="auto"/>
          <w:spacing w:val="0"/>
          <w:kern w:val="0"/>
          <w:sz w:val="24"/>
          <w:szCs w:val="24"/>
          <w:highlight w:val="none"/>
          <w:lang w:val="en-US" w:eastAsia="zh-CN"/>
        </w:rPr>
        <w:t>、</w:t>
      </w:r>
      <w:r>
        <w:rPr>
          <w:rFonts w:hint="eastAsia" w:ascii="Times New Roman" w:hAnsi="Times New Roman" w:eastAsia="宋体" w:cs="Times New Roman"/>
          <w:iCs/>
          <w:color w:val="auto"/>
          <w:spacing w:val="0"/>
          <w:kern w:val="0"/>
          <w:sz w:val="24"/>
          <w:szCs w:val="24"/>
          <w:highlight w:val="none"/>
          <w:lang w:val="en-US" w:eastAsia="zh-CN"/>
        </w:rPr>
        <w:t>生石灰粉</w:t>
      </w:r>
      <w:r>
        <w:rPr>
          <w:rFonts w:hint="default" w:ascii="Times New Roman" w:hAnsi="Times New Roman" w:eastAsia="宋体" w:cs="Times New Roman"/>
          <w:iCs/>
          <w:color w:val="auto"/>
          <w:spacing w:val="0"/>
          <w:kern w:val="0"/>
          <w:sz w:val="24"/>
          <w:szCs w:val="24"/>
          <w:highlight w:val="none"/>
          <w:lang w:val="en-US" w:eastAsia="zh-CN"/>
        </w:rPr>
        <w:t>仓、碎煤机室、储煤</w:t>
      </w:r>
      <w:r>
        <w:rPr>
          <w:rFonts w:hint="eastAsia" w:ascii="Times New Roman" w:hAnsi="Times New Roman" w:eastAsia="宋体" w:cs="Times New Roman"/>
          <w:iCs/>
          <w:color w:val="auto"/>
          <w:spacing w:val="0"/>
          <w:kern w:val="0"/>
          <w:sz w:val="24"/>
          <w:szCs w:val="24"/>
          <w:highlight w:val="none"/>
          <w:lang w:val="en-US" w:eastAsia="zh-CN"/>
        </w:rPr>
        <w:t>场</w:t>
      </w:r>
      <w:r>
        <w:rPr>
          <w:rFonts w:hint="default" w:ascii="Times New Roman" w:hAnsi="Times New Roman" w:eastAsia="宋体" w:cs="Times New Roman"/>
          <w:iCs/>
          <w:color w:val="auto"/>
          <w:spacing w:val="0"/>
          <w:kern w:val="0"/>
          <w:sz w:val="24"/>
          <w:szCs w:val="24"/>
          <w:highlight w:val="none"/>
          <w:lang w:val="en-US" w:eastAsia="zh-CN"/>
        </w:rPr>
        <w:t>和渣库排放的颗粒物以TSP作为评价因子。</w:t>
      </w:r>
      <w:r>
        <w:rPr>
          <w:rFonts w:hint="default" w:ascii="Times New Roman" w:hAnsi="Times New Roman" w:eastAsia="宋体" w:cs="Times New Roman"/>
          <w:color w:val="auto"/>
          <w:spacing w:val="0"/>
          <w:sz w:val="24"/>
          <w:szCs w:val="24"/>
          <w:highlight w:val="none"/>
          <w:vertAlign w:val="baseline"/>
          <w:lang w:val="en-US" w:eastAsia="zh-CN"/>
        </w:rPr>
        <w:t>本项目大气环境影响评价因子为</w:t>
      </w:r>
      <w:r>
        <w:rPr>
          <w:rFonts w:hint="default" w:ascii="Times New Roman" w:hAnsi="Times New Roman" w:eastAsia="宋体" w:cs="Times New Roman"/>
          <w:iCs/>
          <w:color w:val="auto"/>
          <w:spacing w:val="0"/>
          <w:kern w:val="0"/>
          <w:sz w:val="24"/>
          <w:szCs w:val="24"/>
          <w:highlight w:val="none"/>
        </w:rPr>
        <w:t>PM</w:t>
      </w:r>
      <w:r>
        <w:rPr>
          <w:rFonts w:hint="default" w:ascii="Times New Roman" w:hAnsi="Times New Roman" w:eastAsia="宋体" w:cs="Times New Roman"/>
          <w:iCs/>
          <w:color w:val="auto"/>
          <w:spacing w:val="0"/>
          <w:kern w:val="0"/>
          <w:sz w:val="24"/>
          <w:szCs w:val="24"/>
          <w:highlight w:val="none"/>
          <w:vertAlign w:val="subscript"/>
        </w:rPr>
        <w:t>10</w:t>
      </w:r>
      <w:r>
        <w:rPr>
          <w:rFonts w:hint="default" w:ascii="Times New Roman" w:hAnsi="Times New Roman" w:eastAsia="宋体" w:cs="Times New Roman"/>
          <w:iCs/>
          <w:color w:val="auto"/>
          <w:spacing w:val="0"/>
          <w:kern w:val="0"/>
          <w:sz w:val="24"/>
          <w:szCs w:val="24"/>
          <w:highlight w:val="none"/>
        </w:rPr>
        <w:t>、</w:t>
      </w:r>
      <w:r>
        <w:rPr>
          <w:rFonts w:hint="default" w:ascii="Times New Roman" w:hAnsi="Times New Roman" w:eastAsia="宋体" w:cs="Times New Roman"/>
          <w:iCs/>
          <w:color w:val="auto"/>
          <w:spacing w:val="0"/>
          <w:kern w:val="0"/>
          <w:sz w:val="24"/>
          <w:szCs w:val="24"/>
          <w:highlight w:val="none"/>
          <w:lang w:val="en-US" w:eastAsia="zh-CN"/>
        </w:rPr>
        <w:t>一次</w:t>
      </w:r>
      <w:r>
        <w:rPr>
          <w:rFonts w:hint="default" w:ascii="Times New Roman" w:hAnsi="Times New Roman" w:eastAsia="宋体" w:cs="Times New Roman"/>
          <w:iCs/>
          <w:color w:val="auto"/>
          <w:spacing w:val="0"/>
          <w:kern w:val="0"/>
          <w:sz w:val="24"/>
          <w:szCs w:val="24"/>
          <w:highlight w:val="none"/>
        </w:rPr>
        <w:t>PM</w:t>
      </w:r>
      <w:r>
        <w:rPr>
          <w:rFonts w:hint="default" w:ascii="Times New Roman" w:hAnsi="Times New Roman" w:eastAsia="宋体" w:cs="Times New Roman"/>
          <w:iCs/>
          <w:color w:val="auto"/>
          <w:spacing w:val="0"/>
          <w:kern w:val="0"/>
          <w:sz w:val="24"/>
          <w:szCs w:val="24"/>
          <w:highlight w:val="none"/>
          <w:vertAlign w:val="subscript"/>
        </w:rPr>
        <w:t>2.5</w:t>
      </w:r>
      <w:r>
        <w:rPr>
          <w:rFonts w:hint="default" w:ascii="Times New Roman" w:hAnsi="Times New Roman" w:eastAsia="宋体" w:cs="Times New Roman"/>
          <w:iCs/>
          <w:color w:val="auto"/>
          <w:spacing w:val="0"/>
          <w:kern w:val="0"/>
          <w:sz w:val="24"/>
          <w:szCs w:val="24"/>
          <w:highlight w:val="none"/>
        </w:rPr>
        <w:t>、SO</w:t>
      </w:r>
      <w:r>
        <w:rPr>
          <w:rFonts w:hint="default" w:ascii="Times New Roman" w:hAnsi="Times New Roman" w:eastAsia="宋体" w:cs="Times New Roman"/>
          <w:iCs/>
          <w:color w:val="auto"/>
          <w:spacing w:val="0"/>
          <w:kern w:val="0"/>
          <w:sz w:val="24"/>
          <w:szCs w:val="24"/>
          <w:highlight w:val="none"/>
          <w:vertAlign w:val="subscript"/>
        </w:rPr>
        <w:t>2</w:t>
      </w:r>
      <w:r>
        <w:rPr>
          <w:rFonts w:hint="default" w:ascii="Times New Roman" w:hAnsi="Times New Roman" w:eastAsia="宋体" w:cs="Times New Roman"/>
          <w:iCs/>
          <w:color w:val="auto"/>
          <w:spacing w:val="0"/>
          <w:kern w:val="0"/>
          <w:sz w:val="24"/>
          <w:szCs w:val="24"/>
          <w:highlight w:val="none"/>
        </w:rPr>
        <w:t>、NO</w:t>
      </w:r>
      <w:r>
        <w:rPr>
          <w:rFonts w:hint="default" w:ascii="Times New Roman" w:hAnsi="Times New Roman" w:eastAsia="宋体" w:cs="Times New Roman"/>
          <w:iCs/>
          <w:color w:val="auto"/>
          <w:spacing w:val="0"/>
          <w:kern w:val="0"/>
          <w:sz w:val="24"/>
          <w:szCs w:val="24"/>
          <w:highlight w:val="none"/>
          <w:vertAlign w:val="subscript"/>
        </w:rPr>
        <w:t>2</w:t>
      </w:r>
      <w:r>
        <w:rPr>
          <w:rFonts w:hint="default" w:ascii="Times New Roman" w:hAnsi="Times New Roman" w:eastAsia="宋体" w:cs="Times New Roman"/>
          <w:iCs/>
          <w:color w:val="auto"/>
          <w:spacing w:val="0"/>
          <w:kern w:val="0"/>
          <w:sz w:val="24"/>
          <w:szCs w:val="24"/>
          <w:highlight w:val="none"/>
          <w:lang w:eastAsia="zh-CN"/>
        </w:rPr>
        <w:t>、</w:t>
      </w:r>
      <w:r>
        <w:rPr>
          <w:rFonts w:hint="default" w:ascii="Times New Roman" w:hAnsi="Times New Roman" w:eastAsia="宋体" w:cs="Times New Roman"/>
          <w:iCs/>
          <w:color w:val="auto"/>
          <w:spacing w:val="0"/>
          <w:kern w:val="0"/>
          <w:sz w:val="24"/>
          <w:szCs w:val="24"/>
          <w:highlight w:val="none"/>
          <w:lang w:val="en-US" w:eastAsia="zh-CN"/>
        </w:rPr>
        <w:t>汞及其化合物、TSP和NH</w:t>
      </w:r>
      <w:r>
        <w:rPr>
          <w:rFonts w:hint="default" w:ascii="Times New Roman" w:hAnsi="Times New Roman" w:eastAsia="宋体" w:cs="Times New Roman"/>
          <w:iCs/>
          <w:color w:val="auto"/>
          <w:spacing w:val="0"/>
          <w:kern w:val="0"/>
          <w:sz w:val="24"/>
          <w:szCs w:val="24"/>
          <w:highlight w:val="none"/>
          <w:vertAlign w:val="subscript"/>
          <w:lang w:val="en-US" w:eastAsia="zh-CN"/>
        </w:rPr>
        <w:t>3</w:t>
      </w:r>
      <w:r>
        <w:rPr>
          <w:rFonts w:hint="default" w:ascii="Times New Roman" w:hAnsi="Times New Roman" w:eastAsia="宋体" w:cs="Times New Roman"/>
          <w:iCs/>
          <w:color w:val="auto"/>
          <w:spacing w:val="0"/>
          <w:kern w:val="0"/>
          <w:sz w:val="24"/>
          <w:szCs w:val="24"/>
          <w:highlight w:val="none"/>
          <w:lang w:eastAsia="zh-CN"/>
        </w:rPr>
        <w:t>。</w:t>
      </w:r>
    </w:p>
    <w:p w14:paraId="70A5CB77">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根据《环境影响评价技术导则-大气环境》（HJ2.2-2018），将环境空气影响评价工作分为一、二、三级，划分依据见下表。</w:t>
      </w:r>
    </w:p>
    <w:p w14:paraId="34C7035B">
      <w:pPr>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表2.4-1 评价工作等级判据一览表</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770"/>
        <w:gridCol w:w="4752"/>
      </w:tblGrid>
      <w:tr w14:paraId="17E314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212" w:type="pct"/>
            <w:vAlign w:val="center"/>
          </w:tcPr>
          <w:p w14:paraId="52A4F368">
            <w:pPr>
              <w:pStyle w:val="63"/>
              <w:keepNext w:val="0"/>
              <w:keepLines w:val="0"/>
              <w:pageBreakBefore w:val="0"/>
              <w:widowControl w:val="0"/>
              <w:kinsoku/>
              <w:wordWrap/>
              <w:overflowPunct/>
              <w:topLinePunct w:val="0"/>
              <w:autoSpaceDE/>
              <w:autoSpaceDN/>
              <w:bidi w:val="0"/>
              <w:adjustRightInd/>
              <w:snapToGrid/>
              <w:ind w:firstLine="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评价工作等级</w:t>
            </w:r>
          </w:p>
        </w:tc>
        <w:tc>
          <w:tcPr>
            <w:tcW w:w="2788" w:type="pct"/>
            <w:vAlign w:val="center"/>
          </w:tcPr>
          <w:p w14:paraId="55284F59">
            <w:pPr>
              <w:pStyle w:val="63"/>
              <w:keepNext w:val="0"/>
              <w:keepLines w:val="0"/>
              <w:pageBreakBefore w:val="0"/>
              <w:widowControl w:val="0"/>
              <w:kinsoku/>
              <w:wordWrap/>
              <w:overflowPunct/>
              <w:topLinePunct w:val="0"/>
              <w:autoSpaceDE/>
              <w:autoSpaceDN/>
              <w:bidi w:val="0"/>
              <w:adjustRightInd/>
              <w:snapToGrid/>
              <w:ind w:firstLine="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评价工作分级判据</w:t>
            </w:r>
          </w:p>
        </w:tc>
      </w:tr>
      <w:tr w14:paraId="111667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212" w:type="pct"/>
            <w:vAlign w:val="center"/>
          </w:tcPr>
          <w:p w14:paraId="46A7B3C0">
            <w:pPr>
              <w:pStyle w:val="63"/>
              <w:keepNext w:val="0"/>
              <w:keepLines w:val="0"/>
              <w:pageBreakBefore w:val="0"/>
              <w:widowControl w:val="0"/>
              <w:kinsoku/>
              <w:wordWrap/>
              <w:overflowPunct/>
              <w:topLinePunct w:val="0"/>
              <w:autoSpaceDE/>
              <w:autoSpaceDN/>
              <w:bidi w:val="0"/>
              <w:adjustRightInd/>
              <w:snapToGrid/>
              <w:ind w:firstLine="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一级</w:t>
            </w:r>
          </w:p>
        </w:tc>
        <w:tc>
          <w:tcPr>
            <w:tcW w:w="2788" w:type="pct"/>
            <w:vAlign w:val="center"/>
          </w:tcPr>
          <w:p w14:paraId="73D26589">
            <w:pPr>
              <w:pStyle w:val="63"/>
              <w:keepNext w:val="0"/>
              <w:keepLines w:val="0"/>
              <w:pageBreakBefore w:val="0"/>
              <w:widowControl w:val="0"/>
              <w:kinsoku/>
              <w:wordWrap/>
              <w:overflowPunct/>
              <w:topLinePunct w:val="0"/>
              <w:autoSpaceDE/>
              <w:autoSpaceDN/>
              <w:bidi w:val="0"/>
              <w:adjustRightInd/>
              <w:snapToGrid/>
              <w:ind w:firstLine="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P</w:t>
            </w:r>
            <w:r>
              <w:rPr>
                <w:rFonts w:hint="default" w:ascii="Times New Roman" w:hAnsi="Times New Roman" w:eastAsia="宋体" w:cs="Times New Roman"/>
                <w:color w:val="auto"/>
                <w:highlight w:val="none"/>
                <w:vertAlign w:val="subscript"/>
              </w:rPr>
              <w:t>Max</w:t>
            </w:r>
            <w:r>
              <w:rPr>
                <w:rFonts w:hint="default" w:ascii="Times New Roman" w:hAnsi="Times New Roman" w:eastAsia="宋体" w:cs="Times New Roman"/>
                <w:color w:val="auto"/>
                <w:highlight w:val="none"/>
              </w:rPr>
              <w:t>≥10%</w:t>
            </w:r>
          </w:p>
        </w:tc>
      </w:tr>
      <w:tr w14:paraId="37585F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212" w:type="pct"/>
            <w:vAlign w:val="center"/>
          </w:tcPr>
          <w:p w14:paraId="3A68C3CD">
            <w:pPr>
              <w:pStyle w:val="63"/>
              <w:keepNext w:val="0"/>
              <w:keepLines w:val="0"/>
              <w:pageBreakBefore w:val="0"/>
              <w:widowControl w:val="0"/>
              <w:kinsoku/>
              <w:wordWrap/>
              <w:overflowPunct/>
              <w:topLinePunct w:val="0"/>
              <w:autoSpaceDE/>
              <w:autoSpaceDN/>
              <w:bidi w:val="0"/>
              <w:adjustRightInd/>
              <w:snapToGrid/>
              <w:ind w:firstLine="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二级</w:t>
            </w:r>
          </w:p>
        </w:tc>
        <w:tc>
          <w:tcPr>
            <w:tcW w:w="2788" w:type="pct"/>
            <w:vAlign w:val="center"/>
          </w:tcPr>
          <w:p w14:paraId="5DBD2B50">
            <w:pPr>
              <w:pStyle w:val="63"/>
              <w:keepNext w:val="0"/>
              <w:keepLines w:val="0"/>
              <w:pageBreakBefore w:val="0"/>
              <w:widowControl w:val="0"/>
              <w:kinsoku/>
              <w:wordWrap/>
              <w:overflowPunct/>
              <w:topLinePunct w:val="0"/>
              <w:autoSpaceDE/>
              <w:autoSpaceDN/>
              <w:bidi w:val="0"/>
              <w:adjustRightInd/>
              <w:snapToGrid/>
              <w:ind w:firstLine="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1%≤P</w:t>
            </w:r>
            <w:r>
              <w:rPr>
                <w:rFonts w:hint="default" w:ascii="Times New Roman" w:hAnsi="Times New Roman" w:eastAsia="宋体" w:cs="Times New Roman"/>
                <w:color w:val="auto"/>
                <w:highlight w:val="none"/>
                <w:vertAlign w:val="subscript"/>
              </w:rPr>
              <w:t>Max</w:t>
            </w:r>
            <w:r>
              <w:rPr>
                <w:rFonts w:hint="default" w:ascii="Times New Roman" w:hAnsi="Times New Roman" w:eastAsia="宋体" w:cs="Times New Roman"/>
                <w:color w:val="auto"/>
                <w:highlight w:val="none"/>
              </w:rPr>
              <w:t>＜10%</w:t>
            </w:r>
          </w:p>
        </w:tc>
      </w:tr>
      <w:tr w14:paraId="1A242E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212" w:type="pct"/>
            <w:vAlign w:val="center"/>
          </w:tcPr>
          <w:p w14:paraId="4D574787">
            <w:pPr>
              <w:pStyle w:val="63"/>
              <w:keepNext w:val="0"/>
              <w:keepLines w:val="0"/>
              <w:pageBreakBefore w:val="0"/>
              <w:widowControl w:val="0"/>
              <w:kinsoku/>
              <w:wordWrap/>
              <w:overflowPunct/>
              <w:topLinePunct w:val="0"/>
              <w:autoSpaceDE/>
              <w:autoSpaceDN/>
              <w:bidi w:val="0"/>
              <w:adjustRightInd/>
              <w:snapToGrid/>
              <w:ind w:firstLine="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三级</w:t>
            </w:r>
          </w:p>
        </w:tc>
        <w:tc>
          <w:tcPr>
            <w:tcW w:w="2788" w:type="pct"/>
            <w:vAlign w:val="center"/>
          </w:tcPr>
          <w:p w14:paraId="088CA546">
            <w:pPr>
              <w:pStyle w:val="63"/>
              <w:keepNext w:val="0"/>
              <w:keepLines w:val="0"/>
              <w:pageBreakBefore w:val="0"/>
              <w:widowControl w:val="0"/>
              <w:kinsoku/>
              <w:wordWrap/>
              <w:overflowPunct/>
              <w:topLinePunct w:val="0"/>
              <w:autoSpaceDE/>
              <w:autoSpaceDN/>
              <w:bidi w:val="0"/>
              <w:adjustRightInd/>
              <w:snapToGrid/>
              <w:ind w:firstLine="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P</w:t>
            </w:r>
            <w:r>
              <w:rPr>
                <w:rFonts w:hint="default" w:ascii="Times New Roman" w:hAnsi="Times New Roman" w:eastAsia="宋体" w:cs="Times New Roman"/>
                <w:color w:val="auto"/>
                <w:highlight w:val="none"/>
                <w:vertAlign w:val="subscript"/>
              </w:rPr>
              <w:t>Max</w:t>
            </w:r>
            <w:r>
              <w:rPr>
                <w:rFonts w:hint="default" w:ascii="Times New Roman" w:hAnsi="Times New Roman" w:eastAsia="宋体" w:cs="Times New Roman"/>
                <w:color w:val="auto"/>
                <w:highlight w:val="none"/>
              </w:rPr>
              <w:t>＜1%</w:t>
            </w:r>
          </w:p>
        </w:tc>
      </w:tr>
    </w:tbl>
    <w:p w14:paraId="0A050A0F">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其中Pi为第i个污染物的最大地面空气质量浓度占标率，%；D</w:t>
      </w:r>
      <w:r>
        <w:rPr>
          <w:rFonts w:hint="default" w:ascii="Times New Roman" w:hAnsi="Times New Roman" w:eastAsia="宋体" w:cs="Times New Roman"/>
          <w:color w:val="auto"/>
          <w:highlight w:val="none"/>
          <w:vertAlign w:val="subscript"/>
        </w:rPr>
        <w:t>10%</w:t>
      </w:r>
      <w:r>
        <w:rPr>
          <w:rFonts w:hint="default" w:ascii="Times New Roman" w:hAnsi="Times New Roman" w:eastAsia="宋体" w:cs="Times New Roman"/>
          <w:color w:val="auto"/>
          <w:highlight w:val="none"/>
        </w:rPr>
        <w:t>为第i个污染物的地面空气质量浓度达到标准值的10%时所对应的最远距离D</w:t>
      </w:r>
      <w:r>
        <w:rPr>
          <w:rFonts w:hint="default" w:ascii="Times New Roman" w:hAnsi="Times New Roman" w:eastAsia="宋体" w:cs="Times New Roman"/>
          <w:color w:val="auto"/>
          <w:highlight w:val="none"/>
          <w:vertAlign w:val="subscript"/>
        </w:rPr>
        <w:t>10%</w:t>
      </w:r>
      <w:r>
        <w:rPr>
          <w:rFonts w:hint="default" w:ascii="Times New Roman" w:hAnsi="Times New Roman" w:eastAsia="宋体" w:cs="Times New Roman"/>
          <w:color w:val="auto"/>
          <w:highlight w:val="none"/>
        </w:rPr>
        <w:t>。</w:t>
      </w:r>
    </w:p>
    <w:p w14:paraId="5F4A7772">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Pi的计算式为：</w:t>
      </w:r>
    </w:p>
    <w:p w14:paraId="31A9D168">
      <w:pPr>
        <w:ind w:firstLine="0" w:firstLineChars="0"/>
        <w:jc w:val="center"/>
        <w:rPr>
          <w:rFonts w:hint="default" w:ascii="Times New Roman" w:hAnsi="Times New Roman" w:eastAsia="宋体" w:cs="Times New Roman"/>
          <w:color w:val="auto"/>
          <w:szCs w:val="28"/>
          <w:highlight w:val="none"/>
        </w:rPr>
      </w:pPr>
      <w:r>
        <w:rPr>
          <w:rFonts w:hint="default" w:ascii="Times New Roman" w:hAnsi="Times New Roman" w:eastAsia="宋体" w:cs="Times New Roman"/>
          <w:color w:val="auto"/>
          <w:szCs w:val="28"/>
          <w:highlight w:val="none"/>
        </w:rPr>
        <w:object>
          <v:shape id="_x0000_i1025" o:spt="75" type="#_x0000_t75" style="height:33.75pt;width:77.25pt;" o:ole="t" filled="f" o:preferrelative="t" stroked="f" coordsize="21600,21600">
            <v:path/>
            <v:fill on="f" focussize="0,0"/>
            <v:stroke on="f" joinstyle="miter"/>
            <v:imagedata r:id="rId22" o:title=""/>
            <o:lock v:ext="edit" aspectratio="t"/>
            <w10:wrap type="none"/>
            <w10:anchorlock/>
          </v:shape>
          <o:OLEObject Type="Embed" ProgID="Equation.DSMT4" ShapeID="_x0000_i1025" DrawAspect="Content" ObjectID="_1468075725" r:id="rId21">
            <o:LockedField>false</o:LockedField>
          </o:OLEObject>
        </w:object>
      </w:r>
    </w:p>
    <w:p w14:paraId="2E5AB79D">
      <w:pPr>
        <w:pStyle w:val="69"/>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式中：P</w:t>
      </w:r>
      <w:r>
        <w:rPr>
          <w:rFonts w:hint="default" w:ascii="Times New Roman" w:hAnsi="Times New Roman" w:eastAsia="宋体" w:cs="Times New Roman"/>
          <w:color w:val="auto"/>
          <w:highlight w:val="none"/>
          <w:vertAlign w:val="subscript"/>
        </w:rPr>
        <w:t>i</w:t>
      </w:r>
      <w:r>
        <w:rPr>
          <w:rFonts w:hint="default" w:ascii="Times New Roman" w:hAnsi="Times New Roman" w:eastAsia="宋体" w:cs="Times New Roman"/>
          <w:color w:val="auto"/>
          <w:highlight w:val="none"/>
        </w:rPr>
        <w:t>—第i个污染物的最大地面空气质量浓度占标率，%；</w:t>
      </w:r>
    </w:p>
    <w:p w14:paraId="13181EA8">
      <w:pPr>
        <w:pStyle w:val="69"/>
        <w:ind w:firstLine="1200" w:firstLineChars="5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C</w:t>
      </w:r>
      <w:r>
        <w:rPr>
          <w:rFonts w:hint="default" w:ascii="Times New Roman" w:hAnsi="Times New Roman" w:eastAsia="宋体" w:cs="Times New Roman"/>
          <w:color w:val="auto"/>
          <w:highlight w:val="none"/>
          <w:vertAlign w:val="subscript"/>
        </w:rPr>
        <w:t>i</w:t>
      </w:r>
      <w:r>
        <w:rPr>
          <w:rFonts w:hint="default" w:ascii="Times New Roman" w:hAnsi="Times New Roman" w:eastAsia="宋体" w:cs="Times New Roman"/>
          <w:color w:val="auto"/>
          <w:highlight w:val="none"/>
        </w:rPr>
        <w:t>—采用估算模型计算出的第i个污染物的最大1h地面空气质量浓度，μg/m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w:t>
      </w:r>
    </w:p>
    <w:p w14:paraId="0FA012E9">
      <w:pPr>
        <w:pStyle w:val="69"/>
        <w:ind w:firstLine="1200" w:firstLineChars="5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Coi—第i个污染物的环境空气质量浓度标准，μg/m³。一般选用GB3095中1h平均质量浓度的二级浓度限值，如项目位于一类环境空气功能区，应选择相应的一级浓度限值；对该标准中未包含的污染物，使用导则（HJ2.2-2018）中5.2确定的各评价因子1h平均质量浓度限值。对仅有8h平均质量浓度限值、日平均质量浓度限值或年平均质量浓度限值的，可分别按2倍、3倍、6倍折算为1h平均质量浓度限值。</w:t>
      </w:r>
    </w:p>
    <w:p w14:paraId="269C4B9A">
      <w:pPr>
        <w:pStyle w:val="69"/>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iCs/>
          <w:color w:val="auto"/>
          <w:spacing w:val="0"/>
          <w:kern w:val="0"/>
          <w:sz w:val="24"/>
          <w:szCs w:val="24"/>
          <w:highlight w:val="none"/>
          <w:lang w:val="en-US" w:eastAsia="zh-CN"/>
        </w:rPr>
        <w:t>本项目大气环境影响评价因子</w:t>
      </w:r>
      <w:r>
        <w:rPr>
          <w:rFonts w:hint="default" w:ascii="Times New Roman" w:hAnsi="Times New Roman" w:eastAsia="宋体" w:cs="Times New Roman"/>
          <w:iCs/>
          <w:color w:val="auto"/>
          <w:spacing w:val="0"/>
          <w:kern w:val="0"/>
          <w:sz w:val="24"/>
          <w:szCs w:val="24"/>
          <w:highlight w:val="none"/>
        </w:rPr>
        <w:t>SO</w:t>
      </w:r>
      <w:r>
        <w:rPr>
          <w:rFonts w:hint="default" w:ascii="Times New Roman" w:hAnsi="Times New Roman" w:eastAsia="宋体" w:cs="Times New Roman"/>
          <w:iCs/>
          <w:color w:val="auto"/>
          <w:spacing w:val="0"/>
          <w:kern w:val="0"/>
          <w:sz w:val="24"/>
          <w:szCs w:val="24"/>
          <w:highlight w:val="none"/>
          <w:vertAlign w:val="subscript"/>
        </w:rPr>
        <w:t>2</w:t>
      </w:r>
      <w:r>
        <w:rPr>
          <w:rFonts w:hint="default" w:ascii="Times New Roman" w:hAnsi="Times New Roman" w:eastAsia="宋体" w:cs="Times New Roman"/>
          <w:iCs/>
          <w:color w:val="auto"/>
          <w:spacing w:val="0"/>
          <w:kern w:val="0"/>
          <w:sz w:val="24"/>
          <w:szCs w:val="24"/>
          <w:highlight w:val="none"/>
        </w:rPr>
        <w:t>、NO</w:t>
      </w:r>
      <w:r>
        <w:rPr>
          <w:rFonts w:hint="default" w:ascii="Times New Roman" w:hAnsi="Times New Roman" w:eastAsia="宋体" w:cs="Times New Roman"/>
          <w:iCs/>
          <w:color w:val="auto"/>
          <w:spacing w:val="0"/>
          <w:kern w:val="0"/>
          <w:sz w:val="24"/>
          <w:szCs w:val="24"/>
          <w:highlight w:val="none"/>
          <w:vertAlign w:val="subscript"/>
        </w:rPr>
        <w:t>2</w:t>
      </w:r>
      <w:r>
        <w:rPr>
          <w:rFonts w:hint="default" w:ascii="Times New Roman" w:hAnsi="Times New Roman" w:eastAsia="宋体" w:cs="Times New Roman"/>
          <w:color w:val="auto"/>
          <w:spacing w:val="0"/>
          <w:sz w:val="24"/>
          <w:szCs w:val="24"/>
          <w:highlight w:val="none"/>
        </w:rPr>
        <w:t>选用《环境空气质量标准》（GB3095-2012）</w:t>
      </w:r>
      <w:r>
        <w:rPr>
          <w:rFonts w:hint="default" w:ascii="Times New Roman" w:hAnsi="Times New Roman" w:eastAsia="宋体" w:cs="Times New Roman"/>
          <w:color w:val="auto"/>
          <w:spacing w:val="0"/>
          <w:sz w:val="24"/>
          <w:szCs w:val="24"/>
          <w:highlight w:val="none"/>
          <w:lang w:val="en-US" w:eastAsia="zh-CN"/>
        </w:rPr>
        <w:t>表1环境空气污染物基本项目浓度限值</w:t>
      </w:r>
      <w:r>
        <w:rPr>
          <w:rFonts w:hint="default" w:ascii="Times New Roman" w:hAnsi="Times New Roman" w:eastAsia="宋体" w:cs="Times New Roman"/>
          <w:color w:val="auto"/>
          <w:spacing w:val="0"/>
          <w:sz w:val="24"/>
          <w:szCs w:val="24"/>
          <w:highlight w:val="none"/>
          <w:lang w:eastAsia="zh-CN"/>
        </w:rPr>
        <w:t>中</w:t>
      </w:r>
      <w:r>
        <w:rPr>
          <w:rFonts w:hint="default" w:ascii="Times New Roman" w:hAnsi="Times New Roman" w:eastAsia="宋体" w:cs="Times New Roman"/>
          <w:color w:val="auto"/>
          <w:spacing w:val="0"/>
          <w:sz w:val="24"/>
          <w:szCs w:val="24"/>
          <w:highlight w:val="none"/>
          <w:lang w:val="en-US" w:eastAsia="zh-CN"/>
        </w:rPr>
        <w:t>1小时平均浓度限值的二级浓度限值</w:t>
      </w:r>
      <w:r>
        <w:rPr>
          <w:rFonts w:hint="default" w:ascii="Times New Roman" w:hAnsi="Times New Roman" w:eastAsia="宋体" w:cs="Times New Roman"/>
          <w:color w:val="auto"/>
          <w:spacing w:val="0"/>
          <w:sz w:val="24"/>
          <w:szCs w:val="24"/>
          <w:highlight w:val="none"/>
        </w:rPr>
        <w:t>；</w:t>
      </w:r>
      <w:r>
        <w:rPr>
          <w:rFonts w:hint="default" w:ascii="Times New Roman" w:hAnsi="Times New Roman" w:eastAsia="宋体" w:cs="Times New Roman"/>
          <w:iCs/>
          <w:color w:val="auto"/>
          <w:spacing w:val="0"/>
          <w:kern w:val="0"/>
          <w:sz w:val="24"/>
          <w:szCs w:val="24"/>
          <w:highlight w:val="none"/>
        </w:rPr>
        <w:t>PM</w:t>
      </w:r>
      <w:r>
        <w:rPr>
          <w:rFonts w:hint="default" w:ascii="Times New Roman" w:hAnsi="Times New Roman" w:eastAsia="宋体" w:cs="Times New Roman"/>
          <w:iCs/>
          <w:color w:val="auto"/>
          <w:spacing w:val="0"/>
          <w:kern w:val="0"/>
          <w:sz w:val="24"/>
          <w:szCs w:val="24"/>
          <w:highlight w:val="none"/>
          <w:vertAlign w:val="subscript"/>
        </w:rPr>
        <w:t>10</w:t>
      </w:r>
      <w:r>
        <w:rPr>
          <w:rFonts w:hint="default" w:ascii="Times New Roman" w:hAnsi="Times New Roman" w:eastAsia="宋体" w:cs="Times New Roman"/>
          <w:iCs/>
          <w:color w:val="auto"/>
          <w:spacing w:val="0"/>
          <w:kern w:val="0"/>
          <w:sz w:val="24"/>
          <w:szCs w:val="24"/>
          <w:highlight w:val="none"/>
        </w:rPr>
        <w:t>、PM</w:t>
      </w:r>
      <w:r>
        <w:rPr>
          <w:rFonts w:hint="default" w:ascii="Times New Roman" w:hAnsi="Times New Roman" w:eastAsia="宋体" w:cs="Times New Roman"/>
          <w:iCs/>
          <w:color w:val="auto"/>
          <w:spacing w:val="0"/>
          <w:kern w:val="0"/>
          <w:sz w:val="24"/>
          <w:szCs w:val="24"/>
          <w:highlight w:val="none"/>
          <w:vertAlign w:val="subscript"/>
        </w:rPr>
        <w:t>2.5</w:t>
      </w:r>
      <w:r>
        <w:rPr>
          <w:rFonts w:hint="default" w:ascii="Times New Roman" w:hAnsi="Times New Roman" w:eastAsia="宋体"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lang w:val="en-US" w:eastAsia="zh-CN"/>
        </w:rPr>
        <w:t>TSP选</w:t>
      </w:r>
      <w:r>
        <w:rPr>
          <w:rFonts w:hint="default" w:ascii="Times New Roman" w:hAnsi="Times New Roman" w:eastAsia="宋体" w:cs="Times New Roman"/>
          <w:color w:val="auto"/>
          <w:spacing w:val="0"/>
          <w:sz w:val="24"/>
          <w:szCs w:val="24"/>
          <w:highlight w:val="none"/>
        </w:rPr>
        <w:t>用《环境空气质量标准》（GB3095-2012）</w:t>
      </w:r>
      <w:r>
        <w:rPr>
          <w:rFonts w:hint="default" w:ascii="Times New Roman" w:hAnsi="Times New Roman" w:eastAsia="宋体" w:cs="Times New Roman"/>
          <w:color w:val="auto"/>
          <w:spacing w:val="0"/>
          <w:sz w:val="24"/>
          <w:szCs w:val="24"/>
          <w:highlight w:val="none"/>
          <w:lang w:val="en-US" w:eastAsia="zh-CN"/>
        </w:rPr>
        <w:t>表1环境空气污染物基本项目浓度限值</w:t>
      </w:r>
      <w:r>
        <w:rPr>
          <w:rFonts w:hint="default" w:ascii="Times New Roman" w:hAnsi="Times New Roman" w:eastAsia="宋体" w:cs="Times New Roman"/>
          <w:color w:val="auto"/>
          <w:spacing w:val="0"/>
          <w:sz w:val="24"/>
          <w:szCs w:val="24"/>
          <w:highlight w:val="none"/>
          <w:lang w:eastAsia="zh-CN"/>
        </w:rPr>
        <w:t>中</w:t>
      </w:r>
      <w:r>
        <w:rPr>
          <w:rFonts w:hint="default" w:ascii="Times New Roman" w:hAnsi="Times New Roman" w:eastAsia="宋体" w:cs="Times New Roman"/>
          <w:color w:val="auto"/>
          <w:spacing w:val="0"/>
          <w:sz w:val="24"/>
          <w:szCs w:val="24"/>
          <w:highlight w:val="none"/>
          <w:lang w:val="en-US" w:eastAsia="zh-CN"/>
        </w:rPr>
        <w:t>1小时平均浓度限值的二级浓度限值中</w:t>
      </w:r>
      <w:r>
        <w:rPr>
          <w:rFonts w:hint="default" w:ascii="Times New Roman" w:hAnsi="Times New Roman" w:eastAsia="宋体" w:cs="Times New Roman"/>
          <w:color w:val="auto"/>
          <w:spacing w:val="0"/>
          <w:sz w:val="24"/>
          <w:szCs w:val="24"/>
          <w:highlight w:val="none"/>
          <w:lang w:eastAsia="zh-CN"/>
        </w:rPr>
        <w:t>的</w:t>
      </w:r>
      <w:r>
        <w:rPr>
          <w:rFonts w:hint="default" w:ascii="Times New Roman" w:hAnsi="Times New Roman" w:eastAsia="宋体" w:cs="Times New Roman"/>
          <w:color w:val="auto"/>
          <w:spacing w:val="0"/>
          <w:sz w:val="24"/>
          <w:szCs w:val="24"/>
          <w:highlight w:val="none"/>
        </w:rPr>
        <w:t>24小时平均</w:t>
      </w:r>
      <w:r>
        <w:rPr>
          <w:rFonts w:hint="default" w:ascii="Times New Roman" w:hAnsi="Times New Roman" w:eastAsia="宋体" w:cs="Times New Roman"/>
          <w:color w:val="auto"/>
          <w:spacing w:val="0"/>
          <w:sz w:val="24"/>
          <w:szCs w:val="24"/>
          <w:highlight w:val="none"/>
          <w:lang w:val="en-US" w:eastAsia="zh-CN"/>
        </w:rPr>
        <w:t>质量</w:t>
      </w:r>
      <w:r>
        <w:rPr>
          <w:rFonts w:hint="default" w:ascii="Times New Roman" w:hAnsi="Times New Roman" w:eastAsia="宋体" w:cs="Times New Roman"/>
          <w:color w:val="auto"/>
          <w:spacing w:val="0"/>
          <w:sz w:val="24"/>
          <w:szCs w:val="24"/>
          <w:highlight w:val="none"/>
        </w:rPr>
        <w:t>浓度值的</w:t>
      </w:r>
      <w:r>
        <w:rPr>
          <w:rFonts w:hint="default" w:ascii="Times New Roman" w:hAnsi="Times New Roman" w:eastAsia="宋体" w:cs="Times New Roman"/>
          <w:color w:val="auto"/>
          <w:spacing w:val="0"/>
          <w:sz w:val="24"/>
          <w:szCs w:val="24"/>
          <w:highlight w:val="none"/>
          <w:lang w:val="en-US" w:eastAsia="zh-CN"/>
        </w:rPr>
        <w:t>3</w:t>
      </w:r>
      <w:r>
        <w:rPr>
          <w:rFonts w:hint="default" w:ascii="Times New Roman" w:hAnsi="Times New Roman" w:eastAsia="宋体" w:cs="Times New Roman"/>
          <w:color w:val="auto"/>
          <w:spacing w:val="0"/>
          <w:sz w:val="24"/>
          <w:szCs w:val="24"/>
          <w:highlight w:val="none"/>
        </w:rPr>
        <w:t>倍值；</w:t>
      </w:r>
      <w:r>
        <w:rPr>
          <w:rFonts w:hint="default" w:ascii="Times New Roman" w:hAnsi="Times New Roman" w:eastAsia="宋体" w:cs="Times New Roman"/>
          <w:iCs/>
          <w:snapToGrid w:val="0"/>
          <w:color w:val="auto"/>
          <w:spacing w:val="0"/>
          <w:kern w:val="0"/>
          <w:sz w:val="24"/>
          <w:szCs w:val="24"/>
          <w:highlight w:val="none"/>
          <w:lang w:val="en-US" w:eastAsia="zh-CN"/>
        </w:rPr>
        <w:t>汞及其化合物</w:t>
      </w:r>
      <w:r>
        <w:rPr>
          <w:rFonts w:hint="default" w:ascii="Times New Roman" w:hAnsi="Times New Roman" w:eastAsia="宋体" w:cs="Times New Roman"/>
          <w:color w:val="auto"/>
          <w:spacing w:val="0"/>
          <w:sz w:val="24"/>
          <w:szCs w:val="24"/>
          <w:highlight w:val="none"/>
        </w:rPr>
        <w:t>选用《环境空气质量标准》（GB3095-2012）</w:t>
      </w:r>
      <w:r>
        <w:rPr>
          <w:rFonts w:hint="default" w:ascii="Times New Roman" w:hAnsi="Times New Roman" w:eastAsia="宋体" w:cs="Times New Roman"/>
          <w:color w:val="auto"/>
          <w:spacing w:val="0"/>
          <w:sz w:val="24"/>
          <w:szCs w:val="24"/>
          <w:highlight w:val="none"/>
          <w:lang w:val="en-US" w:eastAsia="zh-CN"/>
        </w:rPr>
        <w:t>附录A</w:t>
      </w:r>
      <w:r>
        <w:rPr>
          <w:rFonts w:hint="default" w:ascii="Times New Roman" w:hAnsi="Times New Roman" w:eastAsia="宋体" w:cs="Times New Roman"/>
          <w:color w:val="auto"/>
          <w:spacing w:val="0"/>
          <w:sz w:val="24"/>
          <w:szCs w:val="24"/>
          <w:highlight w:val="none"/>
        </w:rPr>
        <w:t>中</w:t>
      </w:r>
      <w:r>
        <w:rPr>
          <w:rFonts w:hint="default" w:ascii="Times New Roman" w:hAnsi="Times New Roman" w:eastAsia="宋体" w:cs="Times New Roman"/>
          <w:color w:val="auto"/>
          <w:spacing w:val="0"/>
          <w:sz w:val="24"/>
          <w:szCs w:val="24"/>
          <w:highlight w:val="none"/>
          <w:lang w:val="en-US" w:eastAsia="zh-CN"/>
        </w:rPr>
        <w:t>年平均质量浓度限值的6</w:t>
      </w:r>
      <w:r>
        <w:rPr>
          <w:rFonts w:hint="default" w:ascii="Times New Roman" w:hAnsi="Times New Roman" w:eastAsia="宋体" w:cs="Times New Roman"/>
          <w:color w:val="auto"/>
          <w:spacing w:val="0"/>
          <w:sz w:val="24"/>
          <w:szCs w:val="24"/>
          <w:highlight w:val="none"/>
        </w:rPr>
        <w:t>倍值</w:t>
      </w:r>
      <w:r>
        <w:rPr>
          <w:rFonts w:hint="default" w:ascii="Times New Roman" w:hAnsi="Times New Roman" w:eastAsia="宋体" w:cs="Times New Roman"/>
          <w:color w:val="auto"/>
          <w:spacing w:val="0"/>
          <w:sz w:val="24"/>
          <w:szCs w:val="24"/>
          <w:highlight w:val="none"/>
          <w:lang w:eastAsia="zh-CN"/>
        </w:rPr>
        <w:t>；</w:t>
      </w:r>
      <w:r>
        <w:rPr>
          <w:rFonts w:hint="default" w:ascii="Times New Roman" w:hAnsi="Times New Roman" w:eastAsia="宋体" w:cs="Times New Roman"/>
          <w:iCs/>
          <w:color w:val="auto"/>
          <w:spacing w:val="0"/>
          <w:kern w:val="0"/>
          <w:sz w:val="24"/>
          <w:szCs w:val="24"/>
          <w:highlight w:val="none"/>
          <w:lang w:val="en-US" w:eastAsia="zh-CN"/>
        </w:rPr>
        <w:t>NH</w:t>
      </w:r>
      <w:r>
        <w:rPr>
          <w:rFonts w:hint="default" w:ascii="Times New Roman" w:hAnsi="Times New Roman" w:eastAsia="宋体" w:cs="Times New Roman"/>
          <w:iCs/>
          <w:color w:val="auto"/>
          <w:spacing w:val="0"/>
          <w:kern w:val="0"/>
          <w:sz w:val="24"/>
          <w:szCs w:val="24"/>
          <w:highlight w:val="none"/>
          <w:vertAlign w:val="subscript"/>
          <w:lang w:val="en-US" w:eastAsia="zh-CN"/>
        </w:rPr>
        <w:t>3</w:t>
      </w:r>
      <w:r>
        <w:rPr>
          <w:rFonts w:hint="default" w:ascii="Times New Roman" w:hAnsi="Times New Roman" w:eastAsia="宋体" w:cs="Times New Roman"/>
          <w:iCs/>
          <w:color w:val="auto"/>
          <w:spacing w:val="0"/>
          <w:kern w:val="0"/>
          <w:sz w:val="24"/>
          <w:szCs w:val="24"/>
          <w:highlight w:val="none"/>
          <w:lang w:val="en-US" w:eastAsia="zh-CN"/>
        </w:rPr>
        <w:t>选用</w:t>
      </w:r>
      <w:r>
        <w:rPr>
          <w:rFonts w:hint="default" w:ascii="Times New Roman" w:hAnsi="Times New Roman" w:eastAsia="宋体" w:cs="Times New Roman"/>
          <w:color w:val="auto"/>
          <w:spacing w:val="0"/>
          <w:sz w:val="24"/>
          <w:szCs w:val="24"/>
          <w:highlight w:val="none"/>
          <w:lang w:eastAsia="zh-CN"/>
        </w:rPr>
        <w:t>《环境影响评价技术导则</w:t>
      </w:r>
      <w:r>
        <w:rPr>
          <w:rFonts w:hint="default" w:ascii="Times New Roman" w:hAnsi="Times New Roman" w:eastAsia="宋体" w:cs="Times New Roman"/>
          <w:color w:val="auto"/>
          <w:spacing w:val="0"/>
          <w:sz w:val="24"/>
          <w:szCs w:val="24"/>
          <w:highlight w:val="none"/>
          <w:lang w:val="en-US" w:eastAsia="zh-CN"/>
        </w:rPr>
        <w:t xml:space="preserve"> 大气环境</w:t>
      </w:r>
      <w:r>
        <w:rPr>
          <w:rFonts w:hint="default" w:ascii="Times New Roman" w:hAnsi="Times New Roman" w:eastAsia="宋体"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lang w:val="en-US" w:eastAsia="zh-CN"/>
        </w:rPr>
        <w:t>HJ2.2-2018</w:t>
      </w:r>
      <w:r>
        <w:rPr>
          <w:rFonts w:hint="default" w:ascii="Times New Roman" w:hAnsi="Times New Roman" w:eastAsia="宋体" w:cs="Times New Roman"/>
          <w:color w:val="auto"/>
          <w:spacing w:val="0"/>
          <w:sz w:val="24"/>
          <w:szCs w:val="24"/>
          <w:highlight w:val="none"/>
          <w:lang w:eastAsia="zh-CN"/>
        </w:rPr>
        <w:t>）附录</w:t>
      </w:r>
      <w:r>
        <w:rPr>
          <w:rFonts w:hint="default" w:ascii="Times New Roman" w:hAnsi="Times New Roman" w:eastAsia="宋体" w:cs="Times New Roman"/>
          <w:color w:val="auto"/>
          <w:spacing w:val="0"/>
          <w:sz w:val="24"/>
          <w:szCs w:val="24"/>
          <w:highlight w:val="none"/>
          <w:lang w:val="en-US" w:eastAsia="zh-CN"/>
        </w:rPr>
        <w:t>D标准值。</w:t>
      </w:r>
    </w:p>
    <w:p w14:paraId="6BF89505">
      <w:pPr>
        <w:keepNext w:val="0"/>
        <w:keepLines w:val="0"/>
        <w:pageBreakBefore w:val="0"/>
        <w:widowControl w:val="0"/>
        <w:kinsoku/>
        <w:wordWrap/>
        <w:overflowPunct/>
        <w:topLinePunct w:val="0"/>
        <w:bidi w:val="0"/>
        <w:snapToGrid/>
        <w:spacing w:line="360" w:lineRule="auto"/>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iCs/>
          <w:color w:val="auto"/>
          <w:spacing w:val="0"/>
          <w:sz w:val="24"/>
          <w:szCs w:val="24"/>
          <w:highlight w:val="none"/>
        </w:rPr>
        <w:t>本项目</w:t>
      </w:r>
      <w:r>
        <w:rPr>
          <w:rFonts w:hint="default" w:ascii="Times New Roman" w:hAnsi="Times New Roman" w:eastAsia="宋体" w:cs="Times New Roman"/>
          <w:iCs/>
          <w:color w:val="auto"/>
          <w:spacing w:val="0"/>
          <w:sz w:val="24"/>
          <w:szCs w:val="24"/>
          <w:highlight w:val="none"/>
          <w:lang w:eastAsia="zh-CN"/>
        </w:rPr>
        <w:t>估算模型参数见表</w:t>
      </w:r>
      <w:r>
        <w:rPr>
          <w:rFonts w:hint="default" w:ascii="Times New Roman" w:hAnsi="Times New Roman" w:eastAsia="宋体" w:cs="Times New Roman"/>
          <w:iCs/>
          <w:color w:val="auto"/>
          <w:spacing w:val="0"/>
          <w:sz w:val="24"/>
          <w:szCs w:val="24"/>
          <w:highlight w:val="none"/>
          <w:lang w:val="en-US" w:eastAsia="zh-CN"/>
        </w:rPr>
        <w:t>2.4-2，</w:t>
      </w:r>
      <w:r>
        <w:rPr>
          <w:rFonts w:hint="default" w:ascii="Times New Roman" w:hAnsi="Times New Roman" w:eastAsia="宋体" w:cs="Times New Roman"/>
          <w:color w:val="auto"/>
          <w:spacing w:val="0"/>
          <w:sz w:val="24"/>
          <w:szCs w:val="24"/>
          <w:highlight w:val="none"/>
          <w:lang w:eastAsia="zh-CN"/>
        </w:rPr>
        <w:t>估算模型参数选取如下：</w:t>
      </w:r>
    </w:p>
    <w:p w14:paraId="18840836">
      <w:pPr>
        <w:keepNext w:val="0"/>
        <w:keepLines w:val="0"/>
        <w:pageBreakBefore w:val="0"/>
        <w:widowControl w:val="0"/>
        <w:kinsoku/>
        <w:wordWrap/>
        <w:overflowPunct/>
        <w:topLinePunct w:val="0"/>
        <w:bidi w:val="0"/>
        <w:snapToGrid/>
        <w:spacing w:line="360" w:lineRule="auto"/>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（1）根据《环境影响评价技术导则 大气环境》</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HJ2.2-2018</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附录B的B.6.1城市/农村选项—当项目周边3km半径范围内一半以上面积属于城市建成区或者规划区时选择城市，否则选择农村”。依据对本项目厂址周边3km半径范围内的用地性质进行调查可知（厂址周边3km半径范围内用地性质分布情况详见图2</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4-1），本项目周边3km半径范围内建成区的面积大于周边3km半径范围内面积的一半，因此本次大气环境影响评价选取城市选项。</w:t>
      </w:r>
    </w:p>
    <w:p w14:paraId="179346FD">
      <w:pPr>
        <w:keepNext w:val="0"/>
        <w:keepLines w:val="0"/>
        <w:pageBreakBefore w:val="0"/>
        <w:widowControl w:val="0"/>
        <w:kinsoku/>
        <w:wordWrap/>
        <w:overflowPunct/>
        <w:topLinePunct w:val="0"/>
        <w:bidi w:val="0"/>
        <w:snapToGrid/>
        <w:spacing w:line="360" w:lineRule="auto"/>
        <w:ind w:left="0" w:leftChars="0"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drawing>
          <wp:anchor distT="0" distB="0" distL="114300" distR="114300" simplePos="0" relativeHeight="251665408" behindDoc="0" locked="0" layoutInCell="1" allowOverlap="1">
            <wp:simplePos x="0" y="0"/>
            <wp:positionH relativeFrom="column">
              <wp:posOffset>4489450</wp:posOffset>
            </wp:positionH>
            <wp:positionV relativeFrom="paragraph">
              <wp:posOffset>110490</wp:posOffset>
            </wp:positionV>
            <wp:extent cx="750570" cy="891540"/>
            <wp:effectExtent l="0" t="0" r="11430" b="3810"/>
            <wp:wrapNone/>
            <wp:docPr id="1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9"/>
                    <pic:cNvPicPr>
                      <a:picLocks noChangeAspect="1"/>
                    </pic:cNvPicPr>
                  </pic:nvPicPr>
                  <pic:blipFill>
                    <a:blip r:embed="rId23"/>
                    <a:stretch>
                      <a:fillRect/>
                    </a:stretch>
                  </pic:blipFill>
                  <pic:spPr>
                    <a:xfrm>
                      <a:off x="0" y="0"/>
                      <a:ext cx="750570" cy="891540"/>
                    </a:xfrm>
                    <a:prstGeom prst="rect">
                      <a:avLst/>
                    </a:prstGeom>
                    <a:noFill/>
                    <a:ln>
                      <a:noFill/>
                    </a:ln>
                  </pic:spPr>
                </pic:pic>
              </a:graphicData>
            </a:graphic>
          </wp:anchor>
        </w:drawing>
      </w:r>
      <w:r>
        <w:rPr>
          <w:rFonts w:hint="default" w:ascii="Times New Roman" w:hAnsi="Times New Roman" w:eastAsia="宋体" w:cs="Times New Roman"/>
          <w:color w:val="auto"/>
          <w:highlight w:val="none"/>
        </w:rPr>
        <w:drawing>
          <wp:inline distT="0" distB="0" distL="114300" distR="114300">
            <wp:extent cx="5269230" cy="5163820"/>
            <wp:effectExtent l="0" t="0" r="7620" b="17780"/>
            <wp:docPr id="1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8"/>
                    <pic:cNvPicPr>
                      <a:picLocks noChangeAspect="1"/>
                    </pic:cNvPicPr>
                  </pic:nvPicPr>
                  <pic:blipFill>
                    <a:blip r:embed="rId24"/>
                    <a:stretch>
                      <a:fillRect/>
                    </a:stretch>
                  </pic:blipFill>
                  <pic:spPr>
                    <a:xfrm>
                      <a:off x="0" y="0"/>
                      <a:ext cx="5269230" cy="5163820"/>
                    </a:xfrm>
                    <a:prstGeom prst="rect">
                      <a:avLst/>
                    </a:prstGeom>
                    <a:noFill/>
                    <a:ln>
                      <a:noFill/>
                    </a:ln>
                  </pic:spPr>
                </pic:pic>
              </a:graphicData>
            </a:graphic>
          </wp:inline>
        </w:drawing>
      </w:r>
      <w:r>
        <w:rPr>
          <w:color w:val="auto"/>
          <w:sz w:val="24"/>
          <w:highlight w:val="none"/>
        </w:rPr>
        <mc:AlternateContent>
          <mc:Choice Requires="wps">
            <w:drawing>
              <wp:anchor distT="0" distB="0" distL="114300" distR="114300" simplePos="0" relativeHeight="251662336" behindDoc="0" locked="0" layoutInCell="1" allowOverlap="1">
                <wp:simplePos x="0" y="0"/>
                <wp:positionH relativeFrom="column">
                  <wp:posOffset>1477010</wp:posOffset>
                </wp:positionH>
                <wp:positionV relativeFrom="paragraph">
                  <wp:posOffset>2644140</wp:posOffset>
                </wp:positionV>
                <wp:extent cx="664210" cy="281940"/>
                <wp:effectExtent l="6350" t="224790" r="339090" b="7620"/>
                <wp:wrapNone/>
                <wp:docPr id="175" name="矩形标注 175"/>
                <wp:cNvGraphicFramePr/>
                <a:graphic xmlns:a="http://schemas.openxmlformats.org/drawingml/2006/main">
                  <a:graphicData uri="http://schemas.microsoft.com/office/word/2010/wordprocessingShape">
                    <wps:wsp>
                      <wps:cNvSpPr/>
                      <wps:spPr>
                        <a:xfrm>
                          <a:off x="0" y="0"/>
                          <a:ext cx="664210" cy="281940"/>
                        </a:xfrm>
                        <a:prstGeom prst="wedgeRectCallout">
                          <a:avLst>
                            <a:gd name="adj1" fmla="val 98470"/>
                            <a:gd name="adj2" fmla="val -127477"/>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D24A4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color w:val="FF0000"/>
                                <w:sz w:val="21"/>
                                <w:szCs w:val="21"/>
                                <w:lang w:val="en-US" w:eastAsia="zh-CN"/>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16.3pt;margin-top:208.2pt;height:22.2pt;width:52.3pt;z-index:251662336;v-text-anchor:middle;mso-width-relative:page;mso-height-relative:page;" filled="f" stroked="t" coordsize="21600,21600" o:gfxdata="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FMwJXPZAAAACwEAAA8AAAAAAAAAAQAgAAAAIgAAAGRycy9kb3ducmV2LnhtbFBLAQIU&#10;ABQAAAAIAIdO4kDTkKVsnQIAACcFAAAOAAAAAAAAAAEAIAAAACgBAABkcnMvZTJvRG9jLnhtbFBL&#10;BQYAAAAABgAGAFkBAAA3BgAAAAA=&#10;" adj="32070,-16735">
                <v:fill on="f" focussize="0,0"/>
                <v:stroke weight="1pt" color="#FF0000 [3204]" joinstyle="round"/>
                <v:imagedata o:title=""/>
                <o:lock v:ext="edit" aspectratio="f"/>
                <v:textbox>
                  <w:txbxContent>
                    <w:p w14:paraId="41D24A4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color w:val="FF0000"/>
                          <w:sz w:val="21"/>
                          <w:szCs w:val="21"/>
                          <w:lang w:val="en-US" w:eastAsia="zh-CN"/>
                        </w:rPr>
                        <w:t>本项目</w:t>
                      </w:r>
                    </w:p>
                  </w:txbxContent>
                </v:textbox>
              </v:shape>
            </w:pict>
          </mc:Fallback>
        </mc:AlternateContent>
      </w:r>
    </w:p>
    <w:p w14:paraId="7FFA88DE">
      <w:pPr>
        <w:keepNext w:val="0"/>
        <w:keepLines w:val="0"/>
        <w:pageBreakBefore w:val="0"/>
        <w:widowControl w:val="0"/>
        <w:kinsoku/>
        <w:wordWrap/>
        <w:overflowPunct/>
        <w:topLinePunct w:val="0"/>
        <w:bidi w:val="0"/>
        <w:snapToGrid/>
        <w:spacing w:line="360" w:lineRule="auto"/>
        <w:ind w:left="0" w:leftChars="0"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图2</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4-1  厂址3km半径范围内</w:t>
      </w:r>
      <w:r>
        <w:rPr>
          <w:rFonts w:hint="eastAsia" w:ascii="Times New Roman" w:hAnsi="Times New Roman" w:eastAsia="宋体" w:cs="Times New Roman"/>
          <w:color w:val="auto"/>
          <w:highlight w:val="none"/>
          <w:lang w:eastAsia="zh-CN"/>
        </w:rPr>
        <w:t>用地性质</w:t>
      </w:r>
      <w:r>
        <w:rPr>
          <w:rFonts w:hint="default" w:ascii="Times New Roman" w:hAnsi="Times New Roman" w:eastAsia="宋体" w:cs="Times New Roman"/>
          <w:color w:val="auto"/>
          <w:highlight w:val="none"/>
        </w:rPr>
        <w:t>分布图</w:t>
      </w:r>
    </w:p>
    <w:p w14:paraId="1DAA6C90">
      <w:pPr>
        <w:keepNext w:val="0"/>
        <w:keepLines w:val="0"/>
        <w:pageBreakBefore w:val="0"/>
        <w:widowControl w:val="0"/>
        <w:kinsoku/>
        <w:wordWrap/>
        <w:overflowPunct/>
        <w:topLinePunct w:val="0"/>
        <w:bidi w:val="0"/>
        <w:snapToGrid/>
        <w:spacing w:line="360" w:lineRule="auto"/>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（2）根据《环境影响评价技术导则 大气环境》</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HJ2.2-2018</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“附录B的B.3.1—估算模型所需最高和最低环境温度，一般需选取评价区域近20年以上资料统计结果”。本项目估算采用</w:t>
      </w:r>
      <w:r>
        <w:rPr>
          <w:rFonts w:hint="eastAsia" w:ascii="Times New Roman" w:hAnsi="Times New Roman" w:eastAsia="宋体" w:cs="Times New Roman"/>
          <w:color w:val="auto"/>
          <w:highlight w:val="none"/>
          <w:lang w:val="en-US" w:eastAsia="zh-CN"/>
        </w:rPr>
        <w:t>佳木斯</w:t>
      </w:r>
      <w:r>
        <w:rPr>
          <w:rFonts w:hint="eastAsia" w:ascii="Times New Roman" w:hAnsi="Times New Roman" w:eastAsia="宋体" w:cs="Times New Roman"/>
          <w:color w:val="auto"/>
          <w:highlight w:val="none"/>
          <w:lang w:eastAsia="zh-CN"/>
        </w:rPr>
        <w:t>市</w:t>
      </w:r>
      <w:r>
        <w:rPr>
          <w:rFonts w:hint="default" w:ascii="Times New Roman" w:hAnsi="Times New Roman" w:eastAsia="宋体" w:cs="Times New Roman"/>
          <w:color w:val="auto"/>
          <w:highlight w:val="none"/>
        </w:rPr>
        <w:t>近20年气象数据统计结果中的最高环境温度</w:t>
      </w:r>
      <w:r>
        <w:rPr>
          <w:rFonts w:hint="eastAsia" w:ascii="Times New Roman" w:hAnsi="Times New Roman" w:eastAsia="宋体" w:cs="Times New Roman"/>
          <w:color w:val="auto"/>
          <w:highlight w:val="none"/>
          <w:lang w:val="en-US" w:eastAsia="zh-CN"/>
        </w:rPr>
        <w:t>34.36</w:t>
      </w:r>
      <w:r>
        <w:rPr>
          <w:rFonts w:hint="default" w:ascii="Times New Roman" w:hAnsi="Times New Roman" w:eastAsia="宋体" w:cs="Times New Roman"/>
          <w:color w:val="auto"/>
          <w:highlight w:val="none"/>
        </w:rPr>
        <w:t>℃和最低环境温度取值</w:t>
      </w:r>
      <w:r>
        <w:rPr>
          <w:rFonts w:hint="default" w:ascii="Times New Roman" w:hAnsi="Times New Roman" w:eastAsia="宋体" w:cs="Times New Roman"/>
          <w:color w:val="auto"/>
          <w:highlight w:val="none"/>
          <w:lang w:val="en-US" w:eastAsia="zh-CN"/>
        </w:rPr>
        <w:t>-32.72</w:t>
      </w:r>
      <w:r>
        <w:rPr>
          <w:rFonts w:hint="default" w:ascii="Times New Roman" w:hAnsi="Times New Roman" w:eastAsia="宋体" w:cs="Times New Roman"/>
          <w:color w:val="auto"/>
          <w:highlight w:val="none"/>
        </w:rPr>
        <w:t>℃。</w:t>
      </w:r>
    </w:p>
    <w:p w14:paraId="7503D87F">
      <w:pPr>
        <w:keepNext w:val="0"/>
        <w:keepLines w:val="0"/>
        <w:pageBreakBefore w:val="0"/>
        <w:widowControl w:val="0"/>
        <w:kinsoku/>
        <w:wordWrap/>
        <w:overflowPunct/>
        <w:topLinePunct w:val="0"/>
        <w:bidi w:val="0"/>
        <w:snapToGrid/>
        <w:spacing w:line="360" w:lineRule="auto"/>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（3）根据《环境影响评价技术导则 大气环境》</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HJ2.2-2018</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附录B的B.5地表参数—AERSCREEN的地表参数根据模型特点取项目周边3km范围内占地面积最大的土地利用类型来确定”。本项目周边3km范围内占地面积最大的土地利用类型为城市建设用地，因此本次大气环境影响评价的土地利用类型为城市。</w:t>
      </w:r>
    </w:p>
    <w:p w14:paraId="4ABE07F3">
      <w:pPr>
        <w:keepNext w:val="0"/>
        <w:keepLines w:val="0"/>
        <w:pageBreakBefore w:val="0"/>
        <w:widowControl w:val="0"/>
        <w:kinsoku/>
        <w:wordWrap/>
        <w:overflowPunct/>
        <w:topLinePunct w:val="0"/>
        <w:bidi w:val="0"/>
        <w:snapToGrid/>
        <w:spacing w:line="360" w:lineRule="auto"/>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（4）根据《环境影响评价技术导则 大气环境》</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HJ2.2-2018</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附录B的B.5地表参数—AERMOD和AERSCREEN所需的区域湿度条件根据中国干湿度分布图判断，经过判定，</w:t>
      </w:r>
      <w:r>
        <w:rPr>
          <w:rFonts w:hint="eastAsia" w:ascii="Times New Roman" w:hAnsi="Times New Roman" w:eastAsia="宋体" w:cs="Times New Roman"/>
          <w:color w:val="auto"/>
          <w:highlight w:val="none"/>
          <w:lang w:eastAsia="zh-CN"/>
        </w:rPr>
        <w:t>本项目</w:t>
      </w:r>
      <w:r>
        <w:rPr>
          <w:rFonts w:hint="default" w:ascii="Times New Roman" w:hAnsi="Times New Roman" w:eastAsia="宋体" w:cs="Times New Roman"/>
          <w:color w:val="auto"/>
          <w:highlight w:val="none"/>
        </w:rPr>
        <w:t>地区属于</w:t>
      </w:r>
      <w:r>
        <w:rPr>
          <w:rFonts w:hint="eastAsia" w:ascii="Times New Roman" w:hAnsi="Times New Roman" w:eastAsia="宋体" w:cs="Times New Roman"/>
          <w:color w:val="auto"/>
          <w:highlight w:val="none"/>
          <w:lang w:eastAsia="zh-CN"/>
        </w:rPr>
        <w:t>湿润气候</w:t>
      </w:r>
      <w:r>
        <w:rPr>
          <w:rFonts w:hint="default" w:ascii="Times New Roman" w:hAnsi="Times New Roman" w:eastAsia="宋体" w:cs="Times New Roman"/>
          <w:color w:val="auto"/>
          <w:highlight w:val="none"/>
        </w:rPr>
        <w:t>。</w:t>
      </w:r>
    </w:p>
    <w:p w14:paraId="2B216897">
      <w:pPr>
        <w:keepNext w:val="0"/>
        <w:keepLines w:val="0"/>
        <w:pageBreakBefore w:val="0"/>
        <w:widowControl w:val="0"/>
        <w:kinsoku/>
        <w:wordWrap/>
        <w:overflowPunct/>
        <w:topLinePunct w:val="0"/>
        <w:bidi w:val="0"/>
        <w:snapToGrid/>
        <w:spacing w:line="360" w:lineRule="auto"/>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（5）根据《环境影响评价技术导则 大气环境》</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HJ2.2-2018</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“附录B的B.4地形数据—原始地形数据分辨率不得小于90m”，本次大气环境影响评价地形数据分辨率为90m。</w:t>
      </w:r>
    </w:p>
    <w:p w14:paraId="669C2C34">
      <w:pPr>
        <w:pStyle w:val="88"/>
        <w:keepNext w:val="0"/>
        <w:keepLines w:val="0"/>
        <w:pageBreakBefore w:val="0"/>
        <w:widowControl w:val="0"/>
        <w:tabs>
          <w:tab w:val="left" w:pos="567"/>
          <w:tab w:val="left" w:pos="4440"/>
        </w:tabs>
        <w:kinsoku/>
        <w:wordWrap/>
        <w:overflowPunct/>
        <w:topLinePunct w:val="0"/>
        <w:autoSpaceDE w:val="0"/>
        <w:autoSpaceDN w:val="0"/>
        <w:bidi w:val="0"/>
        <w:adjustRightInd w:val="0"/>
        <w:snapToGrid/>
        <w:spacing w:line="360" w:lineRule="auto"/>
        <w:ind w:firstLine="480" w:firstLineChars="200"/>
        <w:jc w:val="both"/>
        <w:textAlignment w:val="bottom"/>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（6）根据《环境影响评价技术导则 大气环境》</w:t>
      </w:r>
      <w:r>
        <w:rPr>
          <w:rFonts w:hint="eastAsia" w:ascii="Times New Roman" w:cs="Times New Roman"/>
          <w:color w:val="auto"/>
          <w:highlight w:val="none"/>
          <w:lang w:eastAsia="zh-CN"/>
        </w:rPr>
        <w:t>（</w:t>
      </w:r>
      <w:r>
        <w:rPr>
          <w:rFonts w:hint="default" w:ascii="Times New Roman" w:hAnsi="Times New Roman" w:eastAsia="宋体" w:cs="Times New Roman"/>
          <w:color w:val="auto"/>
          <w:highlight w:val="none"/>
        </w:rPr>
        <w:t>HJ2.2-2018</w:t>
      </w:r>
      <w:r>
        <w:rPr>
          <w:rFonts w:hint="eastAsia" w:ascii="Times New Roman" w:cs="Times New Roman"/>
          <w:color w:val="auto"/>
          <w:highlight w:val="none"/>
          <w:lang w:eastAsia="zh-CN"/>
        </w:rPr>
        <w:t>）</w:t>
      </w:r>
      <w:r>
        <w:rPr>
          <w:rFonts w:hint="default" w:ascii="Times New Roman" w:hAnsi="Times New Roman" w:eastAsia="宋体" w:cs="Times New Roman"/>
          <w:color w:val="auto"/>
          <w:highlight w:val="none"/>
        </w:rPr>
        <w:t>“附录B的B.6.2</w:t>
      </w:r>
      <w:r>
        <w:rPr>
          <w:rFonts w:hint="eastAsia" w:ascii="Times New Roman" w:cs="Times New Roman"/>
          <w:color w:val="auto"/>
          <w:highlight w:val="none"/>
          <w:lang w:eastAsia="zh-CN"/>
        </w:rPr>
        <w:t>－</w:t>
      </w:r>
      <w:r>
        <w:rPr>
          <w:rFonts w:hint="default" w:ascii="Times New Roman" w:hAnsi="Times New Roman" w:eastAsia="宋体" w:cs="Times New Roman"/>
          <w:color w:val="auto"/>
          <w:highlight w:val="none"/>
        </w:rPr>
        <w:t>对估算模型AERSCREEN，当污染源附近3km范围内有大型水体时，需选择岸边熏烟选项”，本项目污染源3km范围内无大型水体，因此本次大气环境影响评价选择岸边熏烟。</w:t>
      </w:r>
    </w:p>
    <w:p w14:paraId="56246B26">
      <w:pPr>
        <w:pStyle w:val="88"/>
        <w:tabs>
          <w:tab w:val="left" w:pos="567"/>
          <w:tab w:val="left" w:pos="4440"/>
        </w:tabs>
        <w:autoSpaceDE w:val="0"/>
        <w:autoSpaceDN w:val="0"/>
        <w:spacing w:line="460" w:lineRule="exact"/>
        <w:jc w:val="center"/>
        <w:textAlignment w:val="bottom"/>
        <w:rPr>
          <w:rFonts w:hint="default" w:ascii="Times New Roman" w:hAnsi="Times New Roman" w:eastAsia="宋体" w:cs="Times New Roman"/>
          <w:color w:val="auto"/>
          <w:spacing w:val="20"/>
          <w:sz w:val="24"/>
          <w:szCs w:val="24"/>
          <w:highlight w:val="none"/>
        </w:rPr>
      </w:pPr>
      <w:r>
        <w:rPr>
          <w:rFonts w:hint="default" w:ascii="Times New Roman" w:hAnsi="Times New Roman" w:eastAsia="宋体" w:cs="Times New Roman"/>
          <w:color w:val="auto"/>
          <w:spacing w:val="0"/>
          <w:sz w:val="24"/>
          <w:szCs w:val="24"/>
          <w:highlight w:val="none"/>
        </w:rPr>
        <w:t>表2</w:t>
      </w:r>
      <w:r>
        <w:rPr>
          <w:rFonts w:hint="default"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rPr>
        <w:t>4-</w:t>
      </w:r>
      <w:r>
        <w:rPr>
          <w:rFonts w:hint="default" w:ascii="Times New Roman" w:hAnsi="Times New Roman" w:eastAsia="宋体" w:cs="Times New Roman"/>
          <w:color w:val="auto"/>
          <w:spacing w:val="0"/>
          <w:sz w:val="24"/>
          <w:szCs w:val="24"/>
          <w:highlight w:val="none"/>
          <w:lang w:val="en-US" w:eastAsia="zh-CN"/>
        </w:rPr>
        <w:t>2</w:t>
      </w:r>
      <w:r>
        <w:rPr>
          <w:rFonts w:hint="default" w:ascii="Times New Roman" w:hAnsi="Times New Roman" w:eastAsia="宋体" w:cs="Times New Roman"/>
          <w:color w:val="auto"/>
          <w:spacing w:val="0"/>
          <w:sz w:val="24"/>
          <w:szCs w:val="24"/>
          <w:highlight w:val="none"/>
        </w:rPr>
        <w:t xml:space="preserve"> </w:t>
      </w:r>
      <w:r>
        <w:rPr>
          <w:rFonts w:hint="default" w:ascii="Times New Roman" w:hAnsi="Times New Roman" w:eastAsia="宋体" w:cs="Times New Roman"/>
          <w:color w:val="auto"/>
          <w:spacing w:val="0"/>
          <w:sz w:val="24"/>
          <w:szCs w:val="24"/>
          <w:highlight w:val="none"/>
          <w:lang w:val="en-US" w:eastAsia="zh-CN"/>
        </w:rPr>
        <w:t xml:space="preserve"> </w:t>
      </w:r>
      <w:r>
        <w:rPr>
          <w:rFonts w:hint="default" w:ascii="Times New Roman" w:hAnsi="Times New Roman" w:eastAsia="宋体" w:cs="Times New Roman"/>
          <w:color w:val="auto"/>
          <w:spacing w:val="0"/>
          <w:sz w:val="24"/>
          <w:szCs w:val="24"/>
          <w:highlight w:val="none"/>
        </w:rPr>
        <w:t>本项目</w:t>
      </w:r>
      <w:r>
        <w:rPr>
          <w:rFonts w:hint="default" w:ascii="Times New Roman" w:hAnsi="Times New Roman" w:eastAsia="宋体" w:cs="Times New Roman"/>
          <w:color w:val="auto"/>
          <w:spacing w:val="0"/>
          <w:sz w:val="24"/>
          <w:szCs w:val="24"/>
          <w:highlight w:val="none"/>
          <w:lang w:eastAsia="zh-CN"/>
        </w:rPr>
        <w:t>估算模型参数表</w:t>
      </w:r>
    </w:p>
    <w:tbl>
      <w:tblPr>
        <w:tblStyle w:val="37"/>
        <w:tblW w:w="9245"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639"/>
        <w:gridCol w:w="1958"/>
        <w:gridCol w:w="1463"/>
        <w:gridCol w:w="4185"/>
      </w:tblGrid>
      <w:tr w14:paraId="4B9EB5A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40" w:hRule="atLeast"/>
          <w:jc w:val="center"/>
        </w:trPr>
        <w:tc>
          <w:tcPr>
            <w:tcW w:w="3597" w:type="dxa"/>
            <w:gridSpan w:val="2"/>
            <w:noWrap w:val="0"/>
            <w:tcMar>
              <w:left w:w="0" w:type="dxa"/>
              <w:right w:w="0" w:type="dxa"/>
            </w:tcMar>
            <w:vAlign w:val="center"/>
          </w:tcPr>
          <w:p w14:paraId="63A768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参数</w:t>
            </w:r>
          </w:p>
        </w:tc>
        <w:tc>
          <w:tcPr>
            <w:tcW w:w="1463" w:type="dxa"/>
            <w:noWrap w:val="0"/>
            <w:tcMar>
              <w:left w:w="0" w:type="dxa"/>
              <w:right w:w="0" w:type="dxa"/>
            </w:tcMar>
            <w:vAlign w:val="center"/>
          </w:tcPr>
          <w:p w14:paraId="1FF1C2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取值</w:t>
            </w:r>
          </w:p>
        </w:tc>
        <w:tc>
          <w:tcPr>
            <w:tcW w:w="4185" w:type="dxa"/>
            <w:noWrap w:val="0"/>
            <w:tcMar>
              <w:left w:w="0" w:type="dxa"/>
              <w:right w:w="0" w:type="dxa"/>
            </w:tcMar>
            <w:vAlign w:val="center"/>
          </w:tcPr>
          <w:p w14:paraId="3C6A7F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参数选择依据</w:t>
            </w:r>
          </w:p>
        </w:tc>
      </w:tr>
      <w:tr w14:paraId="7318C17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40" w:hRule="atLeast"/>
          <w:jc w:val="center"/>
        </w:trPr>
        <w:tc>
          <w:tcPr>
            <w:tcW w:w="1639" w:type="dxa"/>
            <w:vMerge w:val="restart"/>
            <w:noWrap w:val="0"/>
            <w:tcMar>
              <w:left w:w="0" w:type="dxa"/>
              <w:right w:w="0" w:type="dxa"/>
            </w:tcMar>
            <w:vAlign w:val="center"/>
          </w:tcPr>
          <w:p w14:paraId="6A1ED0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城市/农村选项</w:t>
            </w:r>
          </w:p>
        </w:tc>
        <w:tc>
          <w:tcPr>
            <w:tcW w:w="1958" w:type="dxa"/>
            <w:noWrap w:val="0"/>
            <w:tcMar>
              <w:left w:w="0" w:type="dxa"/>
              <w:right w:w="0" w:type="dxa"/>
            </w:tcMar>
            <w:vAlign w:val="center"/>
          </w:tcPr>
          <w:p w14:paraId="1A9EEA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城市/农村</w:t>
            </w:r>
          </w:p>
        </w:tc>
        <w:tc>
          <w:tcPr>
            <w:tcW w:w="1463" w:type="dxa"/>
            <w:noWrap w:val="0"/>
            <w:tcMar>
              <w:left w:w="0" w:type="dxa"/>
              <w:right w:w="0" w:type="dxa"/>
            </w:tcMar>
            <w:vAlign w:val="center"/>
          </w:tcPr>
          <w:p w14:paraId="6AAB91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城市</w:t>
            </w:r>
          </w:p>
        </w:tc>
        <w:tc>
          <w:tcPr>
            <w:tcW w:w="4185" w:type="dxa"/>
            <w:noWrap w:val="0"/>
            <w:tcMar>
              <w:left w:w="0" w:type="dxa"/>
              <w:right w:w="0" w:type="dxa"/>
            </w:tcMar>
            <w:vAlign w:val="center"/>
          </w:tcPr>
          <w:p w14:paraId="7A7AE5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根据《环境影响评价技术导则 大气环境》（HJ2.2-2018）附录B中B.6.1城市/农村选项：</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当项目周边3km半径范围内一半以上面积属于城市建成区或者规划区时，选择城市，否则选择农村</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。根据本次评价对厂址周边3km半径范围内的用地性质调查结果，项目周边3km半径范围内一半</w:t>
            </w:r>
            <w:r>
              <w:rPr>
                <w:rFonts w:hint="eastAsia" w:ascii="Times New Roman" w:hAnsi="Times New Roman" w:eastAsia="宋体" w:cs="Times New Roman"/>
                <w:color w:val="auto"/>
                <w:sz w:val="21"/>
                <w:szCs w:val="21"/>
                <w:highlight w:val="none"/>
                <w:lang w:val="en-US" w:eastAsia="zh-CN"/>
              </w:rPr>
              <w:t>以上</w:t>
            </w:r>
            <w:r>
              <w:rPr>
                <w:rFonts w:hint="default" w:ascii="Times New Roman" w:hAnsi="Times New Roman" w:eastAsia="宋体" w:cs="Times New Roman"/>
                <w:color w:val="auto"/>
                <w:sz w:val="21"/>
                <w:szCs w:val="21"/>
                <w:highlight w:val="none"/>
                <w:lang w:val="en-US" w:eastAsia="zh-CN"/>
              </w:rPr>
              <w:t>面积属于城市建成区或者规划区，故本次评价选取</w:t>
            </w:r>
            <w:r>
              <w:rPr>
                <w:rFonts w:hint="eastAsia" w:ascii="Times New Roman" w:hAnsi="Times New Roman" w:eastAsia="宋体" w:cs="Times New Roman"/>
                <w:color w:val="auto"/>
                <w:sz w:val="21"/>
                <w:szCs w:val="21"/>
                <w:highlight w:val="none"/>
                <w:lang w:val="en-US" w:eastAsia="zh-CN"/>
              </w:rPr>
              <w:t>城市</w:t>
            </w:r>
            <w:r>
              <w:rPr>
                <w:rFonts w:hint="default" w:ascii="Times New Roman" w:hAnsi="Times New Roman" w:eastAsia="宋体" w:cs="Times New Roman"/>
                <w:color w:val="auto"/>
                <w:sz w:val="21"/>
                <w:szCs w:val="21"/>
                <w:highlight w:val="none"/>
                <w:lang w:val="en-US" w:eastAsia="zh-CN"/>
              </w:rPr>
              <w:t>选项</w:t>
            </w:r>
          </w:p>
        </w:tc>
      </w:tr>
      <w:tr w14:paraId="097E3F9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40" w:hRule="atLeast"/>
          <w:jc w:val="center"/>
        </w:trPr>
        <w:tc>
          <w:tcPr>
            <w:tcW w:w="1639" w:type="dxa"/>
            <w:vMerge w:val="continue"/>
            <w:noWrap w:val="0"/>
            <w:tcMar>
              <w:left w:w="0" w:type="dxa"/>
              <w:right w:w="0" w:type="dxa"/>
            </w:tcMar>
            <w:vAlign w:val="center"/>
          </w:tcPr>
          <w:p w14:paraId="1E03B4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958" w:type="dxa"/>
            <w:noWrap w:val="0"/>
            <w:tcMar>
              <w:left w:w="0" w:type="dxa"/>
              <w:right w:w="0" w:type="dxa"/>
            </w:tcMar>
            <w:vAlign w:val="center"/>
          </w:tcPr>
          <w:p w14:paraId="4975BF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人口数</w:t>
            </w:r>
          </w:p>
        </w:tc>
        <w:tc>
          <w:tcPr>
            <w:tcW w:w="1463" w:type="dxa"/>
            <w:noWrap w:val="0"/>
            <w:tcMar>
              <w:left w:w="0" w:type="dxa"/>
              <w:right w:w="0" w:type="dxa"/>
            </w:tcMar>
            <w:vAlign w:val="center"/>
          </w:tcPr>
          <w:p w14:paraId="338B62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82万</w:t>
            </w:r>
          </w:p>
        </w:tc>
        <w:tc>
          <w:tcPr>
            <w:tcW w:w="4185" w:type="dxa"/>
            <w:noWrap w:val="0"/>
            <w:tcMar>
              <w:left w:w="0" w:type="dxa"/>
              <w:right w:w="0" w:type="dxa"/>
            </w:tcMar>
            <w:vAlign w:val="center"/>
          </w:tcPr>
          <w:p w14:paraId="42338B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r w14:paraId="39A227C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40" w:hRule="atLeast"/>
          <w:jc w:val="center"/>
        </w:trPr>
        <w:tc>
          <w:tcPr>
            <w:tcW w:w="3597" w:type="dxa"/>
            <w:gridSpan w:val="2"/>
            <w:noWrap w:val="0"/>
            <w:tcMar>
              <w:left w:w="0" w:type="dxa"/>
              <w:right w:w="0" w:type="dxa"/>
            </w:tcMar>
            <w:vAlign w:val="center"/>
          </w:tcPr>
          <w:p w14:paraId="190153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最高环境温度/℃</w:t>
            </w:r>
          </w:p>
        </w:tc>
        <w:tc>
          <w:tcPr>
            <w:tcW w:w="1463" w:type="dxa"/>
            <w:noWrap w:val="0"/>
            <w:tcMar>
              <w:left w:w="0" w:type="dxa"/>
              <w:right w:w="0" w:type="dxa"/>
            </w:tcMar>
            <w:vAlign w:val="center"/>
          </w:tcPr>
          <w:p w14:paraId="4F96743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34.36</w:t>
            </w:r>
          </w:p>
        </w:tc>
        <w:tc>
          <w:tcPr>
            <w:tcW w:w="4185" w:type="dxa"/>
            <w:vMerge w:val="restart"/>
            <w:noWrap w:val="0"/>
            <w:tcMar>
              <w:left w:w="0" w:type="dxa"/>
              <w:right w:w="0" w:type="dxa"/>
            </w:tcMar>
            <w:vAlign w:val="center"/>
          </w:tcPr>
          <w:p w14:paraId="6FAF7B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最高环境温度及最低环境温度取值来源于</w:t>
            </w:r>
            <w:r>
              <w:rPr>
                <w:rFonts w:hint="eastAsia" w:ascii="Times New Roman" w:hAnsi="Times New Roman" w:eastAsia="宋体" w:cs="Times New Roman"/>
                <w:color w:val="auto"/>
                <w:sz w:val="21"/>
                <w:szCs w:val="21"/>
                <w:highlight w:val="none"/>
                <w:lang w:val="en-US" w:eastAsia="zh-CN"/>
              </w:rPr>
              <w:t>佳木斯</w:t>
            </w:r>
            <w:r>
              <w:rPr>
                <w:rFonts w:hint="default" w:ascii="Times New Roman" w:hAnsi="Times New Roman" w:eastAsia="宋体" w:cs="Times New Roman"/>
                <w:color w:val="auto"/>
                <w:sz w:val="21"/>
                <w:szCs w:val="21"/>
                <w:highlight w:val="none"/>
                <w:lang w:val="en-US" w:eastAsia="zh-CN"/>
              </w:rPr>
              <w:t>市近二十年气象数据统计结果</w:t>
            </w:r>
          </w:p>
        </w:tc>
      </w:tr>
      <w:tr w14:paraId="14D2BCA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40" w:hRule="atLeast"/>
          <w:jc w:val="center"/>
        </w:trPr>
        <w:tc>
          <w:tcPr>
            <w:tcW w:w="3597" w:type="dxa"/>
            <w:gridSpan w:val="2"/>
            <w:noWrap w:val="0"/>
            <w:tcMar>
              <w:left w:w="0" w:type="dxa"/>
              <w:right w:w="0" w:type="dxa"/>
            </w:tcMar>
            <w:vAlign w:val="center"/>
          </w:tcPr>
          <w:p w14:paraId="68E39B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最低环境温度/℃</w:t>
            </w:r>
          </w:p>
        </w:tc>
        <w:tc>
          <w:tcPr>
            <w:tcW w:w="1463" w:type="dxa"/>
            <w:noWrap w:val="0"/>
            <w:tcMar>
              <w:left w:w="0" w:type="dxa"/>
              <w:right w:w="0" w:type="dxa"/>
            </w:tcMar>
            <w:vAlign w:val="center"/>
          </w:tcPr>
          <w:p w14:paraId="464FBA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-32.72</w:t>
            </w:r>
          </w:p>
        </w:tc>
        <w:tc>
          <w:tcPr>
            <w:tcW w:w="4185" w:type="dxa"/>
            <w:vMerge w:val="continue"/>
            <w:noWrap w:val="0"/>
            <w:tcMar>
              <w:left w:w="0" w:type="dxa"/>
              <w:right w:w="0" w:type="dxa"/>
            </w:tcMar>
            <w:vAlign w:val="center"/>
          </w:tcPr>
          <w:p w14:paraId="2C587F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r>
      <w:tr w14:paraId="0CC6C01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40" w:hRule="atLeast"/>
          <w:jc w:val="center"/>
        </w:trPr>
        <w:tc>
          <w:tcPr>
            <w:tcW w:w="3597" w:type="dxa"/>
            <w:gridSpan w:val="2"/>
            <w:noWrap w:val="0"/>
            <w:tcMar>
              <w:left w:w="0" w:type="dxa"/>
              <w:right w:w="0" w:type="dxa"/>
            </w:tcMar>
            <w:vAlign w:val="center"/>
          </w:tcPr>
          <w:p w14:paraId="27BCF2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土地利用类型</w:t>
            </w:r>
          </w:p>
        </w:tc>
        <w:tc>
          <w:tcPr>
            <w:tcW w:w="1463" w:type="dxa"/>
            <w:noWrap w:val="0"/>
            <w:tcMar>
              <w:left w:w="0" w:type="dxa"/>
              <w:right w:w="0" w:type="dxa"/>
            </w:tcMar>
            <w:vAlign w:val="center"/>
          </w:tcPr>
          <w:p w14:paraId="324E800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城市</w:t>
            </w:r>
          </w:p>
        </w:tc>
        <w:tc>
          <w:tcPr>
            <w:tcW w:w="4185" w:type="dxa"/>
            <w:noWrap w:val="0"/>
            <w:tcMar>
              <w:left w:w="0" w:type="dxa"/>
              <w:right w:w="0" w:type="dxa"/>
            </w:tcMar>
            <w:vAlign w:val="center"/>
          </w:tcPr>
          <w:p w14:paraId="519412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r>
      <w:tr w14:paraId="7ED0AD8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40" w:hRule="atLeast"/>
          <w:jc w:val="center"/>
        </w:trPr>
        <w:tc>
          <w:tcPr>
            <w:tcW w:w="3597" w:type="dxa"/>
            <w:gridSpan w:val="2"/>
            <w:noWrap w:val="0"/>
            <w:tcMar>
              <w:left w:w="0" w:type="dxa"/>
              <w:right w:w="0" w:type="dxa"/>
            </w:tcMar>
            <w:vAlign w:val="center"/>
          </w:tcPr>
          <w:p w14:paraId="0FB211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区域湿度条件</w:t>
            </w:r>
          </w:p>
        </w:tc>
        <w:tc>
          <w:tcPr>
            <w:tcW w:w="1463" w:type="dxa"/>
            <w:noWrap w:val="0"/>
            <w:tcMar>
              <w:left w:w="0" w:type="dxa"/>
              <w:right w:w="0" w:type="dxa"/>
            </w:tcMar>
            <w:vAlign w:val="center"/>
          </w:tcPr>
          <w:p w14:paraId="37E0A5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湿润</w:t>
            </w:r>
          </w:p>
        </w:tc>
        <w:tc>
          <w:tcPr>
            <w:tcW w:w="4185" w:type="dxa"/>
            <w:noWrap w:val="0"/>
            <w:tcMar>
              <w:left w:w="0" w:type="dxa"/>
              <w:right w:w="0" w:type="dxa"/>
            </w:tcMar>
            <w:vAlign w:val="center"/>
          </w:tcPr>
          <w:p w14:paraId="7102FA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根据中国干湿地区划分图判断，本项目属于湿润气候</w:t>
            </w:r>
          </w:p>
        </w:tc>
      </w:tr>
      <w:tr w14:paraId="475618B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40" w:hRule="atLeast"/>
          <w:jc w:val="center"/>
        </w:trPr>
        <w:tc>
          <w:tcPr>
            <w:tcW w:w="1639" w:type="dxa"/>
            <w:vMerge w:val="restart"/>
            <w:noWrap w:val="0"/>
            <w:tcMar>
              <w:left w:w="0" w:type="dxa"/>
              <w:right w:w="0" w:type="dxa"/>
            </w:tcMar>
            <w:vAlign w:val="center"/>
          </w:tcPr>
          <w:p w14:paraId="4DB66A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是否考虑地形</w:t>
            </w:r>
          </w:p>
        </w:tc>
        <w:tc>
          <w:tcPr>
            <w:tcW w:w="1958" w:type="dxa"/>
            <w:noWrap w:val="0"/>
            <w:tcMar>
              <w:left w:w="0" w:type="dxa"/>
              <w:right w:w="0" w:type="dxa"/>
            </w:tcMar>
            <w:vAlign w:val="center"/>
          </w:tcPr>
          <w:p w14:paraId="08229B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考虑地形</w:t>
            </w:r>
          </w:p>
        </w:tc>
        <w:tc>
          <w:tcPr>
            <w:tcW w:w="1463" w:type="dxa"/>
            <w:noWrap w:val="0"/>
            <w:tcMar>
              <w:left w:w="0" w:type="dxa"/>
              <w:right w:w="0" w:type="dxa"/>
            </w:tcMar>
            <w:vAlign w:val="center"/>
          </w:tcPr>
          <w:p w14:paraId="41D097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是   □否</w:t>
            </w:r>
          </w:p>
        </w:tc>
        <w:tc>
          <w:tcPr>
            <w:tcW w:w="4185" w:type="dxa"/>
            <w:noWrap w:val="0"/>
            <w:tcMar>
              <w:left w:w="0" w:type="dxa"/>
              <w:right w:w="0" w:type="dxa"/>
            </w:tcMar>
            <w:vAlign w:val="bottom"/>
          </w:tcPr>
          <w:p w14:paraId="684C64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根据《环境影响评价技术导则 大气环境》（HJ2.2-2018）中5.3.2.2：“编制环境影响报告书的项目在采用估算模型计算评价等级时，应输入地形参数”。故本次评价考虑地形</w:t>
            </w:r>
          </w:p>
        </w:tc>
      </w:tr>
      <w:tr w14:paraId="61E87E5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40" w:hRule="atLeast"/>
          <w:jc w:val="center"/>
        </w:trPr>
        <w:tc>
          <w:tcPr>
            <w:tcW w:w="1639" w:type="dxa"/>
            <w:vMerge w:val="continue"/>
            <w:noWrap w:val="0"/>
            <w:tcMar>
              <w:left w:w="0" w:type="dxa"/>
              <w:right w:w="0" w:type="dxa"/>
            </w:tcMar>
            <w:vAlign w:val="center"/>
          </w:tcPr>
          <w:p w14:paraId="0F8BBB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958" w:type="dxa"/>
            <w:noWrap w:val="0"/>
            <w:tcMar>
              <w:left w:w="0" w:type="dxa"/>
              <w:right w:w="0" w:type="dxa"/>
            </w:tcMar>
            <w:vAlign w:val="center"/>
          </w:tcPr>
          <w:p w14:paraId="16A152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地形数据分辨率/m</w:t>
            </w:r>
          </w:p>
        </w:tc>
        <w:tc>
          <w:tcPr>
            <w:tcW w:w="1463" w:type="dxa"/>
            <w:noWrap w:val="0"/>
            <w:tcMar>
              <w:left w:w="0" w:type="dxa"/>
              <w:right w:w="0" w:type="dxa"/>
            </w:tcMar>
            <w:vAlign w:val="center"/>
          </w:tcPr>
          <w:p w14:paraId="1AC3245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90</w:t>
            </w:r>
          </w:p>
        </w:tc>
        <w:tc>
          <w:tcPr>
            <w:tcW w:w="4185" w:type="dxa"/>
            <w:noWrap w:val="0"/>
            <w:tcMar>
              <w:left w:w="0" w:type="dxa"/>
              <w:right w:w="0" w:type="dxa"/>
            </w:tcMar>
            <w:vAlign w:val="bottom"/>
          </w:tcPr>
          <w:p w14:paraId="484826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根据EIA2018大气预测软件的DEM地形文件，地形数据分辨率90m</w:t>
            </w:r>
          </w:p>
        </w:tc>
      </w:tr>
      <w:tr w14:paraId="11C4114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40" w:hRule="atLeast"/>
          <w:jc w:val="center"/>
        </w:trPr>
        <w:tc>
          <w:tcPr>
            <w:tcW w:w="1639" w:type="dxa"/>
            <w:vMerge w:val="restart"/>
            <w:noWrap w:val="0"/>
            <w:tcMar>
              <w:left w:w="0" w:type="dxa"/>
              <w:right w:w="0" w:type="dxa"/>
            </w:tcMar>
            <w:vAlign w:val="center"/>
          </w:tcPr>
          <w:p w14:paraId="6850A9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是否考虑岸线熏烟</w:t>
            </w:r>
          </w:p>
        </w:tc>
        <w:tc>
          <w:tcPr>
            <w:tcW w:w="1958" w:type="dxa"/>
            <w:noWrap w:val="0"/>
            <w:tcMar>
              <w:left w:w="0" w:type="dxa"/>
              <w:right w:w="0" w:type="dxa"/>
            </w:tcMar>
            <w:vAlign w:val="center"/>
          </w:tcPr>
          <w:p w14:paraId="2E1CE4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考虑岸线熏烟</w:t>
            </w:r>
          </w:p>
        </w:tc>
        <w:tc>
          <w:tcPr>
            <w:tcW w:w="1463" w:type="dxa"/>
            <w:noWrap w:val="0"/>
            <w:tcMar>
              <w:left w:w="0" w:type="dxa"/>
              <w:right w:w="0" w:type="dxa"/>
            </w:tcMar>
            <w:vAlign w:val="center"/>
          </w:tcPr>
          <w:p w14:paraId="230948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是   □否</w:t>
            </w:r>
          </w:p>
        </w:tc>
        <w:tc>
          <w:tcPr>
            <w:tcW w:w="4185" w:type="dxa"/>
            <w:noWrap w:val="0"/>
            <w:tcMar>
              <w:left w:w="0" w:type="dxa"/>
              <w:right w:w="0" w:type="dxa"/>
            </w:tcMar>
            <w:vAlign w:val="bottom"/>
          </w:tcPr>
          <w:p w14:paraId="5B37ED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根据《环境影响评价技术导则 大气环境》（HJ2.2-2018）附录B中B.6.2岸边熏烟选项：“对估算模型AERSCREEN，当污染源附近3km范围内有大型水体时，需选择岸边熏烟选项”。本项目附近3km范围内不存在大型水体</w:t>
            </w:r>
          </w:p>
        </w:tc>
      </w:tr>
      <w:tr w14:paraId="5B66FE3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40" w:hRule="atLeast"/>
          <w:jc w:val="center"/>
        </w:trPr>
        <w:tc>
          <w:tcPr>
            <w:tcW w:w="1639" w:type="dxa"/>
            <w:vMerge w:val="continue"/>
            <w:noWrap w:val="0"/>
            <w:tcMar>
              <w:left w:w="0" w:type="dxa"/>
              <w:right w:w="0" w:type="dxa"/>
            </w:tcMar>
            <w:vAlign w:val="center"/>
          </w:tcPr>
          <w:p w14:paraId="0FF0EE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958" w:type="dxa"/>
            <w:noWrap w:val="0"/>
            <w:tcMar>
              <w:left w:w="0" w:type="dxa"/>
              <w:right w:w="0" w:type="dxa"/>
            </w:tcMar>
            <w:vAlign w:val="center"/>
          </w:tcPr>
          <w:p w14:paraId="3C47C2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岸线距离/km</w:t>
            </w:r>
          </w:p>
        </w:tc>
        <w:tc>
          <w:tcPr>
            <w:tcW w:w="1463" w:type="dxa"/>
            <w:noWrap w:val="0"/>
            <w:tcMar>
              <w:left w:w="0" w:type="dxa"/>
              <w:right w:w="0" w:type="dxa"/>
            </w:tcMar>
            <w:vAlign w:val="center"/>
          </w:tcPr>
          <w:p w14:paraId="1D8FE8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4185" w:type="dxa"/>
            <w:noWrap w:val="0"/>
            <w:tcMar>
              <w:left w:w="0" w:type="dxa"/>
              <w:right w:w="0" w:type="dxa"/>
            </w:tcMar>
            <w:vAlign w:val="center"/>
          </w:tcPr>
          <w:p w14:paraId="18C810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r w14:paraId="587B69E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40" w:hRule="atLeast"/>
          <w:jc w:val="center"/>
        </w:trPr>
        <w:tc>
          <w:tcPr>
            <w:tcW w:w="1639" w:type="dxa"/>
            <w:vMerge w:val="continue"/>
            <w:noWrap w:val="0"/>
            <w:tcMar>
              <w:left w:w="0" w:type="dxa"/>
              <w:right w:w="0" w:type="dxa"/>
            </w:tcMar>
            <w:vAlign w:val="center"/>
          </w:tcPr>
          <w:p w14:paraId="5641DA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958" w:type="dxa"/>
            <w:noWrap w:val="0"/>
            <w:tcMar>
              <w:left w:w="0" w:type="dxa"/>
              <w:right w:w="0" w:type="dxa"/>
            </w:tcMar>
            <w:vAlign w:val="center"/>
          </w:tcPr>
          <w:p w14:paraId="7C98E3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岸线方向/°</w:t>
            </w:r>
          </w:p>
        </w:tc>
        <w:tc>
          <w:tcPr>
            <w:tcW w:w="1463" w:type="dxa"/>
            <w:noWrap w:val="0"/>
            <w:tcMar>
              <w:left w:w="0" w:type="dxa"/>
              <w:right w:w="0" w:type="dxa"/>
            </w:tcMar>
            <w:vAlign w:val="center"/>
          </w:tcPr>
          <w:p w14:paraId="20C54D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4185" w:type="dxa"/>
            <w:noWrap w:val="0"/>
            <w:tcMar>
              <w:left w:w="0" w:type="dxa"/>
              <w:right w:w="0" w:type="dxa"/>
            </w:tcMar>
            <w:vAlign w:val="center"/>
          </w:tcPr>
          <w:p w14:paraId="1F4ECE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bl>
    <w:p w14:paraId="73E6EF4F">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根据《环境影响评价技术导则 大气环境》（HJ2.2-2018），“5.3评价等级”中“5.3.1选择项目污染源正常排放的主要污染物及排放参数，采用附录A推荐模型中估算模型分别计算项目污染源的最大环境影响，然后按评价工作分级判据进行分级”。根据《污染物源强核算技术指南 锅炉》（HJ991-2018），“现有工程污染源，正常工况时，废气有组织源强采用实测法核算；非正常工况时，优先采用实测法核算，无法采用实测法核算的，二氧化硫采用物料衡算法、颗粒物和氮氧化物采用产污系数法、汞及其化合物采用类比法核算”。</w:t>
      </w:r>
    </w:p>
    <w:p w14:paraId="7D814EFE">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本项目主要污染物参数表见表2</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4-</w:t>
      </w:r>
      <w:r>
        <w:rPr>
          <w:rFonts w:hint="default" w:ascii="Times New Roman" w:hAnsi="Times New Roman" w:eastAsia="宋体" w:cs="Times New Roman"/>
          <w:color w:val="auto"/>
          <w:highlight w:val="none"/>
          <w:lang w:val="en-US" w:eastAsia="zh-CN"/>
        </w:rPr>
        <w:t>3</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表2</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4-</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，主要污染物估算模型计算结果见表2</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4-</w:t>
      </w:r>
      <w:r>
        <w:rPr>
          <w:rFonts w:hint="default" w:ascii="Times New Roman" w:hAnsi="Times New Roman" w:eastAsia="宋体" w:cs="Times New Roman"/>
          <w:color w:val="auto"/>
          <w:highlight w:val="none"/>
          <w:lang w:val="en-US" w:eastAsia="zh-CN"/>
        </w:rPr>
        <w:t>5</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表2</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4-</w:t>
      </w:r>
      <w:r>
        <w:rPr>
          <w:rFonts w:hint="default" w:ascii="Times New Roman" w:hAnsi="Times New Roman" w:eastAsia="宋体" w:cs="Times New Roman"/>
          <w:color w:val="auto"/>
          <w:highlight w:val="none"/>
          <w:lang w:val="en-US" w:eastAsia="zh-CN"/>
        </w:rPr>
        <w:t>7</w:t>
      </w:r>
      <w:r>
        <w:rPr>
          <w:rFonts w:hint="default" w:ascii="Times New Roman" w:hAnsi="Times New Roman" w:eastAsia="宋体" w:cs="Times New Roman"/>
          <w:color w:val="auto"/>
          <w:highlight w:val="none"/>
        </w:rPr>
        <w:t>。经计算，本项目主要污染物中最大地面浓度占标率为</w:t>
      </w:r>
      <w:r>
        <w:rPr>
          <w:rFonts w:hint="default" w:ascii="Times New Roman" w:hAnsi="Times New Roman" w:eastAsia="宋体" w:cs="Times New Roman"/>
          <w:color w:val="auto"/>
          <w:highlight w:val="none"/>
          <w:lang w:val="en-US" w:eastAsia="zh-CN"/>
        </w:rPr>
        <w:t>渣仓</w:t>
      </w:r>
      <w:r>
        <w:rPr>
          <w:rFonts w:hint="default" w:ascii="Times New Roman" w:hAnsi="Times New Roman" w:eastAsia="宋体" w:cs="Times New Roman"/>
          <w:color w:val="auto"/>
          <w:highlight w:val="none"/>
        </w:rPr>
        <w:t>排放的</w:t>
      </w:r>
      <w:r>
        <w:rPr>
          <w:rFonts w:hint="default" w:ascii="Times New Roman" w:hAnsi="Times New Roman" w:eastAsia="宋体" w:cs="Times New Roman"/>
          <w:color w:val="auto"/>
          <w:highlight w:val="none"/>
          <w:lang w:val="en-US" w:eastAsia="zh-CN"/>
        </w:rPr>
        <w:t>TSP</w:t>
      </w:r>
      <w:r>
        <w:rPr>
          <w:rFonts w:hint="default" w:ascii="Times New Roman" w:hAnsi="Times New Roman" w:eastAsia="宋体" w:cs="Times New Roman"/>
          <w:color w:val="auto"/>
          <w:highlight w:val="none"/>
        </w:rPr>
        <w:t>的Pmax=</w:t>
      </w:r>
      <w:r>
        <w:rPr>
          <w:rFonts w:hint="default" w:ascii="Times New Roman" w:hAnsi="Times New Roman" w:eastAsia="宋体" w:cs="Times New Roman"/>
          <w:color w:val="auto"/>
          <w:highlight w:val="none"/>
          <w:lang w:val="en-US" w:eastAsia="zh-CN"/>
        </w:rPr>
        <w:t>14.33</w:t>
      </w:r>
      <w:r>
        <w:rPr>
          <w:rFonts w:hint="default" w:ascii="Times New Roman" w:hAnsi="Times New Roman" w:eastAsia="宋体" w:cs="Times New Roman"/>
          <w:color w:val="auto"/>
          <w:highlight w:val="none"/>
        </w:rPr>
        <w:t>%，占标率大于10%</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根据《环境影响评价技术导则 大气环境》（HJ2.2-2018），</w:t>
      </w:r>
      <w:r>
        <w:rPr>
          <w:rFonts w:hint="default" w:ascii="Times New Roman" w:hAnsi="Times New Roman" w:eastAsia="宋体" w:cs="Times New Roman"/>
          <w:color w:val="auto"/>
          <w:highlight w:val="none"/>
        </w:rPr>
        <w:t>判定本项目环境空气评价等级为一级。</w:t>
      </w:r>
    </w:p>
    <w:p w14:paraId="3B26FE66">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评价范围</w:t>
      </w:r>
    </w:p>
    <w:p w14:paraId="25A22687">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根据《环境影响评价技术导则</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大气环境》（HJ2.2-2018），本项目D10%小于2.5km，评价范围边长取5km，因此，评价范围为以厂址为中心区域，边长5km</w:t>
      </w:r>
      <w:r>
        <w:rPr>
          <w:rFonts w:hint="default" w:ascii="Times New Roman" w:hAnsi="Times New Roman" w:eastAsia="宋体" w:cs="Times New Roman"/>
          <w:color w:val="auto"/>
          <w:highlight w:val="none"/>
          <w:lang w:val="en-US" w:eastAsia="zh-CN"/>
        </w:rPr>
        <w:t>的矩形区域</w:t>
      </w:r>
      <w:r>
        <w:rPr>
          <w:rFonts w:hint="default" w:ascii="Times New Roman" w:hAnsi="Times New Roman" w:eastAsia="宋体" w:cs="Times New Roman"/>
          <w:color w:val="auto"/>
          <w:highlight w:val="none"/>
        </w:rPr>
        <w:t>作为大气环境影响评价范围。</w:t>
      </w:r>
    </w:p>
    <w:p w14:paraId="08E4186E">
      <w:pPr>
        <w:ind w:firstLine="480"/>
        <w:rPr>
          <w:rFonts w:hint="default" w:ascii="Times New Roman" w:hAnsi="Times New Roman" w:eastAsia="宋体" w:cs="Times New Roman"/>
          <w:color w:val="auto"/>
          <w:highlight w:val="none"/>
        </w:rPr>
        <w:sectPr>
          <w:footerReference r:id="rId14"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36610398">
      <w:pPr>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表2.4-</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本项目污染源排放参数一览表</w:t>
      </w:r>
      <w:r>
        <w:rPr>
          <w:rFonts w:hint="default" w:ascii="Times New Roman" w:hAnsi="Times New Roman" w:eastAsia="宋体" w:cs="Times New Roman"/>
          <w:color w:val="auto"/>
          <w:highlight w:val="none"/>
          <w:lang w:val="en-US" w:eastAsia="zh-CN"/>
        </w:rPr>
        <w:t>（点源）</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10"/>
        <w:gridCol w:w="1359"/>
        <w:gridCol w:w="1313"/>
        <w:gridCol w:w="672"/>
        <w:gridCol w:w="885"/>
        <w:gridCol w:w="1053"/>
        <w:gridCol w:w="862"/>
        <w:gridCol w:w="803"/>
        <w:gridCol w:w="1301"/>
        <w:gridCol w:w="916"/>
        <w:gridCol w:w="770"/>
        <w:gridCol w:w="1129"/>
        <w:gridCol w:w="1493"/>
        <w:gridCol w:w="1008"/>
      </w:tblGrid>
      <w:tr w14:paraId="10C84B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5" w:type="pct"/>
            <w:vMerge w:val="restart"/>
            <w:tcBorders>
              <w:tl2br w:val="nil"/>
              <w:tr2bl w:val="nil"/>
            </w:tcBorders>
            <w:noWrap w:val="0"/>
            <w:vAlign w:val="center"/>
          </w:tcPr>
          <w:p w14:paraId="206A8EE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编号</w:t>
            </w:r>
          </w:p>
        </w:tc>
        <w:tc>
          <w:tcPr>
            <w:tcW w:w="479" w:type="pct"/>
            <w:vMerge w:val="restart"/>
            <w:tcBorders>
              <w:tl2br w:val="nil"/>
              <w:tr2bl w:val="nil"/>
            </w:tcBorders>
            <w:noWrap w:val="0"/>
            <w:vAlign w:val="center"/>
          </w:tcPr>
          <w:p w14:paraId="4C944B6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工程内容</w:t>
            </w:r>
          </w:p>
        </w:tc>
        <w:tc>
          <w:tcPr>
            <w:tcW w:w="463" w:type="pct"/>
            <w:vMerge w:val="restart"/>
            <w:tcBorders>
              <w:tl2br w:val="nil"/>
              <w:tr2bl w:val="nil"/>
            </w:tcBorders>
            <w:noWrap w:val="0"/>
            <w:vAlign w:val="center"/>
          </w:tcPr>
          <w:p w14:paraId="6632D6A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污染源</w:t>
            </w:r>
            <w:r>
              <w:rPr>
                <w:rFonts w:hint="default" w:ascii="Times New Roman" w:hAnsi="Times New Roman" w:eastAsia="宋体" w:cs="Times New Roman"/>
                <w:color w:val="auto"/>
                <w:kern w:val="0"/>
                <w:sz w:val="21"/>
                <w:szCs w:val="21"/>
                <w:highlight w:val="none"/>
              </w:rPr>
              <w:t>名称</w:t>
            </w:r>
          </w:p>
        </w:tc>
        <w:tc>
          <w:tcPr>
            <w:tcW w:w="549" w:type="pct"/>
            <w:gridSpan w:val="2"/>
            <w:tcBorders>
              <w:tl2br w:val="nil"/>
              <w:tr2bl w:val="nil"/>
            </w:tcBorders>
            <w:noWrap w:val="0"/>
            <w:vAlign w:val="center"/>
          </w:tcPr>
          <w:p w14:paraId="53C7AFA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排气筒底部中心坐标</w:t>
            </w:r>
            <w:r>
              <w:rPr>
                <w:rFonts w:hint="default" w:ascii="Times New Roman" w:hAnsi="Times New Roman" w:eastAsia="宋体"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rPr>
              <w:t>m</w:t>
            </w:r>
          </w:p>
        </w:tc>
        <w:tc>
          <w:tcPr>
            <w:tcW w:w="371" w:type="pct"/>
            <w:vMerge w:val="restart"/>
            <w:tcBorders>
              <w:tl2br w:val="nil"/>
              <w:tr2bl w:val="nil"/>
            </w:tcBorders>
            <w:noWrap w:val="0"/>
            <w:vAlign w:val="center"/>
          </w:tcPr>
          <w:p w14:paraId="51E367E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排气筒底部海拔高度/m</w:t>
            </w:r>
          </w:p>
        </w:tc>
        <w:tc>
          <w:tcPr>
            <w:tcW w:w="304" w:type="pct"/>
            <w:vMerge w:val="restart"/>
            <w:tcBorders>
              <w:tl2br w:val="nil"/>
              <w:tr2bl w:val="nil"/>
            </w:tcBorders>
            <w:noWrap w:val="0"/>
            <w:vAlign w:val="center"/>
          </w:tcPr>
          <w:p w14:paraId="10B8F5B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排气筒高度/m</w:t>
            </w:r>
          </w:p>
        </w:tc>
        <w:tc>
          <w:tcPr>
            <w:tcW w:w="283" w:type="pct"/>
            <w:vMerge w:val="restart"/>
            <w:tcBorders>
              <w:tl2br w:val="nil"/>
              <w:tr2bl w:val="nil"/>
            </w:tcBorders>
            <w:noWrap w:val="0"/>
            <w:vAlign w:val="center"/>
          </w:tcPr>
          <w:p w14:paraId="756BE4E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排气筒出口内径/m</w:t>
            </w:r>
          </w:p>
        </w:tc>
        <w:tc>
          <w:tcPr>
            <w:tcW w:w="458" w:type="pct"/>
            <w:vMerge w:val="restart"/>
            <w:tcBorders>
              <w:tl2br w:val="nil"/>
              <w:tr2bl w:val="nil"/>
            </w:tcBorders>
            <w:noWrap w:val="0"/>
            <w:vAlign w:val="center"/>
          </w:tcPr>
          <w:p w14:paraId="76DB87B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烟气</w:t>
            </w:r>
          </w:p>
          <w:p w14:paraId="7F9C24E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流量</w:t>
            </w:r>
          </w:p>
          <w:p w14:paraId="279B8E8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/m</w:t>
            </w:r>
            <w:r>
              <w:rPr>
                <w:rFonts w:hint="default" w:ascii="Times New Roman" w:hAnsi="Times New Roman" w:eastAsia="宋体" w:cs="Times New Roman"/>
                <w:color w:val="auto"/>
                <w:kern w:val="0"/>
                <w:sz w:val="21"/>
                <w:szCs w:val="21"/>
                <w:highlight w:val="none"/>
                <w:vertAlign w:val="superscript"/>
              </w:rPr>
              <w:t>3</w:t>
            </w:r>
            <w:r>
              <w:rPr>
                <w:rFonts w:hint="default" w:ascii="Times New Roman" w:hAnsi="Times New Roman" w:eastAsia="宋体" w:cs="Times New Roman"/>
                <w:color w:val="auto"/>
                <w:kern w:val="0"/>
                <w:sz w:val="21"/>
                <w:szCs w:val="21"/>
                <w:highlight w:val="none"/>
              </w:rPr>
              <w:t>/h</w:t>
            </w:r>
          </w:p>
        </w:tc>
        <w:tc>
          <w:tcPr>
            <w:tcW w:w="323" w:type="pct"/>
            <w:vMerge w:val="restart"/>
            <w:tcBorders>
              <w:tl2br w:val="nil"/>
              <w:tr2bl w:val="nil"/>
            </w:tcBorders>
            <w:noWrap w:val="0"/>
            <w:vAlign w:val="center"/>
          </w:tcPr>
          <w:p w14:paraId="6511713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烟气出口温度/℃</w:t>
            </w:r>
          </w:p>
        </w:tc>
        <w:tc>
          <w:tcPr>
            <w:tcW w:w="271" w:type="pct"/>
            <w:vMerge w:val="restart"/>
            <w:tcBorders>
              <w:tl2br w:val="nil"/>
              <w:tr2bl w:val="nil"/>
            </w:tcBorders>
            <w:noWrap w:val="0"/>
            <w:vAlign w:val="center"/>
          </w:tcPr>
          <w:p w14:paraId="74BE3D3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年排放小时数/h</w:t>
            </w:r>
          </w:p>
        </w:tc>
        <w:tc>
          <w:tcPr>
            <w:tcW w:w="398" w:type="pct"/>
            <w:vMerge w:val="restart"/>
            <w:tcBorders>
              <w:tl2br w:val="nil"/>
              <w:tr2bl w:val="nil"/>
            </w:tcBorders>
            <w:noWrap w:val="0"/>
            <w:vAlign w:val="center"/>
          </w:tcPr>
          <w:p w14:paraId="2748CF8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排放工况</w:t>
            </w:r>
          </w:p>
        </w:tc>
        <w:tc>
          <w:tcPr>
            <w:tcW w:w="882" w:type="pct"/>
            <w:gridSpan w:val="2"/>
            <w:vMerge w:val="restart"/>
            <w:tcBorders>
              <w:tl2br w:val="nil"/>
              <w:tr2bl w:val="nil"/>
            </w:tcBorders>
            <w:noWrap w:val="0"/>
            <w:vAlign w:val="center"/>
          </w:tcPr>
          <w:p w14:paraId="16DD8EE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污染物排放速率/(kg/h)</w:t>
            </w:r>
          </w:p>
        </w:tc>
      </w:tr>
      <w:tr w14:paraId="2C06E3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5" w:type="pct"/>
            <w:vMerge w:val="continue"/>
            <w:tcBorders>
              <w:tl2br w:val="nil"/>
              <w:tr2bl w:val="nil"/>
            </w:tcBorders>
            <w:noWrap w:val="0"/>
            <w:vAlign w:val="center"/>
          </w:tcPr>
          <w:p w14:paraId="6DAC11D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479" w:type="pct"/>
            <w:vMerge w:val="continue"/>
            <w:tcBorders>
              <w:tl2br w:val="nil"/>
              <w:tr2bl w:val="nil"/>
            </w:tcBorders>
            <w:noWrap w:val="0"/>
            <w:vAlign w:val="center"/>
          </w:tcPr>
          <w:p w14:paraId="775DB77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463" w:type="pct"/>
            <w:vMerge w:val="continue"/>
            <w:tcBorders>
              <w:tl2br w:val="nil"/>
              <w:tr2bl w:val="nil"/>
            </w:tcBorders>
            <w:noWrap w:val="0"/>
            <w:vAlign w:val="center"/>
          </w:tcPr>
          <w:p w14:paraId="1A91B87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237" w:type="pct"/>
            <w:tcBorders>
              <w:tl2br w:val="nil"/>
              <w:tr2bl w:val="nil"/>
            </w:tcBorders>
            <w:noWrap w:val="0"/>
            <w:vAlign w:val="center"/>
          </w:tcPr>
          <w:p w14:paraId="512CCA5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X</w:t>
            </w:r>
          </w:p>
        </w:tc>
        <w:tc>
          <w:tcPr>
            <w:tcW w:w="312" w:type="pct"/>
            <w:tcBorders>
              <w:tl2br w:val="nil"/>
              <w:tr2bl w:val="nil"/>
            </w:tcBorders>
            <w:noWrap w:val="0"/>
            <w:vAlign w:val="center"/>
          </w:tcPr>
          <w:p w14:paraId="511CFD2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Y</w:t>
            </w:r>
          </w:p>
        </w:tc>
        <w:tc>
          <w:tcPr>
            <w:tcW w:w="371" w:type="pct"/>
            <w:vMerge w:val="continue"/>
            <w:tcBorders>
              <w:tl2br w:val="nil"/>
              <w:tr2bl w:val="nil"/>
            </w:tcBorders>
            <w:noWrap w:val="0"/>
            <w:vAlign w:val="center"/>
          </w:tcPr>
          <w:p w14:paraId="0627B83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04" w:type="pct"/>
            <w:vMerge w:val="continue"/>
            <w:tcBorders>
              <w:tl2br w:val="nil"/>
              <w:tr2bl w:val="nil"/>
            </w:tcBorders>
            <w:noWrap w:val="0"/>
            <w:vAlign w:val="center"/>
          </w:tcPr>
          <w:p w14:paraId="0A35FBF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283" w:type="pct"/>
            <w:vMerge w:val="continue"/>
            <w:tcBorders>
              <w:tl2br w:val="nil"/>
              <w:tr2bl w:val="nil"/>
            </w:tcBorders>
            <w:noWrap w:val="0"/>
            <w:vAlign w:val="center"/>
          </w:tcPr>
          <w:p w14:paraId="32C33A6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458" w:type="pct"/>
            <w:vMerge w:val="continue"/>
            <w:tcBorders>
              <w:tl2br w:val="nil"/>
              <w:tr2bl w:val="nil"/>
            </w:tcBorders>
            <w:noWrap w:val="0"/>
            <w:vAlign w:val="center"/>
          </w:tcPr>
          <w:p w14:paraId="7E0766C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23" w:type="pct"/>
            <w:vMerge w:val="continue"/>
            <w:tcBorders>
              <w:tl2br w:val="nil"/>
              <w:tr2bl w:val="nil"/>
            </w:tcBorders>
            <w:noWrap w:val="0"/>
            <w:vAlign w:val="center"/>
          </w:tcPr>
          <w:p w14:paraId="14AECF9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271" w:type="pct"/>
            <w:vMerge w:val="continue"/>
            <w:tcBorders>
              <w:tl2br w:val="nil"/>
              <w:tr2bl w:val="nil"/>
            </w:tcBorders>
            <w:noWrap w:val="0"/>
            <w:vAlign w:val="center"/>
          </w:tcPr>
          <w:p w14:paraId="7C3FD96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98" w:type="pct"/>
            <w:vMerge w:val="continue"/>
            <w:tcBorders>
              <w:tl2br w:val="nil"/>
              <w:tr2bl w:val="nil"/>
            </w:tcBorders>
            <w:noWrap w:val="0"/>
            <w:vAlign w:val="center"/>
          </w:tcPr>
          <w:p w14:paraId="6777629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882" w:type="pct"/>
            <w:gridSpan w:val="2"/>
            <w:vMerge w:val="continue"/>
            <w:tcBorders>
              <w:tl2br w:val="nil"/>
              <w:tr2bl w:val="nil"/>
            </w:tcBorders>
            <w:noWrap w:val="0"/>
            <w:vAlign w:val="center"/>
          </w:tcPr>
          <w:p w14:paraId="7FEB72E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14:paraId="73574C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5" w:type="pct"/>
            <w:vMerge w:val="restart"/>
            <w:tcBorders>
              <w:tl2br w:val="nil"/>
              <w:tr2bl w:val="nil"/>
            </w:tcBorders>
            <w:noWrap w:val="0"/>
            <w:vAlign w:val="center"/>
          </w:tcPr>
          <w:p w14:paraId="1002EA2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w:t>
            </w:r>
          </w:p>
        </w:tc>
        <w:tc>
          <w:tcPr>
            <w:tcW w:w="479" w:type="pct"/>
            <w:vMerge w:val="restart"/>
            <w:tcBorders>
              <w:tl2br w:val="nil"/>
              <w:tr2bl w:val="nil"/>
            </w:tcBorders>
            <w:noWrap w:val="0"/>
            <w:vAlign w:val="center"/>
          </w:tcPr>
          <w:p w14:paraId="221BCF3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5#锅炉</w:t>
            </w:r>
          </w:p>
        </w:tc>
        <w:tc>
          <w:tcPr>
            <w:tcW w:w="463" w:type="pct"/>
            <w:vMerge w:val="restart"/>
            <w:tcBorders>
              <w:tl2br w:val="nil"/>
              <w:tr2bl w:val="nil"/>
            </w:tcBorders>
            <w:noWrap w:val="0"/>
            <w:vAlign w:val="center"/>
          </w:tcPr>
          <w:p w14:paraId="582AB1B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锅炉</w:t>
            </w:r>
            <w:r>
              <w:rPr>
                <w:rFonts w:hint="default" w:ascii="Times New Roman" w:hAnsi="Times New Roman" w:eastAsia="宋体" w:cs="Times New Roman"/>
                <w:color w:val="auto"/>
                <w:kern w:val="0"/>
                <w:sz w:val="21"/>
                <w:szCs w:val="21"/>
                <w:highlight w:val="none"/>
              </w:rPr>
              <w:t>烟囱</w:t>
            </w:r>
          </w:p>
        </w:tc>
        <w:tc>
          <w:tcPr>
            <w:tcW w:w="672" w:type="dxa"/>
            <w:vMerge w:val="restart"/>
            <w:tcBorders>
              <w:tl2br w:val="nil"/>
              <w:tr2bl w:val="nil"/>
            </w:tcBorders>
            <w:noWrap w:val="0"/>
            <w:vAlign w:val="center"/>
          </w:tcPr>
          <w:p w14:paraId="6EAF02E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78</w:t>
            </w:r>
          </w:p>
        </w:tc>
        <w:tc>
          <w:tcPr>
            <w:tcW w:w="885" w:type="dxa"/>
            <w:vMerge w:val="restart"/>
            <w:tcBorders>
              <w:tl2br w:val="nil"/>
              <w:tr2bl w:val="nil"/>
            </w:tcBorders>
            <w:noWrap w:val="0"/>
            <w:vAlign w:val="center"/>
          </w:tcPr>
          <w:p w14:paraId="1D41E00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94</w:t>
            </w:r>
          </w:p>
        </w:tc>
        <w:tc>
          <w:tcPr>
            <w:tcW w:w="1053" w:type="dxa"/>
            <w:vMerge w:val="restart"/>
            <w:tcBorders>
              <w:tl2br w:val="nil"/>
              <w:tr2bl w:val="nil"/>
            </w:tcBorders>
            <w:noWrap w:val="0"/>
            <w:vAlign w:val="center"/>
          </w:tcPr>
          <w:p w14:paraId="2303624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78</w:t>
            </w:r>
          </w:p>
        </w:tc>
        <w:tc>
          <w:tcPr>
            <w:tcW w:w="862" w:type="dxa"/>
            <w:vMerge w:val="restart"/>
            <w:tcBorders>
              <w:tl2br w:val="nil"/>
              <w:tr2bl w:val="nil"/>
            </w:tcBorders>
            <w:noWrap w:val="0"/>
            <w:vAlign w:val="center"/>
          </w:tcPr>
          <w:p w14:paraId="6D7E5E8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70</w:t>
            </w:r>
          </w:p>
        </w:tc>
        <w:tc>
          <w:tcPr>
            <w:tcW w:w="283" w:type="pct"/>
            <w:vMerge w:val="restart"/>
            <w:tcBorders>
              <w:tl2br w:val="nil"/>
              <w:tr2bl w:val="nil"/>
            </w:tcBorders>
            <w:noWrap w:val="0"/>
            <w:vAlign w:val="center"/>
          </w:tcPr>
          <w:p w14:paraId="1E026F7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3.5</w:t>
            </w:r>
          </w:p>
        </w:tc>
        <w:tc>
          <w:tcPr>
            <w:tcW w:w="458" w:type="pct"/>
            <w:vMerge w:val="restart"/>
            <w:tcBorders>
              <w:tl2br w:val="nil"/>
              <w:tr2bl w:val="nil"/>
            </w:tcBorders>
            <w:noWrap w:val="0"/>
            <w:vAlign w:val="center"/>
          </w:tcPr>
          <w:p w14:paraId="320683C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93818.70</w:t>
            </w:r>
          </w:p>
        </w:tc>
        <w:tc>
          <w:tcPr>
            <w:tcW w:w="323" w:type="pct"/>
            <w:vMerge w:val="restart"/>
            <w:tcBorders>
              <w:tl2br w:val="nil"/>
              <w:tr2bl w:val="nil"/>
            </w:tcBorders>
            <w:noWrap w:val="0"/>
            <w:vAlign w:val="center"/>
          </w:tcPr>
          <w:p w14:paraId="1CCC4A7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50</w:t>
            </w:r>
          </w:p>
        </w:tc>
        <w:tc>
          <w:tcPr>
            <w:tcW w:w="271" w:type="pct"/>
            <w:vMerge w:val="restart"/>
            <w:tcBorders>
              <w:tl2br w:val="nil"/>
              <w:tr2bl w:val="nil"/>
            </w:tcBorders>
            <w:noWrap w:val="0"/>
            <w:vAlign w:val="center"/>
          </w:tcPr>
          <w:p w14:paraId="67BCE95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1083</w:t>
            </w:r>
          </w:p>
        </w:tc>
        <w:tc>
          <w:tcPr>
            <w:tcW w:w="398" w:type="pct"/>
            <w:vMerge w:val="restart"/>
            <w:tcBorders>
              <w:tl2br w:val="nil"/>
              <w:tr2bl w:val="nil"/>
            </w:tcBorders>
            <w:noWrap w:val="0"/>
            <w:vAlign w:val="center"/>
          </w:tcPr>
          <w:p w14:paraId="192DE06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rPr>
              <w:t>正常</w:t>
            </w:r>
            <w:r>
              <w:rPr>
                <w:rFonts w:hint="default" w:ascii="Times New Roman" w:hAnsi="Times New Roman" w:eastAsia="宋体" w:cs="Times New Roman"/>
                <w:color w:val="auto"/>
                <w:kern w:val="0"/>
                <w:sz w:val="21"/>
                <w:szCs w:val="21"/>
                <w:highlight w:val="none"/>
                <w:lang w:val="en-US" w:eastAsia="zh-CN"/>
              </w:rPr>
              <w:t>排放</w:t>
            </w:r>
          </w:p>
        </w:tc>
        <w:tc>
          <w:tcPr>
            <w:tcW w:w="526" w:type="pct"/>
            <w:tcBorders>
              <w:tl2br w:val="nil"/>
              <w:tr2bl w:val="nil"/>
            </w:tcBorders>
            <w:noWrap w:val="0"/>
            <w:vAlign w:val="center"/>
          </w:tcPr>
          <w:p w14:paraId="4FAC080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iCs/>
                <w:color w:val="auto"/>
                <w:kern w:val="0"/>
                <w:sz w:val="21"/>
                <w:szCs w:val="21"/>
                <w:highlight w:val="none"/>
                <w:lang w:val="en-US" w:eastAsia="zh-CN"/>
              </w:rPr>
              <w:t>PM</w:t>
            </w:r>
            <w:r>
              <w:rPr>
                <w:rFonts w:hint="default" w:ascii="Times New Roman" w:hAnsi="Times New Roman" w:eastAsia="宋体" w:cs="Times New Roman"/>
                <w:b w:val="0"/>
                <w:bCs w:val="0"/>
                <w:iCs/>
                <w:color w:val="auto"/>
                <w:kern w:val="0"/>
                <w:sz w:val="21"/>
                <w:szCs w:val="21"/>
                <w:highlight w:val="none"/>
                <w:vertAlign w:val="subscript"/>
                <w:lang w:val="en-US" w:eastAsia="zh-CN"/>
              </w:rPr>
              <w:t>10</w:t>
            </w:r>
          </w:p>
        </w:tc>
        <w:tc>
          <w:tcPr>
            <w:tcW w:w="1008" w:type="dxa"/>
            <w:tcBorders>
              <w:tl2br w:val="nil"/>
              <w:tr2bl w:val="nil"/>
            </w:tcBorders>
            <w:noWrap w:val="0"/>
            <w:vAlign w:val="center"/>
          </w:tcPr>
          <w:p w14:paraId="6BE2DE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0.59</w:t>
            </w:r>
          </w:p>
        </w:tc>
      </w:tr>
      <w:tr w14:paraId="1EB7CF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5" w:type="pct"/>
            <w:vMerge w:val="continue"/>
            <w:tcBorders>
              <w:tl2br w:val="nil"/>
              <w:tr2bl w:val="nil"/>
            </w:tcBorders>
            <w:noWrap w:val="0"/>
            <w:vAlign w:val="center"/>
          </w:tcPr>
          <w:p w14:paraId="55C87E8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479" w:type="pct"/>
            <w:vMerge w:val="continue"/>
            <w:tcBorders>
              <w:tl2br w:val="nil"/>
              <w:tr2bl w:val="nil"/>
            </w:tcBorders>
            <w:noWrap w:val="0"/>
            <w:vAlign w:val="center"/>
          </w:tcPr>
          <w:p w14:paraId="3EC0ACD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463" w:type="pct"/>
            <w:vMerge w:val="continue"/>
            <w:tcBorders>
              <w:tl2br w:val="nil"/>
              <w:tr2bl w:val="nil"/>
            </w:tcBorders>
            <w:noWrap w:val="0"/>
            <w:vAlign w:val="center"/>
          </w:tcPr>
          <w:p w14:paraId="2ABD88A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237" w:type="pct"/>
            <w:vMerge w:val="continue"/>
            <w:tcBorders>
              <w:tl2br w:val="nil"/>
              <w:tr2bl w:val="nil"/>
            </w:tcBorders>
            <w:noWrap w:val="0"/>
            <w:vAlign w:val="center"/>
          </w:tcPr>
          <w:p w14:paraId="6742E2E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312" w:type="pct"/>
            <w:vMerge w:val="continue"/>
            <w:tcBorders>
              <w:tl2br w:val="nil"/>
              <w:tr2bl w:val="nil"/>
            </w:tcBorders>
            <w:noWrap w:val="0"/>
            <w:vAlign w:val="center"/>
          </w:tcPr>
          <w:p w14:paraId="3EC2718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371" w:type="pct"/>
            <w:vMerge w:val="continue"/>
            <w:tcBorders>
              <w:tl2br w:val="nil"/>
              <w:tr2bl w:val="nil"/>
            </w:tcBorders>
            <w:noWrap w:val="0"/>
            <w:vAlign w:val="center"/>
          </w:tcPr>
          <w:p w14:paraId="33266D7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304" w:type="pct"/>
            <w:vMerge w:val="continue"/>
            <w:tcBorders>
              <w:tl2br w:val="nil"/>
              <w:tr2bl w:val="nil"/>
            </w:tcBorders>
            <w:noWrap w:val="0"/>
            <w:vAlign w:val="center"/>
          </w:tcPr>
          <w:p w14:paraId="407666D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283" w:type="pct"/>
            <w:vMerge w:val="continue"/>
            <w:tcBorders>
              <w:tl2br w:val="nil"/>
              <w:tr2bl w:val="nil"/>
            </w:tcBorders>
            <w:noWrap w:val="0"/>
            <w:vAlign w:val="center"/>
          </w:tcPr>
          <w:p w14:paraId="7F3192F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458" w:type="pct"/>
            <w:vMerge w:val="continue"/>
            <w:tcBorders>
              <w:tl2br w:val="nil"/>
              <w:tr2bl w:val="nil"/>
            </w:tcBorders>
            <w:noWrap w:val="0"/>
            <w:vAlign w:val="center"/>
          </w:tcPr>
          <w:p w14:paraId="691D1C2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323" w:type="pct"/>
            <w:vMerge w:val="continue"/>
            <w:tcBorders>
              <w:tl2br w:val="nil"/>
              <w:tr2bl w:val="nil"/>
            </w:tcBorders>
            <w:noWrap w:val="0"/>
            <w:vAlign w:val="center"/>
          </w:tcPr>
          <w:p w14:paraId="2D07EBC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271" w:type="pct"/>
            <w:vMerge w:val="continue"/>
            <w:tcBorders>
              <w:tl2br w:val="nil"/>
              <w:tr2bl w:val="nil"/>
            </w:tcBorders>
            <w:noWrap w:val="0"/>
            <w:vAlign w:val="center"/>
          </w:tcPr>
          <w:p w14:paraId="552ADD0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398" w:type="pct"/>
            <w:vMerge w:val="continue"/>
            <w:tcBorders>
              <w:tl2br w:val="nil"/>
              <w:tr2bl w:val="nil"/>
            </w:tcBorders>
            <w:noWrap w:val="0"/>
            <w:vAlign w:val="center"/>
          </w:tcPr>
          <w:p w14:paraId="0902B99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526" w:type="pct"/>
            <w:tcBorders>
              <w:tl2br w:val="nil"/>
              <w:tr2bl w:val="nil"/>
            </w:tcBorders>
            <w:noWrap w:val="0"/>
            <w:vAlign w:val="center"/>
          </w:tcPr>
          <w:p w14:paraId="750CC6D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Cs/>
                <w:color w:val="auto"/>
                <w:kern w:val="0"/>
                <w:sz w:val="21"/>
                <w:szCs w:val="21"/>
                <w:highlight w:val="none"/>
                <w:lang w:val="en-US" w:eastAsia="zh-CN"/>
              </w:rPr>
            </w:pPr>
            <w:r>
              <w:rPr>
                <w:rFonts w:hint="default" w:ascii="Times New Roman" w:hAnsi="Times New Roman" w:eastAsia="宋体" w:cs="Times New Roman"/>
                <w:b w:val="0"/>
                <w:bCs w:val="0"/>
                <w:iCs/>
                <w:color w:val="auto"/>
                <w:kern w:val="0"/>
                <w:sz w:val="21"/>
                <w:szCs w:val="21"/>
                <w:highlight w:val="none"/>
                <w:lang w:val="en-US" w:eastAsia="zh-CN"/>
              </w:rPr>
              <w:t>PM</w:t>
            </w:r>
            <w:r>
              <w:rPr>
                <w:rFonts w:hint="default" w:ascii="Times New Roman" w:hAnsi="Times New Roman" w:eastAsia="宋体" w:cs="Times New Roman"/>
                <w:b w:val="0"/>
                <w:bCs w:val="0"/>
                <w:iCs/>
                <w:color w:val="auto"/>
                <w:kern w:val="0"/>
                <w:sz w:val="21"/>
                <w:szCs w:val="21"/>
                <w:highlight w:val="none"/>
                <w:vertAlign w:val="subscript"/>
                <w:lang w:val="en-US" w:eastAsia="zh-CN"/>
              </w:rPr>
              <w:t>2.5</w:t>
            </w:r>
          </w:p>
        </w:tc>
        <w:tc>
          <w:tcPr>
            <w:tcW w:w="1008" w:type="dxa"/>
            <w:tcBorders>
              <w:tl2br w:val="nil"/>
              <w:tr2bl w:val="nil"/>
            </w:tcBorders>
            <w:noWrap w:val="0"/>
            <w:vAlign w:val="center"/>
          </w:tcPr>
          <w:p w14:paraId="746E1691">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0.38</w:t>
            </w:r>
          </w:p>
        </w:tc>
      </w:tr>
      <w:tr w14:paraId="7A2ADA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5" w:type="pct"/>
            <w:vMerge w:val="continue"/>
            <w:tcBorders>
              <w:tl2br w:val="nil"/>
              <w:tr2bl w:val="nil"/>
            </w:tcBorders>
            <w:noWrap w:val="0"/>
            <w:vAlign w:val="center"/>
          </w:tcPr>
          <w:p w14:paraId="038664E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479" w:type="pct"/>
            <w:vMerge w:val="continue"/>
            <w:tcBorders>
              <w:tl2br w:val="nil"/>
              <w:tr2bl w:val="nil"/>
            </w:tcBorders>
            <w:noWrap w:val="0"/>
            <w:vAlign w:val="center"/>
          </w:tcPr>
          <w:p w14:paraId="43DCA63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463" w:type="pct"/>
            <w:vMerge w:val="continue"/>
            <w:tcBorders>
              <w:tl2br w:val="nil"/>
              <w:tr2bl w:val="nil"/>
            </w:tcBorders>
            <w:noWrap w:val="0"/>
            <w:vAlign w:val="center"/>
          </w:tcPr>
          <w:p w14:paraId="50C833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237" w:type="pct"/>
            <w:vMerge w:val="continue"/>
            <w:tcBorders>
              <w:tl2br w:val="nil"/>
              <w:tr2bl w:val="nil"/>
            </w:tcBorders>
            <w:noWrap w:val="0"/>
            <w:vAlign w:val="center"/>
          </w:tcPr>
          <w:p w14:paraId="09FE6E5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12" w:type="pct"/>
            <w:vMerge w:val="continue"/>
            <w:tcBorders>
              <w:tl2br w:val="nil"/>
              <w:tr2bl w:val="nil"/>
            </w:tcBorders>
            <w:noWrap w:val="0"/>
            <w:vAlign w:val="center"/>
          </w:tcPr>
          <w:p w14:paraId="64A1A6D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71" w:type="pct"/>
            <w:vMerge w:val="continue"/>
            <w:tcBorders>
              <w:tl2br w:val="nil"/>
              <w:tr2bl w:val="nil"/>
            </w:tcBorders>
            <w:noWrap w:val="0"/>
            <w:vAlign w:val="center"/>
          </w:tcPr>
          <w:p w14:paraId="74B9764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04" w:type="pct"/>
            <w:vMerge w:val="continue"/>
            <w:tcBorders>
              <w:tl2br w:val="nil"/>
              <w:tr2bl w:val="nil"/>
            </w:tcBorders>
            <w:noWrap w:val="0"/>
            <w:vAlign w:val="center"/>
          </w:tcPr>
          <w:p w14:paraId="01B5183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283" w:type="pct"/>
            <w:vMerge w:val="continue"/>
            <w:tcBorders>
              <w:tl2br w:val="nil"/>
              <w:tr2bl w:val="nil"/>
            </w:tcBorders>
            <w:noWrap w:val="0"/>
            <w:vAlign w:val="center"/>
          </w:tcPr>
          <w:p w14:paraId="0A4FEEF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458" w:type="pct"/>
            <w:vMerge w:val="continue"/>
            <w:tcBorders>
              <w:tl2br w:val="nil"/>
              <w:tr2bl w:val="nil"/>
            </w:tcBorders>
            <w:noWrap w:val="0"/>
            <w:vAlign w:val="center"/>
          </w:tcPr>
          <w:p w14:paraId="7B6CA2E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23" w:type="pct"/>
            <w:vMerge w:val="continue"/>
            <w:tcBorders>
              <w:tl2br w:val="nil"/>
              <w:tr2bl w:val="nil"/>
            </w:tcBorders>
            <w:noWrap w:val="0"/>
            <w:vAlign w:val="center"/>
          </w:tcPr>
          <w:p w14:paraId="3211288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271" w:type="pct"/>
            <w:vMerge w:val="continue"/>
            <w:tcBorders>
              <w:tl2br w:val="nil"/>
              <w:tr2bl w:val="nil"/>
            </w:tcBorders>
            <w:noWrap w:val="0"/>
            <w:vAlign w:val="center"/>
          </w:tcPr>
          <w:p w14:paraId="683F8A6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398" w:type="pct"/>
            <w:vMerge w:val="continue"/>
            <w:tcBorders>
              <w:tl2br w:val="nil"/>
              <w:tr2bl w:val="nil"/>
            </w:tcBorders>
            <w:noWrap w:val="0"/>
            <w:vAlign w:val="center"/>
          </w:tcPr>
          <w:p w14:paraId="7C79161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526" w:type="pct"/>
            <w:tcBorders>
              <w:tl2br w:val="nil"/>
              <w:tr2bl w:val="nil"/>
            </w:tcBorders>
            <w:noWrap w:val="0"/>
            <w:vAlign w:val="center"/>
          </w:tcPr>
          <w:p w14:paraId="384E998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eastAsia="zh-CN"/>
              </w:rPr>
              <w:t>SO</w:t>
            </w:r>
            <w:r>
              <w:rPr>
                <w:rFonts w:hint="default" w:ascii="Times New Roman" w:hAnsi="Times New Roman" w:eastAsia="宋体" w:cs="Times New Roman"/>
                <w:b w:val="0"/>
                <w:bCs w:val="0"/>
                <w:color w:val="auto"/>
                <w:kern w:val="0"/>
                <w:sz w:val="21"/>
                <w:szCs w:val="21"/>
                <w:highlight w:val="none"/>
                <w:vertAlign w:val="subscript"/>
                <w:lang w:eastAsia="zh-CN"/>
              </w:rPr>
              <w:t>2</w:t>
            </w:r>
          </w:p>
        </w:tc>
        <w:tc>
          <w:tcPr>
            <w:tcW w:w="1008" w:type="dxa"/>
            <w:tcBorders>
              <w:tl2br w:val="nil"/>
              <w:tr2bl w:val="nil"/>
            </w:tcBorders>
            <w:noWrap w:val="0"/>
            <w:vAlign w:val="center"/>
          </w:tcPr>
          <w:p w14:paraId="245FA411">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2.48</w:t>
            </w:r>
          </w:p>
        </w:tc>
      </w:tr>
      <w:tr w14:paraId="1E95BB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5" w:type="pct"/>
            <w:vMerge w:val="continue"/>
            <w:tcBorders>
              <w:tl2br w:val="nil"/>
              <w:tr2bl w:val="nil"/>
            </w:tcBorders>
            <w:noWrap w:val="0"/>
            <w:vAlign w:val="center"/>
          </w:tcPr>
          <w:p w14:paraId="5B84618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479" w:type="pct"/>
            <w:vMerge w:val="continue"/>
            <w:tcBorders>
              <w:tl2br w:val="nil"/>
              <w:tr2bl w:val="nil"/>
            </w:tcBorders>
            <w:noWrap w:val="0"/>
            <w:vAlign w:val="center"/>
          </w:tcPr>
          <w:p w14:paraId="098333B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463" w:type="pct"/>
            <w:vMerge w:val="continue"/>
            <w:tcBorders>
              <w:tl2br w:val="nil"/>
              <w:tr2bl w:val="nil"/>
            </w:tcBorders>
            <w:noWrap w:val="0"/>
            <w:vAlign w:val="center"/>
          </w:tcPr>
          <w:p w14:paraId="01533B4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237" w:type="pct"/>
            <w:vMerge w:val="continue"/>
            <w:tcBorders>
              <w:tl2br w:val="nil"/>
              <w:tr2bl w:val="nil"/>
            </w:tcBorders>
            <w:noWrap w:val="0"/>
            <w:vAlign w:val="center"/>
          </w:tcPr>
          <w:p w14:paraId="2B267E4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12" w:type="pct"/>
            <w:vMerge w:val="continue"/>
            <w:tcBorders>
              <w:tl2br w:val="nil"/>
              <w:tr2bl w:val="nil"/>
            </w:tcBorders>
            <w:noWrap w:val="0"/>
            <w:vAlign w:val="center"/>
          </w:tcPr>
          <w:p w14:paraId="3A19735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71" w:type="pct"/>
            <w:vMerge w:val="continue"/>
            <w:tcBorders>
              <w:tl2br w:val="nil"/>
              <w:tr2bl w:val="nil"/>
            </w:tcBorders>
            <w:noWrap w:val="0"/>
            <w:vAlign w:val="center"/>
          </w:tcPr>
          <w:p w14:paraId="2877E5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04" w:type="pct"/>
            <w:vMerge w:val="continue"/>
            <w:tcBorders>
              <w:tl2br w:val="nil"/>
              <w:tr2bl w:val="nil"/>
            </w:tcBorders>
            <w:noWrap w:val="0"/>
            <w:vAlign w:val="center"/>
          </w:tcPr>
          <w:p w14:paraId="353DB65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283" w:type="pct"/>
            <w:vMerge w:val="continue"/>
            <w:tcBorders>
              <w:tl2br w:val="nil"/>
              <w:tr2bl w:val="nil"/>
            </w:tcBorders>
            <w:noWrap w:val="0"/>
            <w:vAlign w:val="center"/>
          </w:tcPr>
          <w:p w14:paraId="589B085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458" w:type="pct"/>
            <w:vMerge w:val="continue"/>
            <w:tcBorders>
              <w:tl2br w:val="nil"/>
              <w:tr2bl w:val="nil"/>
            </w:tcBorders>
            <w:noWrap w:val="0"/>
            <w:vAlign w:val="center"/>
          </w:tcPr>
          <w:p w14:paraId="742427A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23" w:type="pct"/>
            <w:vMerge w:val="continue"/>
            <w:tcBorders>
              <w:tl2br w:val="nil"/>
              <w:tr2bl w:val="nil"/>
            </w:tcBorders>
            <w:noWrap w:val="0"/>
            <w:vAlign w:val="center"/>
          </w:tcPr>
          <w:p w14:paraId="58D0ABA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271" w:type="pct"/>
            <w:vMerge w:val="continue"/>
            <w:tcBorders>
              <w:tl2br w:val="nil"/>
              <w:tr2bl w:val="nil"/>
            </w:tcBorders>
            <w:noWrap w:val="0"/>
            <w:vAlign w:val="center"/>
          </w:tcPr>
          <w:p w14:paraId="5E36505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398" w:type="pct"/>
            <w:vMerge w:val="continue"/>
            <w:tcBorders>
              <w:tl2br w:val="nil"/>
              <w:tr2bl w:val="nil"/>
            </w:tcBorders>
            <w:noWrap w:val="0"/>
            <w:vAlign w:val="center"/>
          </w:tcPr>
          <w:p w14:paraId="46163C6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526" w:type="pct"/>
            <w:tcBorders>
              <w:tl2br w:val="nil"/>
              <w:tr2bl w:val="nil"/>
            </w:tcBorders>
            <w:noWrap w:val="0"/>
            <w:vAlign w:val="center"/>
          </w:tcPr>
          <w:p w14:paraId="79753A8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eastAsia="zh-CN"/>
              </w:rPr>
            </w:pPr>
            <w:r>
              <w:rPr>
                <w:rFonts w:hint="default" w:ascii="Times New Roman" w:hAnsi="Times New Roman" w:eastAsia="宋体" w:cs="Times New Roman"/>
                <w:b w:val="0"/>
                <w:bCs w:val="0"/>
                <w:color w:val="auto"/>
                <w:kern w:val="0"/>
                <w:sz w:val="21"/>
                <w:szCs w:val="21"/>
                <w:highlight w:val="none"/>
                <w:lang w:eastAsia="zh-CN"/>
              </w:rPr>
              <w:t>NO</w:t>
            </w:r>
            <w:r>
              <w:rPr>
                <w:rFonts w:hint="default" w:ascii="Times New Roman" w:hAnsi="Times New Roman" w:eastAsia="宋体" w:cs="Times New Roman"/>
                <w:b w:val="0"/>
                <w:bCs w:val="0"/>
                <w:color w:val="auto"/>
                <w:kern w:val="0"/>
                <w:sz w:val="21"/>
                <w:szCs w:val="21"/>
                <w:highlight w:val="none"/>
                <w:vertAlign w:val="subscript"/>
                <w:lang w:val="en-US" w:eastAsia="zh-CN"/>
              </w:rPr>
              <w:t>x</w:t>
            </w:r>
          </w:p>
        </w:tc>
        <w:tc>
          <w:tcPr>
            <w:tcW w:w="1008" w:type="dxa"/>
            <w:tcBorders>
              <w:tl2br w:val="nil"/>
              <w:tr2bl w:val="nil"/>
            </w:tcBorders>
            <w:noWrap w:val="0"/>
            <w:vAlign w:val="center"/>
          </w:tcPr>
          <w:p w14:paraId="22CD8D03">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3.94</w:t>
            </w:r>
          </w:p>
        </w:tc>
      </w:tr>
      <w:tr w14:paraId="06A94F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5" w:type="pct"/>
            <w:vMerge w:val="continue"/>
            <w:tcBorders>
              <w:tl2br w:val="nil"/>
              <w:tr2bl w:val="nil"/>
            </w:tcBorders>
            <w:noWrap w:val="0"/>
            <w:vAlign w:val="center"/>
          </w:tcPr>
          <w:p w14:paraId="03B5AC7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479" w:type="pct"/>
            <w:vMerge w:val="continue"/>
            <w:tcBorders>
              <w:tl2br w:val="nil"/>
              <w:tr2bl w:val="nil"/>
            </w:tcBorders>
            <w:noWrap w:val="0"/>
            <w:vAlign w:val="center"/>
          </w:tcPr>
          <w:p w14:paraId="3C0DFE8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463" w:type="pct"/>
            <w:vMerge w:val="continue"/>
            <w:tcBorders>
              <w:tl2br w:val="nil"/>
              <w:tr2bl w:val="nil"/>
            </w:tcBorders>
            <w:noWrap w:val="0"/>
            <w:vAlign w:val="center"/>
          </w:tcPr>
          <w:p w14:paraId="449CCF4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237" w:type="pct"/>
            <w:vMerge w:val="continue"/>
            <w:tcBorders>
              <w:tl2br w:val="nil"/>
              <w:tr2bl w:val="nil"/>
            </w:tcBorders>
            <w:noWrap w:val="0"/>
            <w:vAlign w:val="center"/>
          </w:tcPr>
          <w:p w14:paraId="2FD55CC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12" w:type="pct"/>
            <w:vMerge w:val="continue"/>
            <w:tcBorders>
              <w:tl2br w:val="nil"/>
              <w:tr2bl w:val="nil"/>
            </w:tcBorders>
            <w:noWrap w:val="0"/>
            <w:vAlign w:val="center"/>
          </w:tcPr>
          <w:p w14:paraId="1948766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71" w:type="pct"/>
            <w:vMerge w:val="continue"/>
            <w:tcBorders>
              <w:tl2br w:val="nil"/>
              <w:tr2bl w:val="nil"/>
            </w:tcBorders>
            <w:noWrap w:val="0"/>
            <w:vAlign w:val="center"/>
          </w:tcPr>
          <w:p w14:paraId="7EA15D6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04" w:type="pct"/>
            <w:vMerge w:val="continue"/>
            <w:tcBorders>
              <w:tl2br w:val="nil"/>
              <w:tr2bl w:val="nil"/>
            </w:tcBorders>
            <w:noWrap w:val="0"/>
            <w:vAlign w:val="center"/>
          </w:tcPr>
          <w:p w14:paraId="64B3CDB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283" w:type="pct"/>
            <w:vMerge w:val="continue"/>
            <w:tcBorders>
              <w:tl2br w:val="nil"/>
              <w:tr2bl w:val="nil"/>
            </w:tcBorders>
            <w:noWrap w:val="0"/>
            <w:vAlign w:val="center"/>
          </w:tcPr>
          <w:p w14:paraId="367E4CD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458" w:type="pct"/>
            <w:vMerge w:val="continue"/>
            <w:tcBorders>
              <w:tl2br w:val="nil"/>
              <w:tr2bl w:val="nil"/>
            </w:tcBorders>
            <w:noWrap w:val="0"/>
            <w:vAlign w:val="center"/>
          </w:tcPr>
          <w:p w14:paraId="27CAF3A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23" w:type="pct"/>
            <w:vMerge w:val="continue"/>
            <w:tcBorders>
              <w:tl2br w:val="nil"/>
              <w:tr2bl w:val="nil"/>
            </w:tcBorders>
            <w:noWrap w:val="0"/>
            <w:vAlign w:val="center"/>
          </w:tcPr>
          <w:p w14:paraId="1CA099A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271" w:type="pct"/>
            <w:vMerge w:val="continue"/>
            <w:tcBorders>
              <w:tl2br w:val="nil"/>
              <w:tr2bl w:val="nil"/>
            </w:tcBorders>
            <w:noWrap w:val="0"/>
            <w:vAlign w:val="center"/>
          </w:tcPr>
          <w:p w14:paraId="6C0C06E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398" w:type="pct"/>
            <w:vMerge w:val="continue"/>
            <w:tcBorders>
              <w:tl2br w:val="nil"/>
              <w:tr2bl w:val="nil"/>
            </w:tcBorders>
            <w:noWrap w:val="0"/>
            <w:vAlign w:val="center"/>
          </w:tcPr>
          <w:p w14:paraId="2F8F01B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526" w:type="pct"/>
            <w:tcBorders>
              <w:tl2br w:val="nil"/>
              <w:tr2bl w:val="nil"/>
            </w:tcBorders>
            <w:noWrap w:val="0"/>
            <w:vAlign w:val="center"/>
          </w:tcPr>
          <w:p w14:paraId="7B79DA3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eastAsia="zh-CN"/>
              </w:rPr>
              <w:t>汞</w:t>
            </w:r>
            <w:r>
              <w:rPr>
                <w:rFonts w:hint="default" w:ascii="Times New Roman" w:hAnsi="Times New Roman" w:eastAsia="宋体" w:cs="Times New Roman"/>
                <w:b w:val="0"/>
                <w:bCs w:val="0"/>
                <w:color w:val="auto"/>
                <w:kern w:val="0"/>
                <w:sz w:val="21"/>
                <w:szCs w:val="21"/>
                <w:highlight w:val="none"/>
                <w:lang w:val="en-US" w:eastAsia="zh-CN"/>
              </w:rPr>
              <w:t>及其化合物</w:t>
            </w:r>
          </w:p>
        </w:tc>
        <w:tc>
          <w:tcPr>
            <w:tcW w:w="1008" w:type="dxa"/>
            <w:tcBorders>
              <w:tl2br w:val="nil"/>
              <w:tr2bl w:val="nil"/>
            </w:tcBorders>
            <w:noWrap w:val="0"/>
            <w:vAlign w:val="center"/>
          </w:tcPr>
          <w:p w14:paraId="7E4EB715">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0.0006</w:t>
            </w:r>
          </w:p>
        </w:tc>
      </w:tr>
      <w:tr w14:paraId="657934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5" w:type="pct"/>
            <w:vMerge w:val="continue"/>
            <w:tcBorders>
              <w:tl2br w:val="nil"/>
              <w:tr2bl w:val="nil"/>
            </w:tcBorders>
            <w:noWrap w:val="0"/>
            <w:vAlign w:val="center"/>
          </w:tcPr>
          <w:p w14:paraId="7ADD453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479" w:type="pct"/>
            <w:vMerge w:val="continue"/>
            <w:tcBorders>
              <w:tl2br w:val="nil"/>
              <w:tr2bl w:val="nil"/>
            </w:tcBorders>
            <w:noWrap w:val="0"/>
            <w:vAlign w:val="center"/>
          </w:tcPr>
          <w:p w14:paraId="2F52D35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463" w:type="pct"/>
            <w:vMerge w:val="continue"/>
            <w:tcBorders>
              <w:tl2br w:val="nil"/>
              <w:tr2bl w:val="nil"/>
            </w:tcBorders>
            <w:noWrap w:val="0"/>
            <w:vAlign w:val="center"/>
          </w:tcPr>
          <w:p w14:paraId="1F8F6EA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237" w:type="pct"/>
            <w:vMerge w:val="continue"/>
            <w:tcBorders>
              <w:tl2br w:val="nil"/>
              <w:tr2bl w:val="nil"/>
            </w:tcBorders>
            <w:noWrap w:val="0"/>
            <w:vAlign w:val="center"/>
          </w:tcPr>
          <w:p w14:paraId="0CC354D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12" w:type="pct"/>
            <w:vMerge w:val="continue"/>
            <w:tcBorders>
              <w:tl2br w:val="nil"/>
              <w:tr2bl w:val="nil"/>
            </w:tcBorders>
            <w:noWrap w:val="0"/>
            <w:vAlign w:val="center"/>
          </w:tcPr>
          <w:p w14:paraId="2B0B04B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71" w:type="pct"/>
            <w:vMerge w:val="continue"/>
            <w:tcBorders>
              <w:tl2br w:val="nil"/>
              <w:tr2bl w:val="nil"/>
            </w:tcBorders>
            <w:noWrap w:val="0"/>
            <w:vAlign w:val="center"/>
          </w:tcPr>
          <w:p w14:paraId="1D03D59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04" w:type="pct"/>
            <w:vMerge w:val="continue"/>
            <w:tcBorders>
              <w:tl2br w:val="nil"/>
              <w:tr2bl w:val="nil"/>
            </w:tcBorders>
            <w:noWrap w:val="0"/>
            <w:vAlign w:val="center"/>
          </w:tcPr>
          <w:p w14:paraId="4B1509D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283" w:type="pct"/>
            <w:vMerge w:val="continue"/>
            <w:tcBorders>
              <w:tl2br w:val="nil"/>
              <w:tr2bl w:val="nil"/>
            </w:tcBorders>
            <w:noWrap w:val="0"/>
            <w:vAlign w:val="center"/>
          </w:tcPr>
          <w:p w14:paraId="0801760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458" w:type="pct"/>
            <w:vMerge w:val="continue"/>
            <w:tcBorders>
              <w:tl2br w:val="nil"/>
              <w:tr2bl w:val="nil"/>
            </w:tcBorders>
            <w:noWrap w:val="0"/>
            <w:vAlign w:val="center"/>
          </w:tcPr>
          <w:p w14:paraId="5B731F7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23" w:type="pct"/>
            <w:vMerge w:val="continue"/>
            <w:tcBorders>
              <w:tl2br w:val="nil"/>
              <w:tr2bl w:val="nil"/>
            </w:tcBorders>
            <w:noWrap w:val="0"/>
            <w:vAlign w:val="center"/>
          </w:tcPr>
          <w:p w14:paraId="4DE077E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271" w:type="pct"/>
            <w:vMerge w:val="continue"/>
            <w:tcBorders>
              <w:tl2br w:val="nil"/>
              <w:tr2bl w:val="nil"/>
            </w:tcBorders>
            <w:noWrap w:val="0"/>
            <w:vAlign w:val="center"/>
          </w:tcPr>
          <w:p w14:paraId="5102B00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398" w:type="pct"/>
            <w:vMerge w:val="continue"/>
            <w:tcBorders>
              <w:tl2br w:val="nil"/>
              <w:tr2bl w:val="nil"/>
            </w:tcBorders>
            <w:noWrap w:val="0"/>
            <w:vAlign w:val="center"/>
          </w:tcPr>
          <w:p w14:paraId="1392408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526" w:type="pct"/>
            <w:tcBorders>
              <w:tl2br w:val="nil"/>
              <w:tr2bl w:val="nil"/>
            </w:tcBorders>
            <w:noWrap w:val="0"/>
            <w:vAlign w:val="center"/>
          </w:tcPr>
          <w:p w14:paraId="660C4E0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eastAsia="zh-CN"/>
              </w:rPr>
            </w:pPr>
            <w:r>
              <w:rPr>
                <w:rFonts w:hint="default" w:ascii="Times New Roman" w:hAnsi="Times New Roman" w:eastAsia="宋体" w:cs="Times New Roman"/>
                <w:b w:val="0"/>
                <w:bCs w:val="0"/>
                <w:iCs/>
                <w:snapToGrid w:val="0"/>
                <w:color w:val="auto"/>
                <w:kern w:val="0"/>
                <w:sz w:val="21"/>
                <w:szCs w:val="21"/>
                <w:highlight w:val="none"/>
                <w:lang w:val="en-US" w:eastAsia="zh-CN"/>
              </w:rPr>
              <w:t>NH</w:t>
            </w:r>
            <w:r>
              <w:rPr>
                <w:rFonts w:hint="default" w:ascii="Times New Roman" w:hAnsi="Times New Roman" w:eastAsia="宋体" w:cs="Times New Roman"/>
                <w:b w:val="0"/>
                <w:bCs w:val="0"/>
                <w:iCs/>
                <w:snapToGrid w:val="0"/>
                <w:color w:val="auto"/>
                <w:kern w:val="0"/>
                <w:sz w:val="21"/>
                <w:szCs w:val="21"/>
                <w:highlight w:val="none"/>
                <w:vertAlign w:val="subscript"/>
                <w:lang w:val="en-US" w:eastAsia="zh-CN"/>
              </w:rPr>
              <w:t>3</w:t>
            </w:r>
          </w:p>
        </w:tc>
        <w:tc>
          <w:tcPr>
            <w:tcW w:w="1008" w:type="dxa"/>
            <w:tcBorders>
              <w:tl2br w:val="nil"/>
              <w:tr2bl w:val="nil"/>
            </w:tcBorders>
            <w:noWrap w:val="0"/>
            <w:vAlign w:val="center"/>
          </w:tcPr>
          <w:p w14:paraId="04D3516A">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0.75</w:t>
            </w:r>
          </w:p>
        </w:tc>
      </w:tr>
      <w:tr w14:paraId="0E314B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5" w:type="pct"/>
            <w:tcBorders>
              <w:tl2br w:val="nil"/>
              <w:tr2bl w:val="nil"/>
            </w:tcBorders>
            <w:noWrap w:val="0"/>
            <w:vAlign w:val="center"/>
          </w:tcPr>
          <w:p w14:paraId="13CAB6D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w:t>
            </w:r>
          </w:p>
        </w:tc>
        <w:tc>
          <w:tcPr>
            <w:tcW w:w="479" w:type="pct"/>
            <w:tcBorders>
              <w:tl2br w:val="nil"/>
              <w:tr2bl w:val="nil"/>
            </w:tcBorders>
            <w:noWrap w:val="0"/>
            <w:vAlign w:val="center"/>
          </w:tcPr>
          <w:p w14:paraId="6C97E98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灰库</w:t>
            </w:r>
          </w:p>
        </w:tc>
        <w:tc>
          <w:tcPr>
            <w:tcW w:w="463" w:type="pct"/>
            <w:tcBorders>
              <w:tl2br w:val="nil"/>
              <w:tr2bl w:val="nil"/>
            </w:tcBorders>
            <w:noWrap w:val="0"/>
            <w:vAlign w:val="center"/>
          </w:tcPr>
          <w:p w14:paraId="14BA2FC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库顶排放口</w:t>
            </w:r>
          </w:p>
        </w:tc>
        <w:tc>
          <w:tcPr>
            <w:tcW w:w="672" w:type="dxa"/>
            <w:tcBorders>
              <w:tl2br w:val="nil"/>
              <w:tr2bl w:val="nil"/>
            </w:tcBorders>
            <w:shd w:val="clear" w:color="auto" w:fill="auto"/>
            <w:noWrap w:val="0"/>
            <w:vAlign w:val="center"/>
          </w:tcPr>
          <w:p w14:paraId="039C8A2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lang w:val="en-US" w:eastAsia="zh-CN"/>
              </w:rPr>
              <w:t>169</w:t>
            </w:r>
          </w:p>
        </w:tc>
        <w:tc>
          <w:tcPr>
            <w:tcW w:w="885" w:type="dxa"/>
            <w:tcBorders>
              <w:tl2br w:val="nil"/>
              <w:tr2bl w:val="nil"/>
            </w:tcBorders>
            <w:shd w:val="clear" w:color="auto" w:fill="auto"/>
            <w:noWrap w:val="0"/>
            <w:vAlign w:val="center"/>
          </w:tcPr>
          <w:p w14:paraId="00B81B4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lang w:val="en-US" w:eastAsia="zh-CN"/>
              </w:rPr>
              <w:t>457</w:t>
            </w:r>
          </w:p>
        </w:tc>
        <w:tc>
          <w:tcPr>
            <w:tcW w:w="1053" w:type="dxa"/>
            <w:tcBorders>
              <w:tl2br w:val="nil"/>
              <w:tr2bl w:val="nil"/>
            </w:tcBorders>
            <w:noWrap w:val="0"/>
            <w:vAlign w:val="center"/>
          </w:tcPr>
          <w:p w14:paraId="3337671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75</w:t>
            </w:r>
          </w:p>
        </w:tc>
        <w:tc>
          <w:tcPr>
            <w:tcW w:w="862" w:type="dxa"/>
            <w:tcBorders>
              <w:tl2br w:val="nil"/>
              <w:tr2bl w:val="nil"/>
            </w:tcBorders>
            <w:noWrap w:val="0"/>
            <w:vAlign w:val="center"/>
          </w:tcPr>
          <w:p w14:paraId="6E96D7F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10</w:t>
            </w:r>
          </w:p>
        </w:tc>
        <w:tc>
          <w:tcPr>
            <w:tcW w:w="803" w:type="dxa"/>
            <w:tcBorders>
              <w:tl2br w:val="nil"/>
              <w:tr2bl w:val="nil"/>
            </w:tcBorders>
            <w:noWrap w:val="0"/>
            <w:vAlign w:val="center"/>
          </w:tcPr>
          <w:p w14:paraId="0CFDBEE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0.4</w:t>
            </w:r>
          </w:p>
        </w:tc>
        <w:tc>
          <w:tcPr>
            <w:tcW w:w="458" w:type="pct"/>
            <w:tcBorders>
              <w:tl2br w:val="nil"/>
              <w:tr2bl w:val="nil"/>
            </w:tcBorders>
            <w:noWrap w:val="0"/>
            <w:vAlign w:val="center"/>
          </w:tcPr>
          <w:p w14:paraId="062ED4C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2000</w:t>
            </w:r>
          </w:p>
        </w:tc>
        <w:tc>
          <w:tcPr>
            <w:tcW w:w="323" w:type="pct"/>
            <w:tcBorders>
              <w:tl2br w:val="nil"/>
              <w:tr2bl w:val="nil"/>
            </w:tcBorders>
            <w:noWrap w:val="0"/>
            <w:vAlign w:val="center"/>
          </w:tcPr>
          <w:p w14:paraId="3C332CD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20</w:t>
            </w:r>
          </w:p>
        </w:tc>
        <w:tc>
          <w:tcPr>
            <w:tcW w:w="271" w:type="pct"/>
            <w:tcBorders>
              <w:tl2br w:val="nil"/>
              <w:tr2bl w:val="nil"/>
            </w:tcBorders>
            <w:noWrap w:val="0"/>
            <w:vAlign w:val="center"/>
          </w:tcPr>
          <w:p w14:paraId="0A571A0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1083</w:t>
            </w:r>
          </w:p>
        </w:tc>
        <w:tc>
          <w:tcPr>
            <w:tcW w:w="398" w:type="pct"/>
            <w:tcBorders>
              <w:tl2br w:val="nil"/>
              <w:tr2bl w:val="nil"/>
            </w:tcBorders>
            <w:noWrap w:val="0"/>
            <w:vAlign w:val="center"/>
          </w:tcPr>
          <w:p w14:paraId="64B9B30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正常</w:t>
            </w:r>
            <w:r>
              <w:rPr>
                <w:rFonts w:hint="default" w:ascii="Times New Roman" w:hAnsi="Times New Roman" w:eastAsia="宋体" w:cs="Times New Roman"/>
                <w:color w:val="auto"/>
                <w:kern w:val="0"/>
                <w:sz w:val="21"/>
                <w:szCs w:val="21"/>
                <w:highlight w:val="none"/>
                <w:lang w:val="en-US" w:eastAsia="zh-CN"/>
              </w:rPr>
              <w:t>排放</w:t>
            </w:r>
          </w:p>
        </w:tc>
        <w:tc>
          <w:tcPr>
            <w:tcW w:w="526" w:type="pct"/>
            <w:tcBorders>
              <w:tl2br w:val="nil"/>
              <w:tr2bl w:val="nil"/>
            </w:tcBorders>
            <w:noWrap w:val="0"/>
            <w:vAlign w:val="center"/>
          </w:tcPr>
          <w:p w14:paraId="15DBB12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Cs/>
                <w:snapToGrid w:val="0"/>
                <w:color w:val="auto"/>
                <w:kern w:val="0"/>
                <w:sz w:val="21"/>
                <w:szCs w:val="21"/>
                <w:highlight w:val="none"/>
                <w:lang w:val="en-US" w:eastAsia="zh-CN"/>
              </w:rPr>
            </w:pPr>
            <w:r>
              <w:rPr>
                <w:rFonts w:hint="default" w:ascii="Times New Roman" w:hAnsi="Times New Roman" w:eastAsia="宋体" w:cs="Times New Roman"/>
                <w:b w:val="0"/>
                <w:bCs w:val="0"/>
                <w:iCs/>
                <w:color w:val="auto"/>
                <w:kern w:val="0"/>
                <w:sz w:val="21"/>
                <w:szCs w:val="21"/>
                <w:highlight w:val="none"/>
                <w:lang w:val="en-US" w:eastAsia="zh-CN"/>
              </w:rPr>
              <w:t>PM</w:t>
            </w:r>
            <w:r>
              <w:rPr>
                <w:rFonts w:hint="default" w:ascii="Times New Roman" w:hAnsi="Times New Roman" w:eastAsia="宋体" w:cs="Times New Roman"/>
                <w:b w:val="0"/>
                <w:bCs w:val="0"/>
                <w:iCs/>
                <w:color w:val="auto"/>
                <w:kern w:val="0"/>
                <w:sz w:val="21"/>
                <w:szCs w:val="21"/>
                <w:highlight w:val="none"/>
                <w:vertAlign w:val="subscript"/>
                <w:lang w:val="en-US" w:eastAsia="zh-CN"/>
              </w:rPr>
              <w:t>10</w:t>
            </w:r>
          </w:p>
        </w:tc>
        <w:tc>
          <w:tcPr>
            <w:tcW w:w="1008" w:type="dxa"/>
            <w:tcBorders>
              <w:tl2br w:val="nil"/>
              <w:tr2bl w:val="nil"/>
            </w:tcBorders>
            <w:noWrap w:val="0"/>
            <w:vAlign w:val="center"/>
          </w:tcPr>
          <w:p w14:paraId="4CF9D5B5">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eastAsia"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0.018</w:t>
            </w:r>
          </w:p>
        </w:tc>
      </w:tr>
      <w:tr w14:paraId="484036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5" w:type="pct"/>
            <w:tcBorders>
              <w:tl2br w:val="nil"/>
              <w:tr2bl w:val="nil"/>
            </w:tcBorders>
            <w:noWrap w:val="0"/>
            <w:vAlign w:val="center"/>
          </w:tcPr>
          <w:p w14:paraId="7188101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w:t>
            </w:r>
          </w:p>
        </w:tc>
        <w:tc>
          <w:tcPr>
            <w:tcW w:w="479" w:type="pct"/>
            <w:tcBorders>
              <w:tl2br w:val="nil"/>
              <w:tr2bl w:val="nil"/>
            </w:tcBorders>
            <w:noWrap w:val="0"/>
            <w:vAlign w:val="center"/>
          </w:tcPr>
          <w:p w14:paraId="561A3CC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生石灰</w:t>
            </w:r>
            <w:r>
              <w:rPr>
                <w:rFonts w:hint="default" w:ascii="Times New Roman" w:hAnsi="Times New Roman" w:eastAsia="宋体" w:cs="Times New Roman"/>
                <w:color w:val="auto"/>
                <w:kern w:val="0"/>
                <w:sz w:val="21"/>
                <w:szCs w:val="21"/>
                <w:highlight w:val="none"/>
                <w:lang w:val="en-US" w:eastAsia="zh-CN"/>
              </w:rPr>
              <w:t>粉仓</w:t>
            </w:r>
          </w:p>
        </w:tc>
        <w:tc>
          <w:tcPr>
            <w:tcW w:w="463" w:type="pct"/>
            <w:tcBorders>
              <w:tl2br w:val="nil"/>
              <w:tr2bl w:val="nil"/>
            </w:tcBorders>
            <w:noWrap w:val="0"/>
            <w:vAlign w:val="center"/>
          </w:tcPr>
          <w:p w14:paraId="2990D21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仓顶</w:t>
            </w:r>
            <w:r>
              <w:rPr>
                <w:rFonts w:hint="default" w:ascii="Times New Roman" w:hAnsi="Times New Roman" w:eastAsia="宋体" w:cs="Times New Roman"/>
                <w:color w:val="auto"/>
                <w:kern w:val="0"/>
                <w:sz w:val="21"/>
                <w:szCs w:val="21"/>
                <w:highlight w:val="none"/>
                <w:lang w:val="en-US" w:eastAsia="zh-CN"/>
              </w:rPr>
              <w:t>排放口</w:t>
            </w:r>
          </w:p>
        </w:tc>
        <w:tc>
          <w:tcPr>
            <w:tcW w:w="672" w:type="dxa"/>
            <w:tcBorders>
              <w:tl2br w:val="nil"/>
              <w:tr2bl w:val="nil"/>
            </w:tcBorders>
            <w:shd w:val="clear" w:color="auto" w:fill="auto"/>
            <w:noWrap w:val="0"/>
            <w:vAlign w:val="center"/>
          </w:tcPr>
          <w:p w14:paraId="0181D16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51</w:t>
            </w:r>
          </w:p>
        </w:tc>
        <w:tc>
          <w:tcPr>
            <w:tcW w:w="885" w:type="dxa"/>
            <w:tcBorders>
              <w:tl2br w:val="nil"/>
              <w:tr2bl w:val="nil"/>
            </w:tcBorders>
            <w:shd w:val="clear" w:color="auto" w:fill="auto"/>
            <w:noWrap w:val="0"/>
            <w:vAlign w:val="center"/>
          </w:tcPr>
          <w:p w14:paraId="1E7A96C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144</w:t>
            </w:r>
          </w:p>
        </w:tc>
        <w:tc>
          <w:tcPr>
            <w:tcW w:w="1053" w:type="dxa"/>
            <w:tcBorders>
              <w:tl2br w:val="nil"/>
              <w:tr2bl w:val="nil"/>
            </w:tcBorders>
            <w:noWrap w:val="0"/>
            <w:vAlign w:val="center"/>
          </w:tcPr>
          <w:p w14:paraId="2E44428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77</w:t>
            </w:r>
          </w:p>
        </w:tc>
        <w:tc>
          <w:tcPr>
            <w:tcW w:w="862" w:type="dxa"/>
            <w:tcBorders>
              <w:tl2br w:val="nil"/>
              <w:tr2bl w:val="nil"/>
            </w:tcBorders>
            <w:noWrap w:val="0"/>
            <w:vAlign w:val="center"/>
          </w:tcPr>
          <w:p w14:paraId="22A4F6C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10</w:t>
            </w:r>
          </w:p>
        </w:tc>
        <w:tc>
          <w:tcPr>
            <w:tcW w:w="803" w:type="dxa"/>
            <w:tcBorders>
              <w:tl2br w:val="nil"/>
              <w:tr2bl w:val="nil"/>
            </w:tcBorders>
            <w:noWrap w:val="0"/>
            <w:vAlign w:val="center"/>
          </w:tcPr>
          <w:p w14:paraId="43E6E18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0.4</w:t>
            </w:r>
          </w:p>
        </w:tc>
        <w:tc>
          <w:tcPr>
            <w:tcW w:w="458" w:type="pct"/>
            <w:tcBorders>
              <w:tl2br w:val="nil"/>
              <w:tr2bl w:val="nil"/>
            </w:tcBorders>
            <w:noWrap w:val="0"/>
            <w:vAlign w:val="center"/>
          </w:tcPr>
          <w:p w14:paraId="5F0DA93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2000</w:t>
            </w:r>
          </w:p>
        </w:tc>
        <w:tc>
          <w:tcPr>
            <w:tcW w:w="323" w:type="pct"/>
            <w:tcBorders>
              <w:tl2br w:val="nil"/>
              <w:tr2bl w:val="nil"/>
            </w:tcBorders>
            <w:noWrap w:val="0"/>
            <w:vAlign w:val="center"/>
          </w:tcPr>
          <w:p w14:paraId="55E70AD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20</w:t>
            </w:r>
          </w:p>
        </w:tc>
        <w:tc>
          <w:tcPr>
            <w:tcW w:w="271" w:type="pct"/>
            <w:tcBorders>
              <w:tl2br w:val="nil"/>
              <w:tr2bl w:val="nil"/>
            </w:tcBorders>
            <w:noWrap w:val="0"/>
            <w:vAlign w:val="center"/>
          </w:tcPr>
          <w:p w14:paraId="3CAA302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1083</w:t>
            </w:r>
          </w:p>
        </w:tc>
        <w:tc>
          <w:tcPr>
            <w:tcW w:w="398" w:type="pct"/>
            <w:tcBorders>
              <w:tl2br w:val="nil"/>
              <w:tr2bl w:val="nil"/>
            </w:tcBorders>
            <w:noWrap w:val="0"/>
            <w:vAlign w:val="center"/>
          </w:tcPr>
          <w:p w14:paraId="302EF88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正常</w:t>
            </w:r>
            <w:r>
              <w:rPr>
                <w:rFonts w:hint="default" w:ascii="Times New Roman" w:hAnsi="Times New Roman" w:eastAsia="宋体" w:cs="Times New Roman"/>
                <w:color w:val="auto"/>
                <w:kern w:val="0"/>
                <w:sz w:val="21"/>
                <w:szCs w:val="21"/>
                <w:highlight w:val="none"/>
                <w:lang w:val="en-US" w:eastAsia="zh-CN"/>
              </w:rPr>
              <w:t>排放</w:t>
            </w:r>
          </w:p>
        </w:tc>
        <w:tc>
          <w:tcPr>
            <w:tcW w:w="526" w:type="pct"/>
            <w:tcBorders>
              <w:tl2br w:val="nil"/>
              <w:tr2bl w:val="nil"/>
            </w:tcBorders>
            <w:noWrap w:val="0"/>
            <w:vAlign w:val="center"/>
          </w:tcPr>
          <w:p w14:paraId="13C9052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Cs/>
                <w:snapToGrid w:val="0"/>
                <w:color w:val="auto"/>
                <w:kern w:val="0"/>
                <w:sz w:val="21"/>
                <w:szCs w:val="21"/>
                <w:highlight w:val="none"/>
                <w:lang w:val="en-US" w:eastAsia="zh-CN"/>
              </w:rPr>
            </w:pPr>
            <w:r>
              <w:rPr>
                <w:rFonts w:hint="default" w:ascii="Times New Roman" w:hAnsi="Times New Roman" w:eastAsia="宋体" w:cs="Times New Roman"/>
                <w:b w:val="0"/>
                <w:bCs w:val="0"/>
                <w:iCs/>
                <w:color w:val="auto"/>
                <w:kern w:val="0"/>
                <w:sz w:val="21"/>
                <w:szCs w:val="21"/>
                <w:highlight w:val="none"/>
                <w:lang w:val="en-US" w:eastAsia="zh-CN"/>
              </w:rPr>
              <w:t>PM</w:t>
            </w:r>
            <w:r>
              <w:rPr>
                <w:rFonts w:hint="default" w:ascii="Times New Roman" w:hAnsi="Times New Roman" w:eastAsia="宋体" w:cs="Times New Roman"/>
                <w:b w:val="0"/>
                <w:bCs w:val="0"/>
                <w:iCs/>
                <w:color w:val="auto"/>
                <w:kern w:val="0"/>
                <w:sz w:val="21"/>
                <w:szCs w:val="21"/>
                <w:highlight w:val="none"/>
                <w:vertAlign w:val="subscript"/>
                <w:lang w:val="en-US" w:eastAsia="zh-CN"/>
              </w:rPr>
              <w:t>10</w:t>
            </w:r>
          </w:p>
        </w:tc>
        <w:tc>
          <w:tcPr>
            <w:tcW w:w="1008" w:type="dxa"/>
            <w:tcBorders>
              <w:tl2br w:val="nil"/>
              <w:tr2bl w:val="nil"/>
            </w:tcBorders>
            <w:noWrap w:val="0"/>
            <w:vAlign w:val="center"/>
          </w:tcPr>
          <w:p w14:paraId="30651DE1">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0.002</w:t>
            </w:r>
          </w:p>
        </w:tc>
      </w:tr>
    </w:tbl>
    <w:p w14:paraId="1382697A">
      <w:pPr>
        <w:ind w:firstLine="0" w:firstLineChars="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注：本次评价以本项目各项污染物的</w:t>
      </w:r>
      <w:r>
        <w:rPr>
          <w:rFonts w:hint="eastAsia" w:ascii="Times New Roman" w:hAnsi="Times New Roman" w:eastAsia="宋体" w:cs="Times New Roman"/>
          <w:color w:val="auto"/>
          <w:highlight w:val="none"/>
          <w:lang w:eastAsia="zh-CN"/>
        </w:rPr>
        <w:t>预测</w:t>
      </w:r>
      <w:r>
        <w:rPr>
          <w:rFonts w:hint="default" w:ascii="Times New Roman" w:hAnsi="Times New Roman" w:eastAsia="宋体" w:cs="Times New Roman"/>
          <w:color w:val="auto"/>
          <w:highlight w:val="none"/>
        </w:rPr>
        <w:t>排放量进行环境空气评价等级的计算，以</w:t>
      </w:r>
      <w:r>
        <w:rPr>
          <w:rFonts w:hint="default" w:ascii="Times New Roman" w:hAnsi="Times New Roman" w:eastAsia="宋体" w:cs="Times New Roman"/>
          <w:color w:val="auto"/>
          <w:highlight w:val="none"/>
          <w:lang w:val="en-US" w:eastAsia="zh-CN"/>
        </w:rPr>
        <w:t>本项目锅炉烟囱</w:t>
      </w:r>
      <w:r>
        <w:rPr>
          <w:rFonts w:hint="default" w:ascii="Times New Roman" w:hAnsi="Times New Roman" w:eastAsia="宋体" w:cs="Times New Roman"/>
          <w:color w:val="auto"/>
          <w:highlight w:val="none"/>
        </w:rPr>
        <w:t>所在位置为环境空气评价的中心经纬度坐标点，锅炉烟气流量采用</w:t>
      </w:r>
      <w:r>
        <w:rPr>
          <w:rFonts w:hint="eastAsia" w:ascii="Times New Roman" w:hAnsi="Times New Roman" w:eastAsia="宋体" w:cs="Times New Roman"/>
          <w:color w:val="auto"/>
          <w:highlight w:val="none"/>
          <w:lang w:val="en-US" w:eastAsia="zh-CN"/>
        </w:rPr>
        <w:t>湿</w:t>
      </w:r>
      <w:r>
        <w:rPr>
          <w:rFonts w:hint="default" w:ascii="Times New Roman" w:hAnsi="Times New Roman" w:eastAsia="宋体" w:cs="Times New Roman"/>
          <w:color w:val="auto"/>
          <w:highlight w:val="none"/>
        </w:rPr>
        <w:t>烟气量，NO</w:t>
      </w:r>
      <w:r>
        <w:rPr>
          <w:rFonts w:hint="default" w:ascii="Times New Roman" w:hAnsi="Times New Roman" w:eastAsia="宋体" w:cs="Times New Roman"/>
          <w:color w:val="auto"/>
          <w:highlight w:val="none"/>
          <w:vertAlign w:val="subscript"/>
        </w:rPr>
        <w:t>2</w:t>
      </w:r>
      <w:r>
        <w:rPr>
          <w:rFonts w:hint="default" w:ascii="Times New Roman" w:hAnsi="Times New Roman" w:eastAsia="宋体" w:cs="Times New Roman"/>
          <w:color w:val="auto"/>
          <w:highlight w:val="none"/>
        </w:rPr>
        <w:t>=NOx×0.9，细颗粒物PM</w:t>
      </w:r>
      <w:r>
        <w:rPr>
          <w:rFonts w:hint="default" w:ascii="Times New Roman" w:hAnsi="Times New Roman" w:eastAsia="宋体" w:cs="Times New Roman"/>
          <w:color w:val="auto"/>
          <w:highlight w:val="none"/>
          <w:vertAlign w:val="subscript"/>
        </w:rPr>
        <w:t>2.5</w:t>
      </w:r>
      <w:r>
        <w:rPr>
          <w:rFonts w:hint="default" w:ascii="Times New Roman" w:hAnsi="Times New Roman" w:eastAsia="宋体" w:cs="Times New Roman"/>
          <w:color w:val="auto"/>
          <w:highlight w:val="none"/>
        </w:rPr>
        <w:t>的排放量以烟尘的65%计算。</w:t>
      </w:r>
    </w:p>
    <w:p w14:paraId="0646A2ED">
      <w:pPr>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表2.4-</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本项目污染源排放参数一览表（面源）</w:t>
      </w:r>
    </w:p>
    <w:tbl>
      <w:tblPr>
        <w:tblStyle w:val="3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17"/>
        <w:gridCol w:w="1638"/>
        <w:gridCol w:w="931"/>
        <w:gridCol w:w="1070"/>
        <w:gridCol w:w="994"/>
        <w:gridCol w:w="1118"/>
        <w:gridCol w:w="1110"/>
        <w:gridCol w:w="988"/>
        <w:gridCol w:w="832"/>
        <w:gridCol w:w="2001"/>
        <w:gridCol w:w="1300"/>
        <w:gridCol w:w="1675"/>
      </w:tblGrid>
      <w:tr w14:paraId="52C806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2" w:type="pct"/>
            <w:vMerge w:val="restart"/>
            <w:tcBorders>
              <w:tl2br w:val="nil"/>
              <w:tr2bl w:val="nil"/>
            </w:tcBorders>
            <w:noWrap w:val="0"/>
            <w:vAlign w:val="center"/>
          </w:tcPr>
          <w:p w14:paraId="4769E920">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编号</w:t>
            </w:r>
          </w:p>
        </w:tc>
        <w:tc>
          <w:tcPr>
            <w:tcW w:w="577" w:type="pct"/>
            <w:vMerge w:val="restart"/>
            <w:tcBorders>
              <w:tl2br w:val="nil"/>
              <w:tr2bl w:val="nil"/>
            </w:tcBorders>
            <w:noWrap w:val="0"/>
            <w:vAlign w:val="center"/>
          </w:tcPr>
          <w:p w14:paraId="19F5D5F6">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名称</w:t>
            </w:r>
          </w:p>
        </w:tc>
        <w:tc>
          <w:tcPr>
            <w:tcW w:w="705" w:type="pct"/>
            <w:gridSpan w:val="2"/>
            <w:tcBorders>
              <w:tl2br w:val="nil"/>
              <w:tr2bl w:val="nil"/>
            </w:tcBorders>
            <w:noWrap w:val="0"/>
            <w:vAlign w:val="center"/>
          </w:tcPr>
          <w:p w14:paraId="36C99B25">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起点坐标/m</w:t>
            </w:r>
          </w:p>
        </w:tc>
        <w:tc>
          <w:tcPr>
            <w:tcW w:w="350" w:type="pct"/>
            <w:vMerge w:val="restart"/>
            <w:tcBorders>
              <w:tl2br w:val="nil"/>
              <w:tr2bl w:val="nil"/>
            </w:tcBorders>
            <w:noWrap w:val="0"/>
            <w:vAlign w:val="center"/>
          </w:tcPr>
          <w:p w14:paraId="5A00D987">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海拔高度/m</w:t>
            </w:r>
          </w:p>
        </w:tc>
        <w:tc>
          <w:tcPr>
            <w:tcW w:w="394" w:type="pct"/>
            <w:vMerge w:val="restart"/>
            <w:tcBorders>
              <w:tl2br w:val="nil"/>
              <w:tr2bl w:val="nil"/>
            </w:tcBorders>
            <w:noWrap w:val="0"/>
            <w:vAlign w:val="center"/>
          </w:tcPr>
          <w:p w14:paraId="452E9EA6">
            <w:pPr>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面源</w:t>
            </w:r>
          </w:p>
          <w:p w14:paraId="1B347FD0">
            <w:pPr>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lang w:val="en-US" w:eastAsia="zh-CN"/>
              </w:rPr>
              <w:t>长度</w:t>
            </w:r>
            <w:r>
              <w:rPr>
                <w:rFonts w:hint="default" w:ascii="Times New Roman" w:hAnsi="Times New Roman" w:eastAsia="宋体" w:cs="Times New Roman"/>
                <w:color w:val="auto"/>
                <w:kern w:val="0"/>
                <w:sz w:val="21"/>
                <w:szCs w:val="21"/>
                <w:highlight w:val="none"/>
              </w:rPr>
              <w:t>/m</w:t>
            </w:r>
          </w:p>
        </w:tc>
        <w:tc>
          <w:tcPr>
            <w:tcW w:w="391" w:type="pct"/>
            <w:vMerge w:val="restart"/>
            <w:tcBorders>
              <w:tl2br w:val="nil"/>
              <w:tr2bl w:val="nil"/>
            </w:tcBorders>
            <w:noWrap w:val="0"/>
            <w:vAlign w:val="center"/>
          </w:tcPr>
          <w:p w14:paraId="2AB75D2C">
            <w:pPr>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面源</w:t>
            </w:r>
          </w:p>
          <w:p w14:paraId="42B05023">
            <w:pPr>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lang w:val="en-US" w:eastAsia="zh-CN"/>
              </w:rPr>
              <w:t>宽度</w:t>
            </w:r>
            <w:r>
              <w:rPr>
                <w:rFonts w:hint="default" w:ascii="Times New Roman" w:hAnsi="Times New Roman" w:eastAsia="宋体" w:cs="Times New Roman"/>
                <w:color w:val="auto"/>
                <w:kern w:val="0"/>
                <w:sz w:val="21"/>
                <w:szCs w:val="21"/>
                <w:highlight w:val="none"/>
              </w:rPr>
              <w:t>/m</w:t>
            </w:r>
          </w:p>
        </w:tc>
        <w:tc>
          <w:tcPr>
            <w:tcW w:w="348" w:type="pct"/>
            <w:vMerge w:val="restart"/>
            <w:tcBorders>
              <w:tl2br w:val="nil"/>
              <w:tr2bl w:val="nil"/>
            </w:tcBorders>
            <w:noWrap w:val="0"/>
            <w:vAlign w:val="center"/>
          </w:tcPr>
          <w:p w14:paraId="58634002">
            <w:pPr>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面源</w:t>
            </w:r>
          </w:p>
          <w:p w14:paraId="45B9C8FE">
            <w:pPr>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高度</w:t>
            </w:r>
            <w:r>
              <w:rPr>
                <w:rFonts w:hint="default" w:ascii="Times New Roman" w:hAnsi="Times New Roman" w:eastAsia="宋体" w:cs="Times New Roman"/>
                <w:color w:val="auto"/>
                <w:kern w:val="0"/>
                <w:sz w:val="21"/>
                <w:szCs w:val="21"/>
                <w:highlight w:val="none"/>
              </w:rPr>
              <w:t>/m</w:t>
            </w:r>
          </w:p>
        </w:tc>
        <w:tc>
          <w:tcPr>
            <w:tcW w:w="293" w:type="pct"/>
            <w:vMerge w:val="restart"/>
            <w:tcBorders>
              <w:tl2br w:val="nil"/>
              <w:tr2bl w:val="nil"/>
            </w:tcBorders>
            <w:noWrap w:val="0"/>
            <w:vAlign w:val="center"/>
          </w:tcPr>
          <w:p w14:paraId="43280E03">
            <w:pPr>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角度</w:t>
            </w:r>
          </w:p>
        </w:tc>
        <w:tc>
          <w:tcPr>
            <w:tcW w:w="705" w:type="pct"/>
            <w:vMerge w:val="restart"/>
            <w:tcBorders>
              <w:tl2br w:val="nil"/>
              <w:tr2bl w:val="nil"/>
            </w:tcBorders>
            <w:noWrap w:val="0"/>
            <w:vAlign w:val="center"/>
          </w:tcPr>
          <w:p w14:paraId="3D771ED5">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年排放小时数/h</w:t>
            </w:r>
          </w:p>
        </w:tc>
        <w:tc>
          <w:tcPr>
            <w:tcW w:w="458" w:type="pct"/>
            <w:vMerge w:val="restart"/>
            <w:tcBorders>
              <w:tl2br w:val="nil"/>
              <w:tr2bl w:val="nil"/>
            </w:tcBorders>
            <w:noWrap w:val="0"/>
            <w:vAlign w:val="center"/>
          </w:tcPr>
          <w:p w14:paraId="6DFBD595">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排放工况</w:t>
            </w:r>
          </w:p>
        </w:tc>
        <w:tc>
          <w:tcPr>
            <w:tcW w:w="590" w:type="pct"/>
            <w:vMerge w:val="restart"/>
            <w:tcBorders>
              <w:tl2br w:val="nil"/>
              <w:tr2bl w:val="nil"/>
            </w:tcBorders>
            <w:noWrap w:val="0"/>
            <w:vAlign w:val="center"/>
          </w:tcPr>
          <w:p w14:paraId="515B2D72">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TSP排放速率（</w:t>
            </w:r>
            <w:r>
              <w:rPr>
                <w:rFonts w:hint="eastAsia" w:ascii="Times New Roman" w:hAnsi="Times New Roman" w:cs="Times New Roman"/>
                <w:color w:val="auto"/>
                <w:sz w:val="21"/>
                <w:szCs w:val="21"/>
                <w:highlight w:val="none"/>
                <w:vertAlign w:val="baseline"/>
                <w:lang w:val="en-US" w:eastAsia="zh-CN"/>
              </w:rPr>
              <w:t>kg/h</w:t>
            </w:r>
            <w:r>
              <w:rPr>
                <w:rFonts w:hint="default" w:ascii="Times New Roman" w:hAnsi="Times New Roman" w:eastAsia="宋体" w:cs="Times New Roman"/>
                <w:color w:val="auto"/>
                <w:sz w:val="21"/>
                <w:szCs w:val="21"/>
                <w:highlight w:val="none"/>
                <w:vertAlign w:val="baseline"/>
                <w:lang w:val="en-US" w:eastAsia="zh-CN"/>
              </w:rPr>
              <w:t>）</w:t>
            </w:r>
          </w:p>
        </w:tc>
      </w:tr>
      <w:tr w14:paraId="3B9338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2" w:type="pct"/>
            <w:vMerge w:val="continue"/>
            <w:tcBorders>
              <w:tl2br w:val="nil"/>
              <w:tr2bl w:val="nil"/>
            </w:tcBorders>
            <w:noWrap w:val="0"/>
            <w:vAlign w:val="center"/>
          </w:tcPr>
          <w:p w14:paraId="40179BC8">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p>
        </w:tc>
        <w:tc>
          <w:tcPr>
            <w:tcW w:w="577" w:type="pct"/>
            <w:vMerge w:val="continue"/>
            <w:tcBorders>
              <w:tl2br w:val="nil"/>
              <w:tr2bl w:val="nil"/>
            </w:tcBorders>
            <w:noWrap w:val="0"/>
            <w:vAlign w:val="center"/>
          </w:tcPr>
          <w:p w14:paraId="6BE0CDA6">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p>
        </w:tc>
        <w:tc>
          <w:tcPr>
            <w:tcW w:w="328" w:type="pct"/>
            <w:tcBorders>
              <w:tl2br w:val="nil"/>
              <w:tr2bl w:val="nil"/>
            </w:tcBorders>
            <w:noWrap w:val="0"/>
            <w:vAlign w:val="center"/>
          </w:tcPr>
          <w:p w14:paraId="2EA01DA8">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X</w:t>
            </w:r>
          </w:p>
        </w:tc>
        <w:tc>
          <w:tcPr>
            <w:tcW w:w="377" w:type="pct"/>
            <w:tcBorders>
              <w:tl2br w:val="nil"/>
              <w:tr2bl w:val="nil"/>
            </w:tcBorders>
            <w:noWrap w:val="0"/>
            <w:vAlign w:val="center"/>
          </w:tcPr>
          <w:p w14:paraId="1C230329">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Y</w:t>
            </w:r>
          </w:p>
        </w:tc>
        <w:tc>
          <w:tcPr>
            <w:tcW w:w="350" w:type="pct"/>
            <w:vMerge w:val="continue"/>
            <w:tcBorders>
              <w:tl2br w:val="nil"/>
              <w:tr2bl w:val="nil"/>
            </w:tcBorders>
            <w:noWrap w:val="0"/>
            <w:vAlign w:val="center"/>
          </w:tcPr>
          <w:p w14:paraId="5F2E7C02">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p>
        </w:tc>
        <w:tc>
          <w:tcPr>
            <w:tcW w:w="394" w:type="pct"/>
            <w:vMerge w:val="continue"/>
            <w:tcBorders>
              <w:tl2br w:val="nil"/>
              <w:tr2bl w:val="nil"/>
            </w:tcBorders>
            <w:noWrap w:val="0"/>
            <w:vAlign w:val="center"/>
          </w:tcPr>
          <w:p w14:paraId="0FB179F9">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p>
        </w:tc>
        <w:tc>
          <w:tcPr>
            <w:tcW w:w="391" w:type="pct"/>
            <w:vMerge w:val="continue"/>
            <w:tcBorders>
              <w:tl2br w:val="nil"/>
              <w:tr2bl w:val="nil"/>
            </w:tcBorders>
            <w:noWrap w:val="0"/>
            <w:vAlign w:val="center"/>
          </w:tcPr>
          <w:p w14:paraId="1448EA7B">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p>
        </w:tc>
        <w:tc>
          <w:tcPr>
            <w:tcW w:w="348" w:type="pct"/>
            <w:vMerge w:val="continue"/>
            <w:tcBorders>
              <w:tl2br w:val="nil"/>
              <w:tr2bl w:val="nil"/>
            </w:tcBorders>
            <w:noWrap w:val="0"/>
            <w:vAlign w:val="center"/>
          </w:tcPr>
          <w:p w14:paraId="022AC8A9">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p>
        </w:tc>
        <w:tc>
          <w:tcPr>
            <w:tcW w:w="293" w:type="pct"/>
            <w:vMerge w:val="continue"/>
            <w:tcBorders>
              <w:tl2br w:val="nil"/>
              <w:tr2bl w:val="nil"/>
            </w:tcBorders>
            <w:noWrap w:val="0"/>
            <w:vAlign w:val="center"/>
          </w:tcPr>
          <w:p w14:paraId="28756904">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p>
        </w:tc>
        <w:tc>
          <w:tcPr>
            <w:tcW w:w="705" w:type="pct"/>
            <w:vMerge w:val="continue"/>
            <w:tcBorders>
              <w:tl2br w:val="nil"/>
              <w:tr2bl w:val="nil"/>
            </w:tcBorders>
            <w:noWrap w:val="0"/>
            <w:vAlign w:val="center"/>
          </w:tcPr>
          <w:p w14:paraId="1402116A">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p>
        </w:tc>
        <w:tc>
          <w:tcPr>
            <w:tcW w:w="458" w:type="pct"/>
            <w:vMerge w:val="continue"/>
            <w:tcBorders>
              <w:tl2br w:val="nil"/>
              <w:tr2bl w:val="nil"/>
            </w:tcBorders>
            <w:noWrap w:val="0"/>
            <w:vAlign w:val="center"/>
          </w:tcPr>
          <w:p w14:paraId="7ABF6F5B">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p>
        </w:tc>
        <w:tc>
          <w:tcPr>
            <w:tcW w:w="590" w:type="pct"/>
            <w:vMerge w:val="continue"/>
            <w:tcBorders>
              <w:tl2br w:val="nil"/>
              <w:tr2bl w:val="nil"/>
            </w:tcBorders>
            <w:noWrap w:val="0"/>
            <w:vAlign w:val="center"/>
          </w:tcPr>
          <w:p w14:paraId="1A89575D">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p>
        </w:tc>
      </w:tr>
      <w:tr w14:paraId="0390C8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182" w:type="pct"/>
            <w:tcBorders>
              <w:tl2br w:val="nil"/>
              <w:tr2bl w:val="nil"/>
            </w:tcBorders>
            <w:noWrap w:val="0"/>
            <w:vAlign w:val="center"/>
          </w:tcPr>
          <w:p w14:paraId="7BD16D86">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bidi="ar-SA"/>
              </w:rPr>
              <w:t>1</w:t>
            </w:r>
          </w:p>
        </w:tc>
        <w:tc>
          <w:tcPr>
            <w:tcW w:w="577" w:type="pct"/>
            <w:tcBorders>
              <w:tl2br w:val="nil"/>
              <w:tr2bl w:val="nil"/>
            </w:tcBorders>
            <w:shd w:val="clear" w:color="auto" w:fill="auto"/>
            <w:noWrap w:val="0"/>
            <w:vAlign w:val="center"/>
          </w:tcPr>
          <w:p w14:paraId="6AD5F1B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渣仓</w:t>
            </w:r>
          </w:p>
        </w:tc>
        <w:tc>
          <w:tcPr>
            <w:tcW w:w="328" w:type="pct"/>
            <w:tcBorders>
              <w:tl2br w:val="nil"/>
              <w:tr2bl w:val="nil"/>
            </w:tcBorders>
            <w:shd w:val="clear" w:color="auto" w:fill="auto"/>
            <w:noWrap w:val="0"/>
            <w:vAlign w:val="center"/>
          </w:tcPr>
          <w:p w14:paraId="4CB6CC4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227</w:t>
            </w:r>
          </w:p>
        </w:tc>
        <w:tc>
          <w:tcPr>
            <w:tcW w:w="377" w:type="pct"/>
            <w:tcBorders>
              <w:tl2br w:val="nil"/>
              <w:tr2bl w:val="nil"/>
            </w:tcBorders>
            <w:shd w:val="clear" w:color="auto" w:fill="auto"/>
            <w:noWrap w:val="0"/>
            <w:vAlign w:val="center"/>
          </w:tcPr>
          <w:p w14:paraId="3665DBA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502</w:t>
            </w:r>
          </w:p>
        </w:tc>
        <w:tc>
          <w:tcPr>
            <w:tcW w:w="350" w:type="pct"/>
            <w:tcBorders>
              <w:tl2br w:val="nil"/>
              <w:tr2bl w:val="nil"/>
            </w:tcBorders>
            <w:shd w:val="clear" w:color="auto" w:fill="auto"/>
            <w:noWrap w:val="0"/>
            <w:vAlign w:val="center"/>
          </w:tcPr>
          <w:p w14:paraId="2FE7F4E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77</w:t>
            </w:r>
          </w:p>
        </w:tc>
        <w:tc>
          <w:tcPr>
            <w:tcW w:w="394" w:type="pct"/>
            <w:tcBorders>
              <w:tl2br w:val="nil"/>
              <w:tr2bl w:val="nil"/>
            </w:tcBorders>
            <w:shd w:val="clear" w:color="auto" w:fill="auto"/>
            <w:noWrap w:val="0"/>
            <w:vAlign w:val="center"/>
          </w:tcPr>
          <w:p w14:paraId="50D12352">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20</w:t>
            </w:r>
          </w:p>
        </w:tc>
        <w:tc>
          <w:tcPr>
            <w:tcW w:w="391" w:type="pct"/>
            <w:tcBorders>
              <w:tl2br w:val="nil"/>
              <w:tr2bl w:val="nil"/>
            </w:tcBorders>
            <w:shd w:val="clear" w:color="auto" w:fill="auto"/>
            <w:noWrap w:val="0"/>
            <w:vAlign w:val="center"/>
          </w:tcPr>
          <w:p w14:paraId="34B5A2A7">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w:t>
            </w:r>
          </w:p>
        </w:tc>
        <w:tc>
          <w:tcPr>
            <w:tcW w:w="348" w:type="pct"/>
            <w:tcBorders>
              <w:tl2br w:val="nil"/>
              <w:tr2bl w:val="nil"/>
            </w:tcBorders>
            <w:shd w:val="clear" w:color="auto" w:fill="auto"/>
            <w:noWrap w:val="0"/>
            <w:vAlign w:val="center"/>
          </w:tcPr>
          <w:p w14:paraId="64E604E1">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8</w:t>
            </w:r>
          </w:p>
        </w:tc>
        <w:tc>
          <w:tcPr>
            <w:tcW w:w="293" w:type="pct"/>
            <w:tcBorders>
              <w:tl2br w:val="nil"/>
              <w:tr2bl w:val="nil"/>
            </w:tcBorders>
            <w:shd w:val="clear" w:color="auto" w:fill="auto"/>
            <w:noWrap w:val="0"/>
            <w:vAlign w:val="center"/>
          </w:tcPr>
          <w:p w14:paraId="5285F7E5">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vertAlign w:val="baseline"/>
                <w:lang w:val="en-US" w:eastAsia="zh-CN"/>
              </w:rPr>
              <w:t>0</w:t>
            </w:r>
          </w:p>
        </w:tc>
        <w:tc>
          <w:tcPr>
            <w:tcW w:w="705" w:type="pct"/>
            <w:tcBorders>
              <w:tl2br w:val="nil"/>
              <w:tr2bl w:val="nil"/>
            </w:tcBorders>
            <w:shd w:val="clear" w:color="auto" w:fill="auto"/>
            <w:noWrap w:val="0"/>
            <w:vAlign w:val="center"/>
          </w:tcPr>
          <w:p w14:paraId="6D40E3C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sz w:val="21"/>
                <w:szCs w:val="21"/>
                <w:highlight w:val="none"/>
                <w:vertAlign w:val="baseline"/>
                <w:lang w:val="en-US" w:eastAsia="zh-CN"/>
              </w:rPr>
              <w:t>1083</w:t>
            </w:r>
          </w:p>
        </w:tc>
        <w:tc>
          <w:tcPr>
            <w:tcW w:w="458" w:type="pct"/>
            <w:tcBorders>
              <w:tl2br w:val="nil"/>
              <w:tr2bl w:val="nil"/>
            </w:tcBorders>
            <w:shd w:val="clear" w:color="auto" w:fill="auto"/>
            <w:noWrap w:val="0"/>
            <w:vAlign w:val="center"/>
          </w:tcPr>
          <w:p w14:paraId="28EE367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vertAlign w:val="baseline"/>
                <w:lang w:val="en-US" w:eastAsia="zh-CN"/>
              </w:rPr>
              <w:t>正常工况</w:t>
            </w:r>
          </w:p>
        </w:tc>
        <w:tc>
          <w:tcPr>
            <w:tcW w:w="590" w:type="pct"/>
            <w:tcBorders>
              <w:tl2br w:val="nil"/>
              <w:tr2bl w:val="nil"/>
            </w:tcBorders>
            <w:shd w:val="clear" w:color="auto" w:fill="auto"/>
            <w:noWrap w:val="0"/>
            <w:vAlign w:val="center"/>
          </w:tcPr>
          <w:p w14:paraId="2231EA04">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0.14</w:t>
            </w:r>
          </w:p>
        </w:tc>
      </w:tr>
      <w:tr w14:paraId="37223B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2" w:type="pct"/>
            <w:tcBorders>
              <w:tl2br w:val="nil"/>
              <w:tr2bl w:val="nil"/>
            </w:tcBorders>
            <w:noWrap w:val="0"/>
            <w:vAlign w:val="center"/>
          </w:tcPr>
          <w:p w14:paraId="6695FA64">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bidi="ar-SA"/>
              </w:rPr>
              <w:t>2</w:t>
            </w:r>
          </w:p>
        </w:tc>
        <w:tc>
          <w:tcPr>
            <w:tcW w:w="577" w:type="pct"/>
            <w:tcBorders>
              <w:tl2br w:val="nil"/>
              <w:tr2bl w:val="nil"/>
            </w:tcBorders>
            <w:shd w:val="clear" w:color="auto" w:fill="auto"/>
            <w:noWrap w:val="0"/>
            <w:vAlign w:val="center"/>
          </w:tcPr>
          <w:p w14:paraId="7BD399E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碎煤机室</w:t>
            </w:r>
          </w:p>
        </w:tc>
        <w:tc>
          <w:tcPr>
            <w:tcW w:w="328" w:type="pct"/>
            <w:tcBorders>
              <w:tl2br w:val="nil"/>
              <w:tr2bl w:val="nil"/>
            </w:tcBorders>
            <w:shd w:val="clear" w:color="auto" w:fill="auto"/>
            <w:noWrap w:val="0"/>
            <w:vAlign w:val="center"/>
          </w:tcPr>
          <w:p w14:paraId="216F610F">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23</w:t>
            </w:r>
          </w:p>
        </w:tc>
        <w:tc>
          <w:tcPr>
            <w:tcW w:w="377" w:type="pct"/>
            <w:tcBorders>
              <w:tl2br w:val="nil"/>
              <w:tr2bl w:val="nil"/>
            </w:tcBorders>
            <w:shd w:val="clear" w:color="auto" w:fill="auto"/>
            <w:noWrap w:val="0"/>
            <w:vAlign w:val="center"/>
          </w:tcPr>
          <w:p w14:paraId="10E78F92">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39</w:t>
            </w:r>
          </w:p>
        </w:tc>
        <w:tc>
          <w:tcPr>
            <w:tcW w:w="350" w:type="pct"/>
            <w:tcBorders>
              <w:tl2br w:val="nil"/>
              <w:tr2bl w:val="nil"/>
            </w:tcBorders>
            <w:shd w:val="clear" w:color="auto" w:fill="auto"/>
            <w:noWrap w:val="0"/>
            <w:vAlign w:val="center"/>
          </w:tcPr>
          <w:p w14:paraId="58B07B51">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80</w:t>
            </w:r>
          </w:p>
        </w:tc>
        <w:tc>
          <w:tcPr>
            <w:tcW w:w="394" w:type="pct"/>
            <w:tcBorders>
              <w:tl2br w:val="nil"/>
              <w:tr2bl w:val="nil"/>
            </w:tcBorders>
            <w:shd w:val="clear" w:color="auto" w:fill="auto"/>
            <w:noWrap w:val="0"/>
            <w:vAlign w:val="center"/>
          </w:tcPr>
          <w:p w14:paraId="47F58182">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20</w:t>
            </w:r>
          </w:p>
        </w:tc>
        <w:tc>
          <w:tcPr>
            <w:tcW w:w="391" w:type="pct"/>
            <w:tcBorders>
              <w:tl2br w:val="nil"/>
              <w:tr2bl w:val="nil"/>
            </w:tcBorders>
            <w:shd w:val="clear" w:color="auto" w:fill="auto"/>
            <w:noWrap w:val="0"/>
            <w:vAlign w:val="center"/>
          </w:tcPr>
          <w:p w14:paraId="2C330844">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20</w:t>
            </w:r>
          </w:p>
        </w:tc>
        <w:tc>
          <w:tcPr>
            <w:tcW w:w="348" w:type="pct"/>
            <w:tcBorders>
              <w:tl2br w:val="nil"/>
              <w:tr2bl w:val="nil"/>
            </w:tcBorders>
            <w:shd w:val="clear" w:color="auto" w:fill="auto"/>
            <w:noWrap w:val="0"/>
            <w:vAlign w:val="center"/>
          </w:tcPr>
          <w:p w14:paraId="1F2BFCB5">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5</w:t>
            </w:r>
          </w:p>
        </w:tc>
        <w:tc>
          <w:tcPr>
            <w:tcW w:w="293" w:type="pct"/>
            <w:tcBorders>
              <w:tl2br w:val="nil"/>
              <w:tr2bl w:val="nil"/>
            </w:tcBorders>
            <w:shd w:val="clear" w:color="auto" w:fill="auto"/>
            <w:noWrap w:val="0"/>
            <w:vAlign w:val="center"/>
          </w:tcPr>
          <w:p w14:paraId="64272999">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0</w:t>
            </w:r>
          </w:p>
        </w:tc>
        <w:tc>
          <w:tcPr>
            <w:tcW w:w="705" w:type="pct"/>
            <w:tcBorders>
              <w:tl2br w:val="nil"/>
              <w:tr2bl w:val="nil"/>
            </w:tcBorders>
            <w:shd w:val="clear" w:color="auto" w:fill="auto"/>
            <w:noWrap w:val="0"/>
            <w:vAlign w:val="center"/>
          </w:tcPr>
          <w:p w14:paraId="00A4BA90">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1083</w:t>
            </w:r>
          </w:p>
        </w:tc>
        <w:tc>
          <w:tcPr>
            <w:tcW w:w="458" w:type="pct"/>
            <w:tcBorders>
              <w:tl2br w:val="nil"/>
              <w:tr2bl w:val="nil"/>
            </w:tcBorders>
            <w:shd w:val="clear" w:color="auto" w:fill="auto"/>
            <w:noWrap w:val="0"/>
            <w:vAlign w:val="center"/>
          </w:tcPr>
          <w:p w14:paraId="30026466">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正常工况</w:t>
            </w:r>
          </w:p>
        </w:tc>
        <w:tc>
          <w:tcPr>
            <w:tcW w:w="590" w:type="pct"/>
            <w:tcBorders>
              <w:tl2br w:val="nil"/>
              <w:tr2bl w:val="nil"/>
            </w:tcBorders>
            <w:shd w:val="clear" w:color="auto" w:fill="auto"/>
            <w:noWrap w:val="0"/>
            <w:vAlign w:val="center"/>
          </w:tcPr>
          <w:p w14:paraId="69EB8A9D">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0.02</w:t>
            </w:r>
          </w:p>
        </w:tc>
      </w:tr>
      <w:tr w14:paraId="7340A1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2" w:type="pct"/>
            <w:tcBorders>
              <w:tl2br w:val="nil"/>
              <w:tr2bl w:val="nil"/>
            </w:tcBorders>
            <w:noWrap w:val="0"/>
            <w:vAlign w:val="center"/>
          </w:tcPr>
          <w:p w14:paraId="2AD7D818">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cs="Times New Roman"/>
                <w:color w:val="auto"/>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bidi="ar-SA"/>
              </w:rPr>
              <w:t>3</w:t>
            </w:r>
          </w:p>
        </w:tc>
        <w:tc>
          <w:tcPr>
            <w:tcW w:w="577" w:type="pct"/>
            <w:tcBorders>
              <w:tl2br w:val="nil"/>
              <w:tr2bl w:val="nil"/>
            </w:tcBorders>
            <w:noWrap w:val="0"/>
            <w:vAlign w:val="center"/>
          </w:tcPr>
          <w:p w14:paraId="2FBB25F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储煤场</w:t>
            </w:r>
          </w:p>
        </w:tc>
        <w:tc>
          <w:tcPr>
            <w:tcW w:w="328" w:type="pct"/>
            <w:tcBorders>
              <w:tl2br w:val="nil"/>
              <w:tr2bl w:val="nil"/>
            </w:tcBorders>
            <w:noWrap w:val="0"/>
            <w:vAlign w:val="center"/>
          </w:tcPr>
          <w:p w14:paraId="22A767F4">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154</w:t>
            </w:r>
          </w:p>
        </w:tc>
        <w:tc>
          <w:tcPr>
            <w:tcW w:w="377" w:type="pct"/>
            <w:tcBorders>
              <w:tl2br w:val="nil"/>
              <w:tr2bl w:val="nil"/>
            </w:tcBorders>
            <w:noWrap w:val="0"/>
            <w:vAlign w:val="center"/>
          </w:tcPr>
          <w:p w14:paraId="553939DD">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366</w:t>
            </w:r>
          </w:p>
        </w:tc>
        <w:tc>
          <w:tcPr>
            <w:tcW w:w="350" w:type="pct"/>
            <w:tcBorders>
              <w:tl2br w:val="nil"/>
              <w:tr2bl w:val="nil"/>
            </w:tcBorders>
            <w:noWrap w:val="0"/>
            <w:vAlign w:val="center"/>
          </w:tcPr>
          <w:p w14:paraId="651477F8">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80</w:t>
            </w:r>
          </w:p>
        </w:tc>
        <w:tc>
          <w:tcPr>
            <w:tcW w:w="394" w:type="pct"/>
            <w:tcBorders>
              <w:tl2br w:val="nil"/>
              <w:tr2bl w:val="nil"/>
            </w:tcBorders>
            <w:noWrap w:val="0"/>
            <w:vAlign w:val="center"/>
          </w:tcPr>
          <w:p w14:paraId="4C81CF78">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90</w:t>
            </w:r>
          </w:p>
        </w:tc>
        <w:tc>
          <w:tcPr>
            <w:tcW w:w="391" w:type="pct"/>
            <w:tcBorders>
              <w:tl2br w:val="nil"/>
              <w:tr2bl w:val="nil"/>
            </w:tcBorders>
            <w:noWrap w:val="0"/>
            <w:vAlign w:val="center"/>
          </w:tcPr>
          <w:p w14:paraId="4C58A639">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170</w:t>
            </w:r>
          </w:p>
        </w:tc>
        <w:tc>
          <w:tcPr>
            <w:tcW w:w="348" w:type="pct"/>
            <w:tcBorders>
              <w:tl2br w:val="nil"/>
              <w:tr2bl w:val="nil"/>
            </w:tcBorders>
            <w:noWrap w:val="0"/>
            <w:vAlign w:val="center"/>
          </w:tcPr>
          <w:p w14:paraId="493A30D8">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10</w:t>
            </w:r>
          </w:p>
        </w:tc>
        <w:tc>
          <w:tcPr>
            <w:tcW w:w="293" w:type="pct"/>
            <w:tcBorders>
              <w:tl2br w:val="nil"/>
              <w:tr2bl w:val="nil"/>
            </w:tcBorders>
            <w:noWrap w:val="0"/>
            <w:vAlign w:val="center"/>
          </w:tcPr>
          <w:p w14:paraId="30109223">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0</w:t>
            </w:r>
          </w:p>
        </w:tc>
        <w:tc>
          <w:tcPr>
            <w:tcW w:w="705" w:type="pct"/>
            <w:tcBorders>
              <w:tl2br w:val="nil"/>
              <w:tr2bl w:val="nil"/>
            </w:tcBorders>
            <w:noWrap w:val="0"/>
            <w:vAlign w:val="center"/>
          </w:tcPr>
          <w:p w14:paraId="07E6005B">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1083</w:t>
            </w:r>
          </w:p>
        </w:tc>
        <w:tc>
          <w:tcPr>
            <w:tcW w:w="458" w:type="pct"/>
            <w:tcBorders>
              <w:tl2br w:val="nil"/>
              <w:tr2bl w:val="nil"/>
            </w:tcBorders>
            <w:noWrap w:val="0"/>
            <w:vAlign w:val="center"/>
          </w:tcPr>
          <w:p w14:paraId="0E4782F1">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正常工况</w:t>
            </w:r>
          </w:p>
        </w:tc>
        <w:tc>
          <w:tcPr>
            <w:tcW w:w="590" w:type="pct"/>
            <w:tcBorders>
              <w:tl2br w:val="nil"/>
              <w:tr2bl w:val="nil"/>
            </w:tcBorders>
            <w:noWrap w:val="0"/>
            <w:vAlign w:val="center"/>
          </w:tcPr>
          <w:p w14:paraId="69CAAAA5">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0.001</w:t>
            </w:r>
          </w:p>
        </w:tc>
      </w:tr>
    </w:tbl>
    <w:p w14:paraId="13C222BA">
      <w:pPr>
        <w:pStyle w:val="88"/>
        <w:tabs>
          <w:tab w:val="left" w:pos="567"/>
          <w:tab w:val="left" w:pos="4440"/>
        </w:tabs>
        <w:autoSpaceDE w:val="0"/>
        <w:autoSpaceDN w:val="0"/>
        <w:spacing w:line="460" w:lineRule="exact"/>
        <w:jc w:val="center"/>
        <w:textAlignment w:val="bottom"/>
        <w:rPr>
          <w:rFonts w:hint="default" w:ascii="Times New Roman" w:hAnsi="Times New Roman" w:eastAsia="宋体" w:cs="Times New Roman"/>
          <w:b w:val="0"/>
          <w:bCs w:val="0"/>
          <w:color w:val="auto"/>
          <w:spacing w:val="0"/>
          <w:sz w:val="24"/>
          <w:szCs w:val="24"/>
          <w:highlight w:val="none"/>
        </w:rPr>
      </w:pPr>
    </w:p>
    <w:p w14:paraId="12C9DAC7">
      <w:pPr>
        <w:pStyle w:val="88"/>
        <w:tabs>
          <w:tab w:val="left" w:pos="567"/>
          <w:tab w:val="left" w:pos="4440"/>
        </w:tabs>
        <w:autoSpaceDE w:val="0"/>
        <w:autoSpaceDN w:val="0"/>
        <w:spacing w:line="460" w:lineRule="exact"/>
        <w:jc w:val="center"/>
        <w:textAlignment w:val="bottom"/>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pacing w:val="0"/>
          <w:sz w:val="24"/>
          <w:szCs w:val="24"/>
          <w:highlight w:val="none"/>
        </w:rPr>
        <w:t>表2</w:t>
      </w:r>
      <w:r>
        <w:rPr>
          <w:rFonts w:hint="default" w:ascii="Times New Roman" w:hAnsi="Times New Roman" w:eastAsia="宋体" w:cs="Times New Roman"/>
          <w:b w:val="0"/>
          <w:bCs w:val="0"/>
          <w:color w:val="auto"/>
          <w:spacing w:val="0"/>
          <w:sz w:val="24"/>
          <w:szCs w:val="24"/>
          <w:highlight w:val="none"/>
          <w:lang w:val="en-US" w:eastAsia="zh-CN"/>
        </w:rPr>
        <w:t>.</w:t>
      </w:r>
      <w:r>
        <w:rPr>
          <w:rFonts w:hint="default" w:ascii="Times New Roman" w:hAnsi="Times New Roman" w:eastAsia="宋体" w:cs="Times New Roman"/>
          <w:b w:val="0"/>
          <w:bCs w:val="0"/>
          <w:color w:val="auto"/>
          <w:spacing w:val="0"/>
          <w:sz w:val="24"/>
          <w:szCs w:val="24"/>
          <w:highlight w:val="none"/>
        </w:rPr>
        <w:t>4-</w:t>
      </w:r>
      <w:r>
        <w:rPr>
          <w:rFonts w:hint="default" w:ascii="Times New Roman" w:hAnsi="Times New Roman" w:eastAsia="宋体" w:cs="Times New Roman"/>
          <w:b w:val="0"/>
          <w:bCs w:val="0"/>
          <w:color w:val="auto"/>
          <w:spacing w:val="0"/>
          <w:sz w:val="24"/>
          <w:szCs w:val="24"/>
          <w:highlight w:val="none"/>
          <w:lang w:val="en-US" w:eastAsia="zh-CN"/>
        </w:rPr>
        <w:t>5</w:t>
      </w:r>
      <w:r>
        <w:rPr>
          <w:rFonts w:hint="default" w:ascii="Times New Roman" w:hAnsi="Times New Roman" w:eastAsia="宋体" w:cs="Times New Roman"/>
          <w:b w:val="0"/>
          <w:bCs w:val="0"/>
          <w:color w:val="auto"/>
          <w:spacing w:val="0"/>
          <w:sz w:val="24"/>
          <w:szCs w:val="24"/>
          <w:highlight w:val="none"/>
        </w:rPr>
        <w:t xml:space="preserve"> 本项目污染</w:t>
      </w:r>
      <w:r>
        <w:rPr>
          <w:rFonts w:hint="default" w:ascii="Times New Roman" w:hAnsi="Times New Roman" w:eastAsia="宋体" w:cs="Times New Roman"/>
          <w:b w:val="0"/>
          <w:bCs w:val="0"/>
          <w:color w:val="auto"/>
          <w:spacing w:val="0"/>
          <w:sz w:val="24"/>
          <w:szCs w:val="24"/>
          <w:highlight w:val="none"/>
          <w:lang w:eastAsia="zh-CN"/>
        </w:rPr>
        <w:t>源</w:t>
      </w:r>
      <w:r>
        <w:rPr>
          <w:rFonts w:hint="default" w:ascii="Times New Roman" w:hAnsi="Times New Roman" w:eastAsia="宋体" w:cs="Times New Roman"/>
          <w:b w:val="0"/>
          <w:bCs w:val="0"/>
          <w:color w:val="auto"/>
          <w:spacing w:val="0"/>
          <w:sz w:val="24"/>
          <w:szCs w:val="24"/>
          <w:highlight w:val="none"/>
        </w:rPr>
        <w:t>估算</w:t>
      </w:r>
      <w:r>
        <w:rPr>
          <w:rFonts w:hint="default" w:ascii="Times New Roman" w:hAnsi="Times New Roman" w:eastAsia="宋体" w:cs="Times New Roman"/>
          <w:b w:val="0"/>
          <w:bCs w:val="0"/>
          <w:color w:val="auto"/>
          <w:spacing w:val="0"/>
          <w:sz w:val="24"/>
          <w:szCs w:val="24"/>
          <w:highlight w:val="none"/>
          <w:lang w:eastAsia="zh-CN"/>
        </w:rPr>
        <w:t>模型</w:t>
      </w:r>
      <w:r>
        <w:rPr>
          <w:rFonts w:hint="default" w:ascii="Times New Roman" w:hAnsi="Times New Roman" w:eastAsia="宋体" w:cs="Times New Roman"/>
          <w:b w:val="0"/>
          <w:bCs w:val="0"/>
          <w:color w:val="auto"/>
          <w:spacing w:val="0"/>
          <w:sz w:val="24"/>
          <w:szCs w:val="24"/>
          <w:highlight w:val="none"/>
        </w:rPr>
        <w:t>计算结果</w:t>
      </w:r>
      <w:r>
        <w:rPr>
          <w:rFonts w:hint="default" w:ascii="Times New Roman" w:hAnsi="Times New Roman" w:eastAsia="宋体" w:cs="Times New Roman"/>
          <w:b w:val="0"/>
          <w:bCs w:val="0"/>
          <w:color w:val="auto"/>
          <w:spacing w:val="0"/>
          <w:sz w:val="24"/>
          <w:szCs w:val="24"/>
          <w:highlight w:val="none"/>
          <w:lang w:val="en-US" w:eastAsia="zh-CN"/>
        </w:rPr>
        <w:t>表</w:t>
      </w:r>
      <w:r>
        <w:rPr>
          <w:rFonts w:hint="eastAsia" w:ascii="Times New Roman" w:cs="Times New Roman"/>
          <w:b w:val="0"/>
          <w:bCs w:val="0"/>
          <w:color w:val="auto"/>
          <w:spacing w:val="0"/>
          <w:sz w:val="24"/>
          <w:szCs w:val="24"/>
          <w:highlight w:val="none"/>
          <w:lang w:val="en-US" w:eastAsia="zh-CN"/>
        </w:rPr>
        <w:t>（点源）</w:t>
      </w:r>
    </w:p>
    <w:tbl>
      <w:tblPr>
        <w:tblStyle w:val="37"/>
        <w:tblW w:w="0" w:type="auto"/>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188"/>
        <w:gridCol w:w="1050"/>
        <w:gridCol w:w="637"/>
        <w:gridCol w:w="1067"/>
        <w:gridCol w:w="550"/>
        <w:gridCol w:w="1016"/>
        <w:gridCol w:w="522"/>
        <w:gridCol w:w="1028"/>
        <w:gridCol w:w="600"/>
        <w:gridCol w:w="1034"/>
        <w:gridCol w:w="566"/>
        <w:gridCol w:w="1024"/>
        <w:gridCol w:w="450"/>
        <w:gridCol w:w="1026"/>
        <w:gridCol w:w="455"/>
        <w:gridCol w:w="1245"/>
        <w:gridCol w:w="530"/>
      </w:tblGrid>
      <w:tr w14:paraId="12893F2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188" w:type="dxa"/>
            <w:vMerge w:val="restart"/>
            <w:tcBorders>
              <w:tl2br w:val="nil"/>
              <w:tr2bl w:val="nil"/>
            </w:tcBorders>
            <w:noWrap w:val="0"/>
            <w:tcMar>
              <w:top w:w="15" w:type="dxa"/>
              <w:left w:w="15" w:type="dxa"/>
              <w:right w:w="15" w:type="dxa"/>
            </w:tcMar>
            <w:vAlign w:val="center"/>
          </w:tcPr>
          <w:p w14:paraId="1F2A77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color w:val="auto"/>
                <w:sz w:val="21"/>
                <w:szCs w:val="21"/>
                <w:highlight w:val="none"/>
                <w:u w:val="none"/>
              </w:rPr>
            </w:pPr>
            <w:r>
              <w:rPr>
                <w:rFonts w:hint="default" w:ascii="Times New Roman" w:hAnsi="Times New Roman" w:eastAsia="宋体" w:cs="Times New Roman"/>
                <w:b w:val="0"/>
                <w:bCs w:val="0"/>
                <w:i w:val="0"/>
                <w:color w:val="auto"/>
                <w:kern w:val="0"/>
                <w:sz w:val="21"/>
                <w:szCs w:val="21"/>
                <w:highlight w:val="none"/>
                <w:u w:val="none"/>
                <w:lang w:val="en-US" w:eastAsia="zh-CN" w:bidi="ar"/>
              </w:rPr>
              <w:t>下风向距离/m</w:t>
            </w:r>
          </w:p>
        </w:tc>
        <w:tc>
          <w:tcPr>
            <w:tcW w:w="1687" w:type="dxa"/>
            <w:gridSpan w:val="2"/>
            <w:tcBorders>
              <w:tl2br w:val="nil"/>
              <w:tr2bl w:val="nil"/>
            </w:tcBorders>
            <w:noWrap/>
            <w:tcMar>
              <w:top w:w="15" w:type="dxa"/>
              <w:left w:w="15" w:type="dxa"/>
              <w:right w:w="15" w:type="dxa"/>
            </w:tcMar>
            <w:vAlign w:val="center"/>
          </w:tcPr>
          <w:p w14:paraId="4D1F1E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color w:val="auto"/>
                <w:sz w:val="21"/>
                <w:szCs w:val="21"/>
                <w:highlight w:val="none"/>
                <w:u w:val="none"/>
              </w:rPr>
            </w:pPr>
            <w:r>
              <w:rPr>
                <w:rFonts w:hint="default" w:ascii="Times New Roman" w:hAnsi="Times New Roman" w:eastAsia="宋体" w:cs="Times New Roman"/>
                <w:b w:val="0"/>
                <w:bCs w:val="0"/>
                <w:i w:val="0"/>
                <w:color w:val="auto"/>
                <w:kern w:val="0"/>
                <w:sz w:val="21"/>
                <w:szCs w:val="21"/>
                <w:highlight w:val="none"/>
                <w:u w:val="none"/>
                <w:lang w:val="en-US" w:eastAsia="zh-CN" w:bidi="ar"/>
              </w:rPr>
              <w:t>SO</w:t>
            </w:r>
            <w:r>
              <w:rPr>
                <w:rFonts w:hint="default" w:ascii="Times New Roman" w:hAnsi="Times New Roman" w:eastAsia="宋体" w:cs="Times New Roman"/>
                <w:b w:val="0"/>
                <w:bCs w:val="0"/>
                <w:i w:val="0"/>
                <w:color w:val="auto"/>
                <w:kern w:val="0"/>
                <w:sz w:val="21"/>
                <w:szCs w:val="21"/>
                <w:highlight w:val="none"/>
                <w:u w:val="none"/>
                <w:vertAlign w:val="subscript"/>
                <w:lang w:val="en-US" w:eastAsia="zh-CN" w:bidi="ar"/>
              </w:rPr>
              <w:t>2</w:t>
            </w:r>
            <w:r>
              <w:rPr>
                <w:rFonts w:hint="eastAsia" w:ascii="Times New Roman" w:hAnsi="Times New Roman" w:eastAsia="宋体" w:cs="Times New Roman"/>
                <w:b w:val="0"/>
                <w:bCs w:val="0"/>
                <w:i w:val="0"/>
                <w:color w:val="auto"/>
                <w:kern w:val="0"/>
                <w:sz w:val="21"/>
                <w:szCs w:val="21"/>
                <w:highlight w:val="none"/>
                <w:u w:val="none"/>
                <w:vertAlign w:val="baseline"/>
                <w:lang w:val="en-US" w:eastAsia="zh-CN" w:bidi="ar"/>
              </w:rPr>
              <w:t>（锅炉）</w:t>
            </w:r>
          </w:p>
        </w:tc>
        <w:tc>
          <w:tcPr>
            <w:tcW w:w="1617" w:type="dxa"/>
            <w:gridSpan w:val="2"/>
            <w:tcBorders>
              <w:tl2br w:val="nil"/>
              <w:tr2bl w:val="nil"/>
            </w:tcBorders>
            <w:noWrap/>
            <w:tcMar>
              <w:top w:w="15" w:type="dxa"/>
              <w:left w:w="15" w:type="dxa"/>
              <w:right w:w="15" w:type="dxa"/>
            </w:tcMar>
            <w:vAlign w:val="center"/>
          </w:tcPr>
          <w:p w14:paraId="51CE9A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color w:val="auto"/>
                <w:sz w:val="21"/>
                <w:szCs w:val="21"/>
                <w:highlight w:val="none"/>
                <w:u w:val="none"/>
              </w:rPr>
            </w:pPr>
            <w:r>
              <w:rPr>
                <w:rFonts w:hint="default" w:ascii="Times New Roman" w:hAnsi="Times New Roman" w:eastAsia="宋体" w:cs="Times New Roman"/>
                <w:b w:val="0"/>
                <w:bCs w:val="0"/>
                <w:i w:val="0"/>
                <w:color w:val="auto"/>
                <w:kern w:val="0"/>
                <w:sz w:val="21"/>
                <w:szCs w:val="21"/>
                <w:highlight w:val="none"/>
                <w:u w:val="none"/>
                <w:lang w:val="en-US" w:eastAsia="zh-CN" w:bidi="ar"/>
              </w:rPr>
              <w:t>NO</w:t>
            </w:r>
            <w:r>
              <w:rPr>
                <w:rFonts w:hint="default" w:ascii="Times New Roman" w:hAnsi="Times New Roman" w:eastAsia="宋体" w:cs="Times New Roman"/>
                <w:b w:val="0"/>
                <w:bCs w:val="0"/>
                <w:i w:val="0"/>
                <w:color w:val="auto"/>
                <w:kern w:val="0"/>
                <w:sz w:val="21"/>
                <w:szCs w:val="21"/>
                <w:highlight w:val="none"/>
                <w:u w:val="none"/>
                <w:vertAlign w:val="subscript"/>
                <w:lang w:val="en-US" w:eastAsia="zh-CN" w:bidi="ar"/>
              </w:rPr>
              <w:t>2</w:t>
            </w:r>
            <w:r>
              <w:rPr>
                <w:rFonts w:hint="eastAsia" w:ascii="Times New Roman" w:hAnsi="Times New Roman" w:eastAsia="宋体" w:cs="Times New Roman"/>
                <w:b w:val="0"/>
                <w:bCs w:val="0"/>
                <w:i w:val="0"/>
                <w:color w:val="auto"/>
                <w:kern w:val="0"/>
                <w:sz w:val="21"/>
                <w:szCs w:val="21"/>
                <w:highlight w:val="none"/>
                <w:u w:val="none"/>
                <w:vertAlign w:val="baseline"/>
                <w:lang w:val="en-US" w:eastAsia="zh-CN" w:bidi="ar"/>
              </w:rPr>
              <w:t>（锅炉）</w:t>
            </w:r>
          </w:p>
        </w:tc>
        <w:tc>
          <w:tcPr>
            <w:tcW w:w="1538" w:type="dxa"/>
            <w:gridSpan w:val="2"/>
            <w:tcBorders>
              <w:tl2br w:val="nil"/>
              <w:tr2bl w:val="nil"/>
            </w:tcBorders>
            <w:noWrap/>
            <w:tcMar>
              <w:top w:w="15" w:type="dxa"/>
              <w:left w:w="15" w:type="dxa"/>
              <w:right w:w="15" w:type="dxa"/>
            </w:tcMar>
            <w:vAlign w:val="center"/>
          </w:tcPr>
          <w:p w14:paraId="2A397C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color w:val="auto"/>
                <w:sz w:val="21"/>
                <w:szCs w:val="21"/>
                <w:highlight w:val="none"/>
                <w:u w:val="none"/>
                <w:lang w:val="en-US" w:eastAsia="zh-CN"/>
              </w:rPr>
            </w:pPr>
            <w:r>
              <w:rPr>
                <w:rFonts w:hint="default" w:ascii="Times New Roman" w:hAnsi="Times New Roman" w:eastAsia="宋体" w:cs="Times New Roman"/>
                <w:b w:val="0"/>
                <w:bCs w:val="0"/>
                <w:i w:val="0"/>
                <w:color w:val="auto"/>
                <w:sz w:val="21"/>
                <w:szCs w:val="21"/>
                <w:highlight w:val="none"/>
                <w:u w:val="none"/>
                <w:lang w:val="en-US" w:eastAsia="zh-CN"/>
              </w:rPr>
              <w:t>PM</w:t>
            </w:r>
            <w:r>
              <w:rPr>
                <w:rFonts w:hint="default" w:ascii="Times New Roman" w:hAnsi="Times New Roman" w:eastAsia="宋体" w:cs="Times New Roman"/>
                <w:b w:val="0"/>
                <w:bCs w:val="0"/>
                <w:i w:val="0"/>
                <w:color w:val="auto"/>
                <w:sz w:val="21"/>
                <w:szCs w:val="21"/>
                <w:highlight w:val="none"/>
                <w:u w:val="none"/>
                <w:vertAlign w:val="subscript"/>
                <w:lang w:val="en-US" w:eastAsia="zh-CN"/>
              </w:rPr>
              <w:t>10</w:t>
            </w:r>
            <w:r>
              <w:rPr>
                <w:rFonts w:hint="eastAsia" w:ascii="Times New Roman" w:hAnsi="Times New Roman" w:eastAsia="宋体" w:cs="Times New Roman"/>
                <w:b w:val="0"/>
                <w:bCs w:val="0"/>
                <w:i w:val="0"/>
                <w:color w:val="auto"/>
                <w:kern w:val="0"/>
                <w:sz w:val="21"/>
                <w:szCs w:val="21"/>
                <w:highlight w:val="none"/>
                <w:u w:val="none"/>
                <w:vertAlign w:val="baseline"/>
                <w:lang w:val="en-US" w:eastAsia="zh-CN" w:bidi="ar"/>
              </w:rPr>
              <w:t>（锅炉）</w:t>
            </w:r>
          </w:p>
        </w:tc>
        <w:tc>
          <w:tcPr>
            <w:tcW w:w="1628" w:type="dxa"/>
            <w:gridSpan w:val="2"/>
            <w:tcBorders>
              <w:tl2br w:val="nil"/>
              <w:tr2bl w:val="nil"/>
            </w:tcBorders>
            <w:noWrap/>
            <w:tcMar>
              <w:top w:w="15" w:type="dxa"/>
              <w:left w:w="15" w:type="dxa"/>
              <w:right w:w="15" w:type="dxa"/>
            </w:tcMar>
            <w:vAlign w:val="center"/>
          </w:tcPr>
          <w:p w14:paraId="3832DE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color w:val="auto"/>
                <w:sz w:val="21"/>
                <w:szCs w:val="21"/>
                <w:highlight w:val="none"/>
                <w:u w:val="none"/>
                <w:lang w:val="en-US" w:eastAsia="zh-CN"/>
              </w:rPr>
            </w:pPr>
            <w:r>
              <w:rPr>
                <w:rFonts w:hint="default" w:ascii="Times New Roman" w:hAnsi="Times New Roman" w:eastAsia="宋体" w:cs="Times New Roman"/>
                <w:b w:val="0"/>
                <w:bCs w:val="0"/>
                <w:i w:val="0"/>
                <w:color w:val="auto"/>
                <w:sz w:val="21"/>
                <w:szCs w:val="21"/>
                <w:highlight w:val="none"/>
                <w:u w:val="none"/>
                <w:lang w:val="en-US" w:eastAsia="zh-CN"/>
              </w:rPr>
              <w:t>PM</w:t>
            </w:r>
            <w:r>
              <w:rPr>
                <w:rFonts w:hint="default" w:ascii="Times New Roman" w:hAnsi="Times New Roman" w:eastAsia="宋体" w:cs="Times New Roman"/>
                <w:b w:val="0"/>
                <w:bCs w:val="0"/>
                <w:i w:val="0"/>
                <w:color w:val="auto"/>
                <w:sz w:val="21"/>
                <w:szCs w:val="21"/>
                <w:highlight w:val="none"/>
                <w:u w:val="none"/>
                <w:vertAlign w:val="subscript"/>
                <w:lang w:val="en-US" w:eastAsia="zh-CN"/>
              </w:rPr>
              <w:t>2.5</w:t>
            </w:r>
            <w:r>
              <w:rPr>
                <w:rFonts w:hint="eastAsia" w:ascii="Times New Roman" w:hAnsi="Times New Roman" w:eastAsia="宋体" w:cs="Times New Roman"/>
                <w:b w:val="0"/>
                <w:bCs w:val="0"/>
                <w:i w:val="0"/>
                <w:color w:val="auto"/>
                <w:kern w:val="0"/>
                <w:sz w:val="21"/>
                <w:szCs w:val="21"/>
                <w:highlight w:val="none"/>
                <w:u w:val="none"/>
                <w:vertAlign w:val="baseline"/>
                <w:lang w:val="en-US" w:eastAsia="zh-CN" w:bidi="ar"/>
              </w:rPr>
              <w:t>（锅炉）</w:t>
            </w:r>
          </w:p>
        </w:tc>
        <w:tc>
          <w:tcPr>
            <w:tcW w:w="1600" w:type="dxa"/>
            <w:gridSpan w:val="2"/>
            <w:tcBorders>
              <w:tl2br w:val="nil"/>
              <w:tr2bl w:val="nil"/>
            </w:tcBorders>
            <w:noWrap/>
            <w:tcMar>
              <w:top w:w="15" w:type="dxa"/>
              <w:left w:w="15" w:type="dxa"/>
              <w:right w:w="15" w:type="dxa"/>
            </w:tcMar>
            <w:vAlign w:val="center"/>
          </w:tcPr>
          <w:p w14:paraId="481355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color w:val="auto"/>
                <w:sz w:val="21"/>
                <w:szCs w:val="21"/>
                <w:highlight w:val="none"/>
                <w:u w:val="none"/>
              </w:rPr>
            </w:pPr>
            <w:r>
              <w:rPr>
                <w:rFonts w:hint="default" w:ascii="Times New Roman" w:hAnsi="Times New Roman" w:eastAsia="宋体" w:cs="Times New Roman"/>
                <w:b w:val="0"/>
                <w:bCs w:val="0"/>
                <w:i w:val="0"/>
                <w:color w:val="auto"/>
                <w:kern w:val="0"/>
                <w:sz w:val="21"/>
                <w:szCs w:val="21"/>
                <w:highlight w:val="none"/>
                <w:u w:val="none"/>
                <w:lang w:val="en-US" w:eastAsia="zh-CN" w:bidi="ar"/>
              </w:rPr>
              <w:t>Hg</w:t>
            </w:r>
            <w:r>
              <w:rPr>
                <w:rFonts w:hint="eastAsia" w:ascii="Times New Roman" w:hAnsi="Times New Roman" w:eastAsia="宋体" w:cs="Times New Roman"/>
                <w:b w:val="0"/>
                <w:bCs w:val="0"/>
                <w:i w:val="0"/>
                <w:color w:val="auto"/>
                <w:kern w:val="0"/>
                <w:sz w:val="21"/>
                <w:szCs w:val="21"/>
                <w:highlight w:val="none"/>
                <w:u w:val="none"/>
                <w:vertAlign w:val="baseline"/>
                <w:lang w:val="en-US" w:eastAsia="zh-CN" w:bidi="ar"/>
              </w:rPr>
              <w:t>（锅炉）</w:t>
            </w:r>
          </w:p>
        </w:tc>
        <w:tc>
          <w:tcPr>
            <w:tcW w:w="1474" w:type="dxa"/>
            <w:gridSpan w:val="2"/>
            <w:tcBorders>
              <w:tl2br w:val="nil"/>
              <w:tr2bl w:val="nil"/>
            </w:tcBorders>
            <w:shd w:val="clear" w:color="auto" w:fill="auto"/>
            <w:noWrap/>
            <w:tcMar>
              <w:top w:w="15" w:type="dxa"/>
              <w:left w:w="15" w:type="dxa"/>
              <w:right w:w="15" w:type="dxa"/>
            </w:tcMar>
            <w:vAlign w:val="center"/>
          </w:tcPr>
          <w:p w14:paraId="581C5A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color w:val="auto"/>
                <w:kern w:val="0"/>
                <w:sz w:val="21"/>
                <w:szCs w:val="21"/>
                <w:highlight w:val="none"/>
                <w:u w:val="none"/>
                <w:lang w:val="en-US" w:eastAsia="zh-CN" w:bidi="ar"/>
              </w:rPr>
            </w:pPr>
            <w:r>
              <w:rPr>
                <w:rFonts w:hint="default" w:ascii="Times New Roman" w:hAnsi="Times New Roman" w:eastAsia="宋体" w:cs="Times New Roman"/>
                <w:b w:val="0"/>
                <w:bCs w:val="0"/>
                <w:i w:val="0"/>
                <w:color w:val="auto"/>
                <w:kern w:val="0"/>
                <w:sz w:val="21"/>
                <w:szCs w:val="21"/>
                <w:highlight w:val="none"/>
                <w:u w:val="none"/>
                <w:lang w:val="en-US" w:eastAsia="zh-CN" w:bidi="ar"/>
              </w:rPr>
              <w:t>NH</w:t>
            </w:r>
            <w:r>
              <w:rPr>
                <w:rFonts w:hint="default" w:ascii="Times New Roman" w:hAnsi="Times New Roman" w:eastAsia="宋体" w:cs="Times New Roman"/>
                <w:b w:val="0"/>
                <w:bCs w:val="0"/>
                <w:i w:val="0"/>
                <w:color w:val="auto"/>
                <w:kern w:val="0"/>
                <w:sz w:val="21"/>
                <w:szCs w:val="21"/>
                <w:highlight w:val="none"/>
                <w:u w:val="none"/>
                <w:vertAlign w:val="subscript"/>
                <w:lang w:val="en-US" w:eastAsia="zh-CN" w:bidi="ar"/>
              </w:rPr>
              <w:t>3</w:t>
            </w:r>
            <w:r>
              <w:rPr>
                <w:rFonts w:hint="eastAsia" w:ascii="Times New Roman" w:hAnsi="Times New Roman" w:eastAsia="宋体" w:cs="Times New Roman"/>
                <w:b w:val="0"/>
                <w:bCs w:val="0"/>
                <w:i w:val="0"/>
                <w:color w:val="auto"/>
                <w:kern w:val="0"/>
                <w:sz w:val="21"/>
                <w:szCs w:val="21"/>
                <w:highlight w:val="none"/>
                <w:u w:val="none"/>
                <w:vertAlign w:val="baseline"/>
                <w:lang w:val="en-US" w:eastAsia="zh-CN" w:bidi="ar"/>
              </w:rPr>
              <w:t>（锅炉）</w:t>
            </w:r>
          </w:p>
        </w:tc>
        <w:tc>
          <w:tcPr>
            <w:tcW w:w="1481" w:type="dxa"/>
            <w:gridSpan w:val="2"/>
            <w:tcBorders>
              <w:tl2br w:val="nil"/>
              <w:tr2bl w:val="nil"/>
            </w:tcBorders>
            <w:noWrap/>
            <w:tcMar>
              <w:top w:w="15" w:type="dxa"/>
              <w:left w:w="15" w:type="dxa"/>
              <w:right w:w="15" w:type="dxa"/>
            </w:tcMar>
            <w:vAlign w:val="center"/>
          </w:tcPr>
          <w:p w14:paraId="3475A0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color w:val="auto"/>
                <w:kern w:val="0"/>
                <w:sz w:val="21"/>
                <w:szCs w:val="21"/>
                <w:highlight w:val="none"/>
                <w:u w:val="none"/>
                <w:lang w:val="en-US" w:eastAsia="zh-CN" w:bidi="ar"/>
              </w:rPr>
            </w:pPr>
            <w:r>
              <w:rPr>
                <w:rFonts w:hint="default" w:ascii="Times New Roman" w:hAnsi="Times New Roman" w:eastAsia="宋体" w:cs="Times New Roman"/>
                <w:b w:val="0"/>
                <w:bCs w:val="0"/>
                <w:iCs/>
                <w:color w:val="auto"/>
                <w:kern w:val="0"/>
                <w:sz w:val="21"/>
                <w:szCs w:val="21"/>
                <w:highlight w:val="none"/>
                <w:lang w:val="en-US" w:eastAsia="zh-CN"/>
              </w:rPr>
              <w:t>PM</w:t>
            </w:r>
            <w:r>
              <w:rPr>
                <w:rFonts w:hint="default" w:ascii="Times New Roman" w:hAnsi="Times New Roman" w:eastAsia="宋体" w:cs="Times New Roman"/>
                <w:b w:val="0"/>
                <w:bCs w:val="0"/>
                <w:iCs/>
                <w:color w:val="auto"/>
                <w:kern w:val="0"/>
                <w:sz w:val="21"/>
                <w:szCs w:val="21"/>
                <w:highlight w:val="none"/>
                <w:vertAlign w:val="subscript"/>
                <w:lang w:val="en-US" w:eastAsia="zh-CN"/>
              </w:rPr>
              <w:t>10</w:t>
            </w:r>
            <w:r>
              <w:rPr>
                <w:rFonts w:hint="eastAsia" w:ascii="Times New Roman" w:hAnsi="Times New Roman" w:eastAsia="宋体" w:cs="Times New Roman"/>
                <w:b w:val="0"/>
                <w:bCs w:val="0"/>
                <w:i w:val="0"/>
                <w:color w:val="auto"/>
                <w:kern w:val="0"/>
                <w:sz w:val="21"/>
                <w:szCs w:val="21"/>
                <w:highlight w:val="none"/>
                <w:u w:val="none"/>
                <w:lang w:val="en-US" w:eastAsia="zh-CN" w:bidi="ar"/>
              </w:rPr>
              <w:t>（灰库）</w:t>
            </w:r>
          </w:p>
        </w:tc>
        <w:tc>
          <w:tcPr>
            <w:tcW w:w="1775" w:type="dxa"/>
            <w:gridSpan w:val="2"/>
            <w:tcBorders>
              <w:tl2br w:val="nil"/>
              <w:tr2bl w:val="nil"/>
            </w:tcBorders>
            <w:noWrap/>
            <w:tcMar>
              <w:top w:w="15" w:type="dxa"/>
              <w:left w:w="15" w:type="dxa"/>
              <w:right w:w="15" w:type="dxa"/>
            </w:tcMar>
            <w:vAlign w:val="center"/>
          </w:tcPr>
          <w:p w14:paraId="0A8F73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color w:val="auto"/>
                <w:kern w:val="0"/>
                <w:sz w:val="21"/>
                <w:szCs w:val="21"/>
                <w:highlight w:val="none"/>
                <w:u w:val="none"/>
                <w:lang w:val="en-US" w:eastAsia="zh-CN" w:bidi="ar"/>
              </w:rPr>
            </w:pPr>
            <w:r>
              <w:rPr>
                <w:rFonts w:hint="default" w:ascii="Times New Roman" w:hAnsi="Times New Roman" w:eastAsia="宋体" w:cs="Times New Roman"/>
                <w:b w:val="0"/>
                <w:bCs w:val="0"/>
                <w:iCs/>
                <w:color w:val="auto"/>
                <w:kern w:val="0"/>
                <w:sz w:val="21"/>
                <w:szCs w:val="21"/>
                <w:highlight w:val="none"/>
                <w:lang w:val="en-US" w:eastAsia="zh-CN"/>
              </w:rPr>
              <w:t>PM</w:t>
            </w:r>
            <w:r>
              <w:rPr>
                <w:rFonts w:hint="default" w:ascii="Times New Roman" w:hAnsi="Times New Roman" w:eastAsia="宋体" w:cs="Times New Roman"/>
                <w:b w:val="0"/>
                <w:bCs w:val="0"/>
                <w:iCs/>
                <w:color w:val="auto"/>
                <w:kern w:val="0"/>
                <w:sz w:val="21"/>
                <w:szCs w:val="21"/>
                <w:highlight w:val="none"/>
                <w:vertAlign w:val="subscript"/>
                <w:lang w:val="en-US" w:eastAsia="zh-CN"/>
              </w:rPr>
              <w:t>10</w:t>
            </w:r>
            <w:r>
              <w:rPr>
                <w:rFonts w:hint="eastAsia" w:ascii="Times New Roman" w:hAnsi="Times New Roman" w:eastAsia="宋体" w:cs="Times New Roman"/>
                <w:b w:val="0"/>
                <w:bCs w:val="0"/>
                <w:i w:val="0"/>
                <w:color w:val="auto"/>
                <w:kern w:val="0"/>
                <w:sz w:val="21"/>
                <w:szCs w:val="21"/>
                <w:highlight w:val="none"/>
                <w:u w:val="none"/>
                <w:lang w:val="en-US" w:eastAsia="zh-CN" w:bidi="ar"/>
              </w:rPr>
              <w:t>（生石灰粉仓）</w:t>
            </w:r>
          </w:p>
        </w:tc>
      </w:tr>
      <w:tr w14:paraId="63CDC8F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188" w:type="dxa"/>
            <w:vMerge w:val="continue"/>
            <w:tcBorders>
              <w:tl2br w:val="nil"/>
              <w:tr2bl w:val="nil"/>
            </w:tcBorders>
            <w:noWrap w:val="0"/>
            <w:tcMar>
              <w:top w:w="15" w:type="dxa"/>
              <w:left w:w="15" w:type="dxa"/>
              <w:right w:w="15" w:type="dxa"/>
            </w:tcMar>
            <w:vAlign w:val="center"/>
          </w:tcPr>
          <w:p w14:paraId="19FB466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rPr>
            </w:pPr>
          </w:p>
        </w:tc>
        <w:tc>
          <w:tcPr>
            <w:tcW w:w="1050" w:type="dxa"/>
            <w:tcBorders>
              <w:tl2br w:val="nil"/>
              <w:tr2bl w:val="nil"/>
            </w:tcBorders>
            <w:noWrap w:val="0"/>
            <w:tcMar>
              <w:top w:w="15" w:type="dxa"/>
              <w:left w:w="15" w:type="dxa"/>
              <w:right w:w="15" w:type="dxa"/>
            </w:tcMar>
            <w:vAlign w:val="center"/>
          </w:tcPr>
          <w:p w14:paraId="5644A1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kern w:val="0"/>
                <w:sz w:val="21"/>
                <w:szCs w:val="21"/>
                <w:highlight w:val="none"/>
                <w:u w:val="none"/>
                <w:lang w:val="en-US" w:eastAsia="zh-CN" w:bidi="ar"/>
              </w:rPr>
            </w:pPr>
            <w:r>
              <w:rPr>
                <w:rFonts w:hint="default" w:ascii="Times New Roman" w:hAnsi="Times New Roman" w:eastAsia="宋体" w:cs="Times New Roman"/>
                <w:b w:val="0"/>
                <w:bCs w:val="0"/>
                <w:i w:val="0"/>
                <w:color w:val="auto"/>
                <w:kern w:val="0"/>
                <w:sz w:val="21"/>
                <w:szCs w:val="21"/>
                <w:highlight w:val="none"/>
                <w:u w:val="none"/>
                <w:lang w:val="en-US" w:eastAsia="zh-CN" w:bidi="ar"/>
              </w:rPr>
              <w:t>预测质量</w:t>
            </w:r>
          </w:p>
          <w:p w14:paraId="07CDB1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sz w:val="21"/>
                <w:szCs w:val="21"/>
                <w:highlight w:val="none"/>
                <w:u w:val="none"/>
              </w:rPr>
            </w:pPr>
            <w:r>
              <w:rPr>
                <w:rFonts w:hint="default" w:ascii="Times New Roman" w:hAnsi="Times New Roman" w:eastAsia="宋体" w:cs="Times New Roman"/>
                <w:b w:val="0"/>
                <w:bCs w:val="0"/>
                <w:i w:val="0"/>
                <w:color w:val="auto"/>
                <w:kern w:val="0"/>
                <w:sz w:val="21"/>
                <w:szCs w:val="21"/>
                <w:highlight w:val="none"/>
                <w:u w:val="none"/>
                <w:lang w:val="en-US" w:eastAsia="zh-CN" w:bidi="ar"/>
              </w:rPr>
              <w:t>浓度/ug/m</w:t>
            </w:r>
            <w:r>
              <w:rPr>
                <w:rFonts w:hint="default" w:ascii="Times New Roman" w:hAnsi="Times New Roman" w:eastAsia="宋体" w:cs="Times New Roman"/>
                <w:b w:val="0"/>
                <w:bCs w:val="0"/>
                <w:i w:val="0"/>
                <w:color w:val="auto"/>
                <w:kern w:val="0"/>
                <w:sz w:val="21"/>
                <w:szCs w:val="21"/>
                <w:highlight w:val="none"/>
                <w:u w:val="none"/>
                <w:vertAlign w:val="superscript"/>
                <w:lang w:val="en-US" w:eastAsia="zh-CN" w:bidi="ar"/>
              </w:rPr>
              <w:t>3</w:t>
            </w:r>
          </w:p>
        </w:tc>
        <w:tc>
          <w:tcPr>
            <w:tcW w:w="637" w:type="dxa"/>
            <w:tcBorders>
              <w:tl2br w:val="nil"/>
              <w:tr2bl w:val="nil"/>
            </w:tcBorders>
            <w:noWrap w:val="0"/>
            <w:tcMar>
              <w:top w:w="15" w:type="dxa"/>
              <w:left w:w="15" w:type="dxa"/>
              <w:right w:w="15" w:type="dxa"/>
            </w:tcMar>
            <w:vAlign w:val="center"/>
          </w:tcPr>
          <w:p w14:paraId="6B7469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sz w:val="21"/>
                <w:szCs w:val="21"/>
                <w:highlight w:val="none"/>
                <w:u w:val="none"/>
              </w:rPr>
            </w:pPr>
            <w:r>
              <w:rPr>
                <w:rFonts w:hint="default" w:ascii="Times New Roman" w:hAnsi="Times New Roman" w:eastAsia="宋体" w:cs="Times New Roman"/>
                <w:b w:val="0"/>
                <w:bCs w:val="0"/>
                <w:i w:val="0"/>
                <w:color w:val="auto"/>
                <w:kern w:val="0"/>
                <w:sz w:val="21"/>
                <w:szCs w:val="21"/>
                <w:highlight w:val="none"/>
                <w:u w:val="none"/>
                <w:lang w:val="en-US" w:eastAsia="zh-CN" w:bidi="ar"/>
              </w:rPr>
              <w:t>占标率%</w:t>
            </w:r>
          </w:p>
        </w:tc>
        <w:tc>
          <w:tcPr>
            <w:tcW w:w="1067" w:type="dxa"/>
            <w:tcBorders>
              <w:tl2br w:val="nil"/>
              <w:tr2bl w:val="nil"/>
            </w:tcBorders>
            <w:noWrap w:val="0"/>
            <w:tcMar>
              <w:top w:w="15" w:type="dxa"/>
              <w:left w:w="15" w:type="dxa"/>
              <w:right w:w="15" w:type="dxa"/>
            </w:tcMar>
            <w:vAlign w:val="center"/>
          </w:tcPr>
          <w:p w14:paraId="2F3E1A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kern w:val="0"/>
                <w:sz w:val="21"/>
                <w:szCs w:val="21"/>
                <w:highlight w:val="none"/>
                <w:u w:val="none"/>
                <w:lang w:val="en-US" w:eastAsia="zh-CN" w:bidi="ar"/>
              </w:rPr>
            </w:pPr>
            <w:r>
              <w:rPr>
                <w:rFonts w:hint="default" w:ascii="Times New Roman" w:hAnsi="Times New Roman" w:eastAsia="宋体" w:cs="Times New Roman"/>
                <w:b w:val="0"/>
                <w:bCs w:val="0"/>
                <w:i w:val="0"/>
                <w:color w:val="auto"/>
                <w:kern w:val="0"/>
                <w:sz w:val="21"/>
                <w:szCs w:val="21"/>
                <w:highlight w:val="none"/>
                <w:u w:val="none"/>
                <w:lang w:val="en-US" w:eastAsia="zh-CN" w:bidi="ar"/>
              </w:rPr>
              <w:t>预测质量</w:t>
            </w:r>
          </w:p>
          <w:p w14:paraId="0842E3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sz w:val="21"/>
                <w:szCs w:val="21"/>
                <w:highlight w:val="none"/>
                <w:u w:val="none"/>
              </w:rPr>
            </w:pPr>
            <w:r>
              <w:rPr>
                <w:rFonts w:hint="default" w:ascii="Times New Roman" w:hAnsi="Times New Roman" w:eastAsia="宋体" w:cs="Times New Roman"/>
                <w:b w:val="0"/>
                <w:bCs w:val="0"/>
                <w:i w:val="0"/>
                <w:color w:val="auto"/>
                <w:kern w:val="0"/>
                <w:sz w:val="21"/>
                <w:szCs w:val="21"/>
                <w:highlight w:val="none"/>
                <w:u w:val="none"/>
                <w:lang w:val="en-US" w:eastAsia="zh-CN" w:bidi="ar"/>
              </w:rPr>
              <w:t>浓度/ug/m</w:t>
            </w:r>
            <w:r>
              <w:rPr>
                <w:rFonts w:hint="default" w:ascii="Times New Roman" w:hAnsi="Times New Roman" w:eastAsia="宋体" w:cs="Times New Roman"/>
                <w:b w:val="0"/>
                <w:bCs w:val="0"/>
                <w:i w:val="0"/>
                <w:color w:val="auto"/>
                <w:kern w:val="0"/>
                <w:sz w:val="21"/>
                <w:szCs w:val="21"/>
                <w:highlight w:val="none"/>
                <w:u w:val="none"/>
                <w:vertAlign w:val="superscript"/>
                <w:lang w:val="en-US" w:eastAsia="zh-CN" w:bidi="ar"/>
              </w:rPr>
              <w:t>3</w:t>
            </w:r>
          </w:p>
        </w:tc>
        <w:tc>
          <w:tcPr>
            <w:tcW w:w="550" w:type="dxa"/>
            <w:tcBorders>
              <w:tl2br w:val="nil"/>
              <w:tr2bl w:val="nil"/>
            </w:tcBorders>
            <w:noWrap w:val="0"/>
            <w:tcMar>
              <w:top w:w="15" w:type="dxa"/>
              <w:left w:w="15" w:type="dxa"/>
              <w:right w:w="15" w:type="dxa"/>
            </w:tcMar>
            <w:vAlign w:val="center"/>
          </w:tcPr>
          <w:p w14:paraId="287804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sz w:val="21"/>
                <w:szCs w:val="21"/>
                <w:highlight w:val="none"/>
                <w:u w:val="none"/>
              </w:rPr>
            </w:pPr>
            <w:r>
              <w:rPr>
                <w:rFonts w:hint="default" w:ascii="Times New Roman" w:hAnsi="Times New Roman" w:eastAsia="宋体" w:cs="Times New Roman"/>
                <w:b w:val="0"/>
                <w:bCs w:val="0"/>
                <w:i w:val="0"/>
                <w:color w:val="auto"/>
                <w:kern w:val="0"/>
                <w:sz w:val="21"/>
                <w:szCs w:val="21"/>
                <w:highlight w:val="none"/>
                <w:u w:val="none"/>
                <w:lang w:val="en-US" w:eastAsia="zh-CN" w:bidi="ar"/>
              </w:rPr>
              <w:t>占标率%</w:t>
            </w:r>
          </w:p>
        </w:tc>
        <w:tc>
          <w:tcPr>
            <w:tcW w:w="1016" w:type="dxa"/>
            <w:tcBorders>
              <w:tl2br w:val="nil"/>
              <w:tr2bl w:val="nil"/>
            </w:tcBorders>
            <w:noWrap w:val="0"/>
            <w:tcMar>
              <w:top w:w="15" w:type="dxa"/>
              <w:left w:w="15" w:type="dxa"/>
              <w:right w:w="15" w:type="dxa"/>
            </w:tcMar>
            <w:vAlign w:val="center"/>
          </w:tcPr>
          <w:p w14:paraId="6DC429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kern w:val="0"/>
                <w:sz w:val="21"/>
                <w:szCs w:val="21"/>
                <w:highlight w:val="none"/>
                <w:u w:val="none"/>
                <w:lang w:val="en-US" w:eastAsia="zh-CN" w:bidi="ar"/>
              </w:rPr>
            </w:pPr>
            <w:r>
              <w:rPr>
                <w:rFonts w:hint="default" w:ascii="Times New Roman" w:hAnsi="Times New Roman" w:eastAsia="宋体" w:cs="Times New Roman"/>
                <w:b w:val="0"/>
                <w:bCs w:val="0"/>
                <w:i w:val="0"/>
                <w:color w:val="auto"/>
                <w:kern w:val="0"/>
                <w:sz w:val="21"/>
                <w:szCs w:val="21"/>
                <w:highlight w:val="none"/>
                <w:u w:val="none"/>
                <w:lang w:val="en-US" w:eastAsia="zh-CN" w:bidi="ar"/>
              </w:rPr>
              <w:t>预测质量</w:t>
            </w:r>
          </w:p>
          <w:p w14:paraId="5E9B15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sz w:val="21"/>
                <w:szCs w:val="21"/>
                <w:highlight w:val="none"/>
                <w:u w:val="none"/>
              </w:rPr>
            </w:pPr>
            <w:r>
              <w:rPr>
                <w:rFonts w:hint="default" w:ascii="Times New Roman" w:hAnsi="Times New Roman" w:eastAsia="宋体" w:cs="Times New Roman"/>
                <w:b w:val="0"/>
                <w:bCs w:val="0"/>
                <w:i w:val="0"/>
                <w:color w:val="auto"/>
                <w:kern w:val="0"/>
                <w:sz w:val="21"/>
                <w:szCs w:val="21"/>
                <w:highlight w:val="none"/>
                <w:u w:val="none"/>
                <w:lang w:val="en-US" w:eastAsia="zh-CN" w:bidi="ar"/>
              </w:rPr>
              <w:t>浓度/ug/m</w:t>
            </w:r>
            <w:r>
              <w:rPr>
                <w:rFonts w:hint="default" w:ascii="Times New Roman" w:hAnsi="Times New Roman" w:eastAsia="宋体" w:cs="Times New Roman"/>
                <w:b w:val="0"/>
                <w:bCs w:val="0"/>
                <w:i w:val="0"/>
                <w:color w:val="auto"/>
                <w:kern w:val="0"/>
                <w:sz w:val="21"/>
                <w:szCs w:val="21"/>
                <w:highlight w:val="none"/>
                <w:u w:val="none"/>
                <w:vertAlign w:val="superscript"/>
                <w:lang w:val="en-US" w:eastAsia="zh-CN" w:bidi="ar"/>
              </w:rPr>
              <w:t>3</w:t>
            </w:r>
          </w:p>
        </w:tc>
        <w:tc>
          <w:tcPr>
            <w:tcW w:w="522" w:type="dxa"/>
            <w:tcBorders>
              <w:tl2br w:val="nil"/>
              <w:tr2bl w:val="nil"/>
            </w:tcBorders>
            <w:noWrap w:val="0"/>
            <w:tcMar>
              <w:top w:w="15" w:type="dxa"/>
              <w:left w:w="15" w:type="dxa"/>
              <w:right w:w="15" w:type="dxa"/>
            </w:tcMar>
            <w:vAlign w:val="center"/>
          </w:tcPr>
          <w:p w14:paraId="2A47B7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sz w:val="21"/>
                <w:szCs w:val="21"/>
                <w:highlight w:val="none"/>
                <w:u w:val="none"/>
              </w:rPr>
            </w:pPr>
            <w:r>
              <w:rPr>
                <w:rFonts w:hint="default" w:ascii="Times New Roman" w:hAnsi="Times New Roman" w:eastAsia="宋体" w:cs="Times New Roman"/>
                <w:b w:val="0"/>
                <w:bCs w:val="0"/>
                <w:i w:val="0"/>
                <w:color w:val="auto"/>
                <w:kern w:val="0"/>
                <w:sz w:val="21"/>
                <w:szCs w:val="21"/>
                <w:highlight w:val="none"/>
                <w:u w:val="none"/>
                <w:lang w:val="en-US" w:eastAsia="zh-CN" w:bidi="ar"/>
              </w:rPr>
              <w:t>占标率%</w:t>
            </w:r>
          </w:p>
        </w:tc>
        <w:tc>
          <w:tcPr>
            <w:tcW w:w="1028" w:type="dxa"/>
            <w:tcBorders>
              <w:tl2br w:val="nil"/>
              <w:tr2bl w:val="nil"/>
            </w:tcBorders>
            <w:noWrap w:val="0"/>
            <w:tcMar>
              <w:top w:w="15" w:type="dxa"/>
              <w:left w:w="15" w:type="dxa"/>
              <w:right w:w="15" w:type="dxa"/>
            </w:tcMar>
            <w:vAlign w:val="center"/>
          </w:tcPr>
          <w:p w14:paraId="47CFFE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kern w:val="0"/>
                <w:sz w:val="21"/>
                <w:szCs w:val="21"/>
                <w:highlight w:val="none"/>
                <w:u w:val="none"/>
                <w:lang w:val="en-US" w:eastAsia="zh-CN" w:bidi="ar"/>
              </w:rPr>
            </w:pPr>
            <w:r>
              <w:rPr>
                <w:rFonts w:hint="default" w:ascii="Times New Roman" w:hAnsi="Times New Roman" w:eastAsia="宋体" w:cs="Times New Roman"/>
                <w:b w:val="0"/>
                <w:bCs w:val="0"/>
                <w:i w:val="0"/>
                <w:color w:val="auto"/>
                <w:kern w:val="0"/>
                <w:sz w:val="21"/>
                <w:szCs w:val="21"/>
                <w:highlight w:val="none"/>
                <w:u w:val="none"/>
                <w:lang w:val="en-US" w:eastAsia="zh-CN" w:bidi="ar"/>
              </w:rPr>
              <w:t>预测质量</w:t>
            </w:r>
          </w:p>
          <w:p w14:paraId="680A4E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sz w:val="21"/>
                <w:szCs w:val="21"/>
                <w:highlight w:val="none"/>
                <w:u w:val="none"/>
              </w:rPr>
            </w:pPr>
            <w:r>
              <w:rPr>
                <w:rFonts w:hint="default" w:ascii="Times New Roman" w:hAnsi="Times New Roman" w:eastAsia="宋体" w:cs="Times New Roman"/>
                <w:b w:val="0"/>
                <w:bCs w:val="0"/>
                <w:i w:val="0"/>
                <w:color w:val="auto"/>
                <w:kern w:val="0"/>
                <w:sz w:val="21"/>
                <w:szCs w:val="21"/>
                <w:highlight w:val="none"/>
                <w:u w:val="none"/>
                <w:lang w:val="en-US" w:eastAsia="zh-CN" w:bidi="ar"/>
              </w:rPr>
              <w:t>浓度/ug/m</w:t>
            </w:r>
            <w:r>
              <w:rPr>
                <w:rFonts w:hint="default" w:ascii="Times New Roman" w:hAnsi="Times New Roman" w:eastAsia="宋体" w:cs="Times New Roman"/>
                <w:b w:val="0"/>
                <w:bCs w:val="0"/>
                <w:i w:val="0"/>
                <w:color w:val="auto"/>
                <w:kern w:val="0"/>
                <w:sz w:val="21"/>
                <w:szCs w:val="21"/>
                <w:highlight w:val="none"/>
                <w:u w:val="none"/>
                <w:vertAlign w:val="superscript"/>
                <w:lang w:val="en-US" w:eastAsia="zh-CN" w:bidi="ar"/>
              </w:rPr>
              <w:t>3</w:t>
            </w:r>
          </w:p>
        </w:tc>
        <w:tc>
          <w:tcPr>
            <w:tcW w:w="600" w:type="dxa"/>
            <w:tcBorders>
              <w:tl2br w:val="nil"/>
              <w:tr2bl w:val="nil"/>
            </w:tcBorders>
            <w:noWrap w:val="0"/>
            <w:tcMar>
              <w:top w:w="15" w:type="dxa"/>
              <w:left w:w="15" w:type="dxa"/>
              <w:right w:w="15" w:type="dxa"/>
            </w:tcMar>
            <w:vAlign w:val="center"/>
          </w:tcPr>
          <w:p w14:paraId="502ACC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sz w:val="21"/>
                <w:szCs w:val="21"/>
                <w:highlight w:val="none"/>
                <w:u w:val="none"/>
              </w:rPr>
            </w:pPr>
            <w:r>
              <w:rPr>
                <w:rFonts w:hint="default" w:ascii="Times New Roman" w:hAnsi="Times New Roman" w:eastAsia="宋体" w:cs="Times New Roman"/>
                <w:b w:val="0"/>
                <w:bCs w:val="0"/>
                <w:i w:val="0"/>
                <w:color w:val="auto"/>
                <w:kern w:val="0"/>
                <w:sz w:val="21"/>
                <w:szCs w:val="21"/>
                <w:highlight w:val="none"/>
                <w:u w:val="none"/>
                <w:lang w:val="en-US" w:eastAsia="zh-CN" w:bidi="ar"/>
              </w:rPr>
              <w:t>占标率%</w:t>
            </w:r>
          </w:p>
        </w:tc>
        <w:tc>
          <w:tcPr>
            <w:tcW w:w="1034" w:type="dxa"/>
            <w:tcBorders>
              <w:tl2br w:val="nil"/>
              <w:tr2bl w:val="nil"/>
            </w:tcBorders>
            <w:noWrap w:val="0"/>
            <w:tcMar>
              <w:top w:w="15" w:type="dxa"/>
              <w:left w:w="15" w:type="dxa"/>
              <w:right w:w="15" w:type="dxa"/>
            </w:tcMar>
            <w:vAlign w:val="center"/>
          </w:tcPr>
          <w:p w14:paraId="67E89B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kern w:val="0"/>
                <w:sz w:val="21"/>
                <w:szCs w:val="21"/>
                <w:highlight w:val="none"/>
                <w:u w:val="none"/>
                <w:lang w:val="en-US" w:eastAsia="zh-CN" w:bidi="ar"/>
              </w:rPr>
            </w:pPr>
            <w:r>
              <w:rPr>
                <w:rFonts w:hint="default" w:ascii="Times New Roman" w:hAnsi="Times New Roman" w:eastAsia="宋体" w:cs="Times New Roman"/>
                <w:b w:val="0"/>
                <w:bCs w:val="0"/>
                <w:i w:val="0"/>
                <w:color w:val="auto"/>
                <w:kern w:val="0"/>
                <w:sz w:val="21"/>
                <w:szCs w:val="21"/>
                <w:highlight w:val="none"/>
                <w:u w:val="none"/>
                <w:lang w:val="en-US" w:eastAsia="zh-CN" w:bidi="ar"/>
              </w:rPr>
              <w:t>预测质量</w:t>
            </w:r>
          </w:p>
          <w:p w14:paraId="7CB12D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sz w:val="21"/>
                <w:szCs w:val="21"/>
                <w:highlight w:val="none"/>
                <w:u w:val="none"/>
              </w:rPr>
            </w:pPr>
            <w:r>
              <w:rPr>
                <w:rFonts w:hint="default" w:ascii="Times New Roman" w:hAnsi="Times New Roman" w:eastAsia="宋体" w:cs="Times New Roman"/>
                <w:b w:val="0"/>
                <w:bCs w:val="0"/>
                <w:i w:val="0"/>
                <w:color w:val="auto"/>
                <w:kern w:val="0"/>
                <w:sz w:val="21"/>
                <w:szCs w:val="21"/>
                <w:highlight w:val="none"/>
                <w:u w:val="none"/>
                <w:lang w:val="en-US" w:eastAsia="zh-CN" w:bidi="ar"/>
              </w:rPr>
              <w:t>浓度/ug/m</w:t>
            </w:r>
            <w:r>
              <w:rPr>
                <w:rFonts w:hint="default" w:ascii="Times New Roman" w:hAnsi="Times New Roman" w:eastAsia="宋体" w:cs="Times New Roman"/>
                <w:b w:val="0"/>
                <w:bCs w:val="0"/>
                <w:i w:val="0"/>
                <w:color w:val="auto"/>
                <w:kern w:val="0"/>
                <w:sz w:val="21"/>
                <w:szCs w:val="21"/>
                <w:highlight w:val="none"/>
                <w:u w:val="none"/>
                <w:vertAlign w:val="superscript"/>
                <w:lang w:val="en-US" w:eastAsia="zh-CN" w:bidi="ar"/>
              </w:rPr>
              <w:t>3</w:t>
            </w:r>
          </w:p>
        </w:tc>
        <w:tc>
          <w:tcPr>
            <w:tcW w:w="566" w:type="dxa"/>
            <w:tcBorders>
              <w:tl2br w:val="nil"/>
              <w:tr2bl w:val="nil"/>
            </w:tcBorders>
            <w:noWrap w:val="0"/>
            <w:tcMar>
              <w:top w:w="15" w:type="dxa"/>
              <w:left w:w="15" w:type="dxa"/>
              <w:right w:w="15" w:type="dxa"/>
            </w:tcMar>
            <w:vAlign w:val="center"/>
          </w:tcPr>
          <w:p w14:paraId="7023D3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sz w:val="21"/>
                <w:szCs w:val="21"/>
                <w:highlight w:val="none"/>
                <w:u w:val="none"/>
              </w:rPr>
            </w:pPr>
            <w:r>
              <w:rPr>
                <w:rFonts w:hint="default" w:ascii="Times New Roman" w:hAnsi="Times New Roman" w:eastAsia="宋体" w:cs="Times New Roman"/>
                <w:b w:val="0"/>
                <w:bCs w:val="0"/>
                <w:i w:val="0"/>
                <w:color w:val="auto"/>
                <w:kern w:val="0"/>
                <w:sz w:val="21"/>
                <w:szCs w:val="21"/>
                <w:highlight w:val="none"/>
                <w:u w:val="none"/>
                <w:lang w:val="en-US" w:eastAsia="zh-CN" w:bidi="ar"/>
              </w:rPr>
              <w:t>占标率%</w:t>
            </w:r>
          </w:p>
        </w:tc>
        <w:tc>
          <w:tcPr>
            <w:tcW w:w="1024" w:type="dxa"/>
            <w:tcBorders>
              <w:tl2br w:val="nil"/>
              <w:tr2bl w:val="nil"/>
            </w:tcBorders>
            <w:noWrap w:val="0"/>
            <w:tcMar>
              <w:top w:w="15" w:type="dxa"/>
              <w:left w:w="15" w:type="dxa"/>
              <w:right w:w="15" w:type="dxa"/>
            </w:tcMar>
            <w:vAlign w:val="center"/>
          </w:tcPr>
          <w:p w14:paraId="388F85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kern w:val="0"/>
                <w:sz w:val="21"/>
                <w:szCs w:val="21"/>
                <w:highlight w:val="none"/>
                <w:u w:val="none"/>
                <w:lang w:val="en-US" w:eastAsia="zh-CN" w:bidi="ar"/>
              </w:rPr>
            </w:pPr>
            <w:r>
              <w:rPr>
                <w:rFonts w:hint="default" w:ascii="Times New Roman" w:hAnsi="Times New Roman" w:eastAsia="宋体" w:cs="Times New Roman"/>
                <w:b w:val="0"/>
                <w:bCs w:val="0"/>
                <w:i w:val="0"/>
                <w:color w:val="auto"/>
                <w:kern w:val="0"/>
                <w:sz w:val="21"/>
                <w:szCs w:val="21"/>
                <w:highlight w:val="none"/>
                <w:u w:val="none"/>
                <w:lang w:val="en-US" w:eastAsia="zh-CN" w:bidi="ar"/>
              </w:rPr>
              <w:t>预测质量</w:t>
            </w:r>
          </w:p>
          <w:p w14:paraId="4ACDB7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kern w:val="0"/>
                <w:sz w:val="21"/>
                <w:szCs w:val="21"/>
                <w:highlight w:val="none"/>
                <w:u w:val="none"/>
                <w:lang w:val="en-US" w:eastAsia="zh-CN" w:bidi="ar"/>
              </w:rPr>
            </w:pPr>
            <w:r>
              <w:rPr>
                <w:rFonts w:hint="default" w:ascii="Times New Roman" w:hAnsi="Times New Roman" w:eastAsia="宋体" w:cs="Times New Roman"/>
                <w:b w:val="0"/>
                <w:bCs w:val="0"/>
                <w:i w:val="0"/>
                <w:color w:val="auto"/>
                <w:kern w:val="0"/>
                <w:sz w:val="21"/>
                <w:szCs w:val="21"/>
                <w:highlight w:val="none"/>
                <w:u w:val="none"/>
                <w:lang w:val="en-US" w:eastAsia="zh-CN" w:bidi="ar"/>
              </w:rPr>
              <w:t>浓度/ug/m</w:t>
            </w:r>
            <w:r>
              <w:rPr>
                <w:rFonts w:hint="default" w:ascii="Times New Roman" w:hAnsi="Times New Roman" w:eastAsia="宋体" w:cs="Times New Roman"/>
                <w:b w:val="0"/>
                <w:bCs w:val="0"/>
                <w:i w:val="0"/>
                <w:color w:val="auto"/>
                <w:kern w:val="0"/>
                <w:sz w:val="21"/>
                <w:szCs w:val="21"/>
                <w:highlight w:val="none"/>
                <w:u w:val="none"/>
                <w:vertAlign w:val="superscript"/>
                <w:lang w:val="en-US" w:eastAsia="zh-CN" w:bidi="ar"/>
              </w:rPr>
              <w:t>3</w:t>
            </w:r>
          </w:p>
        </w:tc>
        <w:tc>
          <w:tcPr>
            <w:tcW w:w="450" w:type="dxa"/>
            <w:tcBorders>
              <w:tl2br w:val="nil"/>
              <w:tr2bl w:val="nil"/>
            </w:tcBorders>
            <w:noWrap w:val="0"/>
            <w:tcMar>
              <w:top w:w="15" w:type="dxa"/>
              <w:left w:w="15" w:type="dxa"/>
              <w:right w:w="15" w:type="dxa"/>
            </w:tcMar>
            <w:vAlign w:val="center"/>
          </w:tcPr>
          <w:p w14:paraId="66EA6C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kern w:val="0"/>
                <w:sz w:val="21"/>
                <w:szCs w:val="21"/>
                <w:highlight w:val="none"/>
                <w:u w:val="none"/>
                <w:lang w:val="en-US" w:eastAsia="zh-CN" w:bidi="ar"/>
              </w:rPr>
            </w:pPr>
            <w:r>
              <w:rPr>
                <w:rFonts w:hint="default" w:ascii="Times New Roman" w:hAnsi="Times New Roman" w:eastAsia="宋体" w:cs="Times New Roman"/>
                <w:b w:val="0"/>
                <w:bCs w:val="0"/>
                <w:i w:val="0"/>
                <w:color w:val="auto"/>
                <w:kern w:val="0"/>
                <w:sz w:val="21"/>
                <w:szCs w:val="21"/>
                <w:highlight w:val="none"/>
                <w:u w:val="none"/>
                <w:lang w:val="en-US" w:eastAsia="zh-CN" w:bidi="ar"/>
              </w:rPr>
              <w:t>占标</w:t>
            </w:r>
          </w:p>
          <w:p w14:paraId="3DEABF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kern w:val="0"/>
                <w:sz w:val="21"/>
                <w:szCs w:val="21"/>
                <w:highlight w:val="none"/>
                <w:u w:val="none"/>
                <w:lang w:val="en-US" w:eastAsia="zh-CN" w:bidi="ar"/>
              </w:rPr>
            </w:pPr>
            <w:r>
              <w:rPr>
                <w:rFonts w:hint="default" w:ascii="Times New Roman" w:hAnsi="Times New Roman" w:eastAsia="宋体" w:cs="Times New Roman"/>
                <w:b w:val="0"/>
                <w:bCs w:val="0"/>
                <w:i w:val="0"/>
                <w:color w:val="auto"/>
                <w:kern w:val="0"/>
                <w:sz w:val="21"/>
                <w:szCs w:val="21"/>
                <w:highlight w:val="none"/>
                <w:u w:val="none"/>
                <w:lang w:val="en-US" w:eastAsia="zh-CN" w:bidi="ar"/>
              </w:rPr>
              <w:t>率%</w:t>
            </w:r>
          </w:p>
        </w:tc>
        <w:tc>
          <w:tcPr>
            <w:tcW w:w="1026" w:type="dxa"/>
            <w:tcBorders>
              <w:tl2br w:val="nil"/>
              <w:tr2bl w:val="nil"/>
            </w:tcBorders>
            <w:noWrap w:val="0"/>
            <w:tcMar>
              <w:top w:w="15" w:type="dxa"/>
              <w:left w:w="15" w:type="dxa"/>
              <w:right w:w="15" w:type="dxa"/>
            </w:tcMar>
            <w:vAlign w:val="center"/>
          </w:tcPr>
          <w:p w14:paraId="5BB96E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kern w:val="0"/>
                <w:sz w:val="21"/>
                <w:szCs w:val="21"/>
                <w:highlight w:val="none"/>
                <w:u w:val="none"/>
                <w:lang w:val="en-US" w:eastAsia="zh-CN" w:bidi="ar"/>
              </w:rPr>
            </w:pPr>
            <w:r>
              <w:rPr>
                <w:rFonts w:hint="default" w:ascii="Times New Roman" w:hAnsi="Times New Roman" w:eastAsia="宋体" w:cs="Times New Roman"/>
                <w:b w:val="0"/>
                <w:bCs w:val="0"/>
                <w:i w:val="0"/>
                <w:color w:val="auto"/>
                <w:kern w:val="0"/>
                <w:sz w:val="21"/>
                <w:szCs w:val="21"/>
                <w:highlight w:val="none"/>
                <w:u w:val="none"/>
                <w:lang w:val="en-US" w:eastAsia="zh-CN" w:bidi="ar"/>
              </w:rPr>
              <w:t>预测质量</w:t>
            </w:r>
          </w:p>
          <w:p w14:paraId="3E7845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kern w:val="0"/>
                <w:sz w:val="21"/>
                <w:szCs w:val="21"/>
                <w:highlight w:val="none"/>
                <w:u w:val="none"/>
                <w:lang w:val="en-US" w:eastAsia="zh-CN" w:bidi="ar"/>
              </w:rPr>
            </w:pPr>
            <w:r>
              <w:rPr>
                <w:rFonts w:hint="default" w:ascii="Times New Roman" w:hAnsi="Times New Roman" w:eastAsia="宋体" w:cs="Times New Roman"/>
                <w:b w:val="0"/>
                <w:bCs w:val="0"/>
                <w:i w:val="0"/>
                <w:color w:val="auto"/>
                <w:kern w:val="0"/>
                <w:sz w:val="21"/>
                <w:szCs w:val="21"/>
                <w:highlight w:val="none"/>
                <w:u w:val="none"/>
                <w:lang w:val="en-US" w:eastAsia="zh-CN" w:bidi="ar"/>
              </w:rPr>
              <w:t>浓度/ug/m</w:t>
            </w:r>
            <w:r>
              <w:rPr>
                <w:rFonts w:hint="default" w:ascii="Times New Roman" w:hAnsi="Times New Roman" w:eastAsia="宋体" w:cs="Times New Roman"/>
                <w:b w:val="0"/>
                <w:bCs w:val="0"/>
                <w:i w:val="0"/>
                <w:color w:val="auto"/>
                <w:kern w:val="0"/>
                <w:sz w:val="21"/>
                <w:szCs w:val="21"/>
                <w:highlight w:val="none"/>
                <w:u w:val="none"/>
                <w:vertAlign w:val="superscript"/>
                <w:lang w:val="en-US" w:eastAsia="zh-CN" w:bidi="ar"/>
              </w:rPr>
              <w:t>3</w:t>
            </w:r>
          </w:p>
        </w:tc>
        <w:tc>
          <w:tcPr>
            <w:tcW w:w="455" w:type="dxa"/>
            <w:tcBorders>
              <w:tl2br w:val="nil"/>
              <w:tr2bl w:val="nil"/>
            </w:tcBorders>
            <w:noWrap w:val="0"/>
            <w:tcMar>
              <w:top w:w="15" w:type="dxa"/>
              <w:left w:w="15" w:type="dxa"/>
              <w:right w:w="15" w:type="dxa"/>
            </w:tcMar>
            <w:vAlign w:val="center"/>
          </w:tcPr>
          <w:p w14:paraId="51763F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kern w:val="0"/>
                <w:sz w:val="21"/>
                <w:szCs w:val="21"/>
                <w:highlight w:val="none"/>
                <w:u w:val="none"/>
                <w:lang w:val="en-US" w:eastAsia="zh-CN" w:bidi="ar"/>
              </w:rPr>
            </w:pPr>
            <w:r>
              <w:rPr>
                <w:rFonts w:hint="default" w:ascii="Times New Roman" w:hAnsi="Times New Roman" w:eastAsia="宋体" w:cs="Times New Roman"/>
                <w:b w:val="0"/>
                <w:bCs w:val="0"/>
                <w:i w:val="0"/>
                <w:color w:val="auto"/>
                <w:kern w:val="0"/>
                <w:sz w:val="21"/>
                <w:szCs w:val="21"/>
                <w:highlight w:val="none"/>
                <w:u w:val="none"/>
                <w:lang w:val="en-US" w:eastAsia="zh-CN" w:bidi="ar"/>
              </w:rPr>
              <w:t>占标</w:t>
            </w:r>
          </w:p>
          <w:p w14:paraId="3F99E3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kern w:val="0"/>
                <w:sz w:val="21"/>
                <w:szCs w:val="21"/>
                <w:highlight w:val="none"/>
                <w:u w:val="none"/>
                <w:lang w:val="en-US" w:eastAsia="zh-CN" w:bidi="ar"/>
              </w:rPr>
            </w:pPr>
            <w:r>
              <w:rPr>
                <w:rFonts w:hint="default" w:ascii="Times New Roman" w:hAnsi="Times New Roman" w:eastAsia="宋体" w:cs="Times New Roman"/>
                <w:b w:val="0"/>
                <w:bCs w:val="0"/>
                <w:i w:val="0"/>
                <w:color w:val="auto"/>
                <w:kern w:val="0"/>
                <w:sz w:val="21"/>
                <w:szCs w:val="21"/>
                <w:highlight w:val="none"/>
                <w:u w:val="none"/>
                <w:lang w:val="en-US" w:eastAsia="zh-CN" w:bidi="ar"/>
              </w:rPr>
              <w:t>率%</w:t>
            </w:r>
          </w:p>
        </w:tc>
        <w:tc>
          <w:tcPr>
            <w:tcW w:w="1245" w:type="dxa"/>
            <w:tcBorders>
              <w:tl2br w:val="nil"/>
              <w:tr2bl w:val="nil"/>
            </w:tcBorders>
            <w:noWrap w:val="0"/>
            <w:tcMar>
              <w:top w:w="15" w:type="dxa"/>
              <w:left w:w="15" w:type="dxa"/>
              <w:right w:w="15" w:type="dxa"/>
            </w:tcMar>
            <w:vAlign w:val="center"/>
          </w:tcPr>
          <w:p w14:paraId="285E0C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kern w:val="0"/>
                <w:sz w:val="21"/>
                <w:szCs w:val="21"/>
                <w:highlight w:val="none"/>
                <w:u w:val="none"/>
                <w:lang w:val="en-US" w:eastAsia="zh-CN" w:bidi="ar"/>
              </w:rPr>
            </w:pPr>
            <w:r>
              <w:rPr>
                <w:rFonts w:hint="default" w:ascii="Times New Roman" w:hAnsi="Times New Roman" w:eastAsia="宋体" w:cs="Times New Roman"/>
                <w:b w:val="0"/>
                <w:bCs w:val="0"/>
                <w:i w:val="0"/>
                <w:color w:val="auto"/>
                <w:kern w:val="0"/>
                <w:sz w:val="21"/>
                <w:szCs w:val="21"/>
                <w:highlight w:val="none"/>
                <w:u w:val="none"/>
                <w:lang w:val="en-US" w:eastAsia="zh-CN" w:bidi="ar"/>
              </w:rPr>
              <w:t>预测质量</w:t>
            </w:r>
          </w:p>
          <w:p w14:paraId="7B09BD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kern w:val="0"/>
                <w:sz w:val="21"/>
                <w:szCs w:val="21"/>
                <w:highlight w:val="none"/>
                <w:u w:val="none"/>
                <w:lang w:val="en-US" w:eastAsia="zh-CN" w:bidi="ar"/>
              </w:rPr>
            </w:pPr>
            <w:r>
              <w:rPr>
                <w:rFonts w:hint="default" w:ascii="Times New Roman" w:hAnsi="Times New Roman" w:eastAsia="宋体" w:cs="Times New Roman"/>
                <w:b w:val="0"/>
                <w:bCs w:val="0"/>
                <w:i w:val="0"/>
                <w:color w:val="auto"/>
                <w:kern w:val="0"/>
                <w:sz w:val="21"/>
                <w:szCs w:val="21"/>
                <w:highlight w:val="none"/>
                <w:u w:val="none"/>
                <w:lang w:val="en-US" w:eastAsia="zh-CN" w:bidi="ar"/>
              </w:rPr>
              <w:t>浓度/ug/m</w:t>
            </w:r>
            <w:r>
              <w:rPr>
                <w:rFonts w:hint="default" w:ascii="Times New Roman" w:hAnsi="Times New Roman" w:eastAsia="宋体" w:cs="Times New Roman"/>
                <w:b w:val="0"/>
                <w:bCs w:val="0"/>
                <w:i w:val="0"/>
                <w:color w:val="auto"/>
                <w:kern w:val="0"/>
                <w:sz w:val="21"/>
                <w:szCs w:val="21"/>
                <w:highlight w:val="none"/>
                <w:u w:val="none"/>
                <w:vertAlign w:val="superscript"/>
                <w:lang w:val="en-US" w:eastAsia="zh-CN" w:bidi="ar"/>
              </w:rPr>
              <w:t>3</w:t>
            </w:r>
          </w:p>
        </w:tc>
        <w:tc>
          <w:tcPr>
            <w:tcW w:w="530" w:type="dxa"/>
            <w:tcBorders>
              <w:tl2br w:val="nil"/>
              <w:tr2bl w:val="nil"/>
            </w:tcBorders>
            <w:noWrap w:val="0"/>
            <w:tcMar>
              <w:top w:w="15" w:type="dxa"/>
              <w:left w:w="15" w:type="dxa"/>
              <w:right w:w="15" w:type="dxa"/>
            </w:tcMar>
            <w:vAlign w:val="center"/>
          </w:tcPr>
          <w:p w14:paraId="1D36A5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kern w:val="0"/>
                <w:sz w:val="21"/>
                <w:szCs w:val="21"/>
                <w:highlight w:val="none"/>
                <w:u w:val="none"/>
                <w:lang w:val="en-US" w:eastAsia="zh-CN" w:bidi="ar"/>
              </w:rPr>
            </w:pPr>
            <w:r>
              <w:rPr>
                <w:rFonts w:hint="default" w:ascii="Times New Roman" w:hAnsi="Times New Roman" w:eastAsia="宋体" w:cs="Times New Roman"/>
                <w:b w:val="0"/>
                <w:bCs w:val="0"/>
                <w:i w:val="0"/>
                <w:color w:val="auto"/>
                <w:kern w:val="0"/>
                <w:sz w:val="21"/>
                <w:szCs w:val="21"/>
                <w:highlight w:val="none"/>
                <w:u w:val="none"/>
                <w:lang w:val="en-US" w:eastAsia="zh-CN" w:bidi="ar"/>
              </w:rPr>
              <w:t>占标</w:t>
            </w:r>
          </w:p>
          <w:p w14:paraId="068600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kern w:val="0"/>
                <w:sz w:val="21"/>
                <w:szCs w:val="21"/>
                <w:highlight w:val="none"/>
                <w:u w:val="none"/>
                <w:lang w:val="en-US" w:eastAsia="zh-CN" w:bidi="ar"/>
              </w:rPr>
            </w:pPr>
            <w:r>
              <w:rPr>
                <w:rFonts w:hint="default" w:ascii="Times New Roman" w:hAnsi="Times New Roman" w:eastAsia="宋体" w:cs="Times New Roman"/>
                <w:b w:val="0"/>
                <w:bCs w:val="0"/>
                <w:i w:val="0"/>
                <w:color w:val="auto"/>
                <w:kern w:val="0"/>
                <w:sz w:val="21"/>
                <w:szCs w:val="21"/>
                <w:highlight w:val="none"/>
                <w:u w:val="none"/>
                <w:lang w:val="en-US" w:eastAsia="zh-CN" w:bidi="ar"/>
              </w:rPr>
              <w:t>率%</w:t>
            </w:r>
          </w:p>
        </w:tc>
      </w:tr>
      <w:tr w14:paraId="711B8CF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188" w:type="dxa"/>
            <w:tcBorders>
              <w:tl2br w:val="nil"/>
              <w:tr2bl w:val="nil"/>
            </w:tcBorders>
            <w:noWrap w:val="0"/>
            <w:tcMar>
              <w:top w:w="15" w:type="dxa"/>
              <w:left w:w="15" w:type="dxa"/>
              <w:right w:w="15" w:type="dxa"/>
            </w:tcMar>
            <w:vAlign w:val="center"/>
          </w:tcPr>
          <w:p w14:paraId="5649C93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85</w:t>
            </w:r>
          </w:p>
        </w:tc>
        <w:tc>
          <w:tcPr>
            <w:tcW w:w="1050" w:type="dxa"/>
            <w:tcBorders>
              <w:tl2br w:val="nil"/>
              <w:tr2bl w:val="nil"/>
            </w:tcBorders>
            <w:noWrap w:val="0"/>
            <w:tcMar>
              <w:top w:w="15" w:type="dxa"/>
              <w:left w:w="15" w:type="dxa"/>
              <w:right w:w="15" w:type="dxa"/>
            </w:tcMar>
            <w:vAlign w:val="center"/>
          </w:tcPr>
          <w:p w14:paraId="10BB1B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color w:val="auto"/>
                <w:kern w:val="0"/>
                <w:sz w:val="21"/>
                <w:szCs w:val="21"/>
                <w:highlight w:val="none"/>
                <w:u w:val="none"/>
                <w:lang w:val="en-US" w:eastAsia="zh-CN" w:bidi="ar"/>
              </w:rPr>
            </w:pPr>
            <w:r>
              <w:rPr>
                <w:rFonts w:hint="eastAsia" w:ascii="Times New Roman" w:hAnsi="Times New Roman" w:eastAsia="宋体" w:cs="Times New Roman"/>
                <w:b/>
                <w:bCs/>
                <w:i w:val="0"/>
                <w:color w:val="auto"/>
                <w:kern w:val="0"/>
                <w:sz w:val="21"/>
                <w:szCs w:val="21"/>
                <w:highlight w:val="none"/>
                <w:u w:val="none"/>
                <w:lang w:val="en-US" w:eastAsia="zh-CN" w:bidi="ar"/>
              </w:rPr>
              <w:t>6.1736</w:t>
            </w:r>
          </w:p>
        </w:tc>
        <w:tc>
          <w:tcPr>
            <w:tcW w:w="637" w:type="dxa"/>
            <w:tcBorders>
              <w:tl2br w:val="nil"/>
              <w:tr2bl w:val="nil"/>
            </w:tcBorders>
            <w:shd w:val="clear" w:color="auto" w:fill="auto"/>
            <w:noWrap w:val="0"/>
            <w:tcMar>
              <w:top w:w="15" w:type="dxa"/>
              <w:left w:w="15" w:type="dxa"/>
              <w:right w:w="15" w:type="dxa"/>
            </w:tcMar>
            <w:vAlign w:val="center"/>
          </w:tcPr>
          <w:p w14:paraId="2565B4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color w:val="auto"/>
                <w:kern w:val="0"/>
                <w:sz w:val="21"/>
                <w:szCs w:val="21"/>
                <w:highlight w:val="none"/>
                <w:u w:val="none"/>
                <w:lang w:val="en-US" w:eastAsia="zh-CN" w:bidi="ar"/>
              </w:rPr>
            </w:pPr>
            <w:r>
              <w:rPr>
                <w:rFonts w:hint="eastAsia" w:ascii="Times New Roman" w:hAnsi="Times New Roman" w:eastAsia="宋体" w:cs="Times New Roman"/>
                <w:b/>
                <w:bCs/>
                <w:i w:val="0"/>
                <w:color w:val="auto"/>
                <w:kern w:val="0"/>
                <w:sz w:val="21"/>
                <w:szCs w:val="21"/>
                <w:highlight w:val="none"/>
                <w:u w:val="none"/>
                <w:lang w:val="en-US" w:eastAsia="zh-CN" w:bidi="ar"/>
              </w:rPr>
              <w:t>1.23</w:t>
            </w:r>
          </w:p>
        </w:tc>
        <w:tc>
          <w:tcPr>
            <w:tcW w:w="1067" w:type="dxa"/>
            <w:tcBorders>
              <w:tl2br w:val="nil"/>
              <w:tr2bl w:val="nil"/>
            </w:tcBorders>
            <w:shd w:val="clear" w:color="auto" w:fill="auto"/>
            <w:noWrap w:val="0"/>
            <w:tcMar>
              <w:top w:w="15" w:type="dxa"/>
              <w:left w:w="15" w:type="dxa"/>
              <w:right w:w="15" w:type="dxa"/>
            </w:tcMar>
            <w:vAlign w:val="center"/>
          </w:tcPr>
          <w:p w14:paraId="286363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color w:val="auto"/>
                <w:kern w:val="0"/>
                <w:sz w:val="21"/>
                <w:szCs w:val="21"/>
                <w:highlight w:val="none"/>
                <w:u w:val="none"/>
                <w:lang w:val="en-US" w:eastAsia="zh-CN" w:bidi="ar"/>
              </w:rPr>
            </w:pPr>
            <w:r>
              <w:rPr>
                <w:rFonts w:hint="eastAsia" w:ascii="Times New Roman" w:hAnsi="Times New Roman" w:eastAsia="宋体" w:cs="Times New Roman"/>
                <w:b/>
                <w:bCs/>
                <w:i w:val="0"/>
                <w:color w:val="auto"/>
                <w:kern w:val="0"/>
                <w:sz w:val="21"/>
                <w:szCs w:val="21"/>
                <w:highlight w:val="none"/>
                <w:u w:val="none"/>
                <w:lang w:val="en-US" w:eastAsia="zh-CN" w:bidi="ar"/>
              </w:rPr>
              <w:t>8.8476</w:t>
            </w:r>
          </w:p>
        </w:tc>
        <w:tc>
          <w:tcPr>
            <w:tcW w:w="550" w:type="dxa"/>
            <w:tcBorders>
              <w:tl2br w:val="nil"/>
              <w:tr2bl w:val="nil"/>
            </w:tcBorders>
            <w:shd w:val="clear" w:color="auto" w:fill="auto"/>
            <w:noWrap w:val="0"/>
            <w:tcMar>
              <w:top w:w="15" w:type="dxa"/>
              <w:left w:w="15" w:type="dxa"/>
              <w:right w:w="15" w:type="dxa"/>
            </w:tcMar>
            <w:vAlign w:val="center"/>
          </w:tcPr>
          <w:p w14:paraId="38DCE7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color w:val="auto"/>
                <w:kern w:val="0"/>
                <w:sz w:val="21"/>
                <w:szCs w:val="21"/>
                <w:highlight w:val="none"/>
                <w:u w:val="none"/>
                <w:lang w:val="en-US" w:eastAsia="zh-CN" w:bidi="ar"/>
              </w:rPr>
            </w:pPr>
            <w:r>
              <w:rPr>
                <w:rFonts w:hint="eastAsia" w:ascii="Times New Roman" w:hAnsi="Times New Roman" w:eastAsia="宋体" w:cs="Times New Roman"/>
                <w:b/>
                <w:bCs/>
                <w:i w:val="0"/>
                <w:color w:val="auto"/>
                <w:kern w:val="0"/>
                <w:sz w:val="21"/>
                <w:szCs w:val="21"/>
                <w:highlight w:val="none"/>
                <w:u w:val="none"/>
                <w:lang w:val="en-US" w:eastAsia="zh-CN" w:bidi="ar"/>
              </w:rPr>
              <w:t>4.42</w:t>
            </w:r>
          </w:p>
        </w:tc>
        <w:tc>
          <w:tcPr>
            <w:tcW w:w="1016" w:type="dxa"/>
            <w:tcBorders>
              <w:tl2br w:val="nil"/>
              <w:tr2bl w:val="nil"/>
            </w:tcBorders>
            <w:shd w:val="clear" w:color="auto" w:fill="auto"/>
            <w:noWrap w:val="0"/>
            <w:tcMar>
              <w:top w:w="15" w:type="dxa"/>
              <w:left w:w="15" w:type="dxa"/>
              <w:right w:w="15" w:type="dxa"/>
            </w:tcMar>
            <w:vAlign w:val="center"/>
          </w:tcPr>
          <w:p w14:paraId="75A671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color w:val="auto"/>
                <w:kern w:val="0"/>
                <w:sz w:val="21"/>
                <w:szCs w:val="21"/>
                <w:highlight w:val="none"/>
                <w:u w:val="none"/>
                <w:lang w:val="en-US" w:eastAsia="zh-CN" w:bidi="ar"/>
              </w:rPr>
            </w:pPr>
            <w:r>
              <w:rPr>
                <w:rFonts w:hint="eastAsia" w:ascii="Times New Roman" w:hAnsi="Times New Roman" w:eastAsia="宋体" w:cs="Times New Roman"/>
                <w:b/>
                <w:bCs/>
                <w:i w:val="0"/>
                <w:color w:val="auto"/>
                <w:kern w:val="0"/>
                <w:sz w:val="21"/>
                <w:szCs w:val="21"/>
                <w:highlight w:val="none"/>
                <w:u w:val="none"/>
                <w:lang w:val="en-US" w:eastAsia="zh-CN" w:bidi="ar"/>
              </w:rPr>
              <w:t>1.3910</w:t>
            </w:r>
          </w:p>
        </w:tc>
        <w:tc>
          <w:tcPr>
            <w:tcW w:w="522" w:type="dxa"/>
            <w:tcBorders>
              <w:tl2br w:val="nil"/>
              <w:tr2bl w:val="nil"/>
            </w:tcBorders>
            <w:shd w:val="clear" w:color="auto" w:fill="auto"/>
            <w:noWrap w:val="0"/>
            <w:tcMar>
              <w:top w:w="15" w:type="dxa"/>
              <w:left w:w="15" w:type="dxa"/>
              <w:right w:w="15" w:type="dxa"/>
            </w:tcMar>
            <w:vAlign w:val="center"/>
          </w:tcPr>
          <w:p w14:paraId="11C86B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color w:val="auto"/>
                <w:kern w:val="0"/>
                <w:sz w:val="21"/>
                <w:szCs w:val="21"/>
                <w:highlight w:val="none"/>
                <w:u w:val="none"/>
                <w:lang w:val="en-US" w:eastAsia="zh-CN" w:bidi="ar"/>
              </w:rPr>
            </w:pPr>
            <w:r>
              <w:rPr>
                <w:rFonts w:hint="eastAsia" w:ascii="Times New Roman" w:hAnsi="Times New Roman" w:eastAsia="宋体" w:cs="Times New Roman"/>
                <w:b/>
                <w:bCs/>
                <w:i w:val="0"/>
                <w:color w:val="auto"/>
                <w:kern w:val="0"/>
                <w:sz w:val="21"/>
                <w:szCs w:val="21"/>
                <w:highlight w:val="none"/>
                <w:u w:val="none"/>
                <w:lang w:val="en-US" w:eastAsia="zh-CN" w:bidi="ar"/>
              </w:rPr>
              <w:t>0.31</w:t>
            </w:r>
          </w:p>
        </w:tc>
        <w:tc>
          <w:tcPr>
            <w:tcW w:w="1028" w:type="dxa"/>
            <w:tcBorders>
              <w:tl2br w:val="nil"/>
              <w:tr2bl w:val="nil"/>
            </w:tcBorders>
            <w:shd w:val="clear" w:color="auto" w:fill="auto"/>
            <w:noWrap w:val="0"/>
            <w:tcMar>
              <w:top w:w="15" w:type="dxa"/>
              <w:left w:w="15" w:type="dxa"/>
              <w:right w:w="15" w:type="dxa"/>
            </w:tcMar>
            <w:vAlign w:val="center"/>
          </w:tcPr>
          <w:p w14:paraId="47E8B2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color w:val="auto"/>
                <w:kern w:val="0"/>
                <w:sz w:val="21"/>
                <w:szCs w:val="21"/>
                <w:highlight w:val="none"/>
                <w:u w:val="none"/>
                <w:lang w:val="en-US" w:eastAsia="zh-CN" w:bidi="ar"/>
              </w:rPr>
            </w:pPr>
            <w:r>
              <w:rPr>
                <w:rFonts w:hint="eastAsia" w:ascii="Times New Roman" w:hAnsi="Times New Roman" w:eastAsia="宋体" w:cs="Times New Roman"/>
                <w:b/>
                <w:bCs/>
                <w:i w:val="0"/>
                <w:color w:val="auto"/>
                <w:kern w:val="0"/>
                <w:sz w:val="21"/>
                <w:szCs w:val="21"/>
                <w:highlight w:val="none"/>
                <w:u w:val="none"/>
                <w:lang w:val="en-US" w:eastAsia="zh-CN" w:bidi="ar"/>
              </w:rPr>
              <w:t>0.9019</w:t>
            </w:r>
          </w:p>
        </w:tc>
        <w:tc>
          <w:tcPr>
            <w:tcW w:w="600" w:type="dxa"/>
            <w:tcBorders>
              <w:tl2br w:val="nil"/>
              <w:tr2bl w:val="nil"/>
            </w:tcBorders>
            <w:shd w:val="clear" w:color="auto" w:fill="auto"/>
            <w:noWrap w:val="0"/>
            <w:tcMar>
              <w:top w:w="15" w:type="dxa"/>
              <w:left w:w="15" w:type="dxa"/>
              <w:right w:w="15" w:type="dxa"/>
            </w:tcMar>
            <w:vAlign w:val="center"/>
          </w:tcPr>
          <w:p w14:paraId="751618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color w:val="auto"/>
                <w:kern w:val="0"/>
                <w:sz w:val="21"/>
                <w:szCs w:val="21"/>
                <w:highlight w:val="none"/>
                <w:u w:val="none"/>
                <w:lang w:val="en-US" w:eastAsia="zh-CN" w:bidi="ar"/>
              </w:rPr>
            </w:pPr>
            <w:r>
              <w:rPr>
                <w:rFonts w:hint="eastAsia" w:ascii="Times New Roman" w:hAnsi="Times New Roman" w:eastAsia="宋体" w:cs="Times New Roman"/>
                <w:b/>
                <w:bCs/>
                <w:i w:val="0"/>
                <w:color w:val="auto"/>
                <w:kern w:val="0"/>
                <w:sz w:val="21"/>
                <w:szCs w:val="21"/>
                <w:highlight w:val="none"/>
                <w:u w:val="none"/>
                <w:lang w:val="en-US" w:eastAsia="zh-CN" w:bidi="ar"/>
              </w:rPr>
              <w:t>0.40</w:t>
            </w:r>
          </w:p>
        </w:tc>
        <w:tc>
          <w:tcPr>
            <w:tcW w:w="1034" w:type="dxa"/>
            <w:tcBorders>
              <w:tl2br w:val="nil"/>
              <w:tr2bl w:val="nil"/>
            </w:tcBorders>
            <w:shd w:val="clear" w:color="auto" w:fill="auto"/>
            <w:noWrap w:val="0"/>
            <w:tcMar>
              <w:top w:w="15" w:type="dxa"/>
              <w:left w:w="15" w:type="dxa"/>
              <w:right w:w="15" w:type="dxa"/>
            </w:tcMar>
            <w:vAlign w:val="center"/>
          </w:tcPr>
          <w:p w14:paraId="3FA519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color w:val="auto"/>
                <w:kern w:val="0"/>
                <w:sz w:val="21"/>
                <w:szCs w:val="21"/>
                <w:highlight w:val="none"/>
                <w:u w:val="none"/>
                <w:lang w:val="en-US" w:eastAsia="zh-CN" w:bidi="ar"/>
              </w:rPr>
            </w:pPr>
            <w:r>
              <w:rPr>
                <w:rFonts w:hint="eastAsia" w:ascii="Times New Roman" w:hAnsi="Times New Roman" w:eastAsia="宋体" w:cs="Times New Roman"/>
                <w:b/>
                <w:bCs/>
                <w:i w:val="0"/>
                <w:color w:val="auto"/>
                <w:kern w:val="0"/>
                <w:sz w:val="21"/>
                <w:szCs w:val="21"/>
                <w:highlight w:val="none"/>
                <w:u w:val="none"/>
                <w:lang w:val="en-US" w:eastAsia="zh-CN" w:bidi="ar"/>
              </w:rPr>
              <w:t>0.00042</w:t>
            </w:r>
          </w:p>
        </w:tc>
        <w:tc>
          <w:tcPr>
            <w:tcW w:w="566" w:type="dxa"/>
            <w:tcBorders>
              <w:tl2br w:val="nil"/>
              <w:tr2bl w:val="nil"/>
            </w:tcBorders>
            <w:shd w:val="clear" w:color="auto" w:fill="auto"/>
            <w:noWrap w:val="0"/>
            <w:tcMar>
              <w:top w:w="15" w:type="dxa"/>
              <w:left w:w="15" w:type="dxa"/>
              <w:right w:w="15" w:type="dxa"/>
            </w:tcMar>
            <w:vAlign w:val="center"/>
          </w:tcPr>
          <w:p w14:paraId="539153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color w:val="auto"/>
                <w:kern w:val="0"/>
                <w:sz w:val="21"/>
                <w:szCs w:val="21"/>
                <w:highlight w:val="none"/>
                <w:u w:val="none"/>
                <w:lang w:val="en-US" w:eastAsia="zh-CN" w:bidi="ar"/>
              </w:rPr>
            </w:pPr>
            <w:r>
              <w:rPr>
                <w:rFonts w:hint="eastAsia" w:ascii="Times New Roman" w:hAnsi="Times New Roman" w:eastAsia="宋体" w:cs="Times New Roman"/>
                <w:b/>
                <w:bCs/>
                <w:i w:val="0"/>
                <w:color w:val="auto"/>
                <w:kern w:val="0"/>
                <w:sz w:val="21"/>
                <w:szCs w:val="21"/>
                <w:highlight w:val="none"/>
                <w:u w:val="none"/>
                <w:lang w:val="en-US" w:eastAsia="zh-CN" w:bidi="ar"/>
              </w:rPr>
              <w:t>0.14</w:t>
            </w:r>
          </w:p>
        </w:tc>
        <w:tc>
          <w:tcPr>
            <w:tcW w:w="1024" w:type="dxa"/>
            <w:tcBorders>
              <w:tl2br w:val="nil"/>
              <w:tr2bl w:val="nil"/>
            </w:tcBorders>
            <w:shd w:val="clear" w:color="auto" w:fill="auto"/>
            <w:noWrap w:val="0"/>
            <w:tcMar>
              <w:top w:w="15" w:type="dxa"/>
              <w:left w:w="15" w:type="dxa"/>
              <w:right w:w="15" w:type="dxa"/>
            </w:tcMar>
            <w:vAlign w:val="center"/>
          </w:tcPr>
          <w:p w14:paraId="565A43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color w:val="auto"/>
                <w:kern w:val="0"/>
                <w:sz w:val="21"/>
                <w:szCs w:val="21"/>
                <w:highlight w:val="none"/>
                <w:u w:val="none"/>
                <w:lang w:val="en-US" w:eastAsia="zh-CN" w:bidi="ar"/>
              </w:rPr>
            </w:pPr>
            <w:r>
              <w:rPr>
                <w:rFonts w:hint="eastAsia" w:ascii="Times New Roman" w:hAnsi="Times New Roman" w:eastAsia="宋体" w:cs="Times New Roman"/>
                <w:b/>
                <w:bCs/>
                <w:i w:val="0"/>
                <w:color w:val="auto"/>
                <w:kern w:val="0"/>
                <w:sz w:val="21"/>
                <w:szCs w:val="21"/>
                <w:highlight w:val="none"/>
                <w:u w:val="none"/>
                <w:lang w:val="en-US" w:eastAsia="zh-CN" w:bidi="ar"/>
              </w:rPr>
              <w:t>0.5462</w:t>
            </w:r>
          </w:p>
        </w:tc>
        <w:tc>
          <w:tcPr>
            <w:tcW w:w="450" w:type="dxa"/>
            <w:tcBorders>
              <w:tl2br w:val="nil"/>
              <w:tr2bl w:val="nil"/>
            </w:tcBorders>
            <w:shd w:val="clear" w:color="auto" w:fill="auto"/>
            <w:noWrap w:val="0"/>
            <w:tcMar>
              <w:top w:w="15" w:type="dxa"/>
              <w:left w:w="15" w:type="dxa"/>
              <w:right w:w="15" w:type="dxa"/>
            </w:tcMar>
            <w:vAlign w:val="center"/>
          </w:tcPr>
          <w:p w14:paraId="642150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color w:val="auto"/>
                <w:kern w:val="0"/>
                <w:sz w:val="21"/>
                <w:szCs w:val="21"/>
                <w:highlight w:val="none"/>
                <w:u w:val="none"/>
                <w:lang w:val="en-US" w:eastAsia="zh-CN" w:bidi="ar"/>
              </w:rPr>
            </w:pPr>
            <w:r>
              <w:rPr>
                <w:rFonts w:hint="eastAsia" w:ascii="Times New Roman" w:hAnsi="Times New Roman" w:eastAsia="宋体" w:cs="Times New Roman"/>
                <w:b/>
                <w:bCs/>
                <w:i w:val="0"/>
                <w:color w:val="auto"/>
                <w:kern w:val="0"/>
                <w:sz w:val="21"/>
                <w:szCs w:val="21"/>
                <w:highlight w:val="none"/>
                <w:u w:val="none"/>
                <w:lang w:val="en-US" w:eastAsia="zh-CN" w:bidi="ar"/>
              </w:rPr>
              <w:t>0.27</w:t>
            </w:r>
          </w:p>
        </w:tc>
        <w:tc>
          <w:tcPr>
            <w:tcW w:w="1026" w:type="dxa"/>
            <w:tcBorders>
              <w:tl2br w:val="nil"/>
              <w:tr2bl w:val="nil"/>
            </w:tcBorders>
            <w:shd w:val="clear" w:color="auto" w:fill="auto"/>
            <w:noWrap w:val="0"/>
            <w:tcMar>
              <w:top w:w="15" w:type="dxa"/>
              <w:left w:w="15" w:type="dxa"/>
              <w:right w:w="15" w:type="dxa"/>
            </w:tcMar>
            <w:vAlign w:val="center"/>
          </w:tcPr>
          <w:p w14:paraId="1C84FA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color w:val="auto"/>
                <w:kern w:val="0"/>
                <w:sz w:val="21"/>
                <w:szCs w:val="21"/>
                <w:highlight w:val="none"/>
                <w:u w:val="none"/>
                <w:lang w:val="en-US" w:eastAsia="zh-CN" w:bidi="ar"/>
              </w:rPr>
            </w:pPr>
            <w:r>
              <w:rPr>
                <w:rFonts w:hint="eastAsia" w:ascii="Times New Roman" w:hAnsi="Times New Roman" w:eastAsia="宋体" w:cs="Times New Roman"/>
                <w:b w:val="0"/>
                <w:bCs w:val="0"/>
                <w:i w:val="0"/>
                <w:color w:val="auto"/>
                <w:kern w:val="0"/>
                <w:sz w:val="21"/>
                <w:szCs w:val="21"/>
                <w:highlight w:val="none"/>
                <w:u w:val="none"/>
                <w:lang w:val="en-US" w:eastAsia="zh-CN" w:bidi="ar"/>
              </w:rPr>
              <w:t>1.4065</w:t>
            </w:r>
          </w:p>
        </w:tc>
        <w:tc>
          <w:tcPr>
            <w:tcW w:w="455" w:type="dxa"/>
            <w:tcBorders>
              <w:tl2br w:val="nil"/>
              <w:tr2bl w:val="nil"/>
            </w:tcBorders>
            <w:shd w:val="clear" w:color="auto" w:fill="auto"/>
            <w:noWrap w:val="0"/>
            <w:tcMar>
              <w:top w:w="15" w:type="dxa"/>
              <w:left w:w="15" w:type="dxa"/>
              <w:right w:w="15" w:type="dxa"/>
            </w:tcMar>
            <w:vAlign w:val="center"/>
          </w:tcPr>
          <w:p w14:paraId="4CFCA8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color w:val="auto"/>
                <w:kern w:val="0"/>
                <w:sz w:val="21"/>
                <w:szCs w:val="21"/>
                <w:highlight w:val="none"/>
                <w:u w:val="none"/>
                <w:lang w:val="en-US" w:eastAsia="zh-CN" w:bidi="ar"/>
              </w:rPr>
            </w:pPr>
            <w:r>
              <w:rPr>
                <w:rFonts w:hint="eastAsia" w:ascii="Times New Roman" w:hAnsi="Times New Roman" w:eastAsia="宋体" w:cs="Times New Roman"/>
                <w:b/>
                <w:bCs/>
                <w:i w:val="0"/>
                <w:color w:val="auto"/>
                <w:kern w:val="0"/>
                <w:sz w:val="21"/>
                <w:szCs w:val="21"/>
                <w:highlight w:val="none"/>
                <w:u w:val="none"/>
                <w:lang w:val="en-US" w:eastAsia="zh-CN" w:bidi="ar"/>
              </w:rPr>
              <w:t>0.16</w:t>
            </w:r>
          </w:p>
        </w:tc>
        <w:tc>
          <w:tcPr>
            <w:tcW w:w="1245" w:type="dxa"/>
            <w:tcBorders>
              <w:tl2br w:val="nil"/>
              <w:tr2bl w:val="nil"/>
            </w:tcBorders>
            <w:shd w:val="clear" w:color="auto" w:fill="auto"/>
            <w:noWrap w:val="0"/>
            <w:tcMar>
              <w:top w:w="15" w:type="dxa"/>
              <w:left w:w="15" w:type="dxa"/>
              <w:right w:w="15" w:type="dxa"/>
            </w:tcMar>
            <w:vAlign w:val="center"/>
          </w:tcPr>
          <w:p w14:paraId="5B3F73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color w:val="auto"/>
                <w:kern w:val="0"/>
                <w:sz w:val="21"/>
                <w:szCs w:val="21"/>
                <w:highlight w:val="none"/>
                <w:u w:val="none"/>
                <w:lang w:val="en-US" w:eastAsia="zh-CN" w:bidi="ar"/>
              </w:rPr>
            </w:pPr>
            <w:r>
              <w:rPr>
                <w:rFonts w:hint="eastAsia" w:ascii="Times New Roman" w:hAnsi="Times New Roman" w:eastAsia="宋体" w:cs="Times New Roman"/>
                <w:b/>
                <w:bCs/>
                <w:i w:val="0"/>
                <w:color w:val="auto"/>
                <w:kern w:val="0"/>
                <w:sz w:val="21"/>
                <w:szCs w:val="21"/>
                <w:highlight w:val="none"/>
                <w:u w:val="none"/>
                <w:lang w:val="en-US" w:eastAsia="zh-CN" w:bidi="ar"/>
              </w:rPr>
              <w:t>0.000444</w:t>
            </w:r>
          </w:p>
        </w:tc>
        <w:tc>
          <w:tcPr>
            <w:tcW w:w="530" w:type="dxa"/>
            <w:tcBorders>
              <w:tl2br w:val="nil"/>
              <w:tr2bl w:val="nil"/>
            </w:tcBorders>
            <w:shd w:val="clear" w:color="auto" w:fill="auto"/>
            <w:noWrap w:val="0"/>
            <w:tcMar>
              <w:top w:w="15" w:type="dxa"/>
              <w:left w:w="15" w:type="dxa"/>
              <w:right w:w="15" w:type="dxa"/>
            </w:tcMar>
            <w:vAlign w:val="center"/>
          </w:tcPr>
          <w:p w14:paraId="472210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color w:val="auto"/>
                <w:kern w:val="0"/>
                <w:sz w:val="21"/>
                <w:szCs w:val="21"/>
                <w:highlight w:val="none"/>
                <w:u w:val="none"/>
                <w:lang w:val="en-US" w:eastAsia="zh-CN" w:bidi="ar"/>
              </w:rPr>
            </w:pPr>
            <w:r>
              <w:rPr>
                <w:rFonts w:hint="eastAsia" w:ascii="Times New Roman" w:hAnsi="Times New Roman" w:eastAsia="宋体" w:cs="Times New Roman"/>
                <w:b/>
                <w:bCs/>
                <w:i w:val="0"/>
                <w:color w:val="auto"/>
                <w:kern w:val="0"/>
                <w:sz w:val="21"/>
                <w:szCs w:val="21"/>
                <w:highlight w:val="none"/>
                <w:u w:val="none"/>
                <w:lang w:val="en-US" w:eastAsia="zh-CN" w:bidi="ar"/>
              </w:rPr>
              <w:t>0.05</w:t>
            </w:r>
          </w:p>
        </w:tc>
      </w:tr>
      <w:tr w14:paraId="6C1CF81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188" w:type="dxa"/>
            <w:tcBorders>
              <w:tl2br w:val="nil"/>
              <w:tr2bl w:val="nil"/>
            </w:tcBorders>
            <w:noWrap w:val="0"/>
            <w:tcMar>
              <w:top w:w="15" w:type="dxa"/>
              <w:left w:w="15" w:type="dxa"/>
              <w:right w:w="15" w:type="dxa"/>
            </w:tcMar>
            <w:vAlign w:val="center"/>
          </w:tcPr>
          <w:p w14:paraId="6A0DDAF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default" w:ascii="Times New Roman" w:hAnsi="Times New Roman" w:eastAsia="宋体" w:cs="Times New Roman"/>
                <w:b w:val="0"/>
                <w:bCs w:val="0"/>
                <w:i w:val="0"/>
                <w:color w:val="auto"/>
                <w:sz w:val="21"/>
                <w:szCs w:val="21"/>
                <w:highlight w:val="none"/>
                <w:u w:val="none"/>
                <w:lang w:val="en-US" w:eastAsia="zh-CN"/>
              </w:rPr>
              <w:t>100</w:t>
            </w:r>
          </w:p>
        </w:tc>
        <w:tc>
          <w:tcPr>
            <w:tcW w:w="1050" w:type="dxa"/>
            <w:tcBorders>
              <w:tl2br w:val="nil"/>
              <w:tr2bl w:val="nil"/>
            </w:tcBorders>
            <w:noWrap w:val="0"/>
            <w:tcMar>
              <w:top w:w="15" w:type="dxa"/>
              <w:left w:w="15" w:type="dxa"/>
              <w:right w:w="15" w:type="dxa"/>
            </w:tcMar>
            <w:vAlign w:val="center"/>
          </w:tcPr>
          <w:p w14:paraId="4FFD2B9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5.7211</w:t>
            </w:r>
          </w:p>
        </w:tc>
        <w:tc>
          <w:tcPr>
            <w:tcW w:w="637" w:type="dxa"/>
            <w:tcBorders>
              <w:tl2br w:val="nil"/>
              <w:tr2bl w:val="nil"/>
            </w:tcBorders>
            <w:shd w:val="clear" w:color="auto" w:fill="auto"/>
            <w:noWrap w:val="0"/>
            <w:tcMar>
              <w:top w:w="15" w:type="dxa"/>
              <w:left w:w="15" w:type="dxa"/>
              <w:right w:w="15" w:type="dxa"/>
            </w:tcMar>
            <w:vAlign w:val="center"/>
          </w:tcPr>
          <w:p w14:paraId="2D111E9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1.14</w:t>
            </w:r>
          </w:p>
        </w:tc>
        <w:tc>
          <w:tcPr>
            <w:tcW w:w="1067" w:type="dxa"/>
            <w:tcBorders>
              <w:tl2br w:val="nil"/>
              <w:tr2bl w:val="nil"/>
            </w:tcBorders>
            <w:shd w:val="clear" w:color="auto" w:fill="auto"/>
            <w:noWrap w:val="0"/>
            <w:tcMar>
              <w:top w:w="15" w:type="dxa"/>
              <w:left w:w="15" w:type="dxa"/>
              <w:right w:w="15" w:type="dxa"/>
            </w:tcMar>
            <w:vAlign w:val="center"/>
          </w:tcPr>
          <w:p w14:paraId="06ABC24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8.1991</w:t>
            </w:r>
          </w:p>
        </w:tc>
        <w:tc>
          <w:tcPr>
            <w:tcW w:w="550" w:type="dxa"/>
            <w:tcBorders>
              <w:tl2br w:val="nil"/>
              <w:tr2bl w:val="nil"/>
            </w:tcBorders>
            <w:shd w:val="clear" w:color="auto" w:fill="auto"/>
            <w:noWrap w:val="0"/>
            <w:tcMar>
              <w:top w:w="15" w:type="dxa"/>
              <w:left w:w="15" w:type="dxa"/>
              <w:right w:w="15" w:type="dxa"/>
            </w:tcMar>
            <w:vAlign w:val="center"/>
          </w:tcPr>
          <w:p w14:paraId="7ABF4BE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4.10</w:t>
            </w:r>
          </w:p>
        </w:tc>
        <w:tc>
          <w:tcPr>
            <w:tcW w:w="1016" w:type="dxa"/>
            <w:tcBorders>
              <w:tl2br w:val="nil"/>
              <w:tr2bl w:val="nil"/>
            </w:tcBorders>
            <w:shd w:val="clear" w:color="auto" w:fill="auto"/>
            <w:noWrap w:val="0"/>
            <w:tcMar>
              <w:top w:w="15" w:type="dxa"/>
              <w:left w:w="15" w:type="dxa"/>
              <w:right w:w="15" w:type="dxa"/>
            </w:tcMar>
            <w:vAlign w:val="center"/>
          </w:tcPr>
          <w:p w14:paraId="027989A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1.2890</w:t>
            </w:r>
          </w:p>
        </w:tc>
        <w:tc>
          <w:tcPr>
            <w:tcW w:w="522" w:type="dxa"/>
            <w:tcBorders>
              <w:tl2br w:val="nil"/>
              <w:tr2bl w:val="nil"/>
            </w:tcBorders>
            <w:shd w:val="clear" w:color="auto" w:fill="auto"/>
            <w:noWrap w:val="0"/>
            <w:tcMar>
              <w:top w:w="15" w:type="dxa"/>
              <w:left w:w="15" w:type="dxa"/>
              <w:right w:w="15" w:type="dxa"/>
            </w:tcMar>
            <w:vAlign w:val="center"/>
          </w:tcPr>
          <w:p w14:paraId="4C28C51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0.29</w:t>
            </w:r>
          </w:p>
        </w:tc>
        <w:tc>
          <w:tcPr>
            <w:tcW w:w="1028" w:type="dxa"/>
            <w:tcBorders>
              <w:tl2br w:val="nil"/>
              <w:tr2bl w:val="nil"/>
            </w:tcBorders>
            <w:shd w:val="clear" w:color="auto" w:fill="auto"/>
            <w:noWrap w:val="0"/>
            <w:tcMar>
              <w:top w:w="15" w:type="dxa"/>
              <w:left w:w="15" w:type="dxa"/>
              <w:right w:w="15" w:type="dxa"/>
            </w:tcMar>
            <w:vAlign w:val="center"/>
          </w:tcPr>
          <w:p w14:paraId="41B64BD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0.8358</w:t>
            </w:r>
          </w:p>
        </w:tc>
        <w:tc>
          <w:tcPr>
            <w:tcW w:w="600" w:type="dxa"/>
            <w:tcBorders>
              <w:tl2br w:val="nil"/>
              <w:tr2bl w:val="nil"/>
            </w:tcBorders>
            <w:shd w:val="clear" w:color="auto" w:fill="auto"/>
            <w:noWrap w:val="0"/>
            <w:tcMar>
              <w:top w:w="15" w:type="dxa"/>
              <w:left w:w="15" w:type="dxa"/>
              <w:right w:w="15" w:type="dxa"/>
            </w:tcMar>
            <w:vAlign w:val="center"/>
          </w:tcPr>
          <w:p w14:paraId="6426065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0.37</w:t>
            </w:r>
          </w:p>
        </w:tc>
        <w:tc>
          <w:tcPr>
            <w:tcW w:w="1034" w:type="dxa"/>
            <w:tcBorders>
              <w:tl2br w:val="nil"/>
              <w:tr2bl w:val="nil"/>
            </w:tcBorders>
            <w:shd w:val="clear" w:color="auto" w:fill="auto"/>
            <w:noWrap w:val="0"/>
            <w:tcMar>
              <w:top w:w="15" w:type="dxa"/>
              <w:left w:w="15" w:type="dxa"/>
              <w:right w:w="15" w:type="dxa"/>
            </w:tcMar>
            <w:vAlign w:val="center"/>
          </w:tcPr>
          <w:p w14:paraId="4A28D88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0.00039</w:t>
            </w:r>
          </w:p>
        </w:tc>
        <w:tc>
          <w:tcPr>
            <w:tcW w:w="566" w:type="dxa"/>
            <w:tcBorders>
              <w:tl2br w:val="nil"/>
              <w:tr2bl w:val="nil"/>
            </w:tcBorders>
            <w:shd w:val="clear" w:color="auto" w:fill="auto"/>
            <w:noWrap w:val="0"/>
            <w:tcMar>
              <w:top w:w="15" w:type="dxa"/>
              <w:left w:w="15" w:type="dxa"/>
              <w:right w:w="15" w:type="dxa"/>
            </w:tcMar>
            <w:vAlign w:val="center"/>
          </w:tcPr>
          <w:p w14:paraId="7ACF99E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0.13</w:t>
            </w:r>
          </w:p>
        </w:tc>
        <w:tc>
          <w:tcPr>
            <w:tcW w:w="1024" w:type="dxa"/>
            <w:tcBorders>
              <w:tl2br w:val="nil"/>
              <w:tr2bl w:val="nil"/>
            </w:tcBorders>
            <w:shd w:val="clear" w:color="auto" w:fill="auto"/>
            <w:noWrap w:val="0"/>
            <w:tcMar>
              <w:top w:w="15" w:type="dxa"/>
              <w:left w:w="15" w:type="dxa"/>
              <w:right w:w="15" w:type="dxa"/>
            </w:tcMar>
            <w:vAlign w:val="center"/>
          </w:tcPr>
          <w:p w14:paraId="787959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0.5062</w:t>
            </w:r>
          </w:p>
        </w:tc>
        <w:tc>
          <w:tcPr>
            <w:tcW w:w="450" w:type="dxa"/>
            <w:tcBorders>
              <w:tl2br w:val="nil"/>
              <w:tr2bl w:val="nil"/>
            </w:tcBorders>
            <w:shd w:val="clear" w:color="auto" w:fill="auto"/>
            <w:noWrap w:val="0"/>
            <w:tcMar>
              <w:top w:w="15" w:type="dxa"/>
              <w:left w:w="15" w:type="dxa"/>
              <w:right w:w="15" w:type="dxa"/>
            </w:tcMar>
            <w:vAlign w:val="center"/>
          </w:tcPr>
          <w:p w14:paraId="20D3264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0.25</w:t>
            </w:r>
          </w:p>
        </w:tc>
        <w:tc>
          <w:tcPr>
            <w:tcW w:w="1026" w:type="dxa"/>
            <w:tcBorders>
              <w:tl2br w:val="nil"/>
              <w:tr2bl w:val="nil"/>
            </w:tcBorders>
            <w:shd w:val="clear" w:color="auto" w:fill="auto"/>
            <w:noWrap w:val="0"/>
            <w:tcMar>
              <w:top w:w="15" w:type="dxa"/>
              <w:left w:w="15" w:type="dxa"/>
              <w:right w:w="15" w:type="dxa"/>
            </w:tcMar>
            <w:vAlign w:val="center"/>
          </w:tcPr>
          <w:p w14:paraId="0B2BB42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2.1932</w:t>
            </w:r>
          </w:p>
        </w:tc>
        <w:tc>
          <w:tcPr>
            <w:tcW w:w="455" w:type="dxa"/>
            <w:tcBorders>
              <w:tl2br w:val="nil"/>
              <w:tr2bl w:val="nil"/>
            </w:tcBorders>
            <w:shd w:val="clear" w:color="auto" w:fill="auto"/>
            <w:noWrap w:val="0"/>
            <w:tcMar>
              <w:top w:w="15" w:type="dxa"/>
              <w:left w:w="15" w:type="dxa"/>
              <w:right w:w="15" w:type="dxa"/>
            </w:tcMar>
            <w:vAlign w:val="center"/>
          </w:tcPr>
          <w:p w14:paraId="2038E44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0.20</w:t>
            </w:r>
          </w:p>
        </w:tc>
        <w:tc>
          <w:tcPr>
            <w:tcW w:w="1245" w:type="dxa"/>
            <w:tcBorders>
              <w:tl2br w:val="nil"/>
              <w:tr2bl w:val="nil"/>
            </w:tcBorders>
            <w:shd w:val="clear" w:color="auto" w:fill="auto"/>
            <w:noWrap w:val="0"/>
            <w:tcMar>
              <w:top w:w="15" w:type="dxa"/>
              <w:left w:w="15" w:type="dxa"/>
              <w:right w:w="15" w:type="dxa"/>
            </w:tcMar>
            <w:vAlign w:val="center"/>
          </w:tcPr>
          <w:p w14:paraId="7FB8D23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0.00041</w:t>
            </w:r>
          </w:p>
        </w:tc>
        <w:tc>
          <w:tcPr>
            <w:tcW w:w="530" w:type="dxa"/>
            <w:tcBorders>
              <w:tl2br w:val="nil"/>
              <w:tr2bl w:val="nil"/>
            </w:tcBorders>
            <w:shd w:val="clear" w:color="auto" w:fill="auto"/>
            <w:noWrap w:val="0"/>
            <w:tcMar>
              <w:top w:w="15" w:type="dxa"/>
              <w:left w:w="15" w:type="dxa"/>
              <w:right w:w="15" w:type="dxa"/>
            </w:tcMar>
            <w:vAlign w:val="center"/>
          </w:tcPr>
          <w:p w14:paraId="7BD078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0.05</w:t>
            </w:r>
          </w:p>
        </w:tc>
      </w:tr>
      <w:tr w14:paraId="5B91A2E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188" w:type="dxa"/>
            <w:tcBorders>
              <w:tl2br w:val="nil"/>
              <w:tr2bl w:val="nil"/>
            </w:tcBorders>
            <w:noWrap w:val="0"/>
            <w:tcMar>
              <w:top w:w="15" w:type="dxa"/>
              <w:left w:w="15" w:type="dxa"/>
              <w:right w:w="15" w:type="dxa"/>
            </w:tcMar>
            <w:vAlign w:val="center"/>
          </w:tcPr>
          <w:p w14:paraId="295A5F9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167</w:t>
            </w:r>
          </w:p>
        </w:tc>
        <w:tc>
          <w:tcPr>
            <w:tcW w:w="1050" w:type="dxa"/>
            <w:tcBorders>
              <w:tl2br w:val="nil"/>
              <w:tr2bl w:val="nil"/>
            </w:tcBorders>
            <w:noWrap w:val="0"/>
            <w:tcMar>
              <w:top w:w="15" w:type="dxa"/>
              <w:left w:w="15" w:type="dxa"/>
              <w:right w:w="15" w:type="dxa"/>
            </w:tcMar>
            <w:vAlign w:val="center"/>
          </w:tcPr>
          <w:p w14:paraId="0DF1EEC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w:t>
            </w:r>
          </w:p>
        </w:tc>
        <w:tc>
          <w:tcPr>
            <w:tcW w:w="637" w:type="dxa"/>
            <w:tcBorders>
              <w:tl2br w:val="nil"/>
              <w:tr2bl w:val="nil"/>
            </w:tcBorders>
            <w:shd w:val="clear" w:color="auto" w:fill="auto"/>
            <w:noWrap w:val="0"/>
            <w:tcMar>
              <w:top w:w="15" w:type="dxa"/>
              <w:left w:w="15" w:type="dxa"/>
              <w:right w:w="15" w:type="dxa"/>
            </w:tcMar>
            <w:vAlign w:val="center"/>
          </w:tcPr>
          <w:p w14:paraId="7E7B13B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w:t>
            </w:r>
          </w:p>
        </w:tc>
        <w:tc>
          <w:tcPr>
            <w:tcW w:w="1067" w:type="dxa"/>
            <w:tcBorders>
              <w:tl2br w:val="nil"/>
              <w:tr2bl w:val="nil"/>
            </w:tcBorders>
            <w:shd w:val="clear" w:color="auto" w:fill="auto"/>
            <w:noWrap w:val="0"/>
            <w:tcMar>
              <w:top w:w="15" w:type="dxa"/>
              <w:left w:w="15" w:type="dxa"/>
              <w:right w:w="15" w:type="dxa"/>
            </w:tcMar>
            <w:vAlign w:val="center"/>
          </w:tcPr>
          <w:p w14:paraId="0108B10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w:t>
            </w:r>
          </w:p>
        </w:tc>
        <w:tc>
          <w:tcPr>
            <w:tcW w:w="550" w:type="dxa"/>
            <w:tcBorders>
              <w:tl2br w:val="nil"/>
              <w:tr2bl w:val="nil"/>
            </w:tcBorders>
            <w:shd w:val="clear" w:color="auto" w:fill="auto"/>
            <w:noWrap w:val="0"/>
            <w:tcMar>
              <w:top w:w="15" w:type="dxa"/>
              <w:left w:w="15" w:type="dxa"/>
              <w:right w:w="15" w:type="dxa"/>
            </w:tcMar>
            <w:vAlign w:val="center"/>
          </w:tcPr>
          <w:p w14:paraId="5CCD04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w:t>
            </w:r>
          </w:p>
        </w:tc>
        <w:tc>
          <w:tcPr>
            <w:tcW w:w="1016" w:type="dxa"/>
            <w:tcBorders>
              <w:tl2br w:val="nil"/>
              <w:tr2bl w:val="nil"/>
            </w:tcBorders>
            <w:shd w:val="clear" w:color="auto" w:fill="auto"/>
            <w:noWrap w:val="0"/>
            <w:tcMar>
              <w:top w:w="15" w:type="dxa"/>
              <w:left w:w="15" w:type="dxa"/>
              <w:right w:w="15" w:type="dxa"/>
            </w:tcMar>
            <w:vAlign w:val="center"/>
          </w:tcPr>
          <w:p w14:paraId="3877F3D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w:t>
            </w:r>
          </w:p>
        </w:tc>
        <w:tc>
          <w:tcPr>
            <w:tcW w:w="522" w:type="dxa"/>
            <w:tcBorders>
              <w:tl2br w:val="nil"/>
              <w:tr2bl w:val="nil"/>
            </w:tcBorders>
            <w:shd w:val="clear" w:color="auto" w:fill="auto"/>
            <w:noWrap w:val="0"/>
            <w:tcMar>
              <w:top w:w="15" w:type="dxa"/>
              <w:left w:w="15" w:type="dxa"/>
              <w:right w:w="15" w:type="dxa"/>
            </w:tcMar>
            <w:vAlign w:val="center"/>
          </w:tcPr>
          <w:p w14:paraId="188EF59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w:t>
            </w:r>
          </w:p>
        </w:tc>
        <w:tc>
          <w:tcPr>
            <w:tcW w:w="1028" w:type="dxa"/>
            <w:tcBorders>
              <w:tl2br w:val="nil"/>
              <w:tr2bl w:val="nil"/>
            </w:tcBorders>
            <w:shd w:val="clear" w:color="auto" w:fill="auto"/>
            <w:noWrap w:val="0"/>
            <w:tcMar>
              <w:top w:w="15" w:type="dxa"/>
              <w:left w:w="15" w:type="dxa"/>
              <w:right w:w="15" w:type="dxa"/>
            </w:tcMar>
            <w:vAlign w:val="center"/>
          </w:tcPr>
          <w:p w14:paraId="50D4688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w:t>
            </w:r>
          </w:p>
        </w:tc>
        <w:tc>
          <w:tcPr>
            <w:tcW w:w="600" w:type="dxa"/>
            <w:tcBorders>
              <w:tl2br w:val="nil"/>
              <w:tr2bl w:val="nil"/>
            </w:tcBorders>
            <w:shd w:val="clear" w:color="auto" w:fill="auto"/>
            <w:noWrap w:val="0"/>
            <w:tcMar>
              <w:top w:w="15" w:type="dxa"/>
              <w:left w:w="15" w:type="dxa"/>
              <w:right w:w="15" w:type="dxa"/>
            </w:tcMar>
            <w:vAlign w:val="center"/>
          </w:tcPr>
          <w:p w14:paraId="1CCB7F5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w:t>
            </w:r>
          </w:p>
        </w:tc>
        <w:tc>
          <w:tcPr>
            <w:tcW w:w="1034" w:type="dxa"/>
            <w:tcBorders>
              <w:tl2br w:val="nil"/>
              <w:tr2bl w:val="nil"/>
            </w:tcBorders>
            <w:shd w:val="clear" w:color="auto" w:fill="auto"/>
            <w:noWrap w:val="0"/>
            <w:tcMar>
              <w:top w:w="15" w:type="dxa"/>
              <w:left w:w="15" w:type="dxa"/>
              <w:right w:w="15" w:type="dxa"/>
            </w:tcMar>
            <w:vAlign w:val="center"/>
          </w:tcPr>
          <w:p w14:paraId="30C2156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w:t>
            </w:r>
          </w:p>
        </w:tc>
        <w:tc>
          <w:tcPr>
            <w:tcW w:w="566" w:type="dxa"/>
            <w:tcBorders>
              <w:tl2br w:val="nil"/>
              <w:tr2bl w:val="nil"/>
            </w:tcBorders>
            <w:shd w:val="clear" w:color="auto" w:fill="auto"/>
            <w:noWrap w:val="0"/>
            <w:tcMar>
              <w:top w:w="15" w:type="dxa"/>
              <w:left w:w="15" w:type="dxa"/>
              <w:right w:w="15" w:type="dxa"/>
            </w:tcMar>
            <w:vAlign w:val="center"/>
          </w:tcPr>
          <w:p w14:paraId="38AD018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w:t>
            </w:r>
          </w:p>
        </w:tc>
        <w:tc>
          <w:tcPr>
            <w:tcW w:w="1024" w:type="dxa"/>
            <w:tcBorders>
              <w:tl2br w:val="nil"/>
              <w:tr2bl w:val="nil"/>
            </w:tcBorders>
            <w:shd w:val="clear" w:color="auto" w:fill="auto"/>
            <w:noWrap w:val="0"/>
            <w:tcMar>
              <w:top w:w="15" w:type="dxa"/>
              <w:left w:w="15" w:type="dxa"/>
              <w:right w:w="15" w:type="dxa"/>
            </w:tcMar>
            <w:vAlign w:val="center"/>
          </w:tcPr>
          <w:p w14:paraId="03224E8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w:t>
            </w:r>
          </w:p>
        </w:tc>
        <w:tc>
          <w:tcPr>
            <w:tcW w:w="450" w:type="dxa"/>
            <w:tcBorders>
              <w:tl2br w:val="nil"/>
              <w:tr2bl w:val="nil"/>
            </w:tcBorders>
            <w:shd w:val="clear" w:color="auto" w:fill="auto"/>
            <w:noWrap w:val="0"/>
            <w:tcMar>
              <w:top w:w="15" w:type="dxa"/>
              <w:left w:w="15" w:type="dxa"/>
              <w:right w:w="15" w:type="dxa"/>
            </w:tcMar>
            <w:vAlign w:val="center"/>
          </w:tcPr>
          <w:p w14:paraId="0A41EC6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w:t>
            </w:r>
          </w:p>
        </w:tc>
        <w:tc>
          <w:tcPr>
            <w:tcW w:w="1026" w:type="dxa"/>
            <w:tcBorders>
              <w:tl2br w:val="nil"/>
              <w:tr2bl w:val="nil"/>
            </w:tcBorders>
            <w:shd w:val="clear" w:color="auto" w:fill="auto"/>
            <w:noWrap w:val="0"/>
            <w:tcMar>
              <w:top w:w="15" w:type="dxa"/>
              <w:left w:w="15" w:type="dxa"/>
              <w:right w:w="15" w:type="dxa"/>
            </w:tcMar>
            <w:vAlign w:val="center"/>
          </w:tcPr>
          <w:p w14:paraId="07E5B56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color w:val="auto"/>
                <w:kern w:val="2"/>
                <w:sz w:val="21"/>
                <w:szCs w:val="21"/>
                <w:highlight w:val="none"/>
                <w:u w:val="none"/>
                <w:lang w:val="en-US" w:eastAsia="zh-CN" w:bidi="ar-SA"/>
              </w:rPr>
            </w:pPr>
            <w:r>
              <w:rPr>
                <w:rFonts w:hint="eastAsia" w:ascii="Times New Roman" w:hAnsi="Times New Roman" w:eastAsia="宋体" w:cs="Times New Roman"/>
                <w:b/>
                <w:bCs/>
                <w:i w:val="0"/>
                <w:color w:val="auto"/>
                <w:kern w:val="2"/>
                <w:sz w:val="21"/>
                <w:szCs w:val="21"/>
                <w:highlight w:val="none"/>
                <w:u w:val="none"/>
                <w:lang w:val="en-US" w:eastAsia="zh-CN" w:bidi="ar-SA"/>
              </w:rPr>
              <w:t>2.2132</w:t>
            </w:r>
          </w:p>
        </w:tc>
        <w:tc>
          <w:tcPr>
            <w:tcW w:w="455" w:type="dxa"/>
            <w:tcBorders>
              <w:tl2br w:val="nil"/>
              <w:tr2bl w:val="nil"/>
            </w:tcBorders>
            <w:shd w:val="clear" w:color="auto" w:fill="auto"/>
            <w:noWrap w:val="0"/>
            <w:tcMar>
              <w:top w:w="15" w:type="dxa"/>
              <w:left w:w="15" w:type="dxa"/>
              <w:right w:w="15" w:type="dxa"/>
            </w:tcMar>
            <w:vAlign w:val="center"/>
          </w:tcPr>
          <w:p w14:paraId="35DF1A0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color w:val="auto"/>
                <w:kern w:val="2"/>
                <w:sz w:val="21"/>
                <w:szCs w:val="21"/>
                <w:highlight w:val="none"/>
                <w:u w:val="none"/>
                <w:lang w:val="en-US" w:eastAsia="zh-CN" w:bidi="ar-SA"/>
              </w:rPr>
            </w:pPr>
            <w:r>
              <w:rPr>
                <w:rFonts w:hint="eastAsia" w:ascii="Times New Roman" w:hAnsi="Times New Roman" w:eastAsia="宋体" w:cs="Times New Roman"/>
                <w:b/>
                <w:bCs/>
                <w:i w:val="0"/>
                <w:color w:val="auto"/>
                <w:kern w:val="2"/>
                <w:sz w:val="21"/>
                <w:szCs w:val="21"/>
                <w:highlight w:val="none"/>
                <w:u w:val="none"/>
                <w:lang w:val="en-US" w:eastAsia="zh-CN" w:bidi="ar-SA"/>
              </w:rPr>
              <w:t>0.25</w:t>
            </w:r>
          </w:p>
        </w:tc>
        <w:tc>
          <w:tcPr>
            <w:tcW w:w="1245" w:type="dxa"/>
            <w:tcBorders>
              <w:tl2br w:val="nil"/>
              <w:tr2bl w:val="nil"/>
            </w:tcBorders>
            <w:shd w:val="clear" w:color="auto" w:fill="auto"/>
            <w:noWrap w:val="0"/>
            <w:tcMar>
              <w:top w:w="15" w:type="dxa"/>
              <w:left w:w="15" w:type="dxa"/>
              <w:right w:w="15" w:type="dxa"/>
            </w:tcMar>
            <w:vAlign w:val="center"/>
          </w:tcPr>
          <w:p w14:paraId="44394F7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w:t>
            </w:r>
          </w:p>
        </w:tc>
        <w:tc>
          <w:tcPr>
            <w:tcW w:w="530" w:type="dxa"/>
            <w:tcBorders>
              <w:tl2br w:val="nil"/>
              <w:tr2bl w:val="nil"/>
            </w:tcBorders>
            <w:shd w:val="clear" w:color="auto" w:fill="auto"/>
            <w:noWrap w:val="0"/>
            <w:tcMar>
              <w:top w:w="15" w:type="dxa"/>
              <w:left w:w="15" w:type="dxa"/>
              <w:right w:w="15" w:type="dxa"/>
            </w:tcMar>
            <w:vAlign w:val="center"/>
          </w:tcPr>
          <w:p w14:paraId="607FC11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w:t>
            </w:r>
          </w:p>
        </w:tc>
      </w:tr>
      <w:tr w14:paraId="44E02FB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188" w:type="dxa"/>
            <w:tcBorders>
              <w:tl2br w:val="nil"/>
              <w:tr2bl w:val="nil"/>
            </w:tcBorders>
            <w:noWrap w:val="0"/>
            <w:tcMar>
              <w:top w:w="15" w:type="dxa"/>
              <w:left w:w="15" w:type="dxa"/>
              <w:right w:w="15" w:type="dxa"/>
            </w:tcMar>
            <w:vAlign w:val="center"/>
          </w:tcPr>
          <w:p w14:paraId="64A1E6A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default" w:ascii="Times New Roman" w:hAnsi="Times New Roman" w:eastAsia="宋体" w:cs="Times New Roman"/>
                <w:b w:val="0"/>
                <w:bCs w:val="0"/>
                <w:i w:val="0"/>
                <w:color w:val="auto"/>
                <w:sz w:val="21"/>
                <w:szCs w:val="21"/>
                <w:highlight w:val="none"/>
                <w:u w:val="none"/>
                <w:lang w:val="en-US" w:eastAsia="zh-CN"/>
              </w:rPr>
              <w:t>200</w:t>
            </w:r>
          </w:p>
        </w:tc>
        <w:tc>
          <w:tcPr>
            <w:tcW w:w="1050" w:type="dxa"/>
            <w:tcBorders>
              <w:tl2br w:val="nil"/>
              <w:tr2bl w:val="nil"/>
            </w:tcBorders>
            <w:noWrap w:val="0"/>
            <w:tcMar>
              <w:top w:w="15" w:type="dxa"/>
              <w:left w:w="15" w:type="dxa"/>
              <w:right w:w="15" w:type="dxa"/>
            </w:tcMar>
            <w:vAlign w:val="center"/>
          </w:tcPr>
          <w:p w14:paraId="7AA9E8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4.6183</w:t>
            </w:r>
          </w:p>
        </w:tc>
        <w:tc>
          <w:tcPr>
            <w:tcW w:w="637" w:type="dxa"/>
            <w:tcBorders>
              <w:tl2br w:val="nil"/>
              <w:tr2bl w:val="nil"/>
            </w:tcBorders>
            <w:shd w:val="clear" w:color="auto" w:fill="auto"/>
            <w:noWrap w:val="0"/>
            <w:tcMar>
              <w:top w:w="15" w:type="dxa"/>
              <w:left w:w="15" w:type="dxa"/>
              <w:right w:w="15" w:type="dxa"/>
            </w:tcMar>
            <w:vAlign w:val="center"/>
          </w:tcPr>
          <w:p w14:paraId="0D9E4F8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0.92</w:t>
            </w:r>
          </w:p>
        </w:tc>
        <w:tc>
          <w:tcPr>
            <w:tcW w:w="1067" w:type="dxa"/>
            <w:tcBorders>
              <w:tl2br w:val="nil"/>
              <w:tr2bl w:val="nil"/>
            </w:tcBorders>
            <w:shd w:val="clear" w:color="auto" w:fill="auto"/>
            <w:noWrap w:val="0"/>
            <w:tcMar>
              <w:top w:w="15" w:type="dxa"/>
              <w:left w:w="15" w:type="dxa"/>
              <w:right w:w="15" w:type="dxa"/>
            </w:tcMar>
            <w:vAlign w:val="center"/>
          </w:tcPr>
          <w:p w14:paraId="722095A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6.6186</w:t>
            </w:r>
          </w:p>
        </w:tc>
        <w:tc>
          <w:tcPr>
            <w:tcW w:w="550" w:type="dxa"/>
            <w:tcBorders>
              <w:tl2br w:val="nil"/>
              <w:tr2bl w:val="nil"/>
            </w:tcBorders>
            <w:shd w:val="clear" w:color="auto" w:fill="auto"/>
            <w:noWrap w:val="0"/>
            <w:tcMar>
              <w:top w:w="15" w:type="dxa"/>
              <w:left w:w="15" w:type="dxa"/>
              <w:right w:w="15" w:type="dxa"/>
            </w:tcMar>
            <w:vAlign w:val="center"/>
          </w:tcPr>
          <w:p w14:paraId="119B48A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3.31</w:t>
            </w:r>
          </w:p>
        </w:tc>
        <w:tc>
          <w:tcPr>
            <w:tcW w:w="1016" w:type="dxa"/>
            <w:tcBorders>
              <w:tl2br w:val="nil"/>
              <w:tr2bl w:val="nil"/>
            </w:tcBorders>
            <w:shd w:val="clear" w:color="auto" w:fill="auto"/>
            <w:noWrap w:val="0"/>
            <w:tcMar>
              <w:top w:w="15" w:type="dxa"/>
              <w:left w:w="15" w:type="dxa"/>
              <w:right w:w="15" w:type="dxa"/>
            </w:tcMar>
            <w:vAlign w:val="center"/>
          </w:tcPr>
          <w:p w14:paraId="14F421E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1.0405</w:t>
            </w:r>
          </w:p>
        </w:tc>
        <w:tc>
          <w:tcPr>
            <w:tcW w:w="522" w:type="dxa"/>
            <w:tcBorders>
              <w:tl2br w:val="nil"/>
              <w:tr2bl w:val="nil"/>
            </w:tcBorders>
            <w:shd w:val="clear" w:color="auto" w:fill="auto"/>
            <w:noWrap w:val="0"/>
            <w:tcMar>
              <w:top w:w="15" w:type="dxa"/>
              <w:left w:w="15" w:type="dxa"/>
              <w:right w:w="15" w:type="dxa"/>
            </w:tcMar>
            <w:vAlign w:val="center"/>
          </w:tcPr>
          <w:p w14:paraId="449FE3F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0.23</w:t>
            </w:r>
          </w:p>
        </w:tc>
        <w:tc>
          <w:tcPr>
            <w:tcW w:w="1028" w:type="dxa"/>
            <w:tcBorders>
              <w:tl2br w:val="nil"/>
              <w:tr2bl w:val="nil"/>
            </w:tcBorders>
            <w:shd w:val="clear" w:color="auto" w:fill="auto"/>
            <w:noWrap w:val="0"/>
            <w:tcMar>
              <w:top w:w="15" w:type="dxa"/>
              <w:left w:w="15" w:type="dxa"/>
              <w:right w:w="15" w:type="dxa"/>
            </w:tcMar>
            <w:vAlign w:val="center"/>
          </w:tcPr>
          <w:p w14:paraId="6DFBEFA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0.6747</w:t>
            </w:r>
          </w:p>
        </w:tc>
        <w:tc>
          <w:tcPr>
            <w:tcW w:w="600" w:type="dxa"/>
            <w:tcBorders>
              <w:tl2br w:val="nil"/>
              <w:tr2bl w:val="nil"/>
            </w:tcBorders>
            <w:shd w:val="clear" w:color="auto" w:fill="auto"/>
            <w:noWrap w:val="0"/>
            <w:tcMar>
              <w:top w:w="15" w:type="dxa"/>
              <w:left w:w="15" w:type="dxa"/>
              <w:right w:w="15" w:type="dxa"/>
            </w:tcMar>
            <w:vAlign w:val="center"/>
          </w:tcPr>
          <w:p w14:paraId="7CD844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0.30</w:t>
            </w:r>
          </w:p>
        </w:tc>
        <w:tc>
          <w:tcPr>
            <w:tcW w:w="1034" w:type="dxa"/>
            <w:tcBorders>
              <w:tl2br w:val="nil"/>
              <w:tr2bl w:val="nil"/>
            </w:tcBorders>
            <w:shd w:val="clear" w:color="auto" w:fill="auto"/>
            <w:noWrap w:val="0"/>
            <w:tcMar>
              <w:top w:w="15" w:type="dxa"/>
              <w:left w:w="15" w:type="dxa"/>
              <w:right w:w="15" w:type="dxa"/>
            </w:tcMar>
            <w:vAlign w:val="center"/>
          </w:tcPr>
          <w:p w14:paraId="20EDF6F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0.00032</w:t>
            </w:r>
          </w:p>
        </w:tc>
        <w:tc>
          <w:tcPr>
            <w:tcW w:w="566" w:type="dxa"/>
            <w:tcBorders>
              <w:tl2br w:val="nil"/>
              <w:tr2bl w:val="nil"/>
            </w:tcBorders>
            <w:shd w:val="clear" w:color="auto" w:fill="auto"/>
            <w:noWrap w:val="0"/>
            <w:tcMar>
              <w:top w:w="15" w:type="dxa"/>
              <w:left w:w="15" w:type="dxa"/>
              <w:right w:w="15" w:type="dxa"/>
            </w:tcMar>
            <w:vAlign w:val="center"/>
          </w:tcPr>
          <w:p w14:paraId="267B714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0.11</w:t>
            </w:r>
          </w:p>
        </w:tc>
        <w:tc>
          <w:tcPr>
            <w:tcW w:w="1024" w:type="dxa"/>
            <w:tcBorders>
              <w:tl2br w:val="nil"/>
              <w:tr2bl w:val="nil"/>
            </w:tcBorders>
            <w:shd w:val="clear" w:color="auto" w:fill="auto"/>
            <w:noWrap w:val="0"/>
            <w:tcMar>
              <w:top w:w="15" w:type="dxa"/>
              <w:left w:w="15" w:type="dxa"/>
              <w:right w:w="15" w:type="dxa"/>
            </w:tcMar>
            <w:vAlign w:val="center"/>
          </w:tcPr>
          <w:p w14:paraId="4ABE97F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0.4086</w:t>
            </w:r>
          </w:p>
        </w:tc>
        <w:tc>
          <w:tcPr>
            <w:tcW w:w="450" w:type="dxa"/>
            <w:tcBorders>
              <w:tl2br w:val="nil"/>
              <w:tr2bl w:val="nil"/>
            </w:tcBorders>
            <w:shd w:val="clear" w:color="auto" w:fill="auto"/>
            <w:noWrap w:val="0"/>
            <w:tcMar>
              <w:top w:w="15" w:type="dxa"/>
              <w:left w:w="15" w:type="dxa"/>
              <w:right w:w="15" w:type="dxa"/>
            </w:tcMar>
            <w:vAlign w:val="center"/>
          </w:tcPr>
          <w:p w14:paraId="3C020D9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0.20</w:t>
            </w:r>
          </w:p>
        </w:tc>
        <w:tc>
          <w:tcPr>
            <w:tcW w:w="1026" w:type="dxa"/>
            <w:tcBorders>
              <w:tl2br w:val="nil"/>
              <w:tr2bl w:val="nil"/>
            </w:tcBorders>
            <w:shd w:val="clear" w:color="auto" w:fill="auto"/>
            <w:noWrap w:val="0"/>
            <w:tcMar>
              <w:top w:w="15" w:type="dxa"/>
              <w:left w:w="15" w:type="dxa"/>
              <w:right w:w="15" w:type="dxa"/>
            </w:tcMar>
            <w:vAlign w:val="center"/>
          </w:tcPr>
          <w:p w14:paraId="799B78A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2.1485</w:t>
            </w:r>
          </w:p>
        </w:tc>
        <w:tc>
          <w:tcPr>
            <w:tcW w:w="455" w:type="dxa"/>
            <w:tcBorders>
              <w:tl2br w:val="nil"/>
              <w:tr2bl w:val="nil"/>
            </w:tcBorders>
            <w:shd w:val="clear" w:color="auto" w:fill="auto"/>
            <w:noWrap w:val="0"/>
            <w:tcMar>
              <w:top w:w="15" w:type="dxa"/>
              <w:left w:w="15" w:type="dxa"/>
              <w:right w:w="15" w:type="dxa"/>
            </w:tcMar>
            <w:vAlign w:val="center"/>
          </w:tcPr>
          <w:p w14:paraId="00D7344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0.25</w:t>
            </w:r>
          </w:p>
        </w:tc>
        <w:tc>
          <w:tcPr>
            <w:tcW w:w="1245" w:type="dxa"/>
            <w:tcBorders>
              <w:tl2br w:val="nil"/>
              <w:tr2bl w:val="nil"/>
            </w:tcBorders>
            <w:shd w:val="clear" w:color="auto" w:fill="auto"/>
            <w:noWrap w:val="0"/>
            <w:tcMar>
              <w:top w:w="15" w:type="dxa"/>
              <w:left w:w="15" w:type="dxa"/>
              <w:right w:w="15" w:type="dxa"/>
            </w:tcMar>
            <w:vAlign w:val="center"/>
          </w:tcPr>
          <w:p w14:paraId="6A02211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0.000221</w:t>
            </w:r>
          </w:p>
        </w:tc>
        <w:tc>
          <w:tcPr>
            <w:tcW w:w="530" w:type="dxa"/>
            <w:tcBorders>
              <w:tl2br w:val="nil"/>
              <w:tr2bl w:val="nil"/>
            </w:tcBorders>
            <w:shd w:val="clear" w:color="auto" w:fill="auto"/>
            <w:noWrap w:val="0"/>
            <w:tcMar>
              <w:top w:w="15" w:type="dxa"/>
              <w:left w:w="15" w:type="dxa"/>
              <w:right w:w="15" w:type="dxa"/>
            </w:tcMar>
            <w:vAlign w:val="center"/>
          </w:tcPr>
          <w:p w14:paraId="24A033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0.02</w:t>
            </w:r>
          </w:p>
        </w:tc>
      </w:tr>
      <w:tr w14:paraId="40367BE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188" w:type="dxa"/>
            <w:tcBorders>
              <w:tl2br w:val="nil"/>
              <w:tr2bl w:val="nil"/>
            </w:tcBorders>
            <w:noWrap w:val="0"/>
            <w:tcMar>
              <w:top w:w="15" w:type="dxa"/>
              <w:left w:w="15" w:type="dxa"/>
              <w:right w:w="15" w:type="dxa"/>
            </w:tcMar>
            <w:vAlign w:val="center"/>
          </w:tcPr>
          <w:p w14:paraId="4BB6F10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default" w:ascii="Times New Roman" w:hAnsi="Times New Roman" w:eastAsia="宋体" w:cs="Times New Roman"/>
                <w:b w:val="0"/>
                <w:bCs w:val="0"/>
                <w:i w:val="0"/>
                <w:color w:val="auto"/>
                <w:sz w:val="21"/>
                <w:szCs w:val="21"/>
                <w:highlight w:val="none"/>
                <w:u w:val="none"/>
                <w:lang w:val="en-US" w:eastAsia="zh-CN"/>
              </w:rPr>
              <w:t>300</w:t>
            </w:r>
          </w:p>
        </w:tc>
        <w:tc>
          <w:tcPr>
            <w:tcW w:w="1050" w:type="dxa"/>
            <w:tcBorders>
              <w:tl2br w:val="nil"/>
              <w:tr2bl w:val="nil"/>
            </w:tcBorders>
            <w:noWrap w:val="0"/>
            <w:tcMar>
              <w:top w:w="15" w:type="dxa"/>
              <w:left w:w="15" w:type="dxa"/>
              <w:right w:w="15" w:type="dxa"/>
            </w:tcMar>
            <w:vAlign w:val="center"/>
          </w:tcPr>
          <w:p w14:paraId="2D2553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4.3269</w:t>
            </w:r>
          </w:p>
        </w:tc>
        <w:tc>
          <w:tcPr>
            <w:tcW w:w="637" w:type="dxa"/>
            <w:tcBorders>
              <w:tl2br w:val="nil"/>
              <w:tr2bl w:val="nil"/>
            </w:tcBorders>
            <w:shd w:val="clear" w:color="auto" w:fill="auto"/>
            <w:noWrap w:val="0"/>
            <w:tcMar>
              <w:top w:w="15" w:type="dxa"/>
              <w:left w:w="15" w:type="dxa"/>
              <w:right w:w="15" w:type="dxa"/>
            </w:tcMar>
            <w:vAlign w:val="center"/>
          </w:tcPr>
          <w:p w14:paraId="26C314F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0.87</w:t>
            </w:r>
          </w:p>
        </w:tc>
        <w:tc>
          <w:tcPr>
            <w:tcW w:w="1067" w:type="dxa"/>
            <w:tcBorders>
              <w:tl2br w:val="nil"/>
              <w:tr2bl w:val="nil"/>
            </w:tcBorders>
            <w:shd w:val="clear" w:color="auto" w:fill="auto"/>
            <w:noWrap w:val="0"/>
            <w:tcMar>
              <w:top w:w="15" w:type="dxa"/>
              <w:left w:w="15" w:type="dxa"/>
              <w:right w:w="15" w:type="dxa"/>
            </w:tcMar>
            <w:vAlign w:val="center"/>
          </w:tcPr>
          <w:p w14:paraId="2EC5E12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6.2010</w:t>
            </w:r>
          </w:p>
        </w:tc>
        <w:tc>
          <w:tcPr>
            <w:tcW w:w="550" w:type="dxa"/>
            <w:tcBorders>
              <w:tl2br w:val="nil"/>
              <w:tr2bl w:val="nil"/>
            </w:tcBorders>
            <w:shd w:val="clear" w:color="auto" w:fill="auto"/>
            <w:noWrap w:val="0"/>
            <w:tcMar>
              <w:top w:w="15" w:type="dxa"/>
              <w:left w:w="15" w:type="dxa"/>
              <w:right w:w="15" w:type="dxa"/>
            </w:tcMar>
            <w:vAlign w:val="center"/>
          </w:tcPr>
          <w:p w14:paraId="6D60257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3.10</w:t>
            </w:r>
          </w:p>
        </w:tc>
        <w:tc>
          <w:tcPr>
            <w:tcW w:w="1016" w:type="dxa"/>
            <w:tcBorders>
              <w:tl2br w:val="nil"/>
              <w:tr2bl w:val="nil"/>
            </w:tcBorders>
            <w:shd w:val="clear" w:color="auto" w:fill="auto"/>
            <w:noWrap w:val="0"/>
            <w:tcMar>
              <w:top w:w="15" w:type="dxa"/>
              <w:left w:w="15" w:type="dxa"/>
              <w:right w:w="15" w:type="dxa"/>
            </w:tcMar>
            <w:vAlign w:val="center"/>
          </w:tcPr>
          <w:p w14:paraId="2E7CF1A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0.9749</w:t>
            </w:r>
          </w:p>
        </w:tc>
        <w:tc>
          <w:tcPr>
            <w:tcW w:w="522" w:type="dxa"/>
            <w:tcBorders>
              <w:tl2br w:val="nil"/>
              <w:tr2bl w:val="nil"/>
            </w:tcBorders>
            <w:shd w:val="clear" w:color="auto" w:fill="auto"/>
            <w:noWrap w:val="0"/>
            <w:tcMar>
              <w:top w:w="15" w:type="dxa"/>
              <w:left w:w="15" w:type="dxa"/>
              <w:right w:w="15" w:type="dxa"/>
            </w:tcMar>
            <w:vAlign w:val="center"/>
          </w:tcPr>
          <w:p w14:paraId="726C710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0.22</w:t>
            </w:r>
          </w:p>
        </w:tc>
        <w:tc>
          <w:tcPr>
            <w:tcW w:w="1028" w:type="dxa"/>
            <w:tcBorders>
              <w:tl2br w:val="nil"/>
              <w:tr2bl w:val="nil"/>
            </w:tcBorders>
            <w:shd w:val="clear" w:color="auto" w:fill="auto"/>
            <w:noWrap w:val="0"/>
            <w:tcMar>
              <w:top w:w="15" w:type="dxa"/>
              <w:left w:w="15" w:type="dxa"/>
              <w:right w:w="15" w:type="dxa"/>
            </w:tcMar>
            <w:vAlign w:val="center"/>
          </w:tcPr>
          <w:p w14:paraId="3D377A7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0.6321</w:t>
            </w:r>
          </w:p>
        </w:tc>
        <w:tc>
          <w:tcPr>
            <w:tcW w:w="600" w:type="dxa"/>
            <w:tcBorders>
              <w:tl2br w:val="nil"/>
              <w:tr2bl w:val="nil"/>
            </w:tcBorders>
            <w:shd w:val="clear" w:color="auto" w:fill="auto"/>
            <w:noWrap w:val="0"/>
            <w:tcMar>
              <w:top w:w="15" w:type="dxa"/>
              <w:left w:w="15" w:type="dxa"/>
              <w:right w:w="15" w:type="dxa"/>
            </w:tcMar>
            <w:vAlign w:val="center"/>
          </w:tcPr>
          <w:p w14:paraId="7745460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0.28</w:t>
            </w:r>
          </w:p>
        </w:tc>
        <w:tc>
          <w:tcPr>
            <w:tcW w:w="1034" w:type="dxa"/>
            <w:tcBorders>
              <w:tl2br w:val="nil"/>
              <w:tr2bl w:val="nil"/>
            </w:tcBorders>
            <w:shd w:val="clear" w:color="auto" w:fill="auto"/>
            <w:noWrap w:val="0"/>
            <w:tcMar>
              <w:top w:w="15" w:type="dxa"/>
              <w:left w:w="15" w:type="dxa"/>
              <w:right w:w="15" w:type="dxa"/>
            </w:tcMar>
            <w:vAlign w:val="center"/>
          </w:tcPr>
          <w:p w14:paraId="0A98BE4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0.00030</w:t>
            </w:r>
          </w:p>
        </w:tc>
        <w:tc>
          <w:tcPr>
            <w:tcW w:w="566" w:type="dxa"/>
            <w:tcBorders>
              <w:tl2br w:val="nil"/>
              <w:tr2bl w:val="nil"/>
            </w:tcBorders>
            <w:shd w:val="clear" w:color="auto" w:fill="auto"/>
            <w:noWrap w:val="0"/>
            <w:tcMar>
              <w:top w:w="15" w:type="dxa"/>
              <w:left w:w="15" w:type="dxa"/>
              <w:right w:w="15" w:type="dxa"/>
            </w:tcMar>
            <w:vAlign w:val="center"/>
          </w:tcPr>
          <w:p w14:paraId="4B264AD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0.10</w:t>
            </w:r>
          </w:p>
        </w:tc>
        <w:tc>
          <w:tcPr>
            <w:tcW w:w="1024" w:type="dxa"/>
            <w:tcBorders>
              <w:tl2br w:val="nil"/>
              <w:tr2bl w:val="nil"/>
            </w:tcBorders>
            <w:shd w:val="clear" w:color="auto" w:fill="auto"/>
            <w:noWrap w:val="0"/>
            <w:tcMar>
              <w:top w:w="15" w:type="dxa"/>
              <w:left w:w="15" w:type="dxa"/>
              <w:right w:w="15" w:type="dxa"/>
            </w:tcMar>
            <w:vAlign w:val="center"/>
          </w:tcPr>
          <w:p w14:paraId="4A5EACA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0.3828</w:t>
            </w:r>
          </w:p>
        </w:tc>
        <w:tc>
          <w:tcPr>
            <w:tcW w:w="450" w:type="dxa"/>
            <w:tcBorders>
              <w:tl2br w:val="nil"/>
              <w:tr2bl w:val="nil"/>
            </w:tcBorders>
            <w:shd w:val="clear" w:color="auto" w:fill="auto"/>
            <w:noWrap w:val="0"/>
            <w:tcMar>
              <w:top w:w="15" w:type="dxa"/>
              <w:left w:w="15" w:type="dxa"/>
              <w:right w:w="15" w:type="dxa"/>
            </w:tcMar>
            <w:vAlign w:val="center"/>
          </w:tcPr>
          <w:p w14:paraId="0A53475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0.19</w:t>
            </w:r>
          </w:p>
        </w:tc>
        <w:tc>
          <w:tcPr>
            <w:tcW w:w="1026" w:type="dxa"/>
            <w:tcBorders>
              <w:tl2br w:val="nil"/>
              <w:tr2bl w:val="nil"/>
            </w:tcBorders>
            <w:shd w:val="clear" w:color="auto" w:fill="auto"/>
            <w:noWrap w:val="0"/>
            <w:tcMar>
              <w:top w:w="15" w:type="dxa"/>
              <w:left w:w="15" w:type="dxa"/>
              <w:right w:w="15" w:type="dxa"/>
            </w:tcMar>
            <w:vAlign w:val="center"/>
          </w:tcPr>
          <w:p w14:paraId="3F15D48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1.7013</w:t>
            </w:r>
          </w:p>
        </w:tc>
        <w:tc>
          <w:tcPr>
            <w:tcW w:w="455" w:type="dxa"/>
            <w:tcBorders>
              <w:tl2br w:val="nil"/>
              <w:tr2bl w:val="nil"/>
            </w:tcBorders>
            <w:shd w:val="clear" w:color="auto" w:fill="auto"/>
            <w:noWrap w:val="0"/>
            <w:tcMar>
              <w:top w:w="15" w:type="dxa"/>
              <w:left w:w="15" w:type="dxa"/>
              <w:right w:w="15" w:type="dxa"/>
            </w:tcMar>
            <w:vAlign w:val="center"/>
          </w:tcPr>
          <w:p w14:paraId="361E8D1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0.19</w:t>
            </w:r>
          </w:p>
        </w:tc>
        <w:tc>
          <w:tcPr>
            <w:tcW w:w="1245" w:type="dxa"/>
            <w:tcBorders>
              <w:tl2br w:val="nil"/>
              <w:tr2bl w:val="nil"/>
            </w:tcBorders>
            <w:shd w:val="clear" w:color="auto" w:fill="auto"/>
            <w:noWrap w:val="0"/>
            <w:tcMar>
              <w:top w:w="15" w:type="dxa"/>
              <w:left w:w="15" w:type="dxa"/>
              <w:right w:w="15" w:type="dxa"/>
            </w:tcMar>
            <w:vAlign w:val="center"/>
          </w:tcPr>
          <w:p w14:paraId="6831FA9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0.000136</w:t>
            </w:r>
          </w:p>
        </w:tc>
        <w:tc>
          <w:tcPr>
            <w:tcW w:w="530" w:type="dxa"/>
            <w:tcBorders>
              <w:tl2br w:val="nil"/>
              <w:tr2bl w:val="nil"/>
            </w:tcBorders>
            <w:shd w:val="clear" w:color="auto" w:fill="auto"/>
            <w:noWrap w:val="0"/>
            <w:tcMar>
              <w:top w:w="15" w:type="dxa"/>
              <w:left w:w="15" w:type="dxa"/>
              <w:right w:w="15" w:type="dxa"/>
            </w:tcMar>
            <w:vAlign w:val="center"/>
          </w:tcPr>
          <w:p w14:paraId="14233DA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0.02</w:t>
            </w:r>
          </w:p>
        </w:tc>
      </w:tr>
      <w:tr w14:paraId="64FE06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188" w:type="dxa"/>
            <w:tcBorders>
              <w:tl2br w:val="nil"/>
              <w:tr2bl w:val="nil"/>
            </w:tcBorders>
            <w:noWrap w:val="0"/>
            <w:tcMar>
              <w:top w:w="15" w:type="dxa"/>
              <w:left w:w="15" w:type="dxa"/>
              <w:right w:w="15" w:type="dxa"/>
            </w:tcMar>
            <w:vAlign w:val="center"/>
          </w:tcPr>
          <w:p w14:paraId="0D0F80E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default" w:ascii="Times New Roman" w:hAnsi="Times New Roman" w:eastAsia="宋体" w:cs="Times New Roman"/>
                <w:b w:val="0"/>
                <w:bCs w:val="0"/>
                <w:i w:val="0"/>
                <w:color w:val="auto"/>
                <w:sz w:val="21"/>
                <w:szCs w:val="21"/>
                <w:highlight w:val="none"/>
                <w:u w:val="none"/>
                <w:lang w:val="en-US" w:eastAsia="zh-CN"/>
              </w:rPr>
              <w:t>400</w:t>
            </w:r>
          </w:p>
        </w:tc>
        <w:tc>
          <w:tcPr>
            <w:tcW w:w="1050" w:type="dxa"/>
            <w:tcBorders>
              <w:tl2br w:val="nil"/>
              <w:tr2bl w:val="nil"/>
            </w:tcBorders>
            <w:noWrap/>
            <w:tcMar>
              <w:top w:w="15" w:type="dxa"/>
              <w:left w:w="15" w:type="dxa"/>
              <w:right w:w="15" w:type="dxa"/>
            </w:tcMar>
            <w:vAlign w:val="center"/>
          </w:tcPr>
          <w:p w14:paraId="590459A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3.8695</w:t>
            </w:r>
          </w:p>
        </w:tc>
        <w:tc>
          <w:tcPr>
            <w:tcW w:w="637" w:type="dxa"/>
            <w:tcBorders>
              <w:tl2br w:val="nil"/>
              <w:tr2bl w:val="nil"/>
            </w:tcBorders>
            <w:shd w:val="clear" w:color="auto" w:fill="auto"/>
            <w:noWrap/>
            <w:tcMar>
              <w:top w:w="15" w:type="dxa"/>
              <w:left w:w="15" w:type="dxa"/>
              <w:right w:w="15" w:type="dxa"/>
            </w:tcMar>
            <w:vAlign w:val="center"/>
          </w:tcPr>
          <w:p w14:paraId="36A5C57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0.77</w:t>
            </w:r>
          </w:p>
        </w:tc>
        <w:tc>
          <w:tcPr>
            <w:tcW w:w="1067" w:type="dxa"/>
            <w:tcBorders>
              <w:tl2br w:val="nil"/>
              <w:tr2bl w:val="nil"/>
            </w:tcBorders>
            <w:shd w:val="clear" w:color="auto" w:fill="auto"/>
            <w:noWrap/>
            <w:tcMar>
              <w:top w:w="15" w:type="dxa"/>
              <w:left w:w="15" w:type="dxa"/>
              <w:right w:w="15" w:type="dxa"/>
            </w:tcMar>
            <w:vAlign w:val="center"/>
          </w:tcPr>
          <w:p w14:paraId="04B8AD2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5.5455</w:t>
            </w:r>
          </w:p>
        </w:tc>
        <w:tc>
          <w:tcPr>
            <w:tcW w:w="550" w:type="dxa"/>
            <w:tcBorders>
              <w:tl2br w:val="nil"/>
              <w:tr2bl w:val="nil"/>
            </w:tcBorders>
            <w:shd w:val="clear" w:color="auto" w:fill="auto"/>
            <w:noWrap/>
            <w:tcMar>
              <w:top w:w="15" w:type="dxa"/>
              <w:left w:w="15" w:type="dxa"/>
              <w:right w:w="15" w:type="dxa"/>
            </w:tcMar>
            <w:vAlign w:val="center"/>
          </w:tcPr>
          <w:p w14:paraId="023CF21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2.77</w:t>
            </w:r>
          </w:p>
        </w:tc>
        <w:tc>
          <w:tcPr>
            <w:tcW w:w="1016" w:type="dxa"/>
            <w:tcBorders>
              <w:tl2br w:val="nil"/>
              <w:tr2bl w:val="nil"/>
            </w:tcBorders>
            <w:shd w:val="clear" w:color="auto" w:fill="auto"/>
            <w:noWrap/>
            <w:tcMar>
              <w:top w:w="15" w:type="dxa"/>
              <w:left w:w="15" w:type="dxa"/>
              <w:right w:w="15" w:type="dxa"/>
            </w:tcMar>
            <w:vAlign w:val="center"/>
          </w:tcPr>
          <w:p w14:paraId="5AB90E8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0.8718</w:t>
            </w:r>
          </w:p>
        </w:tc>
        <w:tc>
          <w:tcPr>
            <w:tcW w:w="522" w:type="dxa"/>
            <w:tcBorders>
              <w:tl2br w:val="nil"/>
              <w:tr2bl w:val="nil"/>
            </w:tcBorders>
            <w:shd w:val="clear" w:color="auto" w:fill="auto"/>
            <w:noWrap/>
            <w:tcMar>
              <w:top w:w="15" w:type="dxa"/>
              <w:left w:w="15" w:type="dxa"/>
              <w:right w:w="15" w:type="dxa"/>
            </w:tcMar>
            <w:vAlign w:val="center"/>
          </w:tcPr>
          <w:p w14:paraId="5052F36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0.19</w:t>
            </w:r>
          </w:p>
        </w:tc>
        <w:tc>
          <w:tcPr>
            <w:tcW w:w="1028" w:type="dxa"/>
            <w:tcBorders>
              <w:tl2br w:val="nil"/>
              <w:tr2bl w:val="nil"/>
            </w:tcBorders>
            <w:shd w:val="clear" w:color="auto" w:fill="auto"/>
            <w:noWrap/>
            <w:tcMar>
              <w:top w:w="15" w:type="dxa"/>
              <w:left w:w="15" w:type="dxa"/>
              <w:right w:w="15" w:type="dxa"/>
            </w:tcMar>
            <w:vAlign w:val="center"/>
          </w:tcPr>
          <w:p w14:paraId="033029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0.5653</w:t>
            </w:r>
          </w:p>
        </w:tc>
        <w:tc>
          <w:tcPr>
            <w:tcW w:w="600" w:type="dxa"/>
            <w:tcBorders>
              <w:tl2br w:val="nil"/>
              <w:tr2bl w:val="nil"/>
            </w:tcBorders>
            <w:shd w:val="clear" w:color="auto" w:fill="auto"/>
            <w:noWrap/>
            <w:tcMar>
              <w:top w:w="15" w:type="dxa"/>
              <w:left w:w="15" w:type="dxa"/>
              <w:right w:w="15" w:type="dxa"/>
            </w:tcMar>
            <w:vAlign w:val="center"/>
          </w:tcPr>
          <w:p w14:paraId="2B8DA2C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0.25</w:t>
            </w:r>
          </w:p>
        </w:tc>
        <w:tc>
          <w:tcPr>
            <w:tcW w:w="1034" w:type="dxa"/>
            <w:tcBorders>
              <w:tl2br w:val="nil"/>
              <w:tr2bl w:val="nil"/>
            </w:tcBorders>
            <w:shd w:val="clear" w:color="auto" w:fill="auto"/>
            <w:noWrap/>
            <w:tcMar>
              <w:top w:w="15" w:type="dxa"/>
              <w:left w:w="15" w:type="dxa"/>
              <w:right w:w="15" w:type="dxa"/>
            </w:tcMar>
            <w:vAlign w:val="center"/>
          </w:tcPr>
          <w:p w14:paraId="42A5F21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0.00027</w:t>
            </w:r>
          </w:p>
        </w:tc>
        <w:tc>
          <w:tcPr>
            <w:tcW w:w="566" w:type="dxa"/>
            <w:tcBorders>
              <w:tl2br w:val="nil"/>
              <w:tr2bl w:val="nil"/>
            </w:tcBorders>
            <w:shd w:val="clear" w:color="auto" w:fill="auto"/>
            <w:noWrap/>
            <w:tcMar>
              <w:top w:w="15" w:type="dxa"/>
              <w:left w:w="15" w:type="dxa"/>
              <w:right w:w="15" w:type="dxa"/>
            </w:tcMar>
            <w:vAlign w:val="center"/>
          </w:tcPr>
          <w:p w14:paraId="3E7BCF4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0.09</w:t>
            </w:r>
          </w:p>
        </w:tc>
        <w:tc>
          <w:tcPr>
            <w:tcW w:w="1024" w:type="dxa"/>
            <w:tcBorders>
              <w:tl2br w:val="nil"/>
              <w:tr2bl w:val="nil"/>
            </w:tcBorders>
            <w:shd w:val="clear" w:color="auto" w:fill="auto"/>
            <w:noWrap/>
            <w:tcMar>
              <w:top w:w="15" w:type="dxa"/>
              <w:left w:w="15" w:type="dxa"/>
              <w:right w:w="15" w:type="dxa"/>
            </w:tcMar>
            <w:vAlign w:val="center"/>
          </w:tcPr>
          <w:p w14:paraId="5219710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0.3424</w:t>
            </w:r>
          </w:p>
        </w:tc>
        <w:tc>
          <w:tcPr>
            <w:tcW w:w="450" w:type="dxa"/>
            <w:tcBorders>
              <w:tl2br w:val="nil"/>
              <w:tr2bl w:val="nil"/>
            </w:tcBorders>
            <w:shd w:val="clear" w:color="auto" w:fill="auto"/>
            <w:noWrap/>
            <w:tcMar>
              <w:top w:w="15" w:type="dxa"/>
              <w:left w:w="15" w:type="dxa"/>
              <w:right w:w="15" w:type="dxa"/>
            </w:tcMar>
            <w:vAlign w:val="center"/>
          </w:tcPr>
          <w:p w14:paraId="671B320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0.17</w:t>
            </w:r>
          </w:p>
        </w:tc>
        <w:tc>
          <w:tcPr>
            <w:tcW w:w="1026" w:type="dxa"/>
            <w:tcBorders>
              <w:tl2br w:val="nil"/>
              <w:tr2bl w:val="nil"/>
            </w:tcBorders>
            <w:shd w:val="clear" w:color="auto" w:fill="auto"/>
            <w:noWrap/>
            <w:tcMar>
              <w:top w:w="15" w:type="dxa"/>
              <w:left w:w="15" w:type="dxa"/>
              <w:right w:w="15" w:type="dxa"/>
            </w:tcMar>
            <w:vAlign w:val="center"/>
          </w:tcPr>
          <w:p w14:paraId="3B23590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1.3270</w:t>
            </w:r>
          </w:p>
        </w:tc>
        <w:tc>
          <w:tcPr>
            <w:tcW w:w="455" w:type="dxa"/>
            <w:tcBorders>
              <w:tl2br w:val="nil"/>
              <w:tr2bl w:val="nil"/>
            </w:tcBorders>
            <w:shd w:val="clear" w:color="auto" w:fill="auto"/>
            <w:noWrap/>
            <w:tcMar>
              <w:top w:w="15" w:type="dxa"/>
              <w:left w:w="15" w:type="dxa"/>
              <w:right w:w="15" w:type="dxa"/>
            </w:tcMar>
            <w:vAlign w:val="center"/>
          </w:tcPr>
          <w:p w14:paraId="2E7D395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0.15</w:t>
            </w:r>
          </w:p>
        </w:tc>
        <w:tc>
          <w:tcPr>
            <w:tcW w:w="1245" w:type="dxa"/>
            <w:tcBorders>
              <w:tl2br w:val="nil"/>
              <w:tr2bl w:val="nil"/>
            </w:tcBorders>
            <w:shd w:val="clear" w:color="auto" w:fill="auto"/>
            <w:noWrap/>
            <w:tcMar>
              <w:top w:w="15" w:type="dxa"/>
              <w:left w:w="15" w:type="dxa"/>
              <w:right w:w="15" w:type="dxa"/>
            </w:tcMar>
            <w:vAlign w:val="center"/>
          </w:tcPr>
          <w:p w14:paraId="42143D2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0.000097</w:t>
            </w:r>
          </w:p>
        </w:tc>
        <w:tc>
          <w:tcPr>
            <w:tcW w:w="530" w:type="dxa"/>
            <w:tcBorders>
              <w:tl2br w:val="nil"/>
              <w:tr2bl w:val="nil"/>
            </w:tcBorders>
            <w:shd w:val="clear" w:color="auto" w:fill="auto"/>
            <w:noWrap/>
            <w:tcMar>
              <w:top w:w="15" w:type="dxa"/>
              <w:left w:w="15" w:type="dxa"/>
              <w:right w:w="15" w:type="dxa"/>
            </w:tcMar>
            <w:vAlign w:val="center"/>
          </w:tcPr>
          <w:p w14:paraId="5B52DF7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0.01</w:t>
            </w:r>
          </w:p>
        </w:tc>
      </w:tr>
      <w:tr w14:paraId="6066724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188" w:type="dxa"/>
            <w:tcBorders>
              <w:tl2br w:val="nil"/>
              <w:tr2bl w:val="nil"/>
            </w:tcBorders>
            <w:noWrap w:val="0"/>
            <w:tcMar>
              <w:top w:w="15" w:type="dxa"/>
              <w:left w:w="15" w:type="dxa"/>
              <w:right w:w="15" w:type="dxa"/>
            </w:tcMar>
            <w:vAlign w:val="center"/>
          </w:tcPr>
          <w:p w14:paraId="430EFFB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default" w:ascii="Times New Roman" w:hAnsi="Times New Roman" w:eastAsia="宋体" w:cs="Times New Roman"/>
                <w:b w:val="0"/>
                <w:bCs w:val="0"/>
                <w:i w:val="0"/>
                <w:color w:val="auto"/>
                <w:sz w:val="21"/>
                <w:szCs w:val="21"/>
                <w:highlight w:val="none"/>
                <w:u w:val="none"/>
                <w:lang w:val="en-US" w:eastAsia="zh-CN"/>
              </w:rPr>
              <w:t>500</w:t>
            </w:r>
          </w:p>
        </w:tc>
        <w:tc>
          <w:tcPr>
            <w:tcW w:w="1050" w:type="dxa"/>
            <w:tcBorders>
              <w:tl2br w:val="nil"/>
              <w:tr2bl w:val="nil"/>
            </w:tcBorders>
            <w:noWrap/>
            <w:tcMar>
              <w:top w:w="15" w:type="dxa"/>
              <w:left w:w="15" w:type="dxa"/>
              <w:right w:w="15" w:type="dxa"/>
            </w:tcMar>
            <w:vAlign w:val="center"/>
          </w:tcPr>
          <w:p w14:paraId="0554307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3.4508</w:t>
            </w:r>
          </w:p>
        </w:tc>
        <w:tc>
          <w:tcPr>
            <w:tcW w:w="637" w:type="dxa"/>
            <w:tcBorders>
              <w:tl2br w:val="nil"/>
              <w:tr2bl w:val="nil"/>
            </w:tcBorders>
            <w:shd w:val="clear" w:color="auto" w:fill="auto"/>
            <w:noWrap/>
            <w:tcMar>
              <w:top w:w="15" w:type="dxa"/>
              <w:left w:w="15" w:type="dxa"/>
              <w:right w:w="15" w:type="dxa"/>
            </w:tcMar>
            <w:vAlign w:val="center"/>
          </w:tcPr>
          <w:p w14:paraId="3DCA6F9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0.69</w:t>
            </w:r>
          </w:p>
        </w:tc>
        <w:tc>
          <w:tcPr>
            <w:tcW w:w="1067" w:type="dxa"/>
            <w:tcBorders>
              <w:tl2br w:val="nil"/>
              <w:tr2bl w:val="nil"/>
            </w:tcBorders>
            <w:shd w:val="clear" w:color="auto" w:fill="auto"/>
            <w:noWrap/>
            <w:tcMar>
              <w:top w:w="15" w:type="dxa"/>
              <w:left w:w="15" w:type="dxa"/>
              <w:right w:w="15" w:type="dxa"/>
            </w:tcMar>
            <w:vAlign w:val="center"/>
          </w:tcPr>
          <w:p w14:paraId="65B92A4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4.9454</w:t>
            </w:r>
          </w:p>
        </w:tc>
        <w:tc>
          <w:tcPr>
            <w:tcW w:w="550" w:type="dxa"/>
            <w:tcBorders>
              <w:tl2br w:val="nil"/>
              <w:tr2bl w:val="nil"/>
            </w:tcBorders>
            <w:shd w:val="clear" w:color="auto" w:fill="auto"/>
            <w:noWrap/>
            <w:tcMar>
              <w:top w:w="15" w:type="dxa"/>
              <w:left w:w="15" w:type="dxa"/>
              <w:right w:w="15" w:type="dxa"/>
            </w:tcMar>
            <w:vAlign w:val="center"/>
          </w:tcPr>
          <w:p w14:paraId="73EB972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2.47</w:t>
            </w:r>
          </w:p>
        </w:tc>
        <w:tc>
          <w:tcPr>
            <w:tcW w:w="1016" w:type="dxa"/>
            <w:tcBorders>
              <w:tl2br w:val="nil"/>
              <w:tr2bl w:val="nil"/>
            </w:tcBorders>
            <w:shd w:val="clear" w:color="auto" w:fill="auto"/>
            <w:noWrap/>
            <w:tcMar>
              <w:top w:w="15" w:type="dxa"/>
              <w:left w:w="15" w:type="dxa"/>
              <w:right w:w="15" w:type="dxa"/>
            </w:tcMar>
            <w:vAlign w:val="center"/>
          </w:tcPr>
          <w:p w14:paraId="7786093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0.7775</w:t>
            </w:r>
          </w:p>
        </w:tc>
        <w:tc>
          <w:tcPr>
            <w:tcW w:w="522" w:type="dxa"/>
            <w:tcBorders>
              <w:tl2br w:val="nil"/>
              <w:tr2bl w:val="nil"/>
            </w:tcBorders>
            <w:shd w:val="clear" w:color="auto" w:fill="auto"/>
            <w:noWrap/>
            <w:tcMar>
              <w:top w:w="15" w:type="dxa"/>
              <w:left w:w="15" w:type="dxa"/>
              <w:right w:w="15" w:type="dxa"/>
            </w:tcMar>
            <w:vAlign w:val="center"/>
          </w:tcPr>
          <w:p w14:paraId="045CBAD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0.17</w:t>
            </w:r>
          </w:p>
        </w:tc>
        <w:tc>
          <w:tcPr>
            <w:tcW w:w="1028" w:type="dxa"/>
            <w:tcBorders>
              <w:tl2br w:val="nil"/>
              <w:tr2bl w:val="nil"/>
            </w:tcBorders>
            <w:shd w:val="clear" w:color="auto" w:fill="auto"/>
            <w:noWrap/>
            <w:tcMar>
              <w:top w:w="15" w:type="dxa"/>
              <w:left w:w="15" w:type="dxa"/>
              <w:right w:w="15" w:type="dxa"/>
            </w:tcMar>
            <w:vAlign w:val="center"/>
          </w:tcPr>
          <w:p w14:paraId="7EC7FDD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0.5041</w:t>
            </w:r>
          </w:p>
        </w:tc>
        <w:tc>
          <w:tcPr>
            <w:tcW w:w="600" w:type="dxa"/>
            <w:tcBorders>
              <w:tl2br w:val="nil"/>
              <w:tr2bl w:val="nil"/>
            </w:tcBorders>
            <w:shd w:val="clear" w:color="auto" w:fill="auto"/>
            <w:noWrap/>
            <w:tcMar>
              <w:top w:w="15" w:type="dxa"/>
              <w:left w:w="15" w:type="dxa"/>
              <w:right w:w="15" w:type="dxa"/>
            </w:tcMar>
            <w:vAlign w:val="center"/>
          </w:tcPr>
          <w:p w14:paraId="36FB4F2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0.22</w:t>
            </w:r>
          </w:p>
        </w:tc>
        <w:tc>
          <w:tcPr>
            <w:tcW w:w="1034" w:type="dxa"/>
            <w:tcBorders>
              <w:tl2br w:val="nil"/>
              <w:tr2bl w:val="nil"/>
            </w:tcBorders>
            <w:shd w:val="clear" w:color="auto" w:fill="auto"/>
            <w:noWrap/>
            <w:tcMar>
              <w:top w:w="15" w:type="dxa"/>
              <w:left w:w="15" w:type="dxa"/>
              <w:right w:w="15" w:type="dxa"/>
            </w:tcMar>
            <w:vAlign w:val="center"/>
          </w:tcPr>
          <w:p w14:paraId="35DE6F2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0.00024</w:t>
            </w:r>
          </w:p>
        </w:tc>
        <w:tc>
          <w:tcPr>
            <w:tcW w:w="566" w:type="dxa"/>
            <w:tcBorders>
              <w:tl2br w:val="nil"/>
              <w:tr2bl w:val="nil"/>
            </w:tcBorders>
            <w:shd w:val="clear" w:color="auto" w:fill="auto"/>
            <w:noWrap/>
            <w:tcMar>
              <w:top w:w="15" w:type="dxa"/>
              <w:left w:w="15" w:type="dxa"/>
              <w:right w:w="15" w:type="dxa"/>
            </w:tcMar>
            <w:vAlign w:val="center"/>
          </w:tcPr>
          <w:p w14:paraId="77ED818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0.08</w:t>
            </w:r>
          </w:p>
        </w:tc>
        <w:tc>
          <w:tcPr>
            <w:tcW w:w="1024" w:type="dxa"/>
            <w:tcBorders>
              <w:tl2br w:val="nil"/>
              <w:tr2bl w:val="nil"/>
            </w:tcBorders>
            <w:shd w:val="clear" w:color="auto" w:fill="auto"/>
            <w:noWrap/>
            <w:tcMar>
              <w:top w:w="15" w:type="dxa"/>
              <w:left w:w="15" w:type="dxa"/>
              <w:right w:w="15" w:type="dxa"/>
            </w:tcMar>
            <w:vAlign w:val="center"/>
          </w:tcPr>
          <w:p w14:paraId="6D30564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0.3053</w:t>
            </w:r>
          </w:p>
        </w:tc>
        <w:tc>
          <w:tcPr>
            <w:tcW w:w="450" w:type="dxa"/>
            <w:tcBorders>
              <w:tl2br w:val="nil"/>
              <w:tr2bl w:val="nil"/>
            </w:tcBorders>
            <w:shd w:val="clear" w:color="auto" w:fill="auto"/>
            <w:noWrap/>
            <w:tcMar>
              <w:top w:w="15" w:type="dxa"/>
              <w:left w:w="15" w:type="dxa"/>
              <w:right w:w="15" w:type="dxa"/>
            </w:tcMar>
            <w:vAlign w:val="center"/>
          </w:tcPr>
          <w:p w14:paraId="1AC8E9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0.15</w:t>
            </w:r>
          </w:p>
        </w:tc>
        <w:tc>
          <w:tcPr>
            <w:tcW w:w="1026" w:type="dxa"/>
            <w:tcBorders>
              <w:tl2br w:val="nil"/>
              <w:tr2bl w:val="nil"/>
            </w:tcBorders>
            <w:shd w:val="clear" w:color="auto" w:fill="auto"/>
            <w:noWrap/>
            <w:tcMar>
              <w:top w:w="15" w:type="dxa"/>
              <w:left w:w="15" w:type="dxa"/>
              <w:right w:w="15" w:type="dxa"/>
            </w:tcMar>
            <w:vAlign w:val="center"/>
          </w:tcPr>
          <w:p w14:paraId="6FCA022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1.0552</w:t>
            </w:r>
          </w:p>
        </w:tc>
        <w:tc>
          <w:tcPr>
            <w:tcW w:w="455" w:type="dxa"/>
            <w:tcBorders>
              <w:tl2br w:val="nil"/>
              <w:tr2bl w:val="nil"/>
            </w:tcBorders>
            <w:shd w:val="clear" w:color="auto" w:fill="auto"/>
            <w:noWrap/>
            <w:tcMar>
              <w:top w:w="15" w:type="dxa"/>
              <w:left w:w="15" w:type="dxa"/>
              <w:right w:w="15" w:type="dxa"/>
            </w:tcMar>
            <w:vAlign w:val="center"/>
          </w:tcPr>
          <w:p w14:paraId="07D477E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0.12</w:t>
            </w:r>
          </w:p>
        </w:tc>
        <w:tc>
          <w:tcPr>
            <w:tcW w:w="1245" w:type="dxa"/>
            <w:tcBorders>
              <w:tl2br w:val="nil"/>
              <w:tr2bl w:val="nil"/>
            </w:tcBorders>
            <w:shd w:val="clear" w:color="auto" w:fill="auto"/>
            <w:noWrap/>
            <w:tcMar>
              <w:top w:w="15" w:type="dxa"/>
              <w:left w:w="15" w:type="dxa"/>
              <w:right w:w="15" w:type="dxa"/>
            </w:tcMar>
            <w:vAlign w:val="center"/>
          </w:tcPr>
          <w:p w14:paraId="2F11C06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0.000073</w:t>
            </w:r>
          </w:p>
        </w:tc>
        <w:tc>
          <w:tcPr>
            <w:tcW w:w="530" w:type="dxa"/>
            <w:tcBorders>
              <w:tl2br w:val="nil"/>
              <w:tr2bl w:val="nil"/>
            </w:tcBorders>
            <w:shd w:val="clear" w:color="auto" w:fill="auto"/>
            <w:noWrap/>
            <w:tcMar>
              <w:top w:w="15" w:type="dxa"/>
              <w:left w:w="15" w:type="dxa"/>
              <w:right w:w="15" w:type="dxa"/>
            </w:tcMar>
            <w:vAlign w:val="center"/>
          </w:tcPr>
          <w:p w14:paraId="5E09BC6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0.01</w:t>
            </w:r>
          </w:p>
        </w:tc>
      </w:tr>
      <w:tr w14:paraId="3FD4559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188" w:type="dxa"/>
            <w:tcBorders>
              <w:tl2br w:val="nil"/>
              <w:tr2bl w:val="nil"/>
            </w:tcBorders>
            <w:noWrap w:val="0"/>
            <w:tcMar>
              <w:top w:w="15" w:type="dxa"/>
              <w:left w:w="15" w:type="dxa"/>
              <w:right w:w="15" w:type="dxa"/>
            </w:tcMar>
            <w:vAlign w:val="center"/>
          </w:tcPr>
          <w:p w14:paraId="5BCD20A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default" w:ascii="Times New Roman" w:hAnsi="Times New Roman" w:eastAsia="宋体" w:cs="Times New Roman"/>
                <w:b w:val="0"/>
                <w:bCs w:val="0"/>
                <w:i w:val="0"/>
                <w:color w:val="auto"/>
                <w:sz w:val="21"/>
                <w:szCs w:val="21"/>
                <w:highlight w:val="none"/>
                <w:u w:val="none"/>
                <w:lang w:val="en-US" w:eastAsia="zh-CN"/>
              </w:rPr>
              <w:t>600</w:t>
            </w:r>
          </w:p>
        </w:tc>
        <w:tc>
          <w:tcPr>
            <w:tcW w:w="1050" w:type="dxa"/>
            <w:tcBorders>
              <w:tl2br w:val="nil"/>
              <w:tr2bl w:val="nil"/>
            </w:tcBorders>
            <w:noWrap/>
            <w:tcMar>
              <w:top w:w="15" w:type="dxa"/>
              <w:left w:w="15" w:type="dxa"/>
              <w:right w:w="15" w:type="dxa"/>
            </w:tcMar>
            <w:vAlign w:val="center"/>
          </w:tcPr>
          <w:p w14:paraId="4970AC7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3.0136</w:t>
            </w:r>
          </w:p>
        </w:tc>
        <w:tc>
          <w:tcPr>
            <w:tcW w:w="637" w:type="dxa"/>
            <w:tcBorders>
              <w:tl2br w:val="nil"/>
              <w:tr2bl w:val="nil"/>
            </w:tcBorders>
            <w:shd w:val="clear" w:color="auto" w:fill="auto"/>
            <w:noWrap/>
            <w:tcMar>
              <w:top w:w="15" w:type="dxa"/>
              <w:left w:w="15" w:type="dxa"/>
              <w:right w:w="15" w:type="dxa"/>
            </w:tcMar>
            <w:vAlign w:val="center"/>
          </w:tcPr>
          <w:p w14:paraId="78FE5E7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0.60</w:t>
            </w:r>
          </w:p>
        </w:tc>
        <w:tc>
          <w:tcPr>
            <w:tcW w:w="1067" w:type="dxa"/>
            <w:tcBorders>
              <w:tl2br w:val="nil"/>
              <w:tr2bl w:val="nil"/>
            </w:tcBorders>
            <w:shd w:val="clear" w:color="auto" w:fill="auto"/>
            <w:noWrap/>
            <w:tcMar>
              <w:top w:w="15" w:type="dxa"/>
              <w:left w:w="15" w:type="dxa"/>
              <w:right w:w="15" w:type="dxa"/>
            </w:tcMar>
            <w:vAlign w:val="center"/>
          </w:tcPr>
          <w:p w14:paraId="5034350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4.3187</w:t>
            </w:r>
          </w:p>
        </w:tc>
        <w:tc>
          <w:tcPr>
            <w:tcW w:w="550" w:type="dxa"/>
            <w:tcBorders>
              <w:tl2br w:val="nil"/>
              <w:tr2bl w:val="nil"/>
            </w:tcBorders>
            <w:shd w:val="clear" w:color="auto" w:fill="auto"/>
            <w:noWrap/>
            <w:tcMar>
              <w:top w:w="15" w:type="dxa"/>
              <w:left w:w="15" w:type="dxa"/>
              <w:right w:w="15" w:type="dxa"/>
            </w:tcMar>
            <w:vAlign w:val="center"/>
          </w:tcPr>
          <w:p w14:paraId="2E6FC6D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2.16</w:t>
            </w:r>
          </w:p>
        </w:tc>
        <w:tc>
          <w:tcPr>
            <w:tcW w:w="1016" w:type="dxa"/>
            <w:tcBorders>
              <w:tl2br w:val="nil"/>
              <w:tr2bl w:val="nil"/>
            </w:tcBorders>
            <w:shd w:val="clear" w:color="auto" w:fill="auto"/>
            <w:noWrap/>
            <w:tcMar>
              <w:top w:w="15" w:type="dxa"/>
              <w:left w:w="15" w:type="dxa"/>
              <w:right w:w="15" w:type="dxa"/>
            </w:tcMar>
            <w:vAlign w:val="center"/>
          </w:tcPr>
          <w:p w14:paraId="236C606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0.6790</w:t>
            </w:r>
          </w:p>
        </w:tc>
        <w:tc>
          <w:tcPr>
            <w:tcW w:w="522" w:type="dxa"/>
            <w:tcBorders>
              <w:tl2br w:val="nil"/>
              <w:tr2bl w:val="nil"/>
            </w:tcBorders>
            <w:shd w:val="clear" w:color="auto" w:fill="auto"/>
            <w:noWrap/>
            <w:tcMar>
              <w:top w:w="15" w:type="dxa"/>
              <w:left w:w="15" w:type="dxa"/>
              <w:right w:w="15" w:type="dxa"/>
            </w:tcMar>
            <w:vAlign w:val="center"/>
          </w:tcPr>
          <w:p w14:paraId="2E47741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0.15</w:t>
            </w:r>
          </w:p>
        </w:tc>
        <w:tc>
          <w:tcPr>
            <w:tcW w:w="1028" w:type="dxa"/>
            <w:tcBorders>
              <w:tl2br w:val="nil"/>
              <w:tr2bl w:val="nil"/>
            </w:tcBorders>
            <w:shd w:val="clear" w:color="auto" w:fill="auto"/>
            <w:noWrap/>
            <w:tcMar>
              <w:top w:w="15" w:type="dxa"/>
              <w:left w:w="15" w:type="dxa"/>
              <w:right w:w="15" w:type="dxa"/>
            </w:tcMar>
            <w:vAlign w:val="center"/>
          </w:tcPr>
          <w:p w14:paraId="15728D6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0.4402</w:t>
            </w:r>
          </w:p>
        </w:tc>
        <w:tc>
          <w:tcPr>
            <w:tcW w:w="600" w:type="dxa"/>
            <w:tcBorders>
              <w:tl2br w:val="nil"/>
              <w:tr2bl w:val="nil"/>
            </w:tcBorders>
            <w:shd w:val="clear" w:color="auto" w:fill="auto"/>
            <w:noWrap/>
            <w:tcMar>
              <w:top w:w="15" w:type="dxa"/>
              <w:left w:w="15" w:type="dxa"/>
              <w:right w:w="15" w:type="dxa"/>
            </w:tcMar>
            <w:vAlign w:val="center"/>
          </w:tcPr>
          <w:p w14:paraId="28C1FBC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0.20</w:t>
            </w:r>
          </w:p>
        </w:tc>
        <w:tc>
          <w:tcPr>
            <w:tcW w:w="1034" w:type="dxa"/>
            <w:tcBorders>
              <w:tl2br w:val="nil"/>
              <w:tr2bl w:val="nil"/>
            </w:tcBorders>
            <w:shd w:val="clear" w:color="auto" w:fill="auto"/>
            <w:noWrap/>
            <w:tcMar>
              <w:top w:w="15" w:type="dxa"/>
              <w:left w:w="15" w:type="dxa"/>
              <w:right w:w="15" w:type="dxa"/>
            </w:tcMar>
            <w:vAlign w:val="center"/>
          </w:tcPr>
          <w:p w14:paraId="2F5ADEC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0.00021</w:t>
            </w:r>
          </w:p>
        </w:tc>
        <w:tc>
          <w:tcPr>
            <w:tcW w:w="566" w:type="dxa"/>
            <w:tcBorders>
              <w:tl2br w:val="nil"/>
              <w:tr2bl w:val="nil"/>
            </w:tcBorders>
            <w:shd w:val="clear" w:color="auto" w:fill="auto"/>
            <w:noWrap/>
            <w:tcMar>
              <w:top w:w="15" w:type="dxa"/>
              <w:left w:w="15" w:type="dxa"/>
              <w:right w:w="15" w:type="dxa"/>
            </w:tcMar>
            <w:vAlign w:val="center"/>
          </w:tcPr>
          <w:p w14:paraId="1699BDC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0.07</w:t>
            </w:r>
          </w:p>
        </w:tc>
        <w:tc>
          <w:tcPr>
            <w:tcW w:w="1024" w:type="dxa"/>
            <w:tcBorders>
              <w:tl2br w:val="nil"/>
              <w:tr2bl w:val="nil"/>
            </w:tcBorders>
            <w:shd w:val="clear" w:color="auto" w:fill="auto"/>
            <w:noWrap/>
            <w:tcMar>
              <w:top w:w="15" w:type="dxa"/>
              <w:left w:w="15" w:type="dxa"/>
              <w:right w:w="15" w:type="dxa"/>
            </w:tcMar>
            <w:vAlign w:val="center"/>
          </w:tcPr>
          <w:p w14:paraId="0DF99E7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0.2666</w:t>
            </w:r>
          </w:p>
        </w:tc>
        <w:tc>
          <w:tcPr>
            <w:tcW w:w="450" w:type="dxa"/>
            <w:tcBorders>
              <w:tl2br w:val="nil"/>
              <w:tr2bl w:val="nil"/>
            </w:tcBorders>
            <w:shd w:val="clear" w:color="auto" w:fill="auto"/>
            <w:noWrap/>
            <w:tcMar>
              <w:top w:w="15" w:type="dxa"/>
              <w:left w:w="15" w:type="dxa"/>
              <w:right w:w="15" w:type="dxa"/>
            </w:tcMar>
            <w:vAlign w:val="center"/>
          </w:tcPr>
          <w:p w14:paraId="2B443BB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0.13</w:t>
            </w:r>
          </w:p>
        </w:tc>
        <w:tc>
          <w:tcPr>
            <w:tcW w:w="1026" w:type="dxa"/>
            <w:tcBorders>
              <w:tl2br w:val="nil"/>
              <w:tr2bl w:val="nil"/>
            </w:tcBorders>
            <w:shd w:val="clear" w:color="auto" w:fill="auto"/>
            <w:noWrap/>
            <w:tcMar>
              <w:top w:w="15" w:type="dxa"/>
              <w:left w:w="15" w:type="dxa"/>
              <w:right w:w="15" w:type="dxa"/>
            </w:tcMar>
            <w:vAlign w:val="center"/>
          </w:tcPr>
          <w:p w14:paraId="31CAC15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0.8541</w:t>
            </w:r>
          </w:p>
        </w:tc>
        <w:tc>
          <w:tcPr>
            <w:tcW w:w="455" w:type="dxa"/>
            <w:tcBorders>
              <w:tl2br w:val="nil"/>
              <w:tr2bl w:val="nil"/>
            </w:tcBorders>
            <w:shd w:val="clear" w:color="auto" w:fill="auto"/>
            <w:noWrap/>
            <w:tcMar>
              <w:top w:w="15" w:type="dxa"/>
              <w:left w:w="15" w:type="dxa"/>
              <w:right w:w="15" w:type="dxa"/>
            </w:tcMar>
            <w:vAlign w:val="center"/>
          </w:tcPr>
          <w:p w14:paraId="57DFC2F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0.09</w:t>
            </w:r>
          </w:p>
        </w:tc>
        <w:tc>
          <w:tcPr>
            <w:tcW w:w="1245" w:type="dxa"/>
            <w:tcBorders>
              <w:tl2br w:val="nil"/>
              <w:tr2bl w:val="nil"/>
            </w:tcBorders>
            <w:shd w:val="clear" w:color="auto" w:fill="auto"/>
            <w:noWrap/>
            <w:tcMar>
              <w:top w:w="15" w:type="dxa"/>
              <w:left w:w="15" w:type="dxa"/>
              <w:right w:w="15" w:type="dxa"/>
            </w:tcMar>
            <w:vAlign w:val="center"/>
          </w:tcPr>
          <w:p w14:paraId="470CDAA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0.000056</w:t>
            </w:r>
          </w:p>
        </w:tc>
        <w:tc>
          <w:tcPr>
            <w:tcW w:w="530" w:type="dxa"/>
            <w:tcBorders>
              <w:tl2br w:val="nil"/>
              <w:tr2bl w:val="nil"/>
            </w:tcBorders>
            <w:shd w:val="clear" w:color="auto" w:fill="auto"/>
            <w:noWrap/>
            <w:tcMar>
              <w:top w:w="15" w:type="dxa"/>
              <w:left w:w="15" w:type="dxa"/>
              <w:right w:w="15" w:type="dxa"/>
            </w:tcMar>
            <w:vAlign w:val="center"/>
          </w:tcPr>
          <w:p w14:paraId="77D2743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0.01</w:t>
            </w:r>
          </w:p>
        </w:tc>
      </w:tr>
      <w:tr w14:paraId="3112574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188" w:type="dxa"/>
            <w:tcBorders>
              <w:tl2br w:val="nil"/>
              <w:tr2bl w:val="nil"/>
            </w:tcBorders>
            <w:noWrap w:val="0"/>
            <w:tcMar>
              <w:top w:w="15" w:type="dxa"/>
              <w:left w:w="15" w:type="dxa"/>
              <w:right w:w="15" w:type="dxa"/>
            </w:tcMar>
            <w:vAlign w:val="center"/>
          </w:tcPr>
          <w:p w14:paraId="68C49A7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default" w:ascii="Times New Roman" w:hAnsi="Times New Roman" w:eastAsia="宋体" w:cs="Times New Roman"/>
                <w:b w:val="0"/>
                <w:bCs w:val="0"/>
                <w:i w:val="0"/>
                <w:color w:val="auto"/>
                <w:sz w:val="21"/>
                <w:szCs w:val="21"/>
                <w:highlight w:val="none"/>
                <w:u w:val="none"/>
                <w:lang w:val="en-US" w:eastAsia="zh-CN"/>
              </w:rPr>
              <w:t>700</w:t>
            </w:r>
          </w:p>
        </w:tc>
        <w:tc>
          <w:tcPr>
            <w:tcW w:w="1050" w:type="dxa"/>
            <w:tcBorders>
              <w:tl2br w:val="nil"/>
              <w:tr2bl w:val="nil"/>
            </w:tcBorders>
            <w:noWrap/>
            <w:tcMar>
              <w:top w:w="15" w:type="dxa"/>
              <w:left w:w="15" w:type="dxa"/>
              <w:right w:w="15" w:type="dxa"/>
            </w:tcMar>
            <w:vAlign w:val="center"/>
          </w:tcPr>
          <w:p w14:paraId="3F09637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2.6609</w:t>
            </w:r>
          </w:p>
        </w:tc>
        <w:tc>
          <w:tcPr>
            <w:tcW w:w="637" w:type="dxa"/>
            <w:tcBorders>
              <w:tl2br w:val="nil"/>
              <w:tr2bl w:val="nil"/>
            </w:tcBorders>
            <w:shd w:val="clear" w:color="auto" w:fill="auto"/>
            <w:noWrap/>
            <w:tcMar>
              <w:top w:w="15" w:type="dxa"/>
              <w:left w:w="15" w:type="dxa"/>
              <w:right w:w="15" w:type="dxa"/>
            </w:tcMar>
            <w:vAlign w:val="center"/>
          </w:tcPr>
          <w:p w14:paraId="5FC416A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0.53</w:t>
            </w:r>
          </w:p>
        </w:tc>
        <w:tc>
          <w:tcPr>
            <w:tcW w:w="1067" w:type="dxa"/>
            <w:tcBorders>
              <w:tl2br w:val="nil"/>
              <w:tr2bl w:val="nil"/>
            </w:tcBorders>
            <w:shd w:val="clear" w:color="auto" w:fill="auto"/>
            <w:noWrap/>
            <w:tcMar>
              <w:top w:w="15" w:type="dxa"/>
              <w:left w:w="15" w:type="dxa"/>
              <w:right w:w="15" w:type="dxa"/>
            </w:tcMar>
            <w:vAlign w:val="center"/>
          </w:tcPr>
          <w:p w14:paraId="518C0BF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3.8134</w:t>
            </w:r>
          </w:p>
        </w:tc>
        <w:tc>
          <w:tcPr>
            <w:tcW w:w="550" w:type="dxa"/>
            <w:tcBorders>
              <w:tl2br w:val="nil"/>
              <w:tr2bl w:val="nil"/>
            </w:tcBorders>
            <w:shd w:val="clear" w:color="auto" w:fill="auto"/>
            <w:noWrap/>
            <w:tcMar>
              <w:top w:w="15" w:type="dxa"/>
              <w:left w:w="15" w:type="dxa"/>
              <w:right w:w="15" w:type="dxa"/>
            </w:tcMar>
            <w:vAlign w:val="center"/>
          </w:tcPr>
          <w:p w14:paraId="6EABBAD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1.91</w:t>
            </w:r>
          </w:p>
        </w:tc>
        <w:tc>
          <w:tcPr>
            <w:tcW w:w="1016" w:type="dxa"/>
            <w:tcBorders>
              <w:tl2br w:val="nil"/>
              <w:tr2bl w:val="nil"/>
            </w:tcBorders>
            <w:shd w:val="clear" w:color="auto" w:fill="auto"/>
            <w:noWrap/>
            <w:tcMar>
              <w:top w:w="15" w:type="dxa"/>
              <w:left w:w="15" w:type="dxa"/>
              <w:right w:w="15" w:type="dxa"/>
            </w:tcMar>
            <w:vAlign w:val="center"/>
          </w:tcPr>
          <w:p w14:paraId="05C8471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0.5995</w:t>
            </w:r>
          </w:p>
        </w:tc>
        <w:tc>
          <w:tcPr>
            <w:tcW w:w="522" w:type="dxa"/>
            <w:tcBorders>
              <w:tl2br w:val="nil"/>
              <w:tr2bl w:val="nil"/>
            </w:tcBorders>
            <w:shd w:val="clear" w:color="auto" w:fill="auto"/>
            <w:noWrap/>
            <w:tcMar>
              <w:top w:w="15" w:type="dxa"/>
              <w:left w:w="15" w:type="dxa"/>
              <w:right w:w="15" w:type="dxa"/>
            </w:tcMar>
            <w:vAlign w:val="center"/>
          </w:tcPr>
          <w:p w14:paraId="793136D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0.13</w:t>
            </w:r>
          </w:p>
        </w:tc>
        <w:tc>
          <w:tcPr>
            <w:tcW w:w="1028" w:type="dxa"/>
            <w:tcBorders>
              <w:tl2br w:val="nil"/>
              <w:tr2bl w:val="nil"/>
            </w:tcBorders>
            <w:shd w:val="clear" w:color="auto" w:fill="auto"/>
            <w:noWrap/>
            <w:tcMar>
              <w:top w:w="15" w:type="dxa"/>
              <w:left w:w="15" w:type="dxa"/>
              <w:right w:w="15" w:type="dxa"/>
            </w:tcMar>
            <w:vAlign w:val="center"/>
          </w:tcPr>
          <w:p w14:paraId="2F80B68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0.3887</w:t>
            </w:r>
          </w:p>
        </w:tc>
        <w:tc>
          <w:tcPr>
            <w:tcW w:w="600" w:type="dxa"/>
            <w:tcBorders>
              <w:tl2br w:val="nil"/>
              <w:tr2bl w:val="nil"/>
            </w:tcBorders>
            <w:shd w:val="clear" w:color="auto" w:fill="auto"/>
            <w:noWrap/>
            <w:tcMar>
              <w:top w:w="15" w:type="dxa"/>
              <w:left w:w="15" w:type="dxa"/>
              <w:right w:w="15" w:type="dxa"/>
            </w:tcMar>
            <w:vAlign w:val="center"/>
          </w:tcPr>
          <w:p w14:paraId="2093D4E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0.17</w:t>
            </w:r>
          </w:p>
        </w:tc>
        <w:tc>
          <w:tcPr>
            <w:tcW w:w="1034" w:type="dxa"/>
            <w:tcBorders>
              <w:tl2br w:val="nil"/>
              <w:tr2bl w:val="nil"/>
            </w:tcBorders>
            <w:shd w:val="clear" w:color="auto" w:fill="auto"/>
            <w:noWrap/>
            <w:tcMar>
              <w:top w:w="15" w:type="dxa"/>
              <w:left w:w="15" w:type="dxa"/>
              <w:right w:w="15" w:type="dxa"/>
            </w:tcMar>
            <w:vAlign w:val="center"/>
          </w:tcPr>
          <w:p w14:paraId="0316423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0.00018</w:t>
            </w:r>
          </w:p>
        </w:tc>
        <w:tc>
          <w:tcPr>
            <w:tcW w:w="566" w:type="dxa"/>
            <w:tcBorders>
              <w:tl2br w:val="nil"/>
              <w:tr2bl w:val="nil"/>
            </w:tcBorders>
            <w:shd w:val="clear" w:color="auto" w:fill="auto"/>
            <w:noWrap/>
            <w:tcMar>
              <w:top w:w="15" w:type="dxa"/>
              <w:left w:w="15" w:type="dxa"/>
              <w:right w:w="15" w:type="dxa"/>
            </w:tcMar>
            <w:vAlign w:val="center"/>
          </w:tcPr>
          <w:p w14:paraId="093DE9A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0.06</w:t>
            </w:r>
          </w:p>
        </w:tc>
        <w:tc>
          <w:tcPr>
            <w:tcW w:w="1024" w:type="dxa"/>
            <w:tcBorders>
              <w:tl2br w:val="nil"/>
              <w:tr2bl w:val="nil"/>
            </w:tcBorders>
            <w:shd w:val="clear" w:color="auto" w:fill="auto"/>
            <w:noWrap/>
            <w:tcMar>
              <w:top w:w="15" w:type="dxa"/>
              <w:left w:w="15" w:type="dxa"/>
              <w:right w:w="15" w:type="dxa"/>
            </w:tcMar>
            <w:vAlign w:val="center"/>
          </w:tcPr>
          <w:p w14:paraId="7086E65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0.2354</w:t>
            </w:r>
          </w:p>
        </w:tc>
        <w:tc>
          <w:tcPr>
            <w:tcW w:w="450" w:type="dxa"/>
            <w:tcBorders>
              <w:tl2br w:val="nil"/>
              <w:tr2bl w:val="nil"/>
            </w:tcBorders>
            <w:shd w:val="clear" w:color="auto" w:fill="auto"/>
            <w:noWrap/>
            <w:tcMar>
              <w:top w:w="15" w:type="dxa"/>
              <w:left w:w="15" w:type="dxa"/>
              <w:right w:w="15" w:type="dxa"/>
            </w:tcMar>
            <w:vAlign w:val="center"/>
          </w:tcPr>
          <w:p w14:paraId="1B4F2D5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0.12</w:t>
            </w:r>
          </w:p>
        </w:tc>
        <w:tc>
          <w:tcPr>
            <w:tcW w:w="1026" w:type="dxa"/>
            <w:tcBorders>
              <w:tl2br w:val="nil"/>
              <w:tr2bl w:val="nil"/>
            </w:tcBorders>
            <w:shd w:val="clear" w:color="auto" w:fill="auto"/>
            <w:noWrap/>
            <w:tcMar>
              <w:top w:w="15" w:type="dxa"/>
              <w:left w:w="15" w:type="dxa"/>
              <w:right w:w="15" w:type="dxa"/>
            </w:tcMar>
            <w:vAlign w:val="center"/>
          </w:tcPr>
          <w:p w14:paraId="298CBBE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0.7287</w:t>
            </w:r>
          </w:p>
        </w:tc>
        <w:tc>
          <w:tcPr>
            <w:tcW w:w="455" w:type="dxa"/>
            <w:tcBorders>
              <w:tl2br w:val="nil"/>
              <w:tr2bl w:val="nil"/>
            </w:tcBorders>
            <w:shd w:val="clear" w:color="auto" w:fill="auto"/>
            <w:noWrap/>
            <w:tcMar>
              <w:top w:w="15" w:type="dxa"/>
              <w:left w:w="15" w:type="dxa"/>
              <w:right w:w="15" w:type="dxa"/>
            </w:tcMar>
            <w:vAlign w:val="center"/>
          </w:tcPr>
          <w:p w14:paraId="64658B6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0.08</w:t>
            </w:r>
          </w:p>
        </w:tc>
        <w:tc>
          <w:tcPr>
            <w:tcW w:w="1245" w:type="dxa"/>
            <w:tcBorders>
              <w:tl2br w:val="nil"/>
              <w:tr2bl w:val="nil"/>
            </w:tcBorders>
            <w:shd w:val="clear" w:color="auto" w:fill="auto"/>
            <w:noWrap/>
            <w:tcMar>
              <w:top w:w="15" w:type="dxa"/>
              <w:left w:w="15" w:type="dxa"/>
              <w:right w:w="15" w:type="dxa"/>
            </w:tcMar>
            <w:vAlign w:val="center"/>
          </w:tcPr>
          <w:p w14:paraId="06EFAF6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0.000047</w:t>
            </w:r>
          </w:p>
        </w:tc>
        <w:tc>
          <w:tcPr>
            <w:tcW w:w="530" w:type="dxa"/>
            <w:tcBorders>
              <w:tl2br w:val="nil"/>
              <w:tr2bl w:val="nil"/>
            </w:tcBorders>
            <w:shd w:val="clear" w:color="auto" w:fill="auto"/>
            <w:noWrap/>
            <w:tcMar>
              <w:top w:w="15" w:type="dxa"/>
              <w:left w:w="15" w:type="dxa"/>
              <w:right w:w="15" w:type="dxa"/>
            </w:tcMar>
            <w:vAlign w:val="center"/>
          </w:tcPr>
          <w:p w14:paraId="198D95C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0.01</w:t>
            </w:r>
          </w:p>
        </w:tc>
      </w:tr>
      <w:tr w14:paraId="1396A6C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188" w:type="dxa"/>
            <w:tcBorders>
              <w:tl2br w:val="nil"/>
              <w:tr2bl w:val="nil"/>
            </w:tcBorders>
            <w:noWrap w:val="0"/>
            <w:tcMar>
              <w:top w:w="15" w:type="dxa"/>
              <w:left w:w="15" w:type="dxa"/>
              <w:right w:w="15" w:type="dxa"/>
            </w:tcMar>
            <w:vAlign w:val="center"/>
          </w:tcPr>
          <w:p w14:paraId="4F83C2C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default" w:ascii="Times New Roman" w:hAnsi="Times New Roman" w:eastAsia="宋体" w:cs="Times New Roman"/>
                <w:b w:val="0"/>
                <w:bCs w:val="0"/>
                <w:i w:val="0"/>
                <w:color w:val="auto"/>
                <w:sz w:val="21"/>
                <w:szCs w:val="21"/>
                <w:highlight w:val="none"/>
                <w:u w:val="none"/>
                <w:lang w:val="en-US" w:eastAsia="zh-CN"/>
              </w:rPr>
              <w:t>800</w:t>
            </w:r>
          </w:p>
        </w:tc>
        <w:tc>
          <w:tcPr>
            <w:tcW w:w="1050" w:type="dxa"/>
            <w:tcBorders>
              <w:tl2br w:val="nil"/>
              <w:tr2bl w:val="nil"/>
            </w:tcBorders>
            <w:noWrap/>
            <w:tcMar>
              <w:top w:w="15" w:type="dxa"/>
              <w:left w:w="15" w:type="dxa"/>
              <w:right w:w="15" w:type="dxa"/>
            </w:tcMar>
            <w:vAlign w:val="center"/>
          </w:tcPr>
          <w:p w14:paraId="57FE937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2.4873</w:t>
            </w:r>
          </w:p>
        </w:tc>
        <w:tc>
          <w:tcPr>
            <w:tcW w:w="637" w:type="dxa"/>
            <w:tcBorders>
              <w:tl2br w:val="nil"/>
              <w:tr2bl w:val="nil"/>
            </w:tcBorders>
            <w:shd w:val="clear" w:color="auto" w:fill="auto"/>
            <w:noWrap/>
            <w:tcMar>
              <w:top w:w="15" w:type="dxa"/>
              <w:left w:w="15" w:type="dxa"/>
              <w:right w:w="15" w:type="dxa"/>
            </w:tcMar>
            <w:vAlign w:val="center"/>
          </w:tcPr>
          <w:p w14:paraId="65E8185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0.50</w:t>
            </w:r>
          </w:p>
        </w:tc>
        <w:tc>
          <w:tcPr>
            <w:tcW w:w="1067" w:type="dxa"/>
            <w:tcBorders>
              <w:tl2br w:val="nil"/>
              <w:tr2bl w:val="nil"/>
            </w:tcBorders>
            <w:shd w:val="clear" w:color="auto" w:fill="auto"/>
            <w:noWrap/>
            <w:tcMar>
              <w:top w:w="15" w:type="dxa"/>
              <w:left w:w="15" w:type="dxa"/>
              <w:right w:w="15" w:type="dxa"/>
            </w:tcMar>
            <w:vAlign w:val="center"/>
          </w:tcPr>
          <w:p w14:paraId="2A15363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3.5646</w:t>
            </w:r>
          </w:p>
        </w:tc>
        <w:tc>
          <w:tcPr>
            <w:tcW w:w="550" w:type="dxa"/>
            <w:tcBorders>
              <w:tl2br w:val="nil"/>
              <w:tr2bl w:val="nil"/>
            </w:tcBorders>
            <w:shd w:val="clear" w:color="auto" w:fill="auto"/>
            <w:noWrap/>
            <w:tcMar>
              <w:top w:w="15" w:type="dxa"/>
              <w:left w:w="15" w:type="dxa"/>
              <w:right w:w="15" w:type="dxa"/>
            </w:tcMar>
            <w:vAlign w:val="center"/>
          </w:tcPr>
          <w:p w14:paraId="7B5248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1.78</w:t>
            </w:r>
          </w:p>
        </w:tc>
        <w:tc>
          <w:tcPr>
            <w:tcW w:w="1016" w:type="dxa"/>
            <w:tcBorders>
              <w:tl2br w:val="nil"/>
              <w:tr2bl w:val="nil"/>
            </w:tcBorders>
            <w:shd w:val="clear" w:color="auto" w:fill="auto"/>
            <w:noWrap/>
            <w:tcMar>
              <w:top w:w="15" w:type="dxa"/>
              <w:left w:w="15" w:type="dxa"/>
              <w:right w:w="15" w:type="dxa"/>
            </w:tcMar>
            <w:vAlign w:val="center"/>
          </w:tcPr>
          <w:p w14:paraId="32AB64A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0.5604</w:t>
            </w:r>
          </w:p>
        </w:tc>
        <w:tc>
          <w:tcPr>
            <w:tcW w:w="522" w:type="dxa"/>
            <w:tcBorders>
              <w:tl2br w:val="nil"/>
              <w:tr2bl w:val="nil"/>
            </w:tcBorders>
            <w:shd w:val="clear" w:color="auto" w:fill="auto"/>
            <w:noWrap/>
            <w:tcMar>
              <w:top w:w="15" w:type="dxa"/>
              <w:left w:w="15" w:type="dxa"/>
              <w:right w:w="15" w:type="dxa"/>
            </w:tcMar>
            <w:vAlign w:val="center"/>
          </w:tcPr>
          <w:p w14:paraId="215D38C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0.12</w:t>
            </w:r>
          </w:p>
        </w:tc>
        <w:tc>
          <w:tcPr>
            <w:tcW w:w="1028" w:type="dxa"/>
            <w:tcBorders>
              <w:tl2br w:val="nil"/>
              <w:tr2bl w:val="nil"/>
            </w:tcBorders>
            <w:shd w:val="clear" w:color="auto" w:fill="auto"/>
            <w:noWrap/>
            <w:tcMar>
              <w:top w:w="15" w:type="dxa"/>
              <w:left w:w="15" w:type="dxa"/>
              <w:right w:w="15" w:type="dxa"/>
            </w:tcMar>
            <w:vAlign w:val="center"/>
          </w:tcPr>
          <w:p w14:paraId="7F11C19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0.3634</w:t>
            </w:r>
          </w:p>
        </w:tc>
        <w:tc>
          <w:tcPr>
            <w:tcW w:w="600" w:type="dxa"/>
            <w:tcBorders>
              <w:tl2br w:val="nil"/>
              <w:tr2bl w:val="nil"/>
            </w:tcBorders>
            <w:shd w:val="clear" w:color="auto" w:fill="auto"/>
            <w:noWrap/>
            <w:tcMar>
              <w:top w:w="15" w:type="dxa"/>
              <w:left w:w="15" w:type="dxa"/>
              <w:right w:w="15" w:type="dxa"/>
            </w:tcMar>
            <w:vAlign w:val="center"/>
          </w:tcPr>
          <w:p w14:paraId="2534A30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0.16</w:t>
            </w:r>
          </w:p>
        </w:tc>
        <w:tc>
          <w:tcPr>
            <w:tcW w:w="1034" w:type="dxa"/>
            <w:tcBorders>
              <w:tl2br w:val="nil"/>
              <w:tr2bl w:val="nil"/>
            </w:tcBorders>
            <w:shd w:val="clear" w:color="auto" w:fill="auto"/>
            <w:noWrap/>
            <w:tcMar>
              <w:top w:w="15" w:type="dxa"/>
              <w:left w:w="15" w:type="dxa"/>
              <w:right w:w="15" w:type="dxa"/>
            </w:tcMar>
            <w:vAlign w:val="center"/>
          </w:tcPr>
          <w:p w14:paraId="31AEE69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0.00017</w:t>
            </w:r>
          </w:p>
        </w:tc>
        <w:tc>
          <w:tcPr>
            <w:tcW w:w="566" w:type="dxa"/>
            <w:tcBorders>
              <w:tl2br w:val="nil"/>
              <w:tr2bl w:val="nil"/>
            </w:tcBorders>
            <w:shd w:val="clear" w:color="auto" w:fill="auto"/>
            <w:noWrap/>
            <w:tcMar>
              <w:top w:w="15" w:type="dxa"/>
              <w:left w:w="15" w:type="dxa"/>
              <w:right w:w="15" w:type="dxa"/>
            </w:tcMar>
            <w:vAlign w:val="center"/>
          </w:tcPr>
          <w:p w14:paraId="66CB950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0.06</w:t>
            </w:r>
          </w:p>
        </w:tc>
        <w:tc>
          <w:tcPr>
            <w:tcW w:w="1024" w:type="dxa"/>
            <w:tcBorders>
              <w:tl2br w:val="nil"/>
              <w:tr2bl w:val="nil"/>
            </w:tcBorders>
            <w:shd w:val="clear" w:color="auto" w:fill="auto"/>
            <w:noWrap/>
            <w:tcMar>
              <w:top w:w="15" w:type="dxa"/>
              <w:left w:w="15" w:type="dxa"/>
              <w:right w:w="15" w:type="dxa"/>
            </w:tcMar>
            <w:vAlign w:val="center"/>
          </w:tcPr>
          <w:p w14:paraId="43BD94B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0.2201</w:t>
            </w:r>
          </w:p>
        </w:tc>
        <w:tc>
          <w:tcPr>
            <w:tcW w:w="450" w:type="dxa"/>
            <w:tcBorders>
              <w:tl2br w:val="nil"/>
              <w:tr2bl w:val="nil"/>
            </w:tcBorders>
            <w:shd w:val="clear" w:color="auto" w:fill="auto"/>
            <w:noWrap/>
            <w:tcMar>
              <w:top w:w="15" w:type="dxa"/>
              <w:left w:w="15" w:type="dxa"/>
              <w:right w:w="15" w:type="dxa"/>
            </w:tcMar>
            <w:vAlign w:val="center"/>
          </w:tcPr>
          <w:p w14:paraId="262156F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0.11</w:t>
            </w:r>
          </w:p>
        </w:tc>
        <w:tc>
          <w:tcPr>
            <w:tcW w:w="1026" w:type="dxa"/>
            <w:tcBorders>
              <w:tl2br w:val="nil"/>
              <w:tr2bl w:val="nil"/>
            </w:tcBorders>
            <w:shd w:val="clear" w:color="auto" w:fill="auto"/>
            <w:noWrap/>
            <w:tcMar>
              <w:top w:w="15" w:type="dxa"/>
              <w:left w:w="15" w:type="dxa"/>
              <w:right w:w="15" w:type="dxa"/>
            </w:tcMar>
            <w:vAlign w:val="center"/>
          </w:tcPr>
          <w:p w14:paraId="6E5F8F9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0.6112</w:t>
            </w:r>
          </w:p>
        </w:tc>
        <w:tc>
          <w:tcPr>
            <w:tcW w:w="455" w:type="dxa"/>
            <w:tcBorders>
              <w:tl2br w:val="nil"/>
              <w:tr2bl w:val="nil"/>
            </w:tcBorders>
            <w:shd w:val="clear" w:color="auto" w:fill="auto"/>
            <w:noWrap/>
            <w:tcMar>
              <w:top w:w="15" w:type="dxa"/>
              <w:left w:w="15" w:type="dxa"/>
              <w:right w:w="15" w:type="dxa"/>
            </w:tcMar>
            <w:vAlign w:val="center"/>
          </w:tcPr>
          <w:p w14:paraId="1A858EF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0.07</w:t>
            </w:r>
          </w:p>
        </w:tc>
        <w:tc>
          <w:tcPr>
            <w:tcW w:w="1245" w:type="dxa"/>
            <w:tcBorders>
              <w:tl2br w:val="nil"/>
              <w:tr2bl w:val="nil"/>
            </w:tcBorders>
            <w:shd w:val="clear" w:color="auto" w:fill="auto"/>
            <w:noWrap/>
            <w:tcMar>
              <w:top w:w="15" w:type="dxa"/>
              <w:left w:w="15" w:type="dxa"/>
              <w:right w:w="15" w:type="dxa"/>
            </w:tcMar>
            <w:vAlign w:val="center"/>
          </w:tcPr>
          <w:p w14:paraId="1FFFDBA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0.000039</w:t>
            </w:r>
          </w:p>
        </w:tc>
        <w:tc>
          <w:tcPr>
            <w:tcW w:w="530" w:type="dxa"/>
            <w:tcBorders>
              <w:tl2br w:val="nil"/>
              <w:tr2bl w:val="nil"/>
            </w:tcBorders>
            <w:shd w:val="clear" w:color="auto" w:fill="auto"/>
            <w:noWrap/>
            <w:tcMar>
              <w:top w:w="15" w:type="dxa"/>
              <w:left w:w="15" w:type="dxa"/>
              <w:right w:w="15" w:type="dxa"/>
            </w:tcMar>
            <w:vAlign w:val="center"/>
          </w:tcPr>
          <w:p w14:paraId="017638A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0.00</w:t>
            </w:r>
          </w:p>
        </w:tc>
      </w:tr>
      <w:tr w14:paraId="4DD36E5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188" w:type="dxa"/>
            <w:tcBorders>
              <w:tl2br w:val="nil"/>
              <w:tr2bl w:val="nil"/>
            </w:tcBorders>
            <w:noWrap w:val="0"/>
            <w:tcMar>
              <w:top w:w="15" w:type="dxa"/>
              <w:left w:w="15" w:type="dxa"/>
              <w:right w:w="15" w:type="dxa"/>
            </w:tcMar>
            <w:vAlign w:val="center"/>
          </w:tcPr>
          <w:p w14:paraId="27EC27D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default" w:ascii="Times New Roman" w:hAnsi="Times New Roman" w:eastAsia="宋体" w:cs="Times New Roman"/>
                <w:b w:val="0"/>
                <w:bCs w:val="0"/>
                <w:i w:val="0"/>
                <w:color w:val="auto"/>
                <w:sz w:val="21"/>
                <w:szCs w:val="21"/>
                <w:highlight w:val="none"/>
                <w:u w:val="none"/>
                <w:lang w:val="en-US" w:eastAsia="zh-CN"/>
              </w:rPr>
              <w:t>900</w:t>
            </w:r>
          </w:p>
        </w:tc>
        <w:tc>
          <w:tcPr>
            <w:tcW w:w="1050" w:type="dxa"/>
            <w:tcBorders>
              <w:tl2br w:val="nil"/>
              <w:tr2bl w:val="nil"/>
            </w:tcBorders>
            <w:noWrap/>
            <w:tcMar>
              <w:top w:w="15" w:type="dxa"/>
              <w:left w:w="15" w:type="dxa"/>
              <w:right w:w="15" w:type="dxa"/>
            </w:tcMar>
            <w:vAlign w:val="center"/>
          </w:tcPr>
          <w:p w14:paraId="432A4F8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2.5244</w:t>
            </w:r>
          </w:p>
        </w:tc>
        <w:tc>
          <w:tcPr>
            <w:tcW w:w="637" w:type="dxa"/>
            <w:tcBorders>
              <w:tl2br w:val="nil"/>
              <w:tr2bl w:val="nil"/>
            </w:tcBorders>
            <w:shd w:val="clear" w:color="auto" w:fill="auto"/>
            <w:noWrap/>
            <w:tcMar>
              <w:top w:w="15" w:type="dxa"/>
              <w:left w:w="15" w:type="dxa"/>
              <w:right w:w="15" w:type="dxa"/>
            </w:tcMar>
            <w:vAlign w:val="center"/>
          </w:tcPr>
          <w:p w14:paraId="622F1ED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0.50</w:t>
            </w:r>
          </w:p>
        </w:tc>
        <w:tc>
          <w:tcPr>
            <w:tcW w:w="1067" w:type="dxa"/>
            <w:tcBorders>
              <w:tl2br w:val="nil"/>
              <w:tr2bl w:val="nil"/>
            </w:tcBorders>
            <w:shd w:val="clear" w:color="auto" w:fill="auto"/>
            <w:noWrap/>
            <w:tcMar>
              <w:top w:w="15" w:type="dxa"/>
              <w:left w:w="15" w:type="dxa"/>
              <w:right w:w="15" w:type="dxa"/>
            </w:tcMar>
            <w:vAlign w:val="center"/>
          </w:tcPr>
          <w:p w14:paraId="2981795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3.6178</w:t>
            </w:r>
          </w:p>
        </w:tc>
        <w:tc>
          <w:tcPr>
            <w:tcW w:w="550" w:type="dxa"/>
            <w:tcBorders>
              <w:tl2br w:val="nil"/>
              <w:tr2bl w:val="nil"/>
            </w:tcBorders>
            <w:shd w:val="clear" w:color="auto" w:fill="auto"/>
            <w:noWrap/>
            <w:tcMar>
              <w:top w:w="15" w:type="dxa"/>
              <w:left w:w="15" w:type="dxa"/>
              <w:right w:w="15" w:type="dxa"/>
            </w:tcMar>
            <w:vAlign w:val="center"/>
          </w:tcPr>
          <w:p w14:paraId="0070D3A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1.81</w:t>
            </w:r>
          </w:p>
        </w:tc>
        <w:tc>
          <w:tcPr>
            <w:tcW w:w="1016" w:type="dxa"/>
            <w:tcBorders>
              <w:tl2br w:val="nil"/>
              <w:tr2bl w:val="nil"/>
            </w:tcBorders>
            <w:shd w:val="clear" w:color="auto" w:fill="auto"/>
            <w:noWrap/>
            <w:tcMar>
              <w:top w:w="15" w:type="dxa"/>
              <w:left w:w="15" w:type="dxa"/>
              <w:right w:w="15" w:type="dxa"/>
            </w:tcMar>
            <w:vAlign w:val="center"/>
          </w:tcPr>
          <w:p w14:paraId="53B4BD0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0.5688</w:t>
            </w:r>
          </w:p>
        </w:tc>
        <w:tc>
          <w:tcPr>
            <w:tcW w:w="522" w:type="dxa"/>
            <w:tcBorders>
              <w:tl2br w:val="nil"/>
              <w:tr2bl w:val="nil"/>
            </w:tcBorders>
            <w:shd w:val="clear" w:color="auto" w:fill="auto"/>
            <w:noWrap/>
            <w:tcMar>
              <w:top w:w="15" w:type="dxa"/>
              <w:left w:w="15" w:type="dxa"/>
              <w:right w:w="15" w:type="dxa"/>
            </w:tcMar>
            <w:vAlign w:val="center"/>
          </w:tcPr>
          <w:p w14:paraId="2470137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0.13</w:t>
            </w:r>
          </w:p>
        </w:tc>
        <w:tc>
          <w:tcPr>
            <w:tcW w:w="1028" w:type="dxa"/>
            <w:tcBorders>
              <w:tl2br w:val="nil"/>
              <w:tr2bl w:val="nil"/>
            </w:tcBorders>
            <w:shd w:val="clear" w:color="auto" w:fill="auto"/>
            <w:noWrap/>
            <w:tcMar>
              <w:top w:w="15" w:type="dxa"/>
              <w:left w:w="15" w:type="dxa"/>
              <w:right w:w="15" w:type="dxa"/>
            </w:tcMar>
            <w:vAlign w:val="center"/>
          </w:tcPr>
          <w:p w14:paraId="49ADA8E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0.3688</w:t>
            </w:r>
          </w:p>
        </w:tc>
        <w:tc>
          <w:tcPr>
            <w:tcW w:w="600" w:type="dxa"/>
            <w:tcBorders>
              <w:tl2br w:val="nil"/>
              <w:tr2bl w:val="nil"/>
            </w:tcBorders>
            <w:shd w:val="clear" w:color="auto" w:fill="auto"/>
            <w:noWrap/>
            <w:tcMar>
              <w:top w:w="15" w:type="dxa"/>
              <w:left w:w="15" w:type="dxa"/>
              <w:right w:w="15" w:type="dxa"/>
            </w:tcMar>
            <w:vAlign w:val="center"/>
          </w:tcPr>
          <w:p w14:paraId="460C077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0.16</w:t>
            </w:r>
          </w:p>
        </w:tc>
        <w:tc>
          <w:tcPr>
            <w:tcW w:w="1034" w:type="dxa"/>
            <w:tcBorders>
              <w:tl2br w:val="nil"/>
              <w:tr2bl w:val="nil"/>
            </w:tcBorders>
            <w:shd w:val="clear" w:color="auto" w:fill="auto"/>
            <w:noWrap/>
            <w:tcMar>
              <w:top w:w="15" w:type="dxa"/>
              <w:left w:w="15" w:type="dxa"/>
              <w:right w:w="15" w:type="dxa"/>
            </w:tcMar>
            <w:vAlign w:val="center"/>
          </w:tcPr>
          <w:p w14:paraId="3480899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0.00017</w:t>
            </w:r>
          </w:p>
        </w:tc>
        <w:tc>
          <w:tcPr>
            <w:tcW w:w="566" w:type="dxa"/>
            <w:tcBorders>
              <w:tl2br w:val="nil"/>
              <w:tr2bl w:val="nil"/>
            </w:tcBorders>
            <w:shd w:val="clear" w:color="auto" w:fill="auto"/>
            <w:noWrap/>
            <w:tcMar>
              <w:top w:w="15" w:type="dxa"/>
              <w:left w:w="15" w:type="dxa"/>
              <w:right w:w="15" w:type="dxa"/>
            </w:tcMar>
            <w:vAlign w:val="center"/>
          </w:tcPr>
          <w:p w14:paraId="689D49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0.06</w:t>
            </w:r>
          </w:p>
        </w:tc>
        <w:tc>
          <w:tcPr>
            <w:tcW w:w="1024" w:type="dxa"/>
            <w:tcBorders>
              <w:tl2br w:val="nil"/>
              <w:tr2bl w:val="nil"/>
            </w:tcBorders>
            <w:shd w:val="clear" w:color="auto" w:fill="auto"/>
            <w:noWrap/>
            <w:tcMar>
              <w:top w:w="15" w:type="dxa"/>
              <w:left w:w="15" w:type="dxa"/>
              <w:right w:w="15" w:type="dxa"/>
            </w:tcMar>
            <w:vAlign w:val="center"/>
          </w:tcPr>
          <w:p w14:paraId="54E3661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0.2234</w:t>
            </w:r>
          </w:p>
        </w:tc>
        <w:tc>
          <w:tcPr>
            <w:tcW w:w="450" w:type="dxa"/>
            <w:tcBorders>
              <w:tl2br w:val="nil"/>
              <w:tr2bl w:val="nil"/>
            </w:tcBorders>
            <w:shd w:val="clear" w:color="auto" w:fill="auto"/>
            <w:noWrap/>
            <w:tcMar>
              <w:top w:w="15" w:type="dxa"/>
              <w:left w:w="15" w:type="dxa"/>
              <w:right w:w="15" w:type="dxa"/>
            </w:tcMar>
            <w:vAlign w:val="center"/>
          </w:tcPr>
          <w:p w14:paraId="1030ED2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0.11</w:t>
            </w:r>
          </w:p>
        </w:tc>
        <w:tc>
          <w:tcPr>
            <w:tcW w:w="1026" w:type="dxa"/>
            <w:tcBorders>
              <w:tl2br w:val="nil"/>
              <w:tr2bl w:val="nil"/>
            </w:tcBorders>
            <w:shd w:val="clear" w:color="auto" w:fill="auto"/>
            <w:noWrap/>
            <w:tcMar>
              <w:top w:w="15" w:type="dxa"/>
              <w:left w:w="15" w:type="dxa"/>
              <w:right w:w="15" w:type="dxa"/>
            </w:tcMar>
            <w:vAlign w:val="center"/>
          </w:tcPr>
          <w:p w14:paraId="4FF4AA8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0.5284</w:t>
            </w:r>
          </w:p>
        </w:tc>
        <w:tc>
          <w:tcPr>
            <w:tcW w:w="455" w:type="dxa"/>
            <w:tcBorders>
              <w:tl2br w:val="nil"/>
              <w:tr2bl w:val="nil"/>
            </w:tcBorders>
            <w:shd w:val="clear" w:color="auto" w:fill="auto"/>
            <w:noWrap/>
            <w:tcMar>
              <w:top w:w="15" w:type="dxa"/>
              <w:left w:w="15" w:type="dxa"/>
              <w:right w:w="15" w:type="dxa"/>
            </w:tcMar>
            <w:vAlign w:val="center"/>
          </w:tcPr>
          <w:p w14:paraId="336F71A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0.06</w:t>
            </w:r>
          </w:p>
        </w:tc>
        <w:tc>
          <w:tcPr>
            <w:tcW w:w="1245" w:type="dxa"/>
            <w:tcBorders>
              <w:tl2br w:val="nil"/>
              <w:tr2bl w:val="nil"/>
            </w:tcBorders>
            <w:shd w:val="clear" w:color="auto" w:fill="auto"/>
            <w:noWrap/>
            <w:tcMar>
              <w:top w:w="15" w:type="dxa"/>
              <w:left w:w="15" w:type="dxa"/>
              <w:right w:w="15" w:type="dxa"/>
            </w:tcMar>
            <w:vAlign w:val="center"/>
          </w:tcPr>
          <w:p w14:paraId="1F95688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0.000033</w:t>
            </w:r>
          </w:p>
        </w:tc>
        <w:tc>
          <w:tcPr>
            <w:tcW w:w="530" w:type="dxa"/>
            <w:tcBorders>
              <w:tl2br w:val="nil"/>
              <w:tr2bl w:val="nil"/>
            </w:tcBorders>
            <w:shd w:val="clear" w:color="auto" w:fill="auto"/>
            <w:noWrap/>
            <w:tcMar>
              <w:top w:w="15" w:type="dxa"/>
              <w:left w:w="15" w:type="dxa"/>
              <w:right w:w="15" w:type="dxa"/>
            </w:tcMar>
            <w:vAlign w:val="center"/>
          </w:tcPr>
          <w:p w14:paraId="0ABD3FE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0.00</w:t>
            </w:r>
          </w:p>
        </w:tc>
      </w:tr>
      <w:tr w14:paraId="4D8EEF9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188" w:type="dxa"/>
            <w:tcBorders>
              <w:tl2br w:val="nil"/>
              <w:tr2bl w:val="nil"/>
            </w:tcBorders>
            <w:noWrap w:val="0"/>
            <w:tcMar>
              <w:top w:w="15" w:type="dxa"/>
              <w:left w:w="15" w:type="dxa"/>
              <w:right w:w="15" w:type="dxa"/>
            </w:tcMar>
            <w:vAlign w:val="center"/>
          </w:tcPr>
          <w:p w14:paraId="6A4ABFF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default" w:ascii="Times New Roman" w:hAnsi="Times New Roman" w:eastAsia="宋体" w:cs="Times New Roman"/>
                <w:b w:val="0"/>
                <w:bCs w:val="0"/>
                <w:i w:val="0"/>
                <w:color w:val="auto"/>
                <w:sz w:val="21"/>
                <w:szCs w:val="21"/>
                <w:highlight w:val="none"/>
                <w:u w:val="none"/>
                <w:lang w:val="en-US" w:eastAsia="zh-CN"/>
              </w:rPr>
              <w:t>1000</w:t>
            </w:r>
          </w:p>
        </w:tc>
        <w:tc>
          <w:tcPr>
            <w:tcW w:w="1050" w:type="dxa"/>
            <w:tcBorders>
              <w:tl2br w:val="nil"/>
              <w:tr2bl w:val="nil"/>
            </w:tcBorders>
            <w:noWrap/>
            <w:tcMar>
              <w:top w:w="15" w:type="dxa"/>
              <w:left w:w="15" w:type="dxa"/>
              <w:right w:w="15" w:type="dxa"/>
            </w:tcMar>
            <w:vAlign w:val="center"/>
          </w:tcPr>
          <w:p w14:paraId="7B6DE5C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2.5082</w:t>
            </w:r>
          </w:p>
        </w:tc>
        <w:tc>
          <w:tcPr>
            <w:tcW w:w="637" w:type="dxa"/>
            <w:tcBorders>
              <w:tl2br w:val="nil"/>
              <w:tr2bl w:val="nil"/>
            </w:tcBorders>
            <w:shd w:val="clear" w:color="auto" w:fill="auto"/>
            <w:noWrap/>
            <w:tcMar>
              <w:top w:w="15" w:type="dxa"/>
              <w:left w:w="15" w:type="dxa"/>
              <w:right w:w="15" w:type="dxa"/>
            </w:tcMar>
            <w:vAlign w:val="center"/>
          </w:tcPr>
          <w:p w14:paraId="31FB4F0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0.50</w:t>
            </w:r>
          </w:p>
        </w:tc>
        <w:tc>
          <w:tcPr>
            <w:tcW w:w="1067" w:type="dxa"/>
            <w:tcBorders>
              <w:tl2br w:val="nil"/>
              <w:tr2bl w:val="nil"/>
            </w:tcBorders>
            <w:shd w:val="clear" w:color="auto" w:fill="auto"/>
            <w:noWrap/>
            <w:tcMar>
              <w:top w:w="15" w:type="dxa"/>
              <w:left w:w="15" w:type="dxa"/>
              <w:right w:w="15" w:type="dxa"/>
            </w:tcMar>
            <w:vAlign w:val="center"/>
          </w:tcPr>
          <w:p w14:paraId="7A04549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3.5946</w:t>
            </w:r>
          </w:p>
        </w:tc>
        <w:tc>
          <w:tcPr>
            <w:tcW w:w="550" w:type="dxa"/>
            <w:tcBorders>
              <w:tl2br w:val="nil"/>
              <w:tr2bl w:val="nil"/>
            </w:tcBorders>
            <w:shd w:val="clear" w:color="auto" w:fill="auto"/>
            <w:noWrap/>
            <w:tcMar>
              <w:top w:w="15" w:type="dxa"/>
              <w:left w:w="15" w:type="dxa"/>
              <w:right w:w="15" w:type="dxa"/>
            </w:tcMar>
            <w:vAlign w:val="center"/>
          </w:tcPr>
          <w:p w14:paraId="1901B45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1.81</w:t>
            </w:r>
          </w:p>
        </w:tc>
        <w:tc>
          <w:tcPr>
            <w:tcW w:w="1016" w:type="dxa"/>
            <w:tcBorders>
              <w:tl2br w:val="nil"/>
              <w:tr2bl w:val="nil"/>
            </w:tcBorders>
            <w:shd w:val="clear" w:color="auto" w:fill="auto"/>
            <w:noWrap/>
            <w:tcMar>
              <w:top w:w="15" w:type="dxa"/>
              <w:left w:w="15" w:type="dxa"/>
              <w:right w:w="15" w:type="dxa"/>
            </w:tcMar>
            <w:vAlign w:val="center"/>
          </w:tcPr>
          <w:p w14:paraId="25CD734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0.5651</w:t>
            </w:r>
          </w:p>
        </w:tc>
        <w:tc>
          <w:tcPr>
            <w:tcW w:w="522" w:type="dxa"/>
            <w:tcBorders>
              <w:tl2br w:val="nil"/>
              <w:tr2bl w:val="nil"/>
            </w:tcBorders>
            <w:shd w:val="clear" w:color="auto" w:fill="auto"/>
            <w:noWrap/>
            <w:tcMar>
              <w:top w:w="15" w:type="dxa"/>
              <w:left w:w="15" w:type="dxa"/>
              <w:right w:w="15" w:type="dxa"/>
            </w:tcMar>
            <w:vAlign w:val="center"/>
          </w:tcPr>
          <w:p w14:paraId="3D753AA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0.13</w:t>
            </w:r>
          </w:p>
        </w:tc>
        <w:tc>
          <w:tcPr>
            <w:tcW w:w="1028" w:type="dxa"/>
            <w:tcBorders>
              <w:tl2br w:val="nil"/>
              <w:tr2bl w:val="nil"/>
            </w:tcBorders>
            <w:shd w:val="clear" w:color="auto" w:fill="auto"/>
            <w:noWrap/>
            <w:tcMar>
              <w:top w:w="15" w:type="dxa"/>
              <w:left w:w="15" w:type="dxa"/>
              <w:right w:w="15" w:type="dxa"/>
            </w:tcMar>
            <w:vAlign w:val="center"/>
          </w:tcPr>
          <w:p w14:paraId="6C57046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0.3664</w:t>
            </w:r>
          </w:p>
        </w:tc>
        <w:tc>
          <w:tcPr>
            <w:tcW w:w="600" w:type="dxa"/>
            <w:tcBorders>
              <w:tl2br w:val="nil"/>
              <w:tr2bl w:val="nil"/>
            </w:tcBorders>
            <w:shd w:val="clear" w:color="auto" w:fill="auto"/>
            <w:noWrap/>
            <w:tcMar>
              <w:top w:w="15" w:type="dxa"/>
              <w:left w:w="15" w:type="dxa"/>
              <w:right w:w="15" w:type="dxa"/>
            </w:tcMar>
            <w:vAlign w:val="center"/>
          </w:tcPr>
          <w:p w14:paraId="600BF44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0.16</w:t>
            </w:r>
          </w:p>
        </w:tc>
        <w:tc>
          <w:tcPr>
            <w:tcW w:w="1034" w:type="dxa"/>
            <w:tcBorders>
              <w:tl2br w:val="nil"/>
              <w:tr2bl w:val="nil"/>
            </w:tcBorders>
            <w:shd w:val="clear" w:color="auto" w:fill="auto"/>
            <w:noWrap/>
            <w:tcMar>
              <w:top w:w="15" w:type="dxa"/>
              <w:left w:w="15" w:type="dxa"/>
              <w:right w:w="15" w:type="dxa"/>
            </w:tcMar>
            <w:vAlign w:val="center"/>
          </w:tcPr>
          <w:p w14:paraId="3F73292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0.00017</w:t>
            </w:r>
          </w:p>
        </w:tc>
        <w:tc>
          <w:tcPr>
            <w:tcW w:w="566" w:type="dxa"/>
            <w:tcBorders>
              <w:tl2br w:val="nil"/>
              <w:tr2bl w:val="nil"/>
            </w:tcBorders>
            <w:shd w:val="clear" w:color="auto" w:fill="auto"/>
            <w:noWrap/>
            <w:tcMar>
              <w:top w:w="15" w:type="dxa"/>
              <w:left w:w="15" w:type="dxa"/>
              <w:right w:w="15" w:type="dxa"/>
            </w:tcMar>
            <w:vAlign w:val="center"/>
          </w:tcPr>
          <w:p w14:paraId="724B601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0.06</w:t>
            </w:r>
          </w:p>
        </w:tc>
        <w:tc>
          <w:tcPr>
            <w:tcW w:w="1024" w:type="dxa"/>
            <w:tcBorders>
              <w:tl2br w:val="nil"/>
              <w:tr2bl w:val="nil"/>
            </w:tcBorders>
            <w:shd w:val="clear" w:color="auto" w:fill="auto"/>
            <w:noWrap/>
            <w:tcMar>
              <w:top w:w="15" w:type="dxa"/>
              <w:left w:w="15" w:type="dxa"/>
              <w:right w:w="15" w:type="dxa"/>
            </w:tcMar>
            <w:vAlign w:val="center"/>
          </w:tcPr>
          <w:p w14:paraId="20B5A4E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0.2219</w:t>
            </w:r>
          </w:p>
        </w:tc>
        <w:tc>
          <w:tcPr>
            <w:tcW w:w="450" w:type="dxa"/>
            <w:tcBorders>
              <w:tl2br w:val="nil"/>
              <w:tr2bl w:val="nil"/>
            </w:tcBorders>
            <w:shd w:val="clear" w:color="auto" w:fill="auto"/>
            <w:noWrap/>
            <w:tcMar>
              <w:top w:w="15" w:type="dxa"/>
              <w:left w:w="15" w:type="dxa"/>
              <w:right w:w="15" w:type="dxa"/>
            </w:tcMar>
            <w:vAlign w:val="center"/>
          </w:tcPr>
          <w:p w14:paraId="62A5D48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0.11</w:t>
            </w:r>
          </w:p>
        </w:tc>
        <w:tc>
          <w:tcPr>
            <w:tcW w:w="1026" w:type="dxa"/>
            <w:tcBorders>
              <w:tl2br w:val="nil"/>
              <w:tr2bl w:val="nil"/>
            </w:tcBorders>
            <w:shd w:val="clear" w:color="auto" w:fill="auto"/>
            <w:noWrap/>
            <w:tcMar>
              <w:top w:w="15" w:type="dxa"/>
              <w:left w:w="15" w:type="dxa"/>
              <w:right w:w="15" w:type="dxa"/>
            </w:tcMar>
            <w:vAlign w:val="center"/>
          </w:tcPr>
          <w:p w14:paraId="163E3AF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0.4622</w:t>
            </w:r>
          </w:p>
        </w:tc>
        <w:tc>
          <w:tcPr>
            <w:tcW w:w="455" w:type="dxa"/>
            <w:tcBorders>
              <w:tl2br w:val="nil"/>
              <w:tr2bl w:val="nil"/>
            </w:tcBorders>
            <w:shd w:val="clear" w:color="auto" w:fill="auto"/>
            <w:noWrap/>
            <w:tcMar>
              <w:top w:w="15" w:type="dxa"/>
              <w:left w:w="15" w:type="dxa"/>
              <w:right w:w="15" w:type="dxa"/>
            </w:tcMar>
            <w:vAlign w:val="center"/>
          </w:tcPr>
          <w:p w14:paraId="3FFECDD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0.05</w:t>
            </w:r>
          </w:p>
        </w:tc>
        <w:tc>
          <w:tcPr>
            <w:tcW w:w="1245" w:type="dxa"/>
            <w:tcBorders>
              <w:tl2br w:val="nil"/>
              <w:tr2bl w:val="nil"/>
            </w:tcBorders>
            <w:shd w:val="clear" w:color="auto" w:fill="auto"/>
            <w:noWrap/>
            <w:tcMar>
              <w:top w:w="15" w:type="dxa"/>
              <w:left w:w="15" w:type="dxa"/>
              <w:right w:w="15" w:type="dxa"/>
            </w:tcMar>
            <w:vAlign w:val="center"/>
          </w:tcPr>
          <w:p w14:paraId="7FD6FD1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0.000029</w:t>
            </w:r>
          </w:p>
        </w:tc>
        <w:tc>
          <w:tcPr>
            <w:tcW w:w="530" w:type="dxa"/>
            <w:tcBorders>
              <w:tl2br w:val="nil"/>
              <w:tr2bl w:val="nil"/>
            </w:tcBorders>
            <w:shd w:val="clear" w:color="auto" w:fill="auto"/>
            <w:noWrap/>
            <w:tcMar>
              <w:top w:w="15" w:type="dxa"/>
              <w:left w:w="15" w:type="dxa"/>
              <w:right w:w="15" w:type="dxa"/>
            </w:tcMar>
            <w:vAlign w:val="center"/>
          </w:tcPr>
          <w:p w14:paraId="3D9AC1F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0.00</w:t>
            </w:r>
          </w:p>
        </w:tc>
      </w:tr>
      <w:tr w14:paraId="31866E7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188" w:type="dxa"/>
            <w:tcBorders>
              <w:tl2br w:val="nil"/>
              <w:tr2bl w:val="nil"/>
            </w:tcBorders>
            <w:noWrap w:val="0"/>
            <w:tcMar>
              <w:top w:w="15" w:type="dxa"/>
              <w:left w:w="15" w:type="dxa"/>
              <w:right w:w="15" w:type="dxa"/>
            </w:tcMar>
            <w:vAlign w:val="center"/>
          </w:tcPr>
          <w:p w14:paraId="585CFE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i w:val="0"/>
                <w:color w:val="auto"/>
                <w:sz w:val="21"/>
                <w:szCs w:val="21"/>
                <w:highlight w:val="none"/>
                <w:u w:val="none"/>
              </w:rPr>
            </w:pPr>
            <w:r>
              <w:rPr>
                <w:rFonts w:hint="default" w:ascii="Times New Roman" w:hAnsi="Times New Roman" w:eastAsia="宋体" w:cs="Times New Roman"/>
                <w:b w:val="0"/>
                <w:bCs/>
                <w:i w:val="0"/>
                <w:color w:val="auto"/>
                <w:kern w:val="0"/>
                <w:sz w:val="21"/>
                <w:szCs w:val="21"/>
                <w:highlight w:val="none"/>
                <w:u w:val="none"/>
                <w:lang w:val="en-US" w:eastAsia="zh-CN" w:bidi="ar"/>
              </w:rPr>
              <w:t>下风向最大质量浓度及占标率%</w:t>
            </w:r>
          </w:p>
        </w:tc>
        <w:tc>
          <w:tcPr>
            <w:tcW w:w="1050" w:type="dxa"/>
            <w:tcBorders>
              <w:tl2br w:val="nil"/>
              <w:tr2bl w:val="nil"/>
            </w:tcBorders>
            <w:noWrap/>
            <w:tcMar>
              <w:top w:w="15" w:type="dxa"/>
              <w:left w:w="15" w:type="dxa"/>
              <w:right w:w="15" w:type="dxa"/>
            </w:tcMar>
            <w:vAlign w:val="center"/>
          </w:tcPr>
          <w:p w14:paraId="14CAEC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color w:val="auto"/>
                <w:kern w:val="2"/>
                <w:sz w:val="21"/>
                <w:szCs w:val="21"/>
                <w:highlight w:val="none"/>
                <w:u w:val="none"/>
                <w:lang w:val="en-US" w:eastAsia="zh-CN" w:bidi="ar-SA"/>
              </w:rPr>
            </w:pPr>
            <w:r>
              <w:rPr>
                <w:rFonts w:hint="eastAsia" w:ascii="Times New Roman" w:hAnsi="Times New Roman" w:eastAsia="宋体" w:cs="Times New Roman"/>
                <w:b/>
                <w:bCs/>
                <w:i w:val="0"/>
                <w:color w:val="auto"/>
                <w:kern w:val="0"/>
                <w:sz w:val="21"/>
                <w:szCs w:val="21"/>
                <w:highlight w:val="none"/>
                <w:u w:val="none"/>
                <w:lang w:val="en-US" w:eastAsia="zh-CN" w:bidi="ar"/>
              </w:rPr>
              <w:t>6.1736</w:t>
            </w:r>
          </w:p>
        </w:tc>
        <w:tc>
          <w:tcPr>
            <w:tcW w:w="637" w:type="dxa"/>
            <w:tcBorders>
              <w:tl2br w:val="nil"/>
              <w:tr2bl w:val="nil"/>
            </w:tcBorders>
            <w:noWrap/>
            <w:tcMar>
              <w:top w:w="15" w:type="dxa"/>
              <w:left w:w="15" w:type="dxa"/>
              <w:right w:w="15" w:type="dxa"/>
            </w:tcMar>
            <w:vAlign w:val="center"/>
          </w:tcPr>
          <w:p w14:paraId="01B739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color w:val="auto"/>
                <w:kern w:val="2"/>
                <w:sz w:val="21"/>
                <w:szCs w:val="21"/>
                <w:highlight w:val="none"/>
                <w:u w:val="none"/>
                <w:lang w:val="en-US" w:eastAsia="zh-CN" w:bidi="ar-SA"/>
              </w:rPr>
            </w:pPr>
            <w:r>
              <w:rPr>
                <w:rFonts w:hint="eastAsia" w:ascii="Times New Roman" w:hAnsi="Times New Roman" w:eastAsia="宋体" w:cs="Times New Roman"/>
                <w:b/>
                <w:bCs/>
                <w:i w:val="0"/>
                <w:color w:val="auto"/>
                <w:kern w:val="0"/>
                <w:sz w:val="21"/>
                <w:szCs w:val="21"/>
                <w:highlight w:val="none"/>
                <w:u w:val="none"/>
                <w:lang w:val="en-US" w:eastAsia="zh-CN" w:bidi="ar"/>
              </w:rPr>
              <w:t>1.23</w:t>
            </w:r>
          </w:p>
        </w:tc>
        <w:tc>
          <w:tcPr>
            <w:tcW w:w="1067" w:type="dxa"/>
            <w:tcBorders>
              <w:tl2br w:val="nil"/>
              <w:tr2bl w:val="nil"/>
            </w:tcBorders>
            <w:noWrap/>
            <w:tcMar>
              <w:top w:w="15" w:type="dxa"/>
              <w:left w:w="15" w:type="dxa"/>
              <w:right w:w="15" w:type="dxa"/>
            </w:tcMar>
            <w:vAlign w:val="center"/>
          </w:tcPr>
          <w:p w14:paraId="4F0FB9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color w:val="auto"/>
                <w:kern w:val="2"/>
                <w:sz w:val="21"/>
                <w:szCs w:val="21"/>
                <w:highlight w:val="none"/>
                <w:u w:val="none"/>
                <w:lang w:val="en-US" w:eastAsia="zh-CN" w:bidi="ar-SA"/>
              </w:rPr>
            </w:pPr>
            <w:r>
              <w:rPr>
                <w:rFonts w:hint="eastAsia" w:ascii="Times New Roman" w:hAnsi="Times New Roman" w:eastAsia="宋体" w:cs="Times New Roman"/>
                <w:b/>
                <w:bCs/>
                <w:i w:val="0"/>
                <w:color w:val="auto"/>
                <w:kern w:val="0"/>
                <w:sz w:val="21"/>
                <w:szCs w:val="21"/>
                <w:highlight w:val="none"/>
                <w:u w:val="none"/>
                <w:lang w:val="en-US" w:eastAsia="zh-CN" w:bidi="ar"/>
              </w:rPr>
              <w:t>8.8476</w:t>
            </w:r>
          </w:p>
        </w:tc>
        <w:tc>
          <w:tcPr>
            <w:tcW w:w="550" w:type="dxa"/>
            <w:tcBorders>
              <w:tl2br w:val="nil"/>
              <w:tr2bl w:val="nil"/>
            </w:tcBorders>
            <w:noWrap/>
            <w:tcMar>
              <w:top w:w="15" w:type="dxa"/>
              <w:left w:w="15" w:type="dxa"/>
              <w:right w:w="15" w:type="dxa"/>
            </w:tcMar>
            <w:vAlign w:val="center"/>
          </w:tcPr>
          <w:p w14:paraId="7E5B6C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color w:val="auto"/>
                <w:kern w:val="2"/>
                <w:sz w:val="21"/>
                <w:szCs w:val="21"/>
                <w:highlight w:val="none"/>
                <w:u w:val="none"/>
                <w:lang w:val="en-US" w:eastAsia="zh-CN" w:bidi="ar-SA"/>
              </w:rPr>
            </w:pPr>
            <w:r>
              <w:rPr>
                <w:rFonts w:hint="eastAsia" w:ascii="Times New Roman" w:hAnsi="Times New Roman" w:eastAsia="宋体" w:cs="Times New Roman"/>
                <w:b/>
                <w:bCs/>
                <w:i w:val="0"/>
                <w:color w:val="auto"/>
                <w:kern w:val="0"/>
                <w:sz w:val="21"/>
                <w:szCs w:val="21"/>
                <w:highlight w:val="none"/>
                <w:u w:val="none"/>
                <w:lang w:val="en-US" w:eastAsia="zh-CN" w:bidi="ar"/>
              </w:rPr>
              <w:t>4.42</w:t>
            </w:r>
          </w:p>
        </w:tc>
        <w:tc>
          <w:tcPr>
            <w:tcW w:w="1016" w:type="dxa"/>
            <w:tcBorders>
              <w:tl2br w:val="nil"/>
              <w:tr2bl w:val="nil"/>
            </w:tcBorders>
            <w:noWrap/>
            <w:tcMar>
              <w:top w:w="15" w:type="dxa"/>
              <w:left w:w="15" w:type="dxa"/>
              <w:right w:w="15" w:type="dxa"/>
            </w:tcMar>
            <w:vAlign w:val="center"/>
          </w:tcPr>
          <w:p w14:paraId="2A33C9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color w:val="auto"/>
                <w:kern w:val="2"/>
                <w:sz w:val="21"/>
                <w:szCs w:val="21"/>
                <w:highlight w:val="none"/>
                <w:u w:val="none"/>
                <w:lang w:val="en-US" w:eastAsia="zh-CN" w:bidi="ar-SA"/>
              </w:rPr>
            </w:pPr>
            <w:r>
              <w:rPr>
                <w:rFonts w:hint="eastAsia" w:ascii="Times New Roman" w:hAnsi="Times New Roman" w:eastAsia="宋体" w:cs="Times New Roman"/>
                <w:b/>
                <w:bCs/>
                <w:i w:val="0"/>
                <w:color w:val="auto"/>
                <w:kern w:val="0"/>
                <w:sz w:val="21"/>
                <w:szCs w:val="21"/>
                <w:highlight w:val="none"/>
                <w:u w:val="none"/>
                <w:lang w:val="en-US" w:eastAsia="zh-CN" w:bidi="ar"/>
              </w:rPr>
              <w:t>1.3910</w:t>
            </w:r>
          </w:p>
        </w:tc>
        <w:tc>
          <w:tcPr>
            <w:tcW w:w="522" w:type="dxa"/>
            <w:tcBorders>
              <w:tl2br w:val="nil"/>
              <w:tr2bl w:val="nil"/>
            </w:tcBorders>
            <w:noWrap/>
            <w:tcMar>
              <w:top w:w="15" w:type="dxa"/>
              <w:left w:w="15" w:type="dxa"/>
              <w:right w:w="15" w:type="dxa"/>
            </w:tcMar>
            <w:vAlign w:val="center"/>
          </w:tcPr>
          <w:p w14:paraId="20299B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color w:val="auto"/>
                <w:kern w:val="2"/>
                <w:sz w:val="21"/>
                <w:szCs w:val="21"/>
                <w:highlight w:val="none"/>
                <w:u w:val="none"/>
                <w:lang w:val="en-US" w:eastAsia="zh-CN" w:bidi="ar-SA"/>
              </w:rPr>
            </w:pPr>
            <w:r>
              <w:rPr>
                <w:rFonts w:hint="eastAsia" w:ascii="Times New Roman" w:hAnsi="Times New Roman" w:eastAsia="宋体" w:cs="Times New Roman"/>
                <w:b/>
                <w:bCs/>
                <w:i w:val="0"/>
                <w:color w:val="auto"/>
                <w:kern w:val="0"/>
                <w:sz w:val="21"/>
                <w:szCs w:val="21"/>
                <w:highlight w:val="none"/>
                <w:u w:val="none"/>
                <w:lang w:val="en-US" w:eastAsia="zh-CN" w:bidi="ar"/>
              </w:rPr>
              <w:t>0.31</w:t>
            </w:r>
          </w:p>
        </w:tc>
        <w:tc>
          <w:tcPr>
            <w:tcW w:w="1028" w:type="dxa"/>
            <w:tcBorders>
              <w:tl2br w:val="nil"/>
              <w:tr2bl w:val="nil"/>
            </w:tcBorders>
            <w:noWrap/>
            <w:tcMar>
              <w:top w:w="15" w:type="dxa"/>
              <w:left w:w="15" w:type="dxa"/>
              <w:right w:w="15" w:type="dxa"/>
            </w:tcMar>
            <w:vAlign w:val="center"/>
          </w:tcPr>
          <w:p w14:paraId="301597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color w:val="auto"/>
                <w:kern w:val="2"/>
                <w:sz w:val="21"/>
                <w:szCs w:val="21"/>
                <w:highlight w:val="none"/>
                <w:u w:val="none"/>
                <w:lang w:val="en-US" w:eastAsia="zh-CN" w:bidi="ar-SA"/>
              </w:rPr>
            </w:pPr>
            <w:r>
              <w:rPr>
                <w:rFonts w:hint="eastAsia" w:ascii="Times New Roman" w:hAnsi="Times New Roman" w:eastAsia="宋体" w:cs="Times New Roman"/>
                <w:b/>
                <w:bCs/>
                <w:i w:val="0"/>
                <w:color w:val="auto"/>
                <w:kern w:val="0"/>
                <w:sz w:val="21"/>
                <w:szCs w:val="21"/>
                <w:highlight w:val="none"/>
                <w:u w:val="none"/>
                <w:lang w:val="en-US" w:eastAsia="zh-CN" w:bidi="ar"/>
              </w:rPr>
              <w:t>0.9019</w:t>
            </w:r>
          </w:p>
        </w:tc>
        <w:tc>
          <w:tcPr>
            <w:tcW w:w="600" w:type="dxa"/>
            <w:tcBorders>
              <w:tl2br w:val="nil"/>
              <w:tr2bl w:val="nil"/>
            </w:tcBorders>
            <w:noWrap/>
            <w:tcMar>
              <w:top w:w="15" w:type="dxa"/>
              <w:left w:w="15" w:type="dxa"/>
              <w:right w:w="15" w:type="dxa"/>
            </w:tcMar>
            <w:vAlign w:val="center"/>
          </w:tcPr>
          <w:p w14:paraId="40B219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color w:val="auto"/>
                <w:kern w:val="2"/>
                <w:sz w:val="21"/>
                <w:szCs w:val="21"/>
                <w:highlight w:val="none"/>
                <w:u w:val="none"/>
                <w:lang w:val="en-US" w:eastAsia="zh-CN" w:bidi="ar-SA"/>
              </w:rPr>
            </w:pPr>
            <w:r>
              <w:rPr>
                <w:rFonts w:hint="eastAsia" w:ascii="Times New Roman" w:hAnsi="Times New Roman" w:eastAsia="宋体" w:cs="Times New Roman"/>
                <w:b/>
                <w:bCs/>
                <w:i w:val="0"/>
                <w:color w:val="auto"/>
                <w:kern w:val="0"/>
                <w:sz w:val="21"/>
                <w:szCs w:val="21"/>
                <w:highlight w:val="none"/>
                <w:u w:val="none"/>
                <w:lang w:val="en-US" w:eastAsia="zh-CN" w:bidi="ar"/>
              </w:rPr>
              <w:t>0.40</w:t>
            </w:r>
          </w:p>
        </w:tc>
        <w:tc>
          <w:tcPr>
            <w:tcW w:w="1034" w:type="dxa"/>
            <w:tcBorders>
              <w:tl2br w:val="nil"/>
              <w:tr2bl w:val="nil"/>
            </w:tcBorders>
            <w:noWrap/>
            <w:tcMar>
              <w:top w:w="15" w:type="dxa"/>
              <w:left w:w="15" w:type="dxa"/>
              <w:right w:w="15" w:type="dxa"/>
            </w:tcMar>
            <w:vAlign w:val="center"/>
          </w:tcPr>
          <w:p w14:paraId="796DEE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color w:val="auto"/>
                <w:kern w:val="2"/>
                <w:sz w:val="21"/>
                <w:szCs w:val="21"/>
                <w:highlight w:val="none"/>
                <w:u w:val="none"/>
                <w:lang w:val="en-US" w:eastAsia="zh-CN" w:bidi="ar-SA"/>
              </w:rPr>
            </w:pPr>
            <w:r>
              <w:rPr>
                <w:rFonts w:hint="eastAsia" w:ascii="Times New Roman" w:hAnsi="Times New Roman" w:eastAsia="宋体" w:cs="Times New Roman"/>
                <w:b/>
                <w:bCs/>
                <w:i w:val="0"/>
                <w:color w:val="auto"/>
                <w:kern w:val="0"/>
                <w:sz w:val="21"/>
                <w:szCs w:val="21"/>
                <w:highlight w:val="none"/>
                <w:u w:val="none"/>
                <w:lang w:val="en-US" w:eastAsia="zh-CN" w:bidi="ar"/>
              </w:rPr>
              <w:t>0.00042</w:t>
            </w:r>
          </w:p>
        </w:tc>
        <w:tc>
          <w:tcPr>
            <w:tcW w:w="566" w:type="dxa"/>
            <w:tcBorders>
              <w:tl2br w:val="nil"/>
              <w:tr2bl w:val="nil"/>
            </w:tcBorders>
            <w:noWrap/>
            <w:tcMar>
              <w:top w:w="15" w:type="dxa"/>
              <w:left w:w="15" w:type="dxa"/>
              <w:right w:w="15" w:type="dxa"/>
            </w:tcMar>
            <w:vAlign w:val="center"/>
          </w:tcPr>
          <w:p w14:paraId="7692E9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color w:val="auto"/>
                <w:kern w:val="2"/>
                <w:sz w:val="21"/>
                <w:szCs w:val="21"/>
                <w:highlight w:val="none"/>
                <w:u w:val="none"/>
                <w:lang w:val="en-US" w:eastAsia="zh-CN" w:bidi="ar-SA"/>
              </w:rPr>
            </w:pPr>
            <w:r>
              <w:rPr>
                <w:rFonts w:hint="eastAsia" w:ascii="Times New Roman" w:hAnsi="Times New Roman" w:eastAsia="宋体" w:cs="Times New Roman"/>
                <w:b/>
                <w:bCs/>
                <w:i w:val="0"/>
                <w:color w:val="auto"/>
                <w:kern w:val="0"/>
                <w:sz w:val="21"/>
                <w:szCs w:val="21"/>
                <w:highlight w:val="none"/>
                <w:u w:val="none"/>
                <w:lang w:val="en-US" w:eastAsia="zh-CN" w:bidi="ar"/>
              </w:rPr>
              <w:t>0.14</w:t>
            </w:r>
          </w:p>
        </w:tc>
        <w:tc>
          <w:tcPr>
            <w:tcW w:w="1024" w:type="dxa"/>
            <w:tcBorders>
              <w:tl2br w:val="nil"/>
              <w:tr2bl w:val="nil"/>
            </w:tcBorders>
            <w:noWrap/>
            <w:tcMar>
              <w:top w:w="15" w:type="dxa"/>
              <w:left w:w="15" w:type="dxa"/>
              <w:right w:w="15" w:type="dxa"/>
            </w:tcMar>
            <w:vAlign w:val="center"/>
          </w:tcPr>
          <w:p w14:paraId="60EAF3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color w:val="auto"/>
                <w:kern w:val="2"/>
                <w:sz w:val="21"/>
                <w:szCs w:val="21"/>
                <w:highlight w:val="none"/>
                <w:u w:val="none"/>
                <w:lang w:val="en-US" w:eastAsia="zh-CN" w:bidi="ar-SA"/>
              </w:rPr>
            </w:pPr>
            <w:r>
              <w:rPr>
                <w:rFonts w:hint="eastAsia" w:ascii="Times New Roman" w:hAnsi="Times New Roman" w:eastAsia="宋体" w:cs="Times New Roman"/>
                <w:b/>
                <w:bCs/>
                <w:i w:val="0"/>
                <w:color w:val="auto"/>
                <w:kern w:val="0"/>
                <w:sz w:val="21"/>
                <w:szCs w:val="21"/>
                <w:highlight w:val="none"/>
                <w:u w:val="none"/>
                <w:lang w:val="en-US" w:eastAsia="zh-CN" w:bidi="ar"/>
              </w:rPr>
              <w:t>0.5462</w:t>
            </w:r>
          </w:p>
        </w:tc>
        <w:tc>
          <w:tcPr>
            <w:tcW w:w="450" w:type="dxa"/>
            <w:tcBorders>
              <w:tl2br w:val="nil"/>
              <w:tr2bl w:val="nil"/>
            </w:tcBorders>
            <w:noWrap/>
            <w:tcMar>
              <w:top w:w="15" w:type="dxa"/>
              <w:left w:w="15" w:type="dxa"/>
              <w:right w:w="15" w:type="dxa"/>
            </w:tcMar>
            <w:vAlign w:val="center"/>
          </w:tcPr>
          <w:p w14:paraId="1871AA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color w:val="auto"/>
                <w:kern w:val="2"/>
                <w:sz w:val="21"/>
                <w:szCs w:val="21"/>
                <w:highlight w:val="none"/>
                <w:u w:val="none"/>
                <w:lang w:val="en-US" w:eastAsia="zh-CN" w:bidi="ar-SA"/>
              </w:rPr>
            </w:pPr>
            <w:r>
              <w:rPr>
                <w:rFonts w:hint="eastAsia" w:ascii="Times New Roman" w:hAnsi="Times New Roman" w:eastAsia="宋体" w:cs="Times New Roman"/>
                <w:b/>
                <w:bCs/>
                <w:i w:val="0"/>
                <w:color w:val="auto"/>
                <w:kern w:val="0"/>
                <w:sz w:val="21"/>
                <w:szCs w:val="21"/>
                <w:highlight w:val="none"/>
                <w:u w:val="none"/>
                <w:lang w:val="en-US" w:eastAsia="zh-CN" w:bidi="ar"/>
              </w:rPr>
              <w:t>0.27</w:t>
            </w:r>
          </w:p>
        </w:tc>
        <w:tc>
          <w:tcPr>
            <w:tcW w:w="1026" w:type="dxa"/>
            <w:tcBorders>
              <w:tl2br w:val="nil"/>
              <w:tr2bl w:val="nil"/>
            </w:tcBorders>
            <w:noWrap/>
            <w:tcMar>
              <w:top w:w="15" w:type="dxa"/>
              <w:left w:w="15" w:type="dxa"/>
              <w:right w:w="15" w:type="dxa"/>
            </w:tcMar>
            <w:vAlign w:val="center"/>
          </w:tcPr>
          <w:p w14:paraId="7557E8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color w:val="auto"/>
                <w:kern w:val="2"/>
                <w:sz w:val="21"/>
                <w:szCs w:val="21"/>
                <w:highlight w:val="none"/>
                <w:u w:val="none"/>
                <w:lang w:val="en-US" w:eastAsia="zh-CN" w:bidi="ar-SA"/>
              </w:rPr>
            </w:pPr>
            <w:r>
              <w:rPr>
                <w:rFonts w:hint="eastAsia" w:ascii="Times New Roman" w:hAnsi="Times New Roman" w:eastAsia="宋体" w:cs="Times New Roman"/>
                <w:b/>
                <w:bCs/>
                <w:i w:val="0"/>
                <w:color w:val="auto"/>
                <w:kern w:val="2"/>
                <w:sz w:val="21"/>
                <w:szCs w:val="21"/>
                <w:highlight w:val="none"/>
                <w:u w:val="none"/>
                <w:lang w:val="en-US" w:eastAsia="zh-CN" w:bidi="ar-SA"/>
              </w:rPr>
              <w:t>2.2132</w:t>
            </w:r>
          </w:p>
        </w:tc>
        <w:tc>
          <w:tcPr>
            <w:tcW w:w="455" w:type="dxa"/>
            <w:tcBorders>
              <w:tl2br w:val="nil"/>
              <w:tr2bl w:val="nil"/>
            </w:tcBorders>
            <w:noWrap/>
            <w:tcMar>
              <w:top w:w="15" w:type="dxa"/>
              <w:left w:w="15" w:type="dxa"/>
              <w:right w:w="15" w:type="dxa"/>
            </w:tcMar>
            <w:vAlign w:val="center"/>
          </w:tcPr>
          <w:p w14:paraId="32250BC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color w:val="auto"/>
                <w:kern w:val="2"/>
                <w:sz w:val="21"/>
                <w:szCs w:val="21"/>
                <w:highlight w:val="none"/>
                <w:u w:val="none"/>
                <w:lang w:val="en-US" w:eastAsia="zh-CN" w:bidi="ar-SA"/>
              </w:rPr>
            </w:pPr>
            <w:r>
              <w:rPr>
                <w:rFonts w:hint="eastAsia" w:ascii="Times New Roman" w:hAnsi="Times New Roman" w:eastAsia="宋体" w:cs="Times New Roman"/>
                <w:b/>
                <w:bCs/>
                <w:i w:val="0"/>
                <w:color w:val="auto"/>
                <w:kern w:val="2"/>
                <w:sz w:val="21"/>
                <w:szCs w:val="21"/>
                <w:highlight w:val="none"/>
                <w:u w:val="none"/>
                <w:lang w:val="en-US" w:eastAsia="zh-CN" w:bidi="ar-SA"/>
              </w:rPr>
              <w:t>0.25</w:t>
            </w:r>
          </w:p>
        </w:tc>
        <w:tc>
          <w:tcPr>
            <w:tcW w:w="1245" w:type="dxa"/>
            <w:tcBorders>
              <w:tl2br w:val="nil"/>
              <w:tr2bl w:val="nil"/>
            </w:tcBorders>
            <w:noWrap/>
            <w:tcMar>
              <w:top w:w="15" w:type="dxa"/>
              <w:left w:w="15" w:type="dxa"/>
              <w:right w:w="15" w:type="dxa"/>
            </w:tcMar>
            <w:vAlign w:val="center"/>
          </w:tcPr>
          <w:p w14:paraId="086208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color w:val="auto"/>
                <w:kern w:val="2"/>
                <w:sz w:val="21"/>
                <w:szCs w:val="21"/>
                <w:highlight w:val="none"/>
                <w:u w:val="none"/>
                <w:lang w:val="en-US" w:eastAsia="zh-CN" w:bidi="ar-SA"/>
              </w:rPr>
            </w:pPr>
            <w:r>
              <w:rPr>
                <w:rFonts w:hint="eastAsia" w:ascii="Times New Roman" w:hAnsi="Times New Roman" w:eastAsia="宋体" w:cs="Times New Roman"/>
                <w:b/>
                <w:bCs/>
                <w:i w:val="0"/>
                <w:color w:val="auto"/>
                <w:kern w:val="2"/>
                <w:sz w:val="21"/>
                <w:szCs w:val="21"/>
                <w:highlight w:val="none"/>
                <w:u w:val="none"/>
                <w:lang w:val="en-US" w:eastAsia="zh-CN" w:bidi="ar-SA"/>
              </w:rPr>
              <w:t>0.000444</w:t>
            </w:r>
          </w:p>
        </w:tc>
        <w:tc>
          <w:tcPr>
            <w:tcW w:w="530" w:type="dxa"/>
            <w:tcBorders>
              <w:tl2br w:val="nil"/>
              <w:tr2bl w:val="nil"/>
            </w:tcBorders>
            <w:noWrap/>
            <w:tcMar>
              <w:top w:w="15" w:type="dxa"/>
              <w:left w:w="15" w:type="dxa"/>
              <w:right w:w="15" w:type="dxa"/>
            </w:tcMar>
            <w:vAlign w:val="center"/>
          </w:tcPr>
          <w:p w14:paraId="0BDB3F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color w:val="auto"/>
                <w:kern w:val="2"/>
                <w:sz w:val="21"/>
                <w:szCs w:val="21"/>
                <w:highlight w:val="none"/>
                <w:u w:val="none"/>
                <w:lang w:val="en-US" w:eastAsia="zh-CN" w:bidi="ar-SA"/>
              </w:rPr>
            </w:pPr>
            <w:r>
              <w:rPr>
                <w:rFonts w:hint="eastAsia" w:ascii="Times New Roman" w:hAnsi="Times New Roman" w:eastAsia="宋体" w:cs="Times New Roman"/>
                <w:b/>
                <w:bCs/>
                <w:i w:val="0"/>
                <w:color w:val="auto"/>
                <w:kern w:val="2"/>
                <w:sz w:val="21"/>
                <w:szCs w:val="21"/>
                <w:highlight w:val="none"/>
                <w:u w:val="none"/>
                <w:lang w:val="en-US" w:eastAsia="zh-CN" w:bidi="ar-SA"/>
              </w:rPr>
              <w:t>0.05</w:t>
            </w:r>
          </w:p>
        </w:tc>
      </w:tr>
      <w:tr w14:paraId="0F38E6E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188" w:type="dxa"/>
            <w:tcBorders>
              <w:tl2br w:val="nil"/>
              <w:tr2bl w:val="nil"/>
            </w:tcBorders>
            <w:noWrap w:val="0"/>
            <w:tcMar>
              <w:top w:w="15" w:type="dxa"/>
              <w:left w:w="15" w:type="dxa"/>
              <w:right w:w="15" w:type="dxa"/>
            </w:tcMar>
            <w:vAlign w:val="center"/>
          </w:tcPr>
          <w:p w14:paraId="3BD302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highlight w:val="none"/>
                <w:u w:val="none"/>
                <w:lang w:val="en-US" w:eastAsia="zh-CN" w:bidi="ar"/>
              </w:rPr>
              <w:t>D10</w:t>
            </w:r>
            <w:r>
              <w:rPr>
                <w:rFonts w:hint="default" w:ascii="Times New Roman" w:hAnsi="Times New Roman" w:eastAsia="宋体" w:cs="Times New Roman"/>
                <w:i w:val="0"/>
                <w:color w:val="auto"/>
                <w:kern w:val="0"/>
                <w:sz w:val="21"/>
                <w:szCs w:val="21"/>
                <w:highlight w:val="none"/>
                <w:u w:val="none"/>
                <w:vertAlign w:val="subscript"/>
                <w:lang w:val="en-US" w:eastAsia="zh-CN" w:bidi="ar"/>
              </w:rPr>
              <w:t>%</w:t>
            </w:r>
            <w:r>
              <w:rPr>
                <w:rFonts w:hint="default" w:ascii="Times New Roman" w:hAnsi="Times New Roman" w:eastAsia="宋体" w:cs="Times New Roman"/>
                <w:i w:val="0"/>
                <w:color w:val="auto"/>
                <w:kern w:val="0"/>
                <w:sz w:val="21"/>
                <w:szCs w:val="21"/>
                <w:highlight w:val="none"/>
                <w:u w:val="none"/>
                <w:lang w:val="en-US" w:eastAsia="zh-CN" w:bidi="ar"/>
              </w:rPr>
              <w:t>最远</w:t>
            </w:r>
          </w:p>
          <w:p w14:paraId="2AD490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highlight w:val="none"/>
                <w:u w:val="none"/>
                <w:lang w:val="en-US" w:eastAsia="zh-CN" w:bidi="ar"/>
              </w:rPr>
              <w:t>距离/m</w:t>
            </w:r>
          </w:p>
        </w:tc>
        <w:tc>
          <w:tcPr>
            <w:tcW w:w="1687" w:type="dxa"/>
            <w:gridSpan w:val="2"/>
            <w:tcBorders>
              <w:tl2br w:val="nil"/>
              <w:tr2bl w:val="nil"/>
            </w:tcBorders>
            <w:noWrap/>
            <w:tcMar>
              <w:top w:w="15" w:type="dxa"/>
              <w:left w:w="15" w:type="dxa"/>
              <w:right w:w="15" w:type="dxa"/>
            </w:tcMar>
            <w:vAlign w:val="center"/>
          </w:tcPr>
          <w:p w14:paraId="23D470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1617" w:type="dxa"/>
            <w:gridSpan w:val="2"/>
            <w:tcBorders>
              <w:tl2br w:val="nil"/>
              <w:tr2bl w:val="nil"/>
            </w:tcBorders>
            <w:noWrap/>
            <w:tcMar>
              <w:top w:w="15" w:type="dxa"/>
              <w:left w:w="15" w:type="dxa"/>
              <w:right w:w="15" w:type="dxa"/>
            </w:tcMar>
            <w:vAlign w:val="center"/>
          </w:tcPr>
          <w:p w14:paraId="72BB71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1538" w:type="dxa"/>
            <w:gridSpan w:val="2"/>
            <w:tcBorders>
              <w:tl2br w:val="nil"/>
              <w:tr2bl w:val="nil"/>
            </w:tcBorders>
            <w:noWrap/>
            <w:tcMar>
              <w:top w:w="15" w:type="dxa"/>
              <w:left w:w="15" w:type="dxa"/>
              <w:right w:w="15" w:type="dxa"/>
            </w:tcMar>
            <w:vAlign w:val="center"/>
          </w:tcPr>
          <w:p w14:paraId="5851A1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1628" w:type="dxa"/>
            <w:gridSpan w:val="2"/>
            <w:tcBorders>
              <w:tl2br w:val="nil"/>
              <w:tr2bl w:val="nil"/>
            </w:tcBorders>
            <w:noWrap/>
            <w:tcMar>
              <w:top w:w="15" w:type="dxa"/>
              <w:left w:w="15" w:type="dxa"/>
              <w:right w:w="15" w:type="dxa"/>
            </w:tcMar>
            <w:vAlign w:val="center"/>
          </w:tcPr>
          <w:p w14:paraId="2511E3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1600" w:type="dxa"/>
            <w:gridSpan w:val="2"/>
            <w:tcBorders>
              <w:tl2br w:val="nil"/>
              <w:tr2bl w:val="nil"/>
            </w:tcBorders>
            <w:noWrap/>
            <w:tcMar>
              <w:top w:w="15" w:type="dxa"/>
              <w:left w:w="15" w:type="dxa"/>
              <w:right w:w="15" w:type="dxa"/>
            </w:tcMar>
            <w:vAlign w:val="center"/>
          </w:tcPr>
          <w:p w14:paraId="6B073C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1474" w:type="dxa"/>
            <w:gridSpan w:val="2"/>
            <w:tcBorders>
              <w:tl2br w:val="nil"/>
              <w:tr2bl w:val="nil"/>
            </w:tcBorders>
            <w:noWrap/>
            <w:tcMar>
              <w:top w:w="15" w:type="dxa"/>
              <w:left w:w="15" w:type="dxa"/>
              <w:right w:w="15" w:type="dxa"/>
            </w:tcMar>
            <w:vAlign w:val="center"/>
          </w:tcPr>
          <w:p w14:paraId="043A04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481" w:type="dxa"/>
            <w:gridSpan w:val="2"/>
            <w:tcBorders>
              <w:tl2br w:val="nil"/>
              <w:tr2bl w:val="nil"/>
            </w:tcBorders>
            <w:noWrap/>
            <w:tcMar>
              <w:top w:w="15" w:type="dxa"/>
              <w:left w:w="15" w:type="dxa"/>
              <w:right w:w="15" w:type="dxa"/>
            </w:tcMar>
            <w:vAlign w:val="center"/>
          </w:tcPr>
          <w:p w14:paraId="5688EF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775" w:type="dxa"/>
            <w:gridSpan w:val="2"/>
            <w:tcBorders>
              <w:tl2br w:val="nil"/>
              <w:tr2bl w:val="nil"/>
            </w:tcBorders>
            <w:noWrap/>
            <w:tcMar>
              <w:top w:w="15" w:type="dxa"/>
              <w:left w:w="15" w:type="dxa"/>
              <w:right w:w="15" w:type="dxa"/>
            </w:tcMar>
            <w:vAlign w:val="center"/>
          </w:tcPr>
          <w:p w14:paraId="2E088C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bl>
    <w:p w14:paraId="3C87D92F">
      <w:pPr>
        <w:pStyle w:val="88"/>
        <w:tabs>
          <w:tab w:val="left" w:pos="567"/>
          <w:tab w:val="left" w:pos="4440"/>
        </w:tabs>
        <w:autoSpaceDE w:val="0"/>
        <w:autoSpaceDN w:val="0"/>
        <w:spacing w:line="460" w:lineRule="exact"/>
        <w:jc w:val="center"/>
        <w:textAlignment w:val="bottom"/>
        <w:rPr>
          <w:rFonts w:hint="default" w:ascii="Times New Roman" w:hAnsi="Times New Roman" w:eastAsia="宋体" w:cs="Times New Roman"/>
          <w:b w:val="0"/>
          <w:bCs w:val="0"/>
          <w:color w:val="auto"/>
          <w:spacing w:val="0"/>
          <w:sz w:val="24"/>
          <w:szCs w:val="24"/>
          <w:highlight w:val="none"/>
          <w:lang w:val="en-US" w:eastAsia="zh-CN"/>
        </w:rPr>
      </w:pPr>
      <w:r>
        <w:rPr>
          <w:rFonts w:hint="default" w:ascii="Times New Roman" w:hAnsi="Times New Roman" w:eastAsia="宋体" w:cs="Times New Roman"/>
          <w:b w:val="0"/>
          <w:bCs w:val="0"/>
          <w:color w:val="auto"/>
          <w:spacing w:val="0"/>
          <w:sz w:val="24"/>
          <w:szCs w:val="24"/>
          <w:highlight w:val="none"/>
        </w:rPr>
        <w:t>表2</w:t>
      </w:r>
      <w:r>
        <w:rPr>
          <w:rFonts w:hint="default" w:ascii="Times New Roman" w:hAnsi="Times New Roman" w:eastAsia="宋体" w:cs="Times New Roman"/>
          <w:b w:val="0"/>
          <w:bCs w:val="0"/>
          <w:color w:val="auto"/>
          <w:spacing w:val="0"/>
          <w:sz w:val="24"/>
          <w:szCs w:val="24"/>
          <w:highlight w:val="none"/>
          <w:lang w:val="en-US" w:eastAsia="zh-CN"/>
        </w:rPr>
        <w:t>.</w:t>
      </w:r>
      <w:r>
        <w:rPr>
          <w:rFonts w:hint="default" w:ascii="Times New Roman" w:hAnsi="Times New Roman" w:eastAsia="宋体" w:cs="Times New Roman"/>
          <w:b w:val="0"/>
          <w:bCs w:val="0"/>
          <w:color w:val="auto"/>
          <w:spacing w:val="0"/>
          <w:sz w:val="24"/>
          <w:szCs w:val="24"/>
          <w:highlight w:val="none"/>
        </w:rPr>
        <w:t>4-</w:t>
      </w:r>
      <w:r>
        <w:rPr>
          <w:rFonts w:hint="eastAsia" w:ascii="Times New Roman" w:hAnsi="Times New Roman" w:eastAsia="宋体" w:cs="Times New Roman"/>
          <w:b w:val="0"/>
          <w:bCs w:val="0"/>
          <w:color w:val="auto"/>
          <w:spacing w:val="0"/>
          <w:sz w:val="24"/>
          <w:szCs w:val="24"/>
          <w:highlight w:val="none"/>
          <w:lang w:val="en-US" w:eastAsia="zh-CN"/>
        </w:rPr>
        <w:t>6</w:t>
      </w:r>
      <w:r>
        <w:rPr>
          <w:rFonts w:hint="default" w:ascii="Times New Roman" w:hAnsi="Times New Roman" w:eastAsia="宋体" w:cs="Times New Roman"/>
          <w:b w:val="0"/>
          <w:bCs w:val="0"/>
          <w:color w:val="auto"/>
          <w:spacing w:val="0"/>
          <w:sz w:val="24"/>
          <w:szCs w:val="24"/>
          <w:highlight w:val="none"/>
        </w:rPr>
        <w:t xml:space="preserve"> 本项目</w:t>
      </w:r>
      <w:r>
        <w:rPr>
          <w:rFonts w:hint="default" w:ascii="Times New Roman" w:hAnsi="Times New Roman" w:eastAsia="宋体" w:cs="Times New Roman"/>
          <w:b w:val="0"/>
          <w:bCs w:val="0"/>
          <w:color w:val="auto"/>
          <w:spacing w:val="0"/>
          <w:sz w:val="24"/>
          <w:szCs w:val="24"/>
          <w:highlight w:val="none"/>
          <w:lang w:val="en-US" w:eastAsia="zh-CN"/>
        </w:rPr>
        <w:t>主要</w:t>
      </w:r>
      <w:r>
        <w:rPr>
          <w:rFonts w:hint="default" w:ascii="Times New Roman" w:hAnsi="Times New Roman" w:eastAsia="宋体" w:cs="Times New Roman"/>
          <w:b w:val="0"/>
          <w:bCs w:val="0"/>
          <w:color w:val="auto"/>
          <w:spacing w:val="0"/>
          <w:sz w:val="24"/>
          <w:szCs w:val="24"/>
          <w:highlight w:val="none"/>
        </w:rPr>
        <w:t>污染</w:t>
      </w:r>
      <w:r>
        <w:rPr>
          <w:rFonts w:hint="default" w:ascii="Times New Roman" w:hAnsi="Times New Roman" w:eastAsia="宋体" w:cs="Times New Roman"/>
          <w:b w:val="0"/>
          <w:bCs w:val="0"/>
          <w:color w:val="auto"/>
          <w:spacing w:val="0"/>
          <w:sz w:val="24"/>
          <w:szCs w:val="24"/>
          <w:highlight w:val="none"/>
          <w:lang w:eastAsia="zh-CN"/>
        </w:rPr>
        <w:t>源</w:t>
      </w:r>
      <w:r>
        <w:rPr>
          <w:rFonts w:hint="default" w:ascii="Times New Roman" w:hAnsi="Times New Roman" w:eastAsia="宋体" w:cs="Times New Roman"/>
          <w:b w:val="0"/>
          <w:bCs w:val="0"/>
          <w:color w:val="auto"/>
          <w:spacing w:val="0"/>
          <w:sz w:val="24"/>
          <w:szCs w:val="24"/>
          <w:highlight w:val="none"/>
        </w:rPr>
        <w:t>估算</w:t>
      </w:r>
      <w:r>
        <w:rPr>
          <w:rFonts w:hint="default" w:ascii="Times New Roman" w:hAnsi="Times New Roman" w:eastAsia="宋体" w:cs="Times New Roman"/>
          <w:b w:val="0"/>
          <w:bCs w:val="0"/>
          <w:color w:val="auto"/>
          <w:spacing w:val="0"/>
          <w:sz w:val="24"/>
          <w:szCs w:val="24"/>
          <w:highlight w:val="none"/>
          <w:lang w:eastAsia="zh-CN"/>
        </w:rPr>
        <w:t>模型</w:t>
      </w:r>
      <w:r>
        <w:rPr>
          <w:rFonts w:hint="default" w:ascii="Times New Roman" w:hAnsi="Times New Roman" w:eastAsia="宋体" w:cs="Times New Roman"/>
          <w:b w:val="0"/>
          <w:bCs w:val="0"/>
          <w:color w:val="auto"/>
          <w:spacing w:val="0"/>
          <w:sz w:val="24"/>
          <w:szCs w:val="24"/>
          <w:highlight w:val="none"/>
        </w:rPr>
        <w:t>计算结果</w:t>
      </w:r>
      <w:r>
        <w:rPr>
          <w:rFonts w:hint="default" w:ascii="Times New Roman" w:hAnsi="Times New Roman" w:eastAsia="宋体" w:cs="Times New Roman"/>
          <w:b w:val="0"/>
          <w:bCs w:val="0"/>
          <w:color w:val="auto"/>
          <w:spacing w:val="0"/>
          <w:sz w:val="24"/>
          <w:szCs w:val="24"/>
          <w:highlight w:val="none"/>
          <w:lang w:val="en-US" w:eastAsia="zh-CN"/>
        </w:rPr>
        <w:t>表</w:t>
      </w:r>
      <w:r>
        <w:rPr>
          <w:rFonts w:hint="eastAsia" w:ascii="Times New Roman" w:cs="Times New Roman"/>
          <w:b w:val="0"/>
          <w:bCs w:val="0"/>
          <w:color w:val="auto"/>
          <w:spacing w:val="0"/>
          <w:sz w:val="24"/>
          <w:szCs w:val="24"/>
          <w:highlight w:val="none"/>
          <w:lang w:val="en-US" w:eastAsia="zh-CN"/>
        </w:rPr>
        <w:t>（面源）</w:t>
      </w:r>
    </w:p>
    <w:tbl>
      <w:tblPr>
        <w:tblStyle w:val="37"/>
        <w:tblW w:w="4997"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655"/>
        <w:gridCol w:w="1884"/>
        <w:gridCol w:w="866"/>
        <w:gridCol w:w="1700"/>
        <w:gridCol w:w="1917"/>
        <w:gridCol w:w="983"/>
        <w:gridCol w:w="1902"/>
        <w:gridCol w:w="2090"/>
        <w:gridCol w:w="985"/>
      </w:tblGrid>
      <w:tr w14:paraId="12C14B8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9" w:hRule="atLeast"/>
          <w:jc w:val="center"/>
        </w:trPr>
        <w:tc>
          <w:tcPr>
            <w:tcW w:w="591" w:type="pct"/>
            <w:vMerge w:val="restart"/>
            <w:tcBorders>
              <w:tl2br w:val="nil"/>
              <w:tr2bl w:val="nil"/>
            </w:tcBorders>
            <w:noWrap w:val="0"/>
            <w:tcMar>
              <w:top w:w="15" w:type="dxa"/>
              <w:left w:w="15" w:type="dxa"/>
              <w:right w:w="15" w:type="dxa"/>
            </w:tcMar>
            <w:vAlign w:val="center"/>
          </w:tcPr>
          <w:p w14:paraId="16C6EFA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default" w:ascii="Times New Roman" w:hAnsi="Times New Roman" w:eastAsia="宋体" w:cs="Times New Roman"/>
                <w:b w:val="0"/>
                <w:bCs w:val="0"/>
                <w:i w:val="0"/>
                <w:color w:val="auto"/>
                <w:kern w:val="0"/>
                <w:sz w:val="21"/>
                <w:szCs w:val="21"/>
                <w:highlight w:val="none"/>
                <w:u w:val="none"/>
                <w:lang w:val="en-US" w:eastAsia="zh-CN" w:bidi="ar"/>
              </w:rPr>
              <w:t>下风向距离/m</w:t>
            </w:r>
          </w:p>
        </w:tc>
        <w:tc>
          <w:tcPr>
            <w:tcW w:w="983" w:type="pct"/>
            <w:gridSpan w:val="2"/>
            <w:tcBorders>
              <w:tl2br w:val="nil"/>
              <w:tr2bl w:val="nil"/>
            </w:tcBorders>
            <w:noWrap w:val="0"/>
            <w:tcMar>
              <w:top w:w="15" w:type="dxa"/>
              <w:left w:w="15" w:type="dxa"/>
              <w:right w:w="15" w:type="dxa"/>
            </w:tcMar>
            <w:vAlign w:val="center"/>
          </w:tcPr>
          <w:p w14:paraId="34E9822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default" w:ascii="Times New Roman" w:hAnsi="Times New Roman" w:eastAsia="宋体" w:cs="Times New Roman"/>
                <w:b w:val="0"/>
                <w:bCs w:val="0"/>
                <w:i w:val="0"/>
                <w:color w:val="auto"/>
                <w:kern w:val="0"/>
                <w:sz w:val="21"/>
                <w:szCs w:val="21"/>
                <w:highlight w:val="none"/>
                <w:u w:val="none"/>
                <w:lang w:val="en-US" w:eastAsia="zh-CN" w:bidi="ar"/>
              </w:rPr>
              <w:t>TSP（</w:t>
            </w:r>
            <w:r>
              <w:rPr>
                <w:rFonts w:hint="eastAsia" w:ascii="Times New Roman" w:hAnsi="Times New Roman" w:eastAsia="宋体" w:cs="Times New Roman"/>
                <w:b w:val="0"/>
                <w:bCs w:val="0"/>
                <w:i w:val="0"/>
                <w:color w:val="auto"/>
                <w:kern w:val="0"/>
                <w:sz w:val="21"/>
                <w:szCs w:val="21"/>
                <w:highlight w:val="none"/>
                <w:u w:val="none"/>
                <w:lang w:val="en-US" w:eastAsia="zh-CN" w:bidi="ar"/>
              </w:rPr>
              <w:t>渣仓</w:t>
            </w:r>
            <w:r>
              <w:rPr>
                <w:rFonts w:hint="default" w:ascii="Times New Roman" w:hAnsi="Times New Roman" w:eastAsia="宋体" w:cs="Times New Roman"/>
                <w:b w:val="0"/>
                <w:bCs w:val="0"/>
                <w:i w:val="0"/>
                <w:color w:val="auto"/>
                <w:kern w:val="0"/>
                <w:sz w:val="21"/>
                <w:szCs w:val="21"/>
                <w:highlight w:val="none"/>
                <w:u w:val="none"/>
                <w:lang w:val="en-US" w:eastAsia="zh-CN" w:bidi="ar"/>
              </w:rPr>
              <w:t>）</w:t>
            </w:r>
          </w:p>
        </w:tc>
        <w:tc>
          <w:tcPr>
            <w:tcW w:w="607" w:type="pct"/>
            <w:vMerge w:val="restart"/>
            <w:tcBorders>
              <w:tl2br w:val="nil"/>
              <w:tr2bl w:val="nil"/>
            </w:tcBorders>
            <w:noWrap w:val="0"/>
            <w:tcMar>
              <w:top w:w="15" w:type="dxa"/>
              <w:left w:w="15" w:type="dxa"/>
              <w:right w:w="15" w:type="dxa"/>
            </w:tcMar>
            <w:vAlign w:val="center"/>
          </w:tcPr>
          <w:p w14:paraId="03B063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color w:val="auto"/>
                <w:kern w:val="0"/>
                <w:sz w:val="21"/>
                <w:szCs w:val="21"/>
                <w:highlight w:val="none"/>
                <w:u w:val="none"/>
                <w:lang w:val="en-US" w:eastAsia="zh-CN" w:bidi="ar"/>
              </w:rPr>
            </w:pPr>
            <w:r>
              <w:rPr>
                <w:rFonts w:hint="default" w:ascii="Times New Roman" w:hAnsi="Times New Roman" w:eastAsia="宋体" w:cs="Times New Roman"/>
                <w:b w:val="0"/>
                <w:bCs w:val="0"/>
                <w:i w:val="0"/>
                <w:color w:val="auto"/>
                <w:kern w:val="0"/>
                <w:sz w:val="21"/>
                <w:szCs w:val="21"/>
                <w:highlight w:val="none"/>
                <w:u w:val="none"/>
                <w:lang w:val="en-US" w:eastAsia="zh-CN" w:bidi="ar"/>
              </w:rPr>
              <w:t>下风向</w:t>
            </w:r>
          </w:p>
          <w:p w14:paraId="5E8E24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color w:val="auto"/>
                <w:kern w:val="0"/>
                <w:sz w:val="21"/>
                <w:szCs w:val="21"/>
                <w:highlight w:val="none"/>
                <w:u w:val="none"/>
                <w:lang w:val="en-US" w:eastAsia="zh-CN" w:bidi="ar"/>
              </w:rPr>
            </w:pPr>
            <w:r>
              <w:rPr>
                <w:rFonts w:hint="default" w:ascii="Times New Roman" w:hAnsi="Times New Roman" w:eastAsia="宋体" w:cs="Times New Roman"/>
                <w:b w:val="0"/>
                <w:bCs w:val="0"/>
                <w:i w:val="0"/>
                <w:color w:val="auto"/>
                <w:kern w:val="0"/>
                <w:sz w:val="21"/>
                <w:szCs w:val="21"/>
                <w:highlight w:val="none"/>
                <w:u w:val="none"/>
                <w:lang w:val="en-US" w:eastAsia="zh-CN" w:bidi="ar"/>
              </w:rPr>
              <w:t>距离/m</w:t>
            </w:r>
          </w:p>
        </w:tc>
        <w:tc>
          <w:tcPr>
            <w:tcW w:w="1037" w:type="pct"/>
            <w:gridSpan w:val="2"/>
            <w:tcBorders>
              <w:tl2br w:val="nil"/>
              <w:tr2bl w:val="nil"/>
            </w:tcBorders>
            <w:noWrap w:val="0"/>
            <w:tcMar>
              <w:top w:w="15" w:type="dxa"/>
              <w:left w:w="15" w:type="dxa"/>
              <w:right w:w="15" w:type="dxa"/>
            </w:tcMar>
            <w:vAlign w:val="center"/>
          </w:tcPr>
          <w:p w14:paraId="035C038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0"/>
                <w:sz w:val="21"/>
                <w:szCs w:val="21"/>
                <w:highlight w:val="none"/>
                <w:u w:val="none"/>
                <w:lang w:val="en-US" w:eastAsia="zh-CN" w:bidi="ar"/>
              </w:rPr>
            </w:pPr>
            <w:r>
              <w:rPr>
                <w:rFonts w:hint="default" w:ascii="Times New Roman" w:hAnsi="Times New Roman" w:eastAsia="宋体" w:cs="Times New Roman"/>
                <w:i w:val="0"/>
                <w:color w:val="auto"/>
                <w:sz w:val="21"/>
                <w:szCs w:val="21"/>
                <w:highlight w:val="none"/>
                <w:u w:val="none"/>
                <w:lang w:val="en-US" w:eastAsia="zh-CN"/>
              </w:rPr>
              <w:t>TSP（</w:t>
            </w:r>
            <w:r>
              <w:rPr>
                <w:rFonts w:hint="eastAsia" w:ascii="Times New Roman" w:hAnsi="Times New Roman" w:eastAsia="宋体" w:cs="Times New Roman"/>
                <w:i w:val="0"/>
                <w:color w:val="auto"/>
                <w:sz w:val="21"/>
                <w:szCs w:val="21"/>
                <w:highlight w:val="none"/>
                <w:u w:val="none"/>
                <w:lang w:val="en-US" w:eastAsia="zh-CN"/>
              </w:rPr>
              <w:t>碎煤机室</w:t>
            </w:r>
            <w:r>
              <w:rPr>
                <w:rFonts w:hint="default" w:ascii="Times New Roman" w:hAnsi="Times New Roman" w:eastAsia="宋体" w:cs="Times New Roman"/>
                <w:i w:val="0"/>
                <w:color w:val="auto"/>
                <w:sz w:val="21"/>
                <w:szCs w:val="21"/>
                <w:highlight w:val="none"/>
                <w:u w:val="none"/>
                <w:lang w:val="en-US" w:eastAsia="zh-CN"/>
              </w:rPr>
              <w:t>）</w:t>
            </w:r>
          </w:p>
        </w:tc>
        <w:tc>
          <w:tcPr>
            <w:tcW w:w="680" w:type="pct"/>
            <w:vMerge w:val="restart"/>
            <w:tcBorders>
              <w:tl2br w:val="nil"/>
              <w:tr2bl w:val="nil"/>
            </w:tcBorders>
            <w:noWrap w:val="0"/>
            <w:tcMar>
              <w:top w:w="15" w:type="dxa"/>
              <w:left w:w="15" w:type="dxa"/>
              <w:right w:w="15" w:type="dxa"/>
            </w:tcMar>
            <w:vAlign w:val="center"/>
          </w:tcPr>
          <w:p w14:paraId="48A84D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color w:val="auto"/>
                <w:kern w:val="0"/>
                <w:sz w:val="21"/>
                <w:szCs w:val="21"/>
                <w:highlight w:val="none"/>
                <w:u w:val="none"/>
                <w:lang w:val="en-US" w:eastAsia="zh-CN" w:bidi="ar"/>
              </w:rPr>
            </w:pPr>
            <w:r>
              <w:rPr>
                <w:rFonts w:hint="default" w:ascii="Times New Roman" w:hAnsi="Times New Roman" w:eastAsia="宋体" w:cs="Times New Roman"/>
                <w:b w:val="0"/>
                <w:bCs w:val="0"/>
                <w:i w:val="0"/>
                <w:color w:val="auto"/>
                <w:kern w:val="0"/>
                <w:sz w:val="21"/>
                <w:szCs w:val="21"/>
                <w:highlight w:val="none"/>
                <w:u w:val="none"/>
                <w:lang w:val="en-US" w:eastAsia="zh-CN" w:bidi="ar"/>
              </w:rPr>
              <w:t>下风向</w:t>
            </w:r>
          </w:p>
          <w:p w14:paraId="437BBE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b w:val="0"/>
                <w:bCs w:val="0"/>
                <w:i w:val="0"/>
                <w:color w:val="auto"/>
                <w:kern w:val="0"/>
                <w:sz w:val="21"/>
                <w:szCs w:val="21"/>
                <w:highlight w:val="none"/>
                <w:u w:val="none"/>
                <w:lang w:val="en-US" w:eastAsia="zh-CN" w:bidi="ar"/>
              </w:rPr>
              <w:t>距离/m</w:t>
            </w:r>
          </w:p>
        </w:tc>
        <w:tc>
          <w:tcPr>
            <w:tcW w:w="1099" w:type="pct"/>
            <w:gridSpan w:val="2"/>
            <w:tcBorders>
              <w:tl2br w:val="nil"/>
              <w:tr2bl w:val="nil"/>
            </w:tcBorders>
            <w:noWrap w:val="0"/>
            <w:tcMar>
              <w:top w:w="15" w:type="dxa"/>
              <w:left w:w="15" w:type="dxa"/>
              <w:right w:w="15" w:type="dxa"/>
            </w:tcMar>
            <w:vAlign w:val="center"/>
          </w:tcPr>
          <w:p w14:paraId="42178F9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default" w:ascii="Times New Roman" w:hAnsi="Times New Roman" w:eastAsia="宋体" w:cs="Times New Roman"/>
                <w:i w:val="0"/>
                <w:color w:val="auto"/>
                <w:sz w:val="21"/>
                <w:szCs w:val="21"/>
                <w:highlight w:val="none"/>
                <w:u w:val="none"/>
                <w:lang w:val="en-US" w:eastAsia="zh-CN"/>
              </w:rPr>
              <w:t>TSP（</w:t>
            </w:r>
            <w:r>
              <w:rPr>
                <w:rFonts w:hint="eastAsia" w:ascii="Times New Roman" w:hAnsi="Times New Roman" w:eastAsia="宋体" w:cs="Times New Roman"/>
                <w:i w:val="0"/>
                <w:color w:val="auto"/>
                <w:sz w:val="21"/>
                <w:szCs w:val="21"/>
                <w:highlight w:val="none"/>
                <w:u w:val="none"/>
                <w:lang w:val="en-US" w:eastAsia="zh-CN"/>
              </w:rPr>
              <w:t>储煤场</w:t>
            </w:r>
            <w:r>
              <w:rPr>
                <w:rFonts w:hint="default" w:ascii="Times New Roman" w:hAnsi="Times New Roman" w:eastAsia="宋体" w:cs="Times New Roman"/>
                <w:i w:val="0"/>
                <w:color w:val="auto"/>
                <w:sz w:val="21"/>
                <w:szCs w:val="21"/>
                <w:highlight w:val="none"/>
                <w:u w:val="none"/>
                <w:lang w:val="en-US" w:eastAsia="zh-CN"/>
              </w:rPr>
              <w:t>）</w:t>
            </w:r>
          </w:p>
        </w:tc>
      </w:tr>
      <w:tr w14:paraId="6119515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7" w:hRule="atLeast"/>
          <w:jc w:val="center"/>
        </w:trPr>
        <w:tc>
          <w:tcPr>
            <w:tcW w:w="591" w:type="pct"/>
            <w:vMerge w:val="continue"/>
            <w:tcBorders>
              <w:tl2br w:val="nil"/>
              <w:tr2bl w:val="nil"/>
            </w:tcBorders>
            <w:noWrap w:val="0"/>
            <w:tcMar>
              <w:top w:w="15" w:type="dxa"/>
              <w:left w:w="15" w:type="dxa"/>
              <w:right w:w="15" w:type="dxa"/>
            </w:tcMar>
            <w:vAlign w:val="center"/>
          </w:tcPr>
          <w:p w14:paraId="5399471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p>
        </w:tc>
        <w:tc>
          <w:tcPr>
            <w:tcW w:w="673" w:type="pct"/>
            <w:tcBorders>
              <w:tl2br w:val="nil"/>
              <w:tr2bl w:val="nil"/>
            </w:tcBorders>
            <w:noWrap w:val="0"/>
            <w:tcMar>
              <w:top w:w="15" w:type="dxa"/>
              <w:left w:w="15" w:type="dxa"/>
              <w:right w:w="15" w:type="dxa"/>
            </w:tcMar>
            <w:vAlign w:val="center"/>
          </w:tcPr>
          <w:p w14:paraId="7E86C4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default" w:ascii="Times New Roman" w:hAnsi="Times New Roman" w:eastAsia="宋体" w:cs="Times New Roman"/>
                <w:b w:val="0"/>
                <w:bCs w:val="0"/>
                <w:i w:val="0"/>
                <w:color w:val="auto"/>
                <w:kern w:val="0"/>
                <w:sz w:val="21"/>
                <w:szCs w:val="21"/>
                <w:highlight w:val="none"/>
                <w:u w:val="none"/>
                <w:lang w:val="en-US" w:eastAsia="zh-CN" w:bidi="ar"/>
              </w:rPr>
              <w:t>预测质量浓度/ug/m</w:t>
            </w:r>
            <w:r>
              <w:rPr>
                <w:rFonts w:hint="default" w:ascii="Times New Roman" w:hAnsi="Times New Roman" w:eastAsia="宋体" w:cs="Times New Roman"/>
                <w:b w:val="0"/>
                <w:bCs w:val="0"/>
                <w:i w:val="0"/>
                <w:color w:val="auto"/>
                <w:kern w:val="0"/>
                <w:sz w:val="21"/>
                <w:szCs w:val="21"/>
                <w:highlight w:val="none"/>
                <w:u w:val="none"/>
                <w:vertAlign w:val="superscript"/>
                <w:lang w:val="en-US" w:eastAsia="zh-CN" w:bidi="ar"/>
              </w:rPr>
              <w:t>3</w:t>
            </w:r>
          </w:p>
        </w:tc>
        <w:tc>
          <w:tcPr>
            <w:tcW w:w="309" w:type="pct"/>
            <w:tcBorders>
              <w:tl2br w:val="nil"/>
              <w:tr2bl w:val="nil"/>
            </w:tcBorders>
            <w:noWrap w:val="0"/>
            <w:tcMar>
              <w:top w:w="15" w:type="dxa"/>
              <w:left w:w="15" w:type="dxa"/>
              <w:right w:w="15" w:type="dxa"/>
            </w:tcMar>
            <w:vAlign w:val="center"/>
          </w:tcPr>
          <w:p w14:paraId="5DDBAB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default" w:ascii="Times New Roman" w:hAnsi="Times New Roman" w:eastAsia="宋体" w:cs="Times New Roman"/>
                <w:b w:val="0"/>
                <w:bCs w:val="0"/>
                <w:i w:val="0"/>
                <w:color w:val="auto"/>
                <w:kern w:val="0"/>
                <w:sz w:val="21"/>
                <w:szCs w:val="21"/>
                <w:highlight w:val="none"/>
                <w:u w:val="none"/>
                <w:lang w:val="en-US" w:eastAsia="zh-CN" w:bidi="ar"/>
              </w:rPr>
              <w:t>占标率%</w:t>
            </w:r>
          </w:p>
        </w:tc>
        <w:tc>
          <w:tcPr>
            <w:tcW w:w="607" w:type="pct"/>
            <w:vMerge w:val="continue"/>
            <w:tcBorders>
              <w:tl2br w:val="nil"/>
              <w:tr2bl w:val="nil"/>
            </w:tcBorders>
            <w:noWrap w:val="0"/>
            <w:tcMar>
              <w:top w:w="15" w:type="dxa"/>
              <w:left w:w="15" w:type="dxa"/>
              <w:right w:w="15" w:type="dxa"/>
            </w:tcMar>
            <w:vAlign w:val="center"/>
          </w:tcPr>
          <w:p w14:paraId="15685EC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p>
        </w:tc>
        <w:tc>
          <w:tcPr>
            <w:tcW w:w="685" w:type="pct"/>
            <w:tcBorders>
              <w:tl2br w:val="nil"/>
              <w:tr2bl w:val="nil"/>
            </w:tcBorders>
            <w:noWrap w:val="0"/>
            <w:tcMar>
              <w:top w:w="15" w:type="dxa"/>
              <w:left w:w="15" w:type="dxa"/>
              <w:right w:w="15" w:type="dxa"/>
            </w:tcMar>
            <w:vAlign w:val="center"/>
          </w:tcPr>
          <w:p w14:paraId="684B9F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default" w:ascii="Times New Roman" w:hAnsi="Times New Roman" w:eastAsia="宋体" w:cs="Times New Roman"/>
                <w:b w:val="0"/>
                <w:bCs w:val="0"/>
                <w:i w:val="0"/>
                <w:color w:val="auto"/>
                <w:kern w:val="0"/>
                <w:sz w:val="21"/>
                <w:szCs w:val="21"/>
                <w:highlight w:val="none"/>
                <w:u w:val="none"/>
                <w:lang w:val="en-US" w:eastAsia="zh-CN" w:bidi="ar"/>
              </w:rPr>
              <w:t>预测质量浓度/ug/m</w:t>
            </w:r>
            <w:r>
              <w:rPr>
                <w:rFonts w:hint="default" w:ascii="Times New Roman" w:hAnsi="Times New Roman" w:eastAsia="宋体" w:cs="Times New Roman"/>
                <w:b w:val="0"/>
                <w:bCs w:val="0"/>
                <w:i w:val="0"/>
                <w:color w:val="auto"/>
                <w:kern w:val="0"/>
                <w:sz w:val="21"/>
                <w:szCs w:val="21"/>
                <w:highlight w:val="none"/>
                <w:u w:val="none"/>
                <w:vertAlign w:val="superscript"/>
                <w:lang w:val="en-US" w:eastAsia="zh-CN" w:bidi="ar"/>
              </w:rPr>
              <w:t>3</w:t>
            </w:r>
          </w:p>
        </w:tc>
        <w:tc>
          <w:tcPr>
            <w:tcW w:w="351" w:type="pct"/>
            <w:tcBorders>
              <w:tl2br w:val="nil"/>
              <w:tr2bl w:val="nil"/>
            </w:tcBorders>
            <w:noWrap w:val="0"/>
            <w:tcMar>
              <w:top w:w="15" w:type="dxa"/>
              <w:left w:w="15" w:type="dxa"/>
              <w:right w:w="15" w:type="dxa"/>
            </w:tcMar>
            <w:vAlign w:val="center"/>
          </w:tcPr>
          <w:p w14:paraId="063638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highlight w:val="none"/>
              </w:rPr>
            </w:pPr>
            <w:r>
              <w:rPr>
                <w:rFonts w:hint="default" w:ascii="Times New Roman" w:hAnsi="Times New Roman" w:eastAsia="宋体" w:cs="Times New Roman"/>
                <w:b w:val="0"/>
                <w:bCs w:val="0"/>
                <w:i w:val="0"/>
                <w:color w:val="auto"/>
                <w:kern w:val="0"/>
                <w:sz w:val="21"/>
                <w:szCs w:val="21"/>
                <w:highlight w:val="none"/>
                <w:u w:val="none"/>
                <w:lang w:val="en-US" w:eastAsia="zh-CN" w:bidi="ar"/>
              </w:rPr>
              <w:t>占标率%</w:t>
            </w:r>
          </w:p>
        </w:tc>
        <w:tc>
          <w:tcPr>
            <w:tcW w:w="680" w:type="pct"/>
            <w:vMerge w:val="continue"/>
            <w:tcBorders>
              <w:tl2br w:val="nil"/>
              <w:tr2bl w:val="nil"/>
            </w:tcBorders>
            <w:noWrap w:val="0"/>
            <w:tcMar>
              <w:top w:w="15" w:type="dxa"/>
              <w:left w:w="15" w:type="dxa"/>
              <w:right w:w="15" w:type="dxa"/>
            </w:tcMar>
            <w:vAlign w:val="center"/>
          </w:tcPr>
          <w:p w14:paraId="7604EBD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p>
        </w:tc>
        <w:tc>
          <w:tcPr>
            <w:tcW w:w="747" w:type="pct"/>
            <w:tcBorders>
              <w:tl2br w:val="nil"/>
              <w:tr2bl w:val="nil"/>
            </w:tcBorders>
            <w:noWrap w:val="0"/>
            <w:tcMar>
              <w:top w:w="15" w:type="dxa"/>
              <w:left w:w="15" w:type="dxa"/>
              <w:right w:w="15" w:type="dxa"/>
            </w:tcMar>
            <w:vAlign w:val="center"/>
          </w:tcPr>
          <w:p w14:paraId="0BA789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default" w:ascii="Times New Roman" w:hAnsi="Times New Roman" w:eastAsia="宋体" w:cs="Times New Roman"/>
                <w:b w:val="0"/>
                <w:bCs w:val="0"/>
                <w:i w:val="0"/>
                <w:color w:val="auto"/>
                <w:kern w:val="0"/>
                <w:sz w:val="21"/>
                <w:szCs w:val="21"/>
                <w:highlight w:val="none"/>
                <w:u w:val="none"/>
                <w:lang w:val="en-US" w:eastAsia="zh-CN" w:bidi="ar"/>
              </w:rPr>
              <w:t>预测质量浓度/ug/m</w:t>
            </w:r>
            <w:r>
              <w:rPr>
                <w:rFonts w:hint="default" w:ascii="Times New Roman" w:hAnsi="Times New Roman" w:eastAsia="宋体" w:cs="Times New Roman"/>
                <w:b w:val="0"/>
                <w:bCs w:val="0"/>
                <w:i w:val="0"/>
                <w:color w:val="auto"/>
                <w:kern w:val="0"/>
                <w:sz w:val="21"/>
                <w:szCs w:val="21"/>
                <w:highlight w:val="none"/>
                <w:u w:val="none"/>
                <w:vertAlign w:val="superscript"/>
                <w:lang w:val="en-US" w:eastAsia="zh-CN" w:bidi="ar"/>
              </w:rPr>
              <w:t>3</w:t>
            </w:r>
          </w:p>
        </w:tc>
        <w:tc>
          <w:tcPr>
            <w:tcW w:w="352" w:type="pct"/>
            <w:tcBorders>
              <w:tl2br w:val="nil"/>
              <w:tr2bl w:val="nil"/>
            </w:tcBorders>
            <w:noWrap w:val="0"/>
            <w:tcMar>
              <w:top w:w="15" w:type="dxa"/>
              <w:left w:w="15" w:type="dxa"/>
              <w:right w:w="15" w:type="dxa"/>
            </w:tcMar>
            <w:vAlign w:val="center"/>
          </w:tcPr>
          <w:p w14:paraId="1B5219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default" w:ascii="Times New Roman" w:hAnsi="Times New Roman" w:eastAsia="宋体" w:cs="Times New Roman"/>
                <w:b w:val="0"/>
                <w:bCs w:val="0"/>
                <w:i w:val="0"/>
                <w:color w:val="auto"/>
                <w:kern w:val="0"/>
                <w:sz w:val="21"/>
                <w:szCs w:val="21"/>
                <w:highlight w:val="none"/>
                <w:u w:val="none"/>
                <w:lang w:val="en-US" w:eastAsia="zh-CN" w:bidi="ar"/>
              </w:rPr>
              <w:t>占标率%</w:t>
            </w:r>
          </w:p>
        </w:tc>
      </w:tr>
      <w:tr w14:paraId="000EB7F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591" w:type="pct"/>
            <w:tcBorders>
              <w:tl2br w:val="nil"/>
              <w:tr2bl w:val="nil"/>
            </w:tcBorders>
            <w:noWrap w:val="0"/>
            <w:tcMar>
              <w:top w:w="15" w:type="dxa"/>
              <w:left w:w="15" w:type="dxa"/>
              <w:right w:w="15" w:type="dxa"/>
            </w:tcMar>
            <w:vAlign w:val="center"/>
          </w:tcPr>
          <w:p w14:paraId="1C6F0C3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color w:val="auto"/>
                <w:kern w:val="2"/>
                <w:sz w:val="21"/>
                <w:szCs w:val="21"/>
                <w:highlight w:val="none"/>
                <w:u w:val="none"/>
                <w:lang w:val="en-US" w:eastAsia="zh-CN" w:bidi="ar-SA"/>
              </w:rPr>
            </w:pPr>
            <w:r>
              <w:rPr>
                <w:rFonts w:hint="eastAsia" w:ascii="Times New Roman" w:hAnsi="Times New Roman" w:eastAsia="宋体" w:cs="Times New Roman"/>
                <w:b/>
                <w:bCs/>
                <w:i w:val="0"/>
                <w:color w:val="auto"/>
                <w:kern w:val="2"/>
                <w:sz w:val="21"/>
                <w:szCs w:val="21"/>
                <w:highlight w:val="none"/>
                <w:u w:val="none"/>
                <w:lang w:val="en-US" w:eastAsia="zh-CN" w:bidi="ar-SA"/>
              </w:rPr>
              <w:t>94</w:t>
            </w:r>
          </w:p>
        </w:tc>
        <w:tc>
          <w:tcPr>
            <w:tcW w:w="673" w:type="pct"/>
            <w:tcBorders>
              <w:tl2br w:val="nil"/>
              <w:tr2bl w:val="nil"/>
            </w:tcBorders>
            <w:noWrap w:val="0"/>
            <w:tcMar>
              <w:top w:w="15" w:type="dxa"/>
              <w:left w:w="15" w:type="dxa"/>
              <w:right w:w="15" w:type="dxa"/>
            </w:tcMar>
            <w:vAlign w:val="center"/>
          </w:tcPr>
          <w:p w14:paraId="52EEAFC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color w:val="auto"/>
                <w:kern w:val="2"/>
                <w:sz w:val="21"/>
                <w:szCs w:val="21"/>
                <w:highlight w:val="none"/>
                <w:u w:val="none"/>
                <w:lang w:val="en-US" w:eastAsia="zh-CN" w:bidi="ar-SA"/>
              </w:rPr>
            </w:pPr>
            <w:r>
              <w:rPr>
                <w:rFonts w:hint="eastAsia" w:ascii="Times New Roman" w:hAnsi="Times New Roman" w:eastAsia="宋体" w:cs="Times New Roman"/>
                <w:b/>
                <w:bCs/>
                <w:i w:val="0"/>
                <w:color w:val="auto"/>
                <w:kern w:val="2"/>
                <w:sz w:val="21"/>
                <w:szCs w:val="21"/>
                <w:highlight w:val="none"/>
                <w:u w:val="none"/>
                <w:lang w:val="en-US" w:eastAsia="zh-CN" w:bidi="ar-SA"/>
              </w:rPr>
              <w:t>128.95</w:t>
            </w:r>
          </w:p>
        </w:tc>
        <w:tc>
          <w:tcPr>
            <w:tcW w:w="309" w:type="pct"/>
            <w:tcBorders>
              <w:tl2br w:val="nil"/>
              <w:tr2bl w:val="nil"/>
            </w:tcBorders>
            <w:noWrap w:val="0"/>
            <w:tcMar>
              <w:top w:w="15" w:type="dxa"/>
              <w:left w:w="15" w:type="dxa"/>
              <w:right w:w="15" w:type="dxa"/>
            </w:tcMar>
            <w:vAlign w:val="center"/>
          </w:tcPr>
          <w:p w14:paraId="13D0689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color w:val="auto"/>
                <w:kern w:val="2"/>
                <w:sz w:val="21"/>
                <w:szCs w:val="21"/>
                <w:highlight w:val="none"/>
                <w:u w:val="none"/>
                <w:lang w:val="en-US" w:eastAsia="zh-CN" w:bidi="ar-SA"/>
              </w:rPr>
            </w:pPr>
            <w:r>
              <w:rPr>
                <w:rFonts w:hint="eastAsia" w:ascii="Times New Roman" w:hAnsi="Times New Roman" w:eastAsia="宋体" w:cs="Times New Roman"/>
                <w:b/>
                <w:bCs/>
                <w:i w:val="0"/>
                <w:color w:val="auto"/>
                <w:kern w:val="2"/>
                <w:sz w:val="21"/>
                <w:szCs w:val="21"/>
                <w:highlight w:val="none"/>
                <w:u w:val="none"/>
                <w:lang w:val="en-US" w:eastAsia="zh-CN" w:bidi="ar-SA"/>
              </w:rPr>
              <w:t>14.33</w:t>
            </w:r>
          </w:p>
        </w:tc>
        <w:tc>
          <w:tcPr>
            <w:tcW w:w="607" w:type="pct"/>
            <w:tcBorders>
              <w:tl2br w:val="nil"/>
              <w:tr2bl w:val="nil"/>
            </w:tcBorders>
            <w:noWrap w:val="0"/>
            <w:tcMar>
              <w:top w:w="15" w:type="dxa"/>
              <w:left w:w="15" w:type="dxa"/>
              <w:right w:w="15" w:type="dxa"/>
            </w:tcMar>
            <w:vAlign w:val="center"/>
          </w:tcPr>
          <w:p w14:paraId="56FA5D0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color w:val="auto"/>
                <w:kern w:val="2"/>
                <w:sz w:val="21"/>
                <w:szCs w:val="21"/>
                <w:highlight w:val="none"/>
                <w:u w:val="none"/>
                <w:lang w:val="en-US" w:eastAsia="zh-CN" w:bidi="ar-SA"/>
              </w:rPr>
            </w:pPr>
            <w:r>
              <w:rPr>
                <w:rFonts w:hint="eastAsia" w:ascii="Times New Roman" w:hAnsi="Times New Roman" w:eastAsia="宋体" w:cs="Times New Roman"/>
                <w:b/>
                <w:bCs/>
                <w:i w:val="0"/>
                <w:color w:val="auto"/>
                <w:kern w:val="2"/>
                <w:sz w:val="21"/>
                <w:szCs w:val="21"/>
                <w:highlight w:val="none"/>
                <w:u w:val="none"/>
                <w:lang w:val="en-US" w:eastAsia="zh-CN" w:bidi="ar-SA"/>
              </w:rPr>
              <w:t>48</w:t>
            </w:r>
          </w:p>
        </w:tc>
        <w:tc>
          <w:tcPr>
            <w:tcW w:w="685" w:type="pct"/>
            <w:tcBorders>
              <w:tl2br w:val="nil"/>
              <w:tr2bl w:val="nil"/>
            </w:tcBorders>
            <w:noWrap w:val="0"/>
            <w:tcMar>
              <w:top w:w="15" w:type="dxa"/>
              <w:left w:w="15" w:type="dxa"/>
              <w:right w:w="15" w:type="dxa"/>
            </w:tcMar>
            <w:vAlign w:val="center"/>
          </w:tcPr>
          <w:p w14:paraId="3A27133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color w:val="auto"/>
                <w:kern w:val="2"/>
                <w:sz w:val="21"/>
                <w:szCs w:val="21"/>
                <w:highlight w:val="none"/>
                <w:u w:val="none"/>
                <w:lang w:val="en-US" w:eastAsia="zh-CN" w:bidi="ar-SA"/>
              </w:rPr>
            </w:pPr>
            <w:r>
              <w:rPr>
                <w:rFonts w:hint="eastAsia" w:ascii="Times New Roman" w:hAnsi="Times New Roman" w:eastAsia="宋体" w:cs="Times New Roman"/>
                <w:b/>
                <w:bCs/>
                <w:i w:val="0"/>
                <w:color w:val="auto"/>
                <w:kern w:val="2"/>
                <w:sz w:val="21"/>
                <w:szCs w:val="21"/>
                <w:highlight w:val="none"/>
                <w:u w:val="none"/>
                <w:lang w:val="en-US" w:eastAsia="zh-CN" w:bidi="ar-SA"/>
              </w:rPr>
              <w:t>0.031855</w:t>
            </w:r>
          </w:p>
        </w:tc>
        <w:tc>
          <w:tcPr>
            <w:tcW w:w="351" w:type="pct"/>
            <w:tcBorders>
              <w:tl2br w:val="nil"/>
              <w:tr2bl w:val="nil"/>
            </w:tcBorders>
            <w:noWrap w:val="0"/>
            <w:tcMar>
              <w:top w:w="15" w:type="dxa"/>
              <w:left w:w="15" w:type="dxa"/>
              <w:right w:w="15" w:type="dxa"/>
            </w:tcMar>
            <w:vAlign w:val="center"/>
          </w:tcPr>
          <w:p w14:paraId="07A42DB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color w:val="auto"/>
                <w:sz w:val="21"/>
                <w:szCs w:val="21"/>
                <w:highlight w:val="none"/>
                <w:u w:val="none"/>
                <w:lang w:val="en-US" w:eastAsia="zh-CN"/>
              </w:rPr>
            </w:pPr>
            <w:r>
              <w:rPr>
                <w:rFonts w:hint="eastAsia" w:ascii="Times New Roman" w:hAnsi="Times New Roman" w:eastAsia="宋体" w:cs="Times New Roman"/>
                <w:b/>
                <w:bCs/>
                <w:i w:val="0"/>
                <w:color w:val="auto"/>
                <w:sz w:val="21"/>
                <w:szCs w:val="21"/>
                <w:highlight w:val="none"/>
                <w:u w:val="none"/>
                <w:lang w:val="en-US" w:eastAsia="zh-CN"/>
              </w:rPr>
              <w:t>3.54</w:t>
            </w:r>
          </w:p>
        </w:tc>
        <w:tc>
          <w:tcPr>
            <w:tcW w:w="680" w:type="pct"/>
            <w:tcBorders>
              <w:tl2br w:val="nil"/>
              <w:tr2bl w:val="nil"/>
            </w:tcBorders>
            <w:noWrap w:val="0"/>
            <w:tcMar>
              <w:top w:w="15" w:type="dxa"/>
              <w:left w:w="15" w:type="dxa"/>
              <w:right w:w="15" w:type="dxa"/>
            </w:tcMar>
            <w:vAlign w:val="center"/>
          </w:tcPr>
          <w:p w14:paraId="3674150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color w:val="auto"/>
                <w:kern w:val="2"/>
                <w:sz w:val="21"/>
                <w:szCs w:val="21"/>
                <w:highlight w:val="none"/>
                <w:u w:val="none"/>
                <w:lang w:val="en-US" w:eastAsia="zh-CN" w:bidi="ar-SA"/>
              </w:rPr>
            </w:pPr>
            <w:r>
              <w:rPr>
                <w:rFonts w:hint="eastAsia" w:ascii="Times New Roman" w:hAnsi="Times New Roman" w:eastAsia="宋体" w:cs="Times New Roman"/>
                <w:b/>
                <w:bCs/>
                <w:i w:val="0"/>
                <w:color w:val="auto"/>
                <w:kern w:val="2"/>
                <w:sz w:val="21"/>
                <w:szCs w:val="21"/>
                <w:highlight w:val="none"/>
                <w:u w:val="none"/>
                <w:lang w:val="en-US" w:eastAsia="zh-CN" w:bidi="ar-SA"/>
              </w:rPr>
              <w:t>156</w:t>
            </w:r>
          </w:p>
        </w:tc>
        <w:tc>
          <w:tcPr>
            <w:tcW w:w="747" w:type="pct"/>
            <w:tcBorders>
              <w:tl2br w:val="nil"/>
              <w:tr2bl w:val="nil"/>
            </w:tcBorders>
            <w:noWrap w:val="0"/>
            <w:tcMar>
              <w:top w:w="15" w:type="dxa"/>
              <w:left w:w="15" w:type="dxa"/>
              <w:right w:w="15" w:type="dxa"/>
            </w:tcMar>
            <w:vAlign w:val="center"/>
          </w:tcPr>
          <w:p w14:paraId="1917442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color w:val="auto"/>
                <w:sz w:val="21"/>
                <w:szCs w:val="21"/>
                <w:highlight w:val="none"/>
                <w:u w:val="none"/>
                <w:lang w:val="en-US" w:eastAsia="zh-CN"/>
              </w:rPr>
            </w:pPr>
            <w:r>
              <w:rPr>
                <w:rFonts w:hint="eastAsia" w:ascii="Times New Roman" w:hAnsi="Times New Roman" w:eastAsia="宋体" w:cs="Times New Roman"/>
                <w:b/>
                <w:bCs/>
                <w:i w:val="0"/>
                <w:color w:val="auto"/>
                <w:sz w:val="21"/>
                <w:szCs w:val="21"/>
                <w:highlight w:val="none"/>
                <w:u w:val="none"/>
                <w:lang w:val="en-US" w:eastAsia="zh-CN"/>
              </w:rPr>
              <w:t>0.52315</w:t>
            </w:r>
          </w:p>
        </w:tc>
        <w:tc>
          <w:tcPr>
            <w:tcW w:w="352" w:type="pct"/>
            <w:tcBorders>
              <w:tl2br w:val="nil"/>
              <w:tr2bl w:val="nil"/>
            </w:tcBorders>
            <w:noWrap w:val="0"/>
            <w:tcMar>
              <w:top w:w="15" w:type="dxa"/>
              <w:left w:w="15" w:type="dxa"/>
              <w:right w:w="15" w:type="dxa"/>
            </w:tcMar>
            <w:vAlign w:val="center"/>
          </w:tcPr>
          <w:p w14:paraId="0CA0B57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color w:val="auto"/>
                <w:sz w:val="21"/>
                <w:szCs w:val="21"/>
                <w:highlight w:val="none"/>
                <w:u w:val="none"/>
                <w:lang w:val="en-US" w:eastAsia="zh-CN"/>
              </w:rPr>
            </w:pPr>
            <w:r>
              <w:rPr>
                <w:rFonts w:hint="eastAsia" w:ascii="Times New Roman" w:hAnsi="Times New Roman" w:eastAsia="宋体" w:cs="Times New Roman"/>
                <w:b/>
                <w:bCs/>
                <w:i w:val="0"/>
                <w:color w:val="auto"/>
                <w:sz w:val="21"/>
                <w:szCs w:val="21"/>
                <w:highlight w:val="none"/>
                <w:u w:val="none"/>
                <w:lang w:val="en-US" w:eastAsia="zh-CN"/>
              </w:rPr>
              <w:t>0.06</w:t>
            </w:r>
          </w:p>
        </w:tc>
      </w:tr>
      <w:tr w14:paraId="3B636E2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591" w:type="pct"/>
            <w:tcBorders>
              <w:tl2br w:val="nil"/>
              <w:tr2bl w:val="nil"/>
            </w:tcBorders>
            <w:noWrap w:val="0"/>
            <w:tcMar>
              <w:top w:w="15" w:type="dxa"/>
              <w:left w:w="15" w:type="dxa"/>
              <w:right w:w="15" w:type="dxa"/>
            </w:tcMar>
            <w:vAlign w:val="center"/>
          </w:tcPr>
          <w:p w14:paraId="0D76BE7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100</w:t>
            </w:r>
          </w:p>
        </w:tc>
        <w:tc>
          <w:tcPr>
            <w:tcW w:w="673" w:type="pct"/>
            <w:tcBorders>
              <w:tl2br w:val="nil"/>
              <w:tr2bl w:val="nil"/>
            </w:tcBorders>
            <w:noWrap w:val="0"/>
            <w:tcMar>
              <w:top w:w="15" w:type="dxa"/>
              <w:left w:w="15" w:type="dxa"/>
              <w:right w:w="15" w:type="dxa"/>
            </w:tcMar>
            <w:vAlign w:val="center"/>
          </w:tcPr>
          <w:p w14:paraId="29D30EE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122.26</w:t>
            </w:r>
          </w:p>
        </w:tc>
        <w:tc>
          <w:tcPr>
            <w:tcW w:w="309" w:type="pct"/>
            <w:tcBorders>
              <w:tl2br w:val="nil"/>
              <w:tr2bl w:val="nil"/>
            </w:tcBorders>
            <w:noWrap w:val="0"/>
            <w:tcMar>
              <w:top w:w="15" w:type="dxa"/>
              <w:left w:w="15" w:type="dxa"/>
              <w:right w:w="15" w:type="dxa"/>
            </w:tcMar>
            <w:vAlign w:val="center"/>
          </w:tcPr>
          <w:p w14:paraId="0D9DC61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13.58</w:t>
            </w:r>
          </w:p>
        </w:tc>
        <w:tc>
          <w:tcPr>
            <w:tcW w:w="607" w:type="pct"/>
            <w:tcBorders>
              <w:tl2br w:val="nil"/>
              <w:tr2bl w:val="nil"/>
            </w:tcBorders>
            <w:shd w:val="clear" w:color="auto" w:fill="auto"/>
            <w:noWrap w:val="0"/>
            <w:tcMar>
              <w:top w:w="15" w:type="dxa"/>
              <w:left w:w="15" w:type="dxa"/>
              <w:right w:w="15" w:type="dxa"/>
            </w:tcMar>
            <w:vAlign w:val="center"/>
          </w:tcPr>
          <w:p w14:paraId="326B7EA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100</w:t>
            </w:r>
          </w:p>
        </w:tc>
        <w:tc>
          <w:tcPr>
            <w:tcW w:w="685" w:type="pct"/>
            <w:tcBorders>
              <w:tl2br w:val="nil"/>
              <w:tr2bl w:val="nil"/>
            </w:tcBorders>
            <w:noWrap w:val="0"/>
            <w:tcMar>
              <w:top w:w="15" w:type="dxa"/>
              <w:left w:w="15" w:type="dxa"/>
              <w:right w:w="15" w:type="dxa"/>
            </w:tcMar>
            <w:vAlign w:val="center"/>
          </w:tcPr>
          <w:p w14:paraId="5266B24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0.020182</w:t>
            </w:r>
          </w:p>
        </w:tc>
        <w:tc>
          <w:tcPr>
            <w:tcW w:w="351" w:type="pct"/>
            <w:tcBorders>
              <w:tl2br w:val="nil"/>
              <w:tr2bl w:val="nil"/>
            </w:tcBorders>
            <w:noWrap w:val="0"/>
            <w:tcMar>
              <w:top w:w="15" w:type="dxa"/>
              <w:left w:w="15" w:type="dxa"/>
              <w:right w:w="15" w:type="dxa"/>
            </w:tcMar>
            <w:vAlign w:val="center"/>
          </w:tcPr>
          <w:p w14:paraId="67FACB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2.24</w:t>
            </w:r>
          </w:p>
        </w:tc>
        <w:tc>
          <w:tcPr>
            <w:tcW w:w="680" w:type="pct"/>
            <w:tcBorders>
              <w:tl2br w:val="nil"/>
              <w:tr2bl w:val="nil"/>
            </w:tcBorders>
            <w:shd w:val="clear" w:color="auto" w:fill="auto"/>
            <w:noWrap w:val="0"/>
            <w:tcMar>
              <w:top w:w="15" w:type="dxa"/>
              <w:left w:w="15" w:type="dxa"/>
              <w:right w:w="15" w:type="dxa"/>
            </w:tcMar>
            <w:vAlign w:val="center"/>
          </w:tcPr>
          <w:p w14:paraId="040ED00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sz w:val="21"/>
                <w:szCs w:val="21"/>
                <w:highlight w:val="none"/>
                <w:u w:val="none"/>
                <w:lang w:val="en-US" w:eastAsia="zh-CN"/>
              </w:rPr>
              <w:t>200</w:t>
            </w:r>
          </w:p>
        </w:tc>
        <w:tc>
          <w:tcPr>
            <w:tcW w:w="747" w:type="pct"/>
            <w:tcBorders>
              <w:tl2br w:val="nil"/>
              <w:tr2bl w:val="nil"/>
            </w:tcBorders>
            <w:noWrap w:val="0"/>
            <w:tcMar>
              <w:top w:w="15" w:type="dxa"/>
              <w:left w:w="15" w:type="dxa"/>
              <w:right w:w="15" w:type="dxa"/>
            </w:tcMar>
            <w:vAlign w:val="center"/>
          </w:tcPr>
          <w:p w14:paraId="5E3D052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0.43981</w:t>
            </w:r>
          </w:p>
        </w:tc>
        <w:tc>
          <w:tcPr>
            <w:tcW w:w="352" w:type="pct"/>
            <w:tcBorders>
              <w:tl2br w:val="nil"/>
              <w:tr2bl w:val="nil"/>
            </w:tcBorders>
            <w:noWrap w:val="0"/>
            <w:tcMar>
              <w:top w:w="15" w:type="dxa"/>
              <w:left w:w="15" w:type="dxa"/>
              <w:right w:w="15" w:type="dxa"/>
            </w:tcMar>
            <w:vAlign w:val="center"/>
          </w:tcPr>
          <w:p w14:paraId="0A9798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0.05</w:t>
            </w:r>
          </w:p>
        </w:tc>
      </w:tr>
      <w:tr w14:paraId="19BB9E7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591" w:type="pct"/>
            <w:tcBorders>
              <w:tl2br w:val="nil"/>
              <w:tr2bl w:val="nil"/>
            </w:tcBorders>
            <w:noWrap w:val="0"/>
            <w:tcMar>
              <w:top w:w="15" w:type="dxa"/>
              <w:left w:w="15" w:type="dxa"/>
              <w:right w:w="15" w:type="dxa"/>
            </w:tcMar>
            <w:vAlign w:val="center"/>
          </w:tcPr>
          <w:p w14:paraId="7695B2E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200</w:t>
            </w:r>
          </w:p>
        </w:tc>
        <w:tc>
          <w:tcPr>
            <w:tcW w:w="673" w:type="pct"/>
            <w:tcBorders>
              <w:tl2br w:val="nil"/>
              <w:tr2bl w:val="nil"/>
            </w:tcBorders>
            <w:noWrap w:val="0"/>
            <w:tcMar>
              <w:top w:w="15" w:type="dxa"/>
              <w:left w:w="15" w:type="dxa"/>
              <w:right w:w="15" w:type="dxa"/>
            </w:tcMar>
            <w:vAlign w:val="center"/>
          </w:tcPr>
          <w:p w14:paraId="7E0278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62.688</w:t>
            </w:r>
          </w:p>
        </w:tc>
        <w:tc>
          <w:tcPr>
            <w:tcW w:w="309" w:type="pct"/>
            <w:tcBorders>
              <w:tl2br w:val="nil"/>
              <w:tr2bl w:val="nil"/>
            </w:tcBorders>
            <w:noWrap w:val="0"/>
            <w:tcMar>
              <w:top w:w="15" w:type="dxa"/>
              <w:left w:w="15" w:type="dxa"/>
              <w:right w:w="15" w:type="dxa"/>
            </w:tcMar>
            <w:vAlign w:val="center"/>
          </w:tcPr>
          <w:p w14:paraId="3058E51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6.97</w:t>
            </w:r>
          </w:p>
        </w:tc>
        <w:tc>
          <w:tcPr>
            <w:tcW w:w="607" w:type="pct"/>
            <w:tcBorders>
              <w:tl2br w:val="nil"/>
              <w:tr2bl w:val="nil"/>
            </w:tcBorders>
            <w:shd w:val="clear" w:color="auto" w:fill="auto"/>
            <w:noWrap w:val="0"/>
            <w:tcMar>
              <w:top w:w="15" w:type="dxa"/>
              <w:left w:w="15" w:type="dxa"/>
              <w:right w:w="15" w:type="dxa"/>
            </w:tcMar>
            <w:vAlign w:val="center"/>
          </w:tcPr>
          <w:p w14:paraId="2F1B4E0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sz w:val="21"/>
                <w:szCs w:val="21"/>
                <w:highlight w:val="none"/>
                <w:u w:val="none"/>
                <w:lang w:val="en-US" w:eastAsia="zh-CN"/>
              </w:rPr>
              <w:t>200</w:t>
            </w:r>
          </w:p>
        </w:tc>
        <w:tc>
          <w:tcPr>
            <w:tcW w:w="685" w:type="pct"/>
            <w:tcBorders>
              <w:tl2br w:val="nil"/>
              <w:tr2bl w:val="nil"/>
            </w:tcBorders>
            <w:noWrap w:val="0"/>
            <w:tcMar>
              <w:top w:w="15" w:type="dxa"/>
              <w:left w:w="15" w:type="dxa"/>
              <w:right w:w="15" w:type="dxa"/>
            </w:tcMar>
            <w:vAlign w:val="center"/>
          </w:tcPr>
          <w:p w14:paraId="3F1258B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0.010402</w:t>
            </w:r>
          </w:p>
        </w:tc>
        <w:tc>
          <w:tcPr>
            <w:tcW w:w="351" w:type="pct"/>
            <w:tcBorders>
              <w:tl2br w:val="nil"/>
              <w:tr2bl w:val="nil"/>
            </w:tcBorders>
            <w:noWrap w:val="0"/>
            <w:tcMar>
              <w:top w:w="15" w:type="dxa"/>
              <w:left w:w="15" w:type="dxa"/>
              <w:right w:w="15" w:type="dxa"/>
            </w:tcMar>
            <w:vAlign w:val="center"/>
          </w:tcPr>
          <w:p w14:paraId="0F408DA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1.16</w:t>
            </w:r>
          </w:p>
        </w:tc>
        <w:tc>
          <w:tcPr>
            <w:tcW w:w="680" w:type="pct"/>
            <w:tcBorders>
              <w:tl2br w:val="nil"/>
              <w:tr2bl w:val="nil"/>
            </w:tcBorders>
            <w:shd w:val="clear" w:color="auto" w:fill="auto"/>
            <w:noWrap w:val="0"/>
            <w:tcMar>
              <w:top w:w="15" w:type="dxa"/>
              <w:left w:w="15" w:type="dxa"/>
              <w:right w:w="15" w:type="dxa"/>
            </w:tcMar>
            <w:vAlign w:val="center"/>
          </w:tcPr>
          <w:p w14:paraId="04DCFAB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sz w:val="21"/>
                <w:szCs w:val="21"/>
                <w:highlight w:val="none"/>
                <w:u w:val="none"/>
                <w:lang w:val="en-US" w:eastAsia="zh-CN"/>
              </w:rPr>
              <w:t>300</w:t>
            </w:r>
          </w:p>
        </w:tc>
        <w:tc>
          <w:tcPr>
            <w:tcW w:w="747" w:type="pct"/>
            <w:tcBorders>
              <w:tl2br w:val="nil"/>
              <w:tr2bl w:val="nil"/>
            </w:tcBorders>
            <w:noWrap w:val="0"/>
            <w:tcMar>
              <w:top w:w="15" w:type="dxa"/>
              <w:left w:w="15" w:type="dxa"/>
              <w:right w:w="15" w:type="dxa"/>
            </w:tcMar>
            <w:vAlign w:val="center"/>
          </w:tcPr>
          <w:p w14:paraId="4BE15D7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0.31259</w:t>
            </w:r>
          </w:p>
        </w:tc>
        <w:tc>
          <w:tcPr>
            <w:tcW w:w="352" w:type="pct"/>
            <w:tcBorders>
              <w:tl2br w:val="nil"/>
              <w:tr2bl w:val="nil"/>
            </w:tcBorders>
            <w:noWrap w:val="0"/>
            <w:tcMar>
              <w:top w:w="15" w:type="dxa"/>
              <w:left w:w="15" w:type="dxa"/>
              <w:right w:w="15" w:type="dxa"/>
            </w:tcMar>
            <w:vAlign w:val="center"/>
          </w:tcPr>
          <w:p w14:paraId="639C5BE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0.03</w:t>
            </w:r>
          </w:p>
        </w:tc>
      </w:tr>
      <w:tr w14:paraId="525F3EA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591" w:type="pct"/>
            <w:tcBorders>
              <w:tl2br w:val="nil"/>
              <w:tr2bl w:val="nil"/>
            </w:tcBorders>
            <w:noWrap w:val="0"/>
            <w:tcMar>
              <w:top w:w="15" w:type="dxa"/>
              <w:left w:w="15" w:type="dxa"/>
              <w:right w:w="15" w:type="dxa"/>
            </w:tcMar>
            <w:vAlign w:val="center"/>
          </w:tcPr>
          <w:p w14:paraId="72AF65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300</w:t>
            </w:r>
          </w:p>
        </w:tc>
        <w:tc>
          <w:tcPr>
            <w:tcW w:w="673" w:type="pct"/>
            <w:tcBorders>
              <w:tl2br w:val="nil"/>
              <w:tr2bl w:val="nil"/>
            </w:tcBorders>
            <w:noWrap w:val="0"/>
            <w:tcMar>
              <w:top w:w="15" w:type="dxa"/>
              <w:left w:w="15" w:type="dxa"/>
              <w:right w:w="15" w:type="dxa"/>
            </w:tcMar>
            <w:vAlign w:val="center"/>
          </w:tcPr>
          <w:p w14:paraId="729A0DC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39.349</w:t>
            </w:r>
          </w:p>
        </w:tc>
        <w:tc>
          <w:tcPr>
            <w:tcW w:w="309" w:type="pct"/>
            <w:tcBorders>
              <w:tl2br w:val="nil"/>
              <w:tr2bl w:val="nil"/>
            </w:tcBorders>
            <w:noWrap w:val="0"/>
            <w:tcMar>
              <w:top w:w="15" w:type="dxa"/>
              <w:left w:w="15" w:type="dxa"/>
              <w:right w:w="15" w:type="dxa"/>
            </w:tcMar>
            <w:vAlign w:val="center"/>
          </w:tcPr>
          <w:p w14:paraId="6FDB65C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4.37</w:t>
            </w:r>
          </w:p>
        </w:tc>
        <w:tc>
          <w:tcPr>
            <w:tcW w:w="607" w:type="pct"/>
            <w:tcBorders>
              <w:tl2br w:val="nil"/>
              <w:tr2bl w:val="nil"/>
            </w:tcBorders>
            <w:shd w:val="clear" w:color="auto" w:fill="auto"/>
            <w:noWrap w:val="0"/>
            <w:tcMar>
              <w:top w:w="15" w:type="dxa"/>
              <w:left w:w="15" w:type="dxa"/>
              <w:right w:w="15" w:type="dxa"/>
            </w:tcMar>
            <w:vAlign w:val="center"/>
          </w:tcPr>
          <w:p w14:paraId="5050B9C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sz w:val="21"/>
                <w:szCs w:val="21"/>
                <w:highlight w:val="none"/>
                <w:u w:val="none"/>
                <w:lang w:val="en-US" w:eastAsia="zh-CN"/>
              </w:rPr>
              <w:t>300</w:t>
            </w:r>
          </w:p>
        </w:tc>
        <w:tc>
          <w:tcPr>
            <w:tcW w:w="685" w:type="pct"/>
            <w:tcBorders>
              <w:tl2br w:val="nil"/>
              <w:tr2bl w:val="nil"/>
            </w:tcBorders>
            <w:noWrap w:val="0"/>
            <w:tcMar>
              <w:top w:w="15" w:type="dxa"/>
              <w:left w:w="15" w:type="dxa"/>
              <w:right w:w="15" w:type="dxa"/>
            </w:tcMar>
            <w:vAlign w:val="center"/>
          </w:tcPr>
          <w:p w14:paraId="2310856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0.006539</w:t>
            </w:r>
          </w:p>
        </w:tc>
        <w:tc>
          <w:tcPr>
            <w:tcW w:w="351" w:type="pct"/>
            <w:tcBorders>
              <w:tl2br w:val="nil"/>
              <w:tr2bl w:val="nil"/>
            </w:tcBorders>
            <w:noWrap w:val="0"/>
            <w:tcMar>
              <w:top w:w="15" w:type="dxa"/>
              <w:left w:w="15" w:type="dxa"/>
              <w:right w:w="15" w:type="dxa"/>
            </w:tcMar>
            <w:vAlign w:val="center"/>
          </w:tcPr>
          <w:p w14:paraId="5079683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0.73</w:t>
            </w:r>
          </w:p>
        </w:tc>
        <w:tc>
          <w:tcPr>
            <w:tcW w:w="680" w:type="pct"/>
            <w:tcBorders>
              <w:tl2br w:val="nil"/>
              <w:tr2bl w:val="nil"/>
            </w:tcBorders>
            <w:shd w:val="clear" w:color="auto" w:fill="auto"/>
            <w:noWrap w:val="0"/>
            <w:tcMar>
              <w:top w:w="15" w:type="dxa"/>
              <w:left w:w="15" w:type="dxa"/>
              <w:right w:w="15" w:type="dxa"/>
            </w:tcMar>
            <w:vAlign w:val="center"/>
          </w:tcPr>
          <w:p w14:paraId="7CC97CD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sz w:val="21"/>
                <w:szCs w:val="21"/>
                <w:highlight w:val="none"/>
                <w:u w:val="none"/>
                <w:lang w:val="en-US" w:eastAsia="zh-CN"/>
              </w:rPr>
              <w:t>400</w:t>
            </w:r>
          </w:p>
        </w:tc>
        <w:tc>
          <w:tcPr>
            <w:tcW w:w="747" w:type="pct"/>
            <w:tcBorders>
              <w:tl2br w:val="nil"/>
              <w:tr2bl w:val="nil"/>
            </w:tcBorders>
            <w:noWrap w:val="0"/>
            <w:tcMar>
              <w:top w:w="15" w:type="dxa"/>
              <w:left w:w="15" w:type="dxa"/>
              <w:right w:w="15" w:type="dxa"/>
            </w:tcMar>
            <w:vAlign w:val="center"/>
          </w:tcPr>
          <w:p w14:paraId="7489094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0.23588</w:t>
            </w:r>
          </w:p>
        </w:tc>
        <w:tc>
          <w:tcPr>
            <w:tcW w:w="352" w:type="pct"/>
            <w:tcBorders>
              <w:tl2br w:val="nil"/>
              <w:tr2bl w:val="nil"/>
            </w:tcBorders>
            <w:noWrap w:val="0"/>
            <w:tcMar>
              <w:top w:w="15" w:type="dxa"/>
              <w:left w:w="15" w:type="dxa"/>
              <w:right w:w="15" w:type="dxa"/>
            </w:tcMar>
            <w:vAlign w:val="center"/>
          </w:tcPr>
          <w:p w14:paraId="5A788B6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0.03</w:t>
            </w:r>
          </w:p>
        </w:tc>
      </w:tr>
      <w:tr w14:paraId="0DD9712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591" w:type="pct"/>
            <w:tcBorders>
              <w:tl2br w:val="nil"/>
              <w:tr2bl w:val="nil"/>
            </w:tcBorders>
            <w:noWrap w:val="0"/>
            <w:tcMar>
              <w:top w:w="15" w:type="dxa"/>
              <w:left w:w="15" w:type="dxa"/>
              <w:right w:w="15" w:type="dxa"/>
            </w:tcMar>
            <w:vAlign w:val="center"/>
          </w:tcPr>
          <w:p w14:paraId="34EEC2E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400</w:t>
            </w:r>
          </w:p>
        </w:tc>
        <w:tc>
          <w:tcPr>
            <w:tcW w:w="673" w:type="pct"/>
            <w:tcBorders>
              <w:tl2br w:val="nil"/>
              <w:tr2bl w:val="nil"/>
            </w:tcBorders>
            <w:noWrap/>
            <w:tcMar>
              <w:top w:w="15" w:type="dxa"/>
              <w:left w:w="15" w:type="dxa"/>
              <w:right w:w="15" w:type="dxa"/>
            </w:tcMar>
            <w:vAlign w:val="center"/>
          </w:tcPr>
          <w:p w14:paraId="7A97014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27.849</w:t>
            </w:r>
          </w:p>
        </w:tc>
        <w:tc>
          <w:tcPr>
            <w:tcW w:w="309" w:type="pct"/>
            <w:tcBorders>
              <w:tl2br w:val="nil"/>
              <w:tr2bl w:val="nil"/>
            </w:tcBorders>
            <w:noWrap/>
            <w:tcMar>
              <w:top w:w="15" w:type="dxa"/>
              <w:left w:w="15" w:type="dxa"/>
              <w:right w:w="15" w:type="dxa"/>
            </w:tcMar>
            <w:vAlign w:val="center"/>
          </w:tcPr>
          <w:p w14:paraId="40B19D4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3.09</w:t>
            </w:r>
          </w:p>
        </w:tc>
        <w:tc>
          <w:tcPr>
            <w:tcW w:w="607" w:type="pct"/>
            <w:tcBorders>
              <w:tl2br w:val="nil"/>
              <w:tr2bl w:val="nil"/>
            </w:tcBorders>
            <w:shd w:val="clear" w:color="auto" w:fill="auto"/>
            <w:noWrap/>
            <w:tcMar>
              <w:top w:w="15" w:type="dxa"/>
              <w:left w:w="15" w:type="dxa"/>
              <w:right w:w="15" w:type="dxa"/>
            </w:tcMar>
            <w:vAlign w:val="center"/>
          </w:tcPr>
          <w:p w14:paraId="7A43B26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sz w:val="21"/>
                <w:szCs w:val="21"/>
                <w:highlight w:val="none"/>
                <w:u w:val="none"/>
                <w:lang w:val="en-US" w:eastAsia="zh-CN"/>
              </w:rPr>
              <w:t>400</w:t>
            </w:r>
          </w:p>
        </w:tc>
        <w:tc>
          <w:tcPr>
            <w:tcW w:w="685" w:type="pct"/>
            <w:tcBorders>
              <w:tl2br w:val="nil"/>
              <w:tr2bl w:val="nil"/>
            </w:tcBorders>
            <w:noWrap/>
            <w:tcMar>
              <w:top w:w="15" w:type="dxa"/>
              <w:left w:w="15" w:type="dxa"/>
              <w:right w:w="15" w:type="dxa"/>
            </w:tcMar>
            <w:vAlign w:val="center"/>
          </w:tcPr>
          <w:p w14:paraId="29AF5A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0.004639</w:t>
            </w:r>
          </w:p>
        </w:tc>
        <w:tc>
          <w:tcPr>
            <w:tcW w:w="351" w:type="pct"/>
            <w:tcBorders>
              <w:tl2br w:val="nil"/>
              <w:tr2bl w:val="nil"/>
            </w:tcBorders>
            <w:noWrap/>
            <w:tcMar>
              <w:top w:w="15" w:type="dxa"/>
              <w:left w:w="15" w:type="dxa"/>
              <w:right w:w="15" w:type="dxa"/>
            </w:tcMar>
            <w:vAlign w:val="center"/>
          </w:tcPr>
          <w:p w14:paraId="1C60809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0.52</w:t>
            </w:r>
          </w:p>
        </w:tc>
        <w:tc>
          <w:tcPr>
            <w:tcW w:w="680" w:type="pct"/>
            <w:tcBorders>
              <w:tl2br w:val="nil"/>
              <w:tr2bl w:val="nil"/>
            </w:tcBorders>
            <w:shd w:val="clear" w:color="auto" w:fill="auto"/>
            <w:noWrap/>
            <w:tcMar>
              <w:top w:w="15" w:type="dxa"/>
              <w:left w:w="15" w:type="dxa"/>
              <w:right w:w="15" w:type="dxa"/>
            </w:tcMar>
            <w:vAlign w:val="center"/>
          </w:tcPr>
          <w:p w14:paraId="235CB41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sz w:val="21"/>
                <w:szCs w:val="21"/>
                <w:highlight w:val="none"/>
                <w:u w:val="none"/>
                <w:lang w:val="en-US" w:eastAsia="zh-CN"/>
              </w:rPr>
              <w:t>500</w:t>
            </w:r>
          </w:p>
        </w:tc>
        <w:tc>
          <w:tcPr>
            <w:tcW w:w="747" w:type="pct"/>
            <w:tcBorders>
              <w:tl2br w:val="nil"/>
              <w:tr2bl w:val="nil"/>
            </w:tcBorders>
            <w:noWrap/>
            <w:tcMar>
              <w:top w:w="15" w:type="dxa"/>
              <w:left w:w="15" w:type="dxa"/>
              <w:right w:w="15" w:type="dxa"/>
            </w:tcMar>
            <w:vAlign w:val="center"/>
          </w:tcPr>
          <w:p w14:paraId="05A957A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0.18495</w:t>
            </w:r>
          </w:p>
        </w:tc>
        <w:tc>
          <w:tcPr>
            <w:tcW w:w="352" w:type="pct"/>
            <w:tcBorders>
              <w:tl2br w:val="nil"/>
              <w:tr2bl w:val="nil"/>
            </w:tcBorders>
            <w:noWrap/>
            <w:tcMar>
              <w:top w:w="15" w:type="dxa"/>
              <w:left w:w="15" w:type="dxa"/>
              <w:right w:w="15" w:type="dxa"/>
            </w:tcMar>
            <w:vAlign w:val="center"/>
          </w:tcPr>
          <w:p w14:paraId="1498868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0.02</w:t>
            </w:r>
          </w:p>
        </w:tc>
      </w:tr>
      <w:tr w14:paraId="14E3DD6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591" w:type="pct"/>
            <w:tcBorders>
              <w:tl2br w:val="nil"/>
              <w:tr2bl w:val="nil"/>
            </w:tcBorders>
            <w:noWrap w:val="0"/>
            <w:tcMar>
              <w:top w:w="15" w:type="dxa"/>
              <w:left w:w="15" w:type="dxa"/>
              <w:right w:w="15" w:type="dxa"/>
            </w:tcMar>
            <w:vAlign w:val="center"/>
          </w:tcPr>
          <w:p w14:paraId="2796DBE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500</w:t>
            </w:r>
          </w:p>
        </w:tc>
        <w:tc>
          <w:tcPr>
            <w:tcW w:w="673" w:type="pct"/>
            <w:tcBorders>
              <w:tl2br w:val="nil"/>
              <w:tr2bl w:val="nil"/>
            </w:tcBorders>
            <w:noWrap/>
            <w:tcMar>
              <w:top w:w="15" w:type="dxa"/>
              <w:left w:w="15" w:type="dxa"/>
              <w:right w:w="15" w:type="dxa"/>
            </w:tcMar>
            <w:vAlign w:val="center"/>
          </w:tcPr>
          <w:p w14:paraId="72DE64F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20.936</w:t>
            </w:r>
          </w:p>
        </w:tc>
        <w:tc>
          <w:tcPr>
            <w:tcW w:w="309" w:type="pct"/>
            <w:tcBorders>
              <w:tl2br w:val="nil"/>
              <w:tr2bl w:val="nil"/>
            </w:tcBorders>
            <w:noWrap/>
            <w:tcMar>
              <w:top w:w="15" w:type="dxa"/>
              <w:left w:w="15" w:type="dxa"/>
              <w:right w:w="15" w:type="dxa"/>
            </w:tcMar>
            <w:vAlign w:val="center"/>
          </w:tcPr>
          <w:p w14:paraId="4E04FDC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2.33</w:t>
            </w:r>
          </w:p>
        </w:tc>
        <w:tc>
          <w:tcPr>
            <w:tcW w:w="607" w:type="pct"/>
            <w:tcBorders>
              <w:tl2br w:val="nil"/>
              <w:tr2bl w:val="nil"/>
            </w:tcBorders>
            <w:shd w:val="clear" w:color="auto" w:fill="auto"/>
            <w:noWrap/>
            <w:tcMar>
              <w:top w:w="15" w:type="dxa"/>
              <w:left w:w="15" w:type="dxa"/>
              <w:right w:w="15" w:type="dxa"/>
            </w:tcMar>
            <w:vAlign w:val="center"/>
          </w:tcPr>
          <w:p w14:paraId="4947E4C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sz w:val="21"/>
                <w:szCs w:val="21"/>
                <w:highlight w:val="none"/>
                <w:u w:val="none"/>
                <w:lang w:val="en-US" w:eastAsia="zh-CN"/>
              </w:rPr>
              <w:t>500</w:t>
            </w:r>
          </w:p>
        </w:tc>
        <w:tc>
          <w:tcPr>
            <w:tcW w:w="685" w:type="pct"/>
            <w:tcBorders>
              <w:tl2br w:val="nil"/>
              <w:tr2bl w:val="nil"/>
            </w:tcBorders>
            <w:noWrap/>
            <w:tcMar>
              <w:top w:w="15" w:type="dxa"/>
              <w:left w:w="15" w:type="dxa"/>
              <w:right w:w="15" w:type="dxa"/>
            </w:tcMar>
            <w:vAlign w:val="center"/>
          </w:tcPr>
          <w:p w14:paraId="4077BBC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0.003487</w:t>
            </w:r>
          </w:p>
        </w:tc>
        <w:tc>
          <w:tcPr>
            <w:tcW w:w="351" w:type="pct"/>
            <w:tcBorders>
              <w:tl2br w:val="nil"/>
              <w:tr2bl w:val="nil"/>
            </w:tcBorders>
            <w:noWrap/>
            <w:tcMar>
              <w:top w:w="15" w:type="dxa"/>
              <w:left w:w="15" w:type="dxa"/>
              <w:right w:w="15" w:type="dxa"/>
            </w:tcMar>
            <w:vAlign w:val="center"/>
          </w:tcPr>
          <w:p w14:paraId="051773E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0.39</w:t>
            </w:r>
          </w:p>
        </w:tc>
        <w:tc>
          <w:tcPr>
            <w:tcW w:w="680" w:type="pct"/>
            <w:tcBorders>
              <w:tl2br w:val="nil"/>
              <w:tr2bl w:val="nil"/>
            </w:tcBorders>
            <w:shd w:val="clear" w:color="auto" w:fill="auto"/>
            <w:noWrap/>
            <w:tcMar>
              <w:top w:w="15" w:type="dxa"/>
              <w:left w:w="15" w:type="dxa"/>
              <w:right w:w="15" w:type="dxa"/>
            </w:tcMar>
            <w:vAlign w:val="center"/>
          </w:tcPr>
          <w:p w14:paraId="2E9E400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sz w:val="21"/>
                <w:szCs w:val="21"/>
                <w:highlight w:val="none"/>
                <w:u w:val="none"/>
                <w:lang w:val="en-US" w:eastAsia="zh-CN"/>
              </w:rPr>
              <w:t>600</w:t>
            </w:r>
          </w:p>
        </w:tc>
        <w:tc>
          <w:tcPr>
            <w:tcW w:w="747" w:type="pct"/>
            <w:tcBorders>
              <w:tl2br w:val="nil"/>
              <w:tr2bl w:val="nil"/>
            </w:tcBorders>
            <w:noWrap/>
            <w:tcMar>
              <w:top w:w="15" w:type="dxa"/>
              <w:left w:w="15" w:type="dxa"/>
              <w:right w:w="15" w:type="dxa"/>
            </w:tcMar>
            <w:vAlign w:val="center"/>
          </w:tcPr>
          <w:p w14:paraId="506C888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0.1498</w:t>
            </w:r>
          </w:p>
        </w:tc>
        <w:tc>
          <w:tcPr>
            <w:tcW w:w="352" w:type="pct"/>
            <w:tcBorders>
              <w:tl2br w:val="nil"/>
              <w:tr2bl w:val="nil"/>
            </w:tcBorders>
            <w:noWrap/>
            <w:tcMar>
              <w:top w:w="15" w:type="dxa"/>
              <w:left w:w="15" w:type="dxa"/>
              <w:right w:w="15" w:type="dxa"/>
            </w:tcMar>
            <w:vAlign w:val="center"/>
          </w:tcPr>
          <w:p w14:paraId="68FF30D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0.02</w:t>
            </w:r>
          </w:p>
        </w:tc>
      </w:tr>
      <w:tr w14:paraId="78B40EC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9" w:hRule="atLeast"/>
          <w:jc w:val="center"/>
        </w:trPr>
        <w:tc>
          <w:tcPr>
            <w:tcW w:w="591" w:type="pct"/>
            <w:tcBorders>
              <w:tl2br w:val="nil"/>
              <w:tr2bl w:val="nil"/>
            </w:tcBorders>
            <w:noWrap w:val="0"/>
            <w:tcMar>
              <w:top w:w="15" w:type="dxa"/>
              <w:left w:w="15" w:type="dxa"/>
              <w:right w:w="15" w:type="dxa"/>
            </w:tcMar>
            <w:vAlign w:val="center"/>
          </w:tcPr>
          <w:p w14:paraId="429E17F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600</w:t>
            </w:r>
          </w:p>
        </w:tc>
        <w:tc>
          <w:tcPr>
            <w:tcW w:w="673" w:type="pct"/>
            <w:tcBorders>
              <w:tl2br w:val="nil"/>
              <w:tr2bl w:val="nil"/>
            </w:tcBorders>
            <w:noWrap/>
            <w:tcMar>
              <w:top w:w="15" w:type="dxa"/>
              <w:left w:w="15" w:type="dxa"/>
              <w:right w:w="15" w:type="dxa"/>
            </w:tcMar>
            <w:vAlign w:val="center"/>
          </w:tcPr>
          <w:p w14:paraId="6237D76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16.519</w:t>
            </w:r>
          </w:p>
        </w:tc>
        <w:tc>
          <w:tcPr>
            <w:tcW w:w="309" w:type="pct"/>
            <w:tcBorders>
              <w:tl2br w:val="nil"/>
              <w:tr2bl w:val="nil"/>
            </w:tcBorders>
            <w:noWrap/>
            <w:tcMar>
              <w:top w:w="15" w:type="dxa"/>
              <w:left w:w="15" w:type="dxa"/>
              <w:right w:w="15" w:type="dxa"/>
            </w:tcMar>
            <w:vAlign w:val="center"/>
          </w:tcPr>
          <w:p w14:paraId="46C68D8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1.84</w:t>
            </w:r>
          </w:p>
        </w:tc>
        <w:tc>
          <w:tcPr>
            <w:tcW w:w="607" w:type="pct"/>
            <w:tcBorders>
              <w:tl2br w:val="nil"/>
              <w:tr2bl w:val="nil"/>
            </w:tcBorders>
            <w:shd w:val="clear" w:color="auto" w:fill="auto"/>
            <w:noWrap/>
            <w:tcMar>
              <w:top w:w="15" w:type="dxa"/>
              <w:left w:w="15" w:type="dxa"/>
              <w:right w:w="15" w:type="dxa"/>
            </w:tcMar>
            <w:vAlign w:val="center"/>
          </w:tcPr>
          <w:p w14:paraId="51EA998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sz w:val="21"/>
                <w:szCs w:val="21"/>
                <w:highlight w:val="none"/>
                <w:u w:val="none"/>
                <w:lang w:val="en-US" w:eastAsia="zh-CN"/>
              </w:rPr>
              <w:t>600</w:t>
            </w:r>
          </w:p>
        </w:tc>
        <w:tc>
          <w:tcPr>
            <w:tcW w:w="685" w:type="pct"/>
            <w:tcBorders>
              <w:tl2br w:val="nil"/>
              <w:tr2bl w:val="nil"/>
            </w:tcBorders>
            <w:noWrap/>
            <w:tcMar>
              <w:top w:w="15" w:type="dxa"/>
              <w:left w:w="15" w:type="dxa"/>
              <w:right w:w="15" w:type="dxa"/>
            </w:tcMar>
            <w:vAlign w:val="center"/>
          </w:tcPr>
          <w:p w14:paraId="7B0632C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0.002752</w:t>
            </w:r>
          </w:p>
        </w:tc>
        <w:tc>
          <w:tcPr>
            <w:tcW w:w="351" w:type="pct"/>
            <w:tcBorders>
              <w:tl2br w:val="nil"/>
              <w:tr2bl w:val="nil"/>
            </w:tcBorders>
            <w:noWrap/>
            <w:tcMar>
              <w:top w:w="15" w:type="dxa"/>
              <w:left w:w="15" w:type="dxa"/>
              <w:right w:w="15" w:type="dxa"/>
            </w:tcMar>
            <w:vAlign w:val="center"/>
          </w:tcPr>
          <w:p w14:paraId="7FA972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0.31</w:t>
            </w:r>
          </w:p>
        </w:tc>
        <w:tc>
          <w:tcPr>
            <w:tcW w:w="680" w:type="pct"/>
            <w:tcBorders>
              <w:tl2br w:val="nil"/>
              <w:tr2bl w:val="nil"/>
            </w:tcBorders>
            <w:shd w:val="clear" w:color="auto" w:fill="auto"/>
            <w:noWrap/>
            <w:tcMar>
              <w:top w:w="15" w:type="dxa"/>
              <w:left w:w="15" w:type="dxa"/>
              <w:right w:w="15" w:type="dxa"/>
            </w:tcMar>
            <w:vAlign w:val="center"/>
          </w:tcPr>
          <w:p w14:paraId="427024D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sz w:val="21"/>
                <w:szCs w:val="21"/>
                <w:highlight w:val="none"/>
                <w:u w:val="none"/>
                <w:lang w:val="en-US" w:eastAsia="zh-CN"/>
              </w:rPr>
              <w:t>700</w:t>
            </w:r>
          </w:p>
        </w:tc>
        <w:tc>
          <w:tcPr>
            <w:tcW w:w="747" w:type="pct"/>
            <w:tcBorders>
              <w:tl2br w:val="nil"/>
              <w:tr2bl w:val="nil"/>
            </w:tcBorders>
            <w:noWrap/>
            <w:tcMar>
              <w:top w:w="15" w:type="dxa"/>
              <w:left w:w="15" w:type="dxa"/>
              <w:right w:w="15" w:type="dxa"/>
            </w:tcMar>
            <w:vAlign w:val="center"/>
          </w:tcPr>
          <w:p w14:paraId="0255761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0.1246</w:t>
            </w:r>
          </w:p>
        </w:tc>
        <w:tc>
          <w:tcPr>
            <w:tcW w:w="352" w:type="pct"/>
            <w:tcBorders>
              <w:tl2br w:val="nil"/>
              <w:tr2bl w:val="nil"/>
            </w:tcBorders>
            <w:noWrap/>
            <w:tcMar>
              <w:top w:w="15" w:type="dxa"/>
              <w:left w:w="15" w:type="dxa"/>
              <w:right w:w="15" w:type="dxa"/>
            </w:tcMar>
            <w:vAlign w:val="center"/>
          </w:tcPr>
          <w:p w14:paraId="6F220B8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0.01</w:t>
            </w:r>
          </w:p>
        </w:tc>
      </w:tr>
      <w:tr w14:paraId="52B2A32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591" w:type="pct"/>
            <w:tcBorders>
              <w:tl2br w:val="nil"/>
              <w:tr2bl w:val="nil"/>
            </w:tcBorders>
            <w:noWrap w:val="0"/>
            <w:tcMar>
              <w:top w:w="15" w:type="dxa"/>
              <w:left w:w="15" w:type="dxa"/>
              <w:right w:w="15" w:type="dxa"/>
            </w:tcMar>
            <w:vAlign w:val="center"/>
          </w:tcPr>
          <w:p w14:paraId="442D435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700</w:t>
            </w:r>
          </w:p>
        </w:tc>
        <w:tc>
          <w:tcPr>
            <w:tcW w:w="673" w:type="pct"/>
            <w:tcBorders>
              <w:tl2br w:val="nil"/>
              <w:tr2bl w:val="nil"/>
            </w:tcBorders>
            <w:noWrap/>
            <w:tcMar>
              <w:top w:w="15" w:type="dxa"/>
              <w:left w:w="15" w:type="dxa"/>
              <w:right w:w="15" w:type="dxa"/>
            </w:tcMar>
            <w:vAlign w:val="center"/>
          </w:tcPr>
          <w:p w14:paraId="0F689DE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13.492</w:t>
            </w:r>
          </w:p>
        </w:tc>
        <w:tc>
          <w:tcPr>
            <w:tcW w:w="309" w:type="pct"/>
            <w:tcBorders>
              <w:tl2br w:val="nil"/>
              <w:tr2bl w:val="nil"/>
            </w:tcBorders>
            <w:noWrap/>
            <w:tcMar>
              <w:top w:w="15" w:type="dxa"/>
              <w:left w:w="15" w:type="dxa"/>
              <w:right w:w="15" w:type="dxa"/>
            </w:tcMar>
            <w:vAlign w:val="center"/>
          </w:tcPr>
          <w:p w14:paraId="0ACD9A2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1.50</w:t>
            </w:r>
          </w:p>
        </w:tc>
        <w:tc>
          <w:tcPr>
            <w:tcW w:w="607" w:type="pct"/>
            <w:tcBorders>
              <w:tl2br w:val="nil"/>
              <w:tr2bl w:val="nil"/>
            </w:tcBorders>
            <w:shd w:val="clear" w:color="auto" w:fill="auto"/>
            <w:noWrap/>
            <w:tcMar>
              <w:top w:w="15" w:type="dxa"/>
              <w:left w:w="15" w:type="dxa"/>
              <w:right w:w="15" w:type="dxa"/>
            </w:tcMar>
            <w:vAlign w:val="center"/>
          </w:tcPr>
          <w:p w14:paraId="22FE58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sz w:val="21"/>
                <w:szCs w:val="21"/>
                <w:highlight w:val="none"/>
                <w:u w:val="none"/>
                <w:lang w:val="en-US" w:eastAsia="zh-CN"/>
              </w:rPr>
              <w:t>700</w:t>
            </w:r>
          </w:p>
        </w:tc>
        <w:tc>
          <w:tcPr>
            <w:tcW w:w="685" w:type="pct"/>
            <w:tcBorders>
              <w:tl2br w:val="nil"/>
              <w:tr2bl w:val="nil"/>
            </w:tcBorders>
            <w:noWrap/>
            <w:tcMar>
              <w:top w:w="15" w:type="dxa"/>
              <w:left w:w="15" w:type="dxa"/>
              <w:right w:w="15" w:type="dxa"/>
            </w:tcMar>
            <w:vAlign w:val="center"/>
          </w:tcPr>
          <w:p w14:paraId="0921E2A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0.002247</w:t>
            </w:r>
          </w:p>
        </w:tc>
        <w:tc>
          <w:tcPr>
            <w:tcW w:w="351" w:type="pct"/>
            <w:tcBorders>
              <w:tl2br w:val="nil"/>
              <w:tr2bl w:val="nil"/>
            </w:tcBorders>
            <w:noWrap/>
            <w:tcMar>
              <w:top w:w="15" w:type="dxa"/>
              <w:left w:w="15" w:type="dxa"/>
              <w:right w:w="15" w:type="dxa"/>
            </w:tcMar>
            <w:vAlign w:val="center"/>
          </w:tcPr>
          <w:p w14:paraId="3DE59CF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0.25</w:t>
            </w:r>
          </w:p>
        </w:tc>
        <w:tc>
          <w:tcPr>
            <w:tcW w:w="680" w:type="pct"/>
            <w:tcBorders>
              <w:tl2br w:val="nil"/>
              <w:tr2bl w:val="nil"/>
            </w:tcBorders>
            <w:shd w:val="clear" w:color="auto" w:fill="auto"/>
            <w:noWrap/>
            <w:tcMar>
              <w:top w:w="15" w:type="dxa"/>
              <w:left w:w="15" w:type="dxa"/>
              <w:right w:w="15" w:type="dxa"/>
            </w:tcMar>
            <w:vAlign w:val="center"/>
          </w:tcPr>
          <w:p w14:paraId="23CB17E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sz w:val="21"/>
                <w:szCs w:val="21"/>
                <w:highlight w:val="none"/>
                <w:u w:val="none"/>
                <w:lang w:val="en-US" w:eastAsia="zh-CN"/>
              </w:rPr>
              <w:t>800</w:t>
            </w:r>
          </w:p>
        </w:tc>
        <w:tc>
          <w:tcPr>
            <w:tcW w:w="747" w:type="pct"/>
            <w:tcBorders>
              <w:tl2br w:val="nil"/>
              <w:tr2bl w:val="nil"/>
            </w:tcBorders>
            <w:noWrap/>
            <w:tcMar>
              <w:top w:w="15" w:type="dxa"/>
              <w:left w:w="15" w:type="dxa"/>
              <w:right w:w="15" w:type="dxa"/>
            </w:tcMar>
            <w:vAlign w:val="center"/>
          </w:tcPr>
          <w:p w14:paraId="135D953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0.1058</w:t>
            </w:r>
          </w:p>
        </w:tc>
        <w:tc>
          <w:tcPr>
            <w:tcW w:w="352" w:type="pct"/>
            <w:tcBorders>
              <w:tl2br w:val="nil"/>
              <w:tr2bl w:val="nil"/>
            </w:tcBorders>
            <w:noWrap/>
            <w:tcMar>
              <w:top w:w="15" w:type="dxa"/>
              <w:left w:w="15" w:type="dxa"/>
              <w:right w:w="15" w:type="dxa"/>
            </w:tcMar>
            <w:vAlign w:val="center"/>
          </w:tcPr>
          <w:p w14:paraId="02F6A89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0.01</w:t>
            </w:r>
          </w:p>
        </w:tc>
      </w:tr>
      <w:tr w14:paraId="0755B16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591" w:type="pct"/>
            <w:tcBorders>
              <w:tl2br w:val="nil"/>
              <w:tr2bl w:val="nil"/>
            </w:tcBorders>
            <w:noWrap w:val="0"/>
            <w:tcMar>
              <w:top w:w="15" w:type="dxa"/>
              <w:left w:w="15" w:type="dxa"/>
              <w:right w:w="15" w:type="dxa"/>
            </w:tcMar>
            <w:vAlign w:val="center"/>
          </w:tcPr>
          <w:p w14:paraId="7801236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800</w:t>
            </w:r>
          </w:p>
        </w:tc>
        <w:tc>
          <w:tcPr>
            <w:tcW w:w="673" w:type="pct"/>
            <w:tcBorders>
              <w:tl2br w:val="nil"/>
              <w:tr2bl w:val="nil"/>
            </w:tcBorders>
            <w:noWrap/>
            <w:tcMar>
              <w:top w:w="15" w:type="dxa"/>
              <w:left w:w="15" w:type="dxa"/>
              <w:right w:w="15" w:type="dxa"/>
            </w:tcMar>
            <w:vAlign w:val="center"/>
          </w:tcPr>
          <w:p w14:paraId="31FF61D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11.308</w:t>
            </w:r>
          </w:p>
        </w:tc>
        <w:tc>
          <w:tcPr>
            <w:tcW w:w="309" w:type="pct"/>
            <w:tcBorders>
              <w:tl2br w:val="nil"/>
              <w:tr2bl w:val="nil"/>
            </w:tcBorders>
            <w:noWrap/>
            <w:tcMar>
              <w:top w:w="15" w:type="dxa"/>
              <w:left w:w="15" w:type="dxa"/>
              <w:right w:w="15" w:type="dxa"/>
            </w:tcMar>
            <w:vAlign w:val="center"/>
          </w:tcPr>
          <w:p w14:paraId="2E7990A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1.26</w:t>
            </w:r>
          </w:p>
        </w:tc>
        <w:tc>
          <w:tcPr>
            <w:tcW w:w="607" w:type="pct"/>
            <w:tcBorders>
              <w:tl2br w:val="nil"/>
              <w:tr2bl w:val="nil"/>
            </w:tcBorders>
            <w:shd w:val="clear" w:color="auto" w:fill="auto"/>
            <w:noWrap/>
            <w:tcMar>
              <w:top w:w="15" w:type="dxa"/>
              <w:left w:w="15" w:type="dxa"/>
              <w:right w:w="15" w:type="dxa"/>
            </w:tcMar>
            <w:vAlign w:val="center"/>
          </w:tcPr>
          <w:p w14:paraId="1942528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sz w:val="21"/>
                <w:szCs w:val="21"/>
                <w:highlight w:val="none"/>
                <w:u w:val="none"/>
                <w:lang w:val="en-US" w:eastAsia="zh-CN"/>
              </w:rPr>
              <w:t>800</w:t>
            </w:r>
          </w:p>
        </w:tc>
        <w:tc>
          <w:tcPr>
            <w:tcW w:w="685" w:type="pct"/>
            <w:tcBorders>
              <w:tl2br w:val="nil"/>
              <w:tr2bl w:val="nil"/>
            </w:tcBorders>
            <w:noWrap/>
            <w:tcMar>
              <w:top w:w="15" w:type="dxa"/>
              <w:left w:w="15" w:type="dxa"/>
              <w:right w:w="15" w:type="dxa"/>
            </w:tcMar>
            <w:vAlign w:val="center"/>
          </w:tcPr>
          <w:p w14:paraId="5DFE078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0.001884</w:t>
            </w:r>
          </w:p>
        </w:tc>
        <w:tc>
          <w:tcPr>
            <w:tcW w:w="351" w:type="pct"/>
            <w:tcBorders>
              <w:tl2br w:val="nil"/>
              <w:tr2bl w:val="nil"/>
            </w:tcBorders>
            <w:noWrap/>
            <w:tcMar>
              <w:top w:w="15" w:type="dxa"/>
              <w:left w:w="15" w:type="dxa"/>
              <w:right w:w="15" w:type="dxa"/>
            </w:tcMar>
            <w:vAlign w:val="center"/>
          </w:tcPr>
          <w:p w14:paraId="2FC8870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0.21</w:t>
            </w:r>
          </w:p>
        </w:tc>
        <w:tc>
          <w:tcPr>
            <w:tcW w:w="680" w:type="pct"/>
            <w:tcBorders>
              <w:tl2br w:val="nil"/>
              <w:tr2bl w:val="nil"/>
            </w:tcBorders>
            <w:shd w:val="clear" w:color="auto" w:fill="auto"/>
            <w:noWrap/>
            <w:tcMar>
              <w:top w:w="15" w:type="dxa"/>
              <w:left w:w="15" w:type="dxa"/>
              <w:right w:w="15" w:type="dxa"/>
            </w:tcMar>
            <w:vAlign w:val="center"/>
          </w:tcPr>
          <w:p w14:paraId="4FCD082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sz w:val="21"/>
                <w:szCs w:val="21"/>
                <w:highlight w:val="none"/>
                <w:u w:val="none"/>
                <w:lang w:val="en-US" w:eastAsia="zh-CN"/>
              </w:rPr>
              <w:t>900</w:t>
            </w:r>
          </w:p>
        </w:tc>
        <w:tc>
          <w:tcPr>
            <w:tcW w:w="747" w:type="pct"/>
            <w:tcBorders>
              <w:tl2br w:val="nil"/>
              <w:tr2bl w:val="nil"/>
            </w:tcBorders>
            <w:noWrap/>
            <w:tcMar>
              <w:top w:w="15" w:type="dxa"/>
              <w:left w:w="15" w:type="dxa"/>
              <w:right w:w="15" w:type="dxa"/>
            </w:tcMar>
            <w:vAlign w:val="center"/>
          </w:tcPr>
          <w:p w14:paraId="2528B3F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0.091346</w:t>
            </w:r>
          </w:p>
        </w:tc>
        <w:tc>
          <w:tcPr>
            <w:tcW w:w="352" w:type="pct"/>
            <w:tcBorders>
              <w:tl2br w:val="nil"/>
              <w:tr2bl w:val="nil"/>
            </w:tcBorders>
            <w:noWrap/>
            <w:tcMar>
              <w:top w:w="15" w:type="dxa"/>
              <w:left w:w="15" w:type="dxa"/>
              <w:right w:w="15" w:type="dxa"/>
            </w:tcMar>
            <w:vAlign w:val="center"/>
          </w:tcPr>
          <w:p w14:paraId="6E5F857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0.01</w:t>
            </w:r>
          </w:p>
        </w:tc>
      </w:tr>
      <w:tr w14:paraId="6990723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591" w:type="pct"/>
            <w:tcBorders>
              <w:tl2br w:val="nil"/>
              <w:tr2bl w:val="nil"/>
            </w:tcBorders>
            <w:noWrap w:val="0"/>
            <w:tcMar>
              <w:top w:w="15" w:type="dxa"/>
              <w:left w:w="15" w:type="dxa"/>
              <w:right w:w="15" w:type="dxa"/>
            </w:tcMar>
            <w:vAlign w:val="center"/>
          </w:tcPr>
          <w:p w14:paraId="37A9355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900</w:t>
            </w:r>
          </w:p>
        </w:tc>
        <w:tc>
          <w:tcPr>
            <w:tcW w:w="673" w:type="pct"/>
            <w:tcBorders>
              <w:tl2br w:val="nil"/>
              <w:tr2bl w:val="nil"/>
            </w:tcBorders>
            <w:noWrap/>
            <w:tcMar>
              <w:top w:w="15" w:type="dxa"/>
              <w:left w:w="15" w:type="dxa"/>
              <w:right w:w="15" w:type="dxa"/>
            </w:tcMar>
            <w:vAlign w:val="center"/>
          </w:tcPr>
          <w:p w14:paraId="195A48E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9.669</w:t>
            </w:r>
          </w:p>
        </w:tc>
        <w:tc>
          <w:tcPr>
            <w:tcW w:w="309" w:type="pct"/>
            <w:tcBorders>
              <w:tl2br w:val="nil"/>
              <w:tr2bl w:val="nil"/>
            </w:tcBorders>
            <w:noWrap/>
            <w:tcMar>
              <w:top w:w="15" w:type="dxa"/>
              <w:left w:w="15" w:type="dxa"/>
              <w:right w:w="15" w:type="dxa"/>
            </w:tcMar>
            <w:vAlign w:val="center"/>
          </w:tcPr>
          <w:p w14:paraId="3B7D6D0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1.07</w:t>
            </w:r>
          </w:p>
        </w:tc>
        <w:tc>
          <w:tcPr>
            <w:tcW w:w="607" w:type="pct"/>
            <w:tcBorders>
              <w:tl2br w:val="nil"/>
              <w:tr2bl w:val="nil"/>
            </w:tcBorders>
            <w:shd w:val="clear" w:color="auto" w:fill="auto"/>
            <w:noWrap/>
            <w:tcMar>
              <w:top w:w="15" w:type="dxa"/>
              <w:left w:w="15" w:type="dxa"/>
              <w:right w:w="15" w:type="dxa"/>
            </w:tcMar>
            <w:vAlign w:val="center"/>
          </w:tcPr>
          <w:p w14:paraId="0BA984E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sz w:val="21"/>
                <w:szCs w:val="21"/>
                <w:highlight w:val="none"/>
                <w:u w:val="none"/>
                <w:lang w:val="en-US" w:eastAsia="zh-CN"/>
              </w:rPr>
              <w:t>900</w:t>
            </w:r>
          </w:p>
        </w:tc>
        <w:tc>
          <w:tcPr>
            <w:tcW w:w="685" w:type="pct"/>
            <w:tcBorders>
              <w:tl2br w:val="nil"/>
              <w:tr2bl w:val="nil"/>
            </w:tcBorders>
            <w:noWrap/>
            <w:tcMar>
              <w:top w:w="15" w:type="dxa"/>
              <w:left w:w="15" w:type="dxa"/>
              <w:right w:w="15" w:type="dxa"/>
            </w:tcMar>
            <w:vAlign w:val="center"/>
          </w:tcPr>
          <w:p w14:paraId="45A694C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0.001611</w:t>
            </w:r>
          </w:p>
        </w:tc>
        <w:tc>
          <w:tcPr>
            <w:tcW w:w="351" w:type="pct"/>
            <w:tcBorders>
              <w:tl2br w:val="nil"/>
              <w:tr2bl w:val="nil"/>
            </w:tcBorders>
            <w:noWrap/>
            <w:tcMar>
              <w:top w:w="15" w:type="dxa"/>
              <w:left w:w="15" w:type="dxa"/>
              <w:right w:w="15" w:type="dxa"/>
            </w:tcMar>
            <w:vAlign w:val="center"/>
          </w:tcPr>
          <w:p w14:paraId="5B3A15C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0.18</w:t>
            </w:r>
          </w:p>
        </w:tc>
        <w:tc>
          <w:tcPr>
            <w:tcW w:w="680" w:type="pct"/>
            <w:tcBorders>
              <w:tl2br w:val="nil"/>
              <w:tr2bl w:val="nil"/>
            </w:tcBorders>
            <w:shd w:val="clear" w:color="auto" w:fill="auto"/>
            <w:noWrap/>
            <w:tcMar>
              <w:top w:w="15" w:type="dxa"/>
              <w:left w:w="15" w:type="dxa"/>
              <w:right w:w="15" w:type="dxa"/>
            </w:tcMar>
            <w:vAlign w:val="center"/>
          </w:tcPr>
          <w:p w14:paraId="0059A08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sz w:val="21"/>
                <w:szCs w:val="21"/>
                <w:highlight w:val="none"/>
                <w:u w:val="none"/>
                <w:lang w:val="en-US" w:eastAsia="zh-CN"/>
              </w:rPr>
              <w:t>1000</w:t>
            </w:r>
          </w:p>
        </w:tc>
        <w:tc>
          <w:tcPr>
            <w:tcW w:w="747" w:type="pct"/>
            <w:tcBorders>
              <w:tl2br w:val="nil"/>
              <w:tr2bl w:val="nil"/>
            </w:tcBorders>
            <w:noWrap/>
            <w:tcMar>
              <w:top w:w="15" w:type="dxa"/>
              <w:left w:w="15" w:type="dxa"/>
              <w:right w:w="15" w:type="dxa"/>
            </w:tcMar>
            <w:vAlign w:val="center"/>
          </w:tcPr>
          <w:p w14:paraId="5EB0D14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0.079958</w:t>
            </w:r>
          </w:p>
        </w:tc>
        <w:tc>
          <w:tcPr>
            <w:tcW w:w="352" w:type="pct"/>
            <w:tcBorders>
              <w:tl2br w:val="nil"/>
              <w:tr2bl w:val="nil"/>
            </w:tcBorders>
            <w:noWrap/>
            <w:tcMar>
              <w:top w:w="15" w:type="dxa"/>
              <w:left w:w="15" w:type="dxa"/>
              <w:right w:w="15" w:type="dxa"/>
            </w:tcMar>
            <w:vAlign w:val="center"/>
          </w:tcPr>
          <w:p w14:paraId="4808F66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0.01</w:t>
            </w:r>
          </w:p>
        </w:tc>
      </w:tr>
      <w:tr w14:paraId="02A567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591" w:type="pct"/>
            <w:tcBorders>
              <w:tl2br w:val="nil"/>
              <w:tr2bl w:val="nil"/>
            </w:tcBorders>
            <w:noWrap w:val="0"/>
            <w:tcMar>
              <w:top w:w="15" w:type="dxa"/>
              <w:left w:w="15" w:type="dxa"/>
              <w:right w:w="15" w:type="dxa"/>
            </w:tcMar>
            <w:vAlign w:val="center"/>
          </w:tcPr>
          <w:p w14:paraId="59C770B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1000</w:t>
            </w:r>
          </w:p>
        </w:tc>
        <w:tc>
          <w:tcPr>
            <w:tcW w:w="673" w:type="pct"/>
            <w:tcBorders>
              <w:tl2br w:val="nil"/>
              <w:tr2bl w:val="nil"/>
            </w:tcBorders>
            <w:noWrap/>
            <w:tcMar>
              <w:top w:w="15" w:type="dxa"/>
              <w:left w:w="15" w:type="dxa"/>
              <w:right w:w="15" w:type="dxa"/>
            </w:tcMar>
            <w:vAlign w:val="center"/>
          </w:tcPr>
          <w:p w14:paraId="53E143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8.4011</w:t>
            </w:r>
          </w:p>
        </w:tc>
        <w:tc>
          <w:tcPr>
            <w:tcW w:w="309" w:type="pct"/>
            <w:tcBorders>
              <w:tl2br w:val="nil"/>
              <w:tr2bl w:val="nil"/>
            </w:tcBorders>
            <w:noWrap/>
            <w:tcMar>
              <w:top w:w="15" w:type="dxa"/>
              <w:left w:w="15" w:type="dxa"/>
              <w:right w:w="15" w:type="dxa"/>
            </w:tcMar>
            <w:vAlign w:val="center"/>
          </w:tcPr>
          <w:p w14:paraId="3B462B6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0.93</w:t>
            </w:r>
          </w:p>
        </w:tc>
        <w:tc>
          <w:tcPr>
            <w:tcW w:w="607" w:type="pct"/>
            <w:tcBorders>
              <w:tl2br w:val="nil"/>
              <w:tr2bl w:val="nil"/>
            </w:tcBorders>
            <w:shd w:val="clear" w:color="auto" w:fill="auto"/>
            <w:noWrap/>
            <w:tcMar>
              <w:top w:w="15" w:type="dxa"/>
              <w:left w:w="15" w:type="dxa"/>
              <w:right w:w="15" w:type="dxa"/>
            </w:tcMar>
            <w:vAlign w:val="center"/>
          </w:tcPr>
          <w:p w14:paraId="3B6B799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sz w:val="21"/>
                <w:szCs w:val="21"/>
                <w:highlight w:val="none"/>
                <w:u w:val="none"/>
                <w:lang w:val="en-US" w:eastAsia="zh-CN"/>
              </w:rPr>
              <w:t>1000</w:t>
            </w:r>
          </w:p>
        </w:tc>
        <w:tc>
          <w:tcPr>
            <w:tcW w:w="685" w:type="pct"/>
            <w:tcBorders>
              <w:tl2br w:val="nil"/>
              <w:tr2bl w:val="nil"/>
            </w:tcBorders>
            <w:noWrap/>
            <w:tcMar>
              <w:top w:w="15" w:type="dxa"/>
              <w:left w:w="15" w:type="dxa"/>
              <w:right w:w="15" w:type="dxa"/>
            </w:tcMar>
            <w:vAlign w:val="center"/>
          </w:tcPr>
          <w:p w14:paraId="40D465E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0.001399</w:t>
            </w:r>
          </w:p>
        </w:tc>
        <w:tc>
          <w:tcPr>
            <w:tcW w:w="351" w:type="pct"/>
            <w:tcBorders>
              <w:tl2br w:val="nil"/>
              <w:tr2bl w:val="nil"/>
            </w:tcBorders>
            <w:noWrap/>
            <w:tcMar>
              <w:top w:w="15" w:type="dxa"/>
              <w:left w:w="15" w:type="dxa"/>
              <w:right w:w="15" w:type="dxa"/>
            </w:tcMar>
            <w:vAlign w:val="center"/>
          </w:tcPr>
          <w:p w14:paraId="143013E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0.16</w:t>
            </w:r>
          </w:p>
        </w:tc>
        <w:tc>
          <w:tcPr>
            <w:tcW w:w="680" w:type="pct"/>
            <w:tcBorders>
              <w:tl2br w:val="nil"/>
              <w:tr2bl w:val="nil"/>
            </w:tcBorders>
            <w:shd w:val="clear" w:color="auto" w:fill="auto"/>
            <w:noWrap/>
            <w:tcMar>
              <w:top w:w="15" w:type="dxa"/>
              <w:left w:w="15" w:type="dxa"/>
              <w:right w:w="15" w:type="dxa"/>
            </w:tcMar>
            <w:vAlign w:val="center"/>
          </w:tcPr>
          <w:p w14:paraId="26C1392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kern w:val="2"/>
                <w:sz w:val="21"/>
                <w:szCs w:val="21"/>
                <w:highlight w:val="none"/>
                <w:u w:val="none"/>
                <w:lang w:val="en-US" w:eastAsia="zh-CN" w:bidi="ar-SA"/>
              </w:rPr>
            </w:pPr>
            <w:r>
              <w:rPr>
                <w:rFonts w:hint="eastAsia" w:ascii="Times New Roman" w:hAnsi="Times New Roman" w:eastAsia="宋体" w:cs="Times New Roman"/>
                <w:b w:val="0"/>
                <w:bCs w:val="0"/>
                <w:i w:val="0"/>
                <w:color w:val="auto"/>
                <w:kern w:val="2"/>
                <w:sz w:val="21"/>
                <w:szCs w:val="21"/>
                <w:highlight w:val="none"/>
                <w:u w:val="none"/>
                <w:lang w:val="en-US" w:eastAsia="zh-CN" w:bidi="ar-SA"/>
              </w:rPr>
              <w:t>/</w:t>
            </w:r>
          </w:p>
        </w:tc>
        <w:tc>
          <w:tcPr>
            <w:tcW w:w="747" w:type="pct"/>
            <w:tcBorders>
              <w:tl2br w:val="nil"/>
              <w:tr2bl w:val="nil"/>
            </w:tcBorders>
            <w:noWrap/>
            <w:tcMar>
              <w:top w:w="15" w:type="dxa"/>
              <w:left w:w="15" w:type="dxa"/>
              <w:right w:w="15" w:type="dxa"/>
            </w:tcMar>
            <w:vAlign w:val="center"/>
          </w:tcPr>
          <w:p w14:paraId="53D654D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w:t>
            </w:r>
          </w:p>
        </w:tc>
        <w:tc>
          <w:tcPr>
            <w:tcW w:w="352" w:type="pct"/>
            <w:tcBorders>
              <w:tl2br w:val="nil"/>
              <w:tr2bl w:val="nil"/>
            </w:tcBorders>
            <w:noWrap/>
            <w:tcMar>
              <w:top w:w="15" w:type="dxa"/>
              <w:left w:w="15" w:type="dxa"/>
              <w:right w:w="15" w:type="dxa"/>
            </w:tcMar>
            <w:vAlign w:val="center"/>
          </w:tcPr>
          <w:p w14:paraId="79B2A3B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w:t>
            </w:r>
          </w:p>
        </w:tc>
      </w:tr>
      <w:tr w14:paraId="70D1A63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41" w:hRule="atLeast"/>
          <w:jc w:val="center"/>
        </w:trPr>
        <w:tc>
          <w:tcPr>
            <w:tcW w:w="591" w:type="pct"/>
            <w:tcBorders>
              <w:tl2br w:val="nil"/>
              <w:tr2bl w:val="nil"/>
            </w:tcBorders>
            <w:noWrap w:val="0"/>
            <w:tcMar>
              <w:top w:w="15" w:type="dxa"/>
              <w:left w:w="15" w:type="dxa"/>
              <w:right w:w="15" w:type="dxa"/>
            </w:tcMar>
            <w:vAlign w:val="center"/>
          </w:tcPr>
          <w:p w14:paraId="298165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i w:val="0"/>
                <w:color w:val="auto"/>
                <w:kern w:val="2"/>
                <w:sz w:val="21"/>
                <w:szCs w:val="21"/>
                <w:highlight w:val="none"/>
                <w:u w:val="none"/>
                <w:lang w:val="en-US" w:eastAsia="zh-CN" w:bidi="ar-SA"/>
              </w:rPr>
            </w:pPr>
            <w:r>
              <w:rPr>
                <w:rFonts w:hint="default" w:ascii="Times New Roman" w:hAnsi="Times New Roman" w:eastAsia="宋体" w:cs="Times New Roman"/>
                <w:b w:val="0"/>
                <w:bCs/>
                <w:i w:val="0"/>
                <w:color w:val="auto"/>
                <w:kern w:val="0"/>
                <w:sz w:val="21"/>
                <w:szCs w:val="21"/>
                <w:highlight w:val="none"/>
                <w:u w:val="none"/>
                <w:lang w:val="en-US" w:eastAsia="zh-CN" w:bidi="ar"/>
              </w:rPr>
              <w:t>下风向最大质量浓度及占标率%</w:t>
            </w:r>
          </w:p>
        </w:tc>
        <w:tc>
          <w:tcPr>
            <w:tcW w:w="673" w:type="pct"/>
            <w:tcBorders>
              <w:tl2br w:val="nil"/>
              <w:tr2bl w:val="nil"/>
            </w:tcBorders>
            <w:noWrap/>
            <w:tcMar>
              <w:top w:w="15" w:type="dxa"/>
              <w:left w:w="15" w:type="dxa"/>
              <w:right w:w="15" w:type="dxa"/>
            </w:tcMar>
            <w:vAlign w:val="center"/>
          </w:tcPr>
          <w:p w14:paraId="0F34569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color w:val="auto"/>
                <w:kern w:val="2"/>
                <w:sz w:val="21"/>
                <w:szCs w:val="21"/>
                <w:highlight w:val="none"/>
                <w:u w:val="none"/>
                <w:lang w:val="en-US" w:eastAsia="zh-CN" w:bidi="ar-SA"/>
              </w:rPr>
            </w:pPr>
            <w:r>
              <w:rPr>
                <w:rFonts w:hint="eastAsia" w:ascii="Times New Roman" w:hAnsi="Times New Roman" w:eastAsia="宋体" w:cs="Times New Roman"/>
                <w:b/>
                <w:bCs/>
                <w:i w:val="0"/>
                <w:color w:val="auto"/>
                <w:kern w:val="2"/>
                <w:sz w:val="21"/>
                <w:szCs w:val="21"/>
                <w:highlight w:val="none"/>
                <w:u w:val="none"/>
                <w:lang w:val="en-US" w:eastAsia="zh-CN" w:bidi="ar-SA"/>
              </w:rPr>
              <w:t>128.95</w:t>
            </w:r>
          </w:p>
        </w:tc>
        <w:tc>
          <w:tcPr>
            <w:tcW w:w="309" w:type="pct"/>
            <w:tcBorders>
              <w:tl2br w:val="nil"/>
              <w:tr2bl w:val="nil"/>
            </w:tcBorders>
            <w:noWrap/>
            <w:tcMar>
              <w:top w:w="15" w:type="dxa"/>
              <w:left w:w="15" w:type="dxa"/>
              <w:right w:w="15" w:type="dxa"/>
            </w:tcMar>
            <w:vAlign w:val="center"/>
          </w:tcPr>
          <w:p w14:paraId="14D3506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color w:val="auto"/>
                <w:kern w:val="2"/>
                <w:sz w:val="21"/>
                <w:szCs w:val="21"/>
                <w:highlight w:val="none"/>
                <w:u w:val="none"/>
                <w:lang w:val="en-US" w:eastAsia="zh-CN" w:bidi="ar-SA"/>
              </w:rPr>
            </w:pPr>
            <w:r>
              <w:rPr>
                <w:rFonts w:hint="eastAsia" w:ascii="Times New Roman" w:hAnsi="Times New Roman" w:eastAsia="宋体" w:cs="Times New Roman"/>
                <w:b/>
                <w:bCs/>
                <w:i w:val="0"/>
                <w:color w:val="auto"/>
                <w:kern w:val="2"/>
                <w:sz w:val="21"/>
                <w:szCs w:val="21"/>
                <w:highlight w:val="none"/>
                <w:u w:val="none"/>
                <w:lang w:val="en-US" w:eastAsia="zh-CN" w:bidi="ar-SA"/>
              </w:rPr>
              <w:t>14.33</w:t>
            </w:r>
          </w:p>
        </w:tc>
        <w:tc>
          <w:tcPr>
            <w:tcW w:w="607" w:type="pct"/>
            <w:tcBorders>
              <w:tl2br w:val="nil"/>
              <w:tr2bl w:val="nil"/>
            </w:tcBorders>
            <w:noWrap/>
            <w:tcMar>
              <w:top w:w="15" w:type="dxa"/>
              <w:left w:w="15" w:type="dxa"/>
              <w:right w:w="15" w:type="dxa"/>
            </w:tcMar>
            <w:vAlign w:val="center"/>
          </w:tcPr>
          <w:p w14:paraId="01F61B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i w:val="0"/>
                <w:color w:val="auto"/>
                <w:kern w:val="0"/>
                <w:sz w:val="21"/>
                <w:szCs w:val="21"/>
                <w:highlight w:val="none"/>
                <w:u w:val="none"/>
                <w:lang w:val="en-US" w:eastAsia="zh-CN" w:bidi="ar"/>
              </w:rPr>
            </w:pPr>
            <w:r>
              <w:rPr>
                <w:rFonts w:hint="default" w:ascii="Times New Roman" w:hAnsi="Times New Roman" w:eastAsia="宋体" w:cs="Times New Roman"/>
                <w:b w:val="0"/>
                <w:bCs/>
                <w:i w:val="0"/>
                <w:color w:val="auto"/>
                <w:kern w:val="0"/>
                <w:sz w:val="21"/>
                <w:szCs w:val="21"/>
                <w:highlight w:val="none"/>
                <w:u w:val="none"/>
                <w:lang w:val="en-US" w:eastAsia="zh-CN" w:bidi="ar"/>
              </w:rPr>
              <w:t>下风向最大质量浓度及占标率%</w:t>
            </w:r>
          </w:p>
        </w:tc>
        <w:tc>
          <w:tcPr>
            <w:tcW w:w="685" w:type="pct"/>
            <w:tcBorders>
              <w:tl2br w:val="nil"/>
              <w:tr2bl w:val="nil"/>
            </w:tcBorders>
            <w:noWrap/>
            <w:tcMar>
              <w:top w:w="15" w:type="dxa"/>
              <w:left w:w="15" w:type="dxa"/>
              <w:right w:w="15" w:type="dxa"/>
            </w:tcMar>
            <w:vAlign w:val="center"/>
          </w:tcPr>
          <w:p w14:paraId="1A4B792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i w:val="0"/>
                <w:color w:val="auto"/>
                <w:kern w:val="0"/>
                <w:sz w:val="21"/>
                <w:szCs w:val="21"/>
                <w:highlight w:val="none"/>
                <w:u w:val="none"/>
                <w:lang w:val="en-US" w:eastAsia="zh-CN" w:bidi="ar"/>
              </w:rPr>
            </w:pPr>
            <w:r>
              <w:rPr>
                <w:rFonts w:hint="eastAsia" w:ascii="Times New Roman" w:hAnsi="Times New Roman" w:eastAsia="宋体" w:cs="Times New Roman"/>
                <w:b/>
                <w:bCs/>
                <w:i w:val="0"/>
                <w:color w:val="auto"/>
                <w:kern w:val="2"/>
                <w:sz w:val="21"/>
                <w:szCs w:val="21"/>
                <w:highlight w:val="none"/>
                <w:u w:val="none"/>
                <w:lang w:val="en-US" w:eastAsia="zh-CN" w:bidi="ar-SA"/>
              </w:rPr>
              <w:t>0.031855</w:t>
            </w:r>
          </w:p>
        </w:tc>
        <w:tc>
          <w:tcPr>
            <w:tcW w:w="351" w:type="pct"/>
            <w:tcBorders>
              <w:tl2br w:val="nil"/>
              <w:tr2bl w:val="nil"/>
            </w:tcBorders>
            <w:noWrap/>
            <w:tcMar>
              <w:top w:w="15" w:type="dxa"/>
              <w:left w:w="15" w:type="dxa"/>
              <w:right w:w="15" w:type="dxa"/>
            </w:tcMar>
            <w:vAlign w:val="center"/>
          </w:tcPr>
          <w:p w14:paraId="003F770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highlight w:val="none"/>
              </w:rPr>
            </w:pPr>
            <w:r>
              <w:rPr>
                <w:rFonts w:hint="eastAsia" w:ascii="Times New Roman" w:hAnsi="Times New Roman" w:eastAsia="宋体" w:cs="Times New Roman"/>
                <w:b/>
                <w:bCs/>
                <w:i w:val="0"/>
                <w:color w:val="auto"/>
                <w:sz w:val="21"/>
                <w:szCs w:val="21"/>
                <w:highlight w:val="none"/>
                <w:u w:val="none"/>
                <w:lang w:val="en-US" w:eastAsia="zh-CN"/>
              </w:rPr>
              <w:t>3.54</w:t>
            </w:r>
          </w:p>
        </w:tc>
        <w:tc>
          <w:tcPr>
            <w:tcW w:w="680" w:type="pct"/>
            <w:tcBorders>
              <w:tl2br w:val="nil"/>
              <w:tr2bl w:val="nil"/>
            </w:tcBorders>
            <w:noWrap/>
            <w:tcMar>
              <w:top w:w="15" w:type="dxa"/>
              <w:left w:w="15" w:type="dxa"/>
              <w:right w:w="15" w:type="dxa"/>
            </w:tcMar>
            <w:vAlign w:val="center"/>
          </w:tcPr>
          <w:p w14:paraId="39B6F5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i w:val="0"/>
                <w:color w:val="auto"/>
                <w:kern w:val="0"/>
                <w:sz w:val="21"/>
                <w:szCs w:val="21"/>
                <w:highlight w:val="none"/>
                <w:u w:val="none"/>
                <w:lang w:val="en-US" w:eastAsia="zh-CN" w:bidi="ar"/>
              </w:rPr>
            </w:pPr>
            <w:r>
              <w:rPr>
                <w:rFonts w:hint="default" w:ascii="Times New Roman" w:hAnsi="Times New Roman" w:eastAsia="宋体" w:cs="Times New Roman"/>
                <w:b w:val="0"/>
                <w:bCs/>
                <w:i w:val="0"/>
                <w:color w:val="auto"/>
                <w:kern w:val="0"/>
                <w:sz w:val="21"/>
                <w:szCs w:val="21"/>
                <w:highlight w:val="none"/>
                <w:u w:val="none"/>
                <w:lang w:val="en-US" w:eastAsia="zh-CN" w:bidi="ar"/>
              </w:rPr>
              <w:t>下风向最大质量</w:t>
            </w:r>
          </w:p>
          <w:p w14:paraId="73AE24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val="0"/>
                <w:bCs/>
                <w:i w:val="0"/>
                <w:color w:val="auto"/>
                <w:kern w:val="2"/>
                <w:sz w:val="21"/>
                <w:szCs w:val="21"/>
                <w:highlight w:val="none"/>
                <w:u w:val="none"/>
                <w:lang w:val="en-US" w:eastAsia="zh-CN" w:bidi="ar-SA"/>
              </w:rPr>
            </w:pPr>
            <w:r>
              <w:rPr>
                <w:rFonts w:hint="default" w:ascii="Times New Roman" w:hAnsi="Times New Roman" w:eastAsia="宋体" w:cs="Times New Roman"/>
                <w:b w:val="0"/>
                <w:bCs/>
                <w:i w:val="0"/>
                <w:color w:val="auto"/>
                <w:kern w:val="0"/>
                <w:sz w:val="21"/>
                <w:szCs w:val="21"/>
                <w:highlight w:val="none"/>
                <w:u w:val="none"/>
                <w:lang w:val="en-US" w:eastAsia="zh-CN" w:bidi="ar"/>
              </w:rPr>
              <w:t>浓度及占标率%</w:t>
            </w:r>
          </w:p>
        </w:tc>
        <w:tc>
          <w:tcPr>
            <w:tcW w:w="747" w:type="pct"/>
            <w:tcBorders>
              <w:tl2br w:val="nil"/>
              <w:tr2bl w:val="nil"/>
            </w:tcBorders>
            <w:noWrap/>
            <w:tcMar>
              <w:top w:w="15" w:type="dxa"/>
              <w:left w:w="15" w:type="dxa"/>
              <w:right w:w="15" w:type="dxa"/>
            </w:tcMar>
            <w:vAlign w:val="center"/>
          </w:tcPr>
          <w:p w14:paraId="4B69E58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color w:val="auto"/>
                <w:kern w:val="2"/>
                <w:sz w:val="21"/>
                <w:szCs w:val="21"/>
                <w:highlight w:val="none"/>
                <w:u w:val="none"/>
                <w:lang w:val="en-US" w:eastAsia="zh-CN" w:bidi="ar-SA"/>
              </w:rPr>
            </w:pPr>
            <w:r>
              <w:rPr>
                <w:rFonts w:hint="eastAsia" w:ascii="Times New Roman" w:hAnsi="Times New Roman" w:eastAsia="宋体" w:cs="Times New Roman"/>
                <w:b/>
                <w:bCs/>
                <w:i w:val="0"/>
                <w:color w:val="auto"/>
                <w:sz w:val="21"/>
                <w:szCs w:val="21"/>
                <w:highlight w:val="none"/>
                <w:u w:val="none"/>
                <w:lang w:val="en-US" w:eastAsia="zh-CN"/>
              </w:rPr>
              <w:t>0.52315</w:t>
            </w:r>
          </w:p>
        </w:tc>
        <w:tc>
          <w:tcPr>
            <w:tcW w:w="352" w:type="pct"/>
            <w:tcBorders>
              <w:tl2br w:val="nil"/>
              <w:tr2bl w:val="nil"/>
            </w:tcBorders>
            <w:noWrap/>
            <w:tcMar>
              <w:top w:w="15" w:type="dxa"/>
              <w:left w:w="15" w:type="dxa"/>
              <w:right w:w="15" w:type="dxa"/>
            </w:tcMar>
            <w:vAlign w:val="center"/>
          </w:tcPr>
          <w:p w14:paraId="02AF5C0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color w:val="auto"/>
                <w:kern w:val="2"/>
                <w:sz w:val="21"/>
                <w:szCs w:val="21"/>
                <w:highlight w:val="none"/>
                <w:u w:val="none"/>
                <w:lang w:val="en-US" w:eastAsia="zh-CN" w:bidi="ar-SA"/>
              </w:rPr>
            </w:pPr>
            <w:r>
              <w:rPr>
                <w:rFonts w:hint="eastAsia" w:ascii="Times New Roman" w:hAnsi="Times New Roman" w:eastAsia="宋体" w:cs="Times New Roman"/>
                <w:b/>
                <w:bCs/>
                <w:i w:val="0"/>
                <w:color w:val="auto"/>
                <w:sz w:val="21"/>
                <w:szCs w:val="21"/>
                <w:highlight w:val="none"/>
                <w:u w:val="none"/>
                <w:lang w:val="en-US" w:eastAsia="zh-CN"/>
              </w:rPr>
              <w:t>0.06</w:t>
            </w:r>
          </w:p>
        </w:tc>
      </w:tr>
      <w:tr w14:paraId="1E99C06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08" w:hRule="atLeast"/>
          <w:jc w:val="center"/>
        </w:trPr>
        <w:tc>
          <w:tcPr>
            <w:tcW w:w="591" w:type="pct"/>
            <w:tcBorders>
              <w:tl2br w:val="nil"/>
              <w:tr2bl w:val="nil"/>
            </w:tcBorders>
            <w:noWrap w:val="0"/>
            <w:tcMar>
              <w:top w:w="15" w:type="dxa"/>
              <w:left w:w="15" w:type="dxa"/>
              <w:right w:w="15" w:type="dxa"/>
            </w:tcMar>
            <w:vAlign w:val="center"/>
          </w:tcPr>
          <w:p w14:paraId="0816621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highlight w:val="none"/>
                <w:u w:val="none"/>
                <w:lang w:val="en-US" w:eastAsia="zh-CN" w:bidi="ar"/>
              </w:rPr>
              <w:t>D10</w:t>
            </w:r>
            <w:r>
              <w:rPr>
                <w:rFonts w:hint="default" w:ascii="Times New Roman" w:hAnsi="Times New Roman" w:eastAsia="宋体" w:cs="Times New Roman"/>
                <w:i w:val="0"/>
                <w:color w:val="auto"/>
                <w:kern w:val="0"/>
                <w:sz w:val="21"/>
                <w:szCs w:val="21"/>
                <w:highlight w:val="none"/>
                <w:u w:val="none"/>
                <w:vertAlign w:val="subscript"/>
                <w:lang w:val="en-US" w:eastAsia="zh-CN" w:bidi="ar"/>
              </w:rPr>
              <w:t>%</w:t>
            </w:r>
            <w:r>
              <w:rPr>
                <w:rFonts w:hint="default" w:ascii="Times New Roman" w:hAnsi="Times New Roman" w:eastAsia="宋体" w:cs="Times New Roman"/>
                <w:i w:val="0"/>
                <w:color w:val="auto"/>
                <w:kern w:val="0"/>
                <w:sz w:val="21"/>
                <w:szCs w:val="21"/>
                <w:highlight w:val="none"/>
                <w:u w:val="none"/>
                <w:lang w:val="en-US" w:eastAsia="zh-CN" w:bidi="ar"/>
              </w:rPr>
              <w:t>最远</w:t>
            </w:r>
          </w:p>
          <w:p w14:paraId="172B647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bidi="ar"/>
              </w:rPr>
              <w:t>距离/m</w:t>
            </w:r>
          </w:p>
        </w:tc>
        <w:tc>
          <w:tcPr>
            <w:tcW w:w="983" w:type="pct"/>
            <w:gridSpan w:val="2"/>
            <w:tcBorders>
              <w:tl2br w:val="nil"/>
              <w:tr2bl w:val="nil"/>
            </w:tcBorders>
            <w:noWrap/>
            <w:tcMar>
              <w:top w:w="15" w:type="dxa"/>
              <w:left w:w="15" w:type="dxa"/>
              <w:right w:w="15" w:type="dxa"/>
            </w:tcMar>
            <w:vAlign w:val="center"/>
          </w:tcPr>
          <w:p w14:paraId="312BC2F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w:t>
            </w:r>
          </w:p>
        </w:tc>
        <w:tc>
          <w:tcPr>
            <w:tcW w:w="607" w:type="pct"/>
            <w:tcBorders>
              <w:tl2br w:val="nil"/>
              <w:tr2bl w:val="nil"/>
            </w:tcBorders>
            <w:noWrap/>
            <w:tcMar>
              <w:top w:w="15" w:type="dxa"/>
              <w:left w:w="15" w:type="dxa"/>
              <w:right w:w="15" w:type="dxa"/>
            </w:tcMar>
            <w:vAlign w:val="center"/>
          </w:tcPr>
          <w:p w14:paraId="2CFC1EE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highlight w:val="none"/>
                <w:u w:val="none"/>
                <w:lang w:val="en-US" w:eastAsia="zh-CN" w:bidi="ar"/>
              </w:rPr>
              <w:t>D10</w:t>
            </w:r>
            <w:r>
              <w:rPr>
                <w:rFonts w:hint="default" w:ascii="Times New Roman" w:hAnsi="Times New Roman" w:eastAsia="宋体" w:cs="Times New Roman"/>
                <w:i w:val="0"/>
                <w:color w:val="auto"/>
                <w:kern w:val="0"/>
                <w:sz w:val="21"/>
                <w:szCs w:val="21"/>
                <w:highlight w:val="none"/>
                <w:u w:val="none"/>
                <w:vertAlign w:val="subscript"/>
                <w:lang w:val="en-US" w:eastAsia="zh-CN" w:bidi="ar"/>
              </w:rPr>
              <w:t>%</w:t>
            </w:r>
            <w:r>
              <w:rPr>
                <w:rFonts w:hint="default" w:ascii="Times New Roman" w:hAnsi="Times New Roman" w:eastAsia="宋体" w:cs="Times New Roman"/>
                <w:i w:val="0"/>
                <w:color w:val="auto"/>
                <w:kern w:val="0"/>
                <w:sz w:val="21"/>
                <w:szCs w:val="21"/>
                <w:highlight w:val="none"/>
                <w:u w:val="none"/>
                <w:lang w:val="en-US" w:eastAsia="zh-CN" w:bidi="ar"/>
              </w:rPr>
              <w:t>最远</w:t>
            </w:r>
          </w:p>
          <w:p w14:paraId="550BE13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highlight w:val="none"/>
                <w:u w:val="none"/>
                <w:lang w:val="en-US" w:eastAsia="zh-CN" w:bidi="ar"/>
              </w:rPr>
              <w:t>距离/m</w:t>
            </w:r>
          </w:p>
        </w:tc>
        <w:tc>
          <w:tcPr>
            <w:tcW w:w="1037" w:type="pct"/>
            <w:gridSpan w:val="2"/>
            <w:tcBorders>
              <w:tl2br w:val="nil"/>
              <w:tr2bl w:val="nil"/>
            </w:tcBorders>
            <w:noWrap/>
            <w:tcMar>
              <w:top w:w="15" w:type="dxa"/>
              <w:left w:w="15" w:type="dxa"/>
              <w:right w:w="15" w:type="dxa"/>
            </w:tcMar>
            <w:vAlign w:val="center"/>
          </w:tcPr>
          <w:p w14:paraId="7AFBDD1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color w:val="auto"/>
                <w:kern w:val="0"/>
                <w:sz w:val="21"/>
                <w:szCs w:val="21"/>
                <w:highlight w:val="none"/>
                <w:u w:val="none"/>
                <w:lang w:val="en-US" w:eastAsia="zh-CN" w:bidi="ar"/>
              </w:rPr>
            </w:pPr>
            <w:r>
              <w:rPr>
                <w:rFonts w:hint="eastAsia" w:ascii="Times New Roman" w:hAnsi="Times New Roman" w:eastAsia="宋体" w:cs="Times New Roman"/>
                <w:b w:val="0"/>
                <w:bCs w:val="0"/>
                <w:i w:val="0"/>
                <w:color w:val="auto"/>
                <w:sz w:val="21"/>
                <w:szCs w:val="21"/>
                <w:highlight w:val="none"/>
                <w:u w:val="none"/>
                <w:lang w:val="en-US" w:eastAsia="zh-CN"/>
              </w:rPr>
              <w:t>/</w:t>
            </w:r>
          </w:p>
        </w:tc>
        <w:tc>
          <w:tcPr>
            <w:tcW w:w="680" w:type="pct"/>
            <w:tcBorders>
              <w:tl2br w:val="nil"/>
              <w:tr2bl w:val="nil"/>
            </w:tcBorders>
            <w:noWrap/>
            <w:tcMar>
              <w:top w:w="15" w:type="dxa"/>
              <w:left w:w="15" w:type="dxa"/>
              <w:right w:w="15" w:type="dxa"/>
            </w:tcMar>
            <w:vAlign w:val="center"/>
          </w:tcPr>
          <w:p w14:paraId="74B9BAD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highlight w:val="none"/>
                <w:u w:val="none"/>
                <w:lang w:val="en-US" w:eastAsia="zh-CN" w:bidi="ar"/>
              </w:rPr>
              <w:t>D10</w:t>
            </w:r>
            <w:r>
              <w:rPr>
                <w:rFonts w:hint="default" w:ascii="Times New Roman" w:hAnsi="Times New Roman" w:eastAsia="宋体" w:cs="Times New Roman"/>
                <w:i w:val="0"/>
                <w:color w:val="auto"/>
                <w:kern w:val="0"/>
                <w:sz w:val="21"/>
                <w:szCs w:val="21"/>
                <w:highlight w:val="none"/>
                <w:u w:val="none"/>
                <w:vertAlign w:val="subscript"/>
                <w:lang w:val="en-US" w:eastAsia="zh-CN" w:bidi="ar"/>
              </w:rPr>
              <w:t>%</w:t>
            </w:r>
            <w:r>
              <w:rPr>
                <w:rFonts w:hint="default" w:ascii="Times New Roman" w:hAnsi="Times New Roman" w:eastAsia="宋体" w:cs="Times New Roman"/>
                <w:i w:val="0"/>
                <w:color w:val="auto"/>
                <w:kern w:val="0"/>
                <w:sz w:val="21"/>
                <w:szCs w:val="21"/>
                <w:highlight w:val="none"/>
                <w:u w:val="none"/>
                <w:lang w:val="en-US" w:eastAsia="zh-CN" w:bidi="ar"/>
              </w:rPr>
              <w:t>最远</w:t>
            </w:r>
          </w:p>
          <w:p w14:paraId="68F43B9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bidi="ar"/>
              </w:rPr>
              <w:t>距离/m</w:t>
            </w:r>
          </w:p>
        </w:tc>
        <w:tc>
          <w:tcPr>
            <w:tcW w:w="1099" w:type="pct"/>
            <w:gridSpan w:val="2"/>
            <w:tcBorders>
              <w:tl2br w:val="nil"/>
              <w:tr2bl w:val="nil"/>
            </w:tcBorders>
            <w:noWrap/>
            <w:tcMar>
              <w:top w:w="15" w:type="dxa"/>
              <w:left w:w="15" w:type="dxa"/>
              <w:right w:w="15" w:type="dxa"/>
            </w:tcMar>
            <w:vAlign w:val="center"/>
          </w:tcPr>
          <w:p w14:paraId="164554B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color w:val="auto"/>
                <w:sz w:val="21"/>
                <w:szCs w:val="21"/>
                <w:highlight w:val="none"/>
                <w:u w:val="none"/>
                <w:lang w:val="en-US" w:eastAsia="zh-CN"/>
              </w:rPr>
            </w:pPr>
            <w:r>
              <w:rPr>
                <w:rFonts w:hint="eastAsia" w:ascii="Times New Roman" w:hAnsi="Times New Roman" w:eastAsia="宋体" w:cs="Times New Roman"/>
                <w:b w:val="0"/>
                <w:bCs w:val="0"/>
                <w:i w:val="0"/>
                <w:color w:val="auto"/>
                <w:sz w:val="21"/>
                <w:szCs w:val="21"/>
                <w:highlight w:val="none"/>
                <w:u w:val="none"/>
                <w:lang w:val="en-US" w:eastAsia="zh-CN"/>
              </w:rPr>
              <w:t>/</w:t>
            </w:r>
          </w:p>
        </w:tc>
      </w:tr>
    </w:tbl>
    <w:p w14:paraId="05DAC994">
      <w:pPr>
        <w:rPr>
          <w:rFonts w:hint="default"/>
          <w:highlight w:val="none"/>
        </w:rPr>
      </w:pPr>
    </w:p>
    <w:p w14:paraId="35A0F82B">
      <w:pPr>
        <w:ind w:left="0" w:leftChars="0" w:firstLine="0" w:firstLineChars="0"/>
        <w:jc w:val="both"/>
        <w:rPr>
          <w:rFonts w:hint="default" w:ascii="Times New Roman" w:hAnsi="Times New Roman" w:eastAsia="宋体" w:cs="Times New Roman"/>
          <w:color w:val="auto"/>
          <w:highlight w:val="none"/>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26" w:charSpace="0"/>
        </w:sectPr>
      </w:pPr>
    </w:p>
    <w:p w14:paraId="657210AD">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137" w:name="_Toc107238095"/>
      <w:bookmarkStart w:id="138" w:name="_Toc105659878"/>
      <w:bookmarkStart w:id="139" w:name="_Toc18529"/>
      <w:bookmarkStart w:id="140" w:name="_Toc4787"/>
      <w:bookmarkStart w:id="141" w:name="_Toc24836"/>
      <w:bookmarkStart w:id="142" w:name="_Toc1578"/>
      <w:r>
        <w:rPr>
          <w:rFonts w:hint="default" w:ascii="Times New Roman" w:hAnsi="Times New Roman" w:eastAsia="宋体" w:cs="Times New Roman"/>
          <w:color w:val="auto"/>
          <w:highlight w:val="none"/>
        </w:rPr>
        <w:t>地表水环境</w:t>
      </w:r>
      <w:bookmarkEnd w:id="137"/>
      <w:bookmarkEnd w:id="138"/>
      <w:bookmarkEnd w:id="139"/>
      <w:bookmarkEnd w:id="140"/>
      <w:bookmarkEnd w:id="141"/>
      <w:bookmarkEnd w:id="142"/>
    </w:p>
    <w:p w14:paraId="400E51BC">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根据《环境影响评价技术导则 地表水环境》（HJ2.3-2018</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中规定的地表水环境影响评价级别的判定方法，水污染型建设项目评价等级划分依据见表2.4-</w:t>
      </w:r>
      <w:r>
        <w:rPr>
          <w:rFonts w:hint="eastAsia" w:ascii="Times New Roman" w:hAnsi="Times New Roman" w:eastAsia="宋体" w:cs="Times New Roman"/>
          <w:color w:val="auto"/>
          <w:highlight w:val="none"/>
          <w:lang w:val="en-US" w:eastAsia="zh-CN"/>
        </w:rPr>
        <w:t>7</w:t>
      </w:r>
      <w:r>
        <w:rPr>
          <w:rFonts w:hint="default" w:ascii="Times New Roman" w:hAnsi="Times New Roman" w:eastAsia="宋体" w:cs="Times New Roman"/>
          <w:color w:val="auto"/>
          <w:highlight w:val="none"/>
        </w:rPr>
        <w:t>。</w:t>
      </w:r>
    </w:p>
    <w:p w14:paraId="5B9C5D5A">
      <w:pPr>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表2.4-</w:t>
      </w:r>
      <w:r>
        <w:rPr>
          <w:rFonts w:hint="eastAsia" w:ascii="Times New Roman" w:hAnsi="Times New Roman" w:eastAsia="宋体" w:cs="Times New Roman"/>
          <w:color w:val="auto"/>
          <w:highlight w:val="none"/>
          <w:lang w:val="en-US" w:eastAsia="zh-CN"/>
        </w:rPr>
        <w:t xml:space="preserve">7  </w:t>
      </w:r>
      <w:r>
        <w:rPr>
          <w:rFonts w:hint="default" w:ascii="Times New Roman" w:hAnsi="Times New Roman" w:eastAsia="宋体" w:cs="Times New Roman"/>
          <w:color w:val="auto"/>
          <w:highlight w:val="none"/>
        </w:rPr>
        <w:t>地表水评价等级判定依据</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841"/>
        <w:gridCol w:w="2841"/>
        <w:gridCol w:w="2840"/>
      </w:tblGrid>
      <w:tr w14:paraId="1D37A0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667" w:type="pct"/>
            <w:vMerge w:val="restart"/>
            <w:vAlign w:val="center"/>
          </w:tcPr>
          <w:p w14:paraId="31981901">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评价等级</w:t>
            </w:r>
          </w:p>
        </w:tc>
        <w:tc>
          <w:tcPr>
            <w:tcW w:w="3333" w:type="pct"/>
            <w:gridSpan w:val="2"/>
            <w:vAlign w:val="center"/>
          </w:tcPr>
          <w:p w14:paraId="114EC48A">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判定依据</w:t>
            </w:r>
          </w:p>
        </w:tc>
      </w:tr>
      <w:tr w14:paraId="0B2A16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667" w:type="pct"/>
            <w:vMerge w:val="continue"/>
            <w:vAlign w:val="center"/>
          </w:tcPr>
          <w:p w14:paraId="5A558EB1">
            <w:pPr>
              <w:pStyle w:val="63"/>
              <w:rPr>
                <w:rFonts w:hint="default" w:ascii="Times New Roman" w:hAnsi="Times New Roman" w:eastAsia="宋体" w:cs="Times New Roman"/>
                <w:color w:val="auto"/>
                <w:highlight w:val="none"/>
              </w:rPr>
            </w:pPr>
          </w:p>
        </w:tc>
        <w:tc>
          <w:tcPr>
            <w:tcW w:w="1667" w:type="pct"/>
            <w:vAlign w:val="center"/>
          </w:tcPr>
          <w:p w14:paraId="77D6825D">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排放方式</w:t>
            </w:r>
          </w:p>
        </w:tc>
        <w:tc>
          <w:tcPr>
            <w:tcW w:w="1666" w:type="pct"/>
            <w:vAlign w:val="center"/>
          </w:tcPr>
          <w:p w14:paraId="57885369">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废水排放量Q/（m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/d）</w:t>
            </w:r>
          </w:p>
          <w:p w14:paraId="303B7362">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水污染物当量W/（无量纲）</w:t>
            </w:r>
          </w:p>
        </w:tc>
      </w:tr>
      <w:tr w14:paraId="127E9A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667" w:type="pct"/>
            <w:vAlign w:val="center"/>
          </w:tcPr>
          <w:p w14:paraId="1BFC6523">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一级</w:t>
            </w:r>
          </w:p>
        </w:tc>
        <w:tc>
          <w:tcPr>
            <w:tcW w:w="1667" w:type="pct"/>
            <w:vAlign w:val="center"/>
          </w:tcPr>
          <w:p w14:paraId="4A4F6930">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直接排放</w:t>
            </w:r>
          </w:p>
        </w:tc>
        <w:tc>
          <w:tcPr>
            <w:tcW w:w="1666" w:type="pct"/>
            <w:vAlign w:val="center"/>
          </w:tcPr>
          <w:p w14:paraId="39A68A6A">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Q≥20000或W≥600000</w:t>
            </w:r>
          </w:p>
        </w:tc>
      </w:tr>
      <w:tr w14:paraId="24C1E0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667" w:type="pct"/>
            <w:vAlign w:val="center"/>
          </w:tcPr>
          <w:p w14:paraId="155638A8">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二级</w:t>
            </w:r>
          </w:p>
        </w:tc>
        <w:tc>
          <w:tcPr>
            <w:tcW w:w="1667" w:type="pct"/>
            <w:vAlign w:val="center"/>
          </w:tcPr>
          <w:p w14:paraId="17FD465A">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直接排放</w:t>
            </w:r>
          </w:p>
        </w:tc>
        <w:tc>
          <w:tcPr>
            <w:tcW w:w="1666" w:type="pct"/>
            <w:vAlign w:val="center"/>
          </w:tcPr>
          <w:p w14:paraId="0C58BAC9">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其他</w:t>
            </w:r>
          </w:p>
        </w:tc>
      </w:tr>
      <w:tr w14:paraId="142C43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667" w:type="pct"/>
            <w:vAlign w:val="center"/>
          </w:tcPr>
          <w:p w14:paraId="7710C869">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三级A</w:t>
            </w:r>
          </w:p>
        </w:tc>
        <w:tc>
          <w:tcPr>
            <w:tcW w:w="1667" w:type="pct"/>
            <w:vAlign w:val="center"/>
          </w:tcPr>
          <w:p w14:paraId="0DABD232">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直接排放</w:t>
            </w:r>
          </w:p>
        </w:tc>
        <w:tc>
          <w:tcPr>
            <w:tcW w:w="1666" w:type="pct"/>
            <w:vAlign w:val="center"/>
          </w:tcPr>
          <w:p w14:paraId="7486B6D1">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Q＜200或W＜6000</w:t>
            </w:r>
          </w:p>
        </w:tc>
      </w:tr>
      <w:tr w14:paraId="3215D3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667" w:type="pct"/>
            <w:vAlign w:val="center"/>
          </w:tcPr>
          <w:p w14:paraId="4087B0C6">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三级B</w:t>
            </w:r>
          </w:p>
        </w:tc>
        <w:tc>
          <w:tcPr>
            <w:tcW w:w="1667" w:type="pct"/>
            <w:vAlign w:val="center"/>
          </w:tcPr>
          <w:p w14:paraId="2C72945F">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间接排放</w:t>
            </w:r>
          </w:p>
        </w:tc>
        <w:tc>
          <w:tcPr>
            <w:tcW w:w="1666" w:type="pct"/>
            <w:vAlign w:val="center"/>
          </w:tcPr>
          <w:p w14:paraId="6EC267F9">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p>
        </w:tc>
      </w:tr>
      <w:tr w14:paraId="3AF26A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vAlign w:val="center"/>
          </w:tcPr>
          <w:p w14:paraId="1324EB3D">
            <w:pPr>
              <w:pStyle w:val="63"/>
              <w:jc w:val="both"/>
              <w:rPr>
                <w:rFonts w:hint="default" w:ascii="Times New Roman" w:hAnsi="Times New Roman" w:eastAsia="宋体" w:cs="Times New Roman"/>
                <w:color w:val="auto"/>
                <w:highlight w:val="none"/>
              </w:rPr>
            </w:pPr>
            <w:r>
              <w:rPr>
                <w:rFonts w:hint="default" w:ascii="Times New Roman" w:hAnsi="Times New Roman" w:eastAsia="宋体" w:cs="Times New Roman"/>
                <w:b/>
                <w:color w:val="auto"/>
                <w:highlight w:val="none"/>
              </w:rPr>
              <w:t>注1</w:t>
            </w:r>
            <w:r>
              <w:rPr>
                <w:rFonts w:hint="default" w:ascii="Times New Roman" w:hAnsi="Times New Roman" w:eastAsia="宋体" w:cs="Times New Roman"/>
                <w:color w:val="auto"/>
                <w:highlight w:val="none"/>
              </w:rPr>
              <w:t>：水污染物当量数等于该污染物的年排放量除以该污染物的污染当量值</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见附录A</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计算排放污染物的污染物当量数，应区分第一类水污染物和其他类水污染物，统计第一类污染物当量数总和，然后与其他类污染物按照污染物当量数从大到小排序，取最大当量数作为建设项目评价等级确定的依据。</w:t>
            </w:r>
          </w:p>
          <w:p w14:paraId="5E076FB0">
            <w:pPr>
              <w:pStyle w:val="63"/>
              <w:jc w:val="both"/>
              <w:rPr>
                <w:rFonts w:hint="default" w:ascii="Times New Roman" w:hAnsi="Times New Roman" w:eastAsia="宋体" w:cs="Times New Roman"/>
                <w:color w:val="auto"/>
                <w:highlight w:val="none"/>
              </w:rPr>
            </w:pPr>
            <w:r>
              <w:rPr>
                <w:rFonts w:hint="default" w:ascii="Times New Roman" w:hAnsi="Times New Roman" w:eastAsia="宋体" w:cs="Times New Roman"/>
                <w:b/>
                <w:color w:val="auto"/>
                <w:highlight w:val="none"/>
              </w:rPr>
              <w:t>注2</w:t>
            </w:r>
            <w:r>
              <w:rPr>
                <w:rFonts w:hint="default" w:ascii="Times New Roman" w:hAnsi="Times New Roman" w:eastAsia="宋体" w:cs="Times New Roman"/>
                <w:color w:val="auto"/>
                <w:highlight w:val="none"/>
              </w:rPr>
              <w:t>：废水排放量按行业排放标准中规定的废水种类统计，没有相关行业排放标准要求的通过工程分析合理确定，应统计含热量大的冷却水的排放量，可不统计间接冷却水、循环水以及其他含污染物极少的清净下水的排放量。</w:t>
            </w:r>
          </w:p>
          <w:p w14:paraId="5D726E4D">
            <w:pPr>
              <w:pStyle w:val="63"/>
              <w:jc w:val="both"/>
              <w:rPr>
                <w:rFonts w:hint="default" w:ascii="Times New Roman" w:hAnsi="Times New Roman" w:eastAsia="宋体" w:cs="Times New Roman"/>
                <w:color w:val="auto"/>
                <w:highlight w:val="none"/>
              </w:rPr>
            </w:pPr>
            <w:r>
              <w:rPr>
                <w:rFonts w:hint="default" w:ascii="Times New Roman" w:hAnsi="Times New Roman" w:eastAsia="宋体" w:cs="Times New Roman"/>
                <w:b/>
                <w:color w:val="auto"/>
                <w:highlight w:val="none"/>
              </w:rPr>
              <w:t>注3</w:t>
            </w:r>
            <w:r>
              <w:rPr>
                <w:rFonts w:hint="default" w:ascii="Times New Roman" w:hAnsi="Times New Roman" w:eastAsia="宋体" w:cs="Times New Roman"/>
                <w:color w:val="auto"/>
                <w:highlight w:val="none"/>
              </w:rPr>
              <w:t>：厂区存在堆积物</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露天堆放的原料、燃料、废渣等以及垃圾堆放场</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、降尘污染的，应将初期雨污水纳入废水排放量，相应的主要污染物纳入水污染当量计算。</w:t>
            </w:r>
          </w:p>
          <w:p w14:paraId="6D448501">
            <w:pPr>
              <w:pStyle w:val="63"/>
              <w:jc w:val="both"/>
              <w:rPr>
                <w:rFonts w:hint="default" w:ascii="Times New Roman" w:hAnsi="Times New Roman" w:eastAsia="宋体" w:cs="Times New Roman"/>
                <w:color w:val="auto"/>
                <w:highlight w:val="none"/>
              </w:rPr>
            </w:pPr>
            <w:r>
              <w:rPr>
                <w:rFonts w:hint="default" w:ascii="Times New Roman" w:hAnsi="Times New Roman" w:eastAsia="宋体" w:cs="Times New Roman"/>
                <w:b/>
                <w:color w:val="auto"/>
                <w:highlight w:val="none"/>
              </w:rPr>
              <w:t>注4</w:t>
            </w:r>
            <w:r>
              <w:rPr>
                <w:rFonts w:hint="default" w:ascii="Times New Roman" w:hAnsi="Times New Roman" w:eastAsia="宋体" w:cs="Times New Roman"/>
                <w:color w:val="auto"/>
                <w:highlight w:val="none"/>
              </w:rPr>
              <w:t>：建设项目直接排放第一类污染物的，其评价等级为一级；建设项目直接排放的污染物为受纳水体超标因子的，评价等级不低于二级。</w:t>
            </w:r>
          </w:p>
          <w:p w14:paraId="1F105A60">
            <w:pPr>
              <w:pStyle w:val="63"/>
              <w:jc w:val="both"/>
              <w:rPr>
                <w:rFonts w:hint="default" w:ascii="Times New Roman" w:hAnsi="Times New Roman" w:eastAsia="宋体" w:cs="Times New Roman"/>
                <w:color w:val="auto"/>
                <w:highlight w:val="none"/>
              </w:rPr>
            </w:pPr>
            <w:r>
              <w:rPr>
                <w:rFonts w:hint="default" w:ascii="Times New Roman" w:hAnsi="Times New Roman" w:eastAsia="宋体" w:cs="Times New Roman"/>
                <w:b/>
                <w:color w:val="auto"/>
                <w:highlight w:val="none"/>
              </w:rPr>
              <w:t>注5</w:t>
            </w:r>
            <w:r>
              <w:rPr>
                <w:rFonts w:hint="default" w:ascii="Times New Roman" w:hAnsi="Times New Roman" w:eastAsia="宋体" w:cs="Times New Roman"/>
                <w:color w:val="auto"/>
                <w:highlight w:val="none"/>
              </w:rPr>
              <w:t>：直接排放受纳水体影响范围涉及饮用水水源保护区、饮用水取水口、重点保护与珍稀水生生物的栖息地、重要水生生物的自然产卵场等保护目标时，评价等级不低于二级。</w:t>
            </w:r>
          </w:p>
          <w:p w14:paraId="022685CD">
            <w:pPr>
              <w:pStyle w:val="63"/>
              <w:jc w:val="both"/>
              <w:rPr>
                <w:rFonts w:hint="default" w:ascii="Times New Roman" w:hAnsi="Times New Roman" w:eastAsia="宋体" w:cs="Times New Roman"/>
                <w:color w:val="auto"/>
                <w:highlight w:val="none"/>
              </w:rPr>
            </w:pPr>
            <w:r>
              <w:rPr>
                <w:rFonts w:hint="default" w:ascii="Times New Roman" w:hAnsi="Times New Roman" w:eastAsia="宋体" w:cs="Times New Roman"/>
                <w:b/>
                <w:color w:val="auto"/>
                <w:highlight w:val="none"/>
              </w:rPr>
              <w:t>注6</w:t>
            </w:r>
            <w:r>
              <w:rPr>
                <w:rFonts w:hint="default" w:ascii="Times New Roman" w:hAnsi="Times New Roman" w:eastAsia="宋体" w:cs="Times New Roman"/>
                <w:color w:val="auto"/>
                <w:highlight w:val="none"/>
              </w:rPr>
              <w:t>：建设项目向河流、湖库排放温排水引起受纳水体水温变化超过水环境质量标准要求，且评价范围有水温敏感目标时，评价等级为一级。</w:t>
            </w:r>
          </w:p>
          <w:p w14:paraId="2ABAE0C2">
            <w:pPr>
              <w:pStyle w:val="63"/>
              <w:jc w:val="both"/>
              <w:rPr>
                <w:rFonts w:hint="default" w:ascii="Times New Roman" w:hAnsi="Times New Roman" w:eastAsia="宋体" w:cs="Times New Roman"/>
                <w:color w:val="auto"/>
                <w:highlight w:val="none"/>
              </w:rPr>
            </w:pPr>
            <w:r>
              <w:rPr>
                <w:rFonts w:hint="default" w:ascii="Times New Roman" w:hAnsi="Times New Roman" w:eastAsia="宋体" w:cs="Times New Roman"/>
                <w:b/>
                <w:color w:val="auto"/>
                <w:highlight w:val="none"/>
              </w:rPr>
              <w:t>注7</w:t>
            </w:r>
            <w:r>
              <w:rPr>
                <w:rFonts w:hint="default" w:ascii="Times New Roman" w:hAnsi="Times New Roman" w:eastAsia="宋体" w:cs="Times New Roman"/>
                <w:color w:val="auto"/>
                <w:highlight w:val="none"/>
              </w:rPr>
              <w:t>：建设项目利用海水作为调节温度介质，排水量≥500万m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/d，评价等级为一级；排水量＜500万m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/d，评价等级为二级。</w:t>
            </w:r>
          </w:p>
          <w:p w14:paraId="34A9E71B">
            <w:pPr>
              <w:pStyle w:val="63"/>
              <w:jc w:val="both"/>
              <w:rPr>
                <w:rFonts w:hint="default" w:ascii="Times New Roman" w:hAnsi="Times New Roman" w:eastAsia="宋体" w:cs="Times New Roman"/>
                <w:color w:val="auto"/>
                <w:highlight w:val="none"/>
              </w:rPr>
            </w:pPr>
            <w:r>
              <w:rPr>
                <w:rFonts w:hint="default" w:ascii="Times New Roman" w:hAnsi="Times New Roman" w:eastAsia="宋体" w:cs="Times New Roman"/>
                <w:b/>
                <w:color w:val="auto"/>
                <w:highlight w:val="none"/>
              </w:rPr>
              <w:t>注8</w:t>
            </w:r>
            <w:r>
              <w:rPr>
                <w:rFonts w:hint="default" w:ascii="Times New Roman" w:hAnsi="Times New Roman" w:eastAsia="宋体" w:cs="Times New Roman"/>
                <w:color w:val="auto"/>
                <w:highlight w:val="none"/>
              </w:rPr>
              <w:t>：仅涉及清净下水排放的，如其排放水质满足受纳水体水环境质量标准要求的，评价等级为三级A。</w:t>
            </w:r>
          </w:p>
          <w:p w14:paraId="031B9173">
            <w:pPr>
              <w:pStyle w:val="63"/>
              <w:jc w:val="both"/>
              <w:rPr>
                <w:rFonts w:hint="default" w:ascii="Times New Roman" w:hAnsi="Times New Roman" w:eastAsia="宋体" w:cs="Times New Roman"/>
                <w:color w:val="auto"/>
                <w:highlight w:val="none"/>
              </w:rPr>
            </w:pPr>
            <w:r>
              <w:rPr>
                <w:rFonts w:hint="default" w:ascii="Times New Roman" w:hAnsi="Times New Roman" w:eastAsia="宋体" w:cs="Times New Roman"/>
                <w:b/>
                <w:color w:val="auto"/>
                <w:highlight w:val="none"/>
              </w:rPr>
              <w:t>注9</w:t>
            </w:r>
            <w:r>
              <w:rPr>
                <w:rFonts w:hint="default" w:ascii="Times New Roman" w:hAnsi="Times New Roman" w:eastAsia="宋体" w:cs="Times New Roman"/>
                <w:color w:val="auto"/>
                <w:highlight w:val="none"/>
              </w:rPr>
              <w:t>：依托现有排放口，且对外环境未新增排放污染物的直接排放建设项目，评价等级参照间接排放，定为三级B。</w:t>
            </w:r>
          </w:p>
          <w:p w14:paraId="3CA0BDD7">
            <w:pPr>
              <w:pStyle w:val="63"/>
              <w:jc w:val="both"/>
              <w:rPr>
                <w:rFonts w:hint="default" w:ascii="Times New Roman" w:hAnsi="Times New Roman" w:eastAsia="宋体" w:cs="Times New Roman"/>
                <w:color w:val="auto"/>
                <w:highlight w:val="none"/>
              </w:rPr>
            </w:pPr>
            <w:r>
              <w:rPr>
                <w:rFonts w:hint="default" w:ascii="Times New Roman" w:hAnsi="Times New Roman" w:eastAsia="宋体" w:cs="Times New Roman"/>
                <w:b/>
                <w:color w:val="auto"/>
                <w:highlight w:val="none"/>
              </w:rPr>
              <w:t>注10</w:t>
            </w:r>
            <w:r>
              <w:rPr>
                <w:rFonts w:hint="default" w:ascii="Times New Roman" w:hAnsi="Times New Roman" w:eastAsia="宋体" w:cs="Times New Roman"/>
                <w:color w:val="auto"/>
                <w:highlight w:val="none"/>
              </w:rPr>
              <w:t>：建设项目生产工艺中有废水产生，但作为回水利用，不排放到外环境的，按三级B 评价。</w:t>
            </w:r>
          </w:p>
        </w:tc>
      </w:tr>
    </w:tbl>
    <w:p w14:paraId="7B9A70EA">
      <w:pPr>
        <w:ind w:firstLine="48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本项目</w:t>
      </w:r>
      <w:r>
        <w:rPr>
          <w:rFonts w:hint="default" w:ascii="Times New Roman" w:hAnsi="Times New Roman" w:eastAsia="宋体" w:cs="Times New Roman"/>
          <w:b w:val="0"/>
          <w:bCs w:val="0"/>
          <w:color w:val="auto"/>
          <w:sz w:val="24"/>
          <w:szCs w:val="24"/>
          <w:highlight w:val="none"/>
          <w:lang w:val="en-US" w:eastAsia="zh-CN"/>
        </w:rPr>
        <w:t>不新增员工，不新增生活污水。</w:t>
      </w:r>
      <w:r>
        <w:rPr>
          <w:rFonts w:hint="default" w:ascii="Times New Roman" w:hAnsi="Times New Roman" w:eastAsia="宋体" w:cs="Times New Roman"/>
          <w:color w:val="auto"/>
          <w:highlight w:val="none"/>
        </w:rPr>
        <w:t>生产废水全部回用，</w:t>
      </w:r>
      <w:r>
        <w:rPr>
          <w:rFonts w:hint="eastAsia" w:ascii="Times New Roman" w:hAnsi="Times New Roman" w:eastAsia="宋体" w:cs="Times New Roman"/>
          <w:color w:val="auto"/>
          <w:highlight w:val="none"/>
          <w:lang w:val="en-US" w:eastAsia="zh-CN"/>
        </w:rPr>
        <w:t>不外排</w:t>
      </w:r>
      <w:r>
        <w:rPr>
          <w:rFonts w:hint="default" w:ascii="Times New Roman" w:hAnsi="Times New Roman" w:eastAsia="宋体" w:cs="Times New Roman"/>
          <w:color w:val="auto"/>
          <w:highlight w:val="none"/>
        </w:rPr>
        <w:t>。根据《环境影响评价技术导则 地表水环境》（HJ2.3-2018）的规定，本项目地表水环境影响评价工作等级为三级B。</w:t>
      </w:r>
    </w:p>
    <w:p w14:paraId="07F9D0B2">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143" w:name="_Toc105659879"/>
      <w:bookmarkStart w:id="144" w:name="_Toc2166"/>
      <w:bookmarkStart w:id="145" w:name="_Toc9465"/>
      <w:bookmarkStart w:id="146" w:name="_Toc107238096"/>
      <w:bookmarkStart w:id="147" w:name="_Toc5401"/>
      <w:bookmarkStart w:id="148" w:name="_Toc27308"/>
      <w:r>
        <w:rPr>
          <w:rFonts w:hint="default" w:ascii="Times New Roman" w:hAnsi="Times New Roman" w:eastAsia="宋体" w:cs="Times New Roman"/>
          <w:color w:val="auto"/>
          <w:highlight w:val="none"/>
        </w:rPr>
        <w:t>地下水环境</w:t>
      </w:r>
      <w:bookmarkEnd w:id="143"/>
      <w:bookmarkEnd w:id="144"/>
      <w:bookmarkEnd w:id="145"/>
      <w:bookmarkEnd w:id="146"/>
      <w:bookmarkEnd w:id="147"/>
      <w:bookmarkEnd w:id="148"/>
    </w:p>
    <w:p w14:paraId="783F16BC">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根据《环境影响评价技术导则 地下水环境》（HJ610-2016）附录A，本项目属于其中第142条“热力生产和供应工程”报告书类项目，属于地下水环境影响评价项目分类中的Ⅳ类项目，Ⅳ类建设项目不开展地下水环境影响评价。</w:t>
      </w:r>
    </w:p>
    <w:p w14:paraId="6EA5F9A1">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149" w:name="_Toc105659880"/>
      <w:bookmarkStart w:id="150" w:name="_Toc12810"/>
      <w:bookmarkStart w:id="151" w:name="_Toc14582"/>
      <w:bookmarkStart w:id="152" w:name="_Toc18597"/>
      <w:bookmarkStart w:id="153" w:name="_Toc107238097"/>
      <w:bookmarkStart w:id="154" w:name="_Toc7306"/>
      <w:r>
        <w:rPr>
          <w:rFonts w:hint="default" w:ascii="Times New Roman" w:hAnsi="Times New Roman" w:eastAsia="宋体" w:cs="Times New Roman"/>
          <w:color w:val="auto"/>
          <w:highlight w:val="none"/>
        </w:rPr>
        <w:t>声环境</w:t>
      </w:r>
      <w:bookmarkEnd w:id="149"/>
      <w:bookmarkEnd w:id="150"/>
      <w:bookmarkEnd w:id="151"/>
      <w:bookmarkEnd w:id="152"/>
      <w:bookmarkEnd w:id="153"/>
      <w:bookmarkEnd w:id="154"/>
    </w:p>
    <w:p w14:paraId="63EACA3A">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（1）评价工作等级</w:t>
      </w:r>
    </w:p>
    <w:p w14:paraId="21A8C79F">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根据《环境影响评价技术导则 声环境》（HJ2.4</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2021）</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声环境影响评价工作等级一般分为三级，一级为详细评价，二级为一般性评价，三级为简要评价。</w:t>
      </w:r>
    </w:p>
    <w:p w14:paraId="7675990C">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评价范围内有适用于GB3096规定的0类声环境功能区域，或建设项目建设前后评价范围内声环境保护目标噪声级增量达5dB</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A</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以上（不含5dB</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A</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），或受影响人口数量显著增加时，按一级评价。</w:t>
      </w:r>
    </w:p>
    <w:p w14:paraId="771E8CBE">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建设项目所处的声环境功能区为GB3096规定的1类、2类地区，或建设项目建设前后评价范围内声环境保护目标噪声级增量达3dB(A)～5dB</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A</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，或受噪声影响人口数量增加较多时，按二级评价。</w:t>
      </w:r>
    </w:p>
    <w:p w14:paraId="7C8FA851">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建设项目所处的声环境功能区为GB3096规定的3类、4类地区，或建设项目建设前后评价范围内声环境保护目标噪声级增量在3dB</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A</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以下（不含3dB</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A</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），且受影响人口数量变化不大时，按三级评价。</w:t>
      </w:r>
    </w:p>
    <w:p w14:paraId="07906455">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在确定评价等级时，如果建设项目符合两个等级的划分原则，按较高等级评价。</w:t>
      </w:r>
    </w:p>
    <w:p w14:paraId="5C2CB2D3">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rPr>
        <w:t>机场建设项目航空器噪声影响评价等级为一级。</w:t>
      </w:r>
    </w:p>
    <w:p w14:paraId="5A17C1EC">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本工程具体情况为：根据《环境影响评价技术导则-声环境》（HJ2.4-2021）中噪声环境影响</w:t>
      </w:r>
      <w:r>
        <w:rPr>
          <w:rFonts w:hint="eastAsia" w:ascii="Times New Roman" w:hAnsi="Times New Roman" w:eastAsia="宋体" w:cs="Times New Roman"/>
          <w:color w:val="auto"/>
          <w:highlight w:val="none"/>
          <w:lang w:eastAsia="zh-CN"/>
        </w:rPr>
        <w:t>评价</w:t>
      </w:r>
      <w:r>
        <w:rPr>
          <w:rFonts w:hint="default" w:ascii="Times New Roman" w:hAnsi="Times New Roman" w:eastAsia="宋体" w:cs="Times New Roman"/>
          <w:color w:val="auto"/>
          <w:highlight w:val="none"/>
        </w:rPr>
        <w:t>等级划分原则，本项目所在区域适用于《声环境质量标准》（GB3096-2008）规定的</w:t>
      </w:r>
      <w:r>
        <w:rPr>
          <w:rFonts w:hint="eastAsia"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类地区，项目建设前后噪声级增加较小且受噪声影响的人口数量变化不大，因此，声环境影响评价工作等级确定为</w:t>
      </w:r>
      <w:r>
        <w:rPr>
          <w:rFonts w:hint="eastAsia" w:ascii="Times New Roman" w:hAnsi="Times New Roman" w:eastAsia="宋体" w:cs="Times New Roman"/>
          <w:color w:val="auto"/>
          <w:highlight w:val="none"/>
          <w:lang w:val="en-US" w:eastAsia="zh-CN"/>
        </w:rPr>
        <w:t>三</w:t>
      </w:r>
      <w:r>
        <w:rPr>
          <w:rFonts w:hint="default" w:ascii="Times New Roman" w:hAnsi="Times New Roman" w:eastAsia="宋体" w:cs="Times New Roman"/>
          <w:color w:val="auto"/>
          <w:highlight w:val="none"/>
        </w:rPr>
        <w:t>级。</w:t>
      </w:r>
    </w:p>
    <w:p w14:paraId="0997E4C6">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（2）评价范围</w:t>
      </w:r>
    </w:p>
    <w:p w14:paraId="0463B551">
      <w:pPr>
        <w:ind w:firstLine="480"/>
        <w:rPr>
          <w:rFonts w:hint="default"/>
          <w:color w:val="auto"/>
          <w:highlight w:val="none"/>
        </w:rPr>
      </w:pPr>
      <w:r>
        <w:rPr>
          <w:rFonts w:hint="default" w:ascii="Times New Roman" w:hAnsi="Times New Roman" w:eastAsia="宋体" w:cs="Times New Roman"/>
          <w:color w:val="auto"/>
          <w:highlight w:val="none"/>
        </w:rPr>
        <w:t>根据《环境影响评价技术导则 声环境》（HJ2.4</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2021）中关于噪声环境影响评价范围的确定原则，本评价噪声评价范围厂界外200m。</w:t>
      </w:r>
    </w:p>
    <w:p w14:paraId="5E36DEBA">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155" w:name="_Toc105659881"/>
      <w:bookmarkStart w:id="156" w:name="_Toc107238098"/>
      <w:bookmarkStart w:id="157" w:name="_Toc18883"/>
      <w:bookmarkStart w:id="158" w:name="_Toc1629"/>
      <w:bookmarkStart w:id="159" w:name="_Toc29169"/>
      <w:bookmarkStart w:id="160" w:name="_Toc17413"/>
      <w:r>
        <w:rPr>
          <w:rFonts w:hint="default" w:ascii="Times New Roman" w:hAnsi="Times New Roman" w:eastAsia="宋体" w:cs="Times New Roman"/>
          <w:color w:val="auto"/>
          <w:highlight w:val="none"/>
        </w:rPr>
        <w:t>土壤环境</w:t>
      </w:r>
      <w:bookmarkEnd w:id="155"/>
      <w:bookmarkEnd w:id="156"/>
      <w:bookmarkEnd w:id="157"/>
      <w:bookmarkEnd w:id="158"/>
      <w:bookmarkEnd w:id="159"/>
      <w:bookmarkEnd w:id="160"/>
    </w:p>
    <w:p w14:paraId="22742615">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（1）评价工作等级</w:t>
      </w:r>
    </w:p>
    <w:p w14:paraId="3E70BE26">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根据《环境影响评价技术导则 土壤环境（试行）》（HJ964-2018）附录A确定本</w:t>
      </w:r>
      <w:r>
        <w:rPr>
          <w:rFonts w:hint="eastAsia" w:ascii="Times New Roman" w:hAnsi="Times New Roman" w:eastAsia="宋体" w:cs="Times New Roman"/>
          <w:color w:val="auto"/>
          <w:highlight w:val="none"/>
          <w:lang w:eastAsia="zh-CN"/>
        </w:rPr>
        <w:t>项目</w:t>
      </w:r>
      <w:r>
        <w:rPr>
          <w:rFonts w:hint="default" w:ascii="Times New Roman" w:hAnsi="Times New Roman" w:eastAsia="宋体" w:cs="Times New Roman"/>
          <w:color w:val="auto"/>
          <w:highlight w:val="none"/>
        </w:rPr>
        <w:t>属于“燃煤锅炉总容量65t/h以上的热力生产工程”，土壤环境影响评价项目类别为Ⅲ类。</w:t>
      </w:r>
    </w:p>
    <w:p w14:paraId="56C657A4">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通过土壤环境影响识别，本项目属于污染影响型项目，影响途径主要为大气沉降。</w:t>
      </w:r>
    </w:p>
    <w:p w14:paraId="6DA61A64">
      <w:pPr>
        <w:ind w:firstLine="482"/>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rPr>
        <w:t>污染影响型：</w:t>
      </w:r>
    </w:p>
    <w:p w14:paraId="39E5D87B">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将建设项目占地规模分为大型（≥50hm</w:t>
      </w:r>
      <w:r>
        <w:rPr>
          <w:rFonts w:hint="default" w:ascii="Times New Roman" w:hAnsi="Times New Roman" w:eastAsia="宋体" w:cs="Times New Roman"/>
          <w:color w:val="auto"/>
          <w:highlight w:val="none"/>
          <w:vertAlign w:val="superscript"/>
        </w:rPr>
        <w:t>2</w:t>
      </w:r>
      <w:r>
        <w:rPr>
          <w:rFonts w:hint="default" w:ascii="Times New Roman" w:hAnsi="Times New Roman" w:eastAsia="宋体" w:cs="Times New Roman"/>
          <w:color w:val="auto"/>
          <w:highlight w:val="none"/>
        </w:rPr>
        <w:t>）、中型（5~50hm</w:t>
      </w:r>
      <w:r>
        <w:rPr>
          <w:rFonts w:hint="default" w:ascii="Times New Roman" w:hAnsi="Times New Roman" w:eastAsia="宋体" w:cs="Times New Roman"/>
          <w:color w:val="auto"/>
          <w:highlight w:val="none"/>
          <w:vertAlign w:val="superscript"/>
        </w:rPr>
        <w:t>2</w:t>
      </w:r>
      <w:r>
        <w:rPr>
          <w:rFonts w:hint="default" w:ascii="Times New Roman" w:hAnsi="Times New Roman" w:eastAsia="宋体" w:cs="Times New Roman"/>
          <w:color w:val="auto"/>
          <w:highlight w:val="none"/>
        </w:rPr>
        <w:t>）、小型（≤5hm</w:t>
      </w:r>
      <w:r>
        <w:rPr>
          <w:rFonts w:hint="default" w:ascii="Times New Roman" w:hAnsi="Times New Roman" w:eastAsia="宋体" w:cs="Times New Roman"/>
          <w:color w:val="auto"/>
          <w:highlight w:val="none"/>
          <w:vertAlign w:val="superscript"/>
        </w:rPr>
        <w:t>2</w:t>
      </w:r>
      <w:r>
        <w:rPr>
          <w:rFonts w:hint="default" w:ascii="Times New Roman" w:hAnsi="Times New Roman" w:eastAsia="宋体" w:cs="Times New Roman"/>
          <w:color w:val="auto"/>
          <w:highlight w:val="none"/>
        </w:rPr>
        <w:t>），本项目占地面积</w:t>
      </w:r>
      <w:r>
        <w:rPr>
          <w:rFonts w:hint="eastAsia" w:ascii="Times New Roman" w:hAnsi="Times New Roman" w:eastAsia="宋体" w:cs="Times New Roman"/>
          <w:color w:val="auto"/>
          <w:highlight w:val="none"/>
          <w:lang w:val="en-US" w:eastAsia="zh-CN"/>
        </w:rPr>
        <w:t>314914</w:t>
      </w:r>
      <w:r>
        <w:rPr>
          <w:rFonts w:hint="default" w:ascii="Times New Roman" w:hAnsi="Times New Roman" w:eastAsia="宋体" w:cs="Times New Roman"/>
          <w:color w:val="auto"/>
          <w:highlight w:val="none"/>
        </w:rPr>
        <w:t>m</w:t>
      </w:r>
      <w:r>
        <w:rPr>
          <w:rFonts w:hint="default" w:ascii="Times New Roman" w:hAnsi="Times New Roman" w:eastAsia="宋体" w:cs="Times New Roman"/>
          <w:color w:val="auto"/>
          <w:highlight w:val="none"/>
          <w:vertAlign w:val="superscript"/>
        </w:rPr>
        <w:t>2</w:t>
      </w:r>
      <w:r>
        <w:rPr>
          <w:rFonts w:hint="eastAsia" w:ascii="Times New Roman" w:hAnsi="Times New Roman" w:eastAsia="宋体" w:cs="Times New Roman"/>
          <w:color w:val="auto"/>
          <w:highlight w:val="none"/>
          <w:vertAlign w:val="baseline"/>
          <w:lang w:eastAsia="zh-CN"/>
        </w:rPr>
        <w:t>（</w:t>
      </w:r>
      <w:r>
        <w:rPr>
          <w:rFonts w:hint="eastAsia" w:ascii="Times New Roman" w:hAnsi="Times New Roman" w:eastAsia="宋体" w:cs="Times New Roman"/>
          <w:color w:val="auto"/>
          <w:highlight w:val="none"/>
          <w:vertAlign w:val="baseline"/>
          <w:lang w:val="en-US" w:eastAsia="zh-CN"/>
        </w:rPr>
        <w:t>31.4914hm</w:t>
      </w:r>
      <w:r>
        <w:rPr>
          <w:rFonts w:hint="eastAsia" w:ascii="Times New Roman" w:hAnsi="Times New Roman" w:eastAsia="宋体" w:cs="Times New Roman"/>
          <w:color w:val="auto"/>
          <w:highlight w:val="none"/>
          <w:vertAlign w:val="superscript"/>
          <w:lang w:val="en-US" w:eastAsia="zh-CN"/>
        </w:rPr>
        <w:t>2</w:t>
      </w:r>
      <w:r>
        <w:rPr>
          <w:rFonts w:hint="eastAsia" w:ascii="Times New Roman" w:hAnsi="Times New Roman" w:eastAsia="宋体" w:cs="Times New Roman"/>
          <w:color w:val="auto"/>
          <w:highlight w:val="none"/>
          <w:vertAlign w:val="baseline"/>
          <w:lang w:eastAsia="zh-CN"/>
        </w:rPr>
        <w:t>）</w:t>
      </w:r>
      <w:r>
        <w:rPr>
          <w:rFonts w:hint="default" w:ascii="Times New Roman" w:hAnsi="Times New Roman" w:eastAsia="宋体" w:cs="Times New Roman"/>
          <w:color w:val="auto"/>
          <w:highlight w:val="none"/>
        </w:rPr>
        <w:t>，占地规模为</w:t>
      </w:r>
      <w:r>
        <w:rPr>
          <w:rFonts w:hint="eastAsia" w:ascii="Times New Roman" w:hAnsi="Times New Roman" w:eastAsia="宋体" w:cs="Times New Roman"/>
          <w:color w:val="auto"/>
          <w:highlight w:val="none"/>
          <w:lang w:val="en-US" w:eastAsia="zh-CN"/>
        </w:rPr>
        <w:t>中</w:t>
      </w:r>
      <w:r>
        <w:rPr>
          <w:rFonts w:hint="default" w:ascii="Times New Roman" w:hAnsi="Times New Roman" w:eastAsia="宋体" w:cs="Times New Roman"/>
          <w:color w:val="auto"/>
          <w:highlight w:val="none"/>
        </w:rPr>
        <w:t>型规模。建设项目占地主要为永久占地。</w:t>
      </w:r>
    </w:p>
    <w:p w14:paraId="1598A0B1">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建设项目所在地周边的土壤环境敏感程度分为敏感、较敏感、不敏感，判别依据见表2.4-</w:t>
      </w:r>
      <w:r>
        <w:rPr>
          <w:rFonts w:hint="default" w:ascii="Times New Roman" w:hAnsi="Times New Roman" w:eastAsia="宋体" w:cs="Times New Roman"/>
          <w:color w:val="auto"/>
          <w:highlight w:val="none"/>
          <w:lang w:val="en-US" w:eastAsia="zh-CN"/>
        </w:rPr>
        <w:t>8</w:t>
      </w:r>
      <w:r>
        <w:rPr>
          <w:rFonts w:hint="default" w:ascii="Times New Roman" w:hAnsi="Times New Roman" w:eastAsia="宋体" w:cs="Times New Roman"/>
          <w:color w:val="auto"/>
          <w:highlight w:val="none"/>
        </w:rPr>
        <w:t>。</w:t>
      </w:r>
    </w:p>
    <w:p w14:paraId="32332294">
      <w:pPr>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表2.4-</w:t>
      </w:r>
      <w:r>
        <w:rPr>
          <w:rFonts w:hint="eastAsia" w:ascii="Times New Roman" w:hAnsi="Times New Roman" w:eastAsia="宋体" w:cs="Times New Roman"/>
          <w:color w:val="auto"/>
          <w:highlight w:val="none"/>
          <w:lang w:val="en-US" w:eastAsia="zh-CN"/>
        </w:rPr>
        <w:t xml:space="preserve">8 </w:t>
      </w:r>
      <w:r>
        <w:rPr>
          <w:rFonts w:hint="default" w:ascii="Times New Roman" w:hAnsi="Times New Roman" w:eastAsia="宋体" w:cs="Times New Roman"/>
          <w:color w:val="auto"/>
          <w:highlight w:val="none"/>
        </w:rPr>
        <w:t>污染影响型敏感程度分级表</w:t>
      </w:r>
    </w:p>
    <w:tbl>
      <w:tblPr>
        <w:tblStyle w:val="37"/>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243"/>
        <w:gridCol w:w="7279"/>
      </w:tblGrid>
      <w:tr w14:paraId="469FA54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729" w:type="pct"/>
            <w:noWrap/>
          </w:tcPr>
          <w:p w14:paraId="5084C49F">
            <w:pPr>
              <w:tabs>
                <w:tab w:val="right" w:pos="8240"/>
              </w:tabs>
              <w:spacing w:line="240" w:lineRule="auto"/>
              <w:ind w:firstLine="0" w:firstLineChars="0"/>
              <w:jc w:val="center"/>
              <w:rPr>
                <w:rFonts w:hint="default" w:ascii="Times New Roman" w:hAnsi="Times New Roman" w:eastAsia="宋体" w:cs="Times New Roman"/>
                <w:bCs/>
                <w:color w:val="auto"/>
                <w:sz w:val="21"/>
                <w:highlight w:val="none"/>
              </w:rPr>
            </w:pPr>
            <w:r>
              <w:rPr>
                <w:rFonts w:hint="default" w:ascii="Times New Roman" w:hAnsi="Times New Roman" w:eastAsia="宋体" w:cs="Times New Roman"/>
                <w:bCs/>
                <w:color w:val="auto"/>
                <w:sz w:val="21"/>
                <w:highlight w:val="none"/>
              </w:rPr>
              <w:t>敏感程度</w:t>
            </w:r>
          </w:p>
        </w:tc>
        <w:tc>
          <w:tcPr>
            <w:tcW w:w="4271" w:type="pct"/>
            <w:noWrap/>
          </w:tcPr>
          <w:p w14:paraId="42AF6448">
            <w:pPr>
              <w:tabs>
                <w:tab w:val="right" w:pos="8240"/>
              </w:tabs>
              <w:spacing w:line="240" w:lineRule="auto"/>
              <w:ind w:firstLine="0" w:firstLineChars="0"/>
              <w:jc w:val="center"/>
              <w:rPr>
                <w:rFonts w:hint="default" w:ascii="Times New Roman" w:hAnsi="Times New Roman" w:eastAsia="宋体" w:cs="Times New Roman"/>
                <w:bCs/>
                <w:color w:val="auto"/>
                <w:sz w:val="21"/>
                <w:highlight w:val="none"/>
              </w:rPr>
            </w:pPr>
            <w:r>
              <w:rPr>
                <w:rFonts w:hint="default" w:ascii="Times New Roman" w:hAnsi="Times New Roman" w:eastAsia="宋体" w:cs="Times New Roman"/>
                <w:bCs/>
                <w:color w:val="auto"/>
                <w:sz w:val="21"/>
                <w:highlight w:val="none"/>
              </w:rPr>
              <w:t>判别依据</w:t>
            </w:r>
          </w:p>
        </w:tc>
      </w:tr>
      <w:tr w14:paraId="30D09A1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729" w:type="pct"/>
            <w:noWrap/>
            <w:vAlign w:val="center"/>
          </w:tcPr>
          <w:p w14:paraId="6298895D">
            <w:pPr>
              <w:tabs>
                <w:tab w:val="right" w:pos="8240"/>
              </w:tabs>
              <w:spacing w:line="240" w:lineRule="auto"/>
              <w:ind w:firstLine="0" w:firstLineChars="0"/>
              <w:jc w:val="center"/>
              <w:rPr>
                <w:rFonts w:hint="default" w:ascii="Times New Roman" w:hAnsi="Times New Roman" w:eastAsia="宋体" w:cs="Times New Roman"/>
                <w:bCs/>
                <w:color w:val="auto"/>
                <w:sz w:val="21"/>
                <w:highlight w:val="none"/>
              </w:rPr>
            </w:pPr>
            <w:r>
              <w:rPr>
                <w:rFonts w:hint="default" w:ascii="Times New Roman" w:hAnsi="Times New Roman" w:eastAsia="宋体" w:cs="Times New Roman"/>
                <w:bCs/>
                <w:color w:val="auto"/>
                <w:sz w:val="21"/>
                <w:highlight w:val="none"/>
              </w:rPr>
              <w:t>敏感</w:t>
            </w:r>
          </w:p>
        </w:tc>
        <w:tc>
          <w:tcPr>
            <w:tcW w:w="4271" w:type="pct"/>
            <w:noWrap/>
          </w:tcPr>
          <w:p w14:paraId="22B92E9D">
            <w:pPr>
              <w:tabs>
                <w:tab w:val="right" w:pos="8240"/>
              </w:tabs>
              <w:spacing w:line="240" w:lineRule="auto"/>
              <w:ind w:firstLine="0" w:firstLineChars="0"/>
              <w:jc w:val="center"/>
              <w:rPr>
                <w:rFonts w:hint="default" w:ascii="Times New Roman" w:hAnsi="Times New Roman" w:eastAsia="宋体" w:cs="Times New Roman"/>
                <w:bCs/>
                <w:color w:val="auto"/>
                <w:sz w:val="21"/>
                <w:highlight w:val="none"/>
              </w:rPr>
            </w:pPr>
            <w:r>
              <w:rPr>
                <w:rFonts w:hint="default" w:ascii="Times New Roman" w:hAnsi="Times New Roman" w:eastAsia="宋体" w:cs="Times New Roman"/>
                <w:bCs/>
                <w:color w:val="auto"/>
                <w:sz w:val="21"/>
                <w:highlight w:val="none"/>
              </w:rPr>
              <w:t>建设项目周边存在耕地、园地、牧草地、饮用水水源地或居民区、学校、医院、疗养院、养老院等土壤环境敏感目标的</w:t>
            </w:r>
          </w:p>
        </w:tc>
      </w:tr>
      <w:tr w14:paraId="26ECE6B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729" w:type="pct"/>
            <w:noWrap/>
          </w:tcPr>
          <w:p w14:paraId="14B48D87">
            <w:pPr>
              <w:tabs>
                <w:tab w:val="right" w:pos="8240"/>
              </w:tabs>
              <w:spacing w:line="240" w:lineRule="auto"/>
              <w:ind w:firstLine="0" w:firstLineChars="0"/>
              <w:jc w:val="center"/>
              <w:rPr>
                <w:rFonts w:hint="default" w:ascii="Times New Roman" w:hAnsi="Times New Roman" w:eastAsia="宋体" w:cs="Times New Roman"/>
                <w:bCs/>
                <w:color w:val="auto"/>
                <w:sz w:val="21"/>
                <w:highlight w:val="none"/>
              </w:rPr>
            </w:pPr>
            <w:r>
              <w:rPr>
                <w:rFonts w:hint="default" w:ascii="Times New Roman" w:hAnsi="Times New Roman" w:eastAsia="宋体" w:cs="Times New Roman"/>
                <w:bCs/>
                <w:color w:val="auto"/>
                <w:sz w:val="21"/>
                <w:highlight w:val="none"/>
              </w:rPr>
              <w:t>较敏感</w:t>
            </w:r>
          </w:p>
        </w:tc>
        <w:tc>
          <w:tcPr>
            <w:tcW w:w="4271" w:type="pct"/>
            <w:noWrap/>
          </w:tcPr>
          <w:p w14:paraId="2919CB7B">
            <w:pPr>
              <w:tabs>
                <w:tab w:val="right" w:pos="8240"/>
              </w:tabs>
              <w:spacing w:line="240" w:lineRule="auto"/>
              <w:ind w:firstLine="0" w:firstLineChars="0"/>
              <w:jc w:val="center"/>
              <w:rPr>
                <w:rFonts w:hint="default" w:ascii="Times New Roman" w:hAnsi="Times New Roman" w:eastAsia="宋体" w:cs="Times New Roman"/>
                <w:bCs/>
                <w:color w:val="auto"/>
                <w:sz w:val="21"/>
                <w:highlight w:val="none"/>
              </w:rPr>
            </w:pPr>
            <w:r>
              <w:rPr>
                <w:rFonts w:hint="default" w:ascii="Times New Roman" w:hAnsi="Times New Roman" w:eastAsia="宋体" w:cs="Times New Roman"/>
                <w:bCs/>
                <w:color w:val="auto"/>
                <w:sz w:val="21"/>
                <w:highlight w:val="none"/>
              </w:rPr>
              <w:t>建设项目周边存在其他土壤环境敏感目标的</w:t>
            </w:r>
          </w:p>
        </w:tc>
      </w:tr>
      <w:tr w14:paraId="45E716F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729" w:type="pct"/>
            <w:noWrap/>
          </w:tcPr>
          <w:p w14:paraId="0A00BCDC">
            <w:pPr>
              <w:tabs>
                <w:tab w:val="right" w:pos="8240"/>
              </w:tabs>
              <w:spacing w:line="240" w:lineRule="auto"/>
              <w:ind w:firstLine="0" w:firstLineChars="0"/>
              <w:jc w:val="center"/>
              <w:rPr>
                <w:rFonts w:hint="default" w:ascii="Times New Roman" w:hAnsi="Times New Roman" w:eastAsia="宋体" w:cs="Times New Roman"/>
                <w:bCs/>
                <w:color w:val="auto"/>
                <w:sz w:val="21"/>
                <w:highlight w:val="none"/>
              </w:rPr>
            </w:pPr>
            <w:r>
              <w:rPr>
                <w:rFonts w:hint="default" w:ascii="Times New Roman" w:hAnsi="Times New Roman" w:eastAsia="宋体" w:cs="Times New Roman"/>
                <w:bCs/>
                <w:color w:val="auto"/>
                <w:sz w:val="21"/>
                <w:highlight w:val="none"/>
              </w:rPr>
              <w:t>不敏感</w:t>
            </w:r>
          </w:p>
        </w:tc>
        <w:tc>
          <w:tcPr>
            <w:tcW w:w="4271" w:type="pct"/>
            <w:noWrap/>
          </w:tcPr>
          <w:p w14:paraId="5F00776B">
            <w:pPr>
              <w:tabs>
                <w:tab w:val="right" w:pos="8240"/>
              </w:tabs>
              <w:spacing w:line="240" w:lineRule="auto"/>
              <w:ind w:firstLine="0" w:firstLineChars="0"/>
              <w:jc w:val="center"/>
              <w:rPr>
                <w:rFonts w:hint="default" w:ascii="Times New Roman" w:hAnsi="Times New Roman" w:eastAsia="宋体" w:cs="Times New Roman"/>
                <w:bCs/>
                <w:color w:val="auto"/>
                <w:sz w:val="21"/>
                <w:highlight w:val="none"/>
              </w:rPr>
            </w:pPr>
            <w:r>
              <w:rPr>
                <w:rFonts w:hint="default" w:ascii="Times New Roman" w:hAnsi="Times New Roman" w:eastAsia="宋体" w:cs="Times New Roman"/>
                <w:bCs/>
                <w:color w:val="auto"/>
                <w:sz w:val="21"/>
                <w:highlight w:val="none"/>
              </w:rPr>
              <w:t>其他情况</w:t>
            </w:r>
          </w:p>
        </w:tc>
      </w:tr>
    </w:tbl>
    <w:p w14:paraId="4E87FE2A">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根据土壤环境影响评价项目类别、占地规模与敏感程度划分评价工作等级，详见表2.4-</w:t>
      </w:r>
      <w:r>
        <w:rPr>
          <w:rFonts w:hint="eastAsia" w:ascii="Times New Roman" w:hAnsi="Times New Roman" w:eastAsia="宋体" w:cs="Times New Roman"/>
          <w:color w:val="auto"/>
          <w:highlight w:val="none"/>
          <w:lang w:val="en-US" w:eastAsia="zh-CN"/>
        </w:rPr>
        <w:t>9</w:t>
      </w:r>
      <w:r>
        <w:rPr>
          <w:rFonts w:hint="default" w:ascii="Times New Roman" w:hAnsi="Times New Roman" w:eastAsia="宋体" w:cs="Times New Roman"/>
          <w:color w:val="auto"/>
          <w:highlight w:val="none"/>
        </w:rPr>
        <w:t>。</w:t>
      </w:r>
    </w:p>
    <w:p w14:paraId="03E1BF57">
      <w:pPr>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表2.4-</w:t>
      </w:r>
      <w:r>
        <w:rPr>
          <w:rFonts w:hint="eastAsia" w:ascii="Times New Roman" w:hAnsi="Times New Roman" w:eastAsia="宋体" w:cs="Times New Roman"/>
          <w:color w:val="auto"/>
          <w:highlight w:val="none"/>
          <w:lang w:val="en-US" w:eastAsia="zh-CN"/>
        </w:rPr>
        <w:t xml:space="preserve">9 </w:t>
      </w:r>
      <w:r>
        <w:rPr>
          <w:rFonts w:hint="default" w:ascii="Times New Roman" w:hAnsi="Times New Roman" w:eastAsia="宋体" w:cs="Times New Roman"/>
          <w:color w:val="auto"/>
          <w:highlight w:val="none"/>
        </w:rPr>
        <w:t>污染影响型土壤环境工作等级划分表</w:t>
      </w:r>
    </w:p>
    <w:tbl>
      <w:tblPr>
        <w:tblStyle w:val="37"/>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1607"/>
        <w:gridCol w:w="767"/>
        <w:gridCol w:w="767"/>
        <w:gridCol w:w="770"/>
        <w:gridCol w:w="767"/>
        <w:gridCol w:w="769"/>
        <w:gridCol w:w="769"/>
        <w:gridCol w:w="769"/>
        <w:gridCol w:w="767"/>
        <w:gridCol w:w="770"/>
      </w:tblGrid>
      <w:tr w14:paraId="6756275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943" w:type="pct"/>
            <w:vMerge w:val="restart"/>
            <w:noWrap/>
            <w:vAlign w:val="center"/>
          </w:tcPr>
          <w:p w14:paraId="2E396B1D">
            <w:pPr>
              <w:tabs>
                <w:tab w:val="right" w:pos="8240"/>
              </w:tabs>
              <w:spacing w:line="240" w:lineRule="auto"/>
              <w:ind w:firstLine="0" w:firstLineChars="0"/>
              <w:jc w:val="right"/>
              <w:rPr>
                <w:rFonts w:hint="default" w:ascii="Times New Roman" w:hAnsi="Times New Roman" w:eastAsia="宋体" w:cs="Times New Roman"/>
                <w:bCs/>
                <w:color w:val="auto"/>
                <w:sz w:val="15"/>
                <w:szCs w:val="15"/>
                <w:highlight w:val="none"/>
              </w:rPr>
            </w:pPr>
            <w:r>
              <w:rPr>
                <w:rFonts w:hint="default" w:ascii="Times New Roman" w:hAnsi="Times New Roman" w:eastAsia="宋体" w:cs="Times New Roman"/>
                <w:b/>
                <w:bCs/>
                <w:color w:val="auto"/>
                <w:kern w:val="0"/>
                <w:szCs w:val="24"/>
                <w:highlight w:val="none"/>
              </w:rPr>
              <mc:AlternateContent>
                <mc:Choice Requires="wps">
                  <w:drawing>
                    <wp:anchor distT="0" distB="0" distL="114300" distR="114300" simplePos="0" relativeHeight="251660288" behindDoc="0" locked="0" layoutInCell="1" allowOverlap="1">
                      <wp:simplePos x="0" y="0"/>
                      <wp:positionH relativeFrom="column">
                        <wp:posOffset>312420</wp:posOffset>
                      </wp:positionH>
                      <wp:positionV relativeFrom="paragraph">
                        <wp:posOffset>-4445</wp:posOffset>
                      </wp:positionV>
                      <wp:extent cx="619125" cy="600075"/>
                      <wp:effectExtent l="0" t="0" r="28575" b="28575"/>
                      <wp:wrapNone/>
                      <wp:docPr id="61" name="直接箭头连接符 61"/>
                      <wp:cNvGraphicFramePr/>
                      <a:graphic xmlns:a="http://schemas.openxmlformats.org/drawingml/2006/main">
                        <a:graphicData uri="http://schemas.microsoft.com/office/word/2010/wordprocessingShape">
                          <wps:wsp>
                            <wps:cNvCnPr/>
                            <wps:spPr>
                              <a:xfrm>
                                <a:off x="0" y="0"/>
                                <a:ext cx="619125" cy="600075"/>
                              </a:xfrm>
                              <a:prstGeom prst="straightConnector1">
                                <a:avLst/>
                              </a:prstGeom>
                              <a:ln w="6350"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24.6pt;margin-top:-0.35pt;height:47.25pt;width:48.75pt;z-index:251660288;mso-width-relative:page;mso-height-relative:page;" filled="f" stroked="t" coordsize="21600,21600" o:gfxdata="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B6Ws31gAAAAcBAAAPAAAAAAAAAAEAIAAAACIAAABkcnMv&#10;ZG93bnJldi54bWxQSwECFAAUAAAACACHTuJAdjavKgUCAAAABAAADgAAAAAAAAABACAAAAAlAQAA&#10;ZHJzL2Uyb0RvYy54bWxQSwUGAAAAAAYABgBZAQAAnAUAAAAA&#10;">
                      <v:fill on="f" focussize="0,0"/>
                      <v:stroke weight="0.5pt" color="#000000" joinstyle="round"/>
                      <v:imagedata o:title=""/>
                      <o:lock v:ext="edit" aspectratio="f"/>
                    </v:shape>
                  </w:pict>
                </mc:Fallback>
              </mc:AlternateContent>
            </w:r>
            <w:r>
              <w:rPr>
                <w:rFonts w:hint="default" w:ascii="Times New Roman" w:hAnsi="Times New Roman" w:eastAsia="宋体" w:cs="Times New Roman"/>
                <w:bCs/>
                <w:color w:val="auto"/>
                <w:sz w:val="15"/>
                <w:szCs w:val="15"/>
                <w:highlight w:val="none"/>
              </w:rPr>
              <w:t>占地规模</w:t>
            </w:r>
          </w:p>
          <w:p w14:paraId="116A2FA6">
            <w:pPr>
              <w:tabs>
                <w:tab w:val="right" w:pos="8240"/>
              </w:tabs>
              <w:spacing w:line="240" w:lineRule="auto"/>
              <w:ind w:right="300" w:firstLine="0" w:firstLineChars="0"/>
              <w:rPr>
                <w:rFonts w:hint="default" w:ascii="Times New Roman" w:hAnsi="Times New Roman" w:eastAsia="宋体" w:cs="Times New Roman"/>
                <w:bCs/>
                <w:color w:val="auto"/>
                <w:sz w:val="15"/>
                <w:szCs w:val="15"/>
                <w:highlight w:val="none"/>
              </w:rPr>
            </w:pPr>
            <w:r>
              <w:rPr>
                <w:rFonts w:hint="default" w:ascii="Times New Roman" w:hAnsi="Times New Roman" w:eastAsia="宋体" w:cs="Times New Roman"/>
                <w:bCs/>
                <w:color w:val="auto"/>
                <w:sz w:val="15"/>
                <w:szCs w:val="15"/>
                <w:highlight w:val="none"/>
              </w:rPr>
              <mc:AlternateContent>
                <mc:Choice Requires="wps">
                  <w:drawing>
                    <wp:anchor distT="0" distB="0" distL="114300" distR="114300" simplePos="0" relativeHeight="251661312" behindDoc="0" locked="0" layoutInCell="1" allowOverlap="1">
                      <wp:simplePos x="0" y="0"/>
                      <wp:positionH relativeFrom="column">
                        <wp:posOffset>-68580</wp:posOffset>
                      </wp:positionH>
                      <wp:positionV relativeFrom="paragraph">
                        <wp:posOffset>178435</wp:posOffset>
                      </wp:positionV>
                      <wp:extent cx="1000125" cy="219075"/>
                      <wp:effectExtent l="0" t="0" r="28575" b="28575"/>
                      <wp:wrapNone/>
                      <wp:docPr id="62" name="直接箭头连接符 62"/>
                      <wp:cNvGraphicFramePr/>
                      <a:graphic xmlns:a="http://schemas.openxmlformats.org/drawingml/2006/main">
                        <a:graphicData uri="http://schemas.microsoft.com/office/word/2010/wordprocessingShape">
                          <wps:wsp>
                            <wps:cNvCnPr/>
                            <wps:spPr>
                              <a:xfrm>
                                <a:off x="0" y="0"/>
                                <a:ext cx="1000125" cy="219075"/>
                              </a:xfrm>
                              <a:prstGeom prst="straightConnector1">
                                <a:avLst/>
                              </a:prstGeom>
                              <a:ln w="6350"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5.4pt;margin-top:14.05pt;height:17.25pt;width:78.75pt;z-index:251661312;mso-width-relative:page;mso-height-relative:page;" filled="f" stroked="t" coordsize="21600,21600" o:gfxdata="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tJhJS2AAAAAkBAAAPAAAAAAAAAAEAIAAAACIAAABk&#10;cnMvZG93bnJldi54bWxQSwECFAAUAAAACACHTuJA4v1wLwYCAAABBAAADgAAAAAAAAABACAAAAAn&#10;AQAAZHJzL2Uyb0RvYy54bWxQSwUGAAAAAAYABgBZAQAAnwUAAAAA&#10;">
                      <v:fill on="f" focussize="0,0"/>
                      <v:stroke weight="0.5pt" color="#000000" joinstyle="round"/>
                      <v:imagedata o:title=""/>
                      <o:lock v:ext="edit" aspectratio="f"/>
                    </v:shape>
                  </w:pict>
                </mc:Fallback>
              </mc:AlternateContent>
            </w:r>
            <w:r>
              <w:rPr>
                <w:rFonts w:hint="default" w:ascii="Times New Roman" w:hAnsi="Times New Roman" w:eastAsia="宋体" w:cs="Times New Roman"/>
                <w:bCs/>
                <w:color w:val="auto"/>
                <w:sz w:val="15"/>
                <w:szCs w:val="15"/>
                <w:highlight w:val="none"/>
              </w:rPr>
              <w:t xml:space="preserve">评价工作等级 </w:t>
            </w:r>
          </w:p>
          <w:p w14:paraId="218094AB">
            <w:pPr>
              <w:tabs>
                <w:tab w:val="right" w:pos="8240"/>
              </w:tabs>
              <w:spacing w:line="240" w:lineRule="auto"/>
              <w:ind w:firstLine="0" w:firstLineChars="0"/>
              <w:jc w:val="left"/>
              <w:rPr>
                <w:rFonts w:hint="default" w:ascii="Times New Roman" w:hAnsi="Times New Roman" w:eastAsia="宋体" w:cs="Times New Roman"/>
                <w:bCs/>
                <w:color w:val="auto"/>
                <w:sz w:val="15"/>
                <w:szCs w:val="15"/>
                <w:highlight w:val="none"/>
              </w:rPr>
            </w:pPr>
            <w:r>
              <w:rPr>
                <w:rFonts w:hint="default" w:ascii="Times New Roman" w:hAnsi="Times New Roman" w:eastAsia="宋体" w:cs="Times New Roman"/>
                <w:bCs/>
                <w:color w:val="auto"/>
                <w:sz w:val="15"/>
                <w:szCs w:val="15"/>
                <w:highlight w:val="none"/>
              </w:rPr>
              <w:t>敏感程度</w:t>
            </w:r>
          </w:p>
        </w:tc>
        <w:tc>
          <w:tcPr>
            <w:tcW w:w="1352" w:type="pct"/>
            <w:gridSpan w:val="3"/>
            <w:noWrap/>
            <w:vAlign w:val="center"/>
          </w:tcPr>
          <w:p w14:paraId="59648C87">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Ⅰ类</w:t>
            </w:r>
          </w:p>
        </w:tc>
        <w:tc>
          <w:tcPr>
            <w:tcW w:w="1352" w:type="pct"/>
            <w:gridSpan w:val="3"/>
            <w:noWrap/>
            <w:vAlign w:val="center"/>
          </w:tcPr>
          <w:p w14:paraId="1C79728A">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Ⅱ类</w:t>
            </w:r>
          </w:p>
        </w:tc>
        <w:tc>
          <w:tcPr>
            <w:tcW w:w="1353" w:type="pct"/>
            <w:gridSpan w:val="3"/>
            <w:noWrap/>
            <w:vAlign w:val="center"/>
          </w:tcPr>
          <w:p w14:paraId="35A0D72A">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Ⅲ类</w:t>
            </w:r>
          </w:p>
        </w:tc>
      </w:tr>
      <w:tr w14:paraId="6259432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943" w:type="pct"/>
            <w:vMerge w:val="continue"/>
            <w:noWrap/>
          </w:tcPr>
          <w:p w14:paraId="75DE6FD3">
            <w:pPr>
              <w:tabs>
                <w:tab w:val="right" w:pos="8240"/>
              </w:tabs>
              <w:spacing w:line="240" w:lineRule="auto"/>
              <w:ind w:firstLine="0" w:firstLineChars="0"/>
              <w:jc w:val="center"/>
              <w:rPr>
                <w:rFonts w:hint="default" w:ascii="Times New Roman" w:hAnsi="Times New Roman" w:eastAsia="宋体" w:cs="Times New Roman"/>
                <w:bCs/>
                <w:color w:val="auto"/>
                <w:highlight w:val="none"/>
              </w:rPr>
            </w:pPr>
          </w:p>
        </w:tc>
        <w:tc>
          <w:tcPr>
            <w:tcW w:w="450" w:type="pct"/>
            <w:noWrap/>
            <w:vAlign w:val="center"/>
          </w:tcPr>
          <w:p w14:paraId="51253437">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大</w:t>
            </w:r>
          </w:p>
        </w:tc>
        <w:tc>
          <w:tcPr>
            <w:tcW w:w="450" w:type="pct"/>
            <w:noWrap/>
            <w:vAlign w:val="center"/>
          </w:tcPr>
          <w:p w14:paraId="2ECFD0E3">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中</w:t>
            </w:r>
          </w:p>
        </w:tc>
        <w:tc>
          <w:tcPr>
            <w:tcW w:w="452" w:type="pct"/>
            <w:noWrap/>
            <w:vAlign w:val="center"/>
          </w:tcPr>
          <w:p w14:paraId="3B85BC68">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小</w:t>
            </w:r>
          </w:p>
        </w:tc>
        <w:tc>
          <w:tcPr>
            <w:tcW w:w="450" w:type="pct"/>
            <w:noWrap/>
            <w:vAlign w:val="center"/>
          </w:tcPr>
          <w:p w14:paraId="2CB2DB78">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大</w:t>
            </w:r>
          </w:p>
        </w:tc>
        <w:tc>
          <w:tcPr>
            <w:tcW w:w="451" w:type="pct"/>
            <w:noWrap/>
            <w:vAlign w:val="center"/>
          </w:tcPr>
          <w:p w14:paraId="7DC7C816">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中</w:t>
            </w:r>
          </w:p>
        </w:tc>
        <w:tc>
          <w:tcPr>
            <w:tcW w:w="451" w:type="pct"/>
            <w:noWrap/>
            <w:vAlign w:val="center"/>
          </w:tcPr>
          <w:p w14:paraId="3B2B3D9C">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小</w:t>
            </w:r>
          </w:p>
        </w:tc>
        <w:tc>
          <w:tcPr>
            <w:tcW w:w="451" w:type="pct"/>
            <w:noWrap/>
            <w:vAlign w:val="center"/>
          </w:tcPr>
          <w:p w14:paraId="0639ABA6">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大</w:t>
            </w:r>
          </w:p>
        </w:tc>
        <w:tc>
          <w:tcPr>
            <w:tcW w:w="450" w:type="pct"/>
            <w:noWrap/>
            <w:vAlign w:val="center"/>
          </w:tcPr>
          <w:p w14:paraId="4082EB44">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中</w:t>
            </w:r>
          </w:p>
        </w:tc>
        <w:tc>
          <w:tcPr>
            <w:tcW w:w="452" w:type="pct"/>
            <w:noWrap/>
            <w:vAlign w:val="center"/>
          </w:tcPr>
          <w:p w14:paraId="5130478B">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小</w:t>
            </w:r>
          </w:p>
        </w:tc>
      </w:tr>
      <w:tr w14:paraId="52BE620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943" w:type="pct"/>
            <w:noWrap/>
            <w:vAlign w:val="center"/>
          </w:tcPr>
          <w:p w14:paraId="04A6019C">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敏感</w:t>
            </w:r>
          </w:p>
        </w:tc>
        <w:tc>
          <w:tcPr>
            <w:tcW w:w="450" w:type="pct"/>
            <w:noWrap/>
            <w:vAlign w:val="center"/>
          </w:tcPr>
          <w:p w14:paraId="09FC80CE">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一级</w:t>
            </w:r>
          </w:p>
        </w:tc>
        <w:tc>
          <w:tcPr>
            <w:tcW w:w="450" w:type="pct"/>
            <w:noWrap/>
            <w:vAlign w:val="center"/>
          </w:tcPr>
          <w:p w14:paraId="407F79C0">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一级</w:t>
            </w:r>
          </w:p>
        </w:tc>
        <w:tc>
          <w:tcPr>
            <w:tcW w:w="452" w:type="pct"/>
            <w:noWrap/>
            <w:vAlign w:val="center"/>
          </w:tcPr>
          <w:p w14:paraId="3B45ADD9">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一级</w:t>
            </w:r>
          </w:p>
        </w:tc>
        <w:tc>
          <w:tcPr>
            <w:tcW w:w="450" w:type="pct"/>
            <w:noWrap/>
            <w:vAlign w:val="center"/>
          </w:tcPr>
          <w:p w14:paraId="511520D7">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二级</w:t>
            </w:r>
          </w:p>
        </w:tc>
        <w:tc>
          <w:tcPr>
            <w:tcW w:w="451" w:type="pct"/>
            <w:noWrap/>
            <w:vAlign w:val="center"/>
          </w:tcPr>
          <w:p w14:paraId="4A841E0D">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二级</w:t>
            </w:r>
          </w:p>
        </w:tc>
        <w:tc>
          <w:tcPr>
            <w:tcW w:w="451" w:type="pct"/>
            <w:noWrap/>
            <w:vAlign w:val="center"/>
          </w:tcPr>
          <w:p w14:paraId="5265C2FE">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二级</w:t>
            </w:r>
          </w:p>
        </w:tc>
        <w:tc>
          <w:tcPr>
            <w:tcW w:w="451" w:type="pct"/>
            <w:noWrap/>
            <w:vAlign w:val="center"/>
          </w:tcPr>
          <w:p w14:paraId="1BD89B4C">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三级</w:t>
            </w:r>
          </w:p>
        </w:tc>
        <w:tc>
          <w:tcPr>
            <w:tcW w:w="450" w:type="pct"/>
            <w:noWrap/>
            <w:vAlign w:val="center"/>
          </w:tcPr>
          <w:p w14:paraId="4A1A80CF">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
                <w:bCs w:val="0"/>
                <w:color w:val="auto"/>
                <w:sz w:val="21"/>
                <w:szCs w:val="21"/>
                <w:highlight w:val="none"/>
              </w:rPr>
              <w:t>三级</w:t>
            </w:r>
          </w:p>
        </w:tc>
        <w:tc>
          <w:tcPr>
            <w:tcW w:w="452" w:type="pct"/>
            <w:noWrap/>
            <w:vAlign w:val="center"/>
          </w:tcPr>
          <w:p w14:paraId="22948BDB">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三级</w:t>
            </w:r>
          </w:p>
        </w:tc>
      </w:tr>
      <w:tr w14:paraId="57E852F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943" w:type="pct"/>
            <w:noWrap/>
            <w:vAlign w:val="center"/>
          </w:tcPr>
          <w:p w14:paraId="6B64A1BE">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较敏感</w:t>
            </w:r>
          </w:p>
        </w:tc>
        <w:tc>
          <w:tcPr>
            <w:tcW w:w="450" w:type="pct"/>
            <w:noWrap/>
            <w:vAlign w:val="center"/>
          </w:tcPr>
          <w:p w14:paraId="0FA05B1F">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一级</w:t>
            </w:r>
          </w:p>
        </w:tc>
        <w:tc>
          <w:tcPr>
            <w:tcW w:w="450" w:type="pct"/>
            <w:noWrap/>
            <w:vAlign w:val="center"/>
          </w:tcPr>
          <w:p w14:paraId="71484FB8">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一级</w:t>
            </w:r>
          </w:p>
        </w:tc>
        <w:tc>
          <w:tcPr>
            <w:tcW w:w="452" w:type="pct"/>
            <w:noWrap/>
            <w:vAlign w:val="center"/>
          </w:tcPr>
          <w:p w14:paraId="0478FD4D">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二级</w:t>
            </w:r>
          </w:p>
        </w:tc>
        <w:tc>
          <w:tcPr>
            <w:tcW w:w="450" w:type="pct"/>
            <w:noWrap/>
            <w:vAlign w:val="center"/>
          </w:tcPr>
          <w:p w14:paraId="6817015E">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二级</w:t>
            </w:r>
          </w:p>
        </w:tc>
        <w:tc>
          <w:tcPr>
            <w:tcW w:w="451" w:type="pct"/>
            <w:noWrap/>
            <w:vAlign w:val="center"/>
          </w:tcPr>
          <w:p w14:paraId="50DF7BF0">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二级</w:t>
            </w:r>
          </w:p>
        </w:tc>
        <w:tc>
          <w:tcPr>
            <w:tcW w:w="451" w:type="pct"/>
            <w:noWrap/>
            <w:vAlign w:val="center"/>
          </w:tcPr>
          <w:p w14:paraId="649345BB">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三级</w:t>
            </w:r>
          </w:p>
        </w:tc>
        <w:tc>
          <w:tcPr>
            <w:tcW w:w="451" w:type="pct"/>
            <w:noWrap/>
            <w:vAlign w:val="center"/>
          </w:tcPr>
          <w:p w14:paraId="422C3738">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三级</w:t>
            </w:r>
          </w:p>
        </w:tc>
        <w:tc>
          <w:tcPr>
            <w:tcW w:w="450" w:type="pct"/>
            <w:noWrap/>
            <w:vAlign w:val="center"/>
          </w:tcPr>
          <w:p w14:paraId="1EF4226C">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三级</w:t>
            </w:r>
          </w:p>
        </w:tc>
        <w:tc>
          <w:tcPr>
            <w:tcW w:w="452" w:type="pct"/>
            <w:noWrap/>
            <w:vAlign w:val="center"/>
          </w:tcPr>
          <w:p w14:paraId="6F2316C7">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r>
      <w:tr w14:paraId="1091C10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943" w:type="pct"/>
            <w:noWrap/>
            <w:vAlign w:val="center"/>
          </w:tcPr>
          <w:p w14:paraId="6DE7EDD5">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不敏感</w:t>
            </w:r>
          </w:p>
        </w:tc>
        <w:tc>
          <w:tcPr>
            <w:tcW w:w="450" w:type="pct"/>
            <w:noWrap/>
            <w:vAlign w:val="center"/>
          </w:tcPr>
          <w:p w14:paraId="6CCF9D55">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一级</w:t>
            </w:r>
          </w:p>
        </w:tc>
        <w:tc>
          <w:tcPr>
            <w:tcW w:w="450" w:type="pct"/>
            <w:noWrap/>
            <w:vAlign w:val="center"/>
          </w:tcPr>
          <w:p w14:paraId="40882F0E">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二级</w:t>
            </w:r>
          </w:p>
        </w:tc>
        <w:tc>
          <w:tcPr>
            <w:tcW w:w="452" w:type="pct"/>
            <w:noWrap/>
            <w:vAlign w:val="center"/>
          </w:tcPr>
          <w:p w14:paraId="41F16C9D">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二级</w:t>
            </w:r>
          </w:p>
        </w:tc>
        <w:tc>
          <w:tcPr>
            <w:tcW w:w="450" w:type="pct"/>
            <w:noWrap/>
            <w:vAlign w:val="center"/>
          </w:tcPr>
          <w:p w14:paraId="31379D89">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二级</w:t>
            </w:r>
          </w:p>
        </w:tc>
        <w:tc>
          <w:tcPr>
            <w:tcW w:w="451" w:type="pct"/>
            <w:noWrap/>
            <w:vAlign w:val="center"/>
          </w:tcPr>
          <w:p w14:paraId="226C163E">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三级</w:t>
            </w:r>
          </w:p>
        </w:tc>
        <w:tc>
          <w:tcPr>
            <w:tcW w:w="451" w:type="pct"/>
            <w:noWrap/>
            <w:vAlign w:val="center"/>
          </w:tcPr>
          <w:p w14:paraId="04416F05">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三级</w:t>
            </w:r>
          </w:p>
        </w:tc>
        <w:tc>
          <w:tcPr>
            <w:tcW w:w="451" w:type="pct"/>
            <w:noWrap/>
            <w:vAlign w:val="center"/>
          </w:tcPr>
          <w:p w14:paraId="2CD69A38">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三级</w:t>
            </w:r>
          </w:p>
        </w:tc>
        <w:tc>
          <w:tcPr>
            <w:tcW w:w="450" w:type="pct"/>
            <w:noWrap/>
            <w:vAlign w:val="center"/>
          </w:tcPr>
          <w:p w14:paraId="67063D1C">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452" w:type="pct"/>
            <w:noWrap/>
            <w:vAlign w:val="center"/>
          </w:tcPr>
          <w:p w14:paraId="278C6B23">
            <w:pPr>
              <w:tabs>
                <w:tab w:val="right" w:pos="8240"/>
              </w:tabs>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r>
      <w:tr w14:paraId="26B8F92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5000" w:type="pct"/>
            <w:gridSpan w:val="10"/>
            <w:noWrap/>
          </w:tcPr>
          <w:p w14:paraId="28286F2F">
            <w:pPr>
              <w:tabs>
                <w:tab w:val="right" w:pos="8240"/>
              </w:tabs>
              <w:spacing w:line="240" w:lineRule="auto"/>
              <w:ind w:firstLine="0" w:firstLineChars="0"/>
              <w:jc w:val="left"/>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注：“</w:t>
            </w:r>
            <w:r>
              <w:rPr>
                <w:rFonts w:hint="eastAsia" w:ascii="Times New Roman" w:hAnsi="Times New Roman" w:eastAsia="宋体" w:cs="Times New Roman"/>
                <w:bCs/>
                <w:color w:val="auto"/>
                <w:sz w:val="21"/>
                <w:szCs w:val="21"/>
                <w:highlight w:val="none"/>
                <w:lang w:eastAsia="zh-CN"/>
              </w:rPr>
              <w:t>－</w:t>
            </w:r>
            <w:r>
              <w:rPr>
                <w:rFonts w:hint="default" w:ascii="Times New Roman" w:hAnsi="Times New Roman" w:eastAsia="宋体" w:cs="Times New Roman"/>
                <w:bCs/>
                <w:color w:val="auto"/>
                <w:sz w:val="21"/>
                <w:szCs w:val="21"/>
                <w:highlight w:val="none"/>
              </w:rPr>
              <w:t>”表示可不开展土壤环境影响评价工作</w:t>
            </w:r>
          </w:p>
        </w:tc>
      </w:tr>
    </w:tbl>
    <w:p w14:paraId="200ED6B4">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szCs w:val="28"/>
          <w:highlight w:val="none"/>
        </w:rPr>
        <w:t>本项目</w:t>
      </w:r>
      <w:r>
        <w:rPr>
          <w:rFonts w:hint="eastAsia" w:ascii="Times New Roman" w:hAnsi="Times New Roman" w:eastAsia="宋体" w:cs="Times New Roman"/>
          <w:color w:val="auto"/>
          <w:szCs w:val="28"/>
          <w:highlight w:val="none"/>
          <w:lang w:eastAsia="zh-CN"/>
        </w:rPr>
        <w:t>为污染影响型建设项目，</w:t>
      </w:r>
      <w:r>
        <w:rPr>
          <w:rFonts w:hint="default" w:ascii="Times New Roman" w:hAnsi="Times New Roman" w:eastAsia="宋体" w:cs="Times New Roman"/>
          <w:color w:val="auto"/>
          <w:szCs w:val="28"/>
          <w:highlight w:val="none"/>
          <w:lang w:eastAsia="zh-CN"/>
        </w:rPr>
        <w:t>周边存在居民区</w:t>
      </w:r>
      <w:r>
        <w:rPr>
          <w:rFonts w:hint="eastAsia" w:ascii="Times New Roman" w:hAnsi="Times New Roman" w:eastAsia="宋体" w:cs="Times New Roman"/>
          <w:color w:val="auto"/>
          <w:szCs w:val="28"/>
          <w:highlight w:val="none"/>
          <w:lang w:val="en-US" w:eastAsia="zh-CN"/>
        </w:rPr>
        <w:t>和耕地</w:t>
      </w:r>
      <w:r>
        <w:rPr>
          <w:rFonts w:hint="eastAsia" w:ascii="Times New Roman" w:hAnsi="Times New Roman" w:eastAsia="宋体" w:cs="Times New Roman"/>
          <w:color w:val="auto"/>
          <w:szCs w:val="28"/>
          <w:highlight w:val="none"/>
          <w:lang w:eastAsia="zh-CN"/>
        </w:rPr>
        <w:t>，</w:t>
      </w:r>
      <w:r>
        <w:rPr>
          <w:rFonts w:hint="default" w:ascii="Times New Roman" w:hAnsi="Times New Roman" w:eastAsia="宋体" w:cs="Times New Roman"/>
          <w:color w:val="auto"/>
          <w:szCs w:val="28"/>
          <w:highlight w:val="none"/>
          <w:lang w:eastAsia="zh-CN"/>
        </w:rPr>
        <w:t>因此敏感程度属于敏感</w:t>
      </w:r>
      <w:r>
        <w:rPr>
          <w:rFonts w:hint="default" w:ascii="Times New Roman" w:hAnsi="Times New Roman" w:eastAsia="宋体" w:cs="Times New Roman"/>
          <w:color w:val="auto"/>
          <w:szCs w:val="28"/>
          <w:highlight w:val="none"/>
        </w:rPr>
        <w:t>。</w:t>
      </w:r>
      <w:r>
        <w:rPr>
          <w:rFonts w:hint="default" w:ascii="Times New Roman" w:hAnsi="Times New Roman" w:eastAsia="宋体" w:cs="Times New Roman"/>
          <w:color w:val="auto"/>
          <w:highlight w:val="none"/>
        </w:rPr>
        <w:t>确定本次土壤环境评价等级为三级。</w:t>
      </w:r>
    </w:p>
    <w:p w14:paraId="6FD04F75">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（2）评价范围</w:t>
      </w:r>
    </w:p>
    <w:p w14:paraId="62F49E67">
      <w:pPr>
        <w:ind w:firstLine="480"/>
        <w:rPr>
          <w:color w:val="auto"/>
          <w:highlight w:val="none"/>
        </w:rPr>
      </w:pPr>
      <w:r>
        <w:rPr>
          <w:rFonts w:hint="default" w:ascii="Times New Roman" w:hAnsi="Times New Roman" w:eastAsia="宋体" w:cs="Times New Roman"/>
          <w:color w:val="auto"/>
          <w:highlight w:val="none"/>
        </w:rPr>
        <w:t>根据</w:t>
      </w:r>
      <w:r>
        <w:rPr>
          <w:rFonts w:hint="eastAsia" w:ascii="Times New Roman" w:hAnsi="Times New Roman" w:eastAsia="宋体" w:cs="Times New Roman"/>
          <w:color w:val="auto"/>
          <w:highlight w:val="none"/>
          <w:lang w:eastAsia="zh-CN"/>
        </w:rPr>
        <w:t>《环境影响评价技术导则 土壤环境（试行）》</w:t>
      </w:r>
      <w:r>
        <w:rPr>
          <w:rFonts w:hint="default" w:ascii="Times New Roman" w:hAnsi="Times New Roman" w:eastAsia="宋体" w:cs="Times New Roman"/>
          <w:color w:val="auto"/>
          <w:highlight w:val="none"/>
        </w:rPr>
        <w:t>（HJ964-2018）“7.2调查评价范围”，本项目为污染影响型项目，评价等级为三级，因此本项目土壤环境影响评价范围为厂区占地范围及厂区边界外0.05km范围内。</w:t>
      </w:r>
    </w:p>
    <w:p w14:paraId="399A9983">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161" w:name="_Toc1088"/>
      <w:bookmarkStart w:id="162" w:name="_Toc22179"/>
      <w:bookmarkStart w:id="163" w:name="_Toc15192"/>
      <w:bookmarkStart w:id="164" w:name="_Toc4830"/>
      <w:bookmarkStart w:id="165" w:name="_Toc107238099"/>
      <w:bookmarkStart w:id="166" w:name="_Toc105659882"/>
      <w:r>
        <w:rPr>
          <w:rFonts w:hint="default" w:ascii="Times New Roman" w:hAnsi="Times New Roman" w:eastAsia="宋体" w:cs="Times New Roman"/>
          <w:color w:val="auto"/>
          <w:highlight w:val="none"/>
        </w:rPr>
        <w:t>生态环境</w:t>
      </w:r>
      <w:bookmarkEnd w:id="161"/>
      <w:bookmarkEnd w:id="162"/>
      <w:bookmarkEnd w:id="163"/>
      <w:bookmarkEnd w:id="164"/>
    </w:p>
    <w:p w14:paraId="27EA73C1">
      <w:pPr>
        <w:pStyle w:val="35"/>
        <w:spacing w:after="0"/>
        <w:ind w:firstLine="480" w:firstLineChars="200"/>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spacing w:val="0"/>
          <w:sz w:val="24"/>
          <w:szCs w:val="24"/>
          <w:highlight w:val="none"/>
        </w:rPr>
        <w:t>（1）评价等级</w:t>
      </w:r>
    </w:p>
    <w:p w14:paraId="0F55E2A1">
      <w:pPr>
        <w:bidi w:val="0"/>
        <w:rPr>
          <w:rFonts w:hint="default" w:ascii="Times New Roman" w:hAnsi="Times New Roman" w:eastAsia="宋体" w:cs="Times New Roman"/>
          <w:color w:val="auto"/>
          <w:spacing w:val="0"/>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rPr>
        <w:t>根据</w:t>
      </w:r>
      <w:r>
        <w:rPr>
          <w:rFonts w:hint="default" w:ascii="Times New Roman" w:hAnsi="Times New Roman" w:eastAsia="宋体" w:cs="Times New Roman"/>
          <w:color w:val="auto"/>
          <w:kern w:val="0"/>
          <w:sz w:val="24"/>
          <w:szCs w:val="24"/>
          <w:highlight w:val="none"/>
          <w:lang w:eastAsia="zh-CN"/>
        </w:rPr>
        <w:t xml:space="preserve">《环境影响评价技术导则 </w:t>
      </w:r>
      <w:r>
        <w:rPr>
          <w:rFonts w:hint="default" w:ascii="Times New Roman" w:hAnsi="Times New Roman" w:eastAsia="宋体" w:cs="Times New Roman"/>
          <w:color w:val="auto"/>
          <w:kern w:val="0"/>
          <w:sz w:val="24"/>
          <w:szCs w:val="24"/>
          <w:highlight w:val="none"/>
          <w:lang w:val="en-US" w:eastAsia="zh-CN"/>
        </w:rPr>
        <w:t>生态影响</w:t>
      </w:r>
      <w:r>
        <w:rPr>
          <w:rFonts w:hint="default" w:ascii="Times New Roman" w:hAnsi="Times New Roman" w:eastAsia="宋体" w:cs="Times New Roman"/>
          <w:color w:val="auto"/>
          <w:kern w:val="0"/>
          <w:sz w:val="24"/>
          <w:szCs w:val="24"/>
          <w:highlight w:val="none"/>
          <w:lang w:eastAsia="zh-CN"/>
        </w:rPr>
        <w:t>》（HJ</w:t>
      </w:r>
      <w:r>
        <w:rPr>
          <w:rFonts w:hint="default" w:ascii="Times New Roman" w:hAnsi="Times New Roman" w:eastAsia="宋体" w:cs="Times New Roman"/>
          <w:color w:val="auto"/>
          <w:kern w:val="0"/>
          <w:sz w:val="24"/>
          <w:szCs w:val="24"/>
          <w:highlight w:val="none"/>
          <w:lang w:val="en-US" w:eastAsia="zh-CN"/>
        </w:rPr>
        <w:t>19</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2022</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sz w:val="24"/>
          <w:szCs w:val="24"/>
          <w:highlight w:val="none"/>
        </w:rPr>
        <w:t>中</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6.1评价等级判定</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要求中</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6.1.8符合生态环境分区管控要求且位于原厂界（或永久用地）范围内的污染影响类改扩建项目，位于已批准规划环评的产业园区内且符合规划环评要求、不涉及生态敏感区的污染影响类建设项目，可不确定评价等级，直接进行生态影响简单分析。</w:t>
      </w:r>
      <w:r>
        <w:rPr>
          <w:rFonts w:hint="default" w:ascii="Times New Roman" w:hAnsi="Times New Roman" w:eastAsia="宋体" w:cs="Times New Roman"/>
          <w:color w:val="auto"/>
          <w:sz w:val="24"/>
          <w:szCs w:val="24"/>
          <w:highlight w:val="none"/>
          <w:lang w:eastAsia="zh-CN"/>
        </w:rPr>
        <w:t>”本项目在原有厂区永久占地范围内</w:t>
      </w:r>
      <w:r>
        <w:rPr>
          <w:rFonts w:hint="eastAsia" w:ascii="Times New Roman" w:hAnsi="Times New Roman" w:eastAsia="宋体" w:cs="Times New Roman"/>
          <w:color w:val="auto"/>
          <w:sz w:val="24"/>
          <w:szCs w:val="24"/>
          <w:highlight w:val="none"/>
          <w:lang w:eastAsia="zh-CN"/>
        </w:rPr>
        <w:t>建设</w:t>
      </w:r>
      <w:r>
        <w:rPr>
          <w:rFonts w:hint="default" w:ascii="Times New Roman" w:hAnsi="Times New Roman" w:eastAsia="宋体" w:cs="Times New Roman"/>
          <w:color w:val="auto"/>
          <w:sz w:val="24"/>
          <w:szCs w:val="24"/>
          <w:highlight w:val="none"/>
          <w:lang w:eastAsia="zh-CN"/>
        </w:rPr>
        <w:t>，不新增占地，直接进行生态影响简单分析</w:t>
      </w:r>
      <w:r>
        <w:rPr>
          <w:rFonts w:hint="default" w:ascii="Times New Roman" w:hAnsi="Times New Roman" w:eastAsia="宋体" w:cs="Times New Roman"/>
          <w:color w:val="auto"/>
          <w:sz w:val="24"/>
          <w:szCs w:val="24"/>
          <w:highlight w:val="none"/>
          <w:lang w:val="en-US" w:eastAsia="zh-CN"/>
        </w:rPr>
        <w:t>。</w:t>
      </w:r>
    </w:p>
    <w:p w14:paraId="6AFE4301">
      <w:pPr>
        <w:pStyle w:val="35"/>
        <w:spacing w:after="0"/>
        <w:ind w:firstLine="480" w:firstLineChars="200"/>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spacing w:val="0"/>
          <w:sz w:val="24"/>
          <w:szCs w:val="24"/>
          <w:highlight w:val="none"/>
        </w:rPr>
        <w:t>（2）评价范围</w:t>
      </w:r>
    </w:p>
    <w:p w14:paraId="6B45286E">
      <w:pPr>
        <w:pStyle w:val="14"/>
        <w:ind w:firstLine="480"/>
        <w:rPr>
          <w:rFonts w:hint="default" w:ascii="Times New Roman" w:hAnsi="Times New Roman" w:eastAsia="宋体" w:cs="Times New Roman"/>
          <w:color w:val="auto"/>
          <w:spacing w:val="0"/>
          <w:sz w:val="24"/>
          <w:szCs w:val="24"/>
          <w:highlight w:val="none"/>
          <w:lang w:eastAsia="zh-CN"/>
        </w:rPr>
      </w:pPr>
      <w:r>
        <w:rPr>
          <w:rFonts w:hint="default" w:ascii="Times New Roman" w:hAnsi="Times New Roman" w:eastAsia="宋体" w:cs="Times New Roman"/>
          <w:color w:val="auto"/>
          <w:spacing w:val="0"/>
          <w:sz w:val="24"/>
          <w:szCs w:val="24"/>
          <w:highlight w:val="none"/>
        </w:rPr>
        <w:t>本项目</w:t>
      </w:r>
      <w:r>
        <w:rPr>
          <w:rFonts w:hint="eastAsia" w:ascii="Times New Roman" w:hAnsi="Times New Roman" w:eastAsia="宋体" w:cs="Times New Roman"/>
          <w:color w:val="auto"/>
          <w:spacing w:val="0"/>
          <w:sz w:val="24"/>
          <w:szCs w:val="24"/>
          <w:highlight w:val="none"/>
          <w:lang w:eastAsia="zh-CN"/>
        </w:rPr>
        <w:t>无须设置</w:t>
      </w:r>
      <w:r>
        <w:rPr>
          <w:rFonts w:hint="default" w:ascii="Times New Roman" w:hAnsi="Times New Roman" w:eastAsia="宋体" w:cs="Times New Roman"/>
          <w:color w:val="auto"/>
          <w:spacing w:val="0"/>
          <w:sz w:val="24"/>
          <w:szCs w:val="24"/>
          <w:highlight w:val="none"/>
        </w:rPr>
        <w:t>生态环境评价范围</w:t>
      </w:r>
      <w:r>
        <w:rPr>
          <w:rFonts w:hint="default" w:ascii="Times New Roman" w:hAnsi="Times New Roman" w:eastAsia="宋体" w:cs="Times New Roman"/>
          <w:color w:val="auto"/>
          <w:spacing w:val="0"/>
          <w:sz w:val="24"/>
          <w:szCs w:val="24"/>
          <w:highlight w:val="none"/>
          <w:lang w:eastAsia="zh-CN"/>
        </w:rPr>
        <w:t>。</w:t>
      </w:r>
    </w:p>
    <w:p w14:paraId="4CBB3F35">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167" w:name="_Toc13044"/>
      <w:bookmarkStart w:id="168" w:name="_Toc8817"/>
      <w:bookmarkStart w:id="169" w:name="_Toc4530"/>
      <w:bookmarkStart w:id="170" w:name="_Toc9992"/>
      <w:r>
        <w:rPr>
          <w:rFonts w:hint="default" w:ascii="Times New Roman" w:hAnsi="Times New Roman" w:eastAsia="宋体" w:cs="Times New Roman"/>
          <w:color w:val="auto"/>
          <w:highlight w:val="none"/>
        </w:rPr>
        <w:t>环境风险</w:t>
      </w:r>
      <w:bookmarkEnd w:id="165"/>
      <w:bookmarkEnd w:id="166"/>
      <w:bookmarkEnd w:id="167"/>
      <w:bookmarkEnd w:id="168"/>
      <w:bookmarkEnd w:id="169"/>
      <w:bookmarkEnd w:id="170"/>
    </w:p>
    <w:p w14:paraId="38A00DA8">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建设项目风险源调查</w:t>
      </w:r>
    </w:p>
    <w:p w14:paraId="335EC5CC">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建设项目环境风险评价技术导则》（HJ169-2018）的规定，建设项目环境风险评价工作等级分为一级、二级和三级。根据建设项目涉及的物质及工艺系统危险性和所在地的环境敏感性确定环境风险潜势，按照下表确定评价工作等级。风险潜势为Ⅳ及以上，进行一级评价；风险潜势为Ⅲ，进行二级评价；风险潜势为Ⅱ，进行三级评价；风险潜势为Ⅰ，可开展简单分析。</w:t>
      </w:r>
    </w:p>
    <w:p w14:paraId="475E63CE">
      <w:pPr>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表2.4-</w:t>
      </w:r>
      <w:r>
        <w:rPr>
          <w:rFonts w:hint="default" w:ascii="Times New Roman" w:hAnsi="Times New Roman" w:eastAsia="宋体" w:cs="Times New Roman"/>
          <w:color w:val="auto"/>
          <w:highlight w:val="none"/>
          <w:lang w:val="en-US" w:eastAsia="zh-CN"/>
        </w:rPr>
        <w:t>1</w:t>
      </w:r>
      <w:r>
        <w:rPr>
          <w:rFonts w:hint="eastAsia" w:ascii="Times New Roman" w:hAnsi="Times New Roman" w:eastAsia="宋体" w:cs="Times New Roman"/>
          <w:color w:val="auto"/>
          <w:highlight w:val="none"/>
          <w:lang w:val="en-US" w:eastAsia="zh-CN"/>
        </w:rPr>
        <w:t>0</w:t>
      </w:r>
      <w:r>
        <w:rPr>
          <w:rFonts w:hint="default" w:ascii="Times New Roman" w:hAnsi="Times New Roman" w:eastAsia="宋体" w:cs="Times New Roman"/>
          <w:color w:val="auto"/>
          <w:highlight w:val="none"/>
        </w:rPr>
        <w:t xml:space="preserve"> 建设项目环境风险评价工作等级划分一览表（HJ169-2018）</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523"/>
        <w:gridCol w:w="1749"/>
        <w:gridCol w:w="1749"/>
        <w:gridCol w:w="1749"/>
        <w:gridCol w:w="1752"/>
      </w:tblGrid>
      <w:tr w14:paraId="383C37B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894" w:type="pct"/>
            <w:vAlign w:val="center"/>
          </w:tcPr>
          <w:p w14:paraId="338DF7D4">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环境风险潜势</w:t>
            </w:r>
          </w:p>
        </w:tc>
        <w:tc>
          <w:tcPr>
            <w:tcW w:w="1026" w:type="pct"/>
            <w:vAlign w:val="center"/>
          </w:tcPr>
          <w:p w14:paraId="218B79DB">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Ⅳ、Ⅳ</w:t>
            </w:r>
            <w:r>
              <w:rPr>
                <w:rFonts w:hint="default" w:ascii="Times New Roman" w:hAnsi="Times New Roman" w:eastAsia="宋体" w:cs="Times New Roman"/>
                <w:color w:val="auto"/>
                <w:highlight w:val="none"/>
                <w:vertAlign w:val="superscript"/>
              </w:rPr>
              <w:t>+</w:t>
            </w:r>
          </w:p>
        </w:tc>
        <w:tc>
          <w:tcPr>
            <w:tcW w:w="1026" w:type="pct"/>
            <w:vAlign w:val="center"/>
          </w:tcPr>
          <w:p w14:paraId="19D9145B">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Ⅲ</w:t>
            </w:r>
          </w:p>
        </w:tc>
        <w:tc>
          <w:tcPr>
            <w:tcW w:w="1026" w:type="pct"/>
            <w:vAlign w:val="center"/>
          </w:tcPr>
          <w:p w14:paraId="7DF3BC55">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Ⅱ</w:t>
            </w:r>
          </w:p>
        </w:tc>
        <w:tc>
          <w:tcPr>
            <w:tcW w:w="1026" w:type="pct"/>
            <w:vAlign w:val="center"/>
          </w:tcPr>
          <w:p w14:paraId="0856411F">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Ⅰ</w:t>
            </w:r>
          </w:p>
        </w:tc>
      </w:tr>
      <w:tr w14:paraId="0383ED5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894" w:type="pct"/>
            <w:vAlign w:val="center"/>
          </w:tcPr>
          <w:p w14:paraId="7A24E524">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评价工作等级</w:t>
            </w:r>
          </w:p>
        </w:tc>
        <w:tc>
          <w:tcPr>
            <w:tcW w:w="1026" w:type="pct"/>
            <w:vAlign w:val="center"/>
          </w:tcPr>
          <w:p w14:paraId="7BCEFB16">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一</w:t>
            </w:r>
          </w:p>
        </w:tc>
        <w:tc>
          <w:tcPr>
            <w:tcW w:w="1026" w:type="pct"/>
            <w:vAlign w:val="center"/>
          </w:tcPr>
          <w:p w14:paraId="7BC410AA">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二</w:t>
            </w:r>
          </w:p>
        </w:tc>
        <w:tc>
          <w:tcPr>
            <w:tcW w:w="1026" w:type="pct"/>
            <w:vAlign w:val="center"/>
          </w:tcPr>
          <w:p w14:paraId="129CB8FD">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三</w:t>
            </w:r>
          </w:p>
        </w:tc>
        <w:tc>
          <w:tcPr>
            <w:tcW w:w="1026" w:type="pct"/>
            <w:vAlign w:val="center"/>
          </w:tcPr>
          <w:p w14:paraId="5FD61197">
            <w:pPr>
              <w:pStyle w:val="63"/>
              <w:rPr>
                <w:rFonts w:hint="default" w:ascii="Times New Roman" w:hAnsi="Times New Roman" w:eastAsia="宋体" w:cs="Times New Roman"/>
                <w:color w:val="auto"/>
                <w:highlight w:val="none"/>
                <w:vertAlign w:val="superscript"/>
              </w:rPr>
            </w:pPr>
            <w:r>
              <w:rPr>
                <w:rFonts w:hint="default" w:ascii="Times New Roman" w:hAnsi="Times New Roman" w:eastAsia="宋体" w:cs="Times New Roman"/>
                <w:color w:val="auto"/>
                <w:highlight w:val="none"/>
              </w:rPr>
              <w:t>简单分析</w:t>
            </w:r>
            <w:r>
              <w:rPr>
                <w:rFonts w:hint="default" w:ascii="Times New Roman" w:hAnsi="Times New Roman" w:eastAsia="宋体" w:cs="Times New Roman"/>
                <w:color w:val="auto"/>
                <w:highlight w:val="none"/>
                <w:vertAlign w:val="superscript"/>
              </w:rPr>
              <w:t>a</w:t>
            </w:r>
          </w:p>
        </w:tc>
      </w:tr>
      <w:tr w14:paraId="5D134FF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48" w:hRule="atLeast"/>
          <w:jc w:val="center"/>
        </w:trPr>
        <w:tc>
          <w:tcPr>
            <w:tcW w:w="5000" w:type="pct"/>
            <w:gridSpan w:val="5"/>
            <w:vAlign w:val="center"/>
          </w:tcPr>
          <w:p w14:paraId="5FA29C73">
            <w:pPr>
              <w:pStyle w:val="63"/>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a</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相对于详细评价工作内容而言，在描述危险物质、环境影响用途、环境危害后果、风险防范措施等方面给出定性的说明。</w:t>
            </w:r>
          </w:p>
        </w:tc>
      </w:tr>
    </w:tbl>
    <w:p w14:paraId="68E61A42">
      <w:pPr>
        <w:ind w:firstLine="480"/>
        <w:rPr>
          <w:rFonts w:hint="default" w:ascii="Times New Roman" w:hAnsi="Times New Roman" w:eastAsia="宋体" w:cs="Times New Roman"/>
          <w:color w:val="auto"/>
          <w:highlight w:val="none"/>
        </w:rPr>
      </w:pPr>
      <w:r>
        <w:rPr>
          <w:rFonts w:hint="eastAsia" w:ascii="Times New Roman" w:hAnsi="Times New Roman" w:eastAsia="宋体" w:cs="Times New Roman"/>
          <w:color w:val="FF0000"/>
          <w:sz w:val="24"/>
          <w:szCs w:val="24"/>
          <w:highlight w:val="none"/>
          <w:lang w:val="en-US" w:eastAsia="zh-CN"/>
        </w:rPr>
        <w:t>本项目锅炉为床上点火，使用木材点火，不使用柴油。</w:t>
      </w:r>
      <w:r>
        <w:rPr>
          <w:rFonts w:hint="default" w:ascii="Times New Roman" w:hAnsi="Times New Roman" w:eastAsia="宋体" w:cs="Times New Roman"/>
          <w:color w:val="auto"/>
          <w:sz w:val="24"/>
          <w:szCs w:val="24"/>
          <w:highlight w:val="none"/>
          <w:lang w:val="en-US" w:eastAsia="zh-CN"/>
        </w:rPr>
        <w:t>本项目所涉及的危险物质主要</w:t>
      </w:r>
      <w:r>
        <w:rPr>
          <w:rFonts w:hint="eastAsia" w:ascii="Times New Roman" w:hAnsi="Times New Roman" w:eastAsia="宋体" w:cs="Times New Roman"/>
          <w:color w:val="auto"/>
          <w:sz w:val="24"/>
          <w:szCs w:val="24"/>
          <w:highlight w:val="none"/>
          <w:lang w:val="en-US" w:eastAsia="zh-CN"/>
        </w:rPr>
        <w:t>为设备检修产生的废矿物油</w:t>
      </w:r>
      <w:r>
        <w:rPr>
          <w:rFonts w:hint="default" w:ascii="Times New Roman" w:hAnsi="Times New Roman" w:eastAsia="宋体" w:cs="Times New Roman"/>
          <w:color w:val="auto"/>
          <w:sz w:val="24"/>
          <w:szCs w:val="24"/>
          <w:highlight w:val="none"/>
          <w:lang w:val="en-US" w:eastAsia="zh-CN"/>
        </w:rPr>
        <w:t>。</w:t>
      </w:r>
    </w:p>
    <w:p w14:paraId="60F78F11">
      <w:pPr>
        <w:bidi w:val="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val="en-US" w:eastAsia="zh-CN"/>
        </w:rPr>
        <w:t>危险物质及工艺系统危险性（P）分级</w:t>
      </w:r>
    </w:p>
    <w:p w14:paraId="1A50B0CF">
      <w:pPr>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根据《</w:t>
      </w:r>
      <w:r>
        <w:rPr>
          <w:rFonts w:hint="default" w:ascii="Times New Roman" w:hAnsi="Times New Roman" w:eastAsia="宋体" w:cs="Times New Roman"/>
          <w:color w:val="auto"/>
          <w:highlight w:val="none"/>
          <w:lang w:eastAsia="zh-CN"/>
        </w:rPr>
        <w:t>建设项目环境风险评价技术导则</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HJ169-2018</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中“</w:t>
      </w:r>
      <w:r>
        <w:rPr>
          <w:rFonts w:hint="default" w:ascii="Times New Roman" w:hAnsi="Times New Roman" w:eastAsia="宋体" w:cs="Times New Roman"/>
          <w:color w:val="auto"/>
          <w:highlight w:val="none"/>
          <w:lang w:val="en-US" w:eastAsia="zh-CN"/>
        </w:rPr>
        <w:t>6.2 P的分级确定</w:t>
      </w:r>
      <w:r>
        <w:rPr>
          <w:rFonts w:hint="default" w:ascii="Times New Roman" w:hAnsi="Times New Roman" w:eastAsia="宋体" w:cs="Times New Roman"/>
          <w:color w:val="auto"/>
          <w:highlight w:val="none"/>
          <w:lang w:eastAsia="zh-CN"/>
        </w:rPr>
        <w:t>”可知，应</w:t>
      </w:r>
      <w:r>
        <w:rPr>
          <w:rFonts w:hint="default" w:ascii="Times New Roman" w:hAnsi="Times New Roman" w:eastAsia="宋体" w:cs="Times New Roman"/>
          <w:color w:val="auto"/>
          <w:highlight w:val="none"/>
          <w:lang w:val="en-US" w:eastAsia="zh-CN"/>
        </w:rPr>
        <w:t>分析建设项目生产、使用、储存过程中涉及的有毒有害、易燃易爆物质，参见“附录B重点关注的危险物质及临界量”确定危险物质的临界量。定量分析危险物质数量与临界量的比值（Q）和所属行业及生产工艺特点（M），按“附录C危险物质及工艺系统危险性（P）的分级”对危险物质及工艺系统危险性（P）等级进行判断。</w:t>
      </w:r>
    </w:p>
    <w:p w14:paraId="2F67D26B">
      <w:pPr>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①危险物质数量与临界量比值（Q）</w:t>
      </w:r>
    </w:p>
    <w:p w14:paraId="5CEA08C9">
      <w:pPr>
        <w:bidi w:val="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根据《</w:t>
      </w:r>
      <w:r>
        <w:rPr>
          <w:rFonts w:hint="default" w:ascii="Times New Roman" w:hAnsi="Times New Roman" w:eastAsia="宋体" w:cs="Times New Roman"/>
          <w:color w:val="auto"/>
          <w:highlight w:val="none"/>
          <w:lang w:eastAsia="zh-CN"/>
        </w:rPr>
        <w:t>建设项目环境风险评价技术导则</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HJ169-2018</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中附录</w:t>
      </w:r>
      <w:r>
        <w:rPr>
          <w:rFonts w:hint="default" w:ascii="Times New Roman" w:hAnsi="Times New Roman" w:eastAsia="宋体" w:cs="Times New Roman"/>
          <w:color w:val="auto"/>
          <w:highlight w:val="none"/>
          <w:lang w:val="en-US" w:eastAsia="zh-CN"/>
        </w:rPr>
        <w:t>C中C.1.1</w:t>
      </w:r>
      <w:r>
        <w:rPr>
          <w:rFonts w:hint="default" w:ascii="Times New Roman" w:hAnsi="Times New Roman" w:eastAsia="宋体" w:cs="Times New Roman"/>
          <w:color w:val="auto"/>
          <w:highlight w:val="none"/>
          <w:lang w:eastAsia="zh-CN"/>
        </w:rPr>
        <w:t>可知，应</w:t>
      </w:r>
      <w:r>
        <w:rPr>
          <w:rFonts w:hint="default" w:ascii="Times New Roman" w:hAnsi="Times New Roman" w:eastAsia="宋体" w:cs="Times New Roman"/>
          <w:color w:val="auto"/>
          <w:highlight w:val="none"/>
          <w:lang w:val="en-US" w:eastAsia="zh-CN"/>
        </w:rPr>
        <w:t>计算所涉及的每种危险物质在厂界内的最大存在总量与其在导则中附录B中对应临界量的比值Q。在不同厂区的同一种物质，按其在厂界内的最大存在总量计算。当只涉及一种危险物质时，计算该物质的总量与其临界量比值，即为Q；当存在多种危险物质时，则按下式计算物质总量与其临界量比值</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Q</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w:t>
      </w:r>
    </w:p>
    <w:p w14:paraId="31D9D393">
      <w:pPr>
        <w:bidi w:val="0"/>
        <w:ind w:left="0" w:leftChars="0" w:firstLine="0" w:firstLineChars="0"/>
        <w:jc w:val="center"/>
        <w:rPr>
          <w:rFonts w:hint="default" w:ascii="Times New Roman" w:hAnsi="Times New Roman" w:eastAsia="宋体" w:cs="Times New Roman"/>
          <w:color w:val="auto"/>
          <w:spacing w:val="-2"/>
          <w:sz w:val="24"/>
          <w:szCs w:val="24"/>
          <w:highlight w:val="none"/>
          <w:lang w:val="en-US" w:eastAsia="zh-CN"/>
        </w:rPr>
      </w:pPr>
      <w:r>
        <w:rPr>
          <w:rFonts w:hint="default" w:ascii="Times New Roman" w:hAnsi="Times New Roman" w:eastAsia="宋体" w:cs="Times New Roman"/>
          <w:color w:val="auto"/>
          <w:sz w:val="24"/>
          <w:szCs w:val="24"/>
          <w:highlight w:val="none"/>
        </w:rPr>
        <w:drawing>
          <wp:inline distT="0" distB="0" distL="114300" distR="114300">
            <wp:extent cx="1941195" cy="490855"/>
            <wp:effectExtent l="0" t="0" r="1905" b="4445"/>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25"/>
                    <a:stretch>
                      <a:fillRect/>
                    </a:stretch>
                  </pic:blipFill>
                  <pic:spPr>
                    <a:xfrm>
                      <a:off x="0" y="0"/>
                      <a:ext cx="1941195" cy="490855"/>
                    </a:xfrm>
                    <a:prstGeom prst="rect">
                      <a:avLst/>
                    </a:prstGeom>
                    <a:noFill/>
                    <a:ln>
                      <a:noFill/>
                    </a:ln>
                  </pic:spPr>
                </pic:pic>
              </a:graphicData>
            </a:graphic>
          </wp:inline>
        </w:drawing>
      </w:r>
    </w:p>
    <w:p w14:paraId="252DA1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both"/>
        <w:textAlignment w:val="auto"/>
        <w:outlineLvl w:val="9"/>
        <w:rPr>
          <w:rFonts w:hint="default" w:ascii="Times New Roman" w:hAnsi="Times New Roman" w:eastAsia="宋体" w:cs="Times New Roman"/>
          <w:color w:val="auto"/>
          <w:spacing w:val="-2"/>
          <w:sz w:val="24"/>
          <w:szCs w:val="24"/>
          <w:highlight w:val="none"/>
          <w:lang w:val="en-US" w:eastAsia="zh-CN"/>
        </w:rPr>
      </w:pPr>
      <w:r>
        <w:rPr>
          <w:rFonts w:hint="default" w:ascii="Times New Roman" w:hAnsi="Times New Roman" w:eastAsia="宋体" w:cs="Times New Roman"/>
          <w:color w:val="auto"/>
          <w:spacing w:val="-2"/>
          <w:sz w:val="24"/>
          <w:szCs w:val="24"/>
          <w:highlight w:val="none"/>
          <w:lang w:val="en-US" w:eastAsia="zh-CN"/>
        </w:rPr>
        <w:t>式中，q</w:t>
      </w:r>
      <w:r>
        <w:rPr>
          <w:rFonts w:hint="default" w:ascii="Times New Roman" w:hAnsi="Times New Roman" w:eastAsia="宋体" w:cs="Times New Roman"/>
          <w:color w:val="auto"/>
          <w:spacing w:val="-2"/>
          <w:sz w:val="24"/>
          <w:szCs w:val="24"/>
          <w:highlight w:val="none"/>
          <w:vertAlign w:val="subscript"/>
          <w:lang w:val="en-US" w:eastAsia="zh-CN"/>
        </w:rPr>
        <w:t>n</w:t>
      </w:r>
      <w:r>
        <w:rPr>
          <w:rFonts w:hint="default" w:ascii="Times New Roman" w:hAnsi="Times New Roman" w:eastAsia="宋体" w:cs="Times New Roman"/>
          <w:color w:val="auto"/>
          <w:spacing w:val="-2"/>
          <w:sz w:val="24"/>
          <w:szCs w:val="24"/>
          <w:highlight w:val="none"/>
          <w:lang w:val="en-US" w:eastAsia="zh-CN"/>
        </w:rPr>
        <w:t>：每种危险物质的最大存在总量，t；Q</w:t>
      </w:r>
      <w:r>
        <w:rPr>
          <w:rFonts w:hint="default" w:ascii="Times New Roman" w:hAnsi="Times New Roman" w:eastAsia="宋体" w:cs="Times New Roman"/>
          <w:color w:val="auto"/>
          <w:spacing w:val="-2"/>
          <w:sz w:val="24"/>
          <w:szCs w:val="24"/>
          <w:highlight w:val="none"/>
          <w:vertAlign w:val="subscript"/>
          <w:lang w:val="en-US" w:eastAsia="zh-CN"/>
        </w:rPr>
        <w:t>n</w:t>
      </w:r>
      <w:r>
        <w:rPr>
          <w:rFonts w:hint="default" w:ascii="Times New Roman" w:hAnsi="Times New Roman" w:eastAsia="宋体" w:cs="Times New Roman"/>
          <w:color w:val="auto"/>
          <w:spacing w:val="-2"/>
          <w:sz w:val="24"/>
          <w:szCs w:val="24"/>
          <w:highlight w:val="none"/>
          <w:lang w:val="en-US" w:eastAsia="zh-CN"/>
        </w:rPr>
        <w:t>：每种危险物质的临界量，t。</w:t>
      </w:r>
    </w:p>
    <w:p w14:paraId="36F51FE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2" w:firstLineChars="200"/>
        <w:jc w:val="both"/>
        <w:textAlignment w:val="auto"/>
        <w:outlineLvl w:val="9"/>
        <w:rPr>
          <w:rFonts w:hint="default" w:ascii="Times New Roman" w:hAnsi="Times New Roman" w:eastAsia="宋体" w:cs="Times New Roman"/>
          <w:color w:val="auto"/>
          <w:spacing w:val="-2"/>
          <w:sz w:val="24"/>
          <w:szCs w:val="24"/>
          <w:highlight w:val="none"/>
          <w:lang w:val="en-US" w:eastAsia="zh-CN"/>
        </w:rPr>
      </w:pPr>
      <w:r>
        <w:rPr>
          <w:rFonts w:hint="default" w:ascii="Times New Roman" w:hAnsi="Times New Roman" w:eastAsia="宋体" w:cs="Times New Roman"/>
          <w:color w:val="auto"/>
          <w:spacing w:val="-2"/>
          <w:sz w:val="24"/>
          <w:szCs w:val="24"/>
          <w:highlight w:val="none"/>
          <w:lang w:val="en-US" w:eastAsia="zh-CN"/>
        </w:rPr>
        <w:t>当Q＜1时，该项目环境风险潜势为Ⅰ；当Q≥1时，将Q值划分为1≤Q＜10，10≤Q＜100，Q≥100。</w:t>
      </w:r>
    </w:p>
    <w:p w14:paraId="3218007F">
      <w:pPr>
        <w:pStyle w:val="97"/>
        <w:keepNext w:val="0"/>
        <w:keepLines w:val="0"/>
        <w:pageBreakBefore w:val="0"/>
        <w:widowControl w:val="0"/>
        <w:kinsoku/>
        <w:wordWrap/>
        <w:overflowPunct/>
        <w:topLinePunct w:val="0"/>
        <w:autoSpaceDE/>
        <w:autoSpaceDN/>
        <w:bidi w:val="0"/>
        <w:adjustRightInd/>
        <w:snapToGrid/>
        <w:spacing w:line="360" w:lineRule="auto"/>
        <w:ind w:firstLine="472" w:firstLineChars="200"/>
        <w:textAlignment w:val="auto"/>
        <w:rPr>
          <w:rFonts w:hint="default" w:ascii="Times New Roman" w:hAnsi="Times New Roman" w:eastAsia="宋体" w:cs="Times New Roman"/>
          <w:color w:val="auto"/>
          <w:spacing w:val="-2"/>
          <w:sz w:val="24"/>
          <w:szCs w:val="24"/>
          <w:highlight w:val="none"/>
          <w:lang w:val="en-US" w:eastAsia="zh-CN"/>
        </w:rPr>
      </w:pPr>
      <w:r>
        <w:rPr>
          <w:rFonts w:hint="default" w:ascii="Times New Roman" w:hAnsi="Times New Roman" w:eastAsia="宋体" w:cs="Times New Roman"/>
          <w:color w:val="auto"/>
          <w:spacing w:val="-2"/>
          <w:sz w:val="24"/>
          <w:szCs w:val="24"/>
          <w:highlight w:val="none"/>
          <w:lang w:val="en-US" w:eastAsia="zh-CN"/>
        </w:rPr>
        <w:t>本项目危险物质最大存在总量和临界量的比值Q情况见表2-4-14，通过计算可知本项目危险物质数量与临界量比值Q=0.</w:t>
      </w:r>
      <w:r>
        <w:rPr>
          <w:rFonts w:hint="eastAsia" w:ascii="Times New Roman" w:hAnsi="Times New Roman" w:eastAsia="宋体" w:cs="Times New Roman"/>
          <w:color w:val="auto"/>
          <w:spacing w:val="-2"/>
          <w:sz w:val="24"/>
          <w:szCs w:val="24"/>
          <w:highlight w:val="none"/>
          <w:lang w:val="en-US" w:eastAsia="zh-CN"/>
        </w:rPr>
        <w:t>0</w:t>
      </w:r>
      <w:r>
        <w:rPr>
          <w:rFonts w:hint="default" w:ascii="Times New Roman" w:hAnsi="Times New Roman" w:eastAsia="宋体" w:cs="Times New Roman"/>
          <w:color w:val="auto"/>
          <w:spacing w:val="-2"/>
          <w:sz w:val="24"/>
          <w:szCs w:val="24"/>
          <w:highlight w:val="none"/>
          <w:lang w:val="en-US" w:eastAsia="zh-CN"/>
        </w:rPr>
        <w:t>0</w:t>
      </w:r>
      <w:r>
        <w:rPr>
          <w:rFonts w:hint="eastAsia" w:ascii="Times New Roman" w:hAnsi="Times New Roman" w:eastAsia="宋体" w:cs="Times New Roman"/>
          <w:color w:val="auto"/>
          <w:spacing w:val="-2"/>
          <w:sz w:val="24"/>
          <w:szCs w:val="24"/>
          <w:highlight w:val="none"/>
          <w:lang w:val="en-US" w:eastAsia="zh-CN"/>
        </w:rPr>
        <w:t>0</w:t>
      </w:r>
      <w:r>
        <w:rPr>
          <w:rFonts w:hint="default" w:ascii="Times New Roman" w:hAnsi="Times New Roman" w:eastAsia="宋体" w:cs="Times New Roman"/>
          <w:color w:val="auto"/>
          <w:spacing w:val="-2"/>
          <w:sz w:val="24"/>
          <w:szCs w:val="24"/>
          <w:highlight w:val="none"/>
          <w:lang w:val="en-US" w:eastAsia="zh-CN"/>
        </w:rPr>
        <w:t>04＜1，该项目环境风险潜势为Ⅰ级。</w:t>
      </w:r>
    </w:p>
    <w:p w14:paraId="115C5B40">
      <w:pPr>
        <w:keepNext w:val="0"/>
        <w:keepLines w:val="0"/>
        <w:pageBreakBefore w:val="0"/>
        <w:widowControl w:val="0"/>
        <w:kinsoku/>
        <w:wordWrap/>
        <w:overflowPunct/>
        <w:topLinePunct w:val="0"/>
        <w:autoSpaceDE/>
        <w:autoSpaceDN/>
        <w:bidi w:val="0"/>
        <w:adjustRightInd/>
        <w:snapToGrid/>
        <w:spacing w:line="500" w:lineRule="exact"/>
        <w:ind w:firstLine="482"/>
        <w:jc w:val="center"/>
        <w:textAlignment w:val="auto"/>
        <w:outlineLvl w:val="9"/>
        <w:rPr>
          <w:rFonts w:hint="default" w:ascii="Times New Roman" w:hAnsi="Times New Roman" w:eastAsia="宋体" w:cs="Times New Roman"/>
          <w:b/>
          <w:color w:val="auto"/>
          <w:spacing w:val="0"/>
          <w:sz w:val="24"/>
          <w:szCs w:val="24"/>
          <w:highlight w:val="none"/>
          <w:lang w:val="en-US" w:eastAsia="zh-CN"/>
        </w:rPr>
      </w:pPr>
      <w:r>
        <w:rPr>
          <w:rFonts w:hint="default" w:ascii="Times New Roman" w:hAnsi="Times New Roman" w:eastAsia="宋体" w:cs="Times New Roman"/>
          <w:color w:val="auto"/>
          <w:spacing w:val="0"/>
          <w:kern w:val="0"/>
          <w:sz w:val="24"/>
          <w:szCs w:val="24"/>
          <w:highlight w:val="none"/>
          <w:lang w:val="en-US" w:eastAsia="zh-CN" w:bidi="ar-SA"/>
        </w:rPr>
        <w:t>表2.4-1</w:t>
      </w:r>
      <w:r>
        <w:rPr>
          <w:rFonts w:hint="eastAsia" w:ascii="Times New Roman" w:hAnsi="Times New Roman" w:eastAsia="宋体" w:cs="Times New Roman"/>
          <w:color w:val="auto"/>
          <w:spacing w:val="0"/>
          <w:kern w:val="0"/>
          <w:sz w:val="24"/>
          <w:szCs w:val="24"/>
          <w:highlight w:val="none"/>
          <w:lang w:val="en-US" w:eastAsia="zh-CN" w:bidi="ar-SA"/>
        </w:rPr>
        <w:t>1</w:t>
      </w:r>
      <w:r>
        <w:rPr>
          <w:rFonts w:hint="default" w:ascii="Times New Roman" w:hAnsi="Times New Roman" w:eastAsia="宋体" w:cs="Times New Roman"/>
          <w:color w:val="auto"/>
          <w:spacing w:val="0"/>
          <w:kern w:val="0"/>
          <w:sz w:val="24"/>
          <w:szCs w:val="24"/>
          <w:highlight w:val="none"/>
          <w:lang w:val="en-US" w:eastAsia="zh-CN" w:bidi="ar-SA"/>
        </w:rPr>
        <w:t xml:space="preserve">  本项目Q值确定表</w:t>
      </w:r>
    </w:p>
    <w:tbl>
      <w:tblPr>
        <w:tblStyle w:val="38"/>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68"/>
        <w:gridCol w:w="1604"/>
        <w:gridCol w:w="1181"/>
        <w:gridCol w:w="1922"/>
        <w:gridCol w:w="1220"/>
        <w:gridCol w:w="1924"/>
      </w:tblGrid>
      <w:tr w14:paraId="3CB444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tcBorders>
              <w:top w:val="single" w:color="auto" w:sz="12" w:space="0"/>
              <w:left w:val="nil"/>
            </w:tcBorders>
            <w:noWrap w:val="0"/>
            <w:vAlign w:val="center"/>
          </w:tcPr>
          <w:p w14:paraId="0CD09D62">
            <w:pPr>
              <w:pStyle w:val="47"/>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序号</w:t>
            </w:r>
          </w:p>
        </w:tc>
        <w:tc>
          <w:tcPr>
            <w:tcW w:w="941" w:type="pct"/>
            <w:tcBorders>
              <w:top w:val="single" w:color="auto" w:sz="12" w:space="0"/>
            </w:tcBorders>
            <w:noWrap w:val="0"/>
            <w:vAlign w:val="center"/>
          </w:tcPr>
          <w:p w14:paraId="13A5D52C">
            <w:pPr>
              <w:pStyle w:val="47"/>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危险物质名称</w:t>
            </w:r>
          </w:p>
        </w:tc>
        <w:tc>
          <w:tcPr>
            <w:tcW w:w="693" w:type="pct"/>
            <w:tcBorders>
              <w:top w:val="single" w:color="auto" w:sz="12" w:space="0"/>
            </w:tcBorders>
            <w:noWrap w:val="0"/>
            <w:vAlign w:val="center"/>
          </w:tcPr>
          <w:p w14:paraId="42C5EE9F">
            <w:pPr>
              <w:pStyle w:val="47"/>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CAS号</w:t>
            </w:r>
          </w:p>
        </w:tc>
        <w:tc>
          <w:tcPr>
            <w:tcW w:w="1128" w:type="pct"/>
            <w:tcBorders>
              <w:top w:val="single" w:color="auto" w:sz="12" w:space="0"/>
            </w:tcBorders>
            <w:noWrap w:val="0"/>
            <w:vAlign w:val="center"/>
          </w:tcPr>
          <w:p w14:paraId="7B83E18B">
            <w:pPr>
              <w:pStyle w:val="47"/>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最大存在总量q</w:t>
            </w:r>
            <w:r>
              <w:rPr>
                <w:rFonts w:hint="default" w:ascii="Times New Roman" w:hAnsi="Times New Roman" w:eastAsia="宋体" w:cs="Times New Roman"/>
                <w:b w:val="0"/>
                <w:bCs/>
                <w:color w:val="auto"/>
                <w:sz w:val="21"/>
                <w:szCs w:val="21"/>
                <w:highlight w:val="none"/>
                <w:vertAlign w:val="subscript"/>
                <w:lang w:val="en-US" w:eastAsia="zh-CN"/>
              </w:rPr>
              <w:t>n</w:t>
            </w:r>
            <w:r>
              <w:rPr>
                <w:rFonts w:hint="default" w:ascii="Times New Roman" w:hAnsi="Times New Roman" w:eastAsia="宋体" w:cs="Times New Roman"/>
                <w:b w:val="0"/>
                <w:bCs/>
                <w:color w:val="auto"/>
                <w:sz w:val="21"/>
                <w:szCs w:val="21"/>
                <w:highlight w:val="none"/>
                <w:vertAlign w:val="baseline"/>
                <w:lang w:val="en-US" w:eastAsia="zh-CN"/>
              </w:rPr>
              <w:t>/t</w:t>
            </w:r>
          </w:p>
        </w:tc>
        <w:tc>
          <w:tcPr>
            <w:tcW w:w="715" w:type="pct"/>
            <w:tcBorders>
              <w:top w:val="single" w:color="auto" w:sz="12" w:space="0"/>
            </w:tcBorders>
            <w:noWrap w:val="0"/>
            <w:vAlign w:val="center"/>
          </w:tcPr>
          <w:p w14:paraId="0D98A449">
            <w:pPr>
              <w:pStyle w:val="47"/>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临界值Q</w:t>
            </w:r>
            <w:r>
              <w:rPr>
                <w:rFonts w:hint="default" w:ascii="Times New Roman" w:hAnsi="Times New Roman" w:eastAsia="宋体" w:cs="Times New Roman"/>
                <w:b w:val="0"/>
                <w:bCs/>
                <w:color w:val="auto"/>
                <w:sz w:val="21"/>
                <w:szCs w:val="21"/>
                <w:highlight w:val="none"/>
                <w:vertAlign w:val="subscript"/>
                <w:lang w:val="en-US" w:eastAsia="zh-CN"/>
              </w:rPr>
              <w:t>n</w:t>
            </w:r>
            <w:r>
              <w:rPr>
                <w:rFonts w:hint="default" w:ascii="Times New Roman" w:hAnsi="Times New Roman" w:eastAsia="宋体" w:cs="Times New Roman"/>
                <w:b w:val="0"/>
                <w:bCs/>
                <w:color w:val="auto"/>
                <w:sz w:val="21"/>
                <w:szCs w:val="21"/>
                <w:highlight w:val="none"/>
                <w:vertAlign w:val="baseline"/>
                <w:lang w:val="en-US" w:eastAsia="zh-CN"/>
              </w:rPr>
              <w:t>/t</w:t>
            </w:r>
          </w:p>
        </w:tc>
        <w:tc>
          <w:tcPr>
            <w:tcW w:w="1129" w:type="pct"/>
            <w:tcBorders>
              <w:top w:val="single" w:color="auto" w:sz="12" w:space="0"/>
              <w:right w:val="nil"/>
            </w:tcBorders>
            <w:noWrap w:val="0"/>
            <w:vAlign w:val="center"/>
          </w:tcPr>
          <w:p w14:paraId="2D78BD0B">
            <w:pPr>
              <w:pStyle w:val="47"/>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该种危险物质Q值</w:t>
            </w:r>
          </w:p>
        </w:tc>
      </w:tr>
      <w:tr w14:paraId="0AD64D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2" w:type="pct"/>
            <w:tcBorders>
              <w:left w:val="nil"/>
            </w:tcBorders>
            <w:noWrap w:val="0"/>
            <w:vAlign w:val="center"/>
          </w:tcPr>
          <w:p w14:paraId="68828E76">
            <w:pPr>
              <w:pStyle w:val="47"/>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1</w:t>
            </w:r>
          </w:p>
        </w:tc>
        <w:tc>
          <w:tcPr>
            <w:tcW w:w="941" w:type="pct"/>
            <w:noWrap w:val="0"/>
            <w:vAlign w:val="center"/>
          </w:tcPr>
          <w:p w14:paraId="4135C8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val="0"/>
                <w:bCs/>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lang w:val="en-US" w:eastAsia="zh-CN"/>
              </w:rPr>
              <w:t>废矿物油</w:t>
            </w:r>
          </w:p>
        </w:tc>
        <w:tc>
          <w:tcPr>
            <w:tcW w:w="693" w:type="pct"/>
            <w:noWrap w:val="0"/>
            <w:vAlign w:val="center"/>
          </w:tcPr>
          <w:p w14:paraId="5CF0564E">
            <w:pPr>
              <w:pStyle w:val="47"/>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w:t>
            </w:r>
          </w:p>
        </w:tc>
        <w:tc>
          <w:tcPr>
            <w:tcW w:w="1128" w:type="pct"/>
            <w:noWrap w:val="0"/>
            <w:vAlign w:val="center"/>
          </w:tcPr>
          <w:p w14:paraId="0CEDB48C">
            <w:pPr>
              <w:keepNext w:val="0"/>
              <w:keepLines w:val="0"/>
              <w:pageBreakBefore w:val="0"/>
              <w:widowControl w:val="0"/>
              <w:kinsoku/>
              <w:wordWrap/>
              <w:overflowPunct/>
              <w:topLinePunct w:val="0"/>
              <w:bidi w:val="0"/>
              <w:snapToGrid/>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eastAsia" w:ascii="Times New Roman" w:hAnsi="Times New Roman" w:eastAsia="宋体" w:cs="Times New Roman"/>
                <w:b w:val="0"/>
                <w:bCs/>
                <w:color w:val="auto"/>
                <w:sz w:val="21"/>
                <w:szCs w:val="21"/>
                <w:highlight w:val="none"/>
                <w:vertAlign w:val="baseline"/>
                <w:lang w:val="en-US" w:eastAsia="zh-CN"/>
              </w:rPr>
              <w:t>0.1</w:t>
            </w:r>
          </w:p>
        </w:tc>
        <w:tc>
          <w:tcPr>
            <w:tcW w:w="715" w:type="pct"/>
            <w:noWrap w:val="0"/>
            <w:vAlign w:val="center"/>
          </w:tcPr>
          <w:p w14:paraId="169D4B38">
            <w:pPr>
              <w:pStyle w:val="47"/>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2500</w:t>
            </w:r>
          </w:p>
        </w:tc>
        <w:tc>
          <w:tcPr>
            <w:tcW w:w="1129" w:type="pct"/>
            <w:tcBorders>
              <w:right w:val="nil"/>
            </w:tcBorders>
            <w:noWrap w:val="0"/>
            <w:vAlign w:val="center"/>
          </w:tcPr>
          <w:p w14:paraId="28962D66">
            <w:pPr>
              <w:pStyle w:val="47"/>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0.0</w:t>
            </w:r>
            <w:r>
              <w:rPr>
                <w:rFonts w:hint="eastAsia" w:ascii="Times New Roman" w:hAnsi="Times New Roman" w:cs="Times New Roman"/>
                <w:b w:val="0"/>
                <w:bCs/>
                <w:color w:val="auto"/>
                <w:sz w:val="21"/>
                <w:szCs w:val="21"/>
                <w:highlight w:val="none"/>
                <w:vertAlign w:val="baseline"/>
                <w:lang w:val="en-US" w:eastAsia="zh-CN"/>
              </w:rPr>
              <w:t>00</w:t>
            </w:r>
            <w:r>
              <w:rPr>
                <w:rFonts w:hint="default" w:ascii="Times New Roman" w:hAnsi="Times New Roman" w:eastAsia="宋体" w:cs="Times New Roman"/>
                <w:b w:val="0"/>
                <w:bCs/>
                <w:color w:val="auto"/>
                <w:sz w:val="21"/>
                <w:szCs w:val="21"/>
                <w:highlight w:val="none"/>
                <w:vertAlign w:val="baseline"/>
                <w:lang w:val="en-US" w:eastAsia="zh-CN"/>
              </w:rPr>
              <w:t>04</w:t>
            </w:r>
          </w:p>
        </w:tc>
      </w:tr>
      <w:tr w14:paraId="78F4FF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70" w:type="pct"/>
            <w:gridSpan w:val="5"/>
            <w:tcBorders>
              <w:left w:val="nil"/>
              <w:bottom w:val="single" w:color="auto" w:sz="12" w:space="0"/>
            </w:tcBorders>
            <w:noWrap w:val="0"/>
            <w:vAlign w:val="center"/>
          </w:tcPr>
          <w:p w14:paraId="1E38A30D">
            <w:pPr>
              <w:pStyle w:val="47"/>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项目Q值∑</w:t>
            </w:r>
          </w:p>
        </w:tc>
        <w:tc>
          <w:tcPr>
            <w:tcW w:w="1129" w:type="pct"/>
            <w:tcBorders>
              <w:bottom w:val="single" w:color="auto" w:sz="12" w:space="0"/>
              <w:right w:val="nil"/>
            </w:tcBorders>
            <w:noWrap w:val="0"/>
            <w:vAlign w:val="center"/>
          </w:tcPr>
          <w:p w14:paraId="2FD11E98">
            <w:pPr>
              <w:pStyle w:val="47"/>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0.0</w:t>
            </w:r>
            <w:r>
              <w:rPr>
                <w:rFonts w:hint="eastAsia" w:ascii="Times New Roman" w:hAnsi="Times New Roman" w:cs="Times New Roman"/>
                <w:b w:val="0"/>
                <w:bCs/>
                <w:color w:val="auto"/>
                <w:sz w:val="21"/>
                <w:szCs w:val="21"/>
                <w:highlight w:val="none"/>
                <w:vertAlign w:val="baseline"/>
                <w:lang w:val="en-US" w:eastAsia="zh-CN"/>
              </w:rPr>
              <w:t>0</w:t>
            </w:r>
            <w:r>
              <w:rPr>
                <w:rFonts w:hint="default" w:ascii="Times New Roman" w:hAnsi="Times New Roman" w:eastAsia="宋体" w:cs="Times New Roman"/>
                <w:b w:val="0"/>
                <w:bCs/>
                <w:color w:val="auto"/>
                <w:sz w:val="21"/>
                <w:szCs w:val="21"/>
                <w:highlight w:val="none"/>
                <w:vertAlign w:val="baseline"/>
                <w:lang w:val="en-US" w:eastAsia="zh-CN"/>
              </w:rPr>
              <w:t>0</w:t>
            </w:r>
            <w:r>
              <w:rPr>
                <w:rFonts w:hint="eastAsia" w:ascii="Times New Roman" w:hAnsi="Times New Roman" w:cs="Times New Roman"/>
                <w:b w:val="0"/>
                <w:bCs/>
                <w:color w:val="auto"/>
                <w:sz w:val="21"/>
                <w:szCs w:val="21"/>
                <w:highlight w:val="none"/>
                <w:vertAlign w:val="baseline"/>
                <w:lang w:val="en-US" w:eastAsia="zh-CN"/>
              </w:rPr>
              <w:t>0</w:t>
            </w:r>
            <w:r>
              <w:rPr>
                <w:rFonts w:hint="default" w:ascii="Times New Roman" w:hAnsi="Times New Roman" w:eastAsia="宋体" w:cs="Times New Roman"/>
                <w:b w:val="0"/>
                <w:bCs/>
                <w:color w:val="auto"/>
                <w:sz w:val="21"/>
                <w:szCs w:val="21"/>
                <w:highlight w:val="none"/>
                <w:vertAlign w:val="baseline"/>
                <w:lang w:val="en-US" w:eastAsia="zh-CN"/>
              </w:rPr>
              <w:t>4</w:t>
            </w:r>
          </w:p>
        </w:tc>
      </w:tr>
    </w:tbl>
    <w:p w14:paraId="4F629435">
      <w:pPr>
        <w:bidi w:val="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lang w:val="en-US" w:eastAsia="zh-CN"/>
        </w:rPr>
        <w:t>环境风险评价等级判定</w:t>
      </w:r>
    </w:p>
    <w:p w14:paraId="6A3BCCD0">
      <w:pPr>
        <w:bidi w:val="0"/>
        <w:rPr>
          <w:rFonts w:hint="default" w:ascii="Times New Roman" w:hAnsi="Times New Roman" w:eastAsia="宋体" w:cs="Times New Roman"/>
          <w:color w:val="auto"/>
          <w:spacing w:val="-2"/>
          <w:szCs w:val="24"/>
          <w:highlight w:val="none"/>
          <w:lang w:val="en-US" w:eastAsia="zh-CN"/>
        </w:rPr>
      </w:pPr>
      <w:r>
        <w:rPr>
          <w:rFonts w:hint="default" w:ascii="Times New Roman" w:hAnsi="Times New Roman" w:eastAsia="宋体" w:cs="Times New Roman"/>
          <w:color w:val="auto"/>
          <w:highlight w:val="none"/>
          <w:lang w:val="en-US" w:eastAsia="zh-CN"/>
        </w:rPr>
        <w:t>根据《建设项目环境风险评价技术导则》（H169-2018），本项目危险物质数量与临界量比值Q为</w:t>
      </w:r>
      <w:r>
        <w:rPr>
          <w:rFonts w:hint="eastAsia" w:ascii="Times New Roman" w:hAnsi="Times New Roman" w:eastAsia="宋体" w:cs="Times New Roman"/>
          <w:color w:val="auto"/>
          <w:highlight w:val="none"/>
          <w:lang w:val="en-US" w:eastAsia="zh-CN"/>
        </w:rPr>
        <w:t>0.00004</w:t>
      </w:r>
      <w:r>
        <w:rPr>
          <w:rFonts w:hint="default" w:ascii="Times New Roman" w:hAnsi="Times New Roman" w:eastAsia="宋体" w:cs="Times New Roman"/>
          <w:color w:val="auto"/>
          <w:highlight w:val="none"/>
          <w:lang w:val="en-US" w:eastAsia="zh-CN"/>
        </w:rPr>
        <w:t>＜1，环境风险潜势为Ⅰ级，根据表2.4-10，本项目环境风险评价等级为简单分析。</w:t>
      </w:r>
    </w:p>
    <w:p w14:paraId="35751A4D">
      <w:pPr>
        <w:pStyle w:val="4"/>
        <w:numPr>
          <w:ilvl w:val="1"/>
          <w:numId w:val="3"/>
        </w:numPr>
        <w:ind w:left="567" w:leftChars="0" w:hanging="567" w:firstLineChars="0"/>
        <w:rPr>
          <w:rFonts w:hint="default" w:ascii="Times New Roman" w:hAnsi="Times New Roman" w:eastAsia="宋体" w:cs="Times New Roman"/>
          <w:color w:val="auto"/>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49D0C268">
      <w:pPr>
        <w:pStyle w:val="4"/>
        <w:numPr>
          <w:ilvl w:val="1"/>
          <w:numId w:val="3"/>
        </w:numPr>
        <w:ind w:left="567" w:leftChars="0" w:hanging="567" w:firstLineChars="0"/>
        <w:rPr>
          <w:rFonts w:hint="default" w:ascii="Times New Roman" w:hAnsi="Times New Roman" w:eastAsia="宋体" w:cs="Times New Roman"/>
          <w:b/>
          <w:bCs/>
          <w:color w:val="auto"/>
          <w:highlight w:val="none"/>
        </w:rPr>
      </w:pPr>
      <w:bookmarkStart w:id="171" w:name="_Toc20784"/>
      <w:bookmarkStart w:id="172" w:name="_Toc29618"/>
      <w:r>
        <w:rPr>
          <w:rFonts w:hint="default" w:ascii="Times New Roman" w:hAnsi="Times New Roman" w:eastAsia="宋体" w:cs="Times New Roman"/>
          <w:b/>
          <w:bCs/>
          <w:color w:val="auto"/>
          <w:highlight w:val="none"/>
        </w:rPr>
        <w:t>主要环境保护目标</w:t>
      </w:r>
      <w:bookmarkEnd w:id="171"/>
      <w:bookmarkEnd w:id="172"/>
    </w:p>
    <w:p w14:paraId="42900B2A">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szCs w:val="24"/>
          <w:highlight w:val="none"/>
        </w:rPr>
        <w:t>经现场踏查，本项目评价范围内无国家级、省级、市级自然保护区、风景名胜区、名胜古迹、疗养院以及重要的政治文化设施和饮用水水源保护区等保护目标</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本项目表2.5-1中选取距离厂址较近的居民区、村屯、学校作为代表性环境空气保护目标；声环境保护目标见表2.5-2和图2.4-</w:t>
      </w:r>
      <w:r>
        <w:rPr>
          <w:rFonts w:hint="eastAsia" w:ascii="Times New Roman" w:hAnsi="Times New Roman" w:eastAsia="宋体" w:cs="Times New Roman"/>
          <w:color w:val="auto"/>
          <w:kern w:val="0"/>
          <w:sz w:val="24"/>
          <w:szCs w:val="24"/>
          <w:highlight w:val="none"/>
          <w:lang w:val="en-US" w:eastAsia="zh-CN"/>
        </w:rPr>
        <w:t>4</w:t>
      </w:r>
      <w:r>
        <w:rPr>
          <w:rFonts w:hint="default" w:ascii="Times New Roman" w:hAnsi="Times New Roman" w:eastAsia="宋体" w:cs="Times New Roman"/>
          <w:color w:val="auto"/>
          <w:sz w:val="24"/>
          <w:szCs w:val="24"/>
          <w:highlight w:val="none"/>
          <w:lang w:val="en-US" w:eastAsia="zh-CN"/>
        </w:rPr>
        <w:t>。</w:t>
      </w:r>
    </w:p>
    <w:p w14:paraId="65923F03">
      <w:pPr>
        <w:pStyle w:val="103"/>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表2</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5-</w:t>
      </w:r>
      <w:r>
        <w:rPr>
          <w:rFonts w:hint="default" w:ascii="Times New Roman" w:hAnsi="Times New Roman" w:eastAsia="宋体" w:cs="Times New Roman"/>
          <w:color w:val="auto"/>
          <w:highlight w:val="none"/>
          <w:lang w:val="en-US" w:eastAsia="zh-CN"/>
        </w:rPr>
        <w:t xml:space="preserve">1 </w:t>
      </w:r>
      <w:r>
        <w:rPr>
          <w:rFonts w:hint="default" w:ascii="Times New Roman" w:hAnsi="Times New Roman" w:eastAsia="宋体" w:cs="Times New Roman"/>
          <w:color w:val="auto"/>
          <w:highlight w:val="none"/>
        </w:rPr>
        <w:t xml:space="preserve"> 本项目</w:t>
      </w:r>
      <w:r>
        <w:rPr>
          <w:rFonts w:hint="default" w:ascii="Times New Roman" w:hAnsi="Times New Roman" w:eastAsia="宋体" w:cs="Times New Roman"/>
          <w:color w:val="auto"/>
          <w:highlight w:val="none"/>
          <w:lang w:eastAsia="zh-CN"/>
        </w:rPr>
        <w:t>环境</w:t>
      </w:r>
      <w:r>
        <w:rPr>
          <w:rFonts w:hint="default" w:ascii="Times New Roman" w:hAnsi="Times New Roman" w:eastAsia="宋体" w:cs="Times New Roman"/>
          <w:color w:val="auto"/>
          <w:highlight w:val="none"/>
        </w:rPr>
        <w:t>保护目标情况表</w:t>
      </w:r>
    </w:p>
    <w:tbl>
      <w:tblPr>
        <w:tblStyle w:val="3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24"/>
        <w:gridCol w:w="569"/>
        <w:gridCol w:w="2829"/>
        <w:gridCol w:w="1488"/>
        <w:gridCol w:w="1329"/>
        <w:gridCol w:w="1358"/>
        <w:gridCol w:w="808"/>
        <w:gridCol w:w="2962"/>
        <w:gridCol w:w="890"/>
        <w:gridCol w:w="1117"/>
      </w:tblGrid>
      <w:tr w14:paraId="13F4D7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0" w:type="pct"/>
            <w:vMerge w:val="restart"/>
            <w:tcBorders>
              <w:tl2br w:val="nil"/>
              <w:tr2bl w:val="nil"/>
            </w:tcBorders>
            <w:noWrap w:val="0"/>
            <w:vAlign w:val="center"/>
          </w:tcPr>
          <w:p w14:paraId="152D9AE6">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环境</w:t>
            </w:r>
          </w:p>
          <w:p w14:paraId="0FA21637">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要素</w:t>
            </w:r>
          </w:p>
        </w:tc>
        <w:tc>
          <w:tcPr>
            <w:tcW w:w="200" w:type="pct"/>
            <w:vMerge w:val="restart"/>
            <w:tcBorders>
              <w:tl2br w:val="nil"/>
              <w:tr2bl w:val="nil"/>
            </w:tcBorders>
            <w:noWrap w:val="0"/>
            <w:vAlign w:val="center"/>
          </w:tcPr>
          <w:p w14:paraId="2A20A82F">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val="en-US" w:eastAsia="zh-CN"/>
              </w:rPr>
              <w:t>序号</w:t>
            </w:r>
          </w:p>
        </w:tc>
        <w:tc>
          <w:tcPr>
            <w:tcW w:w="997" w:type="pct"/>
            <w:vMerge w:val="restart"/>
            <w:tcBorders>
              <w:tl2br w:val="nil"/>
              <w:tr2bl w:val="nil"/>
            </w:tcBorders>
            <w:noWrap w:val="0"/>
            <w:vAlign w:val="center"/>
          </w:tcPr>
          <w:p w14:paraId="0C4478FC">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名称</w:t>
            </w:r>
          </w:p>
        </w:tc>
        <w:tc>
          <w:tcPr>
            <w:tcW w:w="993" w:type="pct"/>
            <w:gridSpan w:val="2"/>
            <w:tcBorders>
              <w:tl2br w:val="nil"/>
              <w:tr2bl w:val="nil"/>
            </w:tcBorders>
            <w:noWrap w:val="0"/>
            <w:vAlign w:val="center"/>
          </w:tcPr>
          <w:p w14:paraId="7F0FE2E9">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eastAsia="zh-CN"/>
              </w:rPr>
              <w:t>坐标</w:t>
            </w:r>
          </w:p>
        </w:tc>
        <w:tc>
          <w:tcPr>
            <w:tcW w:w="479" w:type="pct"/>
            <w:vMerge w:val="restart"/>
            <w:tcBorders>
              <w:tl2br w:val="nil"/>
              <w:tr2bl w:val="nil"/>
            </w:tcBorders>
            <w:noWrap w:val="0"/>
            <w:vAlign w:val="center"/>
          </w:tcPr>
          <w:p w14:paraId="7DFE8978">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保护</w:t>
            </w:r>
          </w:p>
          <w:p w14:paraId="4B1CE606">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对象</w:t>
            </w:r>
          </w:p>
        </w:tc>
        <w:tc>
          <w:tcPr>
            <w:tcW w:w="285" w:type="pct"/>
            <w:vMerge w:val="restart"/>
            <w:tcBorders>
              <w:tl2br w:val="nil"/>
              <w:tr2bl w:val="nil"/>
            </w:tcBorders>
            <w:noWrap w:val="0"/>
            <w:vAlign w:val="center"/>
          </w:tcPr>
          <w:p w14:paraId="6C239EC0">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保护内容</w:t>
            </w:r>
          </w:p>
        </w:tc>
        <w:tc>
          <w:tcPr>
            <w:tcW w:w="1044" w:type="pct"/>
            <w:vMerge w:val="restart"/>
            <w:tcBorders>
              <w:tl2br w:val="nil"/>
              <w:tr2bl w:val="nil"/>
            </w:tcBorders>
            <w:noWrap w:val="0"/>
            <w:vAlign w:val="center"/>
          </w:tcPr>
          <w:p w14:paraId="4E95985C">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环境功能区</w:t>
            </w:r>
          </w:p>
        </w:tc>
        <w:tc>
          <w:tcPr>
            <w:tcW w:w="313" w:type="pct"/>
            <w:vMerge w:val="restart"/>
            <w:tcBorders>
              <w:tl2br w:val="nil"/>
              <w:tr2bl w:val="nil"/>
            </w:tcBorders>
            <w:noWrap w:val="0"/>
            <w:vAlign w:val="center"/>
          </w:tcPr>
          <w:p w14:paraId="32D78304">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相对厂址方位</w:t>
            </w:r>
          </w:p>
        </w:tc>
        <w:tc>
          <w:tcPr>
            <w:tcW w:w="394" w:type="pct"/>
            <w:vMerge w:val="restart"/>
            <w:tcBorders>
              <w:tl2br w:val="nil"/>
              <w:tr2bl w:val="nil"/>
            </w:tcBorders>
            <w:noWrap w:val="0"/>
            <w:vAlign w:val="center"/>
          </w:tcPr>
          <w:p w14:paraId="4B3808C9">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eastAsia="zh-CN"/>
              </w:rPr>
              <w:t>相对厂界距离</w:t>
            </w:r>
            <w:r>
              <w:rPr>
                <w:rFonts w:hint="default" w:ascii="Times New Roman" w:hAnsi="Times New Roman" w:eastAsia="宋体" w:cs="Times New Roman"/>
                <w:color w:val="auto"/>
                <w:sz w:val="21"/>
                <w:szCs w:val="21"/>
                <w:highlight w:val="none"/>
                <w:vertAlign w:val="baseline"/>
                <w:lang w:val="en-US" w:eastAsia="zh-CN"/>
              </w:rPr>
              <w:t>约/m</w:t>
            </w:r>
          </w:p>
        </w:tc>
      </w:tr>
      <w:tr w14:paraId="42E37A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0" w:type="pct"/>
            <w:vMerge w:val="continue"/>
            <w:tcBorders>
              <w:tl2br w:val="nil"/>
              <w:tr2bl w:val="nil"/>
            </w:tcBorders>
            <w:noWrap w:val="0"/>
            <w:vAlign w:val="center"/>
          </w:tcPr>
          <w:p w14:paraId="2473E5C4">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eastAsia="zh-CN"/>
              </w:rPr>
            </w:pPr>
          </w:p>
        </w:tc>
        <w:tc>
          <w:tcPr>
            <w:tcW w:w="200" w:type="pct"/>
            <w:vMerge w:val="continue"/>
            <w:tcBorders>
              <w:tl2br w:val="nil"/>
              <w:tr2bl w:val="nil"/>
            </w:tcBorders>
            <w:noWrap w:val="0"/>
            <w:vAlign w:val="center"/>
          </w:tcPr>
          <w:p w14:paraId="2419B738">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val="en-US" w:eastAsia="zh-CN"/>
              </w:rPr>
            </w:pPr>
          </w:p>
        </w:tc>
        <w:tc>
          <w:tcPr>
            <w:tcW w:w="997" w:type="pct"/>
            <w:vMerge w:val="continue"/>
            <w:tcBorders>
              <w:tl2br w:val="nil"/>
              <w:tr2bl w:val="nil"/>
            </w:tcBorders>
            <w:noWrap w:val="0"/>
            <w:vAlign w:val="center"/>
          </w:tcPr>
          <w:p w14:paraId="1D1E3101">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eastAsia="zh-CN"/>
              </w:rPr>
            </w:pPr>
          </w:p>
        </w:tc>
        <w:tc>
          <w:tcPr>
            <w:tcW w:w="524" w:type="pct"/>
            <w:tcBorders>
              <w:tl2br w:val="nil"/>
              <w:tr2bl w:val="nil"/>
            </w:tcBorders>
            <w:noWrap w:val="0"/>
            <w:vAlign w:val="center"/>
          </w:tcPr>
          <w:p w14:paraId="28793497">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val="en-US" w:eastAsia="zh-CN"/>
              </w:rPr>
              <w:t>经度</w:t>
            </w:r>
          </w:p>
        </w:tc>
        <w:tc>
          <w:tcPr>
            <w:tcW w:w="468" w:type="pct"/>
            <w:tcBorders>
              <w:tl2br w:val="nil"/>
              <w:tr2bl w:val="nil"/>
            </w:tcBorders>
            <w:noWrap w:val="0"/>
            <w:vAlign w:val="center"/>
          </w:tcPr>
          <w:p w14:paraId="7B9D6E4A">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val="en-US" w:eastAsia="zh-CN"/>
              </w:rPr>
              <w:t>纬度</w:t>
            </w:r>
          </w:p>
        </w:tc>
        <w:tc>
          <w:tcPr>
            <w:tcW w:w="479" w:type="pct"/>
            <w:vMerge w:val="continue"/>
            <w:tcBorders>
              <w:tl2br w:val="nil"/>
              <w:tr2bl w:val="nil"/>
            </w:tcBorders>
            <w:noWrap w:val="0"/>
            <w:vAlign w:val="center"/>
          </w:tcPr>
          <w:p w14:paraId="32866560">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val="en-US" w:eastAsia="zh-CN"/>
              </w:rPr>
            </w:pPr>
          </w:p>
        </w:tc>
        <w:tc>
          <w:tcPr>
            <w:tcW w:w="285" w:type="pct"/>
            <w:vMerge w:val="continue"/>
            <w:tcBorders>
              <w:tl2br w:val="nil"/>
              <w:tr2bl w:val="nil"/>
            </w:tcBorders>
            <w:noWrap w:val="0"/>
            <w:vAlign w:val="center"/>
          </w:tcPr>
          <w:p w14:paraId="510D1F54">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eastAsia="zh-CN"/>
              </w:rPr>
            </w:pPr>
          </w:p>
        </w:tc>
        <w:tc>
          <w:tcPr>
            <w:tcW w:w="1044" w:type="pct"/>
            <w:vMerge w:val="continue"/>
            <w:tcBorders>
              <w:tl2br w:val="nil"/>
              <w:tr2bl w:val="nil"/>
            </w:tcBorders>
            <w:noWrap w:val="0"/>
            <w:vAlign w:val="center"/>
          </w:tcPr>
          <w:p w14:paraId="67CBFF2A">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eastAsia="zh-CN"/>
              </w:rPr>
            </w:pPr>
          </w:p>
        </w:tc>
        <w:tc>
          <w:tcPr>
            <w:tcW w:w="313" w:type="pct"/>
            <w:vMerge w:val="continue"/>
            <w:tcBorders>
              <w:tl2br w:val="nil"/>
              <w:tr2bl w:val="nil"/>
            </w:tcBorders>
            <w:noWrap w:val="0"/>
            <w:vAlign w:val="center"/>
          </w:tcPr>
          <w:p w14:paraId="0F83FE17">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eastAsia="zh-CN"/>
              </w:rPr>
            </w:pPr>
          </w:p>
        </w:tc>
        <w:tc>
          <w:tcPr>
            <w:tcW w:w="394" w:type="pct"/>
            <w:vMerge w:val="continue"/>
            <w:tcBorders>
              <w:tl2br w:val="nil"/>
              <w:tr2bl w:val="nil"/>
            </w:tcBorders>
            <w:noWrap w:val="0"/>
            <w:vAlign w:val="center"/>
          </w:tcPr>
          <w:p w14:paraId="1C16CD3F">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eastAsia="zh-CN"/>
              </w:rPr>
            </w:pPr>
          </w:p>
        </w:tc>
      </w:tr>
      <w:tr w14:paraId="04549B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0" w:type="pct"/>
            <w:vMerge w:val="restart"/>
            <w:tcBorders>
              <w:tl2br w:val="nil"/>
              <w:tr2bl w:val="nil"/>
            </w:tcBorders>
            <w:noWrap w:val="0"/>
            <w:vAlign w:val="center"/>
          </w:tcPr>
          <w:p w14:paraId="3B8B60CF">
            <w:pPr>
              <w:keepNext w:val="0"/>
              <w:keepLines w:val="0"/>
              <w:pageBreakBefore w:val="0"/>
              <w:widowControl w:val="0"/>
              <w:kinsoku/>
              <w:wordWrap/>
              <w:overflowPunct/>
              <w:topLinePunct w:val="0"/>
              <w:bidi w:val="0"/>
              <w:adjustRightInd/>
              <w:snapToGrid/>
              <w:spacing w:line="240" w:lineRule="auto"/>
              <w:ind w:left="0" w:leftChars="0" w:firstLine="0" w:firstLineChars="0"/>
              <w:jc w:val="center"/>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环境</w:t>
            </w:r>
          </w:p>
          <w:p w14:paraId="44BECE9D">
            <w:pPr>
              <w:keepNext w:val="0"/>
              <w:keepLines w:val="0"/>
              <w:pageBreakBefore w:val="0"/>
              <w:widowControl w:val="0"/>
              <w:kinsoku/>
              <w:wordWrap/>
              <w:overflowPunct/>
              <w:topLinePunct w:val="0"/>
              <w:bidi w:val="0"/>
              <w:adjustRightInd/>
              <w:snapToGrid/>
              <w:spacing w:line="240" w:lineRule="auto"/>
              <w:ind w:left="0" w:leftChars="0" w:firstLine="0" w:firstLineChars="0"/>
              <w:jc w:val="center"/>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空气</w:t>
            </w:r>
          </w:p>
        </w:tc>
        <w:tc>
          <w:tcPr>
            <w:tcW w:w="200" w:type="pct"/>
            <w:tcBorders>
              <w:tl2br w:val="nil"/>
              <w:tr2bl w:val="nil"/>
            </w:tcBorders>
            <w:noWrap w:val="0"/>
            <w:vAlign w:val="center"/>
          </w:tcPr>
          <w:p w14:paraId="59EB81FF">
            <w:pPr>
              <w:keepNext w:val="0"/>
              <w:keepLines w:val="0"/>
              <w:pageBreakBefore w:val="0"/>
              <w:widowControl w:val="0"/>
              <w:kinsoku/>
              <w:wordWrap/>
              <w:overflowPunct/>
              <w:topLinePunct w:val="0"/>
              <w:bidi w:val="0"/>
              <w:adjustRightInd/>
              <w:snapToGrid/>
              <w:spacing w:line="240" w:lineRule="auto"/>
              <w:ind w:left="0" w:leftChars="0" w:firstLine="0" w:firstLineChars="0"/>
              <w:jc w:val="center"/>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1</w:t>
            </w:r>
          </w:p>
        </w:tc>
        <w:tc>
          <w:tcPr>
            <w:tcW w:w="997" w:type="pct"/>
            <w:tcBorders>
              <w:tl2br w:val="nil"/>
              <w:tr2bl w:val="nil"/>
            </w:tcBorders>
            <w:shd w:val="clear" w:color="auto" w:fill="auto"/>
            <w:noWrap w:val="0"/>
            <w:vAlign w:val="top"/>
          </w:tcPr>
          <w:p w14:paraId="2D7BCDA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vertAlign w:val="baseline"/>
                <w:lang w:val="en-US" w:eastAsia="zh-CN"/>
              </w:rPr>
              <w:t>范家屯</w:t>
            </w:r>
          </w:p>
        </w:tc>
        <w:tc>
          <w:tcPr>
            <w:tcW w:w="524" w:type="pct"/>
            <w:tcBorders>
              <w:tl2br w:val="nil"/>
              <w:tr2bl w:val="nil"/>
            </w:tcBorders>
            <w:shd w:val="clear" w:color="auto" w:fill="auto"/>
            <w:noWrap w:val="0"/>
            <w:vAlign w:val="center"/>
          </w:tcPr>
          <w:p w14:paraId="68641FE6">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130.28382161</w:t>
            </w:r>
          </w:p>
        </w:tc>
        <w:tc>
          <w:tcPr>
            <w:tcW w:w="468" w:type="pct"/>
            <w:tcBorders>
              <w:tl2br w:val="nil"/>
              <w:tr2bl w:val="nil"/>
            </w:tcBorders>
            <w:shd w:val="clear" w:color="auto" w:fill="auto"/>
            <w:noWrap w:val="0"/>
            <w:vAlign w:val="center"/>
          </w:tcPr>
          <w:p w14:paraId="795E3B6E">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46.82325567</w:t>
            </w:r>
          </w:p>
        </w:tc>
        <w:tc>
          <w:tcPr>
            <w:tcW w:w="479" w:type="pct"/>
            <w:tcBorders>
              <w:tl2br w:val="nil"/>
              <w:tr2bl w:val="nil"/>
            </w:tcBorders>
            <w:noWrap w:val="0"/>
            <w:vAlign w:val="center"/>
          </w:tcPr>
          <w:p w14:paraId="3913E20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居住区</w:t>
            </w:r>
          </w:p>
        </w:tc>
        <w:tc>
          <w:tcPr>
            <w:tcW w:w="285" w:type="pct"/>
            <w:tcBorders>
              <w:tl2br w:val="nil"/>
              <w:tr2bl w:val="nil"/>
            </w:tcBorders>
            <w:noWrap w:val="0"/>
            <w:vAlign w:val="center"/>
          </w:tcPr>
          <w:p w14:paraId="68AD161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eastAsia" w:ascii="Times New Roman" w:hAnsi="Times New Roman" w:eastAsia="宋体" w:cs="Times New Roman"/>
                <w:color w:val="auto"/>
                <w:sz w:val="21"/>
                <w:szCs w:val="21"/>
                <w:highlight w:val="none"/>
                <w:vertAlign w:val="baseline"/>
                <w:lang w:val="en-US" w:eastAsia="zh-CN"/>
              </w:rPr>
              <w:t>人群</w:t>
            </w:r>
          </w:p>
        </w:tc>
        <w:tc>
          <w:tcPr>
            <w:tcW w:w="1044" w:type="pct"/>
            <w:vMerge w:val="restart"/>
            <w:tcBorders>
              <w:tl2br w:val="nil"/>
              <w:tr2bl w:val="nil"/>
            </w:tcBorders>
            <w:noWrap w:val="0"/>
            <w:vAlign w:val="center"/>
          </w:tcPr>
          <w:p w14:paraId="37A0CDD8">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rPr>
              <w:t>《环境空气质量标准</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GB3095-2012</w:t>
            </w:r>
            <w:r>
              <w:rPr>
                <w:rFonts w:hint="default" w:ascii="Times New Roman" w:hAnsi="Times New Roman" w:eastAsia="宋体" w:cs="Times New Roman"/>
                <w:color w:val="auto"/>
                <w:sz w:val="21"/>
                <w:szCs w:val="21"/>
                <w:highlight w:val="none"/>
                <w:lang w:eastAsia="zh-CN"/>
              </w:rPr>
              <w:t>）二类功能区</w:t>
            </w:r>
          </w:p>
        </w:tc>
        <w:tc>
          <w:tcPr>
            <w:tcW w:w="313" w:type="pct"/>
            <w:tcBorders>
              <w:tl2br w:val="nil"/>
              <w:tr2bl w:val="nil"/>
            </w:tcBorders>
            <w:noWrap w:val="0"/>
            <w:vAlign w:val="top"/>
          </w:tcPr>
          <w:p w14:paraId="77A15242">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eastAsia="宋体" w:cs="Times New Roman"/>
                <w:color w:val="auto"/>
                <w:sz w:val="21"/>
                <w:szCs w:val="21"/>
                <w:highlight w:val="none"/>
                <w:vertAlign w:val="baseline"/>
                <w:lang w:val="en-US" w:eastAsia="zh-CN"/>
              </w:rPr>
              <w:t>NW</w:t>
            </w:r>
          </w:p>
        </w:tc>
        <w:tc>
          <w:tcPr>
            <w:tcW w:w="394" w:type="pct"/>
            <w:tcBorders>
              <w:tl2br w:val="nil"/>
              <w:tr2bl w:val="nil"/>
            </w:tcBorders>
            <w:noWrap w:val="0"/>
            <w:vAlign w:val="center"/>
          </w:tcPr>
          <w:p w14:paraId="677157FD">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eastAsia="宋体" w:cs="Times New Roman"/>
                <w:color w:val="auto"/>
                <w:sz w:val="21"/>
                <w:szCs w:val="21"/>
                <w:highlight w:val="none"/>
                <w:vertAlign w:val="baseline"/>
                <w:lang w:val="en-US" w:eastAsia="zh-CN"/>
              </w:rPr>
              <w:t>约540</w:t>
            </w:r>
          </w:p>
        </w:tc>
      </w:tr>
      <w:tr w14:paraId="69F0F8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0" w:type="pct"/>
            <w:vMerge w:val="continue"/>
            <w:tcBorders>
              <w:tl2br w:val="nil"/>
              <w:tr2bl w:val="nil"/>
            </w:tcBorders>
            <w:noWrap w:val="0"/>
            <w:vAlign w:val="center"/>
          </w:tcPr>
          <w:p w14:paraId="36D4FDC9">
            <w:pPr>
              <w:keepNext w:val="0"/>
              <w:keepLines w:val="0"/>
              <w:pageBreakBefore w:val="0"/>
              <w:widowControl w:val="0"/>
              <w:kinsoku/>
              <w:wordWrap/>
              <w:overflowPunct/>
              <w:topLinePunct w:val="0"/>
              <w:bidi w:val="0"/>
              <w:adjustRightInd/>
              <w:snapToGrid/>
              <w:spacing w:line="240" w:lineRule="auto"/>
              <w:ind w:left="0" w:leftChars="0" w:firstLine="0" w:firstLineChars="0"/>
              <w:jc w:val="center"/>
              <w:outlineLvl w:val="9"/>
              <w:rPr>
                <w:rFonts w:hint="default" w:ascii="Times New Roman" w:hAnsi="Times New Roman" w:eastAsia="宋体" w:cs="Times New Roman"/>
                <w:color w:val="auto"/>
                <w:kern w:val="2"/>
                <w:sz w:val="21"/>
                <w:szCs w:val="21"/>
                <w:highlight w:val="none"/>
                <w:vertAlign w:val="baseline"/>
                <w:lang w:val="en-US" w:eastAsia="zh-CN" w:bidi="ar-SA"/>
              </w:rPr>
            </w:pPr>
          </w:p>
        </w:tc>
        <w:tc>
          <w:tcPr>
            <w:tcW w:w="200" w:type="pct"/>
            <w:tcBorders>
              <w:tl2br w:val="nil"/>
              <w:tr2bl w:val="nil"/>
            </w:tcBorders>
            <w:noWrap w:val="0"/>
            <w:vAlign w:val="center"/>
          </w:tcPr>
          <w:p w14:paraId="642FBCD6">
            <w:pPr>
              <w:keepNext w:val="0"/>
              <w:keepLines w:val="0"/>
              <w:pageBreakBefore w:val="0"/>
              <w:widowControl w:val="0"/>
              <w:kinsoku/>
              <w:wordWrap/>
              <w:overflowPunct/>
              <w:topLinePunct w:val="0"/>
              <w:bidi w:val="0"/>
              <w:adjustRightInd/>
              <w:snapToGrid/>
              <w:spacing w:line="240" w:lineRule="auto"/>
              <w:ind w:left="0" w:leftChars="0" w:firstLine="0" w:firstLineChars="0"/>
              <w:jc w:val="center"/>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2</w:t>
            </w:r>
          </w:p>
        </w:tc>
        <w:tc>
          <w:tcPr>
            <w:tcW w:w="997" w:type="pct"/>
            <w:tcBorders>
              <w:tl2br w:val="nil"/>
              <w:tr2bl w:val="nil"/>
            </w:tcBorders>
            <w:shd w:val="clear" w:color="auto" w:fill="auto"/>
            <w:noWrap w:val="0"/>
            <w:vAlign w:val="top"/>
          </w:tcPr>
          <w:p w14:paraId="4E34BB4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vertAlign w:val="baseline"/>
                <w:lang w:val="en-US" w:eastAsia="zh-CN"/>
              </w:rPr>
              <w:t>范家村</w:t>
            </w:r>
          </w:p>
        </w:tc>
        <w:tc>
          <w:tcPr>
            <w:tcW w:w="524" w:type="pct"/>
            <w:tcBorders>
              <w:tl2br w:val="nil"/>
              <w:tr2bl w:val="nil"/>
            </w:tcBorders>
            <w:shd w:val="clear" w:color="auto" w:fill="auto"/>
            <w:noWrap w:val="0"/>
            <w:vAlign w:val="center"/>
          </w:tcPr>
          <w:p w14:paraId="40929229">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130.29155800</w:t>
            </w:r>
          </w:p>
        </w:tc>
        <w:tc>
          <w:tcPr>
            <w:tcW w:w="468" w:type="pct"/>
            <w:tcBorders>
              <w:tl2br w:val="nil"/>
              <w:tr2bl w:val="nil"/>
            </w:tcBorders>
            <w:shd w:val="clear" w:color="auto" w:fill="auto"/>
            <w:noWrap w:val="0"/>
            <w:vAlign w:val="center"/>
          </w:tcPr>
          <w:p w14:paraId="76CE9663">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46.82471844</w:t>
            </w:r>
          </w:p>
        </w:tc>
        <w:tc>
          <w:tcPr>
            <w:tcW w:w="479" w:type="pct"/>
            <w:tcBorders>
              <w:tl2br w:val="nil"/>
              <w:tr2bl w:val="nil"/>
            </w:tcBorders>
            <w:noWrap w:val="0"/>
            <w:vAlign w:val="center"/>
          </w:tcPr>
          <w:p w14:paraId="2658ED2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居住区</w:t>
            </w:r>
          </w:p>
        </w:tc>
        <w:tc>
          <w:tcPr>
            <w:tcW w:w="285" w:type="pct"/>
            <w:tcBorders>
              <w:tl2br w:val="nil"/>
              <w:tr2bl w:val="nil"/>
            </w:tcBorders>
            <w:noWrap w:val="0"/>
            <w:vAlign w:val="center"/>
          </w:tcPr>
          <w:p w14:paraId="2DF38B5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eastAsia" w:ascii="Times New Roman" w:hAnsi="Times New Roman" w:eastAsia="宋体" w:cs="Times New Roman"/>
                <w:color w:val="auto"/>
                <w:sz w:val="21"/>
                <w:szCs w:val="21"/>
                <w:highlight w:val="none"/>
                <w:vertAlign w:val="baseline"/>
                <w:lang w:val="en-US" w:eastAsia="zh-CN"/>
              </w:rPr>
              <w:t>人群</w:t>
            </w:r>
          </w:p>
        </w:tc>
        <w:tc>
          <w:tcPr>
            <w:tcW w:w="1044" w:type="pct"/>
            <w:vMerge w:val="continue"/>
            <w:tcBorders>
              <w:tl2br w:val="nil"/>
              <w:tr2bl w:val="nil"/>
            </w:tcBorders>
            <w:noWrap w:val="0"/>
            <w:vAlign w:val="center"/>
          </w:tcPr>
          <w:p w14:paraId="28BA34FB">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eastAsia="zh-CN"/>
              </w:rPr>
            </w:pPr>
          </w:p>
        </w:tc>
        <w:tc>
          <w:tcPr>
            <w:tcW w:w="313" w:type="pct"/>
            <w:tcBorders>
              <w:tl2br w:val="nil"/>
              <w:tr2bl w:val="nil"/>
            </w:tcBorders>
            <w:noWrap w:val="0"/>
            <w:vAlign w:val="top"/>
          </w:tcPr>
          <w:p w14:paraId="66406F9F">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eastAsia="宋体" w:cs="Times New Roman"/>
                <w:color w:val="auto"/>
                <w:sz w:val="21"/>
                <w:szCs w:val="21"/>
                <w:highlight w:val="none"/>
                <w:vertAlign w:val="baseline"/>
                <w:lang w:val="en-US" w:eastAsia="zh-CN"/>
              </w:rPr>
              <w:t>NW</w:t>
            </w:r>
          </w:p>
        </w:tc>
        <w:tc>
          <w:tcPr>
            <w:tcW w:w="394" w:type="pct"/>
            <w:tcBorders>
              <w:tl2br w:val="nil"/>
              <w:tr2bl w:val="nil"/>
            </w:tcBorders>
            <w:noWrap w:val="0"/>
            <w:vAlign w:val="top"/>
          </w:tcPr>
          <w:p w14:paraId="45550233">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eastAsia="宋体" w:cs="Times New Roman"/>
                <w:color w:val="auto"/>
                <w:sz w:val="21"/>
                <w:szCs w:val="21"/>
                <w:highlight w:val="none"/>
                <w:vertAlign w:val="baseline"/>
                <w:lang w:val="en-US" w:eastAsia="zh-CN"/>
              </w:rPr>
              <w:t>约260</w:t>
            </w:r>
          </w:p>
        </w:tc>
      </w:tr>
      <w:tr w14:paraId="27F37F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0" w:type="pct"/>
            <w:vMerge w:val="continue"/>
            <w:tcBorders>
              <w:tl2br w:val="nil"/>
              <w:tr2bl w:val="nil"/>
            </w:tcBorders>
            <w:noWrap w:val="0"/>
            <w:vAlign w:val="center"/>
          </w:tcPr>
          <w:p w14:paraId="59475C8C">
            <w:pPr>
              <w:keepNext w:val="0"/>
              <w:keepLines w:val="0"/>
              <w:pageBreakBefore w:val="0"/>
              <w:widowControl w:val="0"/>
              <w:kinsoku/>
              <w:wordWrap/>
              <w:overflowPunct/>
              <w:topLinePunct w:val="0"/>
              <w:bidi w:val="0"/>
              <w:adjustRightInd/>
              <w:snapToGrid/>
              <w:spacing w:line="240" w:lineRule="auto"/>
              <w:ind w:left="0" w:leftChars="0" w:firstLine="0" w:firstLineChars="0"/>
              <w:jc w:val="center"/>
              <w:outlineLvl w:val="9"/>
              <w:rPr>
                <w:rFonts w:hint="default" w:ascii="Times New Roman" w:hAnsi="Times New Roman" w:eastAsia="宋体" w:cs="Times New Roman"/>
                <w:color w:val="auto"/>
                <w:kern w:val="2"/>
                <w:sz w:val="21"/>
                <w:szCs w:val="21"/>
                <w:highlight w:val="none"/>
                <w:vertAlign w:val="baseline"/>
                <w:lang w:val="en-US" w:eastAsia="zh-CN" w:bidi="ar-SA"/>
              </w:rPr>
            </w:pPr>
          </w:p>
        </w:tc>
        <w:tc>
          <w:tcPr>
            <w:tcW w:w="200" w:type="pct"/>
            <w:tcBorders>
              <w:tl2br w:val="nil"/>
              <w:tr2bl w:val="nil"/>
            </w:tcBorders>
            <w:noWrap w:val="0"/>
            <w:vAlign w:val="center"/>
          </w:tcPr>
          <w:p w14:paraId="4EECF4FA">
            <w:pPr>
              <w:keepNext w:val="0"/>
              <w:keepLines w:val="0"/>
              <w:pageBreakBefore w:val="0"/>
              <w:widowControl w:val="0"/>
              <w:kinsoku/>
              <w:wordWrap/>
              <w:overflowPunct/>
              <w:topLinePunct w:val="0"/>
              <w:bidi w:val="0"/>
              <w:adjustRightInd/>
              <w:snapToGrid/>
              <w:spacing w:line="240" w:lineRule="auto"/>
              <w:ind w:left="0" w:leftChars="0" w:firstLine="0" w:firstLineChars="0"/>
              <w:jc w:val="center"/>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3</w:t>
            </w:r>
          </w:p>
        </w:tc>
        <w:tc>
          <w:tcPr>
            <w:tcW w:w="997" w:type="pct"/>
            <w:tcBorders>
              <w:tl2br w:val="nil"/>
              <w:tr2bl w:val="nil"/>
            </w:tcBorders>
            <w:shd w:val="clear" w:color="auto" w:fill="auto"/>
            <w:noWrap w:val="0"/>
            <w:vAlign w:val="top"/>
          </w:tcPr>
          <w:p w14:paraId="4A51503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vertAlign w:val="baseline"/>
                <w:lang w:val="en-US" w:eastAsia="zh-CN"/>
              </w:rPr>
              <w:t>原热电厂家属区</w:t>
            </w:r>
          </w:p>
        </w:tc>
        <w:tc>
          <w:tcPr>
            <w:tcW w:w="524" w:type="pct"/>
            <w:tcBorders>
              <w:tl2br w:val="nil"/>
              <w:tr2bl w:val="nil"/>
            </w:tcBorders>
            <w:shd w:val="clear" w:color="auto" w:fill="auto"/>
            <w:noWrap w:val="0"/>
            <w:vAlign w:val="center"/>
          </w:tcPr>
          <w:p w14:paraId="5EEDA488">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130.29146775</w:t>
            </w:r>
          </w:p>
        </w:tc>
        <w:tc>
          <w:tcPr>
            <w:tcW w:w="468" w:type="pct"/>
            <w:tcBorders>
              <w:tl2br w:val="nil"/>
              <w:tr2bl w:val="nil"/>
            </w:tcBorders>
            <w:shd w:val="clear" w:color="auto" w:fill="auto"/>
            <w:noWrap w:val="0"/>
            <w:vAlign w:val="center"/>
          </w:tcPr>
          <w:p w14:paraId="0B34FD11">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46.81684600</w:t>
            </w:r>
          </w:p>
        </w:tc>
        <w:tc>
          <w:tcPr>
            <w:tcW w:w="479" w:type="pct"/>
            <w:tcBorders>
              <w:tl2br w:val="nil"/>
              <w:tr2bl w:val="nil"/>
            </w:tcBorders>
            <w:noWrap w:val="0"/>
            <w:vAlign w:val="center"/>
          </w:tcPr>
          <w:p w14:paraId="7A05898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居住区</w:t>
            </w:r>
          </w:p>
        </w:tc>
        <w:tc>
          <w:tcPr>
            <w:tcW w:w="285" w:type="pct"/>
            <w:tcBorders>
              <w:tl2br w:val="nil"/>
              <w:tr2bl w:val="nil"/>
            </w:tcBorders>
            <w:noWrap w:val="0"/>
            <w:vAlign w:val="center"/>
          </w:tcPr>
          <w:p w14:paraId="2AE888C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sz w:val="21"/>
                <w:szCs w:val="21"/>
                <w:highlight w:val="none"/>
                <w:vertAlign w:val="baseline"/>
                <w:lang w:val="en-US" w:eastAsia="zh-CN"/>
              </w:rPr>
              <w:t>人群</w:t>
            </w:r>
          </w:p>
        </w:tc>
        <w:tc>
          <w:tcPr>
            <w:tcW w:w="1044" w:type="pct"/>
            <w:vMerge w:val="continue"/>
            <w:tcBorders>
              <w:tl2br w:val="nil"/>
              <w:tr2bl w:val="nil"/>
            </w:tcBorders>
            <w:noWrap w:val="0"/>
            <w:vAlign w:val="center"/>
          </w:tcPr>
          <w:p w14:paraId="42D5E9E2">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outlineLvl w:val="9"/>
              <w:rPr>
                <w:rFonts w:hint="default" w:ascii="Times New Roman" w:hAnsi="Times New Roman" w:eastAsia="宋体" w:cs="Times New Roman"/>
                <w:color w:val="auto"/>
                <w:sz w:val="21"/>
                <w:szCs w:val="21"/>
                <w:highlight w:val="none"/>
                <w:vertAlign w:val="baseline"/>
                <w:lang w:eastAsia="zh-CN"/>
              </w:rPr>
            </w:pPr>
          </w:p>
        </w:tc>
        <w:tc>
          <w:tcPr>
            <w:tcW w:w="313" w:type="pct"/>
            <w:tcBorders>
              <w:tl2br w:val="nil"/>
              <w:tr2bl w:val="nil"/>
            </w:tcBorders>
            <w:noWrap w:val="0"/>
            <w:vAlign w:val="center"/>
          </w:tcPr>
          <w:p w14:paraId="1E824D8D">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bidi="ar-SA"/>
              </w:rPr>
              <w:t>W</w:t>
            </w:r>
          </w:p>
        </w:tc>
        <w:tc>
          <w:tcPr>
            <w:tcW w:w="394" w:type="pct"/>
            <w:tcBorders>
              <w:tl2br w:val="nil"/>
              <w:tr2bl w:val="nil"/>
            </w:tcBorders>
            <w:noWrap w:val="0"/>
            <w:vAlign w:val="top"/>
          </w:tcPr>
          <w:p w14:paraId="738EA7C5">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eastAsia="宋体" w:cs="Times New Roman"/>
                <w:color w:val="auto"/>
                <w:sz w:val="21"/>
                <w:szCs w:val="21"/>
                <w:highlight w:val="none"/>
                <w:vertAlign w:val="baseline"/>
                <w:lang w:val="en-US" w:eastAsia="zh-CN"/>
              </w:rPr>
              <w:t>约30</w:t>
            </w:r>
          </w:p>
        </w:tc>
      </w:tr>
      <w:tr w14:paraId="5EB2E8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0" w:type="pct"/>
            <w:vMerge w:val="continue"/>
            <w:tcBorders>
              <w:tl2br w:val="nil"/>
              <w:tr2bl w:val="nil"/>
            </w:tcBorders>
            <w:noWrap w:val="0"/>
            <w:vAlign w:val="center"/>
          </w:tcPr>
          <w:p w14:paraId="0966AA29">
            <w:pPr>
              <w:keepNext w:val="0"/>
              <w:keepLines w:val="0"/>
              <w:pageBreakBefore w:val="0"/>
              <w:widowControl w:val="0"/>
              <w:kinsoku/>
              <w:wordWrap/>
              <w:overflowPunct/>
              <w:topLinePunct w:val="0"/>
              <w:bidi w:val="0"/>
              <w:adjustRightInd/>
              <w:snapToGrid/>
              <w:spacing w:line="240" w:lineRule="auto"/>
              <w:ind w:left="0" w:leftChars="0" w:firstLine="0" w:firstLineChars="0"/>
              <w:jc w:val="center"/>
              <w:outlineLvl w:val="9"/>
              <w:rPr>
                <w:rFonts w:hint="default" w:ascii="Times New Roman" w:hAnsi="Times New Roman" w:eastAsia="宋体" w:cs="Times New Roman"/>
                <w:color w:val="auto"/>
                <w:kern w:val="2"/>
                <w:sz w:val="21"/>
                <w:szCs w:val="21"/>
                <w:highlight w:val="none"/>
                <w:vertAlign w:val="baseline"/>
                <w:lang w:val="en-US" w:eastAsia="zh-CN" w:bidi="ar-SA"/>
              </w:rPr>
            </w:pPr>
          </w:p>
        </w:tc>
        <w:tc>
          <w:tcPr>
            <w:tcW w:w="200" w:type="pct"/>
            <w:tcBorders>
              <w:tl2br w:val="nil"/>
              <w:tr2bl w:val="nil"/>
            </w:tcBorders>
            <w:noWrap w:val="0"/>
            <w:vAlign w:val="center"/>
          </w:tcPr>
          <w:p w14:paraId="2279DE38">
            <w:pPr>
              <w:keepNext w:val="0"/>
              <w:keepLines w:val="0"/>
              <w:pageBreakBefore w:val="0"/>
              <w:widowControl w:val="0"/>
              <w:kinsoku/>
              <w:wordWrap/>
              <w:overflowPunct/>
              <w:topLinePunct w:val="0"/>
              <w:bidi w:val="0"/>
              <w:adjustRightInd/>
              <w:snapToGrid/>
              <w:spacing w:line="240" w:lineRule="auto"/>
              <w:ind w:left="0" w:leftChars="0" w:firstLine="0" w:firstLineChars="0"/>
              <w:jc w:val="center"/>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4</w:t>
            </w:r>
          </w:p>
        </w:tc>
        <w:tc>
          <w:tcPr>
            <w:tcW w:w="997" w:type="pct"/>
            <w:tcBorders>
              <w:tl2br w:val="nil"/>
              <w:tr2bl w:val="nil"/>
            </w:tcBorders>
            <w:shd w:val="clear" w:color="auto" w:fill="auto"/>
            <w:noWrap w:val="0"/>
            <w:vAlign w:val="top"/>
          </w:tcPr>
          <w:p w14:paraId="4D9764B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vertAlign w:val="baseline"/>
                <w:lang w:val="en-US" w:eastAsia="zh-CN"/>
              </w:rPr>
              <w:t>黑锻新城小区</w:t>
            </w:r>
          </w:p>
        </w:tc>
        <w:tc>
          <w:tcPr>
            <w:tcW w:w="524" w:type="pct"/>
            <w:tcBorders>
              <w:tl2br w:val="nil"/>
              <w:tr2bl w:val="nil"/>
            </w:tcBorders>
            <w:shd w:val="clear" w:color="auto" w:fill="auto"/>
            <w:noWrap w:val="0"/>
            <w:vAlign w:val="center"/>
          </w:tcPr>
          <w:p w14:paraId="4BEE895E">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130.29828420</w:t>
            </w:r>
          </w:p>
        </w:tc>
        <w:tc>
          <w:tcPr>
            <w:tcW w:w="468" w:type="pct"/>
            <w:tcBorders>
              <w:tl2br w:val="nil"/>
              <w:tr2bl w:val="nil"/>
            </w:tcBorders>
            <w:shd w:val="clear" w:color="auto" w:fill="auto"/>
            <w:noWrap w:val="0"/>
            <w:vAlign w:val="center"/>
          </w:tcPr>
          <w:p w14:paraId="2DE027A5">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46.81459052</w:t>
            </w:r>
          </w:p>
        </w:tc>
        <w:tc>
          <w:tcPr>
            <w:tcW w:w="479" w:type="pct"/>
            <w:tcBorders>
              <w:tl2br w:val="nil"/>
              <w:tr2bl w:val="nil"/>
            </w:tcBorders>
            <w:noWrap w:val="0"/>
            <w:vAlign w:val="center"/>
          </w:tcPr>
          <w:p w14:paraId="76AFBE0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vertAlign w:val="baseline"/>
                <w:lang w:val="en-US" w:eastAsia="zh-CN"/>
              </w:rPr>
              <w:t>居住区</w:t>
            </w:r>
          </w:p>
        </w:tc>
        <w:tc>
          <w:tcPr>
            <w:tcW w:w="285" w:type="pct"/>
            <w:tcBorders>
              <w:tl2br w:val="nil"/>
              <w:tr2bl w:val="nil"/>
            </w:tcBorders>
            <w:noWrap w:val="0"/>
            <w:vAlign w:val="center"/>
          </w:tcPr>
          <w:p w14:paraId="3BA59E7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sz w:val="21"/>
                <w:szCs w:val="21"/>
                <w:highlight w:val="none"/>
                <w:vertAlign w:val="baseline"/>
                <w:lang w:val="en-US" w:eastAsia="zh-CN"/>
              </w:rPr>
              <w:t>人群</w:t>
            </w:r>
          </w:p>
        </w:tc>
        <w:tc>
          <w:tcPr>
            <w:tcW w:w="1044" w:type="pct"/>
            <w:vMerge w:val="continue"/>
            <w:tcBorders>
              <w:tl2br w:val="nil"/>
              <w:tr2bl w:val="nil"/>
            </w:tcBorders>
            <w:noWrap w:val="0"/>
            <w:vAlign w:val="center"/>
          </w:tcPr>
          <w:p w14:paraId="06597AF1">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eastAsia="zh-CN"/>
              </w:rPr>
            </w:pPr>
          </w:p>
        </w:tc>
        <w:tc>
          <w:tcPr>
            <w:tcW w:w="313" w:type="pct"/>
            <w:tcBorders>
              <w:tl2br w:val="nil"/>
              <w:tr2bl w:val="nil"/>
            </w:tcBorders>
            <w:noWrap w:val="0"/>
            <w:vAlign w:val="center"/>
          </w:tcPr>
          <w:p w14:paraId="32E6852A">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bidi="ar-SA"/>
              </w:rPr>
              <w:t>S</w:t>
            </w:r>
          </w:p>
        </w:tc>
        <w:tc>
          <w:tcPr>
            <w:tcW w:w="394" w:type="pct"/>
            <w:tcBorders>
              <w:tl2br w:val="nil"/>
              <w:tr2bl w:val="nil"/>
            </w:tcBorders>
            <w:noWrap w:val="0"/>
            <w:vAlign w:val="top"/>
          </w:tcPr>
          <w:p w14:paraId="144B0D6C">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eastAsia="宋体" w:cs="Times New Roman"/>
                <w:color w:val="auto"/>
                <w:sz w:val="21"/>
                <w:szCs w:val="21"/>
                <w:highlight w:val="none"/>
                <w:vertAlign w:val="baseline"/>
                <w:lang w:val="en-US" w:eastAsia="zh-CN"/>
              </w:rPr>
              <w:t>约60</w:t>
            </w:r>
          </w:p>
        </w:tc>
      </w:tr>
      <w:tr w14:paraId="1B1F69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0" w:type="pct"/>
            <w:vMerge w:val="continue"/>
            <w:tcBorders>
              <w:tl2br w:val="nil"/>
              <w:tr2bl w:val="nil"/>
            </w:tcBorders>
            <w:noWrap w:val="0"/>
            <w:vAlign w:val="center"/>
          </w:tcPr>
          <w:p w14:paraId="54A04D29">
            <w:pPr>
              <w:keepNext w:val="0"/>
              <w:keepLines w:val="0"/>
              <w:pageBreakBefore w:val="0"/>
              <w:widowControl w:val="0"/>
              <w:kinsoku/>
              <w:wordWrap/>
              <w:overflowPunct/>
              <w:topLinePunct w:val="0"/>
              <w:bidi w:val="0"/>
              <w:adjustRightInd/>
              <w:snapToGrid/>
              <w:spacing w:line="240" w:lineRule="auto"/>
              <w:ind w:left="0" w:leftChars="0" w:firstLine="0" w:firstLineChars="0"/>
              <w:jc w:val="center"/>
              <w:outlineLvl w:val="9"/>
              <w:rPr>
                <w:rFonts w:hint="default" w:ascii="Times New Roman" w:hAnsi="Times New Roman" w:eastAsia="宋体" w:cs="Times New Roman"/>
                <w:color w:val="auto"/>
                <w:kern w:val="2"/>
                <w:sz w:val="21"/>
                <w:szCs w:val="21"/>
                <w:highlight w:val="none"/>
                <w:vertAlign w:val="baseline"/>
                <w:lang w:val="en-US" w:eastAsia="zh-CN" w:bidi="ar-SA"/>
              </w:rPr>
            </w:pPr>
          </w:p>
        </w:tc>
        <w:tc>
          <w:tcPr>
            <w:tcW w:w="200" w:type="pct"/>
            <w:tcBorders>
              <w:tl2br w:val="nil"/>
              <w:tr2bl w:val="nil"/>
            </w:tcBorders>
            <w:noWrap w:val="0"/>
            <w:vAlign w:val="center"/>
          </w:tcPr>
          <w:p w14:paraId="77F6B3EA">
            <w:pPr>
              <w:keepNext w:val="0"/>
              <w:keepLines w:val="0"/>
              <w:pageBreakBefore w:val="0"/>
              <w:widowControl w:val="0"/>
              <w:kinsoku/>
              <w:wordWrap/>
              <w:overflowPunct/>
              <w:topLinePunct w:val="0"/>
              <w:bidi w:val="0"/>
              <w:adjustRightInd/>
              <w:snapToGrid/>
              <w:spacing w:line="240" w:lineRule="auto"/>
              <w:ind w:left="0" w:leftChars="0" w:firstLine="0" w:firstLineChars="0"/>
              <w:jc w:val="center"/>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5</w:t>
            </w:r>
          </w:p>
        </w:tc>
        <w:tc>
          <w:tcPr>
            <w:tcW w:w="997" w:type="pct"/>
            <w:tcBorders>
              <w:tl2br w:val="nil"/>
              <w:tr2bl w:val="nil"/>
            </w:tcBorders>
            <w:shd w:val="clear" w:color="auto" w:fill="auto"/>
            <w:noWrap w:val="0"/>
            <w:vAlign w:val="top"/>
          </w:tcPr>
          <w:p w14:paraId="66F9316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vertAlign w:val="baseline"/>
                <w:lang w:val="en-US" w:eastAsia="zh-CN"/>
              </w:rPr>
              <w:t>南侧市区</w:t>
            </w:r>
          </w:p>
        </w:tc>
        <w:tc>
          <w:tcPr>
            <w:tcW w:w="524" w:type="pct"/>
            <w:tcBorders>
              <w:tl2br w:val="nil"/>
              <w:tr2bl w:val="nil"/>
            </w:tcBorders>
            <w:shd w:val="clear" w:color="auto" w:fill="auto"/>
            <w:noWrap w:val="0"/>
            <w:vAlign w:val="center"/>
          </w:tcPr>
          <w:p w14:paraId="6E725DDC">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130.28177736</w:t>
            </w:r>
          </w:p>
        </w:tc>
        <w:tc>
          <w:tcPr>
            <w:tcW w:w="468" w:type="pct"/>
            <w:tcBorders>
              <w:tl2br w:val="nil"/>
              <w:tr2bl w:val="nil"/>
            </w:tcBorders>
            <w:shd w:val="clear" w:color="auto" w:fill="auto"/>
            <w:noWrap w:val="0"/>
            <w:vAlign w:val="center"/>
          </w:tcPr>
          <w:p w14:paraId="10EAE05F">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46.80715124</w:t>
            </w:r>
          </w:p>
        </w:tc>
        <w:tc>
          <w:tcPr>
            <w:tcW w:w="479" w:type="pct"/>
            <w:tcBorders>
              <w:tl2br w:val="nil"/>
              <w:tr2bl w:val="nil"/>
            </w:tcBorders>
            <w:noWrap w:val="0"/>
            <w:vAlign w:val="center"/>
          </w:tcPr>
          <w:p w14:paraId="2F39DA5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val="en-US" w:eastAsia="zh-CN"/>
              </w:rPr>
              <w:t>居住区</w:t>
            </w:r>
          </w:p>
        </w:tc>
        <w:tc>
          <w:tcPr>
            <w:tcW w:w="285" w:type="pct"/>
            <w:tcBorders>
              <w:tl2br w:val="nil"/>
              <w:tr2bl w:val="nil"/>
            </w:tcBorders>
            <w:noWrap w:val="0"/>
            <w:vAlign w:val="center"/>
          </w:tcPr>
          <w:p w14:paraId="3FD0CCF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eastAsia" w:ascii="Times New Roman" w:hAnsi="Times New Roman" w:eastAsia="宋体" w:cs="Times New Roman"/>
                <w:color w:val="auto"/>
                <w:sz w:val="21"/>
                <w:szCs w:val="21"/>
                <w:highlight w:val="none"/>
                <w:vertAlign w:val="baseline"/>
                <w:lang w:val="en-US" w:eastAsia="zh-CN"/>
              </w:rPr>
              <w:t>人群</w:t>
            </w:r>
          </w:p>
        </w:tc>
        <w:tc>
          <w:tcPr>
            <w:tcW w:w="1044" w:type="pct"/>
            <w:vMerge w:val="continue"/>
            <w:tcBorders>
              <w:tl2br w:val="nil"/>
              <w:tr2bl w:val="nil"/>
            </w:tcBorders>
            <w:noWrap w:val="0"/>
            <w:vAlign w:val="center"/>
          </w:tcPr>
          <w:p w14:paraId="4C1F00EF">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lang w:eastAsia="zh-CN"/>
              </w:rPr>
            </w:pPr>
          </w:p>
        </w:tc>
        <w:tc>
          <w:tcPr>
            <w:tcW w:w="313" w:type="pct"/>
            <w:tcBorders>
              <w:tl2br w:val="nil"/>
              <w:tr2bl w:val="nil"/>
            </w:tcBorders>
            <w:noWrap w:val="0"/>
            <w:vAlign w:val="top"/>
          </w:tcPr>
          <w:p w14:paraId="1C3F2A33">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eastAsia="宋体" w:cs="Times New Roman"/>
                <w:color w:val="auto"/>
                <w:sz w:val="21"/>
                <w:szCs w:val="21"/>
                <w:highlight w:val="none"/>
                <w:vertAlign w:val="baseline"/>
                <w:lang w:val="en-US" w:eastAsia="zh-CN"/>
              </w:rPr>
              <w:t>S</w:t>
            </w:r>
          </w:p>
        </w:tc>
        <w:tc>
          <w:tcPr>
            <w:tcW w:w="394" w:type="pct"/>
            <w:tcBorders>
              <w:tl2br w:val="nil"/>
              <w:tr2bl w:val="nil"/>
            </w:tcBorders>
            <w:noWrap w:val="0"/>
            <w:vAlign w:val="top"/>
          </w:tcPr>
          <w:p w14:paraId="244E9482">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eastAsia="宋体" w:cs="Times New Roman"/>
                <w:color w:val="auto"/>
                <w:sz w:val="21"/>
                <w:szCs w:val="21"/>
                <w:highlight w:val="none"/>
                <w:vertAlign w:val="baseline"/>
                <w:lang w:val="en-US" w:eastAsia="zh-CN"/>
              </w:rPr>
              <w:t>约440</w:t>
            </w:r>
          </w:p>
        </w:tc>
      </w:tr>
      <w:tr w14:paraId="1C4B59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0" w:type="pct"/>
            <w:vMerge w:val="continue"/>
            <w:tcBorders>
              <w:tl2br w:val="nil"/>
              <w:tr2bl w:val="nil"/>
            </w:tcBorders>
            <w:noWrap w:val="0"/>
            <w:vAlign w:val="center"/>
          </w:tcPr>
          <w:p w14:paraId="0AD5B0C2">
            <w:pPr>
              <w:keepNext w:val="0"/>
              <w:keepLines w:val="0"/>
              <w:pageBreakBefore w:val="0"/>
              <w:widowControl w:val="0"/>
              <w:kinsoku/>
              <w:wordWrap/>
              <w:overflowPunct/>
              <w:topLinePunct w:val="0"/>
              <w:bidi w:val="0"/>
              <w:adjustRightInd/>
              <w:snapToGrid/>
              <w:spacing w:line="240" w:lineRule="auto"/>
              <w:ind w:left="0" w:leftChars="0" w:firstLine="0" w:firstLineChars="0"/>
              <w:jc w:val="center"/>
              <w:outlineLvl w:val="9"/>
              <w:rPr>
                <w:rFonts w:hint="default" w:ascii="Times New Roman" w:hAnsi="Times New Roman" w:eastAsia="宋体" w:cs="Times New Roman"/>
                <w:color w:val="auto"/>
                <w:kern w:val="2"/>
                <w:sz w:val="21"/>
                <w:szCs w:val="21"/>
                <w:highlight w:val="none"/>
                <w:vertAlign w:val="baseline"/>
                <w:lang w:val="en-US" w:eastAsia="zh-CN" w:bidi="ar-SA"/>
              </w:rPr>
            </w:pPr>
          </w:p>
        </w:tc>
        <w:tc>
          <w:tcPr>
            <w:tcW w:w="200" w:type="pct"/>
            <w:tcBorders>
              <w:tl2br w:val="nil"/>
              <w:tr2bl w:val="nil"/>
            </w:tcBorders>
            <w:noWrap w:val="0"/>
            <w:vAlign w:val="center"/>
          </w:tcPr>
          <w:p w14:paraId="11D74A3B">
            <w:pPr>
              <w:keepNext w:val="0"/>
              <w:keepLines w:val="0"/>
              <w:pageBreakBefore w:val="0"/>
              <w:widowControl w:val="0"/>
              <w:kinsoku/>
              <w:wordWrap/>
              <w:overflowPunct/>
              <w:topLinePunct w:val="0"/>
              <w:bidi w:val="0"/>
              <w:adjustRightInd/>
              <w:snapToGrid/>
              <w:spacing w:line="240" w:lineRule="auto"/>
              <w:ind w:left="0" w:leftChars="0" w:firstLine="0" w:firstLineChars="0"/>
              <w:jc w:val="center"/>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6</w:t>
            </w:r>
          </w:p>
        </w:tc>
        <w:tc>
          <w:tcPr>
            <w:tcW w:w="997" w:type="pct"/>
            <w:tcBorders>
              <w:tl2br w:val="nil"/>
              <w:tr2bl w:val="nil"/>
            </w:tcBorders>
            <w:shd w:val="clear" w:color="auto" w:fill="auto"/>
            <w:noWrap w:val="0"/>
            <w:vAlign w:val="top"/>
          </w:tcPr>
          <w:p w14:paraId="3EB71F2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vertAlign w:val="baseline"/>
                <w:lang w:val="en-US" w:eastAsia="zh-CN"/>
              </w:rPr>
              <w:t>东侧市区</w:t>
            </w:r>
          </w:p>
        </w:tc>
        <w:tc>
          <w:tcPr>
            <w:tcW w:w="524" w:type="pct"/>
            <w:tcBorders>
              <w:tl2br w:val="nil"/>
              <w:tr2bl w:val="nil"/>
            </w:tcBorders>
            <w:shd w:val="clear" w:color="auto" w:fill="auto"/>
            <w:noWrap w:val="0"/>
            <w:vAlign w:val="center"/>
          </w:tcPr>
          <w:p w14:paraId="3B7A307A">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130.33175138</w:t>
            </w:r>
          </w:p>
        </w:tc>
        <w:tc>
          <w:tcPr>
            <w:tcW w:w="468" w:type="pct"/>
            <w:tcBorders>
              <w:tl2br w:val="nil"/>
              <w:tr2bl w:val="nil"/>
            </w:tcBorders>
            <w:shd w:val="clear" w:color="auto" w:fill="auto"/>
            <w:noWrap w:val="0"/>
            <w:vAlign w:val="center"/>
          </w:tcPr>
          <w:p w14:paraId="2D5EDB4B">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46.80816843</w:t>
            </w:r>
          </w:p>
        </w:tc>
        <w:tc>
          <w:tcPr>
            <w:tcW w:w="479" w:type="pct"/>
            <w:tcBorders>
              <w:tl2br w:val="nil"/>
              <w:tr2bl w:val="nil"/>
            </w:tcBorders>
            <w:noWrap w:val="0"/>
            <w:vAlign w:val="center"/>
          </w:tcPr>
          <w:p w14:paraId="1958853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vertAlign w:val="baseline"/>
                <w:lang w:val="en-US" w:eastAsia="zh-CN"/>
              </w:rPr>
              <w:t>居住区</w:t>
            </w:r>
          </w:p>
        </w:tc>
        <w:tc>
          <w:tcPr>
            <w:tcW w:w="285" w:type="pct"/>
            <w:tcBorders>
              <w:tl2br w:val="nil"/>
              <w:tr2bl w:val="nil"/>
            </w:tcBorders>
            <w:noWrap w:val="0"/>
            <w:vAlign w:val="center"/>
          </w:tcPr>
          <w:p w14:paraId="4327FE1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sz w:val="21"/>
                <w:szCs w:val="21"/>
                <w:highlight w:val="none"/>
                <w:vertAlign w:val="baseline"/>
                <w:lang w:val="en-US" w:eastAsia="zh-CN"/>
              </w:rPr>
              <w:t>人群</w:t>
            </w:r>
          </w:p>
        </w:tc>
        <w:tc>
          <w:tcPr>
            <w:tcW w:w="1044" w:type="pct"/>
            <w:vMerge w:val="continue"/>
            <w:tcBorders>
              <w:tl2br w:val="nil"/>
              <w:tr2bl w:val="nil"/>
            </w:tcBorders>
            <w:noWrap w:val="0"/>
            <w:vAlign w:val="center"/>
          </w:tcPr>
          <w:p w14:paraId="028FECBE">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outlineLvl w:val="9"/>
              <w:rPr>
                <w:rFonts w:hint="default" w:ascii="Times New Roman" w:hAnsi="Times New Roman" w:eastAsia="宋体" w:cs="Times New Roman"/>
                <w:color w:val="auto"/>
                <w:kern w:val="0"/>
                <w:sz w:val="21"/>
                <w:szCs w:val="21"/>
                <w:highlight w:val="none"/>
                <w:lang w:val="en-US" w:eastAsia="zh-CN" w:bidi="ar-SA"/>
              </w:rPr>
            </w:pPr>
          </w:p>
        </w:tc>
        <w:tc>
          <w:tcPr>
            <w:tcW w:w="313" w:type="pct"/>
            <w:tcBorders>
              <w:tl2br w:val="nil"/>
              <w:tr2bl w:val="nil"/>
            </w:tcBorders>
            <w:noWrap w:val="0"/>
            <w:vAlign w:val="top"/>
          </w:tcPr>
          <w:p w14:paraId="4689BD2F">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eastAsia="宋体" w:cs="Times New Roman"/>
                <w:color w:val="auto"/>
                <w:sz w:val="21"/>
                <w:szCs w:val="21"/>
                <w:highlight w:val="none"/>
                <w:vertAlign w:val="baseline"/>
                <w:lang w:val="en-US" w:eastAsia="zh-CN"/>
              </w:rPr>
              <w:t>E</w:t>
            </w:r>
          </w:p>
        </w:tc>
        <w:tc>
          <w:tcPr>
            <w:tcW w:w="394" w:type="pct"/>
            <w:tcBorders>
              <w:tl2br w:val="nil"/>
              <w:tr2bl w:val="nil"/>
            </w:tcBorders>
            <w:noWrap w:val="0"/>
            <w:vAlign w:val="top"/>
          </w:tcPr>
          <w:p w14:paraId="40859478">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eastAsia="宋体" w:cs="Times New Roman"/>
                <w:color w:val="auto"/>
                <w:sz w:val="21"/>
                <w:szCs w:val="21"/>
                <w:highlight w:val="none"/>
                <w:vertAlign w:val="baseline"/>
                <w:lang w:val="en-US" w:eastAsia="zh-CN"/>
              </w:rPr>
              <w:t>约580</w:t>
            </w:r>
          </w:p>
        </w:tc>
      </w:tr>
      <w:tr w14:paraId="781BB0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0" w:type="pct"/>
            <w:vMerge w:val="continue"/>
            <w:tcBorders>
              <w:tl2br w:val="nil"/>
              <w:tr2bl w:val="nil"/>
            </w:tcBorders>
            <w:noWrap w:val="0"/>
            <w:vAlign w:val="center"/>
          </w:tcPr>
          <w:p w14:paraId="05A4E746">
            <w:pPr>
              <w:keepNext w:val="0"/>
              <w:keepLines w:val="0"/>
              <w:pageBreakBefore w:val="0"/>
              <w:widowControl w:val="0"/>
              <w:kinsoku/>
              <w:wordWrap/>
              <w:overflowPunct/>
              <w:topLinePunct w:val="0"/>
              <w:bidi w:val="0"/>
              <w:adjustRightInd/>
              <w:snapToGrid/>
              <w:spacing w:line="240" w:lineRule="auto"/>
              <w:ind w:left="0" w:leftChars="0" w:firstLine="0" w:firstLineChars="0"/>
              <w:jc w:val="center"/>
              <w:outlineLvl w:val="9"/>
              <w:rPr>
                <w:rFonts w:hint="default" w:ascii="Times New Roman" w:hAnsi="Times New Roman" w:eastAsia="宋体" w:cs="Times New Roman"/>
                <w:color w:val="auto"/>
                <w:kern w:val="2"/>
                <w:sz w:val="21"/>
                <w:szCs w:val="21"/>
                <w:highlight w:val="none"/>
                <w:vertAlign w:val="baseline"/>
                <w:lang w:val="en-US" w:eastAsia="zh-CN" w:bidi="ar-SA"/>
              </w:rPr>
            </w:pPr>
          </w:p>
        </w:tc>
        <w:tc>
          <w:tcPr>
            <w:tcW w:w="200" w:type="pct"/>
            <w:tcBorders>
              <w:tl2br w:val="nil"/>
              <w:tr2bl w:val="nil"/>
            </w:tcBorders>
            <w:shd w:val="clear" w:color="auto" w:fill="auto"/>
            <w:noWrap w:val="0"/>
            <w:vAlign w:val="center"/>
          </w:tcPr>
          <w:p w14:paraId="462F65F5">
            <w:pPr>
              <w:keepNext w:val="0"/>
              <w:keepLines w:val="0"/>
              <w:pageBreakBefore w:val="0"/>
              <w:widowControl w:val="0"/>
              <w:kinsoku/>
              <w:wordWrap/>
              <w:overflowPunct/>
              <w:topLinePunct w:val="0"/>
              <w:bidi w:val="0"/>
              <w:adjustRightInd/>
              <w:snapToGrid/>
              <w:spacing w:line="240" w:lineRule="auto"/>
              <w:ind w:left="0" w:leftChars="0" w:firstLine="0" w:firstLineChars="0"/>
              <w:jc w:val="center"/>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7</w:t>
            </w:r>
          </w:p>
        </w:tc>
        <w:tc>
          <w:tcPr>
            <w:tcW w:w="997" w:type="pct"/>
            <w:tcBorders>
              <w:tl2br w:val="nil"/>
              <w:tr2bl w:val="nil"/>
            </w:tcBorders>
            <w:shd w:val="clear" w:color="auto" w:fill="auto"/>
            <w:noWrap w:val="0"/>
            <w:vAlign w:val="top"/>
          </w:tcPr>
          <w:p w14:paraId="7C303F1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佳木斯市郊区长青中学</w:t>
            </w:r>
          </w:p>
        </w:tc>
        <w:tc>
          <w:tcPr>
            <w:tcW w:w="524" w:type="pct"/>
            <w:tcBorders>
              <w:tl2br w:val="nil"/>
              <w:tr2bl w:val="nil"/>
            </w:tcBorders>
            <w:shd w:val="clear" w:color="auto" w:fill="auto"/>
            <w:noWrap w:val="0"/>
            <w:vAlign w:val="center"/>
          </w:tcPr>
          <w:p w14:paraId="552B1E8C">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kern w:val="0"/>
                <w:sz w:val="21"/>
                <w:szCs w:val="21"/>
                <w:highlight w:val="none"/>
                <w:vertAlign w:val="baseline"/>
                <w:lang w:val="en-US" w:eastAsia="zh-CN" w:bidi="ar-SA"/>
              </w:rPr>
            </w:pPr>
            <w:r>
              <w:rPr>
                <w:rFonts w:hint="default" w:ascii="Times New Roman" w:hAnsi="Times New Roman" w:eastAsia="宋体" w:cs="Times New Roman"/>
                <w:color w:val="FF0000"/>
                <w:kern w:val="0"/>
                <w:sz w:val="21"/>
                <w:szCs w:val="21"/>
                <w:highlight w:val="none"/>
                <w:vertAlign w:val="baseline"/>
                <w:lang w:val="en-US" w:eastAsia="zh-CN" w:bidi="ar-SA"/>
              </w:rPr>
              <w:t>130.30214900</w:t>
            </w:r>
          </w:p>
        </w:tc>
        <w:tc>
          <w:tcPr>
            <w:tcW w:w="468" w:type="pct"/>
            <w:tcBorders>
              <w:tl2br w:val="nil"/>
              <w:tr2bl w:val="nil"/>
            </w:tcBorders>
            <w:shd w:val="clear" w:color="auto" w:fill="auto"/>
            <w:noWrap w:val="0"/>
            <w:vAlign w:val="center"/>
          </w:tcPr>
          <w:p w14:paraId="611FE3BA">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kern w:val="0"/>
                <w:sz w:val="21"/>
                <w:szCs w:val="21"/>
                <w:highlight w:val="none"/>
                <w:vertAlign w:val="baseline"/>
                <w:lang w:val="en-US" w:eastAsia="zh-CN" w:bidi="ar-SA"/>
              </w:rPr>
            </w:pPr>
            <w:r>
              <w:rPr>
                <w:rFonts w:hint="default" w:ascii="Times New Roman" w:hAnsi="Times New Roman" w:eastAsia="宋体" w:cs="Times New Roman"/>
                <w:color w:val="FF0000"/>
                <w:kern w:val="0"/>
                <w:sz w:val="21"/>
                <w:szCs w:val="21"/>
                <w:highlight w:val="none"/>
                <w:vertAlign w:val="baseline"/>
                <w:lang w:val="en-US" w:eastAsia="zh-CN" w:bidi="ar-SA"/>
              </w:rPr>
              <w:t>46.80251800</w:t>
            </w:r>
          </w:p>
        </w:tc>
        <w:tc>
          <w:tcPr>
            <w:tcW w:w="479" w:type="pct"/>
            <w:tcBorders>
              <w:tl2br w:val="nil"/>
              <w:tr2bl w:val="nil"/>
            </w:tcBorders>
            <w:shd w:val="clear" w:color="auto" w:fill="auto"/>
            <w:noWrap w:val="0"/>
            <w:vAlign w:val="center"/>
          </w:tcPr>
          <w:p w14:paraId="62D07A1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kern w:val="0"/>
                <w:sz w:val="21"/>
                <w:szCs w:val="21"/>
                <w:highlight w:val="none"/>
                <w:vertAlign w:val="baseline"/>
                <w:lang w:val="en-US" w:eastAsia="zh-CN" w:bidi="ar-SA"/>
              </w:rPr>
            </w:pPr>
            <w:r>
              <w:rPr>
                <w:rFonts w:hint="eastAsia" w:ascii="Times New Roman" w:hAnsi="Times New Roman" w:eastAsia="宋体" w:cs="Times New Roman"/>
                <w:color w:val="FF0000"/>
                <w:kern w:val="0"/>
                <w:sz w:val="21"/>
                <w:szCs w:val="21"/>
                <w:highlight w:val="none"/>
                <w:vertAlign w:val="baseline"/>
                <w:lang w:val="en-US" w:eastAsia="zh-CN" w:bidi="ar-SA"/>
              </w:rPr>
              <w:t>文化区</w:t>
            </w:r>
          </w:p>
        </w:tc>
        <w:tc>
          <w:tcPr>
            <w:tcW w:w="285" w:type="pct"/>
            <w:tcBorders>
              <w:tl2br w:val="nil"/>
              <w:tr2bl w:val="nil"/>
            </w:tcBorders>
            <w:shd w:val="clear" w:color="auto" w:fill="auto"/>
            <w:noWrap w:val="0"/>
            <w:vAlign w:val="center"/>
          </w:tcPr>
          <w:p w14:paraId="63D4AD2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kern w:val="2"/>
                <w:sz w:val="21"/>
                <w:szCs w:val="21"/>
                <w:highlight w:val="none"/>
                <w:vertAlign w:val="baseline"/>
                <w:lang w:val="en-US" w:eastAsia="zh-CN" w:bidi="ar-SA"/>
              </w:rPr>
            </w:pPr>
            <w:r>
              <w:rPr>
                <w:rFonts w:hint="eastAsia" w:ascii="Times New Roman" w:hAnsi="Times New Roman" w:eastAsia="宋体" w:cs="Times New Roman"/>
                <w:color w:val="FF0000"/>
                <w:sz w:val="21"/>
                <w:szCs w:val="21"/>
                <w:highlight w:val="none"/>
                <w:vertAlign w:val="baseline"/>
                <w:lang w:val="en-US" w:eastAsia="zh-CN"/>
              </w:rPr>
              <w:t>人群</w:t>
            </w:r>
          </w:p>
        </w:tc>
        <w:tc>
          <w:tcPr>
            <w:tcW w:w="1044" w:type="pct"/>
            <w:vMerge w:val="continue"/>
            <w:tcBorders>
              <w:tl2br w:val="nil"/>
              <w:tr2bl w:val="nil"/>
            </w:tcBorders>
            <w:noWrap w:val="0"/>
            <w:vAlign w:val="center"/>
          </w:tcPr>
          <w:p w14:paraId="16EEA480">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outlineLvl w:val="9"/>
              <w:rPr>
                <w:rFonts w:hint="default" w:ascii="Times New Roman" w:hAnsi="Times New Roman" w:eastAsia="宋体" w:cs="Times New Roman"/>
                <w:color w:val="FF0000"/>
                <w:kern w:val="0"/>
                <w:sz w:val="21"/>
                <w:szCs w:val="21"/>
                <w:highlight w:val="none"/>
                <w:lang w:val="en-US" w:eastAsia="zh-CN" w:bidi="ar-SA"/>
              </w:rPr>
            </w:pPr>
          </w:p>
        </w:tc>
        <w:tc>
          <w:tcPr>
            <w:tcW w:w="313" w:type="pct"/>
            <w:tcBorders>
              <w:tl2br w:val="nil"/>
              <w:tr2bl w:val="nil"/>
            </w:tcBorders>
            <w:noWrap w:val="0"/>
            <w:vAlign w:val="top"/>
          </w:tcPr>
          <w:p w14:paraId="42B7621F">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eastAsia="宋体" w:cs="Times New Roman"/>
                <w:color w:val="FF0000"/>
                <w:sz w:val="21"/>
                <w:szCs w:val="21"/>
                <w:highlight w:val="none"/>
                <w:vertAlign w:val="baseline"/>
                <w:lang w:val="en-US" w:eastAsia="zh-CN"/>
              </w:rPr>
            </w:pPr>
            <w:r>
              <w:rPr>
                <w:rFonts w:hint="eastAsia" w:eastAsia="宋体" w:cs="Times New Roman"/>
                <w:color w:val="FF0000"/>
                <w:sz w:val="21"/>
                <w:szCs w:val="21"/>
                <w:highlight w:val="none"/>
                <w:vertAlign w:val="baseline"/>
                <w:lang w:val="en-US" w:eastAsia="zh-CN"/>
              </w:rPr>
              <w:t>SE</w:t>
            </w:r>
          </w:p>
        </w:tc>
        <w:tc>
          <w:tcPr>
            <w:tcW w:w="394" w:type="pct"/>
            <w:tcBorders>
              <w:tl2br w:val="nil"/>
              <w:tr2bl w:val="nil"/>
            </w:tcBorders>
            <w:noWrap w:val="0"/>
            <w:vAlign w:val="top"/>
          </w:tcPr>
          <w:p w14:paraId="3F28B175">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eastAsia="宋体" w:cs="Times New Roman"/>
                <w:color w:val="FF0000"/>
                <w:sz w:val="21"/>
                <w:szCs w:val="21"/>
                <w:highlight w:val="none"/>
                <w:vertAlign w:val="baseline"/>
                <w:lang w:val="en-US" w:eastAsia="zh-CN"/>
              </w:rPr>
            </w:pPr>
            <w:r>
              <w:rPr>
                <w:rFonts w:hint="eastAsia" w:eastAsia="宋体" w:cs="Times New Roman"/>
                <w:color w:val="FF0000"/>
                <w:sz w:val="21"/>
                <w:szCs w:val="21"/>
                <w:highlight w:val="none"/>
                <w:vertAlign w:val="baseline"/>
                <w:lang w:val="en-US" w:eastAsia="zh-CN"/>
              </w:rPr>
              <w:t>约1500</w:t>
            </w:r>
          </w:p>
        </w:tc>
      </w:tr>
      <w:tr w14:paraId="0FFA24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0" w:type="pct"/>
            <w:vMerge w:val="continue"/>
            <w:tcBorders>
              <w:tl2br w:val="nil"/>
              <w:tr2bl w:val="nil"/>
            </w:tcBorders>
            <w:noWrap w:val="0"/>
            <w:vAlign w:val="center"/>
          </w:tcPr>
          <w:p w14:paraId="555DF7DC">
            <w:pPr>
              <w:keepNext w:val="0"/>
              <w:keepLines w:val="0"/>
              <w:pageBreakBefore w:val="0"/>
              <w:widowControl w:val="0"/>
              <w:kinsoku/>
              <w:wordWrap/>
              <w:overflowPunct/>
              <w:topLinePunct w:val="0"/>
              <w:bidi w:val="0"/>
              <w:adjustRightInd/>
              <w:snapToGrid/>
              <w:spacing w:line="240" w:lineRule="auto"/>
              <w:ind w:left="0" w:leftChars="0" w:firstLine="0" w:firstLineChars="0"/>
              <w:jc w:val="center"/>
              <w:outlineLvl w:val="9"/>
              <w:rPr>
                <w:rFonts w:hint="default" w:ascii="Times New Roman" w:hAnsi="Times New Roman" w:eastAsia="宋体" w:cs="Times New Roman"/>
                <w:color w:val="auto"/>
                <w:kern w:val="2"/>
                <w:sz w:val="21"/>
                <w:szCs w:val="21"/>
                <w:highlight w:val="none"/>
                <w:vertAlign w:val="baseline"/>
                <w:lang w:val="en-US" w:eastAsia="zh-CN" w:bidi="ar-SA"/>
              </w:rPr>
            </w:pPr>
          </w:p>
        </w:tc>
        <w:tc>
          <w:tcPr>
            <w:tcW w:w="200" w:type="pct"/>
            <w:tcBorders>
              <w:tl2br w:val="nil"/>
              <w:tr2bl w:val="nil"/>
            </w:tcBorders>
            <w:shd w:val="clear" w:color="auto" w:fill="auto"/>
            <w:noWrap w:val="0"/>
            <w:vAlign w:val="center"/>
          </w:tcPr>
          <w:p w14:paraId="0D7F96C8">
            <w:pPr>
              <w:keepNext w:val="0"/>
              <w:keepLines w:val="0"/>
              <w:pageBreakBefore w:val="0"/>
              <w:widowControl w:val="0"/>
              <w:kinsoku/>
              <w:wordWrap/>
              <w:overflowPunct/>
              <w:topLinePunct w:val="0"/>
              <w:bidi w:val="0"/>
              <w:adjustRightInd/>
              <w:snapToGrid/>
              <w:spacing w:line="240" w:lineRule="auto"/>
              <w:ind w:left="0" w:leftChars="0" w:firstLine="0" w:firstLineChars="0"/>
              <w:jc w:val="center"/>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8</w:t>
            </w:r>
          </w:p>
        </w:tc>
        <w:tc>
          <w:tcPr>
            <w:tcW w:w="997" w:type="pct"/>
            <w:tcBorders>
              <w:tl2br w:val="nil"/>
              <w:tr2bl w:val="nil"/>
            </w:tcBorders>
            <w:shd w:val="clear" w:color="auto" w:fill="auto"/>
            <w:noWrap w:val="0"/>
            <w:vAlign w:val="top"/>
          </w:tcPr>
          <w:p w14:paraId="636C55A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佳市长青小学</w:t>
            </w:r>
          </w:p>
        </w:tc>
        <w:tc>
          <w:tcPr>
            <w:tcW w:w="524" w:type="pct"/>
            <w:tcBorders>
              <w:tl2br w:val="nil"/>
              <w:tr2bl w:val="nil"/>
            </w:tcBorders>
            <w:shd w:val="clear" w:color="auto" w:fill="auto"/>
            <w:noWrap w:val="0"/>
            <w:vAlign w:val="center"/>
          </w:tcPr>
          <w:p w14:paraId="18B8FD69">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130.30203335</w:t>
            </w:r>
          </w:p>
        </w:tc>
        <w:tc>
          <w:tcPr>
            <w:tcW w:w="468" w:type="pct"/>
            <w:tcBorders>
              <w:tl2br w:val="nil"/>
              <w:tr2bl w:val="nil"/>
            </w:tcBorders>
            <w:shd w:val="clear" w:color="auto" w:fill="auto"/>
            <w:noWrap w:val="0"/>
            <w:vAlign w:val="center"/>
          </w:tcPr>
          <w:p w14:paraId="357F7667">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46.80135667</w:t>
            </w:r>
          </w:p>
        </w:tc>
        <w:tc>
          <w:tcPr>
            <w:tcW w:w="479" w:type="pct"/>
            <w:tcBorders>
              <w:tl2br w:val="nil"/>
              <w:tr2bl w:val="nil"/>
            </w:tcBorders>
            <w:shd w:val="clear" w:color="auto" w:fill="auto"/>
            <w:noWrap w:val="0"/>
            <w:vAlign w:val="center"/>
          </w:tcPr>
          <w:p w14:paraId="3D983EC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文化区</w:t>
            </w:r>
          </w:p>
        </w:tc>
        <w:tc>
          <w:tcPr>
            <w:tcW w:w="285" w:type="pct"/>
            <w:tcBorders>
              <w:tl2br w:val="nil"/>
              <w:tr2bl w:val="nil"/>
            </w:tcBorders>
            <w:shd w:val="clear" w:color="auto" w:fill="auto"/>
            <w:noWrap w:val="0"/>
            <w:vAlign w:val="center"/>
          </w:tcPr>
          <w:p w14:paraId="0BE0FDC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人群</w:t>
            </w:r>
          </w:p>
        </w:tc>
        <w:tc>
          <w:tcPr>
            <w:tcW w:w="1044" w:type="pct"/>
            <w:vMerge w:val="continue"/>
            <w:tcBorders>
              <w:tl2br w:val="nil"/>
              <w:tr2bl w:val="nil"/>
            </w:tcBorders>
            <w:noWrap w:val="0"/>
            <w:vAlign w:val="center"/>
          </w:tcPr>
          <w:p w14:paraId="4D315F47">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outlineLvl w:val="9"/>
              <w:rPr>
                <w:rFonts w:hint="default" w:ascii="Times New Roman" w:hAnsi="Times New Roman" w:eastAsia="宋体" w:cs="Times New Roman"/>
                <w:color w:val="auto"/>
                <w:kern w:val="0"/>
                <w:sz w:val="21"/>
                <w:szCs w:val="21"/>
                <w:highlight w:val="none"/>
                <w:lang w:val="en-US" w:eastAsia="zh-CN" w:bidi="ar-SA"/>
              </w:rPr>
            </w:pPr>
          </w:p>
        </w:tc>
        <w:tc>
          <w:tcPr>
            <w:tcW w:w="313" w:type="pct"/>
            <w:tcBorders>
              <w:tl2br w:val="nil"/>
              <w:tr2bl w:val="nil"/>
            </w:tcBorders>
            <w:noWrap w:val="0"/>
            <w:vAlign w:val="top"/>
          </w:tcPr>
          <w:p w14:paraId="6829A670">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eastAsia="宋体" w:cs="Times New Roman"/>
                <w:color w:val="auto"/>
                <w:sz w:val="21"/>
                <w:szCs w:val="21"/>
                <w:highlight w:val="none"/>
                <w:vertAlign w:val="baseline"/>
                <w:lang w:val="en-US" w:eastAsia="zh-CN"/>
              </w:rPr>
            </w:pPr>
            <w:r>
              <w:rPr>
                <w:rFonts w:hint="eastAsia" w:eastAsia="宋体" w:cs="Times New Roman"/>
                <w:color w:val="auto"/>
                <w:sz w:val="21"/>
                <w:szCs w:val="21"/>
                <w:highlight w:val="none"/>
                <w:vertAlign w:val="baseline"/>
                <w:lang w:val="en-US" w:eastAsia="zh-CN"/>
              </w:rPr>
              <w:t>SE</w:t>
            </w:r>
          </w:p>
        </w:tc>
        <w:tc>
          <w:tcPr>
            <w:tcW w:w="394" w:type="pct"/>
            <w:tcBorders>
              <w:tl2br w:val="nil"/>
              <w:tr2bl w:val="nil"/>
            </w:tcBorders>
            <w:noWrap w:val="0"/>
            <w:vAlign w:val="top"/>
          </w:tcPr>
          <w:p w14:paraId="54DA843A">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eastAsia="宋体" w:cs="Times New Roman"/>
                <w:color w:val="auto"/>
                <w:sz w:val="21"/>
                <w:szCs w:val="21"/>
                <w:highlight w:val="none"/>
                <w:vertAlign w:val="baseline"/>
                <w:lang w:val="en-US" w:eastAsia="zh-CN"/>
              </w:rPr>
            </w:pPr>
            <w:r>
              <w:rPr>
                <w:rFonts w:hint="eastAsia" w:eastAsia="宋体" w:cs="Times New Roman"/>
                <w:color w:val="auto"/>
                <w:sz w:val="21"/>
                <w:szCs w:val="21"/>
                <w:highlight w:val="none"/>
                <w:vertAlign w:val="baseline"/>
                <w:lang w:val="en-US" w:eastAsia="zh-CN"/>
              </w:rPr>
              <w:t>约1600</w:t>
            </w:r>
          </w:p>
        </w:tc>
      </w:tr>
      <w:tr w14:paraId="7D528B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0" w:type="pct"/>
            <w:vMerge w:val="continue"/>
            <w:tcBorders>
              <w:tl2br w:val="nil"/>
              <w:tr2bl w:val="nil"/>
            </w:tcBorders>
            <w:noWrap w:val="0"/>
            <w:vAlign w:val="center"/>
          </w:tcPr>
          <w:p w14:paraId="21F00BCA">
            <w:pPr>
              <w:keepNext w:val="0"/>
              <w:keepLines w:val="0"/>
              <w:pageBreakBefore w:val="0"/>
              <w:widowControl w:val="0"/>
              <w:kinsoku/>
              <w:wordWrap/>
              <w:overflowPunct/>
              <w:topLinePunct w:val="0"/>
              <w:bidi w:val="0"/>
              <w:adjustRightInd/>
              <w:snapToGrid/>
              <w:spacing w:line="240" w:lineRule="auto"/>
              <w:ind w:left="0" w:leftChars="0" w:firstLine="0" w:firstLineChars="0"/>
              <w:jc w:val="center"/>
              <w:outlineLvl w:val="9"/>
              <w:rPr>
                <w:rFonts w:hint="default" w:ascii="Times New Roman" w:hAnsi="Times New Roman" w:eastAsia="宋体" w:cs="Times New Roman"/>
                <w:color w:val="auto"/>
                <w:kern w:val="2"/>
                <w:sz w:val="21"/>
                <w:szCs w:val="21"/>
                <w:highlight w:val="none"/>
                <w:vertAlign w:val="baseline"/>
                <w:lang w:val="en-US" w:eastAsia="zh-CN" w:bidi="ar-SA"/>
              </w:rPr>
            </w:pPr>
          </w:p>
        </w:tc>
        <w:tc>
          <w:tcPr>
            <w:tcW w:w="200" w:type="pct"/>
            <w:tcBorders>
              <w:tl2br w:val="nil"/>
              <w:tr2bl w:val="nil"/>
            </w:tcBorders>
            <w:shd w:val="clear" w:color="auto" w:fill="auto"/>
            <w:noWrap w:val="0"/>
            <w:vAlign w:val="center"/>
          </w:tcPr>
          <w:p w14:paraId="0450F570">
            <w:pPr>
              <w:keepNext w:val="0"/>
              <w:keepLines w:val="0"/>
              <w:pageBreakBefore w:val="0"/>
              <w:widowControl w:val="0"/>
              <w:kinsoku/>
              <w:wordWrap/>
              <w:overflowPunct/>
              <w:topLinePunct w:val="0"/>
              <w:bidi w:val="0"/>
              <w:adjustRightInd/>
              <w:snapToGrid/>
              <w:spacing w:line="240" w:lineRule="auto"/>
              <w:ind w:left="0" w:leftChars="0" w:firstLine="0" w:firstLineChars="0"/>
              <w:jc w:val="center"/>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9</w:t>
            </w:r>
          </w:p>
        </w:tc>
        <w:tc>
          <w:tcPr>
            <w:tcW w:w="997" w:type="pct"/>
            <w:tcBorders>
              <w:tl2br w:val="nil"/>
              <w:tr2bl w:val="nil"/>
            </w:tcBorders>
            <w:shd w:val="clear" w:color="auto" w:fill="auto"/>
            <w:noWrap w:val="0"/>
            <w:vAlign w:val="top"/>
          </w:tcPr>
          <w:p w14:paraId="37EF48C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vertAlign w:val="baseline"/>
                <w:lang w:val="en-US" w:eastAsia="zh-CN"/>
              </w:rPr>
              <w:t>佳木斯市第十六中学</w:t>
            </w:r>
          </w:p>
        </w:tc>
        <w:tc>
          <w:tcPr>
            <w:tcW w:w="524" w:type="pct"/>
            <w:tcBorders>
              <w:tl2br w:val="nil"/>
              <w:tr2bl w:val="nil"/>
            </w:tcBorders>
            <w:shd w:val="clear" w:color="auto" w:fill="auto"/>
            <w:noWrap w:val="0"/>
            <w:vAlign w:val="center"/>
          </w:tcPr>
          <w:p w14:paraId="4439F432">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130.28161094</w:t>
            </w:r>
          </w:p>
        </w:tc>
        <w:tc>
          <w:tcPr>
            <w:tcW w:w="468" w:type="pct"/>
            <w:tcBorders>
              <w:tl2br w:val="nil"/>
              <w:tr2bl w:val="nil"/>
            </w:tcBorders>
            <w:shd w:val="clear" w:color="auto" w:fill="auto"/>
            <w:noWrap w:val="0"/>
            <w:vAlign w:val="center"/>
          </w:tcPr>
          <w:p w14:paraId="2FB15125">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46.80752946</w:t>
            </w:r>
          </w:p>
        </w:tc>
        <w:tc>
          <w:tcPr>
            <w:tcW w:w="479" w:type="pct"/>
            <w:tcBorders>
              <w:tl2br w:val="nil"/>
              <w:tr2bl w:val="nil"/>
            </w:tcBorders>
            <w:shd w:val="clear" w:color="auto" w:fill="auto"/>
            <w:noWrap w:val="0"/>
            <w:vAlign w:val="center"/>
          </w:tcPr>
          <w:p w14:paraId="35B9F89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文化区</w:t>
            </w:r>
          </w:p>
        </w:tc>
        <w:tc>
          <w:tcPr>
            <w:tcW w:w="285" w:type="pct"/>
            <w:tcBorders>
              <w:tl2br w:val="nil"/>
              <w:tr2bl w:val="nil"/>
            </w:tcBorders>
            <w:shd w:val="clear" w:color="auto" w:fill="auto"/>
            <w:noWrap w:val="0"/>
            <w:vAlign w:val="center"/>
          </w:tcPr>
          <w:p w14:paraId="70E8D07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sz w:val="21"/>
                <w:szCs w:val="21"/>
                <w:highlight w:val="none"/>
                <w:vertAlign w:val="baseline"/>
                <w:lang w:val="en-US" w:eastAsia="zh-CN"/>
              </w:rPr>
              <w:t>人群</w:t>
            </w:r>
          </w:p>
        </w:tc>
        <w:tc>
          <w:tcPr>
            <w:tcW w:w="1044" w:type="pct"/>
            <w:vMerge w:val="continue"/>
            <w:tcBorders>
              <w:tl2br w:val="nil"/>
              <w:tr2bl w:val="nil"/>
            </w:tcBorders>
            <w:noWrap w:val="0"/>
            <w:vAlign w:val="center"/>
          </w:tcPr>
          <w:p w14:paraId="401D8CB5">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outlineLvl w:val="9"/>
              <w:rPr>
                <w:rFonts w:hint="default" w:ascii="Times New Roman" w:hAnsi="Times New Roman" w:eastAsia="宋体" w:cs="Times New Roman"/>
                <w:color w:val="auto"/>
                <w:kern w:val="0"/>
                <w:sz w:val="21"/>
                <w:szCs w:val="21"/>
                <w:highlight w:val="none"/>
                <w:lang w:val="en-US" w:eastAsia="zh-CN" w:bidi="ar-SA"/>
              </w:rPr>
            </w:pPr>
          </w:p>
        </w:tc>
        <w:tc>
          <w:tcPr>
            <w:tcW w:w="313" w:type="pct"/>
            <w:tcBorders>
              <w:tl2br w:val="nil"/>
              <w:tr2bl w:val="nil"/>
            </w:tcBorders>
            <w:noWrap w:val="0"/>
            <w:vAlign w:val="top"/>
          </w:tcPr>
          <w:p w14:paraId="54163EE9">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eastAsia="宋体" w:cs="Times New Roman"/>
                <w:color w:val="auto"/>
                <w:sz w:val="21"/>
                <w:szCs w:val="21"/>
                <w:highlight w:val="none"/>
                <w:vertAlign w:val="baseline"/>
                <w:lang w:val="en-US" w:eastAsia="zh-CN"/>
              </w:rPr>
              <w:t>SW</w:t>
            </w:r>
          </w:p>
        </w:tc>
        <w:tc>
          <w:tcPr>
            <w:tcW w:w="394" w:type="pct"/>
            <w:tcBorders>
              <w:tl2br w:val="nil"/>
              <w:tr2bl w:val="nil"/>
            </w:tcBorders>
            <w:noWrap w:val="0"/>
            <w:vAlign w:val="top"/>
          </w:tcPr>
          <w:p w14:paraId="79115393">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eastAsia="宋体" w:cs="Times New Roman"/>
                <w:color w:val="auto"/>
                <w:sz w:val="21"/>
                <w:szCs w:val="21"/>
                <w:highlight w:val="none"/>
                <w:vertAlign w:val="baseline"/>
                <w:lang w:val="en-US" w:eastAsia="zh-CN"/>
              </w:rPr>
              <w:t>约2200</w:t>
            </w:r>
          </w:p>
        </w:tc>
      </w:tr>
      <w:tr w14:paraId="31B58C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0" w:type="pct"/>
            <w:vMerge w:val="continue"/>
            <w:tcBorders>
              <w:tl2br w:val="nil"/>
              <w:tr2bl w:val="nil"/>
            </w:tcBorders>
            <w:noWrap w:val="0"/>
            <w:vAlign w:val="center"/>
          </w:tcPr>
          <w:p w14:paraId="791C8EF3">
            <w:pPr>
              <w:keepNext w:val="0"/>
              <w:keepLines w:val="0"/>
              <w:pageBreakBefore w:val="0"/>
              <w:widowControl w:val="0"/>
              <w:kinsoku/>
              <w:wordWrap/>
              <w:overflowPunct/>
              <w:topLinePunct w:val="0"/>
              <w:bidi w:val="0"/>
              <w:adjustRightInd/>
              <w:snapToGrid/>
              <w:spacing w:line="240" w:lineRule="auto"/>
              <w:ind w:left="0" w:leftChars="0" w:firstLine="0" w:firstLineChars="0"/>
              <w:jc w:val="center"/>
              <w:outlineLvl w:val="9"/>
              <w:rPr>
                <w:rFonts w:hint="default" w:ascii="Times New Roman" w:hAnsi="Times New Roman" w:eastAsia="宋体" w:cs="Times New Roman"/>
                <w:color w:val="auto"/>
                <w:kern w:val="2"/>
                <w:sz w:val="21"/>
                <w:szCs w:val="21"/>
                <w:highlight w:val="none"/>
                <w:vertAlign w:val="baseline"/>
                <w:lang w:val="en-US" w:eastAsia="zh-CN" w:bidi="ar-SA"/>
              </w:rPr>
            </w:pPr>
          </w:p>
        </w:tc>
        <w:tc>
          <w:tcPr>
            <w:tcW w:w="200" w:type="pct"/>
            <w:tcBorders>
              <w:tl2br w:val="nil"/>
              <w:tr2bl w:val="nil"/>
            </w:tcBorders>
            <w:shd w:val="clear" w:color="auto" w:fill="auto"/>
            <w:noWrap w:val="0"/>
            <w:vAlign w:val="center"/>
          </w:tcPr>
          <w:p w14:paraId="4D7DACFC">
            <w:pPr>
              <w:keepNext w:val="0"/>
              <w:keepLines w:val="0"/>
              <w:pageBreakBefore w:val="0"/>
              <w:widowControl w:val="0"/>
              <w:kinsoku/>
              <w:wordWrap/>
              <w:overflowPunct/>
              <w:topLinePunct w:val="0"/>
              <w:bidi w:val="0"/>
              <w:adjustRightInd/>
              <w:snapToGrid/>
              <w:spacing w:line="240" w:lineRule="auto"/>
              <w:ind w:left="0" w:leftChars="0" w:firstLine="0" w:firstLineChars="0"/>
              <w:jc w:val="center"/>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10</w:t>
            </w:r>
          </w:p>
        </w:tc>
        <w:tc>
          <w:tcPr>
            <w:tcW w:w="997" w:type="pct"/>
            <w:tcBorders>
              <w:tl2br w:val="nil"/>
              <w:tr2bl w:val="nil"/>
            </w:tcBorders>
            <w:shd w:val="clear" w:color="auto" w:fill="auto"/>
            <w:noWrap w:val="0"/>
            <w:vAlign w:val="top"/>
          </w:tcPr>
          <w:p w14:paraId="34CC394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vertAlign w:val="baseline"/>
                <w:lang w:val="en-US" w:eastAsia="zh-CN"/>
              </w:rPr>
              <w:t>云环小学</w:t>
            </w:r>
          </w:p>
        </w:tc>
        <w:tc>
          <w:tcPr>
            <w:tcW w:w="524" w:type="pct"/>
            <w:tcBorders>
              <w:tl2br w:val="nil"/>
              <w:tr2bl w:val="nil"/>
            </w:tcBorders>
            <w:shd w:val="clear" w:color="auto" w:fill="auto"/>
            <w:noWrap w:val="0"/>
            <w:vAlign w:val="center"/>
          </w:tcPr>
          <w:p w14:paraId="4FF3D60E">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130.28201937</w:t>
            </w:r>
          </w:p>
        </w:tc>
        <w:tc>
          <w:tcPr>
            <w:tcW w:w="468" w:type="pct"/>
            <w:tcBorders>
              <w:tl2br w:val="nil"/>
              <w:tr2bl w:val="nil"/>
            </w:tcBorders>
            <w:shd w:val="clear" w:color="auto" w:fill="auto"/>
            <w:noWrap w:val="0"/>
            <w:vAlign w:val="center"/>
          </w:tcPr>
          <w:p w14:paraId="72C53FCC">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46.80876045</w:t>
            </w:r>
          </w:p>
        </w:tc>
        <w:tc>
          <w:tcPr>
            <w:tcW w:w="479" w:type="pct"/>
            <w:tcBorders>
              <w:tl2br w:val="nil"/>
              <w:tr2bl w:val="nil"/>
            </w:tcBorders>
            <w:shd w:val="clear" w:color="auto" w:fill="auto"/>
            <w:noWrap w:val="0"/>
            <w:vAlign w:val="center"/>
          </w:tcPr>
          <w:p w14:paraId="6C39790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文化区</w:t>
            </w:r>
          </w:p>
        </w:tc>
        <w:tc>
          <w:tcPr>
            <w:tcW w:w="285" w:type="pct"/>
            <w:tcBorders>
              <w:tl2br w:val="nil"/>
              <w:tr2bl w:val="nil"/>
            </w:tcBorders>
            <w:shd w:val="clear" w:color="auto" w:fill="auto"/>
            <w:noWrap w:val="0"/>
            <w:vAlign w:val="center"/>
          </w:tcPr>
          <w:p w14:paraId="79787F0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sz w:val="21"/>
                <w:szCs w:val="21"/>
                <w:highlight w:val="none"/>
                <w:vertAlign w:val="baseline"/>
                <w:lang w:val="en-US" w:eastAsia="zh-CN"/>
              </w:rPr>
              <w:t>人群</w:t>
            </w:r>
          </w:p>
        </w:tc>
        <w:tc>
          <w:tcPr>
            <w:tcW w:w="1044" w:type="pct"/>
            <w:vMerge w:val="continue"/>
            <w:tcBorders>
              <w:tl2br w:val="nil"/>
              <w:tr2bl w:val="nil"/>
            </w:tcBorders>
            <w:noWrap w:val="0"/>
            <w:vAlign w:val="center"/>
          </w:tcPr>
          <w:p w14:paraId="5FE48C47">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outlineLvl w:val="9"/>
              <w:rPr>
                <w:rFonts w:hint="default" w:ascii="Times New Roman" w:hAnsi="Times New Roman" w:eastAsia="宋体" w:cs="Times New Roman"/>
                <w:color w:val="auto"/>
                <w:kern w:val="0"/>
                <w:sz w:val="21"/>
                <w:szCs w:val="21"/>
                <w:highlight w:val="none"/>
                <w:lang w:val="en-US" w:eastAsia="zh-CN" w:bidi="ar-SA"/>
              </w:rPr>
            </w:pPr>
          </w:p>
        </w:tc>
        <w:tc>
          <w:tcPr>
            <w:tcW w:w="313" w:type="pct"/>
            <w:tcBorders>
              <w:tl2br w:val="nil"/>
              <w:tr2bl w:val="nil"/>
            </w:tcBorders>
            <w:noWrap w:val="0"/>
            <w:vAlign w:val="top"/>
          </w:tcPr>
          <w:p w14:paraId="3FBE6FE7">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eastAsia="宋体" w:cs="Times New Roman"/>
                <w:color w:val="auto"/>
                <w:sz w:val="21"/>
                <w:szCs w:val="21"/>
                <w:highlight w:val="none"/>
                <w:vertAlign w:val="baseline"/>
                <w:lang w:val="en-US" w:eastAsia="zh-CN"/>
              </w:rPr>
              <w:t>SW</w:t>
            </w:r>
          </w:p>
        </w:tc>
        <w:tc>
          <w:tcPr>
            <w:tcW w:w="394" w:type="pct"/>
            <w:tcBorders>
              <w:tl2br w:val="nil"/>
              <w:tr2bl w:val="nil"/>
            </w:tcBorders>
            <w:noWrap w:val="0"/>
            <w:vAlign w:val="top"/>
          </w:tcPr>
          <w:p w14:paraId="4B04CCB3">
            <w:pPr>
              <w:pStyle w:val="103"/>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eastAsia="宋体" w:cs="Times New Roman"/>
                <w:color w:val="auto"/>
                <w:sz w:val="21"/>
                <w:szCs w:val="21"/>
                <w:highlight w:val="none"/>
                <w:vertAlign w:val="baseline"/>
                <w:lang w:val="en-US" w:eastAsia="zh-CN"/>
              </w:rPr>
              <w:t>约1000</w:t>
            </w:r>
          </w:p>
        </w:tc>
      </w:tr>
      <w:tr w14:paraId="23C9A2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90" w:type="pct"/>
            <w:tcBorders>
              <w:tl2br w:val="nil"/>
              <w:tr2bl w:val="nil"/>
            </w:tcBorders>
            <w:noWrap w:val="0"/>
            <w:vAlign w:val="center"/>
          </w:tcPr>
          <w:p w14:paraId="26EFB1C7">
            <w:pPr>
              <w:pStyle w:val="88"/>
              <w:keepNext w:val="0"/>
              <w:keepLines w:val="0"/>
              <w:pageBreakBefore w:val="0"/>
              <w:widowControl w:val="0"/>
              <w:kinsoku/>
              <w:wordWrap/>
              <w:overflowPunct/>
              <w:topLinePunct w:val="0"/>
              <w:autoSpaceDE w:val="0"/>
              <w:autoSpaceDN w:val="0"/>
              <w:bidi w:val="0"/>
              <w:adjustRightInd/>
              <w:snapToGrid/>
              <w:spacing w:line="240" w:lineRule="auto"/>
              <w:ind w:left="0" w:firstLine="0" w:firstLineChars="0"/>
              <w:jc w:val="center"/>
              <w:textAlignment w:val="bottom"/>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地表水环境</w:t>
            </w:r>
          </w:p>
        </w:tc>
        <w:tc>
          <w:tcPr>
            <w:tcW w:w="200" w:type="pct"/>
            <w:tcBorders>
              <w:tl2br w:val="nil"/>
              <w:tr2bl w:val="nil"/>
            </w:tcBorders>
            <w:noWrap w:val="0"/>
            <w:vAlign w:val="center"/>
          </w:tcPr>
          <w:p w14:paraId="03BA4817">
            <w:pPr>
              <w:pStyle w:val="88"/>
              <w:keepNext w:val="0"/>
              <w:keepLines w:val="0"/>
              <w:pageBreakBefore w:val="0"/>
              <w:widowControl w:val="0"/>
              <w:kinsoku/>
              <w:wordWrap/>
              <w:overflowPunct/>
              <w:topLinePunct w:val="0"/>
              <w:autoSpaceDE w:val="0"/>
              <w:autoSpaceDN w:val="0"/>
              <w:bidi w:val="0"/>
              <w:adjustRightInd/>
              <w:snapToGrid/>
              <w:spacing w:line="240" w:lineRule="auto"/>
              <w:ind w:left="0" w:firstLine="0" w:firstLineChars="0"/>
              <w:jc w:val="center"/>
              <w:textAlignment w:val="bottom"/>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997" w:type="pct"/>
            <w:tcBorders>
              <w:tl2br w:val="nil"/>
              <w:tr2bl w:val="nil"/>
            </w:tcBorders>
            <w:noWrap w:val="0"/>
            <w:vAlign w:val="center"/>
          </w:tcPr>
          <w:p w14:paraId="097CE081">
            <w:pPr>
              <w:pStyle w:val="74"/>
              <w:keepNext w:val="0"/>
              <w:keepLines w:val="0"/>
              <w:pageBreakBefore w:val="0"/>
              <w:widowControl w:val="0"/>
              <w:kinsoku/>
              <w:wordWrap/>
              <w:overflowPunct/>
              <w:topLinePunct w:val="0"/>
              <w:bidi w:val="0"/>
              <w:adjustRightInd/>
              <w:snapToGrid/>
              <w:spacing w:line="240" w:lineRule="auto"/>
              <w:ind w:left="0" w:leftChars="0" w:firstLine="0" w:firstLineChars="0"/>
              <w:outlineLvl w:val="9"/>
              <w:rPr>
                <w:rFonts w:hint="default" w:ascii="Times New Roman" w:hAnsi="Times New Roman" w:eastAsia="宋体" w:cs="Times New Roman"/>
                <w:color w:val="auto"/>
                <w:sz w:val="21"/>
                <w:szCs w:val="21"/>
                <w:highlight w:val="none"/>
                <w:lang w:val="en-US" w:eastAsia="zh-CN"/>
              </w:rPr>
            </w:pPr>
            <w:r>
              <w:rPr>
                <w:rFonts w:hint="eastAsia" w:hAnsi="Times New Roman" w:cs="Times New Roman"/>
                <w:color w:val="auto"/>
                <w:sz w:val="21"/>
                <w:szCs w:val="21"/>
                <w:highlight w:val="none"/>
                <w:lang w:val="en-US" w:eastAsia="zh-CN"/>
              </w:rPr>
              <w:t>松花江</w:t>
            </w:r>
          </w:p>
        </w:tc>
        <w:tc>
          <w:tcPr>
            <w:tcW w:w="524" w:type="pct"/>
            <w:tcBorders>
              <w:tl2br w:val="nil"/>
              <w:tr2bl w:val="nil"/>
            </w:tcBorders>
            <w:noWrap w:val="0"/>
            <w:vAlign w:val="center"/>
          </w:tcPr>
          <w:p w14:paraId="7D77BBB4">
            <w:pPr>
              <w:pStyle w:val="74"/>
              <w:keepNext w:val="0"/>
              <w:keepLines w:val="0"/>
              <w:pageBreakBefore w:val="0"/>
              <w:widowControl w:val="0"/>
              <w:kinsoku/>
              <w:wordWrap/>
              <w:overflowPunct/>
              <w:topLinePunct w:val="0"/>
              <w:bidi w:val="0"/>
              <w:adjustRightInd/>
              <w:snapToGrid/>
              <w:spacing w:line="240" w:lineRule="auto"/>
              <w:ind w:left="0" w:leftChars="0" w:firstLine="0" w:firstLineChars="0"/>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rPr>
              <w:t>/</w:t>
            </w:r>
          </w:p>
        </w:tc>
        <w:tc>
          <w:tcPr>
            <w:tcW w:w="947" w:type="pct"/>
            <w:gridSpan w:val="2"/>
            <w:tcBorders>
              <w:tl2br w:val="nil"/>
              <w:tr2bl w:val="nil"/>
            </w:tcBorders>
            <w:noWrap w:val="0"/>
            <w:vAlign w:val="center"/>
          </w:tcPr>
          <w:p w14:paraId="1383F5C2">
            <w:pPr>
              <w:pStyle w:val="74"/>
              <w:keepNext w:val="0"/>
              <w:keepLines w:val="0"/>
              <w:pageBreakBefore w:val="0"/>
              <w:widowControl w:val="0"/>
              <w:kinsoku/>
              <w:wordWrap/>
              <w:overflowPunct/>
              <w:topLinePunct w:val="0"/>
              <w:bidi w:val="0"/>
              <w:adjustRightInd/>
              <w:snapToGrid/>
              <w:spacing w:line="240" w:lineRule="auto"/>
              <w:ind w:left="0" w:leftChars="0" w:firstLine="0" w:firstLineChars="0"/>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rPr>
              <w:t>/</w:t>
            </w:r>
          </w:p>
        </w:tc>
        <w:tc>
          <w:tcPr>
            <w:tcW w:w="285" w:type="pct"/>
            <w:tcBorders>
              <w:tl2br w:val="nil"/>
              <w:tr2bl w:val="nil"/>
            </w:tcBorders>
            <w:noWrap w:val="0"/>
            <w:vAlign w:val="center"/>
          </w:tcPr>
          <w:p w14:paraId="1882EE45">
            <w:pPr>
              <w:pStyle w:val="74"/>
              <w:keepNext w:val="0"/>
              <w:keepLines w:val="0"/>
              <w:pageBreakBefore w:val="0"/>
              <w:widowControl w:val="0"/>
              <w:kinsoku/>
              <w:wordWrap/>
              <w:overflowPunct/>
              <w:topLinePunct w:val="0"/>
              <w:bidi w:val="0"/>
              <w:adjustRightInd/>
              <w:snapToGrid/>
              <w:spacing w:line="240" w:lineRule="auto"/>
              <w:ind w:left="0" w:leftChars="0" w:firstLine="0" w:firstLineChars="0"/>
              <w:jc w:val="center"/>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地表水环境质量</w:t>
            </w:r>
          </w:p>
        </w:tc>
        <w:tc>
          <w:tcPr>
            <w:tcW w:w="1044" w:type="pct"/>
            <w:tcBorders>
              <w:tl2br w:val="nil"/>
              <w:tr2bl w:val="nil"/>
            </w:tcBorders>
            <w:noWrap w:val="0"/>
            <w:vAlign w:val="center"/>
          </w:tcPr>
          <w:p w14:paraId="090A2196">
            <w:pPr>
              <w:pStyle w:val="15"/>
              <w:keepNext w:val="0"/>
              <w:keepLines w:val="0"/>
              <w:pageBreakBefore w:val="0"/>
              <w:widowControl w:val="0"/>
              <w:kinsoku/>
              <w:wordWrap/>
              <w:overflowPunct/>
              <w:topLinePunct w:val="0"/>
              <w:bidi w:val="0"/>
              <w:adjustRightInd/>
              <w:snapToGrid/>
              <w:spacing w:after="0" w:line="240" w:lineRule="auto"/>
              <w:ind w:left="0" w:firstLine="0" w:firstLineChars="0"/>
              <w:jc w:val="center"/>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rPr>
              <w:t>《地表水环境质量标准》（GB3838-2002）</w:t>
            </w:r>
            <w:r>
              <w:rPr>
                <w:rFonts w:hint="default" w:ascii="Times New Roman" w:hAnsi="Times New Roman" w:eastAsia="宋体" w:cs="Times New Roman"/>
                <w:color w:val="auto"/>
                <w:sz w:val="21"/>
                <w:szCs w:val="21"/>
                <w:highlight w:val="none"/>
                <w:lang w:val="en-US" w:eastAsia="zh-CN"/>
              </w:rPr>
              <w:t>表1地表水环境质量标准基本项目标准限值</w:t>
            </w:r>
            <w:r>
              <w:rPr>
                <w:rFonts w:hint="default" w:ascii="Times New Roman" w:hAnsi="Times New Roman" w:eastAsia="宋体" w:cs="Times New Roman"/>
                <w:color w:val="auto"/>
                <w:sz w:val="21"/>
                <w:szCs w:val="21"/>
                <w:highlight w:val="none"/>
              </w:rPr>
              <w:t>中Ⅳ类水体标准</w:t>
            </w:r>
          </w:p>
        </w:tc>
        <w:tc>
          <w:tcPr>
            <w:tcW w:w="313" w:type="pct"/>
            <w:tcBorders>
              <w:tl2br w:val="nil"/>
              <w:tr2bl w:val="nil"/>
            </w:tcBorders>
            <w:noWrap w:val="0"/>
            <w:vAlign w:val="center"/>
          </w:tcPr>
          <w:p w14:paraId="0F2502BB">
            <w:pPr>
              <w:pStyle w:val="74"/>
              <w:keepNext w:val="0"/>
              <w:keepLines w:val="0"/>
              <w:pageBreakBefore w:val="0"/>
              <w:widowControl w:val="0"/>
              <w:kinsoku/>
              <w:wordWrap/>
              <w:overflowPunct/>
              <w:topLinePunct w:val="0"/>
              <w:bidi w:val="0"/>
              <w:adjustRightInd/>
              <w:snapToGrid/>
              <w:spacing w:line="240" w:lineRule="auto"/>
              <w:ind w:left="0" w:leftChars="0" w:firstLine="0" w:firstLineChars="0"/>
              <w:outlineLvl w:val="9"/>
              <w:rPr>
                <w:rFonts w:hint="default" w:ascii="Times New Roman" w:hAnsi="Times New Roman" w:eastAsia="宋体" w:cs="Times New Roman"/>
                <w:color w:val="auto"/>
                <w:sz w:val="21"/>
                <w:szCs w:val="21"/>
                <w:highlight w:val="none"/>
                <w:lang w:val="en-US" w:eastAsia="zh-CN"/>
              </w:rPr>
            </w:pPr>
            <w:r>
              <w:rPr>
                <w:rFonts w:hint="eastAsia" w:hAnsi="Times New Roman" w:cs="Times New Roman"/>
                <w:color w:val="auto"/>
                <w:sz w:val="21"/>
                <w:szCs w:val="21"/>
                <w:highlight w:val="none"/>
                <w:lang w:val="en-US" w:eastAsia="zh-CN"/>
              </w:rPr>
              <w:t>NW</w:t>
            </w:r>
          </w:p>
        </w:tc>
        <w:tc>
          <w:tcPr>
            <w:tcW w:w="394" w:type="pct"/>
            <w:tcBorders>
              <w:tl2br w:val="nil"/>
              <w:tr2bl w:val="nil"/>
            </w:tcBorders>
            <w:noWrap w:val="0"/>
            <w:vAlign w:val="center"/>
          </w:tcPr>
          <w:p w14:paraId="547F5833">
            <w:pPr>
              <w:pStyle w:val="74"/>
              <w:keepNext w:val="0"/>
              <w:keepLines w:val="0"/>
              <w:pageBreakBefore w:val="0"/>
              <w:widowControl w:val="0"/>
              <w:kinsoku/>
              <w:wordWrap/>
              <w:overflowPunct/>
              <w:topLinePunct w:val="0"/>
              <w:bidi w:val="0"/>
              <w:adjustRightInd/>
              <w:snapToGrid/>
              <w:spacing w:line="240" w:lineRule="auto"/>
              <w:ind w:left="0" w:leftChars="0" w:firstLine="0" w:firstLineChars="0"/>
              <w:outlineLvl w:val="9"/>
              <w:rPr>
                <w:rFonts w:hint="default" w:ascii="Times New Roman" w:hAnsi="Times New Roman" w:eastAsia="宋体" w:cs="Times New Roman"/>
                <w:color w:val="auto"/>
                <w:sz w:val="21"/>
                <w:szCs w:val="21"/>
                <w:highlight w:val="none"/>
                <w:lang w:val="en-US" w:eastAsia="zh-CN"/>
              </w:rPr>
            </w:pPr>
            <w:r>
              <w:rPr>
                <w:rFonts w:hint="eastAsia" w:hAnsi="Times New Roman" w:cs="Times New Roman"/>
                <w:color w:val="auto"/>
                <w:sz w:val="21"/>
                <w:szCs w:val="21"/>
                <w:highlight w:val="none"/>
                <w:lang w:val="en-US" w:eastAsia="zh-CN"/>
              </w:rPr>
              <w:t>约1330</w:t>
            </w:r>
          </w:p>
        </w:tc>
      </w:tr>
      <w:tr w14:paraId="480821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90" w:type="pct"/>
            <w:tcBorders>
              <w:tl2br w:val="nil"/>
              <w:tr2bl w:val="nil"/>
            </w:tcBorders>
            <w:noWrap w:val="0"/>
            <w:vAlign w:val="center"/>
          </w:tcPr>
          <w:p w14:paraId="72805699">
            <w:pPr>
              <w:pStyle w:val="74"/>
              <w:keepNext w:val="0"/>
              <w:keepLines w:val="0"/>
              <w:pageBreakBefore w:val="0"/>
              <w:widowControl w:val="0"/>
              <w:kinsoku/>
              <w:wordWrap/>
              <w:overflowPunct/>
              <w:topLinePunct w:val="0"/>
              <w:bidi w:val="0"/>
              <w:adjustRightInd/>
              <w:snapToGrid/>
              <w:spacing w:line="240" w:lineRule="auto"/>
              <w:ind w:left="0" w:leftChars="0" w:firstLine="0" w:firstLineChars="0"/>
              <w:jc w:val="center"/>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土壤</w:t>
            </w:r>
          </w:p>
          <w:p w14:paraId="68FE3122">
            <w:pPr>
              <w:pStyle w:val="74"/>
              <w:keepNext w:val="0"/>
              <w:keepLines w:val="0"/>
              <w:pageBreakBefore w:val="0"/>
              <w:widowControl w:val="0"/>
              <w:kinsoku/>
              <w:wordWrap/>
              <w:overflowPunct/>
              <w:topLinePunct w:val="0"/>
              <w:bidi w:val="0"/>
              <w:adjustRightInd/>
              <w:snapToGrid/>
              <w:spacing w:line="240" w:lineRule="auto"/>
              <w:ind w:left="0" w:leftChars="0" w:firstLine="0" w:firstLineChars="0"/>
              <w:jc w:val="center"/>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环境</w:t>
            </w:r>
          </w:p>
        </w:tc>
        <w:tc>
          <w:tcPr>
            <w:tcW w:w="200" w:type="pct"/>
            <w:tcBorders>
              <w:tl2br w:val="nil"/>
              <w:tr2bl w:val="nil"/>
            </w:tcBorders>
            <w:noWrap w:val="0"/>
            <w:vAlign w:val="center"/>
          </w:tcPr>
          <w:p w14:paraId="13A303D5">
            <w:pPr>
              <w:pStyle w:val="74"/>
              <w:keepNext w:val="0"/>
              <w:keepLines w:val="0"/>
              <w:pageBreakBefore w:val="0"/>
              <w:widowControl w:val="0"/>
              <w:kinsoku/>
              <w:wordWrap/>
              <w:overflowPunct/>
              <w:topLinePunct w:val="0"/>
              <w:bidi w:val="0"/>
              <w:adjustRightInd/>
              <w:snapToGrid/>
              <w:spacing w:line="240" w:lineRule="auto"/>
              <w:ind w:left="0" w:leftChars="0" w:firstLine="0" w:firstLineChars="0"/>
              <w:jc w:val="center"/>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997" w:type="pct"/>
            <w:tcBorders>
              <w:tl2br w:val="nil"/>
              <w:tr2bl w:val="nil"/>
            </w:tcBorders>
            <w:noWrap w:val="0"/>
            <w:vAlign w:val="center"/>
          </w:tcPr>
          <w:p w14:paraId="7FB7E10A">
            <w:pPr>
              <w:keepNext w:val="0"/>
              <w:keepLines w:val="0"/>
              <w:pageBreakBefore w:val="0"/>
              <w:widowControl w:val="0"/>
              <w:kinsoku/>
              <w:wordWrap/>
              <w:overflowPunct/>
              <w:topLinePunct w:val="0"/>
              <w:bidi w:val="0"/>
              <w:adjustRightInd/>
              <w:snapToGrid/>
              <w:spacing w:line="240" w:lineRule="auto"/>
              <w:ind w:left="0" w:leftChars="0" w:firstLine="0" w:firstLineChars="0"/>
              <w:jc w:val="center"/>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u w:val="none"/>
                <w:lang w:val="en-US" w:eastAsia="zh-CN"/>
              </w:rPr>
              <w:t>厂址及周边建设用地</w:t>
            </w:r>
          </w:p>
        </w:tc>
        <w:tc>
          <w:tcPr>
            <w:tcW w:w="524" w:type="pct"/>
            <w:tcBorders>
              <w:tl2br w:val="nil"/>
              <w:tr2bl w:val="nil"/>
            </w:tcBorders>
            <w:noWrap w:val="0"/>
            <w:vAlign w:val="center"/>
          </w:tcPr>
          <w:p w14:paraId="7EBAEFE4">
            <w:pPr>
              <w:keepNext w:val="0"/>
              <w:keepLines w:val="0"/>
              <w:pageBreakBefore w:val="0"/>
              <w:widowControl w:val="0"/>
              <w:kinsoku/>
              <w:wordWrap/>
              <w:overflowPunct/>
              <w:topLinePunct w:val="0"/>
              <w:bidi w:val="0"/>
              <w:adjustRightInd/>
              <w:snapToGrid/>
              <w:spacing w:line="240" w:lineRule="auto"/>
              <w:ind w:left="0" w:leftChars="0" w:firstLine="0" w:firstLineChars="0"/>
              <w:jc w:val="center"/>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w:t>
            </w:r>
          </w:p>
        </w:tc>
        <w:tc>
          <w:tcPr>
            <w:tcW w:w="947" w:type="pct"/>
            <w:gridSpan w:val="2"/>
            <w:tcBorders>
              <w:tl2br w:val="nil"/>
              <w:tr2bl w:val="nil"/>
            </w:tcBorders>
            <w:noWrap w:val="0"/>
            <w:vAlign w:val="center"/>
          </w:tcPr>
          <w:p w14:paraId="0A2713A9">
            <w:pPr>
              <w:keepNext w:val="0"/>
              <w:keepLines w:val="0"/>
              <w:pageBreakBefore w:val="0"/>
              <w:widowControl w:val="0"/>
              <w:kinsoku/>
              <w:wordWrap/>
              <w:overflowPunct/>
              <w:topLinePunct w:val="0"/>
              <w:bidi w:val="0"/>
              <w:adjustRightInd/>
              <w:snapToGrid/>
              <w:spacing w:line="240" w:lineRule="auto"/>
              <w:ind w:left="0" w:leftChars="0" w:firstLine="0" w:firstLineChars="0"/>
              <w:jc w:val="center"/>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w:t>
            </w:r>
          </w:p>
        </w:tc>
        <w:tc>
          <w:tcPr>
            <w:tcW w:w="285" w:type="pct"/>
            <w:tcBorders>
              <w:tl2br w:val="nil"/>
              <w:tr2bl w:val="nil"/>
            </w:tcBorders>
            <w:noWrap w:val="0"/>
            <w:vAlign w:val="center"/>
          </w:tcPr>
          <w:p w14:paraId="423D986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044" w:type="pct"/>
            <w:tcBorders>
              <w:tl2br w:val="nil"/>
              <w:tr2bl w:val="nil"/>
            </w:tcBorders>
            <w:noWrap w:val="0"/>
            <w:vAlign w:val="center"/>
          </w:tcPr>
          <w:p w14:paraId="5431F59A">
            <w:pPr>
              <w:pStyle w:val="74"/>
              <w:keepNext w:val="0"/>
              <w:keepLines w:val="0"/>
              <w:pageBreakBefore w:val="0"/>
              <w:widowControl w:val="0"/>
              <w:kinsoku/>
              <w:wordWrap/>
              <w:overflowPunct/>
              <w:topLinePunct w:val="0"/>
              <w:bidi w:val="0"/>
              <w:adjustRightInd/>
              <w:snapToGrid/>
              <w:spacing w:line="240" w:lineRule="auto"/>
              <w:ind w:left="0" w:leftChars="0" w:firstLine="0" w:firstLineChars="0"/>
              <w:jc w:val="center"/>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《土壤环境质量 建设用地土壤污染风险管控标准（试行）》（GB36600-2018）中第</w:t>
            </w:r>
            <w:r>
              <w:rPr>
                <w:rFonts w:hint="eastAsia" w:hAnsi="Times New Roman" w:cs="Times New Roman"/>
                <w:color w:val="FF0000"/>
                <w:sz w:val="21"/>
                <w:szCs w:val="21"/>
                <w:highlight w:val="none"/>
                <w:lang w:val="en-US" w:eastAsia="zh-CN"/>
              </w:rPr>
              <w:t>一</w:t>
            </w:r>
            <w:r>
              <w:rPr>
                <w:rFonts w:hint="default" w:ascii="Times New Roman" w:hAnsi="Times New Roman" w:eastAsia="宋体" w:cs="Times New Roman"/>
                <w:color w:val="FF0000"/>
                <w:sz w:val="21"/>
                <w:szCs w:val="21"/>
                <w:highlight w:val="none"/>
                <w:lang w:val="en-US" w:eastAsia="zh-CN"/>
              </w:rPr>
              <w:t>类用地</w:t>
            </w:r>
            <w:r>
              <w:rPr>
                <w:rFonts w:hint="eastAsia" w:hAnsi="Times New Roman" w:cs="Times New Roman"/>
                <w:color w:val="FF0000"/>
                <w:sz w:val="21"/>
                <w:szCs w:val="21"/>
                <w:highlight w:val="none"/>
                <w:lang w:val="en-US" w:eastAsia="zh-CN"/>
              </w:rPr>
              <w:t>和第二类用地</w:t>
            </w:r>
            <w:r>
              <w:rPr>
                <w:rFonts w:hint="default" w:ascii="Times New Roman" w:hAnsi="Times New Roman" w:eastAsia="宋体" w:cs="Times New Roman"/>
                <w:color w:val="FF0000"/>
                <w:sz w:val="21"/>
                <w:szCs w:val="21"/>
                <w:highlight w:val="none"/>
                <w:lang w:val="en-US" w:eastAsia="zh-CN"/>
              </w:rPr>
              <w:t>筛选值要求</w:t>
            </w:r>
            <w:r>
              <w:rPr>
                <w:rFonts w:hint="eastAsia" w:hAnsi="Times New Roman" w:cs="Times New Roman"/>
                <w:color w:val="FF0000"/>
                <w:sz w:val="21"/>
                <w:szCs w:val="21"/>
                <w:highlight w:val="none"/>
                <w:lang w:val="en-US" w:eastAsia="zh-CN"/>
              </w:rPr>
              <w:t>；</w:t>
            </w:r>
            <w:r>
              <w:rPr>
                <w:rFonts w:hint="eastAsia" w:hAnsi="Times New Roman" w:cs="Times New Roman"/>
                <w:color w:val="auto"/>
                <w:sz w:val="21"/>
                <w:szCs w:val="21"/>
                <w:highlight w:val="none"/>
                <w:lang w:val="en-US" w:eastAsia="zh-CN"/>
              </w:rPr>
              <w:t>《土壤环境质量 农用地土壤污染风，险管控标准（试行）》（GB 15618-2018）中农用地土壤污染风险筛选值</w:t>
            </w:r>
          </w:p>
        </w:tc>
        <w:tc>
          <w:tcPr>
            <w:tcW w:w="707" w:type="pct"/>
            <w:gridSpan w:val="2"/>
            <w:tcBorders>
              <w:tl2br w:val="nil"/>
              <w:tr2bl w:val="nil"/>
            </w:tcBorders>
            <w:noWrap w:val="0"/>
            <w:vAlign w:val="center"/>
          </w:tcPr>
          <w:p w14:paraId="31F96D3A">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sz w:val="21"/>
                <w:szCs w:val="21"/>
                <w:highlight w:val="none"/>
                <w:vertAlign w:val="baseline"/>
                <w:lang w:val="en-US" w:eastAsia="zh-CN"/>
              </w:rPr>
              <w:t>厂址周围50m范围</w:t>
            </w:r>
          </w:p>
        </w:tc>
      </w:tr>
    </w:tbl>
    <w:p w14:paraId="39EADDAD">
      <w:pPr>
        <w:pStyle w:val="103"/>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表2</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5-</w:t>
      </w:r>
      <w:r>
        <w:rPr>
          <w:rFonts w:hint="default" w:ascii="Times New Roman" w:hAnsi="Times New Roman" w:eastAsia="宋体" w:cs="Times New Roman"/>
          <w:color w:val="auto"/>
          <w:highlight w:val="none"/>
          <w:lang w:val="en-US" w:eastAsia="zh-CN"/>
        </w:rPr>
        <w:t xml:space="preserve">2 </w:t>
      </w:r>
      <w:r>
        <w:rPr>
          <w:rFonts w:hint="default" w:ascii="Times New Roman" w:hAnsi="Times New Roman" w:eastAsia="宋体" w:cs="Times New Roman"/>
          <w:color w:val="auto"/>
          <w:highlight w:val="none"/>
        </w:rPr>
        <w:t xml:space="preserve"> 本项目</w:t>
      </w:r>
      <w:r>
        <w:rPr>
          <w:rFonts w:hint="default" w:ascii="Times New Roman" w:hAnsi="Times New Roman" w:eastAsia="宋体" w:cs="Times New Roman"/>
          <w:color w:val="auto"/>
          <w:highlight w:val="none"/>
          <w:lang w:val="en-US" w:eastAsia="zh-CN"/>
        </w:rPr>
        <w:t>声</w:t>
      </w:r>
      <w:r>
        <w:rPr>
          <w:rFonts w:hint="default" w:ascii="Times New Roman" w:hAnsi="Times New Roman" w:eastAsia="宋体" w:cs="Times New Roman"/>
          <w:color w:val="auto"/>
          <w:highlight w:val="none"/>
          <w:lang w:eastAsia="zh-CN"/>
        </w:rPr>
        <w:t>环境</w:t>
      </w:r>
      <w:r>
        <w:rPr>
          <w:rFonts w:hint="default" w:ascii="Times New Roman" w:hAnsi="Times New Roman" w:eastAsia="宋体" w:cs="Times New Roman"/>
          <w:color w:val="auto"/>
          <w:highlight w:val="none"/>
        </w:rPr>
        <w:t>保护目标</w:t>
      </w:r>
      <w:r>
        <w:rPr>
          <w:rFonts w:hint="default" w:ascii="Times New Roman" w:hAnsi="Times New Roman" w:eastAsia="宋体" w:cs="Times New Roman"/>
          <w:color w:val="auto"/>
          <w:highlight w:val="none"/>
          <w:lang w:val="en-US" w:eastAsia="zh-CN"/>
        </w:rPr>
        <w:t>调查表</w:t>
      </w:r>
    </w:p>
    <w:tbl>
      <w:tblPr>
        <w:tblStyle w:val="3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84"/>
        <w:gridCol w:w="1719"/>
        <w:gridCol w:w="1476"/>
        <w:gridCol w:w="1561"/>
        <w:gridCol w:w="630"/>
        <w:gridCol w:w="1097"/>
        <w:gridCol w:w="3713"/>
        <w:gridCol w:w="3494"/>
      </w:tblGrid>
      <w:tr w14:paraId="43EF4E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4" w:type="dxa"/>
            <w:vMerge w:val="restart"/>
            <w:tcBorders>
              <w:tl2br w:val="nil"/>
              <w:tr2bl w:val="nil"/>
            </w:tcBorders>
            <w:vAlign w:val="center"/>
          </w:tcPr>
          <w:p w14:paraId="61EB7BC0">
            <w:pPr>
              <w:pStyle w:val="10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序号</w:t>
            </w:r>
          </w:p>
        </w:tc>
        <w:tc>
          <w:tcPr>
            <w:tcW w:w="1719" w:type="dxa"/>
            <w:vMerge w:val="restart"/>
            <w:tcBorders>
              <w:tl2br w:val="nil"/>
              <w:tr2bl w:val="nil"/>
            </w:tcBorders>
            <w:vAlign w:val="center"/>
          </w:tcPr>
          <w:p w14:paraId="4078B625">
            <w:pPr>
              <w:pStyle w:val="10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声环境保护</w:t>
            </w:r>
          </w:p>
          <w:p w14:paraId="5CBF2FCB">
            <w:pPr>
              <w:pStyle w:val="10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目标名称</w:t>
            </w:r>
          </w:p>
        </w:tc>
        <w:tc>
          <w:tcPr>
            <w:tcW w:w="3037" w:type="dxa"/>
            <w:gridSpan w:val="2"/>
            <w:tcBorders>
              <w:tl2br w:val="nil"/>
              <w:tr2bl w:val="nil"/>
            </w:tcBorders>
            <w:vAlign w:val="center"/>
          </w:tcPr>
          <w:p w14:paraId="1B6265A2">
            <w:pPr>
              <w:pStyle w:val="10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空间相对位置/m</w:t>
            </w:r>
          </w:p>
        </w:tc>
        <w:tc>
          <w:tcPr>
            <w:tcW w:w="630" w:type="dxa"/>
            <w:vMerge w:val="restart"/>
            <w:tcBorders>
              <w:tl2br w:val="nil"/>
              <w:tr2bl w:val="nil"/>
            </w:tcBorders>
            <w:vAlign w:val="center"/>
          </w:tcPr>
          <w:p w14:paraId="79EB12F8">
            <w:pPr>
              <w:pStyle w:val="10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方位</w:t>
            </w:r>
          </w:p>
        </w:tc>
        <w:tc>
          <w:tcPr>
            <w:tcW w:w="1097" w:type="dxa"/>
            <w:vMerge w:val="restart"/>
            <w:tcBorders>
              <w:tl2br w:val="nil"/>
              <w:tr2bl w:val="nil"/>
            </w:tcBorders>
            <w:vAlign w:val="center"/>
          </w:tcPr>
          <w:p w14:paraId="19ED5A1C">
            <w:pPr>
              <w:pStyle w:val="10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距厂界最近距离约/m</w:t>
            </w:r>
          </w:p>
        </w:tc>
        <w:tc>
          <w:tcPr>
            <w:tcW w:w="3713" w:type="dxa"/>
            <w:vMerge w:val="restart"/>
            <w:tcBorders>
              <w:tl2br w:val="nil"/>
              <w:tr2bl w:val="nil"/>
            </w:tcBorders>
            <w:vAlign w:val="center"/>
          </w:tcPr>
          <w:p w14:paraId="6E83EE45">
            <w:pPr>
              <w:pStyle w:val="10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执行标准/功能区类别</w:t>
            </w:r>
          </w:p>
        </w:tc>
        <w:tc>
          <w:tcPr>
            <w:tcW w:w="3494" w:type="dxa"/>
            <w:vMerge w:val="restart"/>
            <w:tcBorders>
              <w:tl2br w:val="nil"/>
              <w:tr2bl w:val="nil"/>
            </w:tcBorders>
            <w:vAlign w:val="center"/>
          </w:tcPr>
          <w:p w14:paraId="38F81767">
            <w:pPr>
              <w:pStyle w:val="10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声环境保护目标情况说明（介绍声环境保护目标建筑</w:t>
            </w:r>
            <w:r>
              <w:rPr>
                <w:rFonts w:hint="eastAsia" w:eastAsia="宋体" w:cs="Times New Roman"/>
                <w:color w:val="auto"/>
                <w:sz w:val="21"/>
                <w:szCs w:val="21"/>
                <w:highlight w:val="none"/>
                <w:vertAlign w:val="baseline"/>
                <w:lang w:val="en-US" w:eastAsia="zh-CN"/>
              </w:rPr>
              <w:t>结构</w:t>
            </w:r>
            <w:r>
              <w:rPr>
                <w:rFonts w:hint="default" w:ascii="Times New Roman" w:hAnsi="Times New Roman" w:eastAsia="宋体" w:cs="Times New Roman"/>
                <w:color w:val="auto"/>
                <w:sz w:val="21"/>
                <w:szCs w:val="21"/>
                <w:highlight w:val="none"/>
                <w:vertAlign w:val="baseline"/>
                <w:lang w:val="en-US" w:eastAsia="zh-CN"/>
              </w:rPr>
              <w:t>、朝向、楼层、周围环境情况）</w:t>
            </w:r>
          </w:p>
        </w:tc>
      </w:tr>
      <w:tr w14:paraId="266D2B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4" w:type="dxa"/>
            <w:vMerge w:val="continue"/>
            <w:tcBorders>
              <w:tl2br w:val="nil"/>
              <w:tr2bl w:val="nil"/>
            </w:tcBorders>
            <w:vAlign w:val="center"/>
          </w:tcPr>
          <w:p w14:paraId="615A09D0">
            <w:pPr>
              <w:pStyle w:val="10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1719" w:type="dxa"/>
            <w:vMerge w:val="continue"/>
            <w:tcBorders>
              <w:tl2br w:val="nil"/>
              <w:tr2bl w:val="nil"/>
            </w:tcBorders>
            <w:vAlign w:val="center"/>
          </w:tcPr>
          <w:p w14:paraId="5D1F7762">
            <w:pPr>
              <w:pStyle w:val="10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1476" w:type="dxa"/>
            <w:tcBorders>
              <w:tl2br w:val="nil"/>
              <w:tr2bl w:val="nil"/>
            </w:tcBorders>
            <w:vAlign w:val="center"/>
          </w:tcPr>
          <w:p w14:paraId="64455C8C">
            <w:pPr>
              <w:pStyle w:val="10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X</w:t>
            </w:r>
          </w:p>
        </w:tc>
        <w:tc>
          <w:tcPr>
            <w:tcW w:w="1561" w:type="dxa"/>
            <w:tcBorders>
              <w:tl2br w:val="nil"/>
              <w:tr2bl w:val="nil"/>
            </w:tcBorders>
            <w:vAlign w:val="center"/>
          </w:tcPr>
          <w:p w14:paraId="02193EE5">
            <w:pPr>
              <w:pStyle w:val="10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Y</w:t>
            </w:r>
          </w:p>
        </w:tc>
        <w:tc>
          <w:tcPr>
            <w:tcW w:w="630" w:type="dxa"/>
            <w:vMerge w:val="continue"/>
            <w:tcBorders>
              <w:tl2br w:val="nil"/>
              <w:tr2bl w:val="nil"/>
            </w:tcBorders>
            <w:vAlign w:val="center"/>
          </w:tcPr>
          <w:p w14:paraId="2515F39A">
            <w:pPr>
              <w:pStyle w:val="10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1097" w:type="dxa"/>
            <w:vMerge w:val="continue"/>
            <w:tcBorders>
              <w:tl2br w:val="nil"/>
              <w:tr2bl w:val="nil"/>
            </w:tcBorders>
            <w:vAlign w:val="center"/>
          </w:tcPr>
          <w:p w14:paraId="65664FDD">
            <w:pPr>
              <w:pStyle w:val="10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3713" w:type="dxa"/>
            <w:vMerge w:val="continue"/>
            <w:tcBorders>
              <w:tl2br w:val="nil"/>
              <w:tr2bl w:val="nil"/>
            </w:tcBorders>
            <w:vAlign w:val="center"/>
          </w:tcPr>
          <w:p w14:paraId="2495AE60">
            <w:pPr>
              <w:pStyle w:val="10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3494" w:type="dxa"/>
            <w:vMerge w:val="continue"/>
            <w:tcBorders>
              <w:tl2br w:val="nil"/>
              <w:tr2bl w:val="nil"/>
            </w:tcBorders>
            <w:vAlign w:val="center"/>
          </w:tcPr>
          <w:p w14:paraId="07984F23">
            <w:pPr>
              <w:pStyle w:val="10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r>
      <w:tr w14:paraId="771130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4" w:type="dxa"/>
            <w:tcBorders>
              <w:tl2br w:val="nil"/>
              <w:tr2bl w:val="nil"/>
            </w:tcBorders>
            <w:vAlign w:val="center"/>
          </w:tcPr>
          <w:p w14:paraId="4AF4FD1D">
            <w:pPr>
              <w:pStyle w:val="10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1719" w:type="dxa"/>
            <w:tcBorders>
              <w:tl2br w:val="nil"/>
              <w:tr2bl w:val="nil"/>
            </w:tcBorders>
            <w:vAlign w:val="top"/>
          </w:tcPr>
          <w:p w14:paraId="1F708BD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原热电厂家属区</w:t>
            </w:r>
          </w:p>
        </w:tc>
        <w:tc>
          <w:tcPr>
            <w:tcW w:w="1476" w:type="dxa"/>
            <w:tcBorders>
              <w:tl2br w:val="nil"/>
              <w:tr2bl w:val="nil"/>
            </w:tcBorders>
            <w:vAlign w:val="center"/>
          </w:tcPr>
          <w:p w14:paraId="1AF9822B">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bidi="ar-SA"/>
              </w:rPr>
              <w:t>130.29146775</w:t>
            </w:r>
          </w:p>
        </w:tc>
        <w:tc>
          <w:tcPr>
            <w:tcW w:w="1561" w:type="dxa"/>
            <w:tcBorders>
              <w:tl2br w:val="nil"/>
              <w:tr2bl w:val="nil"/>
            </w:tcBorders>
            <w:vAlign w:val="center"/>
          </w:tcPr>
          <w:p w14:paraId="63FF6A19">
            <w:pPr>
              <w:pStyle w:val="9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bidi="ar-SA"/>
              </w:rPr>
              <w:t>46.81684600</w:t>
            </w:r>
          </w:p>
        </w:tc>
        <w:tc>
          <w:tcPr>
            <w:tcW w:w="630" w:type="dxa"/>
            <w:tcBorders>
              <w:tl2br w:val="nil"/>
              <w:tr2bl w:val="nil"/>
            </w:tcBorders>
            <w:vAlign w:val="center"/>
          </w:tcPr>
          <w:p w14:paraId="6E63AB2A">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W</w:t>
            </w:r>
          </w:p>
        </w:tc>
        <w:tc>
          <w:tcPr>
            <w:tcW w:w="1097" w:type="dxa"/>
            <w:tcBorders>
              <w:tl2br w:val="nil"/>
              <w:tr2bl w:val="nil"/>
            </w:tcBorders>
            <w:vAlign w:val="center"/>
          </w:tcPr>
          <w:p w14:paraId="1C77A0BC">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约30</w:t>
            </w:r>
          </w:p>
        </w:tc>
        <w:tc>
          <w:tcPr>
            <w:tcW w:w="3713" w:type="dxa"/>
            <w:vMerge w:val="restart"/>
            <w:tcBorders>
              <w:tl2br w:val="nil"/>
              <w:tr2bl w:val="nil"/>
            </w:tcBorders>
            <w:vAlign w:val="center"/>
          </w:tcPr>
          <w:p w14:paraId="2097AAD6">
            <w:pPr>
              <w:pStyle w:val="88"/>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《声环境质量标准》（GB3096-2008）</w:t>
            </w:r>
          </w:p>
          <w:p w14:paraId="6AEB6F50">
            <w:pPr>
              <w:pStyle w:val="10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表1环境噪声限值中的</w:t>
            </w:r>
            <w:r>
              <w:rPr>
                <w:rFonts w:hint="eastAsia" w:eastAsia="宋体" w:cs="Times New Roman"/>
                <w:b w:val="0"/>
                <w:bCs w:val="0"/>
                <w:color w:val="auto"/>
                <w:spacing w:val="0"/>
                <w:sz w:val="21"/>
                <w:szCs w:val="21"/>
                <w:highlight w:val="none"/>
                <w:lang w:val="en-US" w:eastAsia="zh-CN"/>
              </w:rPr>
              <w:t>2类</w:t>
            </w:r>
            <w:r>
              <w:rPr>
                <w:rFonts w:hint="default" w:ascii="Times New Roman" w:hAnsi="Times New Roman" w:eastAsia="宋体" w:cs="Times New Roman"/>
                <w:b w:val="0"/>
                <w:bCs w:val="0"/>
                <w:color w:val="auto"/>
                <w:spacing w:val="0"/>
                <w:sz w:val="21"/>
                <w:szCs w:val="21"/>
                <w:highlight w:val="none"/>
                <w:lang w:val="en-US" w:eastAsia="zh-CN"/>
              </w:rPr>
              <w:t>标准</w:t>
            </w:r>
          </w:p>
        </w:tc>
        <w:tc>
          <w:tcPr>
            <w:tcW w:w="3494" w:type="dxa"/>
            <w:tcBorders>
              <w:tl2br w:val="nil"/>
              <w:tr2bl w:val="nil"/>
            </w:tcBorders>
            <w:vAlign w:val="center"/>
          </w:tcPr>
          <w:p w14:paraId="2C27FB07">
            <w:pPr>
              <w:pStyle w:val="10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砖混</w:t>
            </w:r>
            <w:r>
              <w:rPr>
                <w:rFonts w:hint="eastAsia" w:eastAsia="宋体" w:cs="Times New Roman"/>
                <w:color w:val="auto"/>
                <w:sz w:val="21"/>
                <w:szCs w:val="21"/>
                <w:highlight w:val="none"/>
                <w:vertAlign w:val="baseline"/>
                <w:lang w:val="en-US" w:eastAsia="zh-CN"/>
              </w:rPr>
              <w:t>、</w:t>
            </w:r>
            <w:r>
              <w:rPr>
                <w:rFonts w:hint="default" w:ascii="Times New Roman" w:hAnsi="Times New Roman" w:eastAsia="宋体" w:cs="Times New Roman"/>
                <w:color w:val="auto"/>
                <w:sz w:val="21"/>
                <w:szCs w:val="21"/>
                <w:highlight w:val="none"/>
                <w:vertAlign w:val="baseline"/>
                <w:lang w:val="en-US" w:eastAsia="zh-CN"/>
              </w:rPr>
              <w:t>南北向，</w:t>
            </w:r>
            <w:r>
              <w:rPr>
                <w:rFonts w:hint="eastAsia" w:eastAsia="宋体" w:cs="Times New Roman"/>
                <w:color w:val="auto"/>
                <w:sz w:val="21"/>
                <w:szCs w:val="21"/>
                <w:highlight w:val="none"/>
                <w:vertAlign w:val="baseline"/>
                <w:lang w:val="en-US" w:eastAsia="zh-CN"/>
              </w:rPr>
              <w:t>6层楼房</w:t>
            </w:r>
          </w:p>
        </w:tc>
      </w:tr>
      <w:tr w14:paraId="71616F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4" w:type="dxa"/>
            <w:tcBorders>
              <w:tl2br w:val="nil"/>
              <w:tr2bl w:val="nil"/>
            </w:tcBorders>
            <w:vAlign w:val="center"/>
          </w:tcPr>
          <w:p w14:paraId="189E8F2E">
            <w:pPr>
              <w:pStyle w:val="10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1719" w:type="dxa"/>
            <w:tcBorders>
              <w:tl2br w:val="nil"/>
              <w:tr2bl w:val="nil"/>
            </w:tcBorders>
            <w:vAlign w:val="top"/>
          </w:tcPr>
          <w:p w14:paraId="120DFA8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黑锻新城小区</w:t>
            </w:r>
          </w:p>
        </w:tc>
        <w:tc>
          <w:tcPr>
            <w:tcW w:w="1476" w:type="dxa"/>
            <w:tcBorders>
              <w:tl2br w:val="nil"/>
              <w:tr2bl w:val="nil"/>
            </w:tcBorders>
            <w:vAlign w:val="center"/>
          </w:tcPr>
          <w:p w14:paraId="64DFA2CB">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bidi="ar-SA"/>
              </w:rPr>
              <w:t>130.29828420</w:t>
            </w:r>
          </w:p>
        </w:tc>
        <w:tc>
          <w:tcPr>
            <w:tcW w:w="1561" w:type="dxa"/>
            <w:tcBorders>
              <w:tl2br w:val="nil"/>
              <w:tr2bl w:val="nil"/>
            </w:tcBorders>
            <w:vAlign w:val="center"/>
          </w:tcPr>
          <w:p w14:paraId="0C4765C2">
            <w:pPr>
              <w:pStyle w:val="9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bidi="ar-SA"/>
              </w:rPr>
              <w:t>46.81459052</w:t>
            </w:r>
          </w:p>
        </w:tc>
        <w:tc>
          <w:tcPr>
            <w:tcW w:w="630" w:type="dxa"/>
            <w:tcBorders>
              <w:tl2br w:val="nil"/>
              <w:tr2bl w:val="nil"/>
            </w:tcBorders>
            <w:vAlign w:val="center"/>
          </w:tcPr>
          <w:p w14:paraId="02376708">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S</w:t>
            </w:r>
          </w:p>
        </w:tc>
        <w:tc>
          <w:tcPr>
            <w:tcW w:w="1097" w:type="dxa"/>
            <w:tcBorders>
              <w:tl2br w:val="nil"/>
              <w:tr2bl w:val="nil"/>
            </w:tcBorders>
            <w:vAlign w:val="center"/>
          </w:tcPr>
          <w:p w14:paraId="7D57E78A">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约60</w:t>
            </w:r>
          </w:p>
        </w:tc>
        <w:tc>
          <w:tcPr>
            <w:tcW w:w="3713" w:type="dxa"/>
            <w:vMerge w:val="continue"/>
            <w:tcBorders>
              <w:tl2br w:val="nil"/>
              <w:tr2bl w:val="nil"/>
            </w:tcBorders>
            <w:vAlign w:val="center"/>
          </w:tcPr>
          <w:p w14:paraId="3D19A360">
            <w:pPr>
              <w:pStyle w:val="88"/>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outlineLvl w:val="9"/>
              <w:rPr>
                <w:rFonts w:hint="default" w:ascii="Times New Roman" w:hAnsi="Times New Roman" w:eastAsia="宋体" w:cs="Times New Roman"/>
                <w:b w:val="0"/>
                <w:bCs w:val="0"/>
                <w:color w:val="auto"/>
                <w:spacing w:val="0"/>
                <w:sz w:val="21"/>
                <w:szCs w:val="21"/>
                <w:highlight w:val="none"/>
                <w:lang w:val="en-US" w:eastAsia="zh-CN"/>
              </w:rPr>
            </w:pPr>
          </w:p>
        </w:tc>
        <w:tc>
          <w:tcPr>
            <w:tcW w:w="3494" w:type="dxa"/>
            <w:tcBorders>
              <w:tl2br w:val="nil"/>
              <w:tr2bl w:val="nil"/>
            </w:tcBorders>
            <w:vAlign w:val="center"/>
          </w:tcPr>
          <w:p w14:paraId="6BEB8D54">
            <w:pPr>
              <w:pStyle w:val="10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砖</w:t>
            </w:r>
            <w:r>
              <w:rPr>
                <w:rFonts w:hint="eastAsia" w:eastAsia="宋体" w:cs="Times New Roman"/>
                <w:color w:val="auto"/>
                <w:sz w:val="21"/>
                <w:szCs w:val="21"/>
                <w:highlight w:val="none"/>
                <w:vertAlign w:val="baseline"/>
                <w:lang w:val="en-US" w:eastAsia="zh-CN"/>
              </w:rPr>
              <w:t>混</w:t>
            </w:r>
            <w:r>
              <w:rPr>
                <w:rFonts w:hint="default" w:ascii="Times New Roman" w:hAnsi="Times New Roman" w:eastAsia="宋体" w:cs="Times New Roman"/>
                <w:color w:val="auto"/>
                <w:sz w:val="21"/>
                <w:szCs w:val="21"/>
                <w:highlight w:val="none"/>
                <w:vertAlign w:val="baseline"/>
                <w:lang w:val="en-US" w:eastAsia="zh-CN"/>
              </w:rPr>
              <w:t>，南北向，</w:t>
            </w:r>
            <w:r>
              <w:rPr>
                <w:rFonts w:hint="eastAsia" w:eastAsia="宋体" w:cs="Times New Roman"/>
                <w:color w:val="auto"/>
                <w:sz w:val="21"/>
                <w:szCs w:val="21"/>
                <w:highlight w:val="none"/>
                <w:vertAlign w:val="baseline"/>
                <w:lang w:val="en-US" w:eastAsia="zh-CN"/>
              </w:rPr>
              <w:t>15层楼房</w:t>
            </w:r>
          </w:p>
        </w:tc>
      </w:tr>
    </w:tbl>
    <w:p w14:paraId="7770E7AD">
      <w:pPr>
        <w:numPr>
          <w:ilvl w:val="0"/>
          <w:numId w:val="0"/>
        </w:numPr>
        <w:bidi w:val="0"/>
        <w:ind w:leftChars="200"/>
        <w:rPr>
          <w:rFonts w:hint="eastAsia" w:ascii="Times New Roman" w:hAnsi="Times New Roman" w:eastAsia="宋体" w:cs="Times New Roman"/>
          <w:color w:val="auto"/>
          <w:highlight w:val="none"/>
          <w:lang w:eastAsia="zh-CN"/>
        </w:rPr>
      </w:pPr>
    </w:p>
    <w:p w14:paraId="32B2593D">
      <w:pPr>
        <w:numPr>
          <w:ilvl w:val="0"/>
          <w:numId w:val="0"/>
        </w:numPr>
        <w:bidi w:val="0"/>
        <w:ind w:leftChars="200"/>
        <w:rPr>
          <w:rFonts w:hint="eastAsia" w:ascii="Times New Roman" w:hAnsi="Times New Roman" w:eastAsia="宋体" w:cs="Times New Roman"/>
          <w:color w:val="auto"/>
          <w:highlight w:val="none"/>
          <w:lang w:eastAsia="zh-CN"/>
        </w:rPr>
      </w:pPr>
    </w:p>
    <w:p w14:paraId="2E258421">
      <w:pPr>
        <w:numPr>
          <w:ilvl w:val="0"/>
          <w:numId w:val="0"/>
        </w:numPr>
        <w:bidi w:val="0"/>
        <w:ind w:leftChars="200"/>
        <w:rPr>
          <w:rFonts w:hint="eastAsia" w:ascii="Times New Roman" w:hAnsi="Times New Roman" w:eastAsia="宋体" w:cs="Times New Roman"/>
          <w:color w:val="auto"/>
          <w:highlight w:val="none"/>
          <w:lang w:eastAsia="zh-CN"/>
        </w:rPr>
      </w:pPr>
    </w:p>
    <w:p w14:paraId="21014AEF">
      <w:pPr>
        <w:numPr>
          <w:ilvl w:val="0"/>
          <w:numId w:val="0"/>
        </w:numPr>
        <w:bidi w:val="0"/>
        <w:ind w:leftChars="200"/>
        <w:rPr>
          <w:rFonts w:hint="eastAsia" w:ascii="Times New Roman" w:hAnsi="Times New Roman" w:eastAsia="宋体" w:cs="Times New Roman"/>
          <w:color w:val="auto"/>
          <w:highlight w:val="none"/>
          <w:lang w:eastAsia="zh-CN"/>
        </w:rPr>
      </w:pPr>
    </w:p>
    <w:p w14:paraId="58BD6F6C">
      <w:pPr>
        <w:numPr>
          <w:ilvl w:val="0"/>
          <w:numId w:val="0"/>
        </w:numPr>
        <w:bidi w:val="0"/>
        <w:ind w:leftChars="200"/>
        <w:rPr>
          <w:rFonts w:hint="eastAsia" w:ascii="Times New Roman" w:hAnsi="Times New Roman" w:eastAsia="宋体" w:cs="Times New Roman"/>
          <w:color w:val="auto"/>
          <w:highlight w:val="none"/>
          <w:lang w:eastAsia="zh-CN"/>
        </w:rPr>
      </w:pPr>
    </w:p>
    <w:p w14:paraId="604F8A14">
      <w:pPr>
        <w:numPr>
          <w:ilvl w:val="0"/>
          <w:numId w:val="0"/>
        </w:numPr>
        <w:bidi w:val="0"/>
        <w:ind w:leftChars="200"/>
        <w:rPr>
          <w:rFonts w:hint="eastAsia" w:ascii="Times New Roman" w:hAnsi="Times New Roman" w:eastAsia="宋体" w:cs="Times New Roman"/>
          <w:color w:val="auto"/>
          <w:highlight w:val="none"/>
          <w:lang w:eastAsia="zh-CN"/>
        </w:rPr>
      </w:pPr>
    </w:p>
    <w:p w14:paraId="78D5BF33">
      <w:pPr>
        <w:numPr>
          <w:ilvl w:val="0"/>
          <w:numId w:val="0"/>
        </w:numPr>
        <w:bidi w:val="0"/>
        <w:ind w:leftChars="200"/>
        <w:rPr>
          <w:rFonts w:hint="eastAsia" w:ascii="Times New Roman" w:hAnsi="Times New Roman" w:eastAsia="宋体" w:cs="Times New Roman"/>
          <w:color w:val="auto"/>
          <w:highlight w:val="none"/>
          <w:lang w:eastAsia="zh-CN"/>
        </w:rPr>
      </w:pPr>
    </w:p>
    <w:p w14:paraId="13A5FB80">
      <w:pPr>
        <w:numPr>
          <w:ilvl w:val="0"/>
          <w:numId w:val="0"/>
        </w:numPr>
        <w:bidi w:val="0"/>
        <w:ind w:leftChars="200"/>
        <w:rPr>
          <w:rFonts w:hint="eastAsia" w:ascii="Times New Roman" w:hAnsi="Times New Roman" w:eastAsia="宋体" w:cs="Times New Roman"/>
          <w:color w:val="auto"/>
          <w:highlight w:val="none"/>
          <w:lang w:eastAsia="zh-CN"/>
        </w:rPr>
      </w:pPr>
    </w:p>
    <w:p w14:paraId="29A1A3D0">
      <w:pPr>
        <w:numPr>
          <w:ilvl w:val="0"/>
          <w:numId w:val="0"/>
        </w:numPr>
        <w:bidi w:val="0"/>
        <w:ind w:leftChars="200"/>
        <w:jc w:val="center"/>
        <w:rPr>
          <w:rFonts w:hint="default" w:ascii="Times New Roman" w:hAnsi="Times New Roman" w:eastAsia="宋体" w:cs="Times New Roman"/>
          <w:b w:val="0"/>
          <w:bCs w:val="0"/>
          <w:color w:val="auto"/>
          <w:kern w:val="0"/>
          <w:sz w:val="24"/>
          <w:szCs w:val="20"/>
          <w:highlight w:val="none"/>
          <w:lang w:val="en-US" w:eastAsia="zh-CN" w:bidi="ar-SA"/>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ascii="Times New Roman" w:hAnsi="Times New Roman" w:cs="Times New Roman"/>
          <w:b w:val="0"/>
          <w:bCs w:val="0"/>
          <w:color w:val="auto"/>
          <w:sz w:val="24"/>
          <w:szCs w:val="24"/>
          <w:highlight w:val="none"/>
          <w:lang w:val="en-US" w:eastAsia="zh-CN"/>
        </w:rPr>
        <w:drawing>
          <wp:anchor distT="0" distB="0" distL="114300" distR="114300" simplePos="0" relativeHeight="251734016" behindDoc="0" locked="0" layoutInCell="1" allowOverlap="1">
            <wp:simplePos x="0" y="0"/>
            <wp:positionH relativeFrom="column">
              <wp:posOffset>6962775</wp:posOffset>
            </wp:positionH>
            <wp:positionV relativeFrom="paragraph">
              <wp:posOffset>-4935220</wp:posOffset>
            </wp:positionV>
            <wp:extent cx="1055370" cy="1257300"/>
            <wp:effectExtent l="0" t="0" r="11430" b="0"/>
            <wp:wrapNone/>
            <wp:docPr id="43"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2"/>
                    <pic:cNvPicPr>
                      <a:picLocks noChangeAspect="1"/>
                    </pic:cNvPicPr>
                  </pic:nvPicPr>
                  <pic:blipFill>
                    <a:blip r:embed="rId26"/>
                    <a:stretch>
                      <a:fillRect/>
                    </a:stretch>
                  </pic:blipFill>
                  <pic:spPr>
                    <a:xfrm>
                      <a:off x="0" y="0"/>
                      <a:ext cx="1055370" cy="1257300"/>
                    </a:xfrm>
                    <a:prstGeom prst="rect">
                      <a:avLst/>
                    </a:prstGeom>
                    <a:noFill/>
                    <a:ln>
                      <a:noFill/>
                    </a:ln>
                  </pic:spPr>
                </pic:pic>
              </a:graphicData>
            </a:graphic>
          </wp:anchor>
        </w:drawing>
      </w:r>
      <w:r>
        <w:rPr>
          <w:rFonts w:hint="default" w:ascii="Times New Roman" w:hAnsi="Times New Roman" w:cs="Times New Roman"/>
          <w:b w:val="0"/>
          <w:bCs w:val="0"/>
          <w:color w:val="auto"/>
          <w:sz w:val="24"/>
          <w:szCs w:val="24"/>
          <w:highlight w:val="none"/>
          <w:lang w:val="en-US" w:eastAsia="zh-CN"/>
        </w:rPr>
        <w:drawing>
          <wp:anchor distT="0" distB="0" distL="114300" distR="114300" simplePos="0" relativeHeight="251735040" behindDoc="0" locked="0" layoutInCell="1" allowOverlap="1">
            <wp:simplePos x="0" y="0"/>
            <wp:positionH relativeFrom="column">
              <wp:posOffset>6407150</wp:posOffset>
            </wp:positionH>
            <wp:positionV relativeFrom="paragraph">
              <wp:posOffset>-1807845</wp:posOffset>
            </wp:positionV>
            <wp:extent cx="1675130" cy="1764030"/>
            <wp:effectExtent l="0" t="0" r="1270" b="7620"/>
            <wp:wrapNone/>
            <wp:docPr id="42"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1"/>
                    <pic:cNvPicPr>
                      <a:picLocks noChangeAspect="1"/>
                    </pic:cNvPicPr>
                  </pic:nvPicPr>
                  <pic:blipFill>
                    <a:blip r:embed="rId27"/>
                    <a:stretch>
                      <a:fillRect/>
                    </a:stretch>
                  </pic:blipFill>
                  <pic:spPr>
                    <a:xfrm>
                      <a:off x="0" y="0"/>
                      <a:ext cx="1675130" cy="1764030"/>
                    </a:xfrm>
                    <a:prstGeom prst="rect">
                      <a:avLst/>
                    </a:prstGeom>
                    <a:noFill/>
                    <a:ln>
                      <a:noFill/>
                    </a:ln>
                  </pic:spPr>
                </pic:pic>
              </a:graphicData>
            </a:graphic>
          </wp:anchor>
        </w:drawing>
      </w:r>
      <w:r>
        <w:rPr>
          <w:rFonts w:hint="default" w:ascii="Times New Roman" w:hAnsi="Times New Roman" w:cs="Times New Roman"/>
          <w:b w:val="0"/>
          <w:bCs w:val="0"/>
          <w:color w:val="auto"/>
          <w:sz w:val="24"/>
          <w:szCs w:val="24"/>
          <w:highlight w:val="none"/>
          <w:lang w:val="en-US" w:eastAsia="zh-CN"/>
        </w:rPr>
        <w:drawing>
          <wp:anchor distT="0" distB="0" distL="114300" distR="114300" simplePos="0" relativeHeight="251732992" behindDoc="0" locked="0" layoutInCell="1" allowOverlap="1">
            <wp:simplePos x="0" y="0"/>
            <wp:positionH relativeFrom="column">
              <wp:posOffset>1498600</wp:posOffset>
            </wp:positionH>
            <wp:positionV relativeFrom="paragraph">
              <wp:posOffset>22225</wp:posOffset>
            </wp:positionV>
            <wp:extent cx="6562725" cy="4958080"/>
            <wp:effectExtent l="0" t="0" r="9525" b="13970"/>
            <wp:wrapTopAndBottom/>
            <wp:docPr id="146"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45"/>
                    <pic:cNvPicPr>
                      <a:picLocks noChangeAspect="1"/>
                    </pic:cNvPicPr>
                  </pic:nvPicPr>
                  <pic:blipFill>
                    <a:blip r:embed="rId28"/>
                    <a:stretch>
                      <a:fillRect/>
                    </a:stretch>
                  </pic:blipFill>
                  <pic:spPr>
                    <a:xfrm>
                      <a:off x="0" y="0"/>
                      <a:ext cx="6562725" cy="4958080"/>
                    </a:xfrm>
                    <a:prstGeom prst="rect">
                      <a:avLst/>
                    </a:prstGeom>
                    <a:noFill/>
                    <a:ln>
                      <a:noFill/>
                    </a:ln>
                  </pic:spPr>
                </pic:pic>
              </a:graphicData>
            </a:graphic>
          </wp:anchor>
        </w:drawing>
      </w:r>
      <w:r>
        <w:rPr>
          <w:rFonts w:hint="default" w:ascii="Times New Roman" w:hAnsi="Times New Roman" w:eastAsia="宋体" w:cs="Times New Roman"/>
          <w:b w:val="0"/>
          <w:bCs w:val="0"/>
          <w:color w:val="auto"/>
          <w:kern w:val="0"/>
          <w:sz w:val="24"/>
          <w:szCs w:val="20"/>
          <w:highlight w:val="none"/>
          <w:lang w:val="en-US" w:eastAsia="zh-CN" w:bidi="ar-SA"/>
        </w:rPr>
        <w:t>图2.5-1  本项目评价范围及环境保护目标图</w:t>
      </w:r>
    </w:p>
    <w:p w14:paraId="41F6A480">
      <w:pPr>
        <w:pStyle w:val="3"/>
        <w:numPr>
          <w:ilvl w:val="0"/>
          <w:numId w:val="3"/>
        </w:numPr>
        <w:ind w:left="425" w:leftChars="0" w:hanging="425" w:firstLineChars="0"/>
        <w:rPr>
          <w:rFonts w:hint="default" w:ascii="Times New Roman" w:hAnsi="Times New Roman" w:eastAsia="宋体" w:cs="Times New Roman"/>
          <w:b/>
          <w:bCs/>
          <w:color w:val="auto"/>
          <w:highlight w:val="none"/>
        </w:rPr>
      </w:pPr>
      <w:bookmarkStart w:id="173" w:name="_Toc7480"/>
      <w:bookmarkStart w:id="174" w:name="_Toc25261"/>
      <w:r>
        <w:rPr>
          <w:rFonts w:hint="default" w:ascii="Times New Roman" w:hAnsi="Times New Roman" w:eastAsia="宋体" w:cs="Times New Roman"/>
          <w:b/>
          <w:bCs/>
          <w:color w:val="auto"/>
          <w:highlight w:val="none"/>
        </w:rPr>
        <w:t>建设项目工程分析</w:t>
      </w:r>
      <w:bookmarkEnd w:id="173"/>
      <w:bookmarkEnd w:id="174"/>
    </w:p>
    <w:p w14:paraId="5F1AAA6E">
      <w:pPr>
        <w:pStyle w:val="4"/>
        <w:numPr>
          <w:ilvl w:val="1"/>
          <w:numId w:val="3"/>
        </w:numPr>
        <w:ind w:left="567" w:leftChars="0" w:hanging="567" w:firstLineChars="0"/>
        <w:rPr>
          <w:rFonts w:hint="default" w:ascii="Times New Roman" w:hAnsi="Times New Roman" w:eastAsia="宋体" w:cs="Times New Roman"/>
          <w:b/>
          <w:bCs/>
          <w:color w:val="auto"/>
          <w:highlight w:val="none"/>
        </w:rPr>
      </w:pPr>
      <w:bookmarkStart w:id="175" w:name="_Toc9724"/>
      <w:bookmarkStart w:id="176" w:name="_Toc18825"/>
      <w:r>
        <w:rPr>
          <w:rFonts w:hint="default" w:ascii="Times New Roman" w:hAnsi="Times New Roman" w:eastAsia="宋体" w:cs="Times New Roman"/>
          <w:b/>
          <w:bCs/>
          <w:color w:val="auto"/>
          <w:highlight w:val="none"/>
          <w:lang w:val="en-US" w:eastAsia="zh-CN"/>
        </w:rPr>
        <w:t>现有工程</w:t>
      </w:r>
      <w:r>
        <w:rPr>
          <w:rFonts w:hint="default" w:ascii="Times New Roman" w:hAnsi="Times New Roman" w:eastAsia="宋体" w:cs="Times New Roman"/>
          <w:b/>
          <w:bCs/>
          <w:color w:val="auto"/>
          <w:highlight w:val="none"/>
        </w:rPr>
        <w:t>概况</w:t>
      </w:r>
      <w:bookmarkEnd w:id="175"/>
      <w:bookmarkEnd w:id="176"/>
    </w:p>
    <w:p w14:paraId="3BE9B30E">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177" w:name="_Toc32164"/>
      <w:bookmarkStart w:id="178" w:name="_Toc13307"/>
      <w:bookmarkStart w:id="179" w:name="_Toc29821"/>
      <w:bookmarkStart w:id="180" w:name="_Toc17794"/>
      <w:bookmarkStart w:id="181" w:name="_Toc107238104"/>
      <w:bookmarkStart w:id="182" w:name="_Toc105659887"/>
      <w:r>
        <w:rPr>
          <w:rFonts w:hint="default" w:ascii="Times New Roman" w:hAnsi="Times New Roman" w:eastAsia="宋体" w:cs="Times New Roman"/>
          <w:color w:val="auto"/>
          <w:highlight w:val="none"/>
        </w:rPr>
        <w:t>现有工程历史沿革</w:t>
      </w:r>
      <w:bookmarkEnd w:id="177"/>
      <w:bookmarkEnd w:id="178"/>
      <w:bookmarkEnd w:id="179"/>
    </w:p>
    <w:p w14:paraId="241C5B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iCs/>
          <w:color w:val="auto"/>
          <w:sz w:val="24"/>
          <w:highlight w:val="none"/>
          <w:lang w:val="en-US" w:eastAsia="zh-CN"/>
        </w:rPr>
      </w:pPr>
      <w:r>
        <w:rPr>
          <w:rFonts w:hint="eastAsia" w:ascii="Times New Roman" w:hAnsi="Times New Roman" w:cs="Times New Roman"/>
          <w:iCs/>
          <w:color w:val="auto"/>
          <w:sz w:val="24"/>
          <w:highlight w:val="none"/>
          <w:lang w:val="en-US" w:eastAsia="zh-CN"/>
        </w:rPr>
        <w:t>佳木斯热电厂是国家“八五”期间56个地方大中型重点建设项目之一。前身佳木斯热电厂工程于1989年立项，1989年2月得到原黑龙江省环保局的批复，1990年经国家计划委员会计工一〔1990〕1595号文件和计投资〔1990〕578号文件批准建设。工程于1992年4月开工建设，由于地方自筹资金不到位，1997 年仅完成2×220t/h旋风炉+1×50MW机组建设，1×25MW机组暂停建设。经市政府招商引进，热电厂于1999年8月—2010年8月期间由佳木斯龙实热电有限公司租赁经营；总装机容量75MW，年发电量3.2 亿千瓦时，供热面积670万平方米。配备一台 50MW和一台25MW双抽式机组，共有两台220/9.8-12型旋风燃煤蒸汽锅炉1、2#锅炉。1#机组于1999年10月正式并网发电；2#机组于2003年11月正式并网发电。2010年 8 月～2012年4月期间由国电兴隆公司租赁经营；2012年4月—2012年10月期间由佳木斯市永旭环保能源有限公司经营。2013年8月至今由佳木斯中恒热电有限公司经营。</w:t>
      </w:r>
    </w:p>
    <w:p w14:paraId="00F17E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iCs/>
          <w:color w:val="FF0000"/>
          <w:sz w:val="24"/>
          <w:highlight w:val="none"/>
          <w:lang w:val="en-US" w:eastAsia="zh-CN"/>
        </w:rPr>
      </w:pPr>
      <w:r>
        <w:rPr>
          <w:rFonts w:hint="eastAsia" w:ascii="Times New Roman" w:hAnsi="Times New Roman" w:cs="Times New Roman"/>
          <w:iCs/>
          <w:color w:val="FF0000"/>
          <w:sz w:val="24"/>
          <w:highlight w:val="none"/>
          <w:lang w:val="en-US" w:eastAsia="zh-CN"/>
        </w:rPr>
        <w:t>为落实佳市供热发展规划部署，确保热源长期安全稳定，佳木斯中恒热电有限公司拟建设3#锅炉和4#锅炉作为供暖锅炉，2台58MW往复炉排热水锅炉（5#锅炉和6#锅炉）作为调峰锅炉。建设单位委托哈尔滨工业大学编制完成了《佳木斯中恒热电有限公司新建、扩建锅炉房工程环境影响报告书》（佳环建审〔2014〕30号）。2022年5月18日该项目一期工程通过了环保验收，验收范围为3#锅炉和4#锅炉及其附属配套设施。项目投产后替代了佳木斯市西区分散小锅炉房163座，共计231台小锅炉，目前替代的231台小锅炉均已拆除。环评中新建的5#锅炉建成后未投产，6#锅炉不再建设。2024年企业对4#锅炉进行超低改造，并填写建设项目环境影响登记表（备案号202423081100000019）。3#锅炉因未进行超低改造，目前未运行。</w:t>
      </w:r>
    </w:p>
    <w:p w14:paraId="2633D70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iCs/>
          <w:color w:val="auto"/>
          <w:sz w:val="24"/>
          <w:highlight w:val="none"/>
          <w:lang w:val="en-US" w:eastAsia="zh-CN"/>
        </w:rPr>
      </w:pPr>
      <w:r>
        <w:rPr>
          <w:rFonts w:hint="default" w:ascii="Times New Roman" w:hAnsi="Times New Roman" w:cs="Times New Roman"/>
          <w:iCs/>
          <w:color w:val="auto"/>
          <w:sz w:val="24"/>
          <w:highlight w:val="none"/>
          <w:lang w:val="en-US" w:eastAsia="zh-CN"/>
        </w:rPr>
        <w:t>原有2×220t/h 高温高压旋风锅炉和1×50MW+1×25MW抽凝汽轮发电机组</w:t>
      </w:r>
      <w:r>
        <w:rPr>
          <w:rFonts w:hint="eastAsia" w:ascii="Times New Roman" w:hAnsi="Times New Roman" w:cs="Times New Roman"/>
          <w:iCs/>
          <w:color w:val="auto"/>
          <w:sz w:val="24"/>
          <w:highlight w:val="none"/>
          <w:lang w:val="en-US" w:eastAsia="zh-CN"/>
        </w:rPr>
        <w:t>，因锅炉烟气不达标，机组运行冷源损失大，热效率低等问题，2015年佳木斯中恒热电有限公司决定在原机组扩建端北侧新建2台240t/h高温高压流化床锅炉（1#锅炉和2#锅炉）＋1×50MW＋1×25MW背压汽轮发电机组（1#发电机组和2#发电机组）替换现有发电机组。原有发电机组逐步拆除。2015年12月17日，黑龙江省环境保护厅以黑环审〔2015〕138号文对该项目环境影响报告书进行了批复。2018年1月30日该项目通过了环保验收。1#锅炉和2#锅炉于2023年进行超低改造，并填写建设项目环境影响登记表（备案号202323081100000027）。</w:t>
      </w:r>
    </w:p>
    <w:p w14:paraId="63934D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iCs/>
          <w:color w:val="auto"/>
          <w:sz w:val="24"/>
          <w:highlight w:val="none"/>
        </w:rPr>
      </w:pPr>
      <w:r>
        <w:rPr>
          <w:rFonts w:hint="default" w:ascii="Times New Roman" w:hAnsi="Times New Roman" w:cs="Times New Roman"/>
          <w:iCs/>
          <w:color w:val="auto"/>
          <w:sz w:val="24"/>
          <w:highlight w:val="none"/>
          <w:lang w:val="en-US" w:eastAsia="zh-CN"/>
        </w:rPr>
        <w:t>2024年2月，佳木斯中恒热电有限公司编制完成《佳木斯中恒热电有限公司突发环境事件应急预案》，并在佳木斯市生态环境局进行备案，备案编号230800-2024-006-L。</w:t>
      </w:r>
    </w:p>
    <w:p w14:paraId="30DDF86C">
      <w:pPr>
        <w:keepNext w:val="0"/>
        <w:keepLines w:val="0"/>
        <w:pageBreakBefore w:val="0"/>
        <w:widowControl w:val="0"/>
        <w:kinsoku/>
        <w:wordWrap/>
        <w:overflowPunct/>
        <w:topLinePunct w:val="0"/>
        <w:autoSpaceDE/>
        <w:autoSpaceDN/>
        <w:bidi w:val="0"/>
        <w:adjustRightInd/>
        <w:snapToGrid w:val="0"/>
        <w:ind w:left="0" w:leftChars="0" w:firstLine="480" w:firstLineChars="20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未进行超低排放改造的3#锅炉目前处于停用状态，厂区内现有运行的三台锅炉无法满足冬季供暖需求。考虑到若启用3#锅炉将产生较大余热，超出实际所需负荷，企业决定启用5#锅炉进行调峰。</w:t>
      </w:r>
    </w:p>
    <w:p w14:paraId="2C5D5B1C">
      <w:pPr>
        <w:keepNext w:val="0"/>
        <w:keepLines w:val="0"/>
        <w:pageBreakBefore w:val="0"/>
        <w:widowControl w:val="0"/>
        <w:kinsoku/>
        <w:wordWrap/>
        <w:overflowPunct/>
        <w:topLinePunct w:val="0"/>
        <w:autoSpaceDE/>
        <w:autoSpaceDN/>
        <w:bidi w:val="0"/>
        <w:adjustRightInd/>
        <w:snapToGrid w:val="0"/>
        <w:ind w:left="0" w:leftChars="0" w:firstLine="480" w:firstLineChars="200"/>
        <w:textAlignment w:val="auto"/>
        <w:rPr>
          <w:rFonts w:hint="eastAsia" w:ascii="Times New Roman" w:hAnsi="Times New Roman" w:eastAsia="宋体" w:cs="Times New Roman"/>
          <w:color w:val="FF0000"/>
          <w:highlight w:val="none"/>
          <w:lang w:val="en-US" w:eastAsia="zh-CN"/>
        </w:rPr>
      </w:pPr>
      <w:r>
        <w:rPr>
          <w:rFonts w:hint="eastAsia" w:ascii="Times New Roman" w:hAnsi="Times New Roman" w:eastAsia="宋体" w:cs="Times New Roman"/>
          <w:color w:val="FF0000"/>
          <w:highlight w:val="none"/>
          <w:lang w:val="en-US" w:eastAsia="zh-CN"/>
        </w:rPr>
        <w:t>调峰锅炉数量由原环评中的2台调整为1台，配套的120m烟囱不再建设，锅炉烟气依托厂区内现有的一根70m高烟囱排放。根据《关于印发环评管理中部分行业建设项目重大变动清单的通知》（环办〔2015〕52号）、《中华人民共和国环境影响评价法》和《建设项目环境保护管理条例》（国务院令第682 号）等有关规定，属于《污染影响类建设项目重大变动清单（试行）》（环办环评函〔2020〕688号）中第10条：环境保护措施中主要排放口排气筒高度降低10%及以上的。建设单位应当重新报批建设项目的环境影响评价文件。</w:t>
      </w:r>
    </w:p>
    <w:p w14:paraId="61E8713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FF0000"/>
          <w:szCs w:val="21"/>
          <w:highlight w:val="none"/>
        </w:rPr>
      </w:pPr>
      <w:r>
        <w:rPr>
          <w:rFonts w:hint="default" w:ascii="Times New Roman" w:hAnsi="Times New Roman" w:cs="Times New Roman"/>
          <w:iCs/>
          <w:color w:val="FF0000"/>
          <w:sz w:val="24"/>
          <w:highlight w:val="none"/>
        </w:rPr>
        <w:t>现有工程</w:t>
      </w:r>
      <w:r>
        <w:rPr>
          <w:rFonts w:hint="default" w:ascii="Times New Roman" w:hAnsi="Times New Roman" w:cs="Times New Roman"/>
          <w:iCs/>
          <w:color w:val="FF0000"/>
          <w:sz w:val="24"/>
          <w:highlight w:val="none"/>
          <w:lang w:val="en-US" w:eastAsia="zh-CN"/>
        </w:rPr>
        <w:t>近三年</w:t>
      </w:r>
      <w:r>
        <w:rPr>
          <w:rFonts w:hint="default" w:ascii="Times New Roman" w:hAnsi="Times New Roman" w:cs="Times New Roman"/>
          <w:iCs/>
          <w:color w:val="FF0000"/>
          <w:sz w:val="24"/>
          <w:highlight w:val="none"/>
          <w:lang w:eastAsia="zh-CN"/>
        </w:rPr>
        <w:t>不</w:t>
      </w:r>
      <w:r>
        <w:rPr>
          <w:rFonts w:hint="default" w:ascii="Times New Roman" w:hAnsi="Times New Roman" w:cs="Times New Roman"/>
          <w:iCs/>
          <w:color w:val="FF0000"/>
          <w:sz w:val="24"/>
          <w:highlight w:val="none"/>
        </w:rPr>
        <w:t>存在环境信访问题</w:t>
      </w:r>
      <w:r>
        <w:rPr>
          <w:rFonts w:hint="default" w:ascii="Times New Roman" w:hAnsi="Times New Roman" w:cs="Times New Roman"/>
          <w:iCs/>
          <w:color w:val="FF0000"/>
          <w:sz w:val="24"/>
          <w:highlight w:val="none"/>
          <w:lang w:eastAsia="zh-CN"/>
        </w:rPr>
        <w:t>。</w:t>
      </w:r>
    </w:p>
    <w:p w14:paraId="157F1DEA">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183" w:name="_Toc9247"/>
      <w:bookmarkStart w:id="184" w:name="_Toc1390"/>
      <w:bookmarkStart w:id="185" w:name="_Toc27503"/>
      <w:r>
        <w:rPr>
          <w:rFonts w:hint="default" w:ascii="Times New Roman" w:hAnsi="Times New Roman" w:eastAsia="宋体" w:cs="Times New Roman"/>
          <w:color w:val="auto"/>
          <w:highlight w:val="none"/>
        </w:rPr>
        <w:t>现有工程</w:t>
      </w:r>
      <w:bookmarkEnd w:id="180"/>
      <w:bookmarkEnd w:id="181"/>
      <w:bookmarkEnd w:id="182"/>
      <w:r>
        <w:rPr>
          <w:rFonts w:hint="default" w:ascii="Times New Roman" w:hAnsi="Times New Roman" w:eastAsia="宋体" w:cs="Times New Roman"/>
          <w:color w:val="auto"/>
          <w:highlight w:val="none"/>
          <w:lang w:val="en-US" w:eastAsia="zh-CN"/>
        </w:rPr>
        <w:t>组成</w:t>
      </w:r>
      <w:bookmarkEnd w:id="183"/>
      <w:bookmarkEnd w:id="184"/>
      <w:bookmarkEnd w:id="185"/>
    </w:p>
    <w:p w14:paraId="05E8638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佳木斯中恒热电有限公司</w:t>
      </w:r>
      <w:r>
        <w:rPr>
          <w:rFonts w:hint="default" w:ascii="Times New Roman" w:hAnsi="Times New Roman" w:eastAsia="宋体" w:cs="Times New Roman"/>
          <w:color w:val="auto"/>
          <w:highlight w:val="none"/>
          <w:lang w:eastAsia="zh-CN"/>
        </w:rPr>
        <w:t>现有热水锅炉</w:t>
      </w:r>
      <w:r>
        <w:rPr>
          <w:rFonts w:hint="eastAsia"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lang w:eastAsia="zh-CN"/>
        </w:rPr>
        <w:t>台，其中，</w:t>
      </w:r>
      <w:r>
        <w:rPr>
          <w:rFonts w:hint="eastAsia"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eastAsia="zh-CN"/>
        </w:rPr>
        <w:t>台为</w:t>
      </w:r>
      <w:r>
        <w:rPr>
          <w:rFonts w:hint="default" w:ascii="Times New Roman" w:hAnsi="Times New Roman" w:eastAsia="宋体" w:cs="Times New Roman"/>
          <w:color w:val="auto"/>
          <w:highlight w:val="none"/>
          <w:lang w:val="en-US" w:eastAsia="zh-CN"/>
        </w:rPr>
        <w:t>240t/h高温高压流化床锅炉</w:t>
      </w:r>
      <w:r>
        <w:rPr>
          <w:rFonts w:hint="default"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lang w:eastAsia="zh-CN"/>
        </w:rPr>
        <w:t>#、2#炉），1台为</w:t>
      </w:r>
      <w:r>
        <w:rPr>
          <w:rFonts w:hint="eastAsia" w:ascii="Times New Roman" w:hAnsi="Times New Roman" w:eastAsia="宋体" w:cs="Times New Roman"/>
          <w:color w:val="auto"/>
          <w:highlight w:val="none"/>
          <w:lang w:val="en-US" w:eastAsia="zh-CN"/>
        </w:rPr>
        <w:t>154</w:t>
      </w:r>
      <w:r>
        <w:rPr>
          <w:rFonts w:hint="default" w:ascii="Times New Roman" w:hAnsi="Times New Roman" w:eastAsia="宋体" w:cs="Times New Roman"/>
          <w:color w:val="auto"/>
          <w:highlight w:val="none"/>
          <w:lang w:eastAsia="zh-CN"/>
        </w:rPr>
        <w:t>MW</w:t>
      </w:r>
      <w:r>
        <w:rPr>
          <w:rFonts w:hint="default" w:ascii="Times New Roman" w:hAnsi="Times New Roman" w:eastAsia="宋体" w:cs="Times New Roman"/>
          <w:color w:val="auto"/>
          <w:highlight w:val="none"/>
          <w:lang w:val="en-US" w:eastAsia="zh-CN"/>
        </w:rPr>
        <w:t>循环流化床热水锅炉</w:t>
      </w:r>
      <w:r>
        <w:rPr>
          <w:rFonts w:hint="default"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lang w:eastAsia="zh-CN"/>
        </w:rPr>
        <w:t>#炉），</w:t>
      </w:r>
      <w:r>
        <w:rPr>
          <w:rFonts w:hint="eastAsia"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lang w:eastAsia="zh-CN"/>
        </w:rPr>
        <w:t>台</w:t>
      </w:r>
      <w:r>
        <w:rPr>
          <w:rFonts w:hint="eastAsia" w:ascii="Times New Roman" w:hAnsi="Times New Roman" w:eastAsia="宋体" w:cs="Times New Roman"/>
          <w:color w:val="auto"/>
          <w:highlight w:val="none"/>
          <w:lang w:val="en-US" w:eastAsia="zh-CN"/>
        </w:rPr>
        <w:t>11</w:t>
      </w:r>
      <w:r>
        <w:rPr>
          <w:rFonts w:hint="default" w:ascii="Times New Roman" w:hAnsi="Times New Roman" w:eastAsia="宋体" w:cs="Times New Roman"/>
          <w:color w:val="auto"/>
          <w:highlight w:val="none"/>
          <w:lang w:eastAsia="zh-CN"/>
        </w:rPr>
        <w:t>6MW</w:t>
      </w:r>
      <w:r>
        <w:rPr>
          <w:rFonts w:hint="default" w:ascii="Times New Roman" w:hAnsi="Times New Roman" w:eastAsia="宋体" w:cs="Times New Roman"/>
          <w:color w:val="auto"/>
          <w:highlight w:val="none"/>
          <w:lang w:val="en-US" w:eastAsia="zh-CN"/>
        </w:rPr>
        <w:t>循环流化床热水锅炉</w:t>
      </w:r>
      <w:r>
        <w:rPr>
          <w:rFonts w:hint="default"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lang w:eastAsia="zh-CN"/>
        </w:rPr>
        <w:t>#炉）。</w:t>
      </w:r>
    </w:p>
    <w:p w14:paraId="462943B5">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现有工程组成一览表见下表3.1-</w:t>
      </w:r>
      <w:r>
        <w:rPr>
          <w:rFonts w:hint="eastAsia"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w:t>
      </w:r>
    </w:p>
    <w:p w14:paraId="07F374BD">
      <w:pPr>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表3.1-</w:t>
      </w:r>
      <w:r>
        <w:rPr>
          <w:rFonts w:hint="eastAsia"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 xml:space="preserve"> 现有主要建设内容一览表</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Layout w:type="fixed"/>
        <w:tblCellMar>
          <w:top w:w="0" w:type="dxa"/>
          <w:left w:w="108" w:type="dxa"/>
          <w:bottom w:w="0" w:type="dxa"/>
          <w:right w:w="108" w:type="dxa"/>
        </w:tblCellMar>
      </w:tblPr>
      <w:tblGrid>
        <w:gridCol w:w="742"/>
        <w:gridCol w:w="1428"/>
        <w:gridCol w:w="7118"/>
      </w:tblGrid>
      <w:tr w14:paraId="7697D8F3">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496" w:hRule="atLeast"/>
          <w:tblHeader/>
          <w:jc w:val="center"/>
        </w:trPr>
        <w:tc>
          <w:tcPr>
            <w:tcW w:w="742" w:type="dxa"/>
            <w:tcBorders>
              <w:tl2br w:val="nil"/>
              <w:tr2bl w:val="nil"/>
            </w:tcBorders>
            <w:noWrap w:val="0"/>
            <w:vAlign w:val="center"/>
          </w:tcPr>
          <w:p w14:paraId="590B3920">
            <w:pPr>
              <w:pStyle w:val="63"/>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工程类别</w:t>
            </w:r>
          </w:p>
        </w:tc>
        <w:tc>
          <w:tcPr>
            <w:tcW w:w="1428" w:type="dxa"/>
            <w:tcBorders>
              <w:tl2br w:val="nil"/>
              <w:tr2bl w:val="nil"/>
            </w:tcBorders>
            <w:noWrap w:val="0"/>
            <w:vAlign w:val="center"/>
          </w:tcPr>
          <w:p w14:paraId="7F3A1419">
            <w:pPr>
              <w:pStyle w:val="63"/>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项目名称</w:t>
            </w:r>
          </w:p>
        </w:tc>
        <w:tc>
          <w:tcPr>
            <w:tcW w:w="7118" w:type="dxa"/>
            <w:tcBorders>
              <w:tl2br w:val="nil"/>
              <w:tr2bl w:val="nil"/>
            </w:tcBorders>
            <w:noWrap w:val="0"/>
            <w:vAlign w:val="center"/>
          </w:tcPr>
          <w:p w14:paraId="1D496286">
            <w:pPr>
              <w:pStyle w:val="63"/>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建设内容</w:t>
            </w:r>
          </w:p>
        </w:tc>
      </w:tr>
      <w:tr w14:paraId="162017C7">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40" w:hRule="atLeast"/>
          <w:jc w:val="center"/>
        </w:trPr>
        <w:tc>
          <w:tcPr>
            <w:tcW w:w="742" w:type="dxa"/>
            <w:tcBorders>
              <w:tl2br w:val="nil"/>
              <w:tr2bl w:val="nil"/>
            </w:tcBorders>
            <w:noWrap w:val="0"/>
            <w:vAlign w:val="center"/>
          </w:tcPr>
          <w:p w14:paraId="0655A515">
            <w:pPr>
              <w:pStyle w:val="63"/>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主体工程</w:t>
            </w:r>
          </w:p>
        </w:tc>
        <w:tc>
          <w:tcPr>
            <w:tcW w:w="1428" w:type="dxa"/>
            <w:tcBorders>
              <w:tl2br w:val="nil"/>
              <w:tr2bl w:val="nil"/>
            </w:tcBorders>
            <w:noWrap w:val="0"/>
            <w:vAlign w:val="center"/>
          </w:tcPr>
          <w:p w14:paraId="58E941C1">
            <w:pPr>
              <w:pStyle w:val="63"/>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锅炉</w:t>
            </w:r>
          </w:p>
        </w:tc>
        <w:tc>
          <w:tcPr>
            <w:tcW w:w="7118" w:type="dxa"/>
            <w:tcBorders>
              <w:tl2br w:val="nil"/>
              <w:tr2bl w:val="nil"/>
            </w:tcBorders>
            <w:noWrap w:val="0"/>
            <w:vAlign w:val="center"/>
          </w:tcPr>
          <w:p w14:paraId="036F708D">
            <w:pPr>
              <w:pStyle w:val="63"/>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2台为</w:t>
            </w:r>
            <w:r>
              <w:rPr>
                <w:rFonts w:hint="eastAsia" w:ascii="Times New Roman" w:hAnsi="Times New Roman" w:eastAsia="宋体" w:cs="Times New Roman"/>
                <w:color w:val="auto"/>
                <w:sz w:val="21"/>
                <w:szCs w:val="21"/>
                <w:highlight w:val="none"/>
                <w:lang w:val="en-US" w:eastAsia="zh-CN"/>
              </w:rPr>
              <w:t>240t/h</w:t>
            </w:r>
            <w:r>
              <w:rPr>
                <w:rFonts w:hint="default" w:ascii="Times New Roman" w:hAnsi="Times New Roman" w:eastAsia="宋体" w:cs="Times New Roman"/>
                <w:color w:val="auto"/>
                <w:sz w:val="21"/>
                <w:szCs w:val="21"/>
                <w:highlight w:val="none"/>
                <w:lang w:val="en-US" w:eastAsia="zh-CN"/>
              </w:rPr>
              <w:t>高温高压流化床锅炉（1#、2#</w:t>
            </w:r>
            <w:r>
              <w:rPr>
                <w:rFonts w:hint="eastAsia" w:ascii="Times New Roman" w:hAnsi="Times New Roman" w:eastAsia="宋体" w:cs="Times New Roman"/>
                <w:color w:val="auto"/>
                <w:sz w:val="21"/>
                <w:szCs w:val="21"/>
                <w:highlight w:val="none"/>
                <w:lang w:val="en-US" w:eastAsia="zh-CN"/>
              </w:rPr>
              <w:t>锅</w:t>
            </w:r>
            <w:r>
              <w:rPr>
                <w:rFonts w:hint="default" w:ascii="Times New Roman" w:hAnsi="Times New Roman" w:eastAsia="宋体" w:cs="Times New Roman"/>
                <w:color w:val="auto"/>
                <w:sz w:val="21"/>
                <w:szCs w:val="21"/>
                <w:highlight w:val="none"/>
                <w:lang w:val="en-US" w:eastAsia="zh-CN"/>
              </w:rPr>
              <w:t>炉），1台为154MW循环流化床热水锅炉（3#</w:t>
            </w:r>
            <w:r>
              <w:rPr>
                <w:rFonts w:hint="eastAsia" w:ascii="Times New Roman" w:hAnsi="Times New Roman" w:eastAsia="宋体" w:cs="Times New Roman"/>
                <w:color w:val="auto"/>
                <w:sz w:val="21"/>
                <w:szCs w:val="21"/>
                <w:highlight w:val="none"/>
                <w:lang w:val="en-US" w:eastAsia="zh-CN"/>
              </w:rPr>
              <w:t>锅</w:t>
            </w:r>
            <w:r>
              <w:rPr>
                <w:rFonts w:hint="default" w:ascii="Times New Roman" w:hAnsi="Times New Roman" w:eastAsia="宋体" w:cs="Times New Roman"/>
                <w:color w:val="auto"/>
                <w:sz w:val="21"/>
                <w:szCs w:val="21"/>
                <w:highlight w:val="none"/>
                <w:lang w:val="en-US" w:eastAsia="zh-CN"/>
              </w:rPr>
              <w:t>炉），1台</w:t>
            </w:r>
            <w:r>
              <w:rPr>
                <w:rFonts w:hint="eastAsia" w:ascii="Times New Roman" w:hAnsi="Times New Roman" w:eastAsia="宋体" w:cs="Times New Roman"/>
                <w:color w:val="auto"/>
                <w:sz w:val="21"/>
                <w:szCs w:val="21"/>
                <w:highlight w:val="none"/>
                <w:lang w:val="en-US" w:eastAsia="zh-CN"/>
              </w:rPr>
              <w:t>为</w:t>
            </w:r>
            <w:r>
              <w:rPr>
                <w:rFonts w:hint="default" w:ascii="Times New Roman" w:hAnsi="Times New Roman" w:eastAsia="宋体" w:cs="Times New Roman"/>
                <w:color w:val="auto"/>
                <w:sz w:val="21"/>
                <w:szCs w:val="21"/>
                <w:highlight w:val="none"/>
                <w:lang w:val="en-US" w:eastAsia="zh-CN"/>
              </w:rPr>
              <w:t>116MW循环流化床热水锅炉（4#</w:t>
            </w:r>
            <w:r>
              <w:rPr>
                <w:rFonts w:hint="eastAsia" w:ascii="Times New Roman" w:hAnsi="Times New Roman" w:eastAsia="宋体" w:cs="Times New Roman"/>
                <w:color w:val="auto"/>
                <w:sz w:val="21"/>
                <w:szCs w:val="21"/>
                <w:highlight w:val="none"/>
                <w:lang w:val="en-US" w:eastAsia="zh-CN"/>
              </w:rPr>
              <w:t>锅</w:t>
            </w:r>
            <w:r>
              <w:rPr>
                <w:rFonts w:hint="default" w:ascii="Times New Roman" w:hAnsi="Times New Roman" w:eastAsia="宋体" w:cs="Times New Roman"/>
                <w:color w:val="auto"/>
                <w:sz w:val="21"/>
                <w:szCs w:val="21"/>
                <w:highlight w:val="none"/>
                <w:lang w:val="en-US" w:eastAsia="zh-CN"/>
              </w:rPr>
              <w:t>炉</w:t>
            </w:r>
            <w:r>
              <w:rPr>
                <w:rFonts w:hint="eastAsia" w:ascii="Times New Roman" w:hAnsi="Times New Roman" w:eastAsia="宋体" w:cs="Times New Roman"/>
                <w:color w:val="auto"/>
                <w:sz w:val="21"/>
                <w:szCs w:val="21"/>
                <w:highlight w:val="none"/>
                <w:lang w:val="en-US" w:eastAsia="zh-CN"/>
              </w:rPr>
              <w:t>），燃煤量约55万t/a。</w:t>
            </w:r>
          </w:p>
        </w:tc>
      </w:tr>
      <w:tr w14:paraId="3A2373DC">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40" w:hRule="atLeast"/>
          <w:jc w:val="center"/>
        </w:trPr>
        <w:tc>
          <w:tcPr>
            <w:tcW w:w="742" w:type="dxa"/>
            <w:vMerge w:val="restart"/>
            <w:tcBorders>
              <w:tl2br w:val="nil"/>
              <w:tr2bl w:val="nil"/>
            </w:tcBorders>
            <w:noWrap w:val="0"/>
            <w:vAlign w:val="center"/>
          </w:tcPr>
          <w:p w14:paraId="5FB8FAEB">
            <w:pPr>
              <w:pStyle w:val="63"/>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辅助工程</w:t>
            </w:r>
          </w:p>
        </w:tc>
        <w:tc>
          <w:tcPr>
            <w:tcW w:w="1428" w:type="dxa"/>
            <w:tcBorders>
              <w:tl2br w:val="nil"/>
              <w:tr2bl w:val="nil"/>
            </w:tcBorders>
            <w:noWrap w:val="0"/>
            <w:vAlign w:val="center"/>
          </w:tcPr>
          <w:p w14:paraId="323F502C">
            <w:pPr>
              <w:pStyle w:val="63"/>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锅炉房</w:t>
            </w:r>
          </w:p>
        </w:tc>
        <w:tc>
          <w:tcPr>
            <w:tcW w:w="7118" w:type="dxa"/>
            <w:tcBorders>
              <w:tl2br w:val="nil"/>
              <w:tr2bl w:val="nil"/>
            </w:tcBorders>
            <w:noWrap w:val="0"/>
            <w:vAlign w:val="center"/>
          </w:tcPr>
          <w:p w14:paraId="3AF8E0E8">
            <w:pPr>
              <w:pStyle w:val="63"/>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1#、2#</w:t>
            </w:r>
            <w:r>
              <w:rPr>
                <w:rFonts w:hint="eastAsia" w:ascii="Times New Roman" w:hAnsi="Times New Roman" w:eastAsia="宋体" w:cs="Times New Roman"/>
                <w:color w:val="auto"/>
                <w:sz w:val="21"/>
                <w:szCs w:val="21"/>
                <w:highlight w:val="none"/>
                <w:lang w:val="en-US" w:eastAsia="zh-CN"/>
              </w:rPr>
              <w:t>锅炉</w:t>
            </w:r>
            <w:r>
              <w:rPr>
                <w:rFonts w:hint="default" w:ascii="Times New Roman" w:hAnsi="Times New Roman" w:eastAsia="宋体" w:cs="Times New Roman"/>
                <w:color w:val="auto"/>
                <w:sz w:val="21"/>
                <w:szCs w:val="21"/>
                <w:highlight w:val="none"/>
                <w:lang w:val="en-US" w:eastAsia="zh-CN"/>
              </w:rPr>
              <w:t>房</w:t>
            </w:r>
            <w:r>
              <w:rPr>
                <w:rFonts w:hint="eastAsia" w:ascii="Times New Roman" w:hAnsi="Times New Roman" w:eastAsia="宋体" w:cs="Times New Roman"/>
                <w:color w:val="auto"/>
                <w:sz w:val="21"/>
                <w:szCs w:val="21"/>
                <w:highlight w:val="none"/>
                <w:lang w:val="en-US" w:eastAsia="zh-CN"/>
              </w:rPr>
              <w:t>建筑面积4300m</w:t>
            </w:r>
            <w:r>
              <w:rPr>
                <w:rFonts w:hint="eastAsia"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eastAsia="宋体" w:cs="Times New Roman"/>
                <w:color w:val="auto"/>
                <w:sz w:val="21"/>
                <w:szCs w:val="21"/>
                <w:highlight w:val="none"/>
                <w:lang w:val="en-US" w:eastAsia="zh-CN"/>
              </w:rPr>
              <w:t>，内置</w:t>
            </w:r>
            <w:r>
              <w:rPr>
                <w:rFonts w:hint="eastAsia" w:ascii="Times New Roman" w:hAnsi="Times New Roman" w:eastAsia="宋体" w:cs="Times New Roman"/>
                <w:color w:val="auto"/>
                <w:sz w:val="21"/>
                <w:szCs w:val="21"/>
                <w:highlight w:val="none"/>
                <w:lang w:val="en-US" w:eastAsia="zh-CN"/>
              </w:rPr>
              <w:t>2台（1#、2#炉）为高温高压流化床锅炉及1×50MW＋1×25MW 背压汽轮发电机组。</w:t>
            </w:r>
          </w:p>
          <w:p w14:paraId="726672B5">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left"/>
              <w:textAlignment w:val="auto"/>
              <w:rPr>
                <w:rFonts w:hint="default"/>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3#、4#锅炉锅炉房建筑面积</w:t>
            </w:r>
            <w:r>
              <w:rPr>
                <w:rFonts w:hint="eastAsia" w:ascii="Times New Roman" w:hAnsi="Times New Roman" w:eastAsia="宋体" w:cs="Times New Roman"/>
                <w:color w:val="auto"/>
                <w:sz w:val="21"/>
                <w:szCs w:val="21"/>
                <w:highlight w:val="none"/>
                <w:lang w:val="en-US" w:eastAsia="zh-CN"/>
              </w:rPr>
              <w:t>1200m</w:t>
            </w:r>
            <w:r>
              <w:rPr>
                <w:rFonts w:hint="eastAsia"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内置</w:t>
            </w:r>
            <w:r>
              <w:rPr>
                <w:rFonts w:hint="default" w:ascii="Times New Roman" w:hAnsi="Times New Roman" w:eastAsia="宋体" w:cs="Times New Roman"/>
                <w:color w:val="auto"/>
                <w:kern w:val="2"/>
                <w:sz w:val="21"/>
                <w:szCs w:val="21"/>
                <w:highlight w:val="none"/>
                <w:lang w:val="en-US" w:eastAsia="zh-CN" w:bidi="ar-SA"/>
              </w:rPr>
              <w:t>1</w:t>
            </w:r>
            <w:r>
              <w:rPr>
                <w:rFonts w:hint="eastAsia" w:ascii="Times New Roman" w:hAnsi="Times New Roman" w:eastAsia="宋体" w:cs="Times New Roman"/>
                <w:color w:val="auto"/>
                <w:kern w:val="2"/>
                <w:sz w:val="21"/>
                <w:szCs w:val="21"/>
                <w:highlight w:val="none"/>
                <w:lang w:val="en-US" w:eastAsia="zh-CN" w:bidi="ar-SA"/>
              </w:rPr>
              <w:t>台</w:t>
            </w:r>
            <w:r>
              <w:rPr>
                <w:rFonts w:hint="default" w:ascii="Times New Roman" w:hAnsi="Times New Roman" w:eastAsia="宋体" w:cs="Times New Roman"/>
                <w:color w:val="auto"/>
                <w:kern w:val="2"/>
                <w:sz w:val="21"/>
                <w:szCs w:val="21"/>
                <w:highlight w:val="none"/>
                <w:lang w:val="en-US" w:eastAsia="zh-CN" w:bidi="ar-SA"/>
              </w:rPr>
              <w:t>154MW循环流化床热水锅炉（3#锅炉），1台116MW循环流化床热水锅炉（</w:t>
            </w:r>
            <w:r>
              <w:rPr>
                <w:rFonts w:hint="eastAsia" w:ascii="Times New Roman" w:hAnsi="Times New Roman" w:eastAsia="宋体" w:cs="Times New Roman"/>
                <w:color w:val="auto"/>
                <w:kern w:val="2"/>
                <w:sz w:val="21"/>
                <w:szCs w:val="21"/>
                <w:highlight w:val="none"/>
                <w:lang w:val="en-US" w:eastAsia="zh-CN" w:bidi="ar-SA"/>
              </w:rPr>
              <w:t>4</w:t>
            </w:r>
            <w:r>
              <w:rPr>
                <w:rFonts w:hint="default" w:ascii="Times New Roman" w:hAnsi="Times New Roman" w:eastAsia="宋体" w:cs="Times New Roman"/>
                <w:color w:val="auto"/>
                <w:kern w:val="2"/>
                <w:sz w:val="21"/>
                <w:szCs w:val="21"/>
                <w:highlight w:val="none"/>
                <w:lang w:val="en-US" w:eastAsia="zh-CN" w:bidi="ar-SA"/>
              </w:rPr>
              <w:t>#锅炉）</w:t>
            </w:r>
            <w:r>
              <w:rPr>
                <w:rFonts w:hint="eastAsia" w:ascii="Times New Roman" w:hAnsi="Times New Roman" w:eastAsia="宋体" w:cs="Times New Roman"/>
                <w:color w:val="auto"/>
                <w:kern w:val="2"/>
                <w:sz w:val="21"/>
                <w:szCs w:val="21"/>
                <w:highlight w:val="none"/>
                <w:lang w:val="en-US" w:eastAsia="zh-CN" w:bidi="ar-SA"/>
              </w:rPr>
              <w:t>。</w:t>
            </w:r>
          </w:p>
        </w:tc>
      </w:tr>
      <w:tr w14:paraId="6286BDCE">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90" w:hRule="atLeast"/>
          <w:jc w:val="center"/>
        </w:trPr>
        <w:tc>
          <w:tcPr>
            <w:tcW w:w="742" w:type="dxa"/>
            <w:vMerge w:val="continue"/>
            <w:tcBorders>
              <w:tl2br w:val="nil"/>
              <w:tr2bl w:val="nil"/>
            </w:tcBorders>
            <w:noWrap w:val="0"/>
            <w:vAlign w:val="center"/>
          </w:tcPr>
          <w:p w14:paraId="543144A9">
            <w:pPr>
              <w:pStyle w:val="63"/>
              <w:rPr>
                <w:rFonts w:hint="default" w:ascii="Times New Roman" w:hAnsi="Times New Roman" w:eastAsia="宋体" w:cs="Times New Roman"/>
                <w:color w:val="auto"/>
                <w:sz w:val="21"/>
                <w:szCs w:val="21"/>
                <w:highlight w:val="none"/>
                <w:lang w:val="en-US" w:eastAsia="zh-CN"/>
              </w:rPr>
            </w:pPr>
          </w:p>
        </w:tc>
        <w:tc>
          <w:tcPr>
            <w:tcW w:w="1428" w:type="dxa"/>
            <w:tcBorders>
              <w:tl2br w:val="nil"/>
              <w:tr2bl w:val="nil"/>
            </w:tcBorders>
            <w:noWrap w:val="0"/>
            <w:vAlign w:val="center"/>
          </w:tcPr>
          <w:p w14:paraId="1254CB08">
            <w:pPr>
              <w:pStyle w:val="72"/>
              <w:keepNext w:val="0"/>
              <w:keepLines w:val="0"/>
              <w:pageBreakBefore w:val="0"/>
              <w:kinsoku/>
              <w:wordWrap/>
              <w:overflowPunct/>
              <w:topLinePunct w:val="0"/>
              <w:bidi w:val="0"/>
              <w:adjustRightInd/>
              <w:snapToGrid/>
              <w:spacing w:after="0" w:line="240" w:lineRule="auto"/>
              <w:ind w:firstLine="0" w:firstLineChars="0"/>
              <w:jc w:val="center"/>
              <w:rPr>
                <w:rFonts w:hint="default" w:ascii="Times New Roman" w:hAnsi="Times New Roman" w:eastAsia="宋体" w:cs="Times New Roman"/>
                <w:snapToGrid w:val="0"/>
                <w:color w:val="auto"/>
                <w:sz w:val="21"/>
                <w:szCs w:val="21"/>
                <w:highlight w:val="none"/>
                <w:lang w:val="en-US" w:eastAsia="zh-CN" w:bidi="zh-TW"/>
              </w:rPr>
            </w:pPr>
            <w:r>
              <w:rPr>
                <w:rFonts w:hint="default" w:ascii="Times New Roman" w:hAnsi="Times New Roman" w:eastAsia="宋体" w:cs="Times New Roman"/>
                <w:snapToGrid w:val="0"/>
                <w:color w:val="auto"/>
                <w:sz w:val="21"/>
                <w:szCs w:val="21"/>
                <w:highlight w:val="none"/>
              </w:rPr>
              <w:t>燃烧系统</w:t>
            </w:r>
          </w:p>
        </w:tc>
        <w:tc>
          <w:tcPr>
            <w:tcW w:w="7118" w:type="dxa"/>
            <w:tcBorders>
              <w:tl2br w:val="nil"/>
              <w:tr2bl w:val="nil"/>
            </w:tcBorders>
            <w:noWrap w:val="0"/>
            <w:vAlign w:val="center"/>
          </w:tcPr>
          <w:p w14:paraId="011FE332">
            <w:pPr>
              <w:pStyle w:val="72"/>
              <w:keepNext w:val="0"/>
              <w:keepLines w:val="0"/>
              <w:pageBreakBefore w:val="0"/>
              <w:kinsoku/>
              <w:wordWrap/>
              <w:overflowPunct/>
              <w:topLinePunct w:val="0"/>
              <w:bidi w:val="0"/>
              <w:adjustRightInd/>
              <w:snapToGrid/>
              <w:spacing w:after="0" w:line="240" w:lineRule="auto"/>
              <w:ind w:firstLine="0" w:firstLineChars="0"/>
              <w:jc w:val="center"/>
              <w:rPr>
                <w:rFonts w:hint="default" w:ascii="Times New Roman" w:hAnsi="Times New Roman" w:eastAsia="宋体" w:cs="Times New Roman"/>
                <w:snapToGrid w:val="0"/>
                <w:color w:val="auto"/>
                <w:sz w:val="21"/>
                <w:szCs w:val="21"/>
                <w:highlight w:val="none"/>
                <w:lang w:val="en-US" w:eastAsia="zh-CN" w:bidi="zh-TW"/>
              </w:rPr>
            </w:pPr>
            <w:r>
              <w:rPr>
                <w:rFonts w:hint="default" w:ascii="Times New Roman" w:hAnsi="Times New Roman" w:eastAsia="宋体" w:cs="Times New Roman"/>
                <w:snapToGrid w:val="0"/>
                <w:color w:val="auto"/>
                <w:sz w:val="21"/>
                <w:szCs w:val="21"/>
                <w:highlight w:val="none"/>
                <w:lang w:val="en-US"/>
              </w:rPr>
              <w:t>燃料煤经输煤皮带进入炉前</w:t>
            </w:r>
            <w:r>
              <w:rPr>
                <w:rFonts w:hint="eastAsia" w:ascii="Times New Roman" w:hAnsi="Times New Roman" w:cs="Times New Roman"/>
                <w:snapToGrid w:val="0"/>
                <w:color w:val="auto"/>
                <w:sz w:val="21"/>
                <w:szCs w:val="21"/>
                <w:highlight w:val="none"/>
                <w:lang w:val="en-US" w:eastAsia="zh-CN"/>
              </w:rPr>
              <w:t>各</w:t>
            </w:r>
            <w:r>
              <w:rPr>
                <w:rFonts w:hint="default" w:ascii="Times New Roman" w:hAnsi="Times New Roman" w:eastAsia="宋体" w:cs="Times New Roman"/>
                <w:snapToGrid w:val="0"/>
                <w:color w:val="auto"/>
                <w:sz w:val="21"/>
                <w:szCs w:val="21"/>
                <w:highlight w:val="none"/>
                <w:lang w:val="en-US"/>
              </w:rPr>
              <w:t>煤仓，燃料煤通过</w:t>
            </w:r>
            <w:r>
              <w:rPr>
                <w:rFonts w:hint="eastAsia" w:ascii="Times New Roman" w:hAnsi="Times New Roman" w:cs="Times New Roman"/>
                <w:snapToGrid w:val="0"/>
                <w:color w:val="auto"/>
                <w:sz w:val="21"/>
                <w:szCs w:val="21"/>
                <w:highlight w:val="none"/>
                <w:lang w:val="en-US" w:eastAsia="zh-CN"/>
              </w:rPr>
              <w:t>炉排输送进锅炉内进行燃烧</w:t>
            </w:r>
            <w:r>
              <w:rPr>
                <w:rFonts w:hint="default" w:ascii="Times New Roman" w:hAnsi="Times New Roman" w:eastAsia="宋体" w:cs="Times New Roman"/>
                <w:snapToGrid w:val="0"/>
                <w:color w:val="auto"/>
                <w:sz w:val="21"/>
                <w:szCs w:val="21"/>
                <w:highlight w:val="none"/>
                <w:lang w:val="en-US"/>
              </w:rPr>
              <w:t>。锅炉燃烧空气由</w:t>
            </w:r>
            <w:r>
              <w:rPr>
                <w:rFonts w:hint="eastAsia" w:ascii="Times New Roman" w:hAnsi="Times New Roman" w:cs="Times New Roman"/>
                <w:snapToGrid w:val="0"/>
                <w:color w:val="auto"/>
                <w:sz w:val="21"/>
                <w:szCs w:val="21"/>
                <w:highlight w:val="none"/>
                <w:lang w:val="en-US" w:eastAsia="zh-CN"/>
              </w:rPr>
              <w:t>送</w:t>
            </w:r>
            <w:r>
              <w:rPr>
                <w:rFonts w:hint="default" w:ascii="Times New Roman" w:hAnsi="Times New Roman" w:eastAsia="宋体" w:cs="Times New Roman"/>
                <w:snapToGrid w:val="0"/>
                <w:color w:val="auto"/>
                <w:sz w:val="21"/>
                <w:szCs w:val="21"/>
                <w:highlight w:val="none"/>
                <w:lang w:val="en-US"/>
              </w:rPr>
              <w:t>风机供给，</w:t>
            </w:r>
            <w:r>
              <w:rPr>
                <w:rFonts w:hint="eastAsia" w:ascii="Times New Roman" w:hAnsi="Times New Roman" w:cs="Times New Roman"/>
                <w:snapToGrid w:val="0"/>
                <w:color w:val="auto"/>
                <w:sz w:val="21"/>
                <w:szCs w:val="21"/>
                <w:highlight w:val="none"/>
                <w:lang w:val="en-US" w:eastAsia="zh-CN"/>
              </w:rPr>
              <w:t>每台炉各设一台送风机，安装在锅炉间零米层，</w:t>
            </w:r>
            <w:r>
              <w:rPr>
                <w:rFonts w:hint="default" w:ascii="Times New Roman" w:hAnsi="Times New Roman" w:eastAsia="宋体" w:cs="Times New Roman"/>
                <w:snapToGrid w:val="0"/>
                <w:color w:val="auto"/>
                <w:sz w:val="21"/>
                <w:szCs w:val="21"/>
                <w:highlight w:val="none"/>
                <w:lang w:val="en-US"/>
              </w:rPr>
              <w:t>风由</w:t>
            </w:r>
            <w:r>
              <w:rPr>
                <w:rFonts w:hint="eastAsia" w:ascii="Times New Roman" w:hAnsi="Times New Roman" w:cs="Times New Roman"/>
                <w:snapToGrid w:val="0"/>
                <w:color w:val="auto"/>
                <w:sz w:val="21"/>
                <w:szCs w:val="21"/>
                <w:highlight w:val="none"/>
                <w:lang w:val="en-US" w:eastAsia="zh-CN"/>
              </w:rPr>
              <w:t>送</w:t>
            </w:r>
            <w:r>
              <w:rPr>
                <w:rFonts w:hint="default" w:ascii="Times New Roman" w:hAnsi="Times New Roman" w:eastAsia="宋体" w:cs="Times New Roman"/>
                <w:snapToGrid w:val="0"/>
                <w:color w:val="auto"/>
                <w:sz w:val="21"/>
                <w:szCs w:val="21"/>
                <w:highlight w:val="none"/>
                <w:lang w:val="en-US"/>
              </w:rPr>
              <w:t>风机</w:t>
            </w:r>
            <w:r>
              <w:rPr>
                <w:rFonts w:hint="eastAsia" w:ascii="Times New Roman" w:hAnsi="Times New Roman" w:cs="Times New Roman"/>
                <w:snapToGrid w:val="0"/>
                <w:color w:val="auto"/>
                <w:sz w:val="21"/>
                <w:szCs w:val="21"/>
                <w:highlight w:val="none"/>
                <w:lang w:val="en-US" w:eastAsia="zh-CN"/>
              </w:rPr>
              <w:t>分成两路风道送至锅炉两侧的进风口进入炉膛，支持锅炉燃烧。</w:t>
            </w:r>
          </w:p>
        </w:tc>
      </w:tr>
      <w:tr w14:paraId="79C12A93">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jc w:val="center"/>
        </w:trPr>
        <w:tc>
          <w:tcPr>
            <w:tcW w:w="742" w:type="dxa"/>
            <w:vMerge w:val="continue"/>
            <w:tcBorders>
              <w:tl2br w:val="nil"/>
              <w:tr2bl w:val="nil"/>
            </w:tcBorders>
            <w:noWrap w:val="0"/>
            <w:vAlign w:val="center"/>
          </w:tcPr>
          <w:p w14:paraId="709D7726">
            <w:pPr>
              <w:pStyle w:val="63"/>
              <w:rPr>
                <w:rFonts w:hint="default" w:ascii="Times New Roman" w:hAnsi="Times New Roman" w:eastAsia="宋体" w:cs="Times New Roman"/>
                <w:color w:val="auto"/>
                <w:sz w:val="21"/>
                <w:szCs w:val="21"/>
                <w:highlight w:val="none"/>
                <w:lang w:val="en-US" w:eastAsia="zh-CN"/>
              </w:rPr>
            </w:pPr>
          </w:p>
        </w:tc>
        <w:tc>
          <w:tcPr>
            <w:tcW w:w="1428" w:type="dxa"/>
            <w:vMerge w:val="restart"/>
            <w:tcBorders>
              <w:tl2br w:val="nil"/>
              <w:tr2bl w:val="nil"/>
            </w:tcBorders>
            <w:noWrap w:val="0"/>
            <w:vAlign w:val="center"/>
          </w:tcPr>
          <w:p w14:paraId="33CFC922">
            <w:pPr>
              <w:pStyle w:val="72"/>
              <w:keepNext w:val="0"/>
              <w:keepLines w:val="0"/>
              <w:pageBreakBefore w:val="0"/>
              <w:kinsoku/>
              <w:wordWrap/>
              <w:overflowPunct/>
              <w:topLinePunct w:val="0"/>
              <w:bidi w:val="0"/>
              <w:adjustRightInd/>
              <w:snapToGrid/>
              <w:spacing w:after="0" w:line="240" w:lineRule="auto"/>
              <w:ind w:firstLine="0" w:firstLineChars="0"/>
              <w:jc w:val="center"/>
              <w:rPr>
                <w:rFonts w:hint="default" w:ascii="Times New Roman" w:hAnsi="Times New Roman" w:eastAsia="宋体" w:cs="Times New Roman"/>
                <w:snapToGrid w:val="0"/>
                <w:color w:val="auto"/>
                <w:sz w:val="21"/>
                <w:szCs w:val="21"/>
                <w:highlight w:val="none"/>
                <w:lang w:val="zh-TW" w:eastAsia="zh-TW" w:bidi="zh-TW"/>
              </w:rPr>
            </w:pPr>
            <w:r>
              <w:rPr>
                <w:rFonts w:hint="default" w:ascii="Times New Roman" w:hAnsi="Times New Roman" w:eastAsia="宋体" w:cs="Times New Roman"/>
                <w:snapToGrid w:val="0"/>
                <w:color w:val="auto"/>
                <w:sz w:val="21"/>
                <w:szCs w:val="21"/>
                <w:highlight w:val="none"/>
                <w:lang w:val="en-US"/>
              </w:rPr>
              <w:t>输送系统</w:t>
            </w:r>
          </w:p>
        </w:tc>
        <w:tc>
          <w:tcPr>
            <w:tcW w:w="7118" w:type="dxa"/>
            <w:tcBorders>
              <w:tl2br w:val="nil"/>
              <w:tr2bl w:val="nil"/>
            </w:tcBorders>
            <w:noWrap w:val="0"/>
            <w:vAlign w:val="center"/>
          </w:tcPr>
          <w:p w14:paraId="092011D9">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输煤系统采用单路胶带运输机。地下受煤煤斗，其下设置给煤机，燃煤通过给煤机送入胶带机，进入运煤系统</w:t>
            </w:r>
            <w:r>
              <w:rPr>
                <w:rFonts w:hint="default" w:ascii="Times New Roman" w:hAnsi="Times New Roman" w:eastAsia="宋体" w:cs="Times New Roman"/>
                <w:color w:val="auto"/>
                <w:sz w:val="21"/>
                <w:szCs w:val="21"/>
                <w:highlight w:val="none"/>
              </w:rPr>
              <w:t>。</w:t>
            </w:r>
          </w:p>
        </w:tc>
      </w:tr>
      <w:tr w14:paraId="5C6C4096">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jc w:val="center"/>
        </w:trPr>
        <w:tc>
          <w:tcPr>
            <w:tcW w:w="742" w:type="dxa"/>
            <w:vMerge w:val="continue"/>
            <w:tcBorders>
              <w:tl2br w:val="nil"/>
              <w:tr2bl w:val="nil"/>
            </w:tcBorders>
            <w:noWrap w:val="0"/>
            <w:vAlign w:val="center"/>
          </w:tcPr>
          <w:p w14:paraId="783E8D04">
            <w:pPr>
              <w:pStyle w:val="63"/>
              <w:rPr>
                <w:rFonts w:hint="default" w:ascii="Times New Roman" w:hAnsi="Times New Roman" w:eastAsia="宋体" w:cs="Times New Roman"/>
                <w:color w:val="auto"/>
                <w:sz w:val="21"/>
                <w:szCs w:val="21"/>
                <w:highlight w:val="none"/>
                <w:lang w:val="en-US" w:eastAsia="zh-CN"/>
              </w:rPr>
            </w:pPr>
          </w:p>
        </w:tc>
        <w:tc>
          <w:tcPr>
            <w:tcW w:w="1428" w:type="dxa"/>
            <w:vMerge w:val="continue"/>
            <w:tcBorders>
              <w:tl2br w:val="nil"/>
              <w:tr2bl w:val="nil"/>
            </w:tcBorders>
            <w:noWrap w:val="0"/>
            <w:vAlign w:val="center"/>
          </w:tcPr>
          <w:p w14:paraId="1E279483">
            <w:pPr>
              <w:pStyle w:val="72"/>
              <w:keepNext w:val="0"/>
              <w:keepLines w:val="0"/>
              <w:pageBreakBefore w:val="0"/>
              <w:kinsoku/>
              <w:wordWrap/>
              <w:overflowPunct/>
              <w:topLinePunct w:val="0"/>
              <w:bidi w:val="0"/>
              <w:adjustRightInd/>
              <w:snapToGrid/>
              <w:spacing w:after="0" w:line="240" w:lineRule="auto"/>
              <w:ind w:firstLine="0" w:firstLineChars="0"/>
              <w:jc w:val="center"/>
              <w:rPr>
                <w:rFonts w:hint="default" w:ascii="Times New Roman" w:hAnsi="Times New Roman" w:eastAsia="宋体" w:cs="Times New Roman"/>
                <w:snapToGrid w:val="0"/>
                <w:color w:val="auto"/>
                <w:sz w:val="21"/>
                <w:szCs w:val="21"/>
                <w:highlight w:val="none"/>
              </w:rPr>
            </w:pPr>
          </w:p>
        </w:tc>
        <w:tc>
          <w:tcPr>
            <w:tcW w:w="7118" w:type="dxa"/>
            <w:tcBorders>
              <w:tl2br w:val="nil"/>
              <w:tr2bl w:val="nil"/>
            </w:tcBorders>
            <w:noWrap w:val="0"/>
            <w:vAlign w:val="center"/>
          </w:tcPr>
          <w:p w14:paraId="5F621B1A">
            <w:pPr>
              <w:pStyle w:val="7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snapToGrid w:val="0"/>
                <w:color w:val="auto"/>
                <w:sz w:val="21"/>
                <w:szCs w:val="21"/>
                <w:highlight w:val="none"/>
                <w:lang w:val="en-US" w:eastAsia="zh-TW" w:bidi="zh-TW"/>
              </w:rPr>
            </w:pPr>
            <w:r>
              <w:rPr>
                <w:rFonts w:hint="default" w:ascii="Times New Roman" w:hAnsi="Times New Roman" w:eastAsia="宋体" w:cs="Times New Roman"/>
                <w:snapToGrid w:val="0"/>
                <w:color w:val="auto"/>
                <w:sz w:val="21"/>
                <w:szCs w:val="21"/>
                <w:highlight w:val="none"/>
                <w:lang w:val="en-US" w:eastAsia="zh-CN"/>
              </w:rPr>
              <w:t>输煤栈桥采用全封闭布置，采用钢筋混凝土基础砖墙围护，预制盖板封顶并上铺彩钢瓦，窗采用塑钢窗。</w:t>
            </w:r>
          </w:p>
        </w:tc>
      </w:tr>
      <w:tr w14:paraId="46D702CF">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jc w:val="center"/>
        </w:trPr>
        <w:tc>
          <w:tcPr>
            <w:tcW w:w="742" w:type="dxa"/>
            <w:vMerge w:val="continue"/>
            <w:tcBorders>
              <w:tl2br w:val="nil"/>
              <w:tr2bl w:val="nil"/>
            </w:tcBorders>
            <w:noWrap w:val="0"/>
            <w:vAlign w:val="center"/>
          </w:tcPr>
          <w:p w14:paraId="1101C937">
            <w:pPr>
              <w:pStyle w:val="63"/>
              <w:rPr>
                <w:rFonts w:hint="default" w:ascii="Times New Roman" w:hAnsi="Times New Roman" w:eastAsia="宋体" w:cs="Times New Roman"/>
                <w:color w:val="auto"/>
                <w:sz w:val="21"/>
                <w:szCs w:val="21"/>
                <w:highlight w:val="none"/>
                <w:lang w:val="en-US" w:eastAsia="zh-CN"/>
              </w:rPr>
            </w:pPr>
          </w:p>
        </w:tc>
        <w:tc>
          <w:tcPr>
            <w:tcW w:w="1428" w:type="dxa"/>
            <w:tcBorders>
              <w:tl2br w:val="nil"/>
              <w:tr2bl w:val="nil"/>
            </w:tcBorders>
            <w:noWrap w:val="0"/>
            <w:vAlign w:val="center"/>
          </w:tcPr>
          <w:p w14:paraId="0D2416C3">
            <w:pPr>
              <w:pStyle w:val="72"/>
              <w:keepNext w:val="0"/>
              <w:keepLines w:val="0"/>
              <w:pageBreakBefore w:val="0"/>
              <w:kinsoku/>
              <w:wordWrap/>
              <w:overflowPunct/>
              <w:topLinePunct w:val="0"/>
              <w:bidi w:val="0"/>
              <w:adjustRightInd/>
              <w:snapToGrid/>
              <w:spacing w:after="0" w:line="240" w:lineRule="auto"/>
              <w:ind w:firstLine="0" w:firstLineChars="0"/>
              <w:jc w:val="center"/>
              <w:rPr>
                <w:rFonts w:hint="default" w:ascii="Times New Roman" w:hAnsi="Times New Roman" w:eastAsia="宋体" w:cs="Times New Roman"/>
                <w:snapToGrid w:val="0"/>
                <w:color w:val="auto"/>
                <w:sz w:val="21"/>
                <w:szCs w:val="21"/>
                <w:highlight w:val="none"/>
                <w:lang w:val="zh-TW" w:eastAsia="zh-TW" w:bidi="zh-TW"/>
              </w:rPr>
            </w:pPr>
            <w:r>
              <w:rPr>
                <w:rFonts w:hint="default" w:ascii="Times New Roman" w:hAnsi="Times New Roman" w:eastAsia="宋体" w:cs="Times New Roman"/>
                <w:snapToGrid w:val="0"/>
                <w:color w:val="auto"/>
                <w:sz w:val="21"/>
                <w:szCs w:val="21"/>
                <w:highlight w:val="none"/>
              </w:rPr>
              <w:t>热力系统</w:t>
            </w:r>
          </w:p>
        </w:tc>
        <w:tc>
          <w:tcPr>
            <w:tcW w:w="7118" w:type="dxa"/>
            <w:tcBorders>
              <w:tl2br w:val="nil"/>
              <w:tr2bl w:val="nil"/>
            </w:tcBorders>
            <w:noWrap w:val="0"/>
            <w:vAlign w:val="center"/>
          </w:tcPr>
          <w:p w14:paraId="5BAB41C7">
            <w:pPr>
              <w:pStyle w:val="72"/>
              <w:keepNext w:val="0"/>
              <w:keepLines w:val="0"/>
              <w:pageBreakBefore w:val="0"/>
              <w:kinsoku/>
              <w:wordWrap/>
              <w:overflowPunct/>
              <w:topLinePunct w:val="0"/>
              <w:bidi w:val="0"/>
              <w:adjustRightInd/>
              <w:snapToGrid/>
              <w:spacing w:after="0" w:line="240" w:lineRule="auto"/>
              <w:ind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rPr>
              <w:t>锅炉的供回水温度为1</w:t>
            </w:r>
            <w:r>
              <w:rPr>
                <w:rFonts w:hint="eastAsia" w:ascii="Times New Roman" w:hAnsi="Times New Roman" w:cs="Times New Roman"/>
                <w:color w:val="auto"/>
                <w:sz w:val="21"/>
                <w:szCs w:val="21"/>
                <w:highlight w:val="none"/>
                <w:lang w:val="en-US" w:eastAsia="zh-CN"/>
              </w:rPr>
              <w:t>30</w:t>
            </w:r>
            <w:r>
              <w:rPr>
                <w:rFonts w:hint="default" w:ascii="Times New Roman" w:hAnsi="Times New Roman" w:eastAsia="宋体" w:cs="Times New Roman"/>
                <w:color w:val="auto"/>
                <w:sz w:val="21"/>
                <w:szCs w:val="21"/>
                <w:highlight w:val="none"/>
              </w:rPr>
              <w:t>℃/</w:t>
            </w:r>
            <w:r>
              <w:rPr>
                <w:rFonts w:hint="eastAsia" w:ascii="Times New Roman" w:hAnsi="Times New Roman"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rPr>
              <w:t>0℃</w:t>
            </w:r>
            <w:r>
              <w:rPr>
                <w:rFonts w:hint="default" w:ascii="Times New Roman" w:hAnsi="Times New Roman" w:eastAsia="宋体" w:cs="Times New Roman"/>
                <w:color w:val="auto"/>
                <w:sz w:val="21"/>
                <w:szCs w:val="21"/>
                <w:highlight w:val="none"/>
                <w:lang w:val="zh-TW" w:eastAsia="zh-TW"/>
              </w:rPr>
              <w:t>回水温差60℃。锅炉房厂区供热管道（DN</w:t>
            </w:r>
            <w:r>
              <w:rPr>
                <w:rFonts w:hint="default" w:ascii="Times New Roman" w:hAnsi="Times New Roman" w:eastAsia="宋体" w:cs="Times New Roman"/>
                <w:color w:val="auto"/>
                <w:sz w:val="21"/>
                <w:szCs w:val="21"/>
                <w:highlight w:val="none"/>
                <w:lang w:val="en-US" w:eastAsia="zh-CN"/>
              </w:rPr>
              <w:t>600</w:t>
            </w:r>
            <w:r>
              <w:rPr>
                <w:rFonts w:hint="default" w:ascii="Times New Roman" w:hAnsi="Times New Roman" w:eastAsia="宋体" w:cs="Times New Roman"/>
                <w:color w:val="auto"/>
                <w:sz w:val="21"/>
                <w:szCs w:val="21"/>
                <w:highlight w:val="none"/>
                <w:lang w:val="zh-TW" w:eastAsia="zh-TW"/>
              </w:rPr>
              <w:t>）与原西城热源出口总供回水管道（一级网）直接连接</w:t>
            </w:r>
            <w:r>
              <w:rPr>
                <w:rFonts w:hint="default" w:ascii="Times New Roman" w:hAnsi="Times New Roman" w:eastAsia="宋体" w:cs="Times New Roman"/>
                <w:color w:val="auto"/>
                <w:sz w:val="21"/>
                <w:szCs w:val="21"/>
                <w:highlight w:val="none"/>
              </w:rPr>
              <w:t>。</w:t>
            </w:r>
          </w:p>
        </w:tc>
      </w:tr>
      <w:tr w14:paraId="5DCAE305">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jc w:val="center"/>
        </w:trPr>
        <w:tc>
          <w:tcPr>
            <w:tcW w:w="742" w:type="dxa"/>
            <w:vMerge w:val="continue"/>
            <w:tcBorders>
              <w:tl2br w:val="nil"/>
              <w:tr2bl w:val="nil"/>
            </w:tcBorders>
            <w:noWrap w:val="0"/>
            <w:vAlign w:val="center"/>
          </w:tcPr>
          <w:p w14:paraId="25385D8D">
            <w:pPr>
              <w:pStyle w:val="63"/>
              <w:rPr>
                <w:rFonts w:hint="default" w:ascii="Times New Roman" w:hAnsi="Times New Roman" w:eastAsia="宋体" w:cs="Times New Roman"/>
                <w:color w:val="auto"/>
                <w:sz w:val="21"/>
                <w:szCs w:val="21"/>
                <w:highlight w:val="none"/>
                <w:lang w:val="en-US" w:eastAsia="zh-CN"/>
              </w:rPr>
            </w:pPr>
          </w:p>
        </w:tc>
        <w:tc>
          <w:tcPr>
            <w:tcW w:w="1428" w:type="dxa"/>
            <w:tcBorders>
              <w:tl2br w:val="nil"/>
              <w:tr2bl w:val="nil"/>
            </w:tcBorders>
            <w:noWrap w:val="0"/>
            <w:vAlign w:val="center"/>
          </w:tcPr>
          <w:p w14:paraId="76D8B2DE">
            <w:pPr>
              <w:pStyle w:val="63"/>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除灰渣系统</w:t>
            </w:r>
          </w:p>
        </w:tc>
        <w:tc>
          <w:tcPr>
            <w:tcW w:w="7118" w:type="dxa"/>
            <w:tcBorders>
              <w:tl2br w:val="nil"/>
              <w:tr2bl w:val="nil"/>
            </w:tcBorders>
            <w:noWrap w:val="0"/>
            <w:vAlign w:val="center"/>
          </w:tcPr>
          <w:p w14:paraId="6FE1E938">
            <w:pPr>
              <w:pStyle w:val="63"/>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除渣采用机械除渣的方式，除灰采用正压浓相气力除灰方式。</w:t>
            </w:r>
          </w:p>
        </w:tc>
      </w:tr>
      <w:tr w14:paraId="51832054">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jc w:val="center"/>
        </w:trPr>
        <w:tc>
          <w:tcPr>
            <w:tcW w:w="742" w:type="dxa"/>
            <w:vMerge w:val="continue"/>
            <w:tcBorders>
              <w:tl2br w:val="nil"/>
              <w:tr2bl w:val="nil"/>
            </w:tcBorders>
            <w:noWrap w:val="0"/>
            <w:vAlign w:val="center"/>
          </w:tcPr>
          <w:p w14:paraId="1AFC3D02">
            <w:pPr>
              <w:pStyle w:val="63"/>
              <w:rPr>
                <w:rFonts w:hint="default" w:ascii="Times New Roman" w:hAnsi="Times New Roman" w:eastAsia="宋体" w:cs="Times New Roman"/>
                <w:color w:val="auto"/>
                <w:sz w:val="21"/>
                <w:szCs w:val="21"/>
                <w:highlight w:val="none"/>
                <w:lang w:val="en-US" w:eastAsia="zh-CN"/>
              </w:rPr>
            </w:pPr>
          </w:p>
        </w:tc>
        <w:tc>
          <w:tcPr>
            <w:tcW w:w="1428" w:type="dxa"/>
            <w:tcBorders>
              <w:tl2br w:val="nil"/>
              <w:tr2bl w:val="nil"/>
            </w:tcBorders>
            <w:noWrap w:val="0"/>
            <w:vAlign w:val="center"/>
          </w:tcPr>
          <w:p w14:paraId="37BFEECB">
            <w:pPr>
              <w:pStyle w:val="63"/>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危废贮存库</w:t>
            </w:r>
          </w:p>
        </w:tc>
        <w:tc>
          <w:tcPr>
            <w:tcW w:w="7118" w:type="dxa"/>
            <w:tcBorders>
              <w:tl2br w:val="nil"/>
              <w:tr2bl w:val="nil"/>
            </w:tcBorders>
            <w:noWrap w:val="0"/>
            <w:vAlign w:val="center"/>
          </w:tcPr>
          <w:p w14:paraId="01518CA0">
            <w:pPr>
              <w:pStyle w:val="63"/>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highlight w:val="none"/>
                <w:lang w:val="en-US" w:eastAsia="zh-CN"/>
              </w:rPr>
              <w:t>厂区东南侧建有1座20m</w:t>
            </w:r>
            <w:r>
              <w:rPr>
                <w:rFonts w:hint="eastAsia" w:ascii="Times New Roman" w:hAnsi="Times New Roman" w:eastAsia="宋体" w:cs="Times New Roman"/>
                <w:color w:val="auto"/>
                <w:highlight w:val="none"/>
                <w:vertAlign w:val="superscript"/>
                <w:lang w:val="en-US" w:eastAsia="zh-CN"/>
              </w:rPr>
              <w:t>2</w:t>
            </w:r>
            <w:r>
              <w:rPr>
                <w:rFonts w:hint="eastAsia" w:ascii="Times New Roman" w:hAnsi="Times New Roman" w:eastAsia="宋体" w:cs="Times New Roman"/>
                <w:color w:val="auto"/>
                <w:highlight w:val="none"/>
                <w:lang w:val="en-US" w:eastAsia="zh-CN"/>
              </w:rPr>
              <w:t>的危险废物贮存库，废矿物油收集后暂存于危废贮存库，委托佳木斯大江环境治理有限公司处置。</w:t>
            </w:r>
          </w:p>
        </w:tc>
      </w:tr>
      <w:tr w14:paraId="2EB6FACD">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00" w:hRule="atLeast"/>
          <w:jc w:val="center"/>
        </w:trPr>
        <w:tc>
          <w:tcPr>
            <w:tcW w:w="742" w:type="dxa"/>
            <w:vMerge w:val="restart"/>
            <w:tcBorders>
              <w:tl2br w:val="nil"/>
              <w:tr2bl w:val="nil"/>
            </w:tcBorders>
            <w:noWrap w:val="0"/>
            <w:vAlign w:val="center"/>
          </w:tcPr>
          <w:p w14:paraId="1AEB26B4">
            <w:pPr>
              <w:pStyle w:val="63"/>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贮运工程</w:t>
            </w:r>
          </w:p>
        </w:tc>
        <w:tc>
          <w:tcPr>
            <w:tcW w:w="1428" w:type="dxa"/>
            <w:tcBorders>
              <w:tl2br w:val="nil"/>
              <w:tr2bl w:val="nil"/>
            </w:tcBorders>
            <w:noWrap w:val="0"/>
            <w:vAlign w:val="center"/>
          </w:tcPr>
          <w:p w14:paraId="00EACDAE">
            <w:pPr>
              <w:pStyle w:val="63"/>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物料来源、运输</w:t>
            </w:r>
          </w:p>
        </w:tc>
        <w:tc>
          <w:tcPr>
            <w:tcW w:w="7118" w:type="dxa"/>
            <w:tcBorders>
              <w:tl2br w:val="nil"/>
              <w:tr2bl w:val="nil"/>
            </w:tcBorders>
            <w:noWrap w:val="0"/>
            <w:vAlign w:val="center"/>
          </w:tcPr>
          <w:p w14:paraId="6EC49832">
            <w:pPr>
              <w:pStyle w:val="63"/>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燃煤采用</w:t>
            </w:r>
            <w:r>
              <w:rPr>
                <w:rFonts w:hint="eastAsia" w:ascii="Times New Roman" w:hAnsi="Times New Roman" w:eastAsia="宋体" w:cs="Times New Roman"/>
                <w:color w:val="auto"/>
                <w:sz w:val="21"/>
                <w:szCs w:val="21"/>
                <w:highlight w:val="none"/>
                <w:lang w:val="en-US" w:eastAsia="zh-CN"/>
              </w:rPr>
              <w:t>公路</w:t>
            </w:r>
            <w:r>
              <w:rPr>
                <w:rFonts w:hint="default" w:ascii="Times New Roman" w:hAnsi="Times New Roman" w:eastAsia="宋体" w:cs="Times New Roman"/>
                <w:color w:val="auto"/>
                <w:sz w:val="21"/>
                <w:szCs w:val="21"/>
                <w:highlight w:val="none"/>
                <w:lang w:val="en-US" w:eastAsia="zh-CN"/>
              </w:rPr>
              <w:t>运输</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点火油用轻柴油、脱硫用的</w:t>
            </w:r>
            <w:r>
              <w:rPr>
                <w:rFonts w:hint="eastAsia" w:ascii="Times New Roman" w:hAnsi="Times New Roman" w:eastAsia="宋体" w:cs="Times New Roman"/>
                <w:color w:val="auto"/>
                <w:sz w:val="21"/>
                <w:szCs w:val="21"/>
                <w:highlight w:val="none"/>
                <w:lang w:val="en-US" w:eastAsia="zh-CN"/>
              </w:rPr>
              <w:t>生石灰</w:t>
            </w:r>
            <w:r>
              <w:rPr>
                <w:rFonts w:hint="default" w:ascii="Times New Roman" w:hAnsi="Times New Roman" w:eastAsia="宋体" w:cs="Times New Roman"/>
                <w:color w:val="auto"/>
                <w:sz w:val="21"/>
                <w:szCs w:val="21"/>
                <w:highlight w:val="none"/>
                <w:lang w:val="en-US" w:eastAsia="zh-CN"/>
              </w:rPr>
              <w:t>粉，采用汽车运输方式进厂</w:t>
            </w:r>
            <w:r>
              <w:rPr>
                <w:rFonts w:hint="eastAsia" w:ascii="Times New Roman" w:hAnsi="Times New Roman" w:eastAsia="宋体" w:cs="Times New Roman"/>
                <w:color w:val="auto"/>
                <w:sz w:val="21"/>
                <w:szCs w:val="21"/>
                <w:highlight w:val="none"/>
                <w:lang w:val="en-US" w:eastAsia="zh-CN"/>
              </w:rPr>
              <w:t>。</w:t>
            </w:r>
          </w:p>
        </w:tc>
      </w:tr>
      <w:tr w14:paraId="6CBA87F0">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185" w:hRule="atLeast"/>
          <w:jc w:val="center"/>
        </w:trPr>
        <w:tc>
          <w:tcPr>
            <w:tcW w:w="742" w:type="dxa"/>
            <w:vMerge w:val="continue"/>
            <w:tcBorders>
              <w:tl2br w:val="nil"/>
              <w:tr2bl w:val="nil"/>
            </w:tcBorders>
            <w:noWrap w:val="0"/>
            <w:vAlign w:val="center"/>
          </w:tcPr>
          <w:p w14:paraId="0052277A">
            <w:pPr>
              <w:pStyle w:val="63"/>
              <w:rPr>
                <w:rFonts w:hint="default" w:ascii="Times New Roman" w:hAnsi="Times New Roman" w:eastAsia="宋体" w:cs="Times New Roman"/>
                <w:color w:val="auto"/>
                <w:sz w:val="21"/>
                <w:szCs w:val="21"/>
                <w:highlight w:val="none"/>
                <w:lang w:val="en-US" w:eastAsia="zh-CN"/>
              </w:rPr>
            </w:pPr>
          </w:p>
        </w:tc>
        <w:tc>
          <w:tcPr>
            <w:tcW w:w="1428" w:type="dxa"/>
            <w:tcBorders>
              <w:tl2br w:val="nil"/>
              <w:tr2bl w:val="nil"/>
            </w:tcBorders>
            <w:noWrap w:val="0"/>
            <w:vAlign w:val="center"/>
          </w:tcPr>
          <w:p w14:paraId="65E825DE">
            <w:pPr>
              <w:pStyle w:val="63"/>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储煤场</w:t>
            </w:r>
          </w:p>
        </w:tc>
        <w:tc>
          <w:tcPr>
            <w:tcW w:w="7118" w:type="dxa"/>
            <w:tcBorders>
              <w:tl2br w:val="nil"/>
              <w:tr2bl w:val="nil"/>
            </w:tcBorders>
            <w:noWrap w:val="0"/>
            <w:vAlign w:val="center"/>
          </w:tcPr>
          <w:p w14:paraId="2F57AEE4">
            <w:pPr>
              <w:pStyle w:val="63"/>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厂内设置一个</w:t>
            </w:r>
            <w:r>
              <w:rPr>
                <w:rFonts w:hint="eastAsia" w:ascii="Times New Roman" w:hAnsi="Times New Roman" w:eastAsia="宋体" w:cs="Times New Roman"/>
                <w:color w:val="auto"/>
                <w:sz w:val="21"/>
                <w:szCs w:val="21"/>
                <w:highlight w:val="none"/>
                <w:lang w:val="en-US" w:eastAsia="zh-CN"/>
              </w:rPr>
              <w:t>露天</w:t>
            </w:r>
            <w:r>
              <w:rPr>
                <w:rFonts w:hint="default" w:ascii="Times New Roman" w:hAnsi="Times New Roman" w:eastAsia="宋体" w:cs="Times New Roman"/>
                <w:color w:val="auto"/>
                <w:sz w:val="21"/>
                <w:szCs w:val="21"/>
                <w:highlight w:val="none"/>
                <w:lang w:val="en-US" w:eastAsia="zh-CN"/>
              </w:rPr>
              <w:t>储煤场，</w:t>
            </w:r>
            <w:r>
              <w:rPr>
                <w:rFonts w:hint="eastAsia" w:ascii="Times New Roman" w:hAnsi="Times New Roman" w:eastAsia="宋体" w:cs="Times New Roman"/>
                <w:color w:val="auto"/>
                <w:sz w:val="21"/>
                <w:szCs w:val="21"/>
                <w:highlight w:val="none"/>
                <w:lang w:val="en-US" w:eastAsia="zh-CN"/>
              </w:rPr>
              <w:t>占地面积15320m</w:t>
            </w:r>
            <w:r>
              <w:rPr>
                <w:rFonts w:hint="eastAsia" w:ascii="Times New Roman" w:hAnsi="Times New Roman" w:eastAsia="宋体" w:cs="Times New Roman"/>
                <w:color w:val="auto"/>
                <w:sz w:val="21"/>
                <w:szCs w:val="21"/>
                <w:highlight w:val="none"/>
                <w:vertAlign w:val="superscript"/>
                <w:lang w:val="en-US" w:eastAsia="zh-CN"/>
              </w:rPr>
              <w:t>2</w:t>
            </w:r>
            <w:r>
              <w:rPr>
                <w:rFonts w:hint="eastAsia" w:ascii="Times New Roman" w:hAnsi="Times New Roman" w:eastAsia="宋体" w:cs="Times New Roman"/>
                <w:color w:val="auto"/>
                <w:sz w:val="21"/>
                <w:szCs w:val="21"/>
                <w:highlight w:val="none"/>
                <w:lang w:val="en-US" w:eastAsia="zh-CN"/>
              </w:rPr>
              <w:t>、堆高10m</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贮煤能力</w:t>
            </w:r>
            <w:r>
              <w:rPr>
                <w:rFonts w:hint="default" w:ascii="Times New Roman" w:hAnsi="Times New Roman" w:eastAsia="宋体" w:cs="Times New Roman"/>
                <w:color w:val="auto"/>
                <w:sz w:val="21"/>
                <w:szCs w:val="21"/>
                <w:highlight w:val="none"/>
                <w:lang w:val="en-US" w:eastAsia="zh-CN"/>
              </w:rPr>
              <w:t>约为</w:t>
            </w:r>
            <w:r>
              <w:rPr>
                <w:rFonts w:hint="eastAsia" w:ascii="Times New Roman" w:hAnsi="Times New Roman" w:eastAsia="宋体" w:cs="Times New Roman"/>
                <w:color w:val="auto"/>
                <w:sz w:val="21"/>
                <w:szCs w:val="21"/>
                <w:highlight w:val="none"/>
                <w:lang w:val="en-US" w:eastAsia="zh-CN"/>
              </w:rPr>
              <w:t>10</w:t>
            </w:r>
            <w:r>
              <w:rPr>
                <w:rFonts w:hint="default" w:ascii="Times New Roman" w:hAnsi="Times New Roman" w:eastAsia="宋体" w:cs="Times New Roman"/>
                <w:color w:val="auto"/>
                <w:sz w:val="21"/>
                <w:szCs w:val="21"/>
                <w:highlight w:val="none"/>
                <w:lang w:val="en-US" w:eastAsia="zh-CN"/>
              </w:rPr>
              <w:t>万t，可满足</w:t>
            </w:r>
            <w:r>
              <w:rPr>
                <w:rFonts w:hint="eastAsia" w:ascii="Times New Roman" w:hAnsi="Times New Roman" w:eastAsia="宋体" w:cs="Times New Roman"/>
                <w:color w:val="auto"/>
                <w:sz w:val="21"/>
                <w:szCs w:val="21"/>
                <w:highlight w:val="none"/>
                <w:lang w:val="en-US" w:eastAsia="zh-CN"/>
              </w:rPr>
              <w:t>现有4台锅炉60</w:t>
            </w:r>
            <w:r>
              <w:rPr>
                <w:rFonts w:hint="default" w:ascii="Times New Roman" w:hAnsi="Times New Roman" w:eastAsia="宋体" w:cs="Times New Roman"/>
                <w:color w:val="auto"/>
                <w:sz w:val="21"/>
                <w:szCs w:val="21"/>
                <w:highlight w:val="none"/>
                <w:lang w:val="en-US" w:eastAsia="zh-CN"/>
              </w:rPr>
              <w:t>天</w:t>
            </w:r>
            <w:r>
              <w:rPr>
                <w:rFonts w:hint="eastAsia" w:ascii="Times New Roman" w:hAnsi="Times New Roman" w:eastAsia="宋体" w:cs="Times New Roman"/>
                <w:color w:val="auto"/>
                <w:sz w:val="21"/>
                <w:szCs w:val="21"/>
                <w:highlight w:val="none"/>
                <w:lang w:val="en-US" w:eastAsia="zh-CN"/>
              </w:rPr>
              <w:t>最大</w:t>
            </w:r>
            <w:r>
              <w:rPr>
                <w:rFonts w:hint="default" w:ascii="Times New Roman" w:hAnsi="Times New Roman" w:eastAsia="宋体" w:cs="Times New Roman"/>
                <w:color w:val="auto"/>
                <w:sz w:val="21"/>
                <w:szCs w:val="21"/>
                <w:highlight w:val="none"/>
                <w:lang w:val="en-US" w:eastAsia="zh-CN"/>
              </w:rPr>
              <w:t>燃煤量。煤场周围设置2.5米高实体围墙，围墙上设置总长400米，高11米的防风抑尘网</w:t>
            </w:r>
            <w:r>
              <w:rPr>
                <w:rFonts w:hint="eastAsia" w:ascii="Times New Roman" w:hAnsi="Times New Roman" w:eastAsia="宋体" w:cs="Times New Roman"/>
                <w:color w:val="auto"/>
                <w:sz w:val="21"/>
                <w:szCs w:val="21"/>
                <w:highlight w:val="none"/>
                <w:lang w:val="en-US" w:eastAsia="zh-CN"/>
              </w:rPr>
              <w:t>。</w:t>
            </w:r>
          </w:p>
        </w:tc>
      </w:tr>
      <w:tr w14:paraId="4F54ECAD">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90" w:hRule="atLeast"/>
          <w:jc w:val="center"/>
        </w:trPr>
        <w:tc>
          <w:tcPr>
            <w:tcW w:w="742" w:type="dxa"/>
            <w:vMerge w:val="continue"/>
            <w:tcBorders>
              <w:tl2br w:val="nil"/>
              <w:tr2bl w:val="nil"/>
            </w:tcBorders>
            <w:noWrap w:val="0"/>
            <w:vAlign w:val="center"/>
          </w:tcPr>
          <w:p w14:paraId="104DA640">
            <w:pPr>
              <w:pStyle w:val="63"/>
              <w:rPr>
                <w:rFonts w:hint="default" w:ascii="Times New Roman" w:hAnsi="Times New Roman" w:eastAsia="宋体" w:cs="Times New Roman"/>
                <w:color w:val="auto"/>
                <w:sz w:val="21"/>
                <w:szCs w:val="21"/>
                <w:highlight w:val="none"/>
                <w:lang w:val="en-US" w:eastAsia="zh-CN"/>
              </w:rPr>
            </w:pPr>
          </w:p>
        </w:tc>
        <w:tc>
          <w:tcPr>
            <w:tcW w:w="1428" w:type="dxa"/>
            <w:tcBorders>
              <w:tl2br w:val="nil"/>
              <w:tr2bl w:val="nil"/>
            </w:tcBorders>
            <w:noWrap w:val="0"/>
            <w:vAlign w:val="center"/>
          </w:tcPr>
          <w:p w14:paraId="5056B40B">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石灰</w:t>
            </w:r>
            <w:r>
              <w:rPr>
                <w:rFonts w:hint="eastAsia" w:ascii="Times New Roman" w:hAnsi="Times New Roman" w:eastAsia="宋体" w:cs="Times New Roman"/>
                <w:color w:val="auto"/>
                <w:sz w:val="21"/>
                <w:szCs w:val="21"/>
                <w:highlight w:val="none"/>
                <w:lang w:eastAsia="zh-CN"/>
              </w:rPr>
              <w:t>粉</w:t>
            </w:r>
            <w:r>
              <w:rPr>
                <w:rFonts w:hint="default" w:ascii="Times New Roman" w:hAnsi="Times New Roman" w:eastAsia="宋体" w:cs="Times New Roman"/>
                <w:color w:val="auto"/>
                <w:sz w:val="21"/>
                <w:szCs w:val="21"/>
                <w:highlight w:val="none"/>
                <w:lang w:eastAsia="zh-CN"/>
              </w:rPr>
              <w:t>储</w:t>
            </w:r>
            <w:r>
              <w:rPr>
                <w:rFonts w:hint="eastAsia" w:ascii="Times New Roman" w:hAnsi="Times New Roman" w:eastAsia="宋体" w:cs="Times New Roman"/>
                <w:color w:val="auto"/>
                <w:sz w:val="21"/>
                <w:szCs w:val="21"/>
                <w:highlight w:val="none"/>
                <w:lang w:eastAsia="zh-CN"/>
              </w:rPr>
              <w:t>运</w:t>
            </w:r>
          </w:p>
        </w:tc>
        <w:tc>
          <w:tcPr>
            <w:tcW w:w="7118" w:type="dxa"/>
            <w:tcBorders>
              <w:tl2br w:val="nil"/>
              <w:tr2bl w:val="nil"/>
            </w:tcBorders>
            <w:noWrap w:val="0"/>
            <w:vAlign w:val="center"/>
          </w:tcPr>
          <w:p w14:paraId="4163594F">
            <w:pPr>
              <w:autoSpaceDE w:val="0"/>
              <w:autoSpaceDN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脱硫所用石灰</w:t>
            </w:r>
            <w:r>
              <w:rPr>
                <w:rFonts w:hint="eastAsia" w:ascii="Times New Roman" w:hAnsi="Times New Roman" w:eastAsia="宋体" w:cs="Times New Roman"/>
                <w:color w:val="auto"/>
                <w:sz w:val="21"/>
                <w:szCs w:val="21"/>
                <w:highlight w:val="none"/>
                <w:lang w:eastAsia="zh-CN"/>
              </w:rPr>
              <w:t>粉采用直接采购方案，由汽车运输进厂。</w:t>
            </w:r>
          </w:p>
        </w:tc>
      </w:tr>
      <w:tr w14:paraId="686C51CC">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90" w:hRule="atLeast"/>
          <w:jc w:val="center"/>
        </w:trPr>
        <w:tc>
          <w:tcPr>
            <w:tcW w:w="742" w:type="dxa"/>
            <w:vMerge w:val="continue"/>
            <w:tcBorders>
              <w:tl2br w:val="nil"/>
              <w:tr2bl w:val="nil"/>
            </w:tcBorders>
            <w:noWrap w:val="0"/>
            <w:vAlign w:val="center"/>
          </w:tcPr>
          <w:p w14:paraId="72E4C5FD">
            <w:pPr>
              <w:pStyle w:val="63"/>
              <w:rPr>
                <w:rFonts w:hint="default" w:ascii="Times New Roman" w:hAnsi="Times New Roman" w:eastAsia="宋体" w:cs="Times New Roman"/>
                <w:color w:val="auto"/>
                <w:sz w:val="21"/>
                <w:szCs w:val="21"/>
                <w:highlight w:val="none"/>
                <w:lang w:val="en-US" w:eastAsia="zh-CN"/>
              </w:rPr>
            </w:pPr>
          </w:p>
        </w:tc>
        <w:tc>
          <w:tcPr>
            <w:tcW w:w="1428" w:type="dxa"/>
            <w:tcBorders>
              <w:tl2br w:val="nil"/>
              <w:tr2bl w:val="nil"/>
            </w:tcBorders>
            <w:noWrap w:val="0"/>
            <w:vAlign w:val="center"/>
          </w:tcPr>
          <w:p w14:paraId="241F6FFF">
            <w:pPr>
              <w:keepNext w:val="0"/>
              <w:keepLines w:val="0"/>
              <w:pageBreakBefore w:val="0"/>
              <w:widowControl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kern w:val="2"/>
                <w:sz w:val="21"/>
                <w:szCs w:val="21"/>
                <w:highlight w:val="none"/>
                <w:lang w:val="en-US" w:eastAsia="zh-CN" w:bidi="ar-SA"/>
              </w:rPr>
              <w:t>全封闭渣库</w:t>
            </w:r>
          </w:p>
        </w:tc>
        <w:tc>
          <w:tcPr>
            <w:tcW w:w="7118" w:type="dxa"/>
            <w:tcBorders>
              <w:tl2br w:val="nil"/>
              <w:tr2bl w:val="nil"/>
            </w:tcBorders>
            <w:noWrap w:val="0"/>
            <w:vAlign w:val="center"/>
          </w:tcPr>
          <w:p w14:paraId="637EACBA">
            <w:pPr>
              <w:autoSpaceDE w:val="0"/>
              <w:autoSpaceDN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总容积</w:t>
            </w:r>
            <w:r>
              <w:rPr>
                <w:rFonts w:hint="eastAsia" w:ascii="Times New Roman" w:hAnsi="Times New Roman" w:eastAsia="宋体" w:cs="Times New Roman"/>
                <w:color w:val="auto"/>
                <w:sz w:val="21"/>
                <w:szCs w:val="21"/>
                <w:highlight w:val="none"/>
                <w:lang w:val="en-US" w:eastAsia="zh-CN"/>
              </w:rPr>
              <w:t>10000</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，设置在</w:t>
            </w:r>
            <w:r>
              <w:rPr>
                <w:rFonts w:hint="eastAsia" w:ascii="Times New Roman" w:hAnsi="Times New Roman" w:eastAsia="宋体" w:cs="Times New Roman"/>
                <w:color w:val="auto"/>
                <w:sz w:val="21"/>
                <w:szCs w:val="21"/>
                <w:highlight w:val="none"/>
                <w:lang w:val="en-US" w:eastAsia="zh-CN"/>
              </w:rPr>
              <w:t>3#、4#</w:t>
            </w:r>
            <w:r>
              <w:rPr>
                <w:rFonts w:hint="default" w:ascii="Times New Roman" w:hAnsi="Times New Roman" w:eastAsia="宋体" w:cs="Times New Roman"/>
                <w:color w:val="auto"/>
                <w:sz w:val="21"/>
                <w:szCs w:val="21"/>
                <w:highlight w:val="none"/>
                <w:lang w:val="en-US" w:eastAsia="zh-CN"/>
              </w:rPr>
              <w:t>锅炉</w:t>
            </w:r>
            <w:r>
              <w:rPr>
                <w:rFonts w:hint="eastAsia" w:ascii="Times New Roman" w:hAnsi="Times New Roman" w:eastAsia="宋体" w:cs="Times New Roman"/>
                <w:color w:val="auto"/>
                <w:sz w:val="21"/>
                <w:szCs w:val="21"/>
                <w:highlight w:val="none"/>
                <w:lang w:val="en-US" w:eastAsia="zh-CN"/>
              </w:rPr>
              <w:t>房南侧</w:t>
            </w:r>
            <w:r>
              <w:rPr>
                <w:rFonts w:hint="default" w:ascii="Times New Roman" w:hAnsi="Times New Roman" w:eastAsia="宋体" w:cs="Times New Roman"/>
                <w:color w:val="auto"/>
                <w:sz w:val="21"/>
                <w:szCs w:val="21"/>
                <w:highlight w:val="none"/>
                <w:lang w:val="en-US" w:eastAsia="zh-CN"/>
              </w:rPr>
              <w:t>。</w:t>
            </w:r>
          </w:p>
        </w:tc>
      </w:tr>
      <w:tr w14:paraId="7AA5EA19">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124" w:hRule="atLeast"/>
          <w:jc w:val="center"/>
        </w:trPr>
        <w:tc>
          <w:tcPr>
            <w:tcW w:w="742" w:type="dxa"/>
            <w:vMerge w:val="continue"/>
            <w:tcBorders>
              <w:tl2br w:val="nil"/>
              <w:tr2bl w:val="nil"/>
            </w:tcBorders>
            <w:noWrap w:val="0"/>
            <w:vAlign w:val="center"/>
          </w:tcPr>
          <w:p w14:paraId="4CD6ED3D">
            <w:pPr>
              <w:pStyle w:val="63"/>
              <w:rPr>
                <w:rFonts w:hint="default" w:ascii="Times New Roman" w:hAnsi="Times New Roman" w:eastAsia="宋体" w:cs="Times New Roman"/>
                <w:color w:val="auto"/>
                <w:sz w:val="21"/>
                <w:szCs w:val="21"/>
                <w:highlight w:val="none"/>
                <w:lang w:val="en-US" w:eastAsia="zh-CN"/>
              </w:rPr>
            </w:pPr>
          </w:p>
        </w:tc>
        <w:tc>
          <w:tcPr>
            <w:tcW w:w="1428" w:type="dxa"/>
            <w:tcBorders>
              <w:tl2br w:val="nil"/>
              <w:tr2bl w:val="nil"/>
            </w:tcBorders>
            <w:noWrap w:val="0"/>
            <w:vAlign w:val="center"/>
          </w:tcPr>
          <w:p w14:paraId="3D07C350">
            <w:pPr>
              <w:keepNext w:val="0"/>
              <w:keepLines w:val="0"/>
              <w:pageBreakBefore w:val="0"/>
              <w:widowControl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全封闭</w:t>
            </w:r>
            <w:r>
              <w:rPr>
                <w:rFonts w:hint="eastAsia" w:ascii="Times New Roman" w:hAnsi="Times New Roman" w:eastAsia="宋体" w:cs="Times New Roman"/>
                <w:color w:val="auto"/>
                <w:kern w:val="2"/>
                <w:sz w:val="21"/>
                <w:szCs w:val="21"/>
                <w:highlight w:val="none"/>
                <w:lang w:val="en-US" w:eastAsia="zh-CN" w:bidi="ar-SA"/>
              </w:rPr>
              <w:t>灰库</w:t>
            </w:r>
          </w:p>
        </w:tc>
        <w:tc>
          <w:tcPr>
            <w:tcW w:w="7118" w:type="dxa"/>
            <w:tcBorders>
              <w:tl2br w:val="nil"/>
              <w:tr2bl w:val="nil"/>
            </w:tcBorders>
            <w:noWrap w:val="0"/>
            <w:vAlign w:val="center"/>
          </w:tcPr>
          <w:p w14:paraId="4BD5DB57">
            <w:pPr>
              <w:autoSpaceDE w:val="0"/>
              <w:autoSpaceDN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建筑面积</w:t>
            </w:r>
            <w:r>
              <w:rPr>
                <w:rFonts w:hint="eastAsia" w:ascii="Times New Roman" w:hAnsi="Times New Roman" w:eastAsia="宋体" w:cs="Times New Roman"/>
                <w:color w:val="auto"/>
                <w:sz w:val="21"/>
                <w:szCs w:val="21"/>
                <w:highlight w:val="none"/>
                <w:lang w:val="en-US" w:eastAsia="zh-CN"/>
              </w:rPr>
              <w:t>5000</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eastAsia="宋体" w:cs="Times New Roman"/>
                <w:color w:val="auto"/>
                <w:sz w:val="21"/>
                <w:szCs w:val="21"/>
                <w:highlight w:val="none"/>
                <w:lang w:val="en-US" w:eastAsia="zh-CN"/>
              </w:rPr>
              <w:t>，总容积为35000m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，设置在</w:t>
            </w:r>
            <w:r>
              <w:rPr>
                <w:rFonts w:hint="eastAsia" w:ascii="Times New Roman" w:hAnsi="Times New Roman" w:eastAsia="宋体" w:cs="Times New Roman"/>
                <w:color w:val="auto"/>
                <w:sz w:val="21"/>
                <w:szCs w:val="21"/>
                <w:highlight w:val="none"/>
                <w:lang w:val="en-US" w:eastAsia="zh-CN"/>
              </w:rPr>
              <w:t>储煤场北侧</w:t>
            </w:r>
            <w:r>
              <w:rPr>
                <w:rFonts w:hint="default" w:ascii="Times New Roman" w:hAnsi="Times New Roman" w:eastAsia="宋体" w:cs="Times New Roman"/>
                <w:color w:val="auto"/>
                <w:sz w:val="21"/>
                <w:szCs w:val="21"/>
                <w:highlight w:val="none"/>
                <w:lang w:val="en-US" w:eastAsia="zh-CN"/>
              </w:rPr>
              <w:t>，可满足贮存4台锅炉满负荷运行</w:t>
            </w:r>
            <w:r>
              <w:rPr>
                <w:rFonts w:hint="eastAsia" w:ascii="Times New Roman" w:hAnsi="Times New Roman" w:eastAsia="宋体" w:cs="Times New Roman"/>
                <w:color w:val="auto"/>
                <w:sz w:val="21"/>
                <w:szCs w:val="21"/>
                <w:highlight w:val="none"/>
                <w:lang w:val="en-US" w:eastAsia="zh-CN"/>
              </w:rPr>
              <w:t>75天</w:t>
            </w:r>
            <w:r>
              <w:rPr>
                <w:rFonts w:hint="default" w:ascii="Times New Roman" w:hAnsi="Times New Roman" w:eastAsia="宋体" w:cs="Times New Roman"/>
                <w:color w:val="auto"/>
                <w:sz w:val="21"/>
                <w:szCs w:val="21"/>
                <w:highlight w:val="none"/>
                <w:lang w:val="en-US" w:eastAsia="zh-CN"/>
              </w:rPr>
              <w:t>的灰量</w:t>
            </w:r>
          </w:p>
        </w:tc>
      </w:tr>
      <w:tr w14:paraId="2EEA7CAB">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90" w:hRule="atLeast"/>
          <w:jc w:val="center"/>
        </w:trPr>
        <w:tc>
          <w:tcPr>
            <w:tcW w:w="742" w:type="dxa"/>
            <w:vMerge w:val="restart"/>
            <w:tcBorders>
              <w:tl2br w:val="nil"/>
              <w:tr2bl w:val="nil"/>
            </w:tcBorders>
            <w:noWrap w:val="0"/>
            <w:vAlign w:val="center"/>
          </w:tcPr>
          <w:p w14:paraId="57148C4D">
            <w:pPr>
              <w:pStyle w:val="63"/>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公用工程</w:t>
            </w:r>
          </w:p>
        </w:tc>
        <w:tc>
          <w:tcPr>
            <w:tcW w:w="1428" w:type="dxa"/>
            <w:tcBorders>
              <w:tl2br w:val="nil"/>
              <w:tr2bl w:val="nil"/>
            </w:tcBorders>
            <w:noWrap w:val="0"/>
            <w:vAlign w:val="center"/>
          </w:tcPr>
          <w:p w14:paraId="330944EC">
            <w:pPr>
              <w:pStyle w:val="63"/>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给水</w:t>
            </w:r>
          </w:p>
        </w:tc>
        <w:tc>
          <w:tcPr>
            <w:tcW w:w="7118" w:type="dxa"/>
            <w:tcBorders>
              <w:tl2br w:val="nil"/>
              <w:tr2bl w:val="nil"/>
            </w:tcBorders>
            <w:noWrap w:val="0"/>
            <w:vAlign w:val="center"/>
          </w:tcPr>
          <w:p w14:paraId="568DAF4F">
            <w:pPr>
              <w:pStyle w:val="63"/>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锅炉用水水源为地下水，由佳木斯中恒热电有限公司主热源一网供给，生活用水由市政管网供给。</w:t>
            </w:r>
          </w:p>
        </w:tc>
      </w:tr>
      <w:tr w14:paraId="42F0C79F">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jc w:val="center"/>
        </w:trPr>
        <w:tc>
          <w:tcPr>
            <w:tcW w:w="742" w:type="dxa"/>
            <w:vMerge w:val="continue"/>
            <w:tcBorders>
              <w:tl2br w:val="nil"/>
              <w:tr2bl w:val="nil"/>
            </w:tcBorders>
            <w:noWrap w:val="0"/>
            <w:vAlign w:val="center"/>
          </w:tcPr>
          <w:p w14:paraId="3E17797A">
            <w:pPr>
              <w:pStyle w:val="63"/>
              <w:rPr>
                <w:rFonts w:hint="default" w:ascii="Times New Roman" w:hAnsi="Times New Roman" w:eastAsia="宋体" w:cs="Times New Roman"/>
                <w:color w:val="auto"/>
                <w:sz w:val="21"/>
                <w:szCs w:val="21"/>
                <w:highlight w:val="none"/>
                <w:lang w:val="en-US" w:eastAsia="zh-CN"/>
              </w:rPr>
            </w:pPr>
          </w:p>
        </w:tc>
        <w:tc>
          <w:tcPr>
            <w:tcW w:w="1428" w:type="dxa"/>
            <w:tcBorders>
              <w:tl2br w:val="nil"/>
              <w:tr2bl w:val="nil"/>
            </w:tcBorders>
            <w:noWrap w:val="0"/>
            <w:vAlign w:val="center"/>
          </w:tcPr>
          <w:p w14:paraId="15432244">
            <w:pPr>
              <w:pStyle w:val="63"/>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排水</w:t>
            </w:r>
          </w:p>
        </w:tc>
        <w:tc>
          <w:tcPr>
            <w:tcW w:w="7118" w:type="dxa"/>
            <w:tcBorders>
              <w:tl2br w:val="nil"/>
              <w:tr2bl w:val="nil"/>
            </w:tcBorders>
            <w:noWrap w:val="0"/>
            <w:vAlign w:val="center"/>
          </w:tcPr>
          <w:p w14:paraId="526C421B">
            <w:pPr>
              <w:pStyle w:val="63"/>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生产废水全部回用，</w:t>
            </w:r>
            <w:r>
              <w:rPr>
                <w:rFonts w:hint="eastAsia" w:ascii="Times New Roman" w:hAnsi="Times New Roman" w:eastAsia="宋体" w:cs="Times New Roman"/>
                <w:color w:val="auto"/>
                <w:sz w:val="21"/>
                <w:szCs w:val="21"/>
                <w:highlight w:val="none"/>
                <w:lang w:val="en-US" w:eastAsia="zh-CN"/>
              </w:rPr>
              <w:t>生产废水主要包括锅炉排污水、化学水处理排污水、脱硫废水和含煤废水（输煤栈桥冲洗排水、输煤系统除尘排水）</w:t>
            </w:r>
          </w:p>
          <w:p w14:paraId="4ADFC25D">
            <w:pPr>
              <w:pStyle w:val="63"/>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锅炉定期排污水经降温池降温、沉淀后，用于降尘、除渣；脱硫废水用于灰渣除尘；初期雨水经雨水收集池收集沉淀后排入地下水池，用于输煤系统除尘。输煤系统降尘废水收集于地下水池中，循环用于地面及输煤皮带冲洗。池内沉煤定期清理再用；</w:t>
            </w:r>
            <w:r>
              <w:rPr>
                <w:rFonts w:hint="default" w:ascii="Times New Roman" w:hAnsi="Times New Roman" w:eastAsia="宋体" w:cs="Times New Roman"/>
                <w:color w:val="auto"/>
                <w:sz w:val="21"/>
                <w:szCs w:val="21"/>
                <w:highlight w:val="none"/>
                <w:lang w:val="en-US" w:eastAsia="zh-CN"/>
              </w:rPr>
              <w:t>生活污水排入市政管网</w:t>
            </w:r>
            <w:r>
              <w:rPr>
                <w:rFonts w:hint="eastAsia" w:ascii="Times New Roman" w:hAnsi="Times New Roman" w:eastAsia="宋体" w:cs="Times New Roman"/>
                <w:color w:val="auto"/>
                <w:sz w:val="21"/>
                <w:szCs w:val="21"/>
                <w:highlight w:val="none"/>
                <w:lang w:val="en-US" w:eastAsia="zh-CN"/>
              </w:rPr>
              <w:t>经</w:t>
            </w:r>
            <w:r>
              <w:rPr>
                <w:rFonts w:hint="default" w:ascii="Times New Roman" w:hAnsi="Times New Roman" w:eastAsia="宋体" w:cs="Times New Roman"/>
                <w:color w:val="auto"/>
                <w:sz w:val="21"/>
                <w:szCs w:val="21"/>
                <w:highlight w:val="none"/>
                <w:lang w:val="en-US" w:eastAsia="zh-CN"/>
              </w:rPr>
              <w:t>污水处理厂处理</w:t>
            </w:r>
            <w:r>
              <w:rPr>
                <w:rFonts w:hint="eastAsia" w:ascii="Times New Roman" w:hAnsi="Times New Roman" w:eastAsia="宋体" w:cs="Times New Roman"/>
                <w:color w:val="auto"/>
                <w:sz w:val="21"/>
                <w:szCs w:val="21"/>
                <w:highlight w:val="none"/>
                <w:lang w:val="en-US" w:eastAsia="zh-CN"/>
              </w:rPr>
              <w:t>后达标排放。</w:t>
            </w:r>
          </w:p>
        </w:tc>
      </w:tr>
      <w:tr w14:paraId="5A73A081">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jc w:val="center"/>
        </w:trPr>
        <w:tc>
          <w:tcPr>
            <w:tcW w:w="742" w:type="dxa"/>
            <w:vMerge w:val="continue"/>
            <w:tcBorders>
              <w:tl2br w:val="nil"/>
              <w:tr2bl w:val="nil"/>
            </w:tcBorders>
            <w:noWrap w:val="0"/>
            <w:vAlign w:val="center"/>
          </w:tcPr>
          <w:p w14:paraId="72FF915E">
            <w:pPr>
              <w:pStyle w:val="63"/>
              <w:rPr>
                <w:rFonts w:hint="default" w:ascii="Times New Roman" w:hAnsi="Times New Roman" w:eastAsia="宋体" w:cs="Times New Roman"/>
                <w:color w:val="auto"/>
                <w:sz w:val="21"/>
                <w:szCs w:val="21"/>
                <w:highlight w:val="none"/>
                <w:lang w:val="en-US" w:eastAsia="zh-CN"/>
              </w:rPr>
            </w:pPr>
          </w:p>
        </w:tc>
        <w:tc>
          <w:tcPr>
            <w:tcW w:w="1428" w:type="dxa"/>
            <w:tcBorders>
              <w:tl2br w:val="nil"/>
              <w:tr2bl w:val="nil"/>
            </w:tcBorders>
            <w:noWrap w:val="0"/>
            <w:vAlign w:val="center"/>
          </w:tcPr>
          <w:p w14:paraId="11AF03CF">
            <w:pPr>
              <w:pStyle w:val="63"/>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供电</w:t>
            </w:r>
          </w:p>
        </w:tc>
        <w:tc>
          <w:tcPr>
            <w:tcW w:w="7118" w:type="dxa"/>
            <w:tcBorders>
              <w:tl2br w:val="nil"/>
              <w:tr2bl w:val="nil"/>
            </w:tcBorders>
            <w:noWrap w:val="0"/>
            <w:vAlign w:val="center"/>
          </w:tcPr>
          <w:p w14:paraId="5FBC1109">
            <w:pPr>
              <w:pStyle w:val="63"/>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eastAsia="zh-CN"/>
              </w:rPr>
              <w:t>依托</w:t>
            </w:r>
            <w:r>
              <w:rPr>
                <w:rFonts w:hint="default" w:ascii="Times New Roman" w:hAnsi="Times New Roman" w:eastAsia="宋体" w:cs="Times New Roman"/>
                <w:color w:val="auto"/>
                <w:sz w:val="21"/>
                <w:szCs w:val="21"/>
                <w:highlight w:val="none"/>
                <w:lang w:val="en-US" w:eastAsia="zh-CN"/>
              </w:rPr>
              <w:t>厂内发电机组</w:t>
            </w:r>
            <w:r>
              <w:rPr>
                <w:rFonts w:hint="default" w:ascii="Times New Roman" w:hAnsi="Times New Roman" w:eastAsia="宋体" w:cs="Times New Roman"/>
                <w:color w:val="auto"/>
                <w:sz w:val="21"/>
                <w:szCs w:val="21"/>
                <w:highlight w:val="none"/>
              </w:rPr>
              <w:t>供电</w:t>
            </w:r>
            <w:r>
              <w:rPr>
                <w:rFonts w:hint="eastAsia" w:ascii="Times New Roman" w:hAnsi="Times New Roman" w:eastAsia="宋体" w:cs="Times New Roman"/>
                <w:color w:val="auto"/>
                <w:sz w:val="21"/>
                <w:szCs w:val="21"/>
                <w:highlight w:val="none"/>
                <w:lang w:eastAsia="zh-CN"/>
              </w:rPr>
              <w:t>。</w:t>
            </w:r>
          </w:p>
        </w:tc>
      </w:tr>
      <w:tr w14:paraId="2EC45717">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90" w:hRule="atLeast"/>
          <w:jc w:val="center"/>
        </w:trPr>
        <w:tc>
          <w:tcPr>
            <w:tcW w:w="742" w:type="dxa"/>
            <w:vMerge w:val="restart"/>
            <w:tcBorders>
              <w:tl2br w:val="nil"/>
              <w:tr2bl w:val="nil"/>
            </w:tcBorders>
            <w:noWrap w:val="0"/>
            <w:vAlign w:val="center"/>
          </w:tcPr>
          <w:p w14:paraId="63D201E3">
            <w:pPr>
              <w:pStyle w:val="63"/>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环保工程</w:t>
            </w:r>
          </w:p>
        </w:tc>
        <w:tc>
          <w:tcPr>
            <w:tcW w:w="1428" w:type="dxa"/>
            <w:tcBorders>
              <w:tl2br w:val="nil"/>
              <w:tr2bl w:val="nil"/>
            </w:tcBorders>
            <w:noWrap w:val="0"/>
            <w:vAlign w:val="center"/>
          </w:tcPr>
          <w:p w14:paraId="0E42D7E5">
            <w:pPr>
              <w:pStyle w:val="63"/>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废气</w:t>
            </w:r>
          </w:p>
        </w:tc>
        <w:tc>
          <w:tcPr>
            <w:tcW w:w="7118" w:type="dxa"/>
            <w:tcBorders>
              <w:tl2br w:val="nil"/>
              <w:tr2bl w:val="nil"/>
            </w:tcBorders>
            <w:noWrap w:val="0"/>
            <w:vAlign w:val="center"/>
          </w:tcPr>
          <w:p w14:paraId="331EB063">
            <w:pPr>
              <w:pStyle w:val="63"/>
              <w:jc w:val="both"/>
              <w:rPr>
                <w:rFonts w:hint="default" w:ascii="Times New Roman" w:hAnsi="Times New Roman" w:eastAsia="宋体" w:cs="Times New Roman"/>
                <w:snapToGrid w:val="0"/>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1#锅炉、2#锅炉烟气分别经电袋复合除尘+炉内喷钙+SNCR脱硝+半干法烟气循环流化床脱硫</w:t>
            </w:r>
            <w:r>
              <w:rPr>
                <w:rFonts w:hint="default" w:ascii="Times New Roman" w:hAnsi="Times New Roman" w:eastAsia="宋体" w:cs="Times New Roman"/>
                <w:color w:val="auto"/>
                <w:sz w:val="21"/>
                <w:szCs w:val="21"/>
                <w:highlight w:val="none"/>
                <w:lang w:val="en-US" w:eastAsia="zh-CN"/>
              </w:rPr>
              <w:t>工艺处理后通过</w:t>
            </w:r>
            <w:r>
              <w:rPr>
                <w:rFonts w:hint="eastAsia" w:ascii="Times New Roman" w:hAnsi="Times New Roman" w:eastAsia="宋体" w:cs="Times New Roman"/>
                <w:color w:val="auto"/>
                <w:sz w:val="21"/>
                <w:szCs w:val="21"/>
                <w:highlight w:val="none"/>
                <w:lang w:val="en-US" w:eastAsia="zh-CN"/>
              </w:rPr>
              <w:t>同一根99</w:t>
            </w:r>
            <w:r>
              <w:rPr>
                <w:rFonts w:hint="default" w:ascii="Times New Roman" w:hAnsi="Times New Roman" w:eastAsia="宋体" w:cs="Times New Roman"/>
                <w:color w:val="auto"/>
                <w:sz w:val="21"/>
                <w:szCs w:val="21"/>
                <w:highlight w:val="none"/>
                <w:lang w:val="en-US" w:eastAsia="zh-CN"/>
              </w:rPr>
              <w:t>m高烟囱排放</w:t>
            </w:r>
            <w:r>
              <w:rPr>
                <w:rFonts w:hint="eastAsia" w:ascii="Times New Roman" w:hAnsi="Times New Roman" w:eastAsia="宋体" w:cs="Times New Roman"/>
                <w:color w:val="auto"/>
                <w:sz w:val="21"/>
                <w:szCs w:val="21"/>
                <w:highlight w:val="none"/>
                <w:lang w:val="en-US" w:eastAsia="zh-CN"/>
              </w:rPr>
              <w:t>；4#锅炉烟气经电袋复合除尘+低氮燃烧+SNCR脱硝+半干法烟气循环流化床脱硫工艺处理后通过155m高烟囱排放；</w:t>
            </w:r>
            <w:r>
              <w:rPr>
                <w:rFonts w:hint="eastAsia" w:ascii="Times New Roman" w:hAnsi="Times New Roman" w:eastAsia="宋体" w:cs="Times New Roman"/>
                <w:color w:val="FF0000"/>
                <w:sz w:val="21"/>
                <w:szCs w:val="21"/>
                <w:highlight w:val="none"/>
                <w:lang w:val="en-US" w:eastAsia="zh-CN"/>
              </w:rPr>
              <w:t>3#锅炉烟气经电袋复合除尘+炉内喷钙+SNCR脱硝处理后与4#锅炉经过同一根155m高烟囱排放，每台锅炉安装</w:t>
            </w:r>
            <w:r>
              <w:rPr>
                <w:rFonts w:hint="default" w:ascii="Times New Roman" w:hAnsi="Times New Roman" w:eastAsia="宋体" w:cs="Times New Roman"/>
                <w:snapToGrid w:val="0"/>
                <w:color w:val="FF0000"/>
                <w:sz w:val="21"/>
                <w:szCs w:val="21"/>
                <w:highlight w:val="none"/>
              </w:rPr>
              <w:t>固定的连续在线监测装置，</w:t>
            </w:r>
            <w:r>
              <w:rPr>
                <w:rFonts w:hint="default" w:ascii="Times New Roman" w:hAnsi="Times New Roman" w:eastAsia="宋体" w:cs="Times New Roman"/>
                <w:snapToGrid w:val="0"/>
                <w:color w:val="auto"/>
                <w:sz w:val="21"/>
                <w:szCs w:val="21"/>
                <w:highlight w:val="none"/>
              </w:rPr>
              <w:t>用来监测烟气中颗粒物、SO</w:t>
            </w:r>
            <w:r>
              <w:rPr>
                <w:rFonts w:hint="default" w:ascii="Times New Roman" w:hAnsi="Times New Roman" w:eastAsia="宋体" w:cs="Times New Roman"/>
                <w:snapToGrid w:val="0"/>
                <w:color w:val="auto"/>
                <w:sz w:val="21"/>
                <w:szCs w:val="21"/>
                <w:highlight w:val="none"/>
                <w:vertAlign w:val="subscript"/>
              </w:rPr>
              <w:t>2</w:t>
            </w:r>
            <w:r>
              <w:rPr>
                <w:rFonts w:hint="default" w:ascii="Times New Roman" w:hAnsi="Times New Roman" w:eastAsia="宋体" w:cs="Times New Roman"/>
                <w:snapToGrid w:val="0"/>
                <w:color w:val="auto"/>
                <w:sz w:val="21"/>
                <w:szCs w:val="21"/>
                <w:highlight w:val="none"/>
              </w:rPr>
              <w:t>、NO</w:t>
            </w:r>
            <w:r>
              <w:rPr>
                <w:rFonts w:hint="default" w:ascii="Times New Roman" w:hAnsi="Times New Roman" w:eastAsia="宋体" w:cs="Times New Roman"/>
                <w:snapToGrid w:val="0"/>
                <w:color w:val="auto"/>
                <w:sz w:val="21"/>
                <w:szCs w:val="21"/>
                <w:highlight w:val="none"/>
                <w:vertAlign w:val="subscript"/>
              </w:rPr>
              <w:t>X</w:t>
            </w:r>
            <w:r>
              <w:rPr>
                <w:rFonts w:hint="default" w:ascii="Times New Roman" w:hAnsi="Times New Roman" w:eastAsia="宋体" w:cs="Times New Roman"/>
                <w:snapToGrid w:val="0"/>
                <w:color w:val="auto"/>
                <w:sz w:val="21"/>
                <w:szCs w:val="21"/>
                <w:highlight w:val="none"/>
              </w:rPr>
              <w:t>排放浓度。</w:t>
            </w:r>
            <w:r>
              <w:rPr>
                <w:rFonts w:hint="default" w:ascii="Times New Roman" w:hAnsi="Times New Roman" w:eastAsia="宋体" w:cs="Times New Roman"/>
                <w:snapToGrid w:val="0"/>
                <w:color w:val="auto"/>
                <w:sz w:val="21"/>
                <w:szCs w:val="21"/>
                <w:highlight w:val="none"/>
                <w:lang w:val="en-US" w:eastAsia="zh-CN"/>
              </w:rPr>
              <w:t>在线监测设备均与</w:t>
            </w:r>
            <w:r>
              <w:rPr>
                <w:rFonts w:hint="eastAsia" w:ascii="Times New Roman" w:hAnsi="Times New Roman" w:eastAsia="宋体" w:cs="Times New Roman"/>
                <w:snapToGrid w:val="0"/>
                <w:color w:val="auto"/>
                <w:sz w:val="21"/>
                <w:szCs w:val="21"/>
                <w:highlight w:val="none"/>
                <w:lang w:val="en-US" w:eastAsia="zh-CN"/>
              </w:rPr>
              <w:t>佳木斯市生态环境局</w:t>
            </w:r>
            <w:r>
              <w:rPr>
                <w:rFonts w:hint="default" w:ascii="Times New Roman" w:hAnsi="Times New Roman" w:eastAsia="宋体" w:cs="Times New Roman"/>
                <w:snapToGrid w:val="0"/>
                <w:color w:val="auto"/>
                <w:sz w:val="21"/>
                <w:szCs w:val="21"/>
                <w:highlight w:val="none"/>
                <w:lang w:val="en-US" w:eastAsia="zh-CN"/>
              </w:rPr>
              <w:t>联网</w:t>
            </w:r>
            <w:r>
              <w:rPr>
                <w:rFonts w:hint="default" w:ascii="Times New Roman" w:hAnsi="Times New Roman" w:eastAsia="宋体" w:cs="Times New Roman"/>
                <w:snapToGrid w:val="0"/>
                <w:color w:val="auto"/>
                <w:sz w:val="21"/>
                <w:szCs w:val="21"/>
                <w:highlight w:val="none"/>
              </w:rPr>
              <w:t>。</w:t>
            </w:r>
            <w:r>
              <w:rPr>
                <w:rFonts w:hint="default" w:ascii="Times New Roman" w:hAnsi="Times New Roman" w:eastAsia="宋体" w:cs="Times New Roman"/>
                <w:snapToGrid w:val="0"/>
                <w:color w:val="auto"/>
                <w:sz w:val="21"/>
                <w:szCs w:val="21"/>
                <w:highlight w:val="none"/>
                <w:lang w:val="en-US" w:eastAsia="zh-CN"/>
              </w:rPr>
              <w:t>碎煤机室全封闭</w:t>
            </w:r>
            <w:r>
              <w:rPr>
                <w:rFonts w:hint="eastAsia" w:ascii="Times New Roman" w:hAnsi="Times New Roman" w:eastAsia="宋体" w:cs="Times New Roman"/>
                <w:snapToGrid w:val="0"/>
                <w:color w:val="auto"/>
                <w:sz w:val="21"/>
                <w:szCs w:val="21"/>
                <w:highlight w:val="none"/>
                <w:lang w:val="en-US" w:eastAsia="zh-CN"/>
              </w:rPr>
              <w:t>，</w:t>
            </w:r>
            <w:r>
              <w:rPr>
                <w:rFonts w:hint="default" w:ascii="Times New Roman" w:hAnsi="Times New Roman" w:eastAsia="宋体" w:cs="Times New Roman"/>
                <w:snapToGrid w:val="0"/>
                <w:color w:val="auto"/>
                <w:sz w:val="21"/>
                <w:szCs w:val="21"/>
                <w:highlight w:val="none"/>
                <w:lang w:val="en-US" w:eastAsia="zh-CN"/>
              </w:rPr>
              <w:t>输煤栈桥采用全封闭布置，采用钢筋混凝土基础砖墙围护，预制盖板封顶并上铺彩钢瓦，窗采用塑钢窗</w:t>
            </w:r>
            <w:r>
              <w:rPr>
                <w:rFonts w:hint="eastAsia" w:ascii="Times New Roman" w:hAnsi="Times New Roman" w:eastAsia="宋体" w:cs="Times New Roman"/>
                <w:snapToGrid w:val="0"/>
                <w:color w:val="auto"/>
                <w:sz w:val="21"/>
                <w:szCs w:val="21"/>
                <w:highlight w:val="none"/>
                <w:lang w:val="en-US" w:eastAsia="zh-CN"/>
              </w:rPr>
              <w:t>。储煤场围墙上</w:t>
            </w:r>
            <w:r>
              <w:rPr>
                <w:rFonts w:hint="default" w:ascii="Times New Roman" w:hAnsi="Times New Roman" w:eastAsia="宋体" w:cs="Times New Roman"/>
                <w:snapToGrid w:val="0"/>
                <w:color w:val="auto"/>
                <w:sz w:val="21"/>
                <w:szCs w:val="21"/>
                <w:highlight w:val="none"/>
                <w:lang w:val="en-US" w:eastAsia="zh-CN"/>
              </w:rPr>
              <w:t>设置防风抑尘网，</w:t>
            </w:r>
            <w:r>
              <w:rPr>
                <w:rFonts w:hint="eastAsia" w:ascii="Times New Roman" w:hAnsi="Times New Roman" w:eastAsia="宋体" w:cs="Times New Roman"/>
                <w:snapToGrid w:val="0"/>
                <w:color w:val="auto"/>
                <w:sz w:val="21"/>
                <w:szCs w:val="21"/>
                <w:highlight w:val="none"/>
                <w:lang w:val="en-US" w:eastAsia="zh-CN"/>
              </w:rPr>
              <w:t>不装卸时用篷布覆盖，</w:t>
            </w:r>
            <w:r>
              <w:rPr>
                <w:rFonts w:hint="default" w:ascii="Times New Roman" w:hAnsi="Times New Roman" w:eastAsia="宋体" w:cs="Times New Roman"/>
                <w:snapToGrid w:val="0"/>
                <w:color w:val="auto"/>
                <w:sz w:val="21"/>
                <w:szCs w:val="21"/>
                <w:highlight w:val="none"/>
                <w:lang w:val="en-US" w:eastAsia="zh-CN"/>
              </w:rPr>
              <w:t>定期洒水降尘。</w:t>
            </w:r>
          </w:p>
        </w:tc>
      </w:tr>
      <w:tr w14:paraId="3C7C47C8">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90" w:hRule="atLeast"/>
          <w:jc w:val="center"/>
        </w:trPr>
        <w:tc>
          <w:tcPr>
            <w:tcW w:w="742" w:type="dxa"/>
            <w:vMerge w:val="continue"/>
          </w:tcPr>
          <w:p w14:paraId="18D3EBD0">
            <w:pPr>
              <w:pStyle w:val="63"/>
              <w:rPr>
                <w:rFonts w:hint="default" w:ascii="Times New Roman" w:hAnsi="Times New Roman" w:eastAsia="宋体" w:cs="Times New Roman"/>
                <w:color w:val="auto"/>
                <w:sz w:val="21"/>
                <w:szCs w:val="21"/>
                <w:highlight w:val="none"/>
                <w:lang w:val="en-US" w:eastAsia="zh-CN"/>
              </w:rPr>
            </w:pPr>
          </w:p>
        </w:tc>
        <w:tc>
          <w:tcPr>
            <w:tcW w:w="1428" w:type="dxa"/>
            <w:vAlign w:val="center"/>
          </w:tcPr>
          <w:p w14:paraId="1526B4AB">
            <w:pPr>
              <w:pStyle w:val="63"/>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废水</w:t>
            </w:r>
          </w:p>
        </w:tc>
        <w:tc>
          <w:tcPr>
            <w:tcW w:w="7118" w:type="dxa"/>
            <w:vAlign w:val="center"/>
          </w:tcPr>
          <w:p w14:paraId="68CB1F15">
            <w:pPr>
              <w:pStyle w:val="74"/>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生产废水</w:t>
            </w:r>
            <w:r>
              <w:rPr>
                <w:rFonts w:hint="eastAsia" w:hAnsi="Times New Roman" w:cs="Times New Roman"/>
                <w:color w:val="auto"/>
                <w:sz w:val="21"/>
                <w:szCs w:val="21"/>
                <w:highlight w:val="none"/>
                <w:lang w:val="en-US" w:eastAsia="zh-CN"/>
              </w:rPr>
              <w:t>全部回用，锅炉用水来自佳木斯中恒热电有限公司主热源现有制、补水系统，</w:t>
            </w:r>
            <w:r>
              <w:rPr>
                <w:rFonts w:hint="default" w:ascii="Times New Roman" w:hAnsi="Times New Roman" w:eastAsia="宋体" w:cs="Times New Roman"/>
                <w:color w:val="auto"/>
                <w:sz w:val="21"/>
                <w:szCs w:val="21"/>
                <w:highlight w:val="none"/>
                <w:lang w:val="en-US" w:eastAsia="zh-CN"/>
              </w:rPr>
              <w:t>锅炉排污水</w:t>
            </w:r>
            <w:r>
              <w:rPr>
                <w:rFonts w:hint="eastAsia" w:hAnsi="Times New Roman" w:cs="Times New Roman"/>
                <w:color w:val="auto"/>
                <w:sz w:val="21"/>
                <w:szCs w:val="21"/>
                <w:highlight w:val="none"/>
                <w:lang w:val="en-US" w:eastAsia="zh-CN"/>
              </w:rPr>
              <w:t>用于灰渣加湿回用</w:t>
            </w:r>
            <w:r>
              <w:rPr>
                <w:rFonts w:hint="default" w:ascii="Times New Roman" w:hAnsi="Times New Roman" w:eastAsia="宋体" w:cs="Times New Roman"/>
                <w:color w:val="auto"/>
                <w:sz w:val="21"/>
                <w:szCs w:val="21"/>
                <w:highlight w:val="none"/>
                <w:lang w:val="en-US" w:eastAsia="zh-CN"/>
              </w:rPr>
              <w:t>，不外排。生活污水</w:t>
            </w:r>
            <w:r>
              <w:rPr>
                <w:rFonts w:hint="eastAsia" w:hAnsi="Times New Roman" w:cs="Times New Roman"/>
                <w:color w:val="auto"/>
                <w:sz w:val="21"/>
                <w:szCs w:val="21"/>
                <w:highlight w:val="none"/>
                <w:lang w:val="en-US" w:eastAsia="zh-CN"/>
              </w:rPr>
              <w:t>通过</w:t>
            </w:r>
            <w:r>
              <w:rPr>
                <w:rFonts w:hint="default" w:ascii="Times New Roman" w:hAnsi="Times New Roman" w:eastAsia="宋体" w:cs="Times New Roman"/>
                <w:color w:val="auto"/>
                <w:sz w:val="21"/>
                <w:szCs w:val="21"/>
                <w:highlight w:val="none"/>
                <w:lang w:val="en-US" w:eastAsia="zh-CN"/>
              </w:rPr>
              <w:t>市政污水管网</w:t>
            </w:r>
            <w:r>
              <w:rPr>
                <w:rFonts w:hint="eastAsia" w:hAnsi="Times New Roman" w:cs="Times New Roman"/>
                <w:color w:val="auto"/>
                <w:sz w:val="21"/>
                <w:szCs w:val="21"/>
                <w:highlight w:val="none"/>
                <w:lang w:val="en-US" w:eastAsia="zh-CN"/>
              </w:rPr>
              <w:t>进入佳木斯西区污水处理厂</w:t>
            </w:r>
            <w:r>
              <w:rPr>
                <w:rFonts w:hint="default" w:ascii="Times New Roman" w:hAnsi="Times New Roman" w:eastAsia="宋体" w:cs="Times New Roman"/>
                <w:color w:val="auto"/>
                <w:sz w:val="21"/>
                <w:szCs w:val="21"/>
                <w:highlight w:val="none"/>
                <w:lang w:val="en-US" w:eastAsia="zh-CN"/>
              </w:rPr>
              <w:t>，达标</w:t>
            </w:r>
            <w:r>
              <w:rPr>
                <w:rFonts w:hint="eastAsia" w:hAnsi="Times New Roman" w:cs="Times New Roman"/>
                <w:color w:val="auto"/>
                <w:sz w:val="21"/>
                <w:szCs w:val="21"/>
                <w:highlight w:val="none"/>
                <w:lang w:val="en-US" w:eastAsia="zh-CN"/>
              </w:rPr>
              <w:t>后</w:t>
            </w:r>
            <w:r>
              <w:rPr>
                <w:rFonts w:hint="default" w:ascii="Times New Roman" w:hAnsi="Times New Roman" w:eastAsia="宋体" w:cs="Times New Roman"/>
                <w:color w:val="auto"/>
                <w:sz w:val="21"/>
                <w:szCs w:val="21"/>
                <w:highlight w:val="none"/>
                <w:lang w:val="en-US" w:eastAsia="zh-CN"/>
              </w:rPr>
              <w:t>排入</w:t>
            </w:r>
            <w:r>
              <w:rPr>
                <w:rFonts w:hint="eastAsia" w:hAnsi="Times New Roman" w:cs="Times New Roman"/>
                <w:color w:val="auto"/>
                <w:sz w:val="21"/>
                <w:szCs w:val="21"/>
                <w:highlight w:val="none"/>
                <w:lang w:val="en-US" w:eastAsia="zh-CN"/>
              </w:rPr>
              <w:t>松花江</w:t>
            </w:r>
            <w:r>
              <w:rPr>
                <w:rFonts w:hint="default" w:ascii="Times New Roman" w:hAnsi="Times New Roman" w:eastAsia="宋体" w:cs="Times New Roman"/>
                <w:color w:val="auto"/>
                <w:sz w:val="21"/>
                <w:szCs w:val="21"/>
                <w:highlight w:val="none"/>
                <w:lang w:val="en-US" w:eastAsia="zh-CN"/>
              </w:rPr>
              <w:t>。</w:t>
            </w:r>
          </w:p>
        </w:tc>
      </w:tr>
      <w:tr w14:paraId="09D3F9D9">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jc w:val="center"/>
        </w:trPr>
        <w:tc>
          <w:tcPr>
            <w:tcW w:w="742" w:type="dxa"/>
            <w:vMerge w:val="continue"/>
          </w:tcPr>
          <w:p w14:paraId="174ED704">
            <w:pPr>
              <w:pStyle w:val="63"/>
              <w:rPr>
                <w:rFonts w:hint="default" w:ascii="Times New Roman" w:hAnsi="Times New Roman" w:eastAsia="宋体" w:cs="Times New Roman"/>
                <w:color w:val="auto"/>
                <w:sz w:val="21"/>
                <w:szCs w:val="21"/>
                <w:highlight w:val="none"/>
                <w:lang w:val="en-US" w:eastAsia="zh-CN"/>
              </w:rPr>
            </w:pPr>
          </w:p>
        </w:tc>
        <w:tc>
          <w:tcPr>
            <w:tcW w:w="1428" w:type="dxa"/>
            <w:vAlign w:val="center"/>
          </w:tcPr>
          <w:p w14:paraId="2AA2201D">
            <w:pPr>
              <w:pStyle w:val="74"/>
              <w:keepNext w:val="0"/>
              <w:keepLines w:val="0"/>
              <w:pageBreakBefore w:val="0"/>
              <w:kinsoku/>
              <w:wordWrap/>
              <w:overflowPunct/>
              <w:topLinePunct w:val="0"/>
              <w:bidi w:val="0"/>
              <w:adjustRightInd/>
              <w:snapToGrid/>
              <w:spacing w:line="240" w:lineRule="auto"/>
              <w:ind w:firstLine="0" w:firstLineChars="0"/>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sz w:val="21"/>
                <w:szCs w:val="21"/>
                <w:highlight w:val="none"/>
              </w:rPr>
              <w:t>噪声</w:t>
            </w:r>
          </w:p>
        </w:tc>
        <w:tc>
          <w:tcPr>
            <w:tcW w:w="7118" w:type="dxa"/>
            <w:vAlign w:val="center"/>
          </w:tcPr>
          <w:p w14:paraId="1E39CC1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现有工程主要噪声源为锅炉风机、碎煤机、水泵等设备运转时产生的噪声。采取设备间隔声，基础减</w:t>
            </w:r>
            <w:r>
              <w:rPr>
                <w:rFonts w:hint="eastAsia" w:ascii="Times New Roman" w:hAnsi="Times New Roman" w:eastAsia="宋体" w:cs="Times New Roman"/>
                <w:color w:val="auto"/>
                <w:sz w:val="21"/>
                <w:szCs w:val="21"/>
                <w:highlight w:val="none"/>
                <w:lang w:eastAsia="zh-CN"/>
              </w:rPr>
              <w:t>振</w:t>
            </w:r>
            <w:r>
              <w:rPr>
                <w:rFonts w:hint="default" w:ascii="Times New Roman" w:hAnsi="Times New Roman" w:eastAsia="宋体" w:cs="Times New Roman"/>
                <w:color w:val="auto"/>
                <w:sz w:val="21"/>
                <w:szCs w:val="21"/>
                <w:highlight w:val="none"/>
                <w:lang w:eastAsia="zh-CN"/>
              </w:rPr>
              <w:t>，安装低噪声设备、安装风机管道消声器，加隔音罩等措施降噪。</w:t>
            </w:r>
          </w:p>
        </w:tc>
      </w:tr>
      <w:tr w14:paraId="675C3314">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jc w:val="center"/>
        </w:trPr>
        <w:tc>
          <w:tcPr>
            <w:tcW w:w="742" w:type="dxa"/>
            <w:vMerge w:val="continue"/>
          </w:tcPr>
          <w:p w14:paraId="6B5E757A">
            <w:pPr>
              <w:pStyle w:val="63"/>
              <w:rPr>
                <w:rFonts w:hint="default" w:ascii="Times New Roman" w:hAnsi="Times New Roman" w:eastAsia="宋体" w:cs="Times New Roman"/>
                <w:color w:val="auto"/>
                <w:sz w:val="21"/>
                <w:szCs w:val="21"/>
                <w:highlight w:val="none"/>
                <w:lang w:val="en-US" w:eastAsia="zh-CN"/>
              </w:rPr>
            </w:pPr>
          </w:p>
        </w:tc>
        <w:tc>
          <w:tcPr>
            <w:tcW w:w="1428" w:type="dxa"/>
            <w:vAlign w:val="center"/>
          </w:tcPr>
          <w:p w14:paraId="59434E67">
            <w:pPr>
              <w:pStyle w:val="74"/>
              <w:keepNext w:val="0"/>
              <w:keepLines w:val="0"/>
              <w:pageBreakBefore w:val="0"/>
              <w:kinsoku/>
              <w:wordWrap/>
              <w:overflowPunct/>
              <w:topLinePunct w:val="0"/>
              <w:bidi w:val="0"/>
              <w:adjustRightInd/>
              <w:snapToGrid/>
              <w:spacing w:line="240" w:lineRule="auto"/>
              <w:ind w:firstLine="0" w:firstLineChars="0"/>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sz w:val="21"/>
                <w:szCs w:val="21"/>
                <w:highlight w:val="none"/>
              </w:rPr>
              <w:t>固体废物</w:t>
            </w:r>
          </w:p>
        </w:tc>
        <w:tc>
          <w:tcPr>
            <w:tcW w:w="7118" w:type="dxa"/>
            <w:vAlign w:val="center"/>
          </w:tcPr>
          <w:p w14:paraId="5E3F5244">
            <w:pPr>
              <w:pStyle w:val="74"/>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snapToGrid w:val="0"/>
                <w:color w:val="auto"/>
                <w:kern w:val="2"/>
                <w:sz w:val="21"/>
                <w:szCs w:val="21"/>
                <w:highlight w:val="none"/>
                <w:lang w:val="en-US" w:eastAsia="zh-CN" w:bidi="ar-SA"/>
              </w:rPr>
            </w:pPr>
            <w:r>
              <w:rPr>
                <w:rFonts w:hint="eastAsia" w:hAnsi="Times New Roman" w:cs="Times New Roman"/>
                <w:color w:val="auto"/>
                <w:sz w:val="21"/>
                <w:szCs w:val="21"/>
                <w:highlight w:val="none"/>
                <w:lang w:val="en-US" w:eastAsia="zh-CN"/>
              </w:rPr>
              <w:t>现有工程</w:t>
            </w:r>
            <w:r>
              <w:rPr>
                <w:rFonts w:hint="default" w:ascii="Times New Roman" w:hAnsi="Times New Roman" w:eastAsia="宋体" w:cs="Times New Roman"/>
                <w:color w:val="auto"/>
                <w:sz w:val="21"/>
                <w:szCs w:val="21"/>
                <w:highlight w:val="none"/>
                <w:lang w:val="en-US" w:eastAsia="zh-CN"/>
              </w:rPr>
              <w:t>锅炉</w:t>
            </w:r>
            <w:r>
              <w:rPr>
                <w:rFonts w:hint="eastAsia" w:hAnsi="Times New Roman" w:cs="Times New Roman"/>
                <w:color w:val="auto"/>
                <w:sz w:val="21"/>
                <w:szCs w:val="21"/>
                <w:highlight w:val="none"/>
                <w:lang w:val="en-US" w:eastAsia="zh-CN"/>
              </w:rPr>
              <w:t>产生的灰渣（含脱硫副产物）</w:t>
            </w:r>
            <w:r>
              <w:rPr>
                <w:rFonts w:hint="default" w:ascii="Times New Roman" w:hAnsi="Times New Roman" w:eastAsia="宋体" w:cs="Times New Roman"/>
                <w:color w:val="auto"/>
                <w:sz w:val="21"/>
                <w:szCs w:val="21"/>
                <w:highlight w:val="none"/>
                <w:lang w:val="en-US" w:eastAsia="zh-CN"/>
              </w:rPr>
              <w:t>外售</w:t>
            </w:r>
            <w:r>
              <w:rPr>
                <w:rFonts w:hint="eastAsia" w:hAnsi="Times New Roman" w:cs="Times New Roman"/>
                <w:color w:val="auto"/>
                <w:sz w:val="21"/>
                <w:szCs w:val="21"/>
                <w:highlight w:val="none"/>
                <w:lang w:val="en-US" w:eastAsia="zh-CN"/>
              </w:rPr>
              <w:t>佳木斯北方奥特建材有限公司</w:t>
            </w:r>
            <w:r>
              <w:rPr>
                <w:rFonts w:hint="default" w:ascii="Times New Roman" w:hAnsi="Times New Roman" w:eastAsia="宋体" w:cs="Times New Roman"/>
                <w:color w:val="auto"/>
                <w:sz w:val="21"/>
                <w:szCs w:val="21"/>
                <w:highlight w:val="none"/>
              </w:rPr>
              <w:t>综合利用</w:t>
            </w:r>
            <w:r>
              <w:rPr>
                <w:rFonts w:hint="default" w:ascii="Times New Roman" w:hAnsi="Times New Roman" w:eastAsia="宋体" w:cs="Times New Roman"/>
                <w:color w:val="auto"/>
                <w:sz w:val="21"/>
                <w:szCs w:val="21"/>
                <w:highlight w:val="none"/>
                <w:lang w:val="en-US" w:eastAsia="zh-CN"/>
              </w:rPr>
              <w:t>；</w:t>
            </w:r>
            <w:r>
              <w:rPr>
                <w:rFonts w:hint="eastAsia" w:hAnsi="Times New Roman" w:cs="Times New Roman"/>
                <w:color w:val="auto"/>
                <w:sz w:val="21"/>
                <w:szCs w:val="21"/>
                <w:highlight w:val="none"/>
                <w:lang w:val="en-US" w:eastAsia="zh-CN"/>
              </w:rPr>
              <w:t>职工生活垃圾交由市政部门统一处理，</w:t>
            </w:r>
            <w:r>
              <w:rPr>
                <w:rFonts w:hint="default" w:ascii="Times New Roman" w:hAnsi="Times New Roman" w:eastAsia="宋体" w:cs="Times New Roman"/>
                <w:color w:val="auto"/>
                <w:sz w:val="21"/>
                <w:szCs w:val="21"/>
                <w:highlight w:val="none"/>
                <w:lang w:val="en-US" w:eastAsia="zh-CN"/>
              </w:rPr>
              <w:t>废布袋由厂家</w:t>
            </w:r>
            <w:r>
              <w:rPr>
                <w:rFonts w:hint="eastAsia" w:ascii="Times New Roman" w:hAnsi="Times New Roman" w:eastAsia="宋体" w:cs="Times New Roman"/>
                <w:color w:val="auto"/>
                <w:sz w:val="21"/>
                <w:szCs w:val="21"/>
                <w:highlight w:val="none"/>
                <w:lang w:val="en-US" w:eastAsia="zh-CN"/>
              </w:rPr>
              <w:t>定期更换后</w:t>
            </w:r>
            <w:r>
              <w:rPr>
                <w:rFonts w:hint="default" w:ascii="Times New Roman" w:hAnsi="Times New Roman" w:eastAsia="宋体" w:cs="Times New Roman"/>
                <w:color w:val="auto"/>
                <w:sz w:val="21"/>
                <w:szCs w:val="21"/>
                <w:highlight w:val="none"/>
                <w:lang w:val="en-US" w:eastAsia="zh-CN"/>
              </w:rPr>
              <w:t>回收</w:t>
            </w:r>
            <w:r>
              <w:rPr>
                <w:rFonts w:hint="eastAsia" w:ascii="Times New Roman" w:hAnsi="Times New Roman" w:eastAsia="宋体" w:cs="Times New Roman"/>
                <w:color w:val="auto"/>
                <w:sz w:val="21"/>
                <w:szCs w:val="21"/>
                <w:highlight w:val="none"/>
                <w:lang w:val="en-US" w:eastAsia="zh-CN"/>
              </w:rPr>
              <w:t>处理</w:t>
            </w:r>
            <w:r>
              <w:rPr>
                <w:rFonts w:hint="eastAsia" w:hAnsi="Times New Roman" w:cs="Times New Roman"/>
                <w:color w:val="auto"/>
                <w:sz w:val="21"/>
                <w:szCs w:val="21"/>
                <w:highlight w:val="none"/>
                <w:lang w:val="en-US" w:eastAsia="zh-CN"/>
              </w:rPr>
              <w:t>；废机油暂存于危废贮存库，定期委托佳木斯大江环境治理有限公司处置</w:t>
            </w:r>
            <w:r>
              <w:rPr>
                <w:rFonts w:hint="default" w:ascii="Times New Roman" w:hAnsi="Times New Roman" w:eastAsia="宋体" w:cs="Times New Roman"/>
                <w:color w:val="auto"/>
                <w:sz w:val="21"/>
                <w:szCs w:val="21"/>
                <w:highlight w:val="none"/>
                <w:lang w:val="en-US" w:eastAsia="zh-CN"/>
              </w:rPr>
              <w:t>。</w:t>
            </w:r>
          </w:p>
        </w:tc>
      </w:tr>
      <w:tr w14:paraId="1F5037FF">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jc w:val="center"/>
        </w:trPr>
        <w:tc>
          <w:tcPr>
            <w:tcW w:w="742" w:type="dxa"/>
            <w:vMerge w:val="continue"/>
          </w:tcPr>
          <w:p w14:paraId="34FC474E">
            <w:pPr>
              <w:pStyle w:val="63"/>
              <w:rPr>
                <w:rFonts w:hint="default" w:ascii="Times New Roman" w:hAnsi="Times New Roman" w:eastAsia="宋体" w:cs="Times New Roman"/>
                <w:color w:val="auto"/>
                <w:sz w:val="21"/>
                <w:szCs w:val="21"/>
                <w:highlight w:val="none"/>
                <w:lang w:val="en-US" w:eastAsia="zh-CN"/>
              </w:rPr>
            </w:pPr>
          </w:p>
        </w:tc>
        <w:tc>
          <w:tcPr>
            <w:tcW w:w="1428" w:type="dxa"/>
            <w:vAlign w:val="center"/>
          </w:tcPr>
          <w:p w14:paraId="3CA24F57">
            <w:pPr>
              <w:pStyle w:val="74"/>
              <w:keepNext w:val="0"/>
              <w:keepLines w:val="0"/>
              <w:pageBreakBefore w:val="0"/>
              <w:kinsoku/>
              <w:wordWrap/>
              <w:overflowPunct/>
              <w:topLinePunct w:val="0"/>
              <w:bidi w:val="0"/>
              <w:adjustRightInd/>
              <w:snapToGrid/>
              <w:spacing w:line="240" w:lineRule="auto"/>
              <w:ind w:firstLine="0" w:firstLineChars="0"/>
              <w:rPr>
                <w:rFonts w:hint="default" w:ascii="Times New Roman" w:hAnsi="Times New Roman" w:eastAsia="宋体" w:cs="Times New Roman"/>
                <w:snapToGrid w:val="0"/>
                <w:color w:val="FF0000"/>
                <w:kern w:val="2"/>
                <w:sz w:val="21"/>
                <w:szCs w:val="21"/>
                <w:highlight w:val="none"/>
                <w:lang w:val="en-US" w:eastAsia="zh-CN" w:bidi="ar-SA"/>
              </w:rPr>
            </w:pPr>
            <w:r>
              <w:rPr>
                <w:rFonts w:hint="default" w:ascii="Times New Roman" w:hAnsi="Times New Roman" w:eastAsia="宋体" w:cs="Times New Roman"/>
                <w:snapToGrid w:val="0"/>
                <w:color w:val="FF0000"/>
                <w:sz w:val="21"/>
                <w:szCs w:val="21"/>
                <w:highlight w:val="none"/>
                <w:lang w:val="en-US" w:eastAsia="zh-CN"/>
              </w:rPr>
              <w:t>地下水污染防治措施</w:t>
            </w:r>
          </w:p>
        </w:tc>
        <w:tc>
          <w:tcPr>
            <w:tcW w:w="7118" w:type="dxa"/>
            <w:vAlign w:val="center"/>
          </w:tcPr>
          <w:p w14:paraId="00E4307B">
            <w:pPr>
              <w:pStyle w:val="74"/>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FF0000"/>
                <w:kern w:val="2"/>
                <w:sz w:val="21"/>
                <w:szCs w:val="21"/>
                <w:highlight w:val="none"/>
                <w:lang w:val="en-US" w:eastAsia="zh-CN" w:bidi="ar-SA"/>
              </w:rPr>
            </w:pPr>
            <w:r>
              <w:rPr>
                <w:rFonts w:hint="eastAsia" w:hAnsi="Times New Roman" w:cs="Times New Roman"/>
                <w:color w:val="FF0000"/>
                <w:spacing w:val="0"/>
                <w:kern w:val="2"/>
                <w:sz w:val="21"/>
                <w:szCs w:val="21"/>
                <w:highlight w:val="none"/>
                <w:lang w:val="en-US" w:eastAsia="zh-CN"/>
              </w:rPr>
              <w:t>危废贮存库、升压站的事故油池为重点防渗区，采用1.5mm厚土工膜+250mm抗渗混凝土进行防渗处理；储煤场、污水处理间、化学水处理间、锅炉房、汽机间、升压站、冷却塔、初期雨水收集池为一般防渗，地面采用抗渗混凝土进行防渗；</w:t>
            </w:r>
            <w:r>
              <w:rPr>
                <w:rFonts w:hint="default" w:ascii="Times New Roman" w:hAnsi="Times New Roman" w:eastAsia="宋体" w:cs="Times New Roman"/>
                <w:color w:val="FF0000"/>
                <w:spacing w:val="0"/>
                <w:kern w:val="2"/>
                <w:sz w:val="21"/>
                <w:szCs w:val="21"/>
                <w:highlight w:val="none"/>
                <w:lang w:val="en-US" w:eastAsia="zh-CN"/>
              </w:rPr>
              <w:t>厂区道路</w:t>
            </w:r>
            <w:r>
              <w:rPr>
                <w:rFonts w:hint="eastAsia" w:hAnsi="Times New Roman" w:cs="Times New Roman"/>
                <w:color w:val="FF0000"/>
                <w:spacing w:val="0"/>
                <w:kern w:val="2"/>
                <w:sz w:val="21"/>
                <w:szCs w:val="21"/>
                <w:highlight w:val="none"/>
                <w:lang w:val="en-US" w:eastAsia="zh-CN"/>
              </w:rPr>
              <w:t>为简单防渗区，</w:t>
            </w:r>
            <w:r>
              <w:rPr>
                <w:rFonts w:hint="default" w:ascii="Times New Roman" w:hAnsi="Times New Roman" w:eastAsia="宋体" w:cs="Times New Roman"/>
                <w:color w:val="FF0000"/>
                <w:spacing w:val="0"/>
                <w:kern w:val="2"/>
                <w:sz w:val="21"/>
                <w:szCs w:val="21"/>
                <w:highlight w:val="none"/>
                <w:lang w:val="en-US" w:eastAsia="zh-CN"/>
              </w:rPr>
              <w:t>采取水泥地面硬化的防渗措施</w:t>
            </w:r>
            <w:r>
              <w:rPr>
                <w:rFonts w:hint="eastAsia" w:hAnsi="Times New Roman" w:cs="Times New Roman"/>
                <w:color w:val="FF0000"/>
                <w:spacing w:val="0"/>
                <w:kern w:val="2"/>
                <w:sz w:val="21"/>
                <w:szCs w:val="21"/>
                <w:highlight w:val="none"/>
                <w:lang w:val="en-US" w:eastAsia="zh-CN"/>
              </w:rPr>
              <w:t>。</w:t>
            </w:r>
          </w:p>
        </w:tc>
      </w:tr>
    </w:tbl>
    <w:p w14:paraId="00ED1B92">
      <w:pPr>
        <w:pStyle w:val="6"/>
        <w:keepNext/>
        <w:keepLines/>
        <w:pageBreakBefore w:val="0"/>
        <w:widowControl w:val="0"/>
        <w:numPr>
          <w:ilvl w:val="2"/>
          <w:numId w:val="3"/>
        </w:numPr>
        <w:kinsoku/>
        <w:wordWrap/>
        <w:overflowPunct/>
        <w:topLinePunct w:val="0"/>
        <w:autoSpaceDE/>
        <w:autoSpaceDN/>
        <w:bidi w:val="0"/>
        <w:adjustRightInd/>
        <w:snapToGrid/>
        <w:spacing w:before="157" w:beforeLines="50" w:after="157" w:afterLines="50" w:line="240" w:lineRule="auto"/>
        <w:ind w:left="709" w:leftChars="0" w:hanging="709" w:firstLineChars="0"/>
        <w:jc w:val="left"/>
        <w:textAlignment w:val="auto"/>
        <w:rPr>
          <w:rFonts w:hint="default" w:ascii="Times New Roman" w:hAnsi="Times New Roman" w:eastAsia="宋体" w:cs="Times New Roman"/>
          <w:b w:val="0"/>
          <w:color w:val="auto"/>
          <w:sz w:val="28"/>
          <w:szCs w:val="28"/>
          <w:highlight w:val="none"/>
          <w:lang w:val="en-US" w:eastAsia="zh-CN"/>
        </w:rPr>
      </w:pPr>
      <w:bookmarkStart w:id="186" w:name="_Toc32238"/>
      <w:bookmarkStart w:id="187" w:name="_Toc11304"/>
      <w:bookmarkStart w:id="188" w:name="_Toc22137"/>
      <w:r>
        <w:rPr>
          <w:rFonts w:hint="default" w:ascii="Times New Roman" w:hAnsi="Times New Roman" w:eastAsia="宋体" w:cs="Times New Roman"/>
          <w:b w:val="0"/>
          <w:color w:val="auto"/>
          <w:sz w:val="28"/>
          <w:szCs w:val="28"/>
          <w:highlight w:val="none"/>
          <w:lang w:val="en-US" w:eastAsia="zh-CN"/>
        </w:rPr>
        <w:t>现有工程环保审批情况</w:t>
      </w:r>
      <w:bookmarkEnd w:id="186"/>
      <w:bookmarkEnd w:id="187"/>
      <w:bookmarkEnd w:id="188"/>
    </w:p>
    <w:p w14:paraId="12101A47">
      <w:pPr>
        <w:pStyle w:val="35"/>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eastAsia"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现有工程</w:t>
      </w:r>
      <w:r>
        <w:rPr>
          <w:rFonts w:hint="default" w:ascii="Times New Roman" w:hAnsi="Times New Roman" w:eastAsia="宋体" w:cs="Times New Roman"/>
          <w:color w:val="auto"/>
          <w:sz w:val="24"/>
          <w:szCs w:val="24"/>
          <w:highlight w:val="none"/>
          <w:lang w:val="en-US" w:eastAsia="zh-CN"/>
        </w:rPr>
        <w:t>环保审批情况</w:t>
      </w:r>
      <w:r>
        <w:rPr>
          <w:rFonts w:hint="default" w:ascii="Times New Roman" w:hAnsi="Times New Roman" w:eastAsia="宋体" w:cs="Times New Roman"/>
          <w:color w:val="auto"/>
          <w:sz w:val="24"/>
          <w:szCs w:val="24"/>
          <w:highlight w:val="none"/>
        </w:rPr>
        <w:t>一览表见下表</w:t>
      </w:r>
      <w:r>
        <w:rPr>
          <w:rFonts w:hint="default" w:ascii="Times New Roman" w:hAnsi="Times New Roman" w:eastAsia="宋体" w:cs="Times New Roman"/>
          <w:color w:val="auto"/>
          <w:sz w:val="24"/>
          <w:szCs w:val="24"/>
          <w:highlight w:val="none"/>
          <w:lang w:val="en-US" w:eastAsia="zh-CN"/>
        </w:rPr>
        <w:t>3.1-</w:t>
      </w:r>
      <w:r>
        <w:rPr>
          <w:rFonts w:hint="eastAsia"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。企业按照</w:t>
      </w:r>
      <w:r>
        <w:rPr>
          <w:rFonts w:hint="default" w:ascii="Times New Roman" w:hAnsi="Times New Roman" w:eastAsia="宋体" w:cs="Times New Roman"/>
          <w:b w:val="0"/>
          <w:bCs/>
          <w:color w:val="auto"/>
          <w:sz w:val="24"/>
          <w:szCs w:val="24"/>
          <w:highlight w:val="none"/>
        </w:rPr>
        <w:t>《火电行业排污许可证申请与核发技术规范》</w:t>
      </w:r>
      <w:r>
        <w:rPr>
          <w:rFonts w:hint="eastAsia" w:cs="Times New Roman"/>
          <w:b w:val="0"/>
          <w:bCs/>
          <w:color w:val="auto"/>
          <w:sz w:val="24"/>
          <w:szCs w:val="24"/>
          <w:highlight w:val="none"/>
          <w:lang w:eastAsia="zh-CN"/>
        </w:rPr>
        <w:t>（</w:t>
      </w:r>
      <w:r>
        <w:rPr>
          <w:rFonts w:hint="default" w:ascii="Times New Roman" w:hAnsi="Times New Roman" w:eastAsia="宋体" w:cs="Times New Roman"/>
          <w:b w:val="0"/>
          <w:bCs/>
          <w:color w:val="auto"/>
          <w:sz w:val="24"/>
          <w:szCs w:val="24"/>
          <w:highlight w:val="none"/>
          <w:lang w:eastAsia="zh-CN"/>
        </w:rPr>
        <w:t>环水体﹝2016﹞189号</w:t>
      </w:r>
      <w:r>
        <w:rPr>
          <w:rFonts w:hint="eastAsia" w:cs="Times New Roman"/>
          <w:b w:val="0"/>
          <w:bCs/>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要求按月、按季、按年填报了排污许可证执行报告</w:t>
      </w:r>
      <w:r>
        <w:rPr>
          <w:rFonts w:hint="eastAsia" w:cs="Times New Roman"/>
          <w:color w:val="auto"/>
          <w:sz w:val="24"/>
          <w:szCs w:val="24"/>
          <w:highlight w:val="none"/>
          <w:lang w:val="en-US" w:eastAsia="zh-CN"/>
        </w:rPr>
        <w:t>。</w:t>
      </w:r>
    </w:p>
    <w:p w14:paraId="6B1BAF02">
      <w:pPr>
        <w:rPr>
          <w:rFonts w:hint="eastAsia" w:cs="Times New Roman"/>
          <w:color w:val="auto"/>
          <w:sz w:val="24"/>
          <w:szCs w:val="24"/>
          <w:highlight w:val="none"/>
          <w:lang w:val="en-US" w:eastAsia="zh-CN"/>
        </w:rPr>
      </w:pPr>
    </w:p>
    <w:p w14:paraId="4EA16ED8">
      <w:pPr>
        <w:rPr>
          <w:rFonts w:hint="default" w:cs="Times New Roman"/>
          <w:color w:val="auto"/>
          <w:sz w:val="24"/>
          <w:szCs w:val="24"/>
          <w:highlight w:val="none"/>
          <w:lang w:val="en-US" w:eastAsia="zh-CN"/>
        </w:rPr>
      </w:pPr>
      <w:r>
        <w:rPr>
          <w:rFonts w:hint="default" w:cs="Times New Roman"/>
          <w:color w:val="auto"/>
          <w:sz w:val="24"/>
          <w:szCs w:val="24"/>
          <w:highlight w:val="none"/>
          <w:lang w:val="en-US" w:eastAsia="zh-CN"/>
        </w:rPr>
        <w:drawing>
          <wp:anchor distT="0" distB="0" distL="114300" distR="114300" simplePos="0" relativeHeight="251738112" behindDoc="0" locked="0" layoutInCell="1" allowOverlap="1">
            <wp:simplePos x="0" y="0"/>
            <wp:positionH relativeFrom="column">
              <wp:posOffset>844550</wp:posOffset>
            </wp:positionH>
            <wp:positionV relativeFrom="paragraph">
              <wp:posOffset>1074420</wp:posOffset>
            </wp:positionV>
            <wp:extent cx="4050030" cy="3587115"/>
            <wp:effectExtent l="0" t="0" r="0" b="0"/>
            <wp:wrapTopAndBottom/>
            <wp:docPr id="39"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40"/>
                    <pic:cNvPicPr>
                      <a:picLocks noChangeAspect="1"/>
                    </pic:cNvPicPr>
                  </pic:nvPicPr>
                  <pic:blipFill>
                    <a:blip r:embed="rId29"/>
                    <a:srcRect b="44130"/>
                    <a:stretch>
                      <a:fillRect/>
                    </a:stretch>
                  </pic:blipFill>
                  <pic:spPr>
                    <a:xfrm>
                      <a:off x="0" y="0"/>
                      <a:ext cx="4050030" cy="3587115"/>
                    </a:xfrm>
                    <a:prstGeom prst="rect">
                      <a:avLst/>
                    </a:prstGeom>
                    <a:noFill/>
                    <a:ln>
                      <a:noFill/>
                    </a:ln>
                  </pic:spPr>
                </pic:pic>
              </a:graphicData>
            </a:graphic>
          </wp:anchor>
        </w:drawing>
      </w:r>
      <w:r>
        <w:rPr>
          <w:rFonts w:hint="default" w:cs="Times New Roman"/>
          <w:color w:val="auto"/>
          <w:sz w:val="24"/>
          <w:szCs w:val="24"/>
          <w:highlight w:val="none"/>
          <w:lang w:val="en-US" w:eastAsia="zh-CN"/>
        </w:rPr>
        <w:drawing>
          <wp:inline distT="0" distB="0" distL="114300" distR="114300">
            <wp:extent cx="5748655" cy="926465"/>
            <wp:effectExtent l="0" t="0" r="4445" b="6985"/>
            <wp:docPr id="32"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9"/>
                    <pic:cNvPicPr>
                      <a:picLocks noChangeAspect="1"/>
                    </pic:cNvPicPr>
                  </pic:nvPicPr>
                  <pic:blipFill>
                    <a:blip r:embed="rId30"/>
                    <a:stretch>
                      <a:fillRect/>
                    </a:stretch>
                  </pic:blipFill>
                  <pic:spPr>
                    <a:xfrm>
                      <a:off x="0" y="0"/>
                      <a:ext cx="5748655" cy="926465"/>
                    </a:xfrm>
                    <a:prstGeom prst="rect">
                      <a:avLst/>
                    </a:prstGeom>
                    <a:noFill/>
                    <a:ln>
                      <a:noFill/>
                    </a:ln>
                  </pic:spPr>
                </pic:pic>
              </a:graphicData>
            </a:graphic>
          </wp:inline>
        </w:drawing>
      </w:r>
    </w:p>
    <w:p w14:paraId="131DBE6C">
      <w:pPr>
        <w:rPr>
          <w:rFonts w:hint="default" w:cs="Times New Roman"/>
          <w:color w:val="auto"/>
          <w:sz w:val="24"/>
          <w:szCs w:val="24"/>
          <w:highlight w:val="none"/>
          <w:lang w:val="en-US" w:eastAsia="zh-CN"/>
        </w:rPr>
      </w:pPr>
    </w:p>
    <w:p w14:paraId="26BC0320">
      <w:pPr>
        <w:rPr>
          <w:rFonts w:hint="default" w:cs="Times New Roman"/>
          <w:color w:val="auto"/>
          <w:sz w:val="24"/>
          <w:szCs w:val="24"/>
          <w:highlight w:val="none"/>
          <w:lang w:val="en-US" w:eastAsia="zh-CN"/>
        </w:rPr>
      </w:pPr>
      <w:r>
        <w:rPr>
          <w:rFonts w:hint="default" w:cs="Times New Roman"/>
          <w:color w:val="auto"/>
          <w:sz w:val="24"/>
          <w:szCs w:val="24"/>
          <w:highlight w:val="none"/>
          <w:lang w:val="en-US" w:eastAsia="zh-CN"/>
        </w:rPr>
        <w:drawing>
          <wp:inline distT="0" distB="0" distL="114300" distR="114300">
            <wp:extent cx="4871720" cy="7761605"/>
            <wp:effectExtent l="0" t="0" r="5080" b="10795"/>
            <wp:docPr id="130"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41"/>
                    <pic:cNvPicPr>
                      <a:picLocks noChangeAspect="1"/>
                    </pic:cNvPicPr>
                  </pic:nvPicPr>
                  <pic:blipFill>
                    <a:blip r:embed="rId31"/>
                    <a:stretch>
                      <a:fillRect/>
                    </a:stretch>
                  </pic:blipFill>
                  <pic:spPr>
                    <a:xfrm>
                      <a:off x="0" y="0"/>
                      <a:ext cx="4871720" cy="7761605"/>
                    </a:xfrm>
                    <a:prstGeom prst="rect">
                      <a:avLst/>
                    </a:prstGeom>
                    <a:noFill/>
                    <a:ln>
                      <a:noFill/>
                    </a:ln>
                  </pic:spPr>
                </pic:pic>
              </a:graphicData>
            </a:graphic>
          </wp:inline>
        </w:drawing>
      </w:r>
    </w:p>
    <w:p w14:paraId="1C95D10D">
      <w:pPr>
        <w:rPr>
          <w:rFonts w:hint="default" w:cs="Times New Roman"/>
          <w:color w:val="auto"/>
          <w:sz w:val="24"/>
          <w:szCs w:val="24"/>
          <w:highlight w:val="none"/>
          <w:lang w:val="en-US" w:eastAsia="zh-CN"/>
        </w:rPr>
      </w:pPr>
    </w:p>
    <w:p w14:paraId="54FA5C72">
      <w:pPr>
        <w:rPr>
          <w:rFonts w:hint="default" w:cs="Times New Roman"/>
          <w:color w:val="auto"/>
          <w:sz w:val="24"/>
          <w:szCs w:val="24"/>
          <w:highlight w:val="none"/>
          <w:lang w:val="en-US" w:eastAsia="zh-CN"/>
        </w:rPr>
      </w:pPr>
      <w:r>
        <w:rPr>
          <w:rFonts w:hint="default" w:cs="Times New Roman"/>
          <w:color w:val="auto"/>
          <w:sz w:val="24"/>
          <w:szCs w:val="24"/>
          <w:highlight w:val="none"/>
          <w:lang w:val="en-US" w:eastAsia="zh-CN"/>
        </w:rPr>
        <w:drawing>
          <wp:inline distT="0" distB="0" distL="114300" distR="114300">
            <wp:extent cx="4260215" cy="7876540"/>
            <wp:effectExtent l="0" t="0" r="6985" b="10160"/>
            <wp:docPr id="131"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42"/>
                    <pic:cNvPicPr>
                      <a:picLocks noChangeAspect="1"/>
                    </pic:cNvPicPr>
                  </pic:nvPicPr>
                  <pic:blipFill>
                    <a:blip r:embed="rId32"/>
                    <a:stretch>
                      <a:fillRect/>
                    </a:stretch>
                  </pic:blipFill>
                  <pic:spPr>
                    <a:xfrm>
                      <a:off x="0" y="0"/>
                      <a:ext cx="4260215" cy="7876540"/>
                    </a:xfrm>
                    <a:prstGeom prst="rect">
                      <a:avLst/>
                    </a:prstGeom>
                    <a:noFill/>
                    <a:ln>
                      <a:noFill/>
                    </a:ln>
                  </pic:spPr>
                </pic:pic>
              </a:graphicData>
            </a:graphic>
          </wp:inline>
        </w:drawing>
      </w:r>
    </w:p>
    <w:p w14:paraId="47EBA181">
      <w:pPr>
        <w:jc w:val="center"/>
        <w:rPr>
          <w:rFonts w:hint="default" w:ascii="Times New Roman" w:hAnsi="Times New Roman" w:cs="Times New Roman"/>
          <w:color w:val="FF0000"/>
          <w:sz w:val="24"/>
          <w:szCs w:val="24"/>
          <w:highlight w:val="none"/>
          <w:lang w:val="en-US" w:eastAsia="zh-CN"/>
        </w:rPr>
        <w:sectPr>
          <w:pgSz w:w="11906" w:h="16838"/>
          <w:pgMar w:top="1417" w:right="1417" w:bottom="1417" w:left="1417" w:header="1134" w:footer="1191" w:gutter="0"/>
          <w:pgBorders>
            <w:top w:val="none" w:sz="0" w:space="0"/>
            <w:left w:val="none" w:sz="0" w:space="0"/>
            <w:bottom w:val="none" w:sz="0" w:space="0"/>
            <w:right w:val="none" w:sz="0" w:space="0"/>
          </w:pgBorders>
          <w:pgNumType w:fmt="decimal"/>
          <w:cols w:space="720" w:num="1"/>
          <w:docGrid w:linePitch="312" w:charSpace="0"/>
        </w:sectPr>
      </w:pPr>
      <w:r>
        <w:rPr>
          <w:rFonts w:hint="default" w:ascii="Times New Roman" w:hAnsi="Times New Roman" w:cs="Times New Roman"/>
          <w:color w:val="FF0000"/>
          <w:sz w:val="24"/>
          <w:szCs w:val="24"/>
          <w:highlight w:val="none"/>
          <w:lang w:val="en-US" w:eastAsia="zh-CN"/>
        </w:rPr>
        <w:t>图3.1-1  执行报告截图见图3.1-1</w:t>
      </w:r>
    </w:p>
    <w:p w14:paraId="1CAA6F85">
      <w:pPr>
        <w:pStyle w:val="105"/>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表</w:t>
      </w:r>
      <w:r>
        <w:rPr>
          <w:rFonts w:hint="default" w:ascii="Times New Roman" w:hAnsi="Times New Roman" w:eastAsia="宋体" w:cs="Times New Roman"/>
          <w:color w:val="FF0000"/>
          <w:sz w:val="24"/>
          <w:szCs w:val="24"/>
          <w:highlight w:val="none"/>
          <w:lang w:val="en-US" w:eastAsia="zh-CN"/>
        </w:rPr>
        <w:t>3.1-</w:t>
      </w:r>
      <w:r>
        <w:rPr>
          <w:rFonts w:hint="eastAsia" w:eastAsia="宋体" w:cs="Times New Roman"/>
          <w:color w:val="FF0000"/>
          <w:sz w:val="24"/>
          <w:szCs w:val="24"/>
          <w:highlight w:val="none"/>
          <w:lang w:val="en-US" w:eastAsia="zh-CN"/>
        </w:rPr>
        <w:t>2</w:t>
      </w:r>
      <w:r>
        <w:rPr>
          <w:rFonts w:hint="default" w:ascii="Times New Roman" w:hAnsi="Times New Roman" w:eastAsia="宋体" w:cs="Times New Roman"/>
          <w:color w:val="FF0000"/>
          <w:sz w:val="24"/>
          <w:szCs w:val="24"/>
          <w:highlight w:val="none"/>
        </w:rPr>
        <w:t xml:space="preserve">   现有工程</w:t>
      </w:r>
      <w:r>
        <w:rPr>
          <w:rFonts w:hint="default" w:ascii="Times New Roman" w:hAnsi="Times New Roman" w:eastAsia="宋体" w:cs="Times New Roman"/>
          <w:color w:val="FF0000"/>
          <w:sz w:val="24"/>
          <w:szCs w:val="24"/>
          <w:highlight w:val="none"/>
          <w:lang w:val="en-US" w:eastAsia="zh-CN"/>
        </w:rPr>
        <w:t>环保审批</w:t>
      </w:r>
      <w:r>
        <w:rPr>
          <w:rFonts w:hint="default" w:ascii="Times New Roman" w:hAnsi="Times New Roman" w:eastAsia="宋体" w:cs="Times New Roman"/>
          <w:color w:val="FF0000"/>
          <w:sz w:val="24"/>
          <w:szCs w:val="24"/>
          <w:highlight w:val="none"/>
        </w:rPr>
        <w:t>情况一览表</w:t>
      </w:r>
    </w:p>
    <w:tbl>
      <w:tblPr>
        <w:tblStyle w:val="3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32"/>
        <w:gridCol w:w="2504"/>
        <w:gridCol w:w="2162"/>
        <w:gridCol w:w="1845"/>
        <w:gridCol w:w="3584"/>
        <w:gridCol w:w="1618"/>
        <w:gridCol w:w="1875"/>
      </w:tblGrid>
      <w:tr w14:paraId="4AADA8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222" w:type="pct"/>
            <w:tcBorders>
              <w:tl2br w:val="nil"/>
              <w:tr2bl w:val="nil"/>
            </w:tcBorders>
            <w:noWrap w:val="0"/>
            <w:vAlign w:val="center"/>
          </w:tcPr>
          <w:p w14:paraId="74FF8456">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FF0000"/>
                <w:spacing w:val="8"/>
                <w:sz w:val="21"/>
                <w:szCs w:val="21"/>
                <w:highlight w:val="none"/>
                <w:u w:val="none"/>
                <w:vertAlign w:val="baseline"/>
                <w:lang w:val="en-US" w:eastAsia="zh-CN"/>
              </w:rPr>
            </w:pPr>
            <w:r>
              <w:rPr>
                <w:rFonts w:hint="default" w:ascii="Times New Roman" w:hAnsi="Times New Roman" w:eastAsia="宋体" w:cs="Times New Roman"/>
                <w:b w:val="0"/>
                <w:bCs/>
                <w:color w:val="FF0000"/>
                <w:spacing w:val="8"/>
                <w:sz w:val="21"/>
                <w:szCs w:val="21"/>
                <w:highlight w:val="none"/>
                <w:u w:val="none"/>
                <w:vertAlign w:val="baseline"/>
                <w:lang w:val="en-US" w:eastAsia="zh-CN"/>
              </w:rPr>
              <w:t>序号</w:t>
            </w:r>
          </w:p>
        </w:tc>
        <w:tc>
          <w:tcPr>
            <w:tcW w:w="880" w:type="pct"/>
            <w:tcBorders>
              <w:tl2br w:val="nil"/>
              <w:tr2bl w:val="nil"/>
            </w:tcBorders>
            <w:noWrap w:val="0"/>
            <w:vAlign w:val="center"/>
          </w:tcPr>
          <w:p w14:paraId="50FB925B">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FF0000"/>
                <w:spacing w:val="8"/>
                <w:sz w:val="21"/>
                <w:szCs w:val="21"/>
                <w:highlight w:val="none"/>
                <w:u w:val="none"/>
                <w:vertAlign w:val="baseline"/>
                <w:lang w:val="en-US" w:eastAsia="zh-CN"/>
              </w:rPr>
            </w:pPr>
            <w:r>
              <w:rPr>
                <w:rFonts w:hint="default" w:ascii="Times New Roman" w:hAnsi="Times New Roman" w:eastAsia="宋体" w:cs="Times New Roman"/>
                <w:b w:val="0"/>
                <w:bCs/>
                <w:color w:val="FF0000"/>
                <w:spacing w:val="8"/>
                <w:sz w:val="21"/>
                <w:szCs w:val="21"/>
                <w:highlight w:val="none"/>
                <w:u w:val="none"/>
                <w:vertAlign w:val="baseline"/>
                <w:lang w:val="en-US" w:eastAsia="zh-CN"/>
              </w:rPr>
              <w:t>项目名称/企业名称</w:t>
            </w:r>
          </w:p>
        </w:tc>
        <w:tc>
          <w:tcPr>
            <w:tcW w:w="760" w:type="pct"/>
            <w:tcBorders>
              <w:tl2br w:val="nil"/>
              <w:tr2bl w:val="nil"/>
            </w:tcBorders>
            <w:noWrap w:val="0"/>
            <w:vAlign w:val="center"/>
          </w:tcPr>
          <w:p w14:paraId="12DC51BD">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FF0000"/>
                <w:spacing w:val="8"/>
                <w:sz w:val="21"/>
                <w:szCs w:val="21"/>
                <w:highlight w:val="none"/>
                <w:u w:val="none"/>
                <w:vertAlign w:val="baseline"/>
                <w:lang w:val="en-US" w:eastAsia="zh-CN"/>
              </w:rPr>
            </w:pPr>
            <w:r>
              <w:rPr>
                <w:rFonts w:hint="default" w:ascii="Times New Roman" w:hAnsi="Times New Roman" w:eastAsia="宋体" w:cs="Times New Roman"/>
                <w:b w:val="0"/>
                <w:bCs/>
                <w:color w:val="FF0000"/>
                <w:spacing w:val="8"/>
                <w:sz w:val="21"/>
                <w:szCs w:val="21"/>
                <w:highlight w:val="none"/>
                <w:u w:val="none"/>
                <w:vertAlign w:val="baseline"/>
                <w:lang w:val="en-US" w:eastAsia="zh-CN"/>
              </w:rPr>
              <w:t>审批</w:t>
            </w:r>
            <w:r>
              <w:rPr>
                <w:rFonts w:hint="eastAsia" w:ascii="Times New Roman" w:hAnsi="Times New Roman" w:cs="Times New Roman"/>
                <w:b w:val="0"/>
                <w:bCs/>
                <w:color w:val="FF0000"/>
                <w:spacing w:val="8"/>
                <w:sz w:val="21"/>
                <w:szCs w:val="21"/>
                <w:highlight w:val="none"/>
                <w:u w:val="none"/>
                <w:vertAlign w:val="baseline"/>
                <w:lang w:val="en-US" w:eastAsia="zh-CN"/>
              </w:rPr>
              <w:t>/备案</w:t>
            </w:r>
            <w:r>
              <w:rPr>
                <w:rFonts w:hint="default" w:ascii="Times New Roman" w:hAnsi="Times New Roman" w:eastAsia="宋体" w:cs="Times New Roman"/>
                <w:b w:val="0"/>
                <w:bCs/>
                <w:color w:val="FF0000"/>
                <w:spacing w:val="8"/>
                <w:sz w:val="21"/>
                <w:szCs w:val="21"/>
                <w:highlight w:val="none"/>
                <w:u w:val="none"/>
                <w:vertAlign w:val="baseline"/>
                <w:lang w:val="en-US" w:eastAsia="zh-CN"/>
              </w:rPr>
              <w:t>部门</w:t>
            </w:r>
          </w:p>
        </w:tc>
        <w:tc>
          <w:tcPr>
            <w:tcW w:w="648" w:type="pct"/>
            <w:tcBorders>
              <w:tl2br w:val="nil"/>
              <w:tr2bl w:val="nil"/>
            </w:tcBorders>
            <w:noWrap w:val="0"/>
            <w:vAlign w:val="center"/>
          </w:tcPr>
          <w:p w14:paraId="00E9B922">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FF0000"/>
                <w:spacing w:val="8"/>
                <w:sz w:val="21"/>
                <w:szCs w:val="21"/>
                <w:highlight w:val="none"/>
                <w:u w:val="none"/>
                <w:vertAlign w:val="baseline"/>
                <w:lang w:val="en-US" w:eastAsia="zh-CN"/>
              </w:rPr>
            </w:pPr>
            <w:r>
              <w:rPr>
                <w:rFonts w:hint="default" w:ascii="Times New Roman" w:hAnsi="Times New Roman" w:eastAsia="宋体" w:cs="Times New Roman"/>
                <w:b w:val="0"/>
                <w:bCs/>
                <w:color w:val="FF0000"/>
                <w:spacing w:val="8"/>
                <w:sz w:val="21"/>
                <w:szCs w:val="21"/>
                <w:highlight w:val="none"/>
                <w:u w:val="none"/>
                <w:vertAlign w:val="baseline"/>
                <w:lang w:val="en-US" w:eastAsia="zh-CN"/>
              </w:rPr>
              <w:t>审批/备案时间</w:t>
            </w:r>
          </w:p>
        </w:tc>
        <w:tc>
          <w:tcPr>
            <w:tcW w:w="1260" w:type="pct"/>
            <w:tcBorders>
              <w:tl2br w:val="nil"/>
              <w:tr2bl w:val="nil"/>
            </w:tcBorders>
            <w:noWrap w:val="0"/>
            <w:vAlign w:val="center"/>
          </w:tcPr>
          <w:p w14:paraId="2EC38B80">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FF0000"/>
                <w:spacing w:val="8"/>
                <w:sz w:val="21"/>
                <w:szCs w:val="21"/>
                <w:highlight w:val="none"/>
                <w:u w:val="none"/>
                <w:vertAlign w:val="baseline"/>
                <w:lang w:val="en-US" w:eastAsia="zh-CN"/>
              </w:rPr>
            </w:pPr>
            <w:r>
              <w:rPr>
                <w:rFonts w:hint="default" w:ascii="Times New Roman" w:hAnsi="Times New Roman" w:eastAsia="宋体" w:cs="Times New Roman"/>
                <w:b w:val="0"/>
                <w:bCs/>
                <w:color w:val="FF0000"/>
                <w:spacing w:val="8"/>
                <w:sz w:val="21"/>
                <w:szCs w:val="21"/>
                <w:highlight w:val="none"/>
                <w:u w:val="none"/>
                <w:vertAlign w:val="baseline"/>
                <w:lang w:val="en-US" w:eastAsia="zh-CN"/>
              </w:rPr>
              <w:t>审批/备案文件名称</w:t>
            </w:r>
          </w:p>
        </w:tc>
        <w:tc>
          <w:tcPr>
            <w:tcW w:w="568" w:type="pct"/>
            <w:tcBorders>
              <w:tl2br w:val="nil"/>
              <w:tr2bl w:val="nil"/>
            </w:tcBorders>
            <w:noWrap w:val="0"/>
            <w:vAlign w:val="center"/>
          </w:tcPr>
          <w:p w14:paraId="7C99DCC3">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FF0000"/>
                <w:spacing w:val="8"/>
                <w:sz w:val="21"/>
                <w:szCs w:val="21"/>
                <w:highlight w:val="none"/>
                <w:u w:val="none"/>
                <w:vertAlign w:val="baseline"/>
                <w:lang w:val="en-US" w:eastAsia="zh-CN"/>
              </w:rPr>
            </w:pPr>
            <w:r>
              <w:rPr>
                <w:rFonts w:hint="default" w:ascii="Times New Roman" w:hAnsi="Times New Roman" w:eastAsia="宋体" w:cs="Times New Roman"/>
                <w:b w:val="0"/>
                <w:bCs/>
                <w:color w:val="FF0000"/>
                <w:spacing w:val="8"/>
                <w:sz w:val="21"/>
                <w:szCs w:val="21"/>
                <w:highlight w:val="none"/>
                <w:u w:val="none"/>
                <w:vertAlign w:val="baseline"/>
                <w:lang w:val="en-US" w:eastAsia="zh-CN"/>
              </w:rPr>
              <w:t>审批/备案文号</w:t>
            </w:r>
          </w:p>
        </w:tc>
        <w:tc>
          <w:tcPr>
            <w:tcW w:w="659" w:type="pct"/>
            <w:tcBorders>
              <w:tl2br w:val="nil"/>
              <w:tr2bl w:val="nil"/>
            </w:tcBorders>
            <w:noWrap w:val="0"/>
            <w:vAlign w:val="center"/>
          </w:tcPr>
          <w:p w14:paraId="787B4B17">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FF0000"/>
                <w:spacing w:val="8"/>
                <w:sz w:val="21"/>
                <w:szCs w:val="21"/>
                <w:highlight w:val="none"/>
                <w:u w:val="none"/>
                <w:vertAlign w:val="baseline"/>
                <w:lang w:val="en-US" w:eastAsia="zh-CN"/>
              </w:rPr>
            </w:pPr>
            <w:r>
              <w:rPr>
                <w:rFonts w:hint="eastAsia" w:ascii="Times New Roman" w:hAnsi="Times New Roman" w:cs="Times New Roman"/>
                <w:b w:val="0"/>
                <w:bCs/>
                <w:color w:val="FF0000"/>
                <w:spacing w:val="8"/>
                <w:sz w:val="21"/>
                <w:szCs w:val="21"/>
                <w:highlight w:val="none"/>
                <w:u w:val="none"/>
                <w:vertAlign w:val="baseline"/>
                <w:lang w:val="en-US" w:eastAsia="zh-CN"/>
              </w:rPr>
              <w:t>排污许可</w:t>
            </w:r>
          </w:p>
        </w:tc>
      </w:tr>
      <w:tr w14:paraId="12340C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222" w:type="pct"/>
            <w:tcBorders>
              <w:tl2br w:val="nil"/>
              <w:tr2bl w:val="nil"/>
            </w:tcBorders>
            <w:noWrap w:val="0"/>
            <w:vAlign w:val="center"/>
          </w:tcPr>
          <w:p w14:paraId="2CA60B04">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FF0000"/>
                <w:spacing w:val="8"/>
                <w:sz w:val="21"/>
                <w:szCs w:val="21"/>
                <w:highlight w:val="none"/>
                <w:u w:val="none"/>
                <w:vertAlign w:val="baseline"/>
                <w:lang w:val="en-US" w:eastAsia="zh-CN"/>
              </w:rPr>
            </w:pPr>
            <w:r>
              <w:rPr>
                <w:rFonts w:hint="default" w:ascii="Times New Roman" w:hAnsi="Times New Roman" w:eastAsia="宋体" w:cs="Times New Roman"/>
                <w:b w:val="0"/>
                <w:bCs/>
                <w:color w:val="FF0000"/>
                <w:spacing w:val="8"/>
                <w:sz w:val="21"/>
                <w:szCs w:val="21"/>
                <w:highlight w:val="none"/>
                <w:u w:val="none"/>
                <w:vertAlign w:val="baseline"/>
                <w:lang w:val="en-US" w:eastAsia="zh-CN"/>
              </w:rPr>
              <w:t>1</w:t>
            </w:r>
          </w:p>
        </w:tc>
        <w:tc>
          <w:tcPr>
            <w:tcW w:w="880" w:type="pct"/>
            <w:tcBorders>
              <w:tl2br w:val="nil"/>
              <w:tr2bl w:val="nil"/>
            </w:tcBorders>
            <w:noWrap w:val="0"/>
            <w:vAlign w:val="center"/>
          </w:tcPr>
          <w:p w14:paraId="30CB0B6A">
            <w:pPr>
              <w:pStyle w:val="63"/>
              <w:ind w:firstLine="0" w:firstLineChars="0"/>
              <w:jc w:val="center"/>
              <w:rPr>
                <w:rFonts w:hint="default" w:ascii="Times New Roman" w:hAnsi="Times New Roman" w:eastAsia="宋体" w:cs="Times New Roman"/>
                <w:b w:val="0"/>
                <w:bCs w:val="0"/>
                <w:color w:val="FF0000"/>
                <w:kern w:val="2"/>
                <w:sz w:val="21"/>
                <w:szCs w:val="21"/>
                <w:highlight w:val="none"/>
                <w:lang w:val="en-US" w:eastAsia="zh-CN" w:bidi="ar-SA"/>
              </w:rPr>
            </w:pPr>
            <w:r>
              <w:rPr>
                <w:rFonts w:hint="eastAsia" w:ascii="Times New Roman" w:hAnsi="Times New Roman" w:eastAsia="宋体" w:cs="Times New Roman"/>
                <w:b w:val="0"/>
                <w:bCs w:val="0"/>
                <w:color w:val="FF0000"/>
                <w:kern w:val="2"/>
                <w:sz w:val="21"/>
                <w:szCs w:val="21"/>
                <w:highlight w:val="none"/>
                <w:lang w:val="en-US" w:eastAsia="zh-CN" w:bidi="ar-SA"/>
              </w:rPr>
              <w:t>2×220t/h 高温高压旋风锅炉和1×50MW+1×25MW抽凝汽轮发电机组建设项目</w:t>
            </w:r>
          </w:p>
        </w:tc>
        <w:tc>
          <w:tcPr>
            <w:tcW w:w="760" w:type="pct"/>
            <w:tcBorders>
              <w:tl2br w:val="nil"/>
              <w:tr2bl w:val="nil"/>
            </w:tcBorders>
            <w:noWrap w:val="0"/>
            <w:vAlign w:val="center"/>
          </w:tcPr>
          <w:p w14:paraId="27297BFE">
            <w:pPr>
              <w:pStyle w:val="63"/>
              <w:ind w:firstLine="0" w:firstLineChars="0"/>
              <w:jc w:val="center"/>
              <w:rPr>
                <w:rFonts w:hint="eastAsia" w:ascii="Times New Roman" w:hAnsi="Times New Roman" w:eastAsia="宋体" w:cs="Times New Roman"/>
                <w:b w:val="0"/>
                <w:bCs w:val="0"/>
                <w:color w:val="FF0000"/>
                <w:kern w:val="2"/>
                <w:sz w:val="21"/>
                <w:szCs w:val="21"/>
                <w:highlight w:val="none"/>
                <w:lang w:val="en-US" w:eastAsia="zh-CN" w:bidi="ar-SA"/>
              </w:rPr>
            </w:pPr>
            <w:r>
              <w:rPr>
                <w:rFonts w:hint="eastAsia" w:ascii="Times New Roman" w:hAnsi="Times New Roman" w:eastAsia="宋体" w:cs="Times New Roman"/>
                <w:b w:val="0"/>
                <w:bCs w:val="0"/>
                <w:color w:val="FF0000"/>
                <w:sz w:val="21"/>
                <w:szCs w:val="21"/>
                <w:highlight w:val="none"/>
                <w:lang w:val="en-US" w:eastAsia="zh-CN"/>
              </w:rPr>
              <w:t>原黑龙江省环保局</w:t>
            </w:r>
          </w:p>
        </w:tc>
        <w:tc>
          <w:tcPr>
            <w:tcW w:w="648" w:type="pct"/>
            <w:tcBorders>
              <w:tl2br w:val="nil"/>
              <w:tr2bl w:val="nil"/>
            </w:tcBorders>
            <w:noWrap w:val="0"/>
            <w:vAlign w:val="center"/>
          </w:tcPr>
          <w:p w14:paraId="6C640AB5">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FF0000"/>
                <w:spacing w:val="8"/>
                <w:sz w:val="21"/>
                <w:szCs w:val="21"/>
                <w:highlight w:val="none"/>
                <w:u w:val="none"/>
                <w:vertAlign w:val="baseline"/>
                <w:lang w:val="en-US" w:eastAsia="zh-CN"/>
              </w:rPr>
            </w:pPr>
            <w:r>
              <w:rPr>
                <w:rFonts w:hint="eastAsia" w:ascii="Times New Roman" w:hAnsi="Times New Roman" w:cs="Times New Roman"/>
                <w:b w:val="0"/>
                <w:bCs w:val="0"/>
                <w:color w:val="FF0000"/>
                <w:sz w:val="21"/>
                <w:szCs w:val="21"/>
                <w:highlight w:val="none"/>
                <w:lang w:val="en-US" w:eastAsia="zh-CN"/>
              </w:rPr>
              <w:t>1989年2月</w:t>
            </w:r>
          </w:p>
        </w:tc>
        <w:tc>
          <w:tcPr>
            <w:tcW w:w="1260" w:type="pct"/>
            <w:tcBorders>
              <w:tl2br w:val="nil"/>
              <w:tr2bl w:val="nil"/>
            </w:tcBorders>
            <w:noWrap w:val="0"/>
            <w:vAlign w:val="center"/>
          </w:tcPr>
          <w:p w14:paraId="2A4AF455">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FF0000"/>
                <w:spacing w:val="8"/>
                <w:sz w:val="21"/>
                <w:szCs w:val="21"/>
                <w:highlight w:val="none"/>
                <w:u w:val="none"/>
                <w:vertAlign w:val="baseline"/>
                <w:lang w:val="en-US" w:eastAsia="zh-CN"/>
              </w:rPr>
            </w:pPr>
            <w:r>
              <w:rPr>
                <w:rFonts w:hint="eastAsia" w:ascii="Times New Roman" w:hAnsi="Times New Roman" w:cs="Times New Roman"/>
                <w:b w:val="0"/>
                <w:bCs w:val="0"/>
                <w:color w:val="FF0000"/>
                <w:sz w:val="21"/>
                <w:szCs w:val="21"/>
                <w:highlight w:val="none"/>
                <w:lang w:val="en-US" w:eastAsia="zh-CN"/>
              </w:rPr>
              <w:t>/</w:t>
            </w:r>
          </w:p>
        </w:tc>
        <w:tc>
          <w:tcPr>
            <w:tcW w:w="568" w:type="pct"/>
            <w:tcBorders>
              <w:tl2br w:val="nil"/>
              <w:tr2bl w:val="nil"/>
            </w:tcBorders>
            <w:noWrap w:val="0"/>
            <w:vAlign w:val="center"/>
          </w:tcPr>
          <w:p w14:paraId="27F8D989">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FF0000"/>
                <w:spacing w:val="8"/>
                <w:sz w:val="21"/>
                <w:szCs w:val="21"/>
                <w:highlight w:val="none"/>
                <w:u w:val="none"/>
                <w:vertAlign w:val="baseline"/>
                <w:lang w:val="en-US" w:eastAsia="zh-CN"/>
              </w:rPr>
            </w:pPr>
            <w:r>
              <w:rPr>
                <w:rFonts w:hint="eastAsia" w:ascii="Times New Roman" w:hAnsi="Times New Roman" w:cs="Times New Roman"/>
                <w:b w:val="0"/>
                <w:bCs w:val="0"/>
                <w:color w:val="FF0000"/>
                <w:spacing w:val="8"/>
                <w:sz w:val="21"/>
                <w:szCs w:val="21"/>
                <w:highlight w:val="none"/>
                <w:u w:val="none"/>
                <w:vertAlign w:val="baseline"/>
                <w:lang w:val="en-US" w:eastAsia="zh-CN"/>
              </w:rPr>
              <w:t>/</w:t>
            </w:r>
          </w:p>
        </w:tc>
        <w:tc>
          <w:tcPr>
            <w:tcW w:w="659" w:type="pct"/>
            <w:vMerge w:val="restart"/>
            <w:tcBorders>
              <w:tl2br w:val="nil"/>
              <w:tr2bl w:val="nil"/>
            </w:tcBorders>
            <w:noWrap w:val="0"/>
            <w:vAlign w:val="center"/>
          </w:tcPr>
          <w:p w14:paraId="65F9F8CF">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eastAsia" w:ascii="Times New Roman" w:hAnsi="Times New Roman" w:cs="Times New Roman"/>
                <w:b w:val="0"/>
                <w:bCs w:val="0"/>
                <w:color w:val="FF0000"/>
                <w:sz w:val="21"/>
                <w:szCs w:val="21"/>
                <w:highlight w:val="none"/>
                <w:lang w:val="en-US" w:eastAsia="zh-CN"/>
              </w:rPr>
              <w:t>佳木斯中恒热电有限公司排污许可证912308000574315064001P</w:t>
            </w:r>
          </w:p>
        </w:tc>
      </w:tr>
      <w:tr w14:paraId="14F73D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222" w:type="pct"/>
            <w:tcBorders>
              <w:tl2br w:val="nil"/>
              <w:tr2bl w:val="nil"/>
            </w:tcBorders>
            <w:noWrap w:val="0"/>
            <w:vAlign w:val="center"/>
          </w:tcPr>
          <w:p w14:paraId="277F2916">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FF0000"/>
                <w:spacing w:val="8"/>
                <w:sz w:val="21"/>
                <w:szCs w:val="21"/>
                <w:highlight w:val="none"/>
                <w:u w:val="none"/>
                <w:vertAlign w:val="baseline"/>
                <w:lang w:val="en-US" w:eastAsia="zh-CN"/>
              </w:rPr>
            </w:pPr>
            <w:r>
              <w:rPr>
                <w:rFonts w:hint="eastAsia" w:ascii="Times New Roman" w:hAnsi="Times New Roman" w:cs="Times New Roman"/>
                <w:b w:val="0"/>
                <w:bCs/>
                <w:color w:val="FF0000"/>
                <w:spacing w:val="8"/>
                <w:sz w:val="21"/>
                <w:szCs w:val="21"/>
                <w:highlight w:val="none"/>
                <w:u w:val="none"/>
                <w:vertAlign w:val="baseline"/>
                <w:lang w:val="en-US" w:eastAsia="zh-CN"/>
              </w:rPr>
              <w:t>2</w:t>
            </w:r>
          </w:p>
        </w:tc>
        <w:tc>
          <w:tcPr>
            <w:tcW w:w="880" w:type="pct"/>
            <w:vMerge w:val="restart"/>
            <w:tcBorders>
              <w:tl2br w:val="nil"/>
              <w:tr2bl w:val="nil"/>
            </w:tcBorders>
            <w:noWrap w:val="0"/>
            <w:vAlign w:val="center"/>
          </w:tcPr>
          <w:p w14:paraId="76179C53">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FF0000"/>
                <w:spacing w:val="8"/>
                <w:sz w:val="21"/>
                <w:szCs w:val="21"/>
                <w:highlight w:val="none"/>
                <w:u w:val="none"/>
                <w:vertAlign w:val="baseline"/>
                <w:lang w:val="en-US" w:eastAsia="zh-CN"/>
              </w:rPr>
            </w:pPr>
            <w:r>
              <w:rPr>
                <w:rFonts w:hint="eastAsia" w:ascii="Times New Roman" w:hAnsi="Times New Roman" w:cs="Times New Roman"/>
                <w:b w:val="0"/>
                <w:bCs w:val="0"/>
                <w:color w:val="FF0000"/>
                <w:spacing w:val="8"/>
                <w:kern w:val="2"/>
                <w:sz w:val="21"/>
                <w:szCs w:val="21"/>
                <w:highlight w:val="none"/>
                <w:u w:val="none"/>
                <w:vertAlign w:val="baseline"/>
                <w:lang w:val="en-US" w:eastAsia="zh-CN" w:bidi="ar-SA"/>
              </w:rPr>
              <w:t>佳木斯中恒热电有限公司1×50MW+1×25MW背压汽轮发电机组热源改造项目环境影响报告书</w:t>
            </w:r>
          </w:p>
        </w:tc>
        <w:tc>
          <w:tcPr>
            <w:tcW w:w="760" w:type="pct"/>
            <w:tcBorders>
              <w:tl2br w:val="nil"/>
              <w:tr2bl w:val="nil"/>
            </w:tcBorders>
            <w:noWrap w:val="0"/>
            <w:vAlign w:val="center"/>
          </w:tcPr>
          <w:p w14:paraId="7B5F78DA">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FF0000"/>
                <w:spacing w:val="8"/>
                <w:kern w:val="2"/>
                <w:sz w:val="21"/>
                <w:szCs w:val="21"/>
                <w:highlight w:val="none"/>
                <w:u w:val="none"/>
                <w:vertAlign w:val="baseline"/>
                <w:lang w:val="en-US" w:eastAsia="zh-CN" w:bidi="ar-SA"/>
              </w:rPr>
            </w:pPr>
            <w:r>
              <w:rPr>
                <w:rFonts w:hint="eastAsia" w:ascii="Times New Roman" w:hAnsi="Times New Roman" w:cs="Times New Roman"/>
                <w:b w:val="0"/>
                <w:bCs w:val="0"/>
                <w:color w:val="FF0000"/>
                <w:sz w:val="21"/>
                <w:szCs w:val="21"/>
                <w:highlight w:val="none"/>
                <w:lang w:val="en-US" w:eastAsia="zh-CN"/>
              </w:rPr>
              <w:t>原</w:t>
            </w:r>
            <w:r>
              <w:rPr>
                <w:rFonts w:hint="eastAsia" w:ascii="Times New Roman" w:hAnsi="Times New Roman" w:eastAsia="宋体" w:cs="Times New Roman"/>
                <w:b w:val="0"/>
                <w:bCs w:val="0"/>
                <w:color w:val="FF0000"/>
                <w:sz w:val="21"/>
                <w:szCs w:val="21"/>
                <w:highlight w:val="none"/>
                <w:lang w:val="en-US" w:eastAsia="zh-CN"/>
              </w:rPr>
              <w:t>黑龙江省环境保护厅</w:t>
            </w:r>
          </w:p>
        </w:tc>
        <w:tc>
          <w:tcPr>
            <w:tcW w:w="648" w:type="pct"/>
            <w:tcBorders>
              <w:tl2br w:val="nil"/>
              <w:tr2bl w:val="nil"/>
            </w:tcBorders>
            <w:noWrap w:val="0"/>
            <w:vAlign w:val="center"/>
          </w:tcPr>
          <w:p w14:paraId="17E30F03">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FF0000"/>
                <w:spacing w:val="8"/>
                <w:kern w:val="2"/>
                <w:sz w:val="21"/>
                <w:szCs w:val="21"/>
                <w:highlight w:val="none"/>
                <w:u w:val="none"/>
                <w:vertAlign w:val="baseline"/>
                <w:lang w:val="en-US" w:eastAsia="zh-CN" w:bidi="ar-SA"/>
              </w:rPr>
            </w:pPr>
            <w:r>
              <w:rPr>
                <w:rFonts w:hint="eastAsia" w:ascii="Times New Roman" w:hAnsi="Times New Roman" w:cs="Times New Roman"/>
                <w:b w:val="0"/>
                <w:bCs w:val="0"/>
                <w:color w:val="FF0000"/>
                <w:spacing w:val="8"/>
                <w:sz w:val="21"/>
                <w:szCs w:val="21"/>
                <w:highlight w:val="none"/>
                <w:u w:val="none"/>
                <w:vertAlign w:val="baseline"/>
                <w:lang w:val="en-US" w:eastAsia="zh-CN"/>
              </w:rPr>
              <w:t>2015年12月17日</w:t>
            </w:r>
          </w:p>
        </w:tc>
        <w:tc>
          <w:tcPr>
            <w:tcW w:w="1260" w:type="pct"/>
            <w:tcBorders>
              <w:tl2br w:val="nil"/>
              <w:tr2bl w:val="nil"/>
            </w:tcBorders>
            <w:noWrap w:val="0"/>
            <w:vAlign w:val="center"/>
          </w:tcPr>
          <w:p w14:paraId="32F3E549">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FF0000"/>
                <w:spacing w:val="8"/>
                <w:kern w:val="2"/>
                <w:sz w:val="21"/>
                <w:szCs w:val="21"/>
                <w:highlight w:val="none"/>
                <w:u w:val="none"/>
                <w:vertAlign w:val="baseline"/>
                <w:lang w:val="en-US" w:eastAsia="zh-CN" w:bidi="ar-SA"/>
              </w:rPr>
            </w:pPr>
            <w:r>
              <w:rPr>
                <w:rFonts w:hint="default" w:ascii="Times New Roman" w:hAnsi="Times New Roman" w:eastAsia="宋体" w:cs="Times New Roman"/>
                <w:b w:val="0"/>
                <w:bCs w:val="0"/>
                <w:color w:val="FF0000"/>
                <w:spacing w:val="8"/>
                <w:sz w:val="21"/>
                <w:szCs w:val="21"/>
                <w:highlight w:val="none"/>
                <w:u w:val="none"/>
                <w:vertAlign w:val="baseline"/>
                <w:lang w:val="en-US" w:eastAsia="zh-CN"/>
              </w:rPr>
              <w:t>《</w:t>
            </w:r>
            <w:r>
              <w:rPr>
                <w:rFonts w:hint="default" w:ascii="Times New Roman" w:hAnsi="Times New Roman" w:eastAsia="宋体" w:cs="Times New Roman"/>
                <w:b w:val="0"/>
                <w:bCs w:val="0"/>
                <w:color w:val="FF0000"/>
                <w:sz w:val="21"/>
                <w:szCs w:val="21"/>
                <w:highlight w:val="none"/>
                <w:lang w:eastAsia="zh-CN"/>
              </w:rPr>
              <w:t>关于</w:t>
            </w:r>
            <w:r>
              <w:rPr>
                <w:rFonts w:hint="eastAsia" w:ascii="Times New Roman" w:hAnsi="Times New Roman" w:cs="Times New Roman"/>
                <w:b w:val="0"/>
                <w:bCs w:val="0"/>
                <w:color w:val="FF0000"/>
                <w:spacing w:val="8"/>
                <w:kern w:val="2"/>
                <w:sz w:val="21"/>
                <w:szCs w:val="21"/>
                <w:highlight w:val="none"/>
                <w:u w:val="none"/>
                <w:vertAlign w:val="baseline"/>
                <w:lang w:val="en-US" w:eastAsia="zh-CN" w:bidi="ar-SA"/>
              </w:rPr>
              <w:t>佳木斯中恒热电有限公司1×50MW+1×25MW背压汽轮发电机组热源改造项目环境影响报告书</w:t>
            </w:r>
            <w:r>
              <w:rPr>
                <w:rFonts w:hint="default" w:ascii="Times New Roman" w:hAnsi="Times New Roman" w:eastAsia="宋体" w:cs="Times New Roman"/>
                <w:b w:val="0"/>
                <w:bCs w:val="0"/>
                <w:color w:val="FF0000"/>
                <w:sz w:val="21"/>
                <w:szCs w:val="21"/>
                <w:highlight w:val="none"/>
                <w:lang w:val="en-US" w:eastAsia="zh-CN"/>
              </w:rPr>
              <w:t>的批复</w:t>
            </w:r>
            <w:r>
              <w:rPr>
                <w:rFonts w:hint="eastAsia" w:ascii="Times New Roman" w:hAnsi="Times New Roman" w:cs="Times New Roman"/>
                <w:b w:val="0"/>
                <w:bCs w:val="0"/>
                <w:color w:val="FF0000"/>
                <w:sz w:val="21"/>
                <w:szCs w:val="21"/>
                <w:highlight w:val="none"/>
                <w:lang w:val="en-US" w:eastAsia="zh-CN"/>
              </w:rPr>
              <w:t>意见</w:t>
            </w:r>
            <w:r>
              <w:rPr>
                <w:rFonts w:hint="default" w:ascii="Times New Roman" w:hAnsi="Times New Roman" w:eastAsia="宋体" w:cs="Times New Roman"/>
                <w:b w:val="0"/>
                <w:bCs w:val="0"/>
                <w:color w:val="FF0000"/>
                <w:spacing w:val="8"/>
                <w:sz w:val="21"/>
                <w:szCs w:val="21"/>
                <w:highlight w:val="none"/>
                <w:u w:val="none"/>
                <w:vertAlign w:val="baseline"/>
                <w:lang w:val="en-US" w:eastAsia="zh-CN"/>
              </w:rPr>
              <w:t>》</w:t>
            </w:r>
          </w:p>
        </w:tc>
        <w:tc>
          <w:tcPr>
            <w:tcW w:w="568" w:type="pct"/>
            <w:tcBorders>
              <w:tl2br w:val="nil"/>
              <w:tr2bl w:val="nil"/>
            </w:tcBorders>
            <w:noWrap w:val="0"/>
            <w:vAlign w:val="center"/>
          </w:tcPr>
          <w:p w14:paraId="77D5EC01">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FF0000"/>
                <w:spacing w:val="8"/>
                <w:sz w:val="21"/>
                <w:szCs w:val="21"/>
                <w:highlight w:val="none"/>
                <w:u w:val="none"/>
                <w:vertAlign w:val="baseline"/>
                <w:lang w:val="en-US" w:eastAsia="zh-CN"/>
              </w:rPr>
            </w:pPr>
            <w:r>
              <w:rPr>
                <w:rFonts w:hint="eastAsia" w:ascii="Times New Roman" w:hAnsi="Times New Roman" w:eastAsia="宋体" w:cs="Times New Roman"/>
                <w:b w:val="0"/>
                <w:bCs w:val="0"/>
                <w:color w:val="FF0000"/>
                <w:spacing w:val="8"/>
                <w:sz w:val="21"/>
                <w:szCs w:val="21"/>
                <w:highlight w:val="none"/>
                <w:u w:val="none"/>
                <w:vertAlign w:val="baseline"/>
                <w:lang w:val="en-US" w:eastAsia="zh-CN"/>
              </w:rPr>
              <w:t>黑环审〔2015〕138号</w:t>
            </w:r>
          </w:p>
        </w:tc>
        <w:tc>
          <w:tcPr>
            <w:tcW w:w="659" w:type="pct"/>
            <w:vMerge w:val="continue"/>
            <w:tcBorders>
              <w:tl2br w:val="nil"/>
              <w:tr2bl w:val="nil"/>
            </w:tcBorders>
            <w:noWrap w:val="0"/>
            <w:vAlign w:val="center"/>
          </w:tcPr>
          <w:p w14:paraId="545BC97A">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FF0000"/>
                <w:spacing w:val="8"/>
                <w:sz w:val="21"/>
                <w:szCs w:val="21"/>
                <w:highlight w:val="none"/>
                <w:u w:val="none"/>
                <w:vertAlign w:val="baseline"/>
                <w:lang w:val="en-US" w:eastAsia="zh-CN"/>
              </w:rPr>
            </w:pPr>
          </w:p>
        </w:tc>
      </w:tr>
      <w:tr w14:paraId="48B618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2" w:type="pct"/>
            <w:tcBorders>
              <w:tl2br w:val="nil"/>
              <w:tr2bl w:val="nil"/>
            </w:tcBorders>
            <w:noWrap w:val="0"/>
            <w:vAlign w:val="center"/>
          </w:tcPr>
          <w:p w14:paraId="4EDCE18A">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FF0000"/>
                <w:spacing w:val="8"/>
                <w:sz w:val="21"/>
                <w:szCs w:val="21"/>
                <w:highlight w:val="none"/>
                <w:u w:val="none"/>
                <w:vertAlign w:val="baseline"/>
                <w:lang w:val="en-US" w:eastAsia="zh-CN"/>
              </w:rPr>
            </w:pPr>
            <w:r>
              <w:rPr>
                <w:rFonts w:hint="eastAsia" w:ascii="Times New Roman" w:hAnsi="Times New Roman" w:cs="Times New Roman"/>
                <w:b w:val="0"/>
                <w:bCs/>
                <w:color w:val="FF0000"/>
                <w:spacing w:val="8"/>
                <w:sz w:val="21"/>
                <w:szCs w:val="21"/>
                <w:highlight w:val="none"/>
                <w:u w:val="none"/>
                <w:vertAlign w:val="baseline"/>
                <w:lang w:val="en-US" w:eastAsia="zh-CN"/>
              </w:rPr>
              <w:t>3</w:t>
            </w:r>
          </w:p>
        </w:tc>
        <w:tc>
          <w:tcPr>
            <w:tcW w:w="880" w:type="pct"/>
            <w:vMerge w:val="continue"/>
            <w:tcBorders>
              <w:tl2br w:val="nil"/>
              <w:tr2bl w:val="nil"/>
            </w:tcBorders>
            <w:noWrap w:val="0"/>
            <w:vAlign w:val="center"/>
          </w:tcPr>
          <w:p w14:paraId="67A2524F">
            <w:pPr>
              <w:pStyle w:val="63"/>
              <w:ind w:firstLine="0" w:firstLineChars="0"/>
              <w:jc w:val="center"/>
              <w:rPr>
                <w:rFonts w:hint="default" w:ascii="Times New Roman" w:hAnsi="Times New Roman" w:eastAsia="宋体" w:cs="Times New Roman"/>
                <w:b w:val="0"/>
                <w:bCs w:val="0"/>
                <w:color w:val="FF0000"/>
                <w:spacing w:val="8"/>
                <w:sz w:val="21"/>
                <w:szCs w:val="21"/>
                <w:highlight w:val="none"/>
                <w:u w:val="none"/>
                <w:vertAlign w:val="baseline"/>
                <w:lang w:val="en-US" w:eastAsia="zh-CN"/>
              </w:rPr>
            </w:pPr>
          </w:p>
        </w:tc>
        <w:tc>
          <w:tcPr>
            <w:tcW w:w="760" w:type="pct"/>
            <w:tcBorders>
              <w:tl2br w:val="nil"/>
              <w:tr2bl w:val="nil"/>
            </w:tcBorders>
            <w:noWrap w:val="0"/>
            <w:vAlign w:val="center"/>
          </w:tcPr>
          <w:p w14:paraId="16E99866">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FF0000"/>
                <w:spacing w:val="8"/>
                <w:sz w:val="21"/>
                <w:szCs w:val="21"/>
                <w:highlight w:val="none"/>
                <w:u w:val="none"/>
                <w:vertAlign w:val="baseline"/>
                <w:lang w:val="en-US" w:eastAsia="zh-CN"/>
              </w:rPr>
            </w:pPr>
            <w:r>
              <w:rPr>
                <w:rFonts w:hint="eastAsia" w:ascii="Times New Roman" w:hAnsi="Times New Roman" w:cs="Times New Roman"/>
                <w:b w:val="0"/>
                <w:bCs w:val="0"/>
                <w:color w:val="FF0000"/>
                <w:spacing w:val="8"/>
                <w:sz w:val="21"/>
                <w:szCs w:val="21"/>
                <w:highlight w:val="none"/>
                <w:u w:val="none"/>
                <w:vertAlign w:val="baseline"/>
                <w:lang w:val="en-US" w:eastAsia="zh-CN"/>
              </w:rPr>
              <w:t>/</w:t>
            </w:r>
          </w:p>
        </w:tc>
        <w:tc>
          <w:tcPr>
            <w:tcW w:w="648" w:type="pct"/>
            <w:tcBorders>
              <w:tl2br w:val="nil"/>
              <w:tr2bl w:val="nil"/>
            </w:tcBorders>
            <w:noWrap w:val="0"/>
            <w:vAlign w:val="center"/>
          </w:tcPr>
          <w:p w14:paraId="167760AA">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FF0000"/>
                <w:spacing w:val="8"/>
                <w:sz w:val="21"/>
                <w:szCs w:val="21"/>
                <w:highlight w:val="none"/>
                <w:u w:val="none"/>
                <w:vertAlign w:val="baseline"/>
                <w:lang w:val="en-US" w:eastAsia="zh-CN"/>
              </w:rPr>
            </w:pPr>
            <w:r>
              <w:rPr>
                <w:rFonts w:hint="eastAsia" w:ascii="Times New Roman" w:hAnsi="Times New Roman" w:cs="Times New Roman"/>
                <w:b w:val="0"/>
                <w:bCs w:val="0"/>
                <w:color w:val="FF0000"/>
                <w:spacing w:val="8"/>
                <w:sz w:val="21"/>
                <w:szCs w:val="21"/>
                <w:highlight w:val="none"/>
                <w:u w:val="none"/>
                <w:vertAlign w:val="baseline"/>
                <w:lang w:val="en-US" w:eastAsia="zh-CN"/>
              </w:rPr>
              <w:t>2018年1月30日</w:t>
            </w:r>
          </w:p>
        </w:tc>
        <w:tc>
          <w:tcPr>
            <w:tcW w:w="1260" w:type="pct"/>
            <w:tcBorders>
              <w:tl2br w:val="nil"/>
              <w:tr2bl w:val="nil"/>
            </w:tcBorders>
            <w:noWrap w:val="0"/>
            <w:vAlign w:val="center"/>
          </w:tcPr>
          <w:p w14:paraId="07D7C433">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FF0000"/>
                <w:spacing w:val="8"/>
                <w:sz w:val="21"/>
                <w:szCs w:val="21"/>
                <w:highlight w:val="none"/>
                <w:u w:val="none"/>
                <w:vertAlign w:val="baseline"/>
                <w:lang w:val="en-US" w:eastAsia="zh-CN"/>
              </w:rPr>
            </w:pPr>
            <w:r>
              <w:rPr>
                <w:rFonts w:hint="eastAsia" w:ascii="Times New Roman" w:hAnsi="Times New Roman" w:cs="Times New Roman"/>
                <w:b w:val="0"/>
                <w:bCs w:val="0"/>
                <w:color w:val="FF0000"/>
                <w:spacing w:val="8"/>
                <w:sz w:val="21"/>
                <w:szCs w:val="21"/>
                <w:highlight w:val="none"/>
                <w:u w:val="none"/>
                <w:vertAlign w:val="baseline"/>
                <w:lang w:val="en-US" w:eastAsia="zh-CN"/>
              </w:rPr>
              <w:t>通过自主验收</w:t>
            </w:r>
          </w:p>
        </w:tc>
        <w:tc>
          <w:tcPr>
            <w:tcW w:w="568" w:type="pct"/>
            <w:tcBorders>
              <w:tl2br w:val="nil"/>
              <w:tr2bl w:val="nil"/>
            </w:tcBorders>
            <w:noWrap w:val="0"/>
            <w:vAlign w:val="center"/>
          </w:tcPr>
          <w:p w14:paraId="568B737D">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FF0000"/>
                <w:spacing w:val="8"/>
                <w:sz w:val="21"/>
                <w:szCs w:val="21"/>
                <w:highlight w:val="none"/>
                <w:u w:val="none"/>
                <w:vertAlign w:val="baseline"/>
                <w:lang w:val="en-US" w:eastAsia="zh-CN"/>
              </w:rPr>
            </w:pPr>
            <w:r>
              <w:rPr>
                <w:rFonts w:hint="eastAsia" w:ascii="Times New Roman" w:hAnsi="Times New Roman" w:cs="Times New Roman"/>
                <w:b w:val="0"/>
                <w:bCs w:val="0"/>
                <w:color w:val="FF0000"/>
                <w:spacing w:val="8"/>
                <w:sz w:val="21"/>
                <w:szCs w:val="21"/>
                <w:highlight w:val="none"/>
                <w:u w:val="none"/>
                <w:vertAlign w:val="baseline"/>
                <w:lang w:val="en-US" w:eastAsia="zh-CN"/>
              </w:rPr>
              <w:t>/</w:t>
            </w:r>
          </w:p>
        </w:tc>
        <w:tc>
          <w:tcPr>
            <w:tcW w:w="659" w:type="pct"/>
            <w:vMerge w:val="continue"/>
            <w:tcBorders>
              <w:tl2br w:val="nil"/>
              <w:tr2bl w:val="nil"/>
            </w:tcBorders>
            <w:noWrap w:val="0"/>
            <w:vAlign w:val="center"/>
          </w:tcPr>
          <w:p w14:paraId="4AFBCAA1">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FF0000"/>
                <w:spacing w:val="8"/>
                <w:sz w:val="21"/>
                <w:szCs w:val="21"/>
                <w:highlight w:val="none"/>
                <w:u w:val="none"/>
                <w:vertAlign w:val="baseline"/>
                <w:lang w:val="en-US" w:eastAsia="zh-CN"/>
              </w:rPr>
            </w:pPr>
          </w:p>
        </w:tc>
      </w:tr>
      <w:tr w14:paraId="6A7EB1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22" w:type="pct"/>
            <w:tcBorders>
              <w:tl2br w:val="nil"/>
              <w:tr2bl w:val="nil"/>
            </w:tcBorders>
            <w:noWrap w:val="0"/>
            <w:vAlign w:val="center"/>
          </w:tcPr>
          <w:p w14:paraId="4E90EB2B">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FF0000"/>
                <w:spacing w:val="8"/>
                <w:sz w:val="21"/>
                <w:szCs w:val="21"/>
                <w:highlight w:val="none"/>
                <w:u w:val="none"/>
                <w:vertAlign w:val="baseline"/>
                <w:lang w:val="en-US" w:eastAsia="zh-CN"/>
              </w:rPr>
            </w:pPr>
            <w:r>
              <w:rPr>
                <w:rFonts w:hint="eastAsia" w:ascii="Times New Roman" w:hAnsi="Times New Roman" w:cs="Times New Roman"/>
                <w:b w:val="0"/>
                <w:bCs/>
                <w:color w:val="FF0000"/>
                <w:spacing w:val="8"/>
                <w:sz w:val="21"/>
                <w:szCs w:val="21"/>
                <w:highlight w:val="none"/>
                <w:u w:val="none"/>
                <w:vertAlign w:val="baseline"/>
                <w:lang w:val="en-US" w:eastAsia="zh-CN"/>
              </w:rPr>
              <w:t>4</w:t>
            </w:r>
          </w:p>
        </w:tc>
        <w:tc>
          <w:tcPr>
            <w:tcW w:w="880" w:type="pct"/>
            <w:vMerge w:val="restart"/>
            <w:tcBorders>
              <w:tl2br w:val="nil"/>
              <w:tr2bl w:val="nil"/>
            </w:tcBorders>
            <w:noWrap w:val="0"/>
            <w:vAlign w:val="center"/>
          </w:tcPr>
          <w:p w14:paraId="0C9B39D7">
            <w:pPr>
              <w:pStyle w:val="63"/>
              <w:ind w:firstLine="0" w:firstLineChars="0"/>
              <w:jc w:val="center"/>
              <w:rPr>
                <w:rFonts w:hint="default" w:ascii="Times New Roman" w:hAnsi="Times New Roman" w:eastAsia="宋体" w:cs="Times New Roman"/>
                <w:b w:val="0"/>
                <w:bCs w:val="0"/>
                <w:color w:val="FF0000"/>
                <w:spacing w:val="8"/>
                <w:kern w:val="2"/>
                <w:sz w:val="21"/>
                <w:szCs w:val="21"/>
                <w:highlight w:val="none"/>
                <w:u w:val="none"/>
                <w:vertAlign w:val="baseline"/>
                <w:lang w:val="en-US" w:eastAsia="zh-CN" w:bidi="ar-SA"/>
              </w:rPr>
            </w:pPr>
            <w:r>
              <w:rPr>
                <w:rFonts w:hint="eastAsia" w:ascii="Times New Roman" w:hAnsi="Times New Roman" w:eastAsia="宋体" w:cs="Times New Roman"/>
                <w:b w:val="0"/>
                <w:bCs w:val="0"/>
                <w:color w:val="FF0000"/>
                <w:spacing w:val="8"/>
                <w:kern w:val="2"/>
                <w:sz w:val="21"/>
                <w:szCs w:val="21"/>
                <w:highlight w:val="none"/>
                <w:u w:val="none"/>
                <w:vertAlign w:val="baseline"/>
                <w:lang w:val="en-US" w:eastAsia="zh-CN" w:bidi="ar-SA"/>
              </w:rPr>
              <w:t>佳木斯中恒热电有限公司新建、扩建锅炉房工程环境影响报告书</w:t>
            </w:r>
          </w:p>
        </w:tc>
        <w:tc>
          <w:tcPr>
            <w:tcW w:w="760" w:type="pct"/>
            <w:tcBorders>
              <w:tl2br w:val="nil"/>
              <w:tr2bl w:val="nil"/>
            </w:tcBorders>
            <w:noWrap w:val="0"/>
            <w:vAlign w:val="center"/>
          </w:tcPr>
          <w:p w14:paraId="30440438">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FF0000"/>
                <w:spacing w:val="8"/>
                <w:kern w:val="2"/>
                <w:sz w:val="21"/>
                <w:szCs w:val="21"/>
                <w:highlight w:val="none"/>
                <w:u w:val="none"/>
                <w:vertAlign w:val="baseline"/>
                <w:lang w:val="en-US" w:eastAsia="zh-CN" w:bidi="ar-SA"/>
              </w:rPr>
            </w:pPr>
            <w:r>
              <w:rPr>
                <w:rFonts w:hint="eastAsia" w:ascii="Times New Roman" w:hAnsi="Times New Roman" w:cs="Times New Roman"/>
                <w:b w:val="0"/>
                <w:bCs w:val="0"/>
                <w:color w:val="FF0000"/>
                <w:sz w:val="21"/>
                <w:szCs w:val="21"/>
                <w:highlight w:val="none"/>
                <w:lang w:val="en-US" w:eastAsia="zh-CN"/>
              </w:rPr>
              <w:t>原佳木斯市环保局</w:t>
            </w:r>
          </w:p>
        </w:tc>
        <w:tc>
          <w:tcPr>
            <w:tcW w:w="648" w:type="pct"/>
            <w:tcBorders>
              <w:tl2br w:val="nil"/>
              <w:tr2bl w:val="nil"/>
            </w:tcBorders>
            <w:noWrap w:val="0"/>
            <w:vAlign w:val="center"/>
          </w:tcPr>
          <w:p w14:paraId="4787C3D0">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FF0000"/>
                <w:spacing w:val="8"/>
                <w:kern w:val="2"/>
                <w:sz w:val="21"/>
                <w:szCs w:val="21"/>
                <w:highlight w:val="none"/>
                <w:u w:val="none"/>
                <w:vertAlign w:val="baseline"/>
                <w:lang w:val="en-US" w:eastAsia="zh-CN" w:bidi="ar-SA"/>
              </w:rPr>
            </w:pPr>
            <w:r>
              <w:rPr>
                <w:rFonts w:hint="eastAsia" w:ascii="Times New Roman" w:hAnsi="Times New Roman" w:cs="Times New Roman"/>
                <w:b w:val="0"/>
                <w:bCs w:val="0"/>
                <w:color w:val="FF0000"/>
                <w:sz w:val="21"/>
                <w:szCs w:val="21"/>
                <w:highlight w:val="none"/>
                <w:lang w:val="en-US" w:eastAsia="zh-CN"/>
              </w:rPr>
              <w:t>2014年4月28日</w:t>
            </w:r>
          </w:p>
        </w:tc>
        <w:tc>
          <w:tcPr>
            <w:tcW w:w="1260" w:type="pct"/>
            <w:tcBorders>
              <w:tl2br w:val="nil"/>
              <w:tr2bl w:val="nil"/>
            </w:tcBorders>
            <w:noWrap w:val="0"/>
            <w:vAlign w:val="center"/>
          </w:tcPr>
          <w:p w14:paraId="6CA36736">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FF0000"/>
                <w:spacing w:val="8"/>
                <w:kern w:val="2"/>
                <w:sz w:val="21"/>
                <w:szCs w:val="21"/>
                <w:highlight w:val="none"/>
                <w:u w:val="none"/>
                <w:vertAlign w:val="baseline"/>
                <w:lang w:val="en-US" w:eastAsia="zh-CN" w:bidi="ar-SA"/>
              </w:rPr>
            </w:pPr>
            <w:r>
              <w:rPr>
                <w:rFonts w:hint="default" w:ascii="Times New Roman" w:hAnsi="Times New Roman" w:eastAsia="宋体" w:cs="Times New Roman"/>
                <w:b w:val="0"/>
                <w:bCs w:val="0"/>
                <w:color w:val="FF0000"/>
                <w:spacing w:val="8"/>
                <w:kern w:val="2"/>
                <w:sz w:val="21"/>
                <w:szCs w:val="21"/>
                <w:highlight w:val="none"/>
                <w:u w:val="none"/>
                <w:vertAlign w:val="baseline"/>
                <w:lang w:val="en-US" w:eastAsia="zh-CN" w:bidi="ar-SA"/>
              </w:rPr>
              <w:t>《</w:t>
            </w:r>
            <w:r>
              <w:rPr>
                <w:rFonts w:hint="default" w:ascii="Times New Roman" w:hAnsi="Times New Roman" w:eastAsia="宋体" w:cs="Times New Roman"/>
                <w:b w:val="0"/>
                <w:bCs w:val="0"/>
                <w:color w:val="FF0000"/>
                <w:sz w:val="21"/>
                <w:szCs w:val="21"/>
                <w:highlight w:val="none"/>
                <w:lang w:eastAsia="zh-CN"/>
              </w:rPr>
              <w:t>关于</w:t>
            </w:r>
            <w:r>
              <w:rPr>
                <w:rFonts w:hint="eastAsia" w:ascii="Times New Roman" w:hAnsi="Times New Roman" w:cs="Times New Roman"/>
                <w:b w:val="0"/>
                <w:bCs w:val="0"/>
                <w:color w:val="FF0000"/>
                <w:spacing w:val="8"/>
                <w:kern w:val="2"/>
                <w:sz w:val="21"/>
                <w:szCs w:val="21"/>
                <w:highlight w:val="none"/>
                <w:u w:val="none"/>
                <w:vertAlign w:val="baseline"/>
                <w:lang w:val="en-US" w:eastAsia="zh-CN" w:bidi="ar-SA"/>
              </w:rPr>
              <w:t>佳木斯中恒热电有限公司新建、扩建锅炉房工程环境影响报告书</w:t>
            </w:r>
            <w:r>
              <w:rPr>
                <w:rFonts w:hint="default" w:ascii="Times New Roman" w:hAnsi="Times New Roman" w:eastAsia="宋体" w:cs="Times New Roman"/>
                <w:b w:val="0"/>
                <w:bCs w:val="0"/>
                <w:color w:val="FF0000"/>
                <w:sz w:val="21"/>
                <w:szCs w:val="21"/>
                <w:highlight w:val="none"/>
                <w:lang w:eastAsia="zh-CN"/>
              </w:rPr>
              <w:t>的批复</w:t>
            </w:r>
            <w:r>
              <w:rPr>
                <w:rFonts w:hint="eastAsia" w:ascii="Times New Roman" w:hAnsi="Times New Roman" w:cs="Times New Roman"/>
                <w:b w:val="0"/>
                <w:bCs w:val="0"/>
                <w:color w:val="FF0000"/>
                <w:sz w:val="21"/>
                <w:szCs w:val="21"/>
                <w:highlight w:val="none"/>
                <w:lang w:eastAsia="zh-CN"/>
              </w:rPr>
              <w:t>意见</w:t>
            </w:r>
            <w:r>
              <w:rPr>
                <w:rFonts w:hint="default" w:ascii="Times New Roman" w:hAnsi="Times New Roman" w:eastAsia="宋体" w:cs="Times New Roman"/>
                <w:b w:val="0"/>
                <w:bCs w:val="0"/>
                <w:color w:val="FF0000"/>
                <w:spacing w:val="8"/>
                <w:kern w:val="2"/>
                <w:sz w:val="21"/>
                <w:szCs w:val="21"/>
                <w:highlight w:val="none"/>
                <w:u w:val="none"/>
                <w:vertAlign w:val="baseline"/>
                <w:lang w:val="en-US" w:eastAsia="zh-CN" w:bidi="ar-SA"/>
              </w:rPr>
              <w:t>》</w:t>
            </w:r>
          </w:p>
        </w:tc>
        <w:tc>
          <w:tcPr>
            <w:tcW w:w="568" w:type="pct"/>
            <w:tcBorders>
              <w:tl2br w:val="nil"/>
              <w:tr2bl w:val="nil"/>
            </w:tcBorders>
            <w:noWrap w:val="0"/>
            <w:vAlign w:val="center"/>
          </w:tcPr>
          <w:p w14:paraId="03987BBB">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FF0000"/>
                <w:spacing w:val="8"/>
                <w:kern w:val="2"/>
                <w:sz w:val="21"/>
                <w:szCs w:val="21"/>
                <w:highlight w:val="none"/>
                <w:u w:val="none"/>
                <w:vertAlign w:val="baseline"/>
                <w:lang w:val="en-US" w:eastAsia="zh-CN" w:bidi="ar-SA"/>
              </w:rPr>
            </w:pPr>
            <w:r>
              <w:rPr>
                <w:rFonts w:hint="eastAsia" w:ascii="Times New Roman" w:hAnsi="Times New Roman" w:eastAsia="宋体" w:cs="Times New Roman"/>
                <w:b w:val="0"/>
                <w:bCs w:val="0"/>
                <w:color w:val="FF0000"/>
                <w:spacing w:val="8"/>
                <w:sz w:val="21"/>
                <w:szCs w:val="21"/>
                <w:highlight w:val="none"/>
                <w:u w:val="none"/>
                <w:vertAlign w:val="baseline"/>
                <w:lang w:val="en-US" w:eastAsia="zh-CN"/>
              </w:rPr>
              <w:t>佳环建审〔2014〕30号</w:t>
            </w:r>
          </w:p>
        </w:tc>
        <w:tc>
          <w:tcPr>
            <w:tcW w:w="659" w:type="pct"/>
            <w:vMerge w:val="continue"/>
            <w:tcBorders>
              <w:tl2br w:val="nil"/>
              <w:tr2bl w:val="nil"/>
            </w:tcBorders>
            <w:noWrap w:val="0"/>
            <w:vAlign w:val="center"/>
          </w:tcPr>
          <w:p w14:paraId="4389BFD8">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lang w:eastAsia="zh-CN"/>
              </w:rPr>
            </w:pPr>
          </w:p>
        </w:tc>
      </w:tr>
      <w:tr w14:paraId="4C73D1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22" w:type="pct"/>
            <w:tcBorders>
              <w:tl2br w:val="nil"/>
              <w:tr2bl w:val="nil"/>
            </w:tcBorders>
            <w:noWrap w:val="0"/>
            <w:vAlign w:val="center"/>
          </w:tcPr>
          <w:p w14:paraId="1E8D8C47">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FF0000"/>
                <w:spacing w:val="8"/>
                <w:sz w:val="21"/>
                <w:szCs w:val="21"/>
                <w:highlight w:val="none"/>
                <w:u w:val="none"/>
                <w:vertAlign w:val="baseline"/>
                <w:lang w:val="en-US" w:eastAsia="zh-CN"/>
              </w:rPr>
            </w:pPr>
            <w:r>
              <w:rPr>
                <w:rFonts w:hint="eastAsia" w:ascii="Times New Roman" w:hAnsi="Times New Roman" w:cs="Times New Roman"/>
                <w:b w:val="0"/>
                <w:bCs/>
                <w:color w:val="FF0000"/>
                <w:spacing w:val="8"/>
                <w:sz w:val="21"/>
                <w:szCs w:val="21"/>
                <w:highlight w:val="none"/>
                <w:u w:val="none"/>
                <w:vertAlign w:val="baseline"/>
                <w:lang w:val="en-US" w:eastAsia="zh-CN"/>
              </w:rPr>
              <w:t>5</w:t>
            </w:r>
          </w:p>
        </w:tc>
        <w:tc>
          <w:tcPr>
            <w:tcW w:w="880" w:type="pct"/>
            <w:vMerge w:val="continue"/>
            <w:tcBorders>
              <w:tl2br w:val="nil"/>
              <w:tr2bl w:val="nil"/>
            </w:tcBorders>
            <w:noWrap w:val="0"/>
            <w:vAlign w:val="center"/>
          </w:tcPr>
          <w:p w14:paraId="593BC04C">
            <w:pPr>
              <w:pStyle w:val="63"/>
              <w:ind w:firstLine="0" w:firstLineChars="0"/>
              <w:jc w:val="center"/>
              <w:rPr>
                <w:rFonts w:hint="eastAsia" w:ascii="Times New Roman" w:hAnsi="Times New Roman" w:eastAsia="宋体" w:cs="Times New Roman"/>
                <w:b w:val="0"/>
                <w:bCs w:val="0"/>
                <w:color w:val="FF0000"/>
                <w:spacing w:val="8"/>
                <w:kern w:val="2"/>
                <w:sz w:val="21"/>
                <w:szCs w:val="21"/>
                <w:highlight w:val="none"/>
                <w:u w:val="none"/>
                <w:vertAlign w:val="baseline"/>
                <w:lang w:val="en-US" w:eastAsia="zh-CN" w:bidi="ar-SA"/>
              </w:rPr>
            </w:pPr>
          </w:p>
        </w:tc>
        <w:tc>
          <w:tcPr>
            <w:tcW w:w="760" w:type="pct"/>
            <w:tcBorders>
              <w:tl2br w:val="nil"/>
              <w:tr2bl w:val="nil"/>
            </w:tcBorders>
            <w:noWrap w:val="0"/>
            <w:vAlign w:val="center"/>
          </w:tcPr>
          <w:p w14:paraId="329D3C3D">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cs="Times New Roman"/>
                <w:b w:val="0"/>
                <w:bCs w:val="0"/>
                <w:color w:val="FF0000"/>
                <w:sz w:val="21"/>
                <w:szCs w:val="21"/>
                <w:highlight w:val="none"/>
                <w:lang w:val="en-US" w:eastAsia="zh-CN"/>
              </w:rPr>
            </w:pPr>
            <w:r>
              <w:rPr>
                <w:rFonts w:hint="eastAsia" w:ascii="Times New Roman" w:hAnsi="Times New Roman" w:cs="Times New Roman"/>
                <w:b w:val="0"/>
                <w:bCs w:val="0"/>
                <w:color w:val="FF0000"/>
                <w:sz w:val="21"/>
                <w:szCs w:val="21"/>
                <w:highlight w:val="none"/>
                <w:lang w:val="en-US" w:eastAsia="zh-CN"/>
              </w:rPr>
              <w:t>/</w:t>
            </w:r>
          </w:p>
        </w:tc>
        <w:tc>
          <w:tcPr>
            <w:tcW w:w="648" w:type="pct"/>
            <w:tcBorders>
              <w:tl2br w:val="nil"/>
              <w:tr2bl w:val="nil"/>
            </w:tcBorders>
            <w:noWrap w:val="0"/>
            <w:vAlign w:val="center"/>
          </w:tcPr>
          <w:p w14:paraId="01C34779">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ascii="Times New Roman" w:hAnsi="Times New Roman" w:cs="Times New Roman"/>
                <w:b w:val="0"/>
                <w:bCs w:val="0"/>
                <w:color w:val="FF0000"/>
                <w:sz w:val="21"/>
                <w:szCs w:val="21"/>
                <w:highlight w:val="none"/>
                <w:lang w:val="en-US" w:eastAsia="zh-CN"/>
              </w:rPr>
            </w:pPr>
            <w:r>
              <w:rPr>
                <w:rFonts w:hint="eastAsia" w:ascii="Times New Roman" w:hAnsi="Times New Roman" w:cs="Times New Roman"/>
                <w:b w:val="0"/>
                <w:bCs w:val="0"/>
                <w:color w:val="FF0000"/>
                <w:sz w:val="21"/>
                <w:szCs w:val="21"/>
                <w:highlight w:val="none"/>
                <w:lang w:val="en-US" w:eastAsia="zh-CN"/>
              </w:rPr>
              <w:t>2022年5月18日</w:t>
            </w:r>
          </w:p>
        </w:tc>
        <w:tc>
          <w:tcPr>
            <w:tcW w:w="1260" w:type="pct"/>
            <w:tcBorders>
              <w:tl2br w:val="nil"/>
              <w:tr2bl w:val="nil"/>
            </w:tcBorders>
            <w:noWrap w:val="0"/>
            <w:vAlign w:val="center"/>
          </w:tcPr>
          <w:p w14:paraId="5B81E5F9">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FF0000"/>
                <w:spacing w:val="8"/>
                <w:kern w:val="2"/>
                <w:sz w:val="21"/>
                <w:szCs w:val="21"/>
                <w:highlight w:val="none"/>
                <w:u w:val="none"/>
                <w:vertAlign w:val="baseline"/>
                <w:lang w:val="en-US" w:eastAsia="zh-CN" w:bidi="ar-SA"/>
              </w:rPr>
            </w:pPr>
            <w:r>
              <w:rPr>
                <w:rFonts w:hint="eastAsia" w:ascii="Times New Roman" w:hAnsi="Times New Roman" w:cs="Times New Roman"/>
                <w:b w:val="0"/>
                <w:bCs w:val="0"/>
                <w:color w:val="FF0000"/>
                <w:spacing w:val="8"/>
                <w:kern w:val="2"/>
                <w:sz w:val="21"/>
                <w:szCs w:val="21"/>
                <w:highlight w:val="none"/>
                <w:u w:val="none"/>
                <w:vertAlign w:val="baseline"/>
                <w:lang w:val="en-US" w:eastAsia="zh-CN" w:bidi="ar-SA"/>
              </w:rPr>
              <w:t>通过</w:t>
            </w:r>
            <w:r>
              <w:rPr>
                <w:rFonts w:hint="default" w:ascii="Times New Roman" w:hAnsi="Times New Roman" w:eastAsia="宋体" w:cs="Times New Roman"/>
                <w:b w:val="0"/>
                <w:bCs w:val="0"/>
                <w:color w:val="FF0000"/>
                <w:spacing w:val="8"/>
                <w:kern w:val="2"/>
                <w:sz w:val="21"/>
                <w:szCs w:val="21"/>
                <w:highlight w:val="none"/>
                <w:u w:val="none"/>
                <w:vertAlign w:val="baseline"/>
                <w:lang w:val="en-US" w:eastAsia="zh-CN" w:bidi="ar-SA"/>
              </w:rPr>
              <w:t>自主验收</w:t>
            </w:r>
          </w:p>
        </w:tc>
        <w:tc>
          <w:tcPr>
            <w:tcW w:w="568" w:type="pct"/>
            <w:tcBorders>
              <w:tl2br w:val="nil"/>
              <w:tr2bl w:val="nil"/>
            </w:tcBorders>
            <w:noWrap w:val="0"/>
            <w:vAlign w:val="center"/>
          </w:tcPr>
          <w:p w14:paraId="3E222F95">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FF0000"/>
                <w:spacing w:val="8"/>
                <w:sz w:val="21"/>
                <w:szCs w:val="21"/>
                <w:highlight w:val="none"/>
                <w:u w:val="none"/>
                <w:vertAlign w:val="baseline"/>
                <w:lang w:val="en-US" w:eastAsia="zh-CN"/>
              </w:rPr>
            </w:pPr>
            <w:r>
              <w:rPr>
                <w:rFonts w:hint="eastAsia" w:ascii="Times New Roman" w:hAnsi="Times New Roman" w:cs="Times New Roman"/>
                <w:b w:val="0"/>
                <w:bCs w:val="0"/>
                <w:color w:val="FF0000"/>
                <w:spacing w:val="8"/>
                <w:sz w:val="21"/>
                <w:szCs w:val="21"/>
                <w:highlight w:val="none"/>
                <w:u w:val="none"/>
                <w:vertAlign w:val="baseline"/>
                <w:lang w:val="en-US" w:eastAsia="zh-CN"/>
              </w:rPr>
              <w:t>/</w:t>
            </w:r>
          </w:p>
        </w:tc>
        <w:tc>
          <w:tcPr>
            <w:tcW w:w="659" w:type="pct"/>
            <w:vMerge w:val="continue"/>
            <w:tcBorders>
              <w:tl2br w:val="nil"/>
              <w:tr2bl w:val="nil"/>
            </w:tcBorders>
            <w:noWrap w:val="0"/>
            <w:vAlign w:val="center"/>
          </w:tcPr>
          <w:p w14:paraId="379AC332">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lang w:eastAsia="zh-CN"/>
              </w:rPr>
            </w:pPr>
          </w:p>
        </w:tc>
      </w:tr>
      <w:tr w14:paraId="499D65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22" w:type="pct"/>
            <w:tcBorders>
              <w:tl2br w:val="nil"/>
              <w:tr2bl w:val="nil"/>
            </w:tcBorders>
            <w:noWrap w:val="0"/>
            <w:vAlign w:val="center"/>
          </w:tcPr>
          <w:p w14:paraId="4F6DF512">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cs="Times New Roman"/>
                <w:b w:val="0"/>
                <w:bCs/>
                <w:color w:val="FF0000"/>
                <w:spacing w:val="8"/>
                <w:sz w:val="21"/>
                <w:szCs w:val="21"/>
                <w:highlight w:val="none"/>
                <w:u w:val="none"/>
                <w:vertAlign w:val="baseline"/>
                <w:lang w:val="en-US" w:eastAsia="zh-CN"/>
              </w:rPr>
            </w:pPr>
            <w:r>
              <w:rPr>
                <w:rFonts w:hint="eastAsia" w:ascii="Times New Roman" w:hAnsi="Times New Roman" w:cs="Times New Roman"/>
                <w:b w:val="0"/>
                <w:bCs/>
                <w:color w:val="FF0000"/>
                <w:spacing w:val="8"/>
                <w:sz w:val="21"/>
                <w:szCs w:val="21"/>
                <w:highlight w:val="none"/>
                <w:u w:val="none"/>
                <w:vertAlign w:val="baseline"/>
                <w:lang w:val="en-US" w:eastAsia="zh-CN"/>
              </w:rPr>
              <w:t>6</w:t>
            </w:r>
          </w:p>
        </w:tc>
        <w:tc>
          <w:tcPr>
            <w:tcW w:w="880" w:type="pct"/>
            <w:tcBorders>
              <w:tl2br w:val="nil"/>
              <w:tr2bl w:val="nil"/>
            </w:tcBorders>
            <w:shd w:val="clear" w:color="auto" w:fill="auto"/>
            <w:noWrap w:val="0"/>
            <w:vAlign w:val="center"/>
          </w:tcPr>
          <w:p w14:paraId="331130FE">
            <w:pPr>
              <w:pStyle w:val="63"/>
              <w:ind w:firstLine="0" w:firstLineChars="0"/>
              <w:jc w:val="center"/>
              <w:rPr>
                <w:rFonts w:hint="eastAsia" w:ascii="Times New Roman" w:hAnsi="Times New Roman" w:eastAsia="宋体" w:cs="Times New Roman"/>
                <w:b w:val="0"/>
                <w:bCs w:val="0"/>
                <w:color w:val="FF0000"/>
                <w:spacing w:val="8"/>
                <w:kern w:val="2"/>
                <w:sz w:val="21"/>
                <w:szCs w:val="21"/>
                <w:highlight w:val="none"/>
                <w:u w:val="none"/>
                <w:vertAlign w:val="baseline"/>
                <w:lang w:val="en-US" w:eastAsia="zh-CN" w:bidi="ar-SA"/>
              </w:rPr>
            </w:pPr>
            <w:r>
              <w:rPr>
                <w:rFonts w:hint="eastAsia" w:ascii="Times New Roman" w:hAnsi="Times New Roman" w:eastAsia="宋体" w:cs="Times New Roman"/>
                <w:b w:val="0"/>
                <w:bCs w:val="0"/>
                <w:color w:val="FF0000"/>
                <w:spacing w:val="8"/>
                <w:kern w:val="2"/>
                <w:sz w:val="21"/>
                <w:szCs w:val="21"/>
                <w:highlight w:val="none"/>
                <w:u w:val="none"/>
                <w:vertAlign w:val="baseline"/>
                <w:lang w:val="en-US" w:eastAsia="zh-CN" w:bidi="ar-SA"/>
              </w:rPr>
              <w:t>佳木斯中恒热电有限公司2台240t/h循环流化床锅炉环保超低排放改扩建项目</w:t>
            </w:r>
          </w:p>
        </w:tc>
        <w:tc>
          <w:tcPr>
            <w:tcW w:w="760" w:type="pct"/>
            <w:tcBorders>
              <w:tl2br w:val="nil"/>
              <w:tr2bl w:val="nil"/>
            </w:tcBorders>
            <w:shd w:val="clear" w:color="auto" w:fill="auto"/>
            <w:noWrap w:val="0"/>
            <w:vAlign w:val="center"/>
          </w:tcPr>
          <w:p w14:paraId="5F46786C">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eastAsia" w:ascii="Times New Roman" w:hAnsi="Times New Roman" w:cs="Times New Roman"/>
                <w:b w:val="0"/>
                <w:bCs w:val="0"/>
                <w:color w:val="FF0000"/>
                <w:sz w:val="21"/>
                <w:szCs w:val="21"/>
                <w:highlight w:val="none"/>
                <w:lang w:val="en-US" w:eastAsia="zh-CN"/>
              </w:rPr>
              <w:t>佳木斯市生态环境局</w:t>
            </w:r>
          </w:p>
        </w:tc>
        <w:tc>
          <w:tcPr>
            <w:tcW w:w="648" w:type="pct"/>
            <w:tcBorders>
              <w:tl2br w:val="nil"/>
              <w:tr2bl w:val="nil"/>
            </w:tcBorders>
            <w:shd w:val="clear" w:color="auto" w:fill="auto"/>
            <w:noWrap w:val="0"/>
            <w:vAlign w:val="center"/>
          </w:tcPr>
          <w:p w14:paraId="3A108D93">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eastAsia" w:ascii="Times New Roman" w:hAnsi="Times New Roman" w:cs="Times New Roman"/>
                <w:b w:val="0"/>
                <w:bCs w:val="0"/>
                <w:color w:val="FF0000"/>
                <w:sz w:val="21"/>
                <w:szCs w:val="21"/>
                <w:highlight w:val="none"/>
                <w:lang w:val="en-US" w:eastAsia="zh-CN"/>
              </w:rPr>
              <w:t>2023年5月17日</w:t>
            </w:r>
          </w:p>
        </w:tc>
        <w:tc>
          <w:tcPr>
            <w:tcW w:w="1260" w:type="pct"/>
            <w:tcBorders>
              <w:tl2br w:val="nil"/>
              <w:tr2bl w:val="nil"/>
            </w:tcBorders>
            <w:shd w:val="clear" w:color="auto" w:fill="auto"/>
            <w:noWrap w:val="0"/>
            <w:vAlign w:val="center"/>
          </w:tcPr>
          <w:p w14:paraId="01C7D570">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FF0000"/>
                <w:spacing w:val="8"/>
                <w:kern w:val="2"/>
                <w:sz w:val="21"/>
                <w:szCs w:val="21"/>
                <w:highlight w:val="none"/>
                <w:u w:val="none"/>
                <w:vertAlign w:val="baseline"/>
                <w:lang w:val="en-US" w:eastAsia="zh-CN" w:bidi="ar-SA"/>
              </w:rPr>
            </w:pPr>
            <w:r>
              <w:rPr>
                <w:rFonts w:hint="default" w:ascii="Times New Roman" w:hAnsi="Times New Roman" w:eastAsia="宋体" w:cs="Times New Roman"/>
                <w:b w:val="0"/>
                <w:bCs w:val="0"/>
                <w:color w:val="FF0000"/>
                <w:spacing w:val="8"/>
                <w:kern w:val="2"/>
                <w:sz w:val="21"/>
                <w:szCs w:val="21"/>
                <w:highlight w:val="none"/>
                <w:u w:val="none"/>
                <w:vertAlign w:val="baseline"/>
                <w:lang w:val="en-US" w:eastAsia="zh-CN" w:bidi="ar-SA"/>
              </w:rPr>
              <w:t>佳木斯中恒热电有限公司2台240t/h循环流化床锅炉环保超低排放改扩建项目环境影响登记表</w:t>
            </w:r>
          </w:p>
        </w:tc>
        <w:tc>
          <w:tcPr>
            <w:tcW w:w="568" w:type="pct"/>
            <w:tcBorders>
              <w:tl2br w:val="nil"/>
              <w:tr2bl w:val="nil"/>
            </w:tcBorders>
            <w:shd w:val="clear" w:color="auto" w:fill="auto"/>
            <w:noWrap w:val="0"/>
            <w:vAlign w:val="center"/>
          </w:tcPr>
          <w:p w14:paraId="02CDA885">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ascii="Times New Roman" w:hAnsi="Times New Roman" w:eastAsia="宋体" w:cs="Times New Roman"/>
                <w:b w:val="0"/>
                <w:bCs w:val="0"/>
                <w:color w:val="FF0000"/>
                <w:spacing w:val="8"/>
                <w:kern w:val="2"/>
                <w:sz w:val="21"/>
                <w:szCs w:val="21"/>
                <w:highlight w:val="none"/>
                <w:u w:val="none"/>
                <w:vertAlign w:val="baseline"/>
                <w:lang w:val="en-US" w:eastAsia="zh-CN" w:bidi="ar-SA"/>
              </w:rPr>
            </w:pPr>
            <w:r>
              <w:rPr>
                <w:rFonts w:hint="eastAsia" w:ascii="Times New Roman" w:hAnsi="Times New Roman" w:cs="Times New Roman"/>
                <w:b w:val="0"/>
                <w:bCs w:val="0"/>
                <w:color w:val="FF0000"/>
                <w:spacing w:val="8"/>
                <w:sz w:val="21"/>
                <w:szCs w:val="21"/>
                <w:highlight w:val="none"/>
                <w:u w:val="none"/>
                <w:vertAlign w:val="baseline"/>
                <w:lang w:val="en-US" w:eastAsia="zh-CN"/>
              </w:rPr>
              <w:t>202323081100000027</w:t>
            </w:r>
          </w:p>
        </w:tc>
        <w:tc>
          <w:tcPr>
            <w:tcW w:w="659" w:type="pct"/>
            <w:vMerge w:val="continue"/>
            <w:tcBorders>
              <w:tl2br w:val="nil"/>
              <w:tr2bl w:val="nil"/>
            </w:tcBorders>
            <w:noWrap w:val="0"/>
            <w:vAlign w:val="center"/>
          </w:tcPr>
          <w:p w14:paraId="34DCF833">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lang w:eastAsia="zh-CN"/>
              </w:rPr>
            </w:pPr>
          </w:p>
        </w:tc>
      </w:tr>
      <w:tr w14:paraId="6F6DC1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22" w:type="pct"/>
            <w:tcBorders>
              <w:tl2br w:val="nil"/>
              <w:tr2bl w:val="nil"/>
            </w:tcBorders>
            <w:noWrap w:val="0"/>
            <w:vAlign w:val="center"/>
          </w:tcPr>
          <w:p w14:paraId="2BBDB5B0">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cs="Times New Roman"/>
                <w:b w:val="0"/>
                <w:bCs/>
                <w:color w:val="FF0000"/>
                <w:spacing w:val="8"/>
                <w:sz w:val="21"/>
                <w:szCs w:val="21"/>
                <w:highlight w:val="none"/>
                <w:u w:val="none"/>
                <w:vertAlign w:val="baseline"/>
                <w:lang w:val="en-US" w:eastAsia="zh-CN"/>
              </w:rPr>
            </w:pPr>
            <w:r>
              <w:rPr>
                <w:rFonts w:hint="eastAsia" w:ascii="Times New Roman" w:hAnsi="Times New Roman" w:cs="Times New Roman"/>
                <w:b w:val="0"/>
                <w:bCs/>
                <w:color w:val="FF0000"/>
                <w:spacing w:val="8"/>
                <w:sz w:val="21"/>
                <w:szCs w:val="21"/>
                <w:highlight w:val="none"/>
                <w:u w:val="none"/>
                <w:vertAlign w:val="baseline"/>
                <w:lang w:val="en-US" w:eastAsia="zh-CN"/>
              </w:rPr>
              <w:t>7</w:t>
            </w:r>
          </w:p>
        </w:tc>
        <w:tc>
          <w:tcPr>
            <w:tcW w:w="880" w:type="pct"/>
            <w:tcBorders>
              <w:tl2br w:val="nil"/>
              <w:tr2bl w:val="nil"/>
            </w:tcBorders>
            <w:shd w:val="clear" w:color="auto" w:fill="auto"/>
            <w:noWrap w:val="0"/>
            <w:vAlign w:val="center"/>
          </w:tcPr>
          <w:p w14:paraId="466EE970">
            <w:pPr>
              <w:pStyle w:val="63"/>
              <w:ind w:firstLine="0" w:firstLineChars="0"/>
              <w:jc w:val="center"/>
              <w:rPr>
                <w:rFonts w:hint="eastAsia" w:ascii="Times New Roman" w:hAnsi="Times New Roman" w:eastAsia="宋体" w:cs="Times New Roman"/>
                <w:b w:val="0"/>
                <w:bCs w:val="0"/>
                <w:color w:val="FF0000"/>
                <w:spacing w:val="8"/>
                <w:kern w:val="2"/>
                <w:sz w:val="21"/>
                <w:szCs w:val="21"/>
                <w:highlight w:val="none"/>
                <w:u w:val="none"/>
                <w:vertAlign w:val="baseline"/>
                <w:lang w:val="en-US" w:eastAsia="zh-CN" w:bidi="ar-SA"/>
              </w:rPr>
            </w:pPr>
            <w:r>
              <w:rPr>
                <w:rFonts w:hint="eastAsia" w:ascii="Times New Roman" w:hAnsi="Times New Roman" w:eastAsia="宋体" w:cs="Times New Roman"/>
                <w:b w:val="0"/>
                <w:bCs w:val="0"/>
                <w:color w:val="FF0000"/>
                <w:spacing w:val="8"/>
                <w:kern w:val="2"/>
                <w:sz w:val="21"/>
                <w:szCs w:val="21"/>
                <w:highlight w:val="none"/>
                <w:u w:val="none"/>
                <w:vertAlign w:val="baseline"/>
                <w:lang w:val="en-US" w:eastAsia="zh-CN" w:bidi="ar-SA"/>
              </w:rPr>
              <w:t>116MW循环流化床锅炉环保超低排放改扩建项目</w:t>
            </w:r>
          </w:p>
        </w:tc>
        <w:tc>
          <w:tcPr>
            <w:tcW w:w="760" w:type="pct"/>
            <w:tcBorders>
              <w:tl2br w:val="nil"/>
              <w:tr2bl w:val="nil"/>
            </w:tcBorders>
            <w:shd w:val="clear" w:color="auto" w:fill="auto"/>
            <w:noWrap w:val="0"/>
            <w:vAlign w:val="center"/>
          </w:tcPr>
          <w:p w14:paraId="6628002D">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ascii="Times New Roman" w:hAnsi="Times New Roman" w:eastAsia="宋体" w:cs="Times New Roman"/>
                <w:b w:val="0"/>
                <w:bCs w:val="0"/>
                <w:color w:val="FF0000"/>
                <w:kern w:val="2"/>
                <w:sz w:val="21"/>
                <w:szCs w:val="21"/>
                <w:highlight w:val="none"/>
                <w:lang w:val="en-US" w:eastAsia="zh-CN" w:bidi="ar-SA"/>
              </w:rPr>
            </w:pPr>
            <w:r>
              <w:rPr>
                <w:rFonts w:hint="eastAsia" w:ascii="Times New Roman" w:hAnsi="Times New Roman" w:cs="Times New Roman"/>
                <w:b w:val="0"/>
                <w:bCs w:val="0"/>
                <w:color w:val="FF0000"/>
                <w:sz w:val="21"/>
                <w:szCs w:val="21"/>
                <w:highlight w:val="none"/>
                <w:lang w:val="en-US" w:eastAsia="zh-CN"/>
              </w:rPr>
              <w:t>佳木斯市生态环境局</w:t>
            </w:r>
          </w:p>
        </w:tc>
        <w:tc>
          <w:tcPr>
            <w:tcW w:w="648" w:type="pct"/>
            <w:tcBorders>
              <w:tl2br w:val="nil"/>
              <w:tr2bl w:val="nil"/>
            </w:tcBorders>
            <w:shd w:val="clear" w:color="auto" w:fill="auto"/>
            <w:noWrap w:val="0"/>
            <w:vAlign w:val="center"/>
          </w:tcPr>
          <w:p w14:paraId="091B43EE">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FF0000"/>
                <w:kern w:val="2"/>
                <w:sz w:val="21"/>
                <w:szCs w:val="21"/>
                <w:highlight w:val="none"/>
                <w:lang w:val="en-US" w:eastAsia="zh-CN" w:bidi="ar-SA"/>
              </w:rPr>
            </w:pPr>
            <w:r>
              <w:rPr>
                <w:rFonts w:hint="eastAsia" w:ascii="Times New Roman" w:hAnsi="Times New Roman" w:cs="Times New Roman"/>
                <w:b w:val="0"/>
                <w:bCs w:val="0"/>
                <w:color w:val="FF0000"/>
                <w:sz w:val="21"/>
                <w:szCs w:val="21"/>
                <w:highlight w:val="none"/>
                <w:lang w:val="en-US" w:eastAsia="zh-CN"/>
              </w:rPr>
              <w:t>2024年8月30</w:t>
            </w:r>
          </w:p>
        </w:tc>
        <w:tc>
          <w:tcPr>
            <w:tcW w:w="1260" w:type="pct"/>
            <w:tcBorders>
              <w:tl2br w:val="nil"/>
              <w:tr2bl w:val="nil"/>
            </w:tcBorders>
            <w:shd w:val="clear" w:color="auto" w:fill="auto"/>
            <w:noWrap w:val="0"/>
            <w:vAlign w:val="center"/>
          </w:tcPr>
          <w:p w14:paraId="14AD0E53">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FF0000"/>
                <w:spacing w:val="8"/>
                <w:kern w:val="2"/>
                <w:sz w:val="21"/>
                <w:szCs w:val="21"/>
                <w:highlight w:val="none"/>
                <w:u w:val="none"/>
                <w:vertAlign w:val="baseline"/>
                <w:lang w:val="en-US" w:eastAsia="zh-CN" w:bidi="ar-SA"/>
              </w:rPr>
            </w:pPr>
            <w:r>
              <w:rPr>
                <w:rFonts w:hint="default" w:ascii="Times New Roman" w:hAnsi="Times New Roman" w:eastAsia="宋体" w:cs="Times New Roman"/>
                <w:b w:val="0"/>
                <w:bCs w:val="0"/>
                <w:color w:val="FF0000"/>
                <w:spacing w:val="8"/>
                <w:kern w:val="2"/>
                <w:sz w:val="21"/>
                <w:szCs w:val="21"/>
                <w:highlight w:val="none"/>
                <w:u w:val="none"/>
                <w:vertAlign w:val="baseline"/>
                <w:lang w:val="en-US" w:eastAsia="zh-CN" w:bidi="ar-SA"/>
              </w:rPr>
              <w:t>116MW循环流化床锅炉环保超低排放改扩建项目</w:t>
            </w:r>
            <w:r>
              <w:rPr>
                <w:rFonts w:hint="eastAsia" w:ascii="Times New Roman" w:hAnsi="Times New Roman" w:cs="Times New Roman"/>
                <w:b w:val="0"/>
                <w:bCs w:val="0"/>
                <w:color w:val="FF0000"/>
                <w:spacing w:val="8"/>
                <w:kern w:val="2"/>
                <w:sz w:val="21"/>
                <w:szCs w:val="21"/>
                <w:highlight w:val="none"/>
                <w:u w:val="none"/>
                <w:vertAlign w:val="baseline"/>
                <w:lang w:val="en-US" w:eastAsia="zh-CN" w:bidi="ar-SA"/>
              </w:rPr>
              <w:t>环境影响登记表</w:t>
            </w:r>
          </w:p>
        </w:tc>
        <w:tc>
          <w:tcPr>
            <w:tcW w:w="568" w:type="pct"/>
            <w:tcBorders>
              <w:tl2br w:val="nil"/>
              <w:tr2bl w:val="nil"/>
            </w:tcBorders>
            <w:shd w:val="clear" w:color="auto" w:fill="auto"/>
            <w:noWrap w:val="0"/>
            <w:vAlign w:val="center"/>
          </w:tcPr>
          <w:p w14:paraId="50669239">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ascii="Times New Roman" w:hAnsi="Times New Roman" w:eastAsia="宋体" w:cs="Times New Roman"/>
                <w:b w:val="0"/>
                <w:bCs w:val="0"/>
                <w:color w:val="FF0000"/>
                <w:spacing w:val="8"/>
                <w:kern w:val="2"/>
                <w:sz w:val="21"/>
                <w:szCs w:val="21"/>
                <w:highlight w:val="none"/>
                <w:u w:val="none"/>
                <w:vertAlign w:val="baseline"/>
                <w:lang w:val="en-US" w:eastAsia="zh-CN" w:bidi="ar-SA"/>
              </w:rPr>
            </w:pPr>
            <w:r>
              <w:rPr>
                <w:rFonts w:hint="eastAsia" w:ascii="Times New Roman" w:hAnsi="Times New Roman" w:cs="Times New Roman"/>
                <w:b w:val="0"/>
                <w:bCs w:val="0"/>
                <w:color w:val="FF0000"/>
                <w:spacing w:val="8"/>
                <w:sz w:val="21"/>
                <w:szCs w:val="21"/>
                <w:highlight w:val="none"/>
                <w:u w:val="none"/>
                <w:vertAlign w:val="baseline"/>
                <w:lang w:val="en-US" w:eastAsia="zh-CN"/>
              </w:rPr>
              <w:t>202423081100000019</w:t>
            </w:r>
          </w:p>
        </w:tc>
        <w:tc>
          <w:tcPr>
            <w:tcW w:w="659" w:type="pct"/>
            <w:vMerge w:val="continue"/>
            <w:tcBorders>
              <w:tl2br w:val="nil"/>
              <w:tr2bl w:val="nil"/>
            </w:tcBorders>
            <w:noWrap w:val="0"/>
            <w:vAlign w:val="center"/>
          </w:tcPr>
          <w:p w14:paraId="0E13E793">
            <w:pPr>
              <w:pStyle w:val="47"/>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lang w:eastAsia="zh-CN"/>
              </w:rPr>
            </w:pPr>
          </w:p>
        </w:tc>
      </w:tr>
    </w:tbl>
    <w:p w14:paraId="53FD547A">
      <w:pPr>
        <w:snapToGrid w:val="0"/>
        <w:spacing w:line="500" w:lineRule="exact"/>
        <w:ind w:left="0" w:leftChars="0" w:firstLine="0" w:firstLineChars="0"/>
        <w:jc w:val="both"/>
        <w:rPr>
          <w:rFonts w:hint="eastAsia"/>
          <w:b/>
          <w:color w:val="auto"/>
          <w:sz w:val="24"/>
          <w:highlight w:val="none"/>
        </w:rPr>
      </w:pPr>
    </w:p>
    <w:p w14:paraId="0F07924D">
      <w:pPr>
        <w:ind w:left="0" w:leftChars="0" w:firstLine="0" w:firstLineChars="0"/>
        <w:rPr>
          <w:rFonts w:hint="default" w:ascii="Times New Roman" w:hAnsi="Times New Roman" w:eastAsia="宋体" w:cs="Times New Roman"/>
          <w:color w:val="auto"/>
          <w:highlight w:val="none"/>
          <w:lang w:val="en-US" w:eastAsia="zh-CN"/>
        </w:rPr>
        <w:sectPr>
          <w:pgSz w:w="16838" w:h="11906" w:orient="landscape"/>
          <w:pgMar w:top="1417" w:right="1417" w:bottom="1417" w:left="1417" w:header="1134" w:footer="1191" w:gutter="0"/>
          <w:pgBorders>
            <w:top w:val="none" w:sz="0" w:space="0"/>
            <w:left w:val="none" w:sz="0" w:space="0"/>
            <w:bottom w:val="none" w:sz="0" w:space="0"/>
            <w:right w:val="none" w:sz="0" w:space="0"/>
          </w:pgBorders>
          <w:pgNumType w:fmt="decimal"/>
          <w:cols w:space="720" w:num="1"/>
          <w:docGrid w:linePitch="312" w:charSpace="0"/>
        </w:sectPr>
      </w:pPr>
    </w:p>
    <w:p w14:paraId="5F45EE49">
      <w:pPr>
        <w:pStyle w:val="6"/>
        <w:numPr>
          <w:ilvl w:val="2"/>
          <w:numId w:val="3"/>
        </w:numPr>
        <w:bidi w:val="0"/>
        <w:ind w:left="709" w:leftChars="0" w:hanging="709" w:firstLineChars="0"/>
        <w:rPr>
          <w:rFonts w:hint="default" w:ascii="Times New Roman" w:hAnsi="Times New Roman" w:eastAsia="宋体" w:cs="Times New Roman"/>
          <w:color w:val="auto"/>
          <w:highlight w:val="none"/>
        </w:rPr>
      </w:pPr>
      <w:bookmarkStart w:id="189" w:name="_Toc18609"/>
      <w:bookmarkStart w:id="190" w:name="_Toc9732"/>
      <w:bookmarkStart w:id="191" w:name="_Toc920"/>
      <w:r>
        <w:rPr>
          <w:rFonts w:hint="default" w:ascii="Times New Roman" w:hAnsi="Times New Roman" w:eastAsia="宋体" w:cs="Times New Roman"/>
          <w:color w:val="auto"/>
          <w:highlight w:val="none"/>
        </w:rPr>
        <w:t>现有工程</w:t>
      </w:r>
      <w:r>
        <w:rPr>
          <w:rFonts w:hint="eastAsia" w:ascii="Times New Roman" w:hAnsi="Times New Roman" w:cs="Times New Roman"/>
          <w:color w:val="auto"/>
          <w:highlight w:val="none"/>
          <w:lang w:val="en-US" w:eastAsia="zh-CN"/>
        </w:rPr>
        <w:t>及本项目一期工程</w:t>
      </w:r>
      <w:r>
        <w:rPr>
          <w:rFonts w:hint="default" w:ascii="Times New Roman" w:hAnsi="Times New Roman" w:eastAsia="宋体" w:cs="Times New Roman"/>
          <w:color w:val="auto"/>
          <w:highlight w:val="none"/>
        </w:rPr>
        <w:t>污染防治措施及达标排放情况</w:t>
      </w:r>
      <w:bookmarkEnd w:id="189"/>
      <w:bookmarkEnd w:id="190"/>
      <w:bookmarkEnd w:id="191"/>
    </w:p>
    <w:p w14:paraId="5C164B77">
      <w:pPr>
        <w:pStyle w:val="7"/>
        <w:numPr>
          <w:ilvl w:val="3"/>
          <w:numId w:val="3"/>
        </w:numPr>
        <w:bidi w:val="0"/>
        <w:ind w:left="850" w:leftChars="0" w:hanging="850" w:firstLineChars="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废气污染防治措施及排放情况</w:t>
      </w:r>
    </w:p>
    <w:p w14:paraId="552DC8E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（1）有组织废气污染物排放情况</w:t>
      </w:r>
    </w:p>
    <w:p w14:paraId="724CCBA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iCs/>
          <w:color w:val="FF0000"/>
          <w:kern w:val="2"/>
          <w:sz w:val="24"/>
          <w:szCs w:val="24"/>
          <w:highlight w:val="none"/>
          <w:lang w:val="en-US" w:eastAsia="zh-CN" w:bidi="ar-SA"/>
        </w:rPr>
      </w:pPr>
      <w:r>
        <w:rPr>
          <w:rFonts w:hint="default" w:ascii="Times New Roman" w:hAnsi="Times New Roman" w:eastAsia="宋体" w:cs="Times New Roman"/>
          <w:iCs/>
          <w:color w:val="auto"/>
          <w:kern w:val="2"/>
          <w:sz w:val="24"/>
          <w:szCs w:val="24"/>
          <w:highlight w:val="none"/>
          <w:lang w:val="en-US" w:eastAsia="zh-CN" w:bidi="ar-SA"/>
        </w:rPr>
        <w:t>1#</w:t>
      </w:r>
      <w:r>
        <w:rPr>
          <w:rFonts w:hint="eastAsia" w:ascii="Times New Roman" w:hAnsi="Times New Roman" w:eastAsia="宋体" w:cs="Times New Roman"/>
          <w:iCs/>
          <w:color w:val="auto"/>
          <w:kern w:val="2"/>
          <w:sz w:val="24"/>
          <w:szCs w:val="24"/>
          <w:highlight w:val="none"/>
          <w:lang w:val="en-US" w:eastAsia="zh-CN" w:bidi="ar-SA"/>
        </w:rPr>
        <w:t>锅炉</w:t>
      </w:r>
      <w:r>
        <w:rPr>
          <w:rFonts w:hint="default" w:ascii="Times New Roman" w:hAnsi="Times New Roman" w:eastAsia="宋体" w:cs="Times New Roman"/>
          <w:iCs/>
          <w:color w:val="auto"/>
          <w:kern w:val="2"/>
          <w:sz w:val="24"/>
          <w:szCs w:val="24"/>
          <w:highlight w:val="none"/>
          <w:lang w:val="en-US" w:eastAsia="zh-CN" w:bidi="ar-SA"/>
        </w:rPr>
        <w:t>、2#</w:t>
      </w:r>
      <w:r>
        <w:rPr>
          <w:rFonts w:hint="eastAsia" w:ascii="Times New Roman" w:hAnsi="Times New Roman" w:eastAsia="宋体" w:cs="Times New Roman"/>
          <w:iCs/>
          <w:color w:val="auto"/>
          <w:kern w:val="2"/>
          <w:sz w:val="24"/>
          <w:szCs w:val="24"/>
          <w:highlight w:val="none"/>
          <w:lang w:val="en-US" w:eastAsia="zh-CN" w:bidi="ar-SA"/>
        </w:rPr>
        <w:t>锅</w:t>
      </w:r>
      <w:r>
        <w:rPr>
          <w:rFonts w:hint="default" w:ascii="Times New Roman" w:hAnsi="Times New Roman" w:eastAsia="宋体" w:cs="Times New Roman"/>
          <w:iCs/>
          <w:color w:val="auto"/>
          <w:kern w:val="2"/>
          <w:sz w:val="24"/>
          <w:szCs w:val="24"/>
          <w:highlight w:val="none"/>
          <w:lang w:val="en-US" w:eastAsia="zh-CN" w:bidi="ar-SA"/>
        </w:rPr>
        <w:t>炉烟气分别经电袋复合除尘+炉内喷钙+SNCR脱硝+半干法烟气循环流化床脱硫工艺处理后通过同一根99m高烟囱排放；4#</w:t>
      </w:r>
      <w:r>
        <w:rPr>
          <w:rFonts w:hint="eastAsia" w:ascii="Times New Roman" w:hAnsi="Times New Roman" w:eastAsia="宋体" w:cs="Times New Roman"/>
          <w:iCs/>
          <w:color w:val="auto"/>
          <w:kern w:val="2"/>
          <w:sz w:val="24"/>
          <w:szCs w:val="24"/>
          <w:highlight w:val="none"/>
          <w:lang w:val="en-US" w:eastAsia="zh-CN" w:bidi="ar-SA"/>
        </w:rPr>
        <w:t>锅</w:t>
      </w:r>
      <w:r>
        <w:rPr>
          <w:rFonts w:hint="default" w:ascii="Times New Roman" w:hAnsi="Times New Roman" w:eastAsia="宋体" w:cs="Times New Roman"/>
          <w:iCs/>
          <w:color w:val="auto"/>
          <w:kern w:val="2"/>
          <w:sz w:val="24"/>
          <w:szCs w:val="24"/>
          <w:highlight w:val="none"/>
          <w:lang w:val="en-US" w:eastAsia="zh-CN" w:bidi="ar-SA"/>
        </w:rPr>
        <w:t>炉烟气经电袋复合除尘+低氮燃烧+SNCR脱硝+半干法烟气循环流化床脱硫工艺处理后通过155m高烟囱排放；每台锅炉安装固定的连续</w:t>
      </w:r>
      <w:r>
        <w:rPr>
          <w:rFonts w:hint="eastAsia" w:ascii="Times New Roman" w:hAnsi="Times New Roman" w:eastAsia="宋体" w:cs="Times New Roman"/>
          <w:iCs/>
          <w:color w:val="auto"/>
          <w:kern w:val="2"/>
          <w:sz w:val="24"/>
          <w:szCs w:val="24"/>
          <w:highlight w:val="none"/>
          <w:lang w:val="en-US" w:eastAsia="zh-CN" w:bidi="ar-SA"/>
        </w:rPr>
        <w:t>在线监测装置</w:t>
      </w:r>
      <w:r>
        <w:rPr>
          <w:rFonts w:hint="default" w:ascii="Times New Roman" w:hAnsi="Times New Roman" w:eastAsia="宋体" w:cs="Times New Roman"/>
          <w:iCs/>
          <w:color w:val="auto"/>
          <w:kern w:val="2"/>
          <w:sz w:val="24"/>
          <w:szCs w:val="24"/>
          <w:highlight w:val="none"/>
          <w:lang w:val="en-US" w:eastAsia="zh-CN" w:bidi="ar-SA"/>
        </w:rPr>
        <w:t>，用来监测烟气中颗粒物、SO</w:t>
      </w:r>
      <w:r>
        <w:rPr>
          <w:rFonts w:hint="default" w:ascii="Times New Roman" w:hAnsi="Times New Roman" w:eastAsia="宋体" w:cs="Times New Roman"/>
          <w:iCs/>
          <w:color w:val="auto"/>
          <w:kern w:val="2"/>
          <w:sz w:val="24"/>
          <w:szCs w:val="24"/>
          <w:highlight w:val="none"/>
          <w:vertAlign w:val="subscript"/>
          <w:lang w:val="en-US" w:eastAsia="zh-CN" w:bidi="ar-SA"/>
        </w:rPr>
        <w:t>2</w:t>
      </w:r>
      <w:r>
        <w:rPr>
          <w:rFonts w:hint="default" w:ascii="Times New Roman" w:hAnsi="Times New Roman" w:eastAsia="宋体" w:cs="Times New Roman"/>
          <w:iCs/>
          <w:color w:val="auto"/>
          <w:kern w:val="2"/>
          <w:sz w:val="24"/>
          <w:szCs w:val="24"/>
          <w:highlight w:val="none"/>
          <w:lang w:val="en-US" w:eastAsia="zh-CN" w:bidi="ar-SA"/>
        </w:rPr>
        <w:t>、NO</w:t>
      </w:r>
      <w:r>
        <w:rPr>
          <w:rFonts w:hint="default" w:ascii="Times New Roman" w:hAnsi="Times New Roman" w:eastAsia="宋体" w:cs="Times New Roman"/>
          <w:iCs/>
          <w:color w:val="auto"/>
          <w:kern w:val="2"/>
          <w:sz w:val="24"/>
          <w:szCs w:val="24"/>
          <w:highlight w:val="none"/>
          <w:vertAlign w:val="subscript"/>
          <w:lang w:val="en-US" w:eastAsia="zh-CN" w:bidi="ar-SA"/>
        </w:rPr>
        <w:t>X</w:t>
      </w:r>
      <w:r>
        <w:rPr>
          <w:rFonts w:hint="default" w:ascii="Times New Roman" w:hAnsi="Times New Roman" w:eastAsia="宋体" w:cs="Times New Roman"/>
          <w:iCs/>
          <w:color w:val="auto"/>
          <w:kern w:val="2"/>
          <w:sz w:val="24"/>
          <w:szCs w:val="24"/>
          <w:highlight w:val="none"/>
          <w:lang w:val="en-US" w:eastAsia="zh-CN" w:bidi="ar-SA"/>
        </w:rPr>
        <w:t>排放浓度。在线监测设备均与佳木斯市生态环境局联网</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目前，厂区内1#锅炉、2#锅炉和4#锅炉均已完成超低改造。</w:t>
      </w:r>
      <w:r>
        <w:rPr>
          <w:rFonts w:hint="eastAsia" w:ascii="Times New Roman" w:hAnsi="Times New Roman" w:eastAsia="宋体" w:cs="Times New Roman"/>
          <w:color w:val="FF0000"/>
          <w:sz w:val="24"/>
          <w:szCs w:val="24"/>
          <w:highlight w:val="none"/>
          <w:lang w:val="en-US" w:eastAsia="zh-CN"/>
        </w:rPr>
        <w:t>上述3台锅炉烟气于2026年1月1日起执行《关于印发〈全面实施燃煤电厂超低排放和节能改造工作方案〉的通知》（环发〔2015〕164 号）要求，达到超低排放限值（在基准氧含量6%条件下，烟尘、SO</w:t>
      </w:r>
      <w:r>
        <w:rPr>
          <w:rFonts w:hint="eastAsia" w:ascii="Times New Roman" w:hAnsi="Times New Roman" w:eastAsia="宋体" w:cs="Times New Roman"/>
          <w:color w:val="FF0000"/>
          <w:sz w:val="24"/>
          <w:szCs w:val="24"/>
          <w:highlight w:val="none"/>
          <w:vertAlign w:val="subscript"/>
          <w:lang w:val="en-US" w:eastAsia="zh-CN"/>
        </w:rPr>
        <w:t>2</w:t>
      </w:r>
      <w:r>
        <w:rPr>
          <w:rFonts w:hint="eastAsia" w:ascii="Times New Roman" w:hAnsi="Times New Roman" w:eastAsia="宋体" w:cs="Times New Roman"/>
          <w:color w:val="FF0000"/>
          <w:sz w:val="24"/>
          <w:szCs w:val="24"/>
          <w:highlight w:val="none"/>
          <w:lang w:val="en-US" w:eastAsia="zh-CN"/>
        </w:rPr>
        <w:t>、NO</w:t>
      </w:r>
      <w:r>
        <w:rPr>
          <w:rFonts w:hint="eastAsia" w:ascii="Times New Roman" w:hAnsi="Times New Roman" w:eastAsia="宋体" w:cs="Times New Roman"/>
          <w:color w:val="FF0000"/>
          <w:sz w:val="24"/>
          <w:szCs w:val="24"/>
          <w:highlight w:val="none"/>
          <w:vertAlign w:val="subscript"/>
          <w:lang w:val="en-US" w:eastAsia="zh-CN"/>
        </w:rPr>
        <w:t>X</w:t>
      </w:r>
      <w:r>
        <w:rPr>
          <w:rFonts w:hint="eastAsia" w:ascii="Times New Roman" w:hAnsi="Times New Roman" w:eastAsia="宋体" w:cs="Times New Roman"/>
          <w:color w:val="FF0000"/>
          <w:sz w:val="24"/>
          <w:szCs w:val="24"/>
          <w:highlight w:val="none"/>
          <w:lang w:val="en-US" w:eastAsia="zh-CN"/>
        </w:rPr>
        <w:t>排放浓度分别不高于10mg/m</w:t>
      </w:r>
      <w:r>
        <w:rPr>
          <w:rFonts w:hint="eastAsia" w:ascii="Times New Roman" w:hAnsi="Times New Roman" w:eastAsia="宋体" w:cs="Times New Roman"/>
          <w:color w:val="FF0000"/>
          <w:sz w:val="24"/>
          <w:szCs w:val="24"/>
          <w:highlight w:val="none"/>
          <w:vertAlign w:val="superscript"/>
          <w:lang w:val="en-US" w:eastAsia="zh-CN"/>
        </w:rPr>
        <w:t>3</w:t>
      </w:r>
      <w:r>
        <w:rPr>
          <w:rFonts w:hint="eastAsia" w:ascii="Times New Roman" w:hAnsi="Times New Roman" w:eastAsia="宋体" w:cs="Times New Roman"/>
          <w:color w:val="FF0000"/>
          <w:sz w:val="24"/>
          <w:szCs w:val="24"/>
          <w:highlight w:val="none"/>
          <w:lang w:val="en-US" w:eastAsia="zh-CN"/>
        </w:rPr>
        <w:t>、35mg/m</w:t>
      </w:r>
      <w:r>
        <w:rPr>
          <w:rFonts w:hint="eastAsia" w:ascii="Times New Roman" w:hAnsi="Times New Roman" w:eastAsia="宋体" w:cs="Times New Roman"/>
          <w:color w:val="FF0000"/>
          <w:sz w:val="24"/>
          <w:szCs w:val="24"/>
          <w:highlight w:val="none"/>
          <w:vertAlign w:val="superscript"/>
          <w:lang w:val="en-US" w:eastAsia="zh-CN"/>
        </w:rPr>
        <w:t>3</w:t>
      </w:r>
      <w:r>
        <w:rPr>
          <w:rFonts w:hint="eastAsia" w:ascii="Times New Roman" w:hAnsi="Times New Roman" w:eastAsia="宋体" w:cs="Times New Roman"/>
          <w:color w:val="FF0000"/>
          <w:sz w:val="24"/>
          <w:szCs w:val="24"/>
          <w:highlight w:val="none"/>
          <w:lang w:val="en-US" w:eastAsia="zh-CN"/>
        </w:rPr>
        <w:t>、50mg/m</w:t>
      </w:r>
      <w:r>
        <w:rPr>
          <w:rFonts w:hint="eastAsia" w:ascii="Times New Roman" w:hAnsi="Times New Roman" w:eastAsia="宋体" w:cs="Times New Roman"/>
          <w:color w:val="FF0000"/>
          <w:sz w:val="24"/>
          <w:szCs w:val="24"/>
          <w:highlight w:val="none"/>
          <w:vertAlign w:val="superscript"/>
          <w:lang w:val="en-US" w:eastAsia="zh-CN"/>
        </w:rPr>
        <w:t>3</w:t>
      </w:r>
      <w:r>
        <w:rPr>
          <w:rFonts w:hint="eastAsia" w:ascii="Times New Roman" w:hAnsi="Times New Roman" w:eastAsia="宋体" w:cs="Times New Roman"/>
          <w:color w:val="FF0000"/>
          <w:sz w:val="24"/>
          <w:szCs w:val="24"/>
          <w:highlight w:val="none"/>
          <w:lang w:val="en-US" w:eastAsia="zh-CN"/>
        </w:rPr>
        <w:t>）要求。3#锅炉因未进行超低改造，未运行。</w:t>
      </w:r>
    </w:p>
    <w:p w14:paraId="536A72C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sz w:val="24"/>
          <w:szCs w:val="24"/>
          <w:highlight w:val="none"/>
          <w:vertAlign w:val="baseline"/>
          <w:lang w:val="en-US" w:eastAsia="zh-CN" w:bidi="ar"/>
        </w:rPr>
      </w:pPr>
      <w:r>
        <w:rPr>
          <w:rFonts w:hint="default" w:ascii="Times New Roman" w:hAnsi="Times New Roman" w:eastAsia="宋体" w:cs="Times New Roman"/>
          <w:iCs/>
          <w:color w:val="auto"/>
          <w:kern w:val="2"/>
          <w:sz w:val="24"/>
          <w:szCs w:val="24"/>
          <w:highlight w:val="none"/>
          <w:lang w:val="en-US" w:eastAsia="zh-CN" w:bidi="ar-SA"/>
        </w:rPr>
        <w:t>根据建设单位提供的</w:t>
      </w:r>
      <w:r>
        <w:rPr>
          <w:rFonts w:hint="eastAsia" w:ascii="Times New Roman" w:hAnsi="Times New Roman" w:eastAsia="宋体" w:cs="Times New Roman"/>
          <w:iCs/>
          <w:color w:val="auto"/>
          <w:kern w:val="2"/>
          <w:sz w:val="24"/>
          <w:szCs w:val="24"/>
          <w:highlight w:val="none"/>
          <w:lang w:val="en-US" w:eastAsia="zh-CN" w:bidi="ar-SA"/>
        </w:rPr>
        <w:t>佳木斯中恒热电有限公司《佳木斯中恒热电有限公司2025年排污许可证执行报告》和2025年4季度检测报告，</w:t>
      </w:r>
      <w:r>
        <w:rPr>
          <w:rFonts w:hint="default" w:ascii="Times New Roman" w:hAnsi="Times New Roman" w:eastAsia="宋体" w:cs="Times New Roman"/>
          <w:iCs/>
          <w:color w:val="auto"/>
          <w:kern w:val="2"/>
          <w:sz w:val="24"/>
          <w:szCs w:val="24"/>
          <w:highlight w:val="none"/>
          <w:lang w:val="en-US" w:eastAsia="zh-CN" w:bidi="ar-SA"/>
        </w:rPr>
        <w:t>1#锅炉、2#锅炉</w:t>
      </w:r>
      <w:r>
        <w:rPr>
          <w:rFonts w:hint="eastAsia" w:ascii="Times New Roman" w:hAnsi="Times New Roman" w:eastAsia="宋体" w:cs="Times New Roman"/>
          <w:iCs/>
          <w:color w:val="auto"/>
          <w:kern w:val="2"/>
          <w:sz w:val="24"/>
          <w:szCs w:val="24"/>
          <w:highlight w:val="none"/>
          <w:lang w:val="en-US" w:eastAsia="zh-CN" w:bidi="ar-SA"/>
        </w:rPr>
        <w:t>颗粒物、SO</w:t>
      </w:r>
      <w:r>
        <w:rPr>
          <w:rFonts w:hint="eastAsia" w:ascii="Times New Roman" w:hAnsi="Times New Roman" w:eastAsia="宋体" w:cs="Times New Roman"/>
          <w:iCs/>
          <w:color w:val="auto"/>
          <w:kern w:val="2"/>
          <w:sz w:val="24"/>
          <w:szCs w:val="24"/>
          <w:highlight w:val="none"/>
          <w:vertAlign w:val="subscript"/>
          <w:lang w:val="en-US" w:eastAsia="zh-CN" w:bidi="ar-SA"/>
        </w:rPr>
        <w:t>2</w:t>
      </w:r>
      <w:r>
        <w:rPr>
          <w:rFonts w:hint="eastAsia" w:ascii="Times New Roman" w:hAnsi="Times New Roman" w:eastAsia="宋体" w:cs="Times New Roman"/>
          <w:iCs/>
          <w:color w:val="auto"/>
          <w:kern w:val="2"/>
          <w:sz w:val="24"/>
          <w:szCs w:val="24"/>
          <w:highlight w:val="none"/>
          <w:lang w:val="en-US" w:eastAsia="zh-CN" w:bidi="ar-SA"/>
        </w:rPr>
        <w:t>、NO</w:t>
      </w:r>
      <w:r>
        <w:rPr>
          <w:rFonts w:hint="eastAsia" w:ascii="Times New Roman" w:hAnsi="Times New Roman" w:eastAsia="宋体" w:cs="Times New Roman"/>
          <w:iCs/>
          <w:color w:val="auto"/>
          <w:kern w:val="2"/>
          <w:sz w:val="24"/>
          <w:szCs w:val="24"/>
          <w:highlight w:val="none"/>
          <w:vertAlign w:val="subscript"/>
          <w:lang w:val="en-US" w:eastAsia="zh-CN" w:bidi="ar-SA"/>
        </w:rPr>
        <w:t>X</w:t>
      </w:r>
      <w:r>
        <w:rPr>
          <w:rFonts w:hint="eastAsia" w:ascii="Times New Roman" w:hAnsi="Times New Roman" w:eastAsia="宋体" w:cs="Times New Roman"/>
          <w:iCs/>
          <w:color w:val="auto"/>
          <w:kern w:val="2"/>
          <w:sz w:val="24"/>
          <w:szCs w:val="24"/>
          <w:highlight w:val="none"/>
          <w:lang w:val="en-US" w:eastAsia="zh-CN" w:bidi="ar-SA"/>
        </w:rPr>
        <w:t>、汞及其化合物满足《火电厂大气污染物排放标准》（GB 13223-2011）表1中新建火力发电锅炉及燃气轮机组大气污染物排放浓度限值，烟气黑度满足《锅炉大气污染物排放标准》（GB13271-2014）表1在用锅炉大气污染物排放浓度限值；4#锅炉排放的颗粒物、</w:t>
      </w:r>
      <w:r>
        <w:rPr>
          <w:rFonts w:hint="default" w:ascii="Times New Roman" w:hAnsi="Times New Roman" w:eastAsia="宋体" w:cs="Times New Roman"/>
          <w:color w:val="auto"/>
          <w:sz w:val="24"/>
          <w:szCs w:val="24"/>
          <w:highlight w:val="none"/>
          <w:lang w:bidi="ar"/>
        </w:rPr>
        <w:t>SO</w:t>
      </w:r>
      <w:r>
        <w:rPr>
          <w:rFonts w:hint="default" w:ascii="Times New Roman" w:hAnsi="Times New Roman" w:eastAsia="宋体" w:cs="Times New Roman"/>
          <w:color w:val="auto"/>
          <w:sz w:val="24"/>
          <w:szCs w:val="24"/>
          <w:highlight w:val="none"/>
          <w:vertAlign w:val="subscript"/>
          <w:lang w:bidi="ar"/>
        </w:rPr>
        <w:t>2</w:t>
      </w:r>
      <w:r>
        <w:rPr>
          <w:rFonts w:hint="default" w:ascii="Times New Roman" w:hAnsi="Times New Roman" w:eastAsia="宋体" w:cs="Times New Roman"/>
          <w:color w:val="auto"/>
          <w:sz w:val="24"/>
          <w:szCs w:val="24"/>
          <w:highlight w:val="none"/>
          <w:lang w:bidi="ar"/>
        </w:rPr>
        <w:t>、NO</w:t>
      </w:r>
      <w:r>
        <w:rPr>
          <w:rFonts w:hint="default" w:ascii="Times New Roman" w:hAnsi="Times New Roman" w:eastAsia="宋体" w:cs="Times New Roman"/>
          <w:color w:val="auto"/>
          <w:sz w:val="24"/>
          <w:szCs w:val="24"/>
          <w:highlight w:val="none"/>
          <w:vertAlign w:val="subscript"/>
          <w:lang w:bidi="ar"/>
        </w:rPr>
        <w:t>X</w:t>
      </w:r>
      <w:r>
        <w:rPr>
          <w:rFonts w:hint="eastAsia" w:ascii="Times New Roman" w:hAnsi="Times New Roman" w:eastAsia="宋体" w:cs="Times New Roman"/>
          <w:color w:val="auto"/>
          <w:sz w:val="24"/>
          <w:szCs w:val="24"/>
          <w:highlight w:val="none"/>
          <w:vertAlign w:val="baseline"/>
          <w:lang w:eastAsia="zh-CN" w:bidi="ar"/>
        </w:rPr>
        <w:t>、</w:t>
      </w:r>
      <w:r>
        <w:rPr>
          <w:rFonts w:hint="eastAsia" w:ascii="Times New Roman" w:hAnsi="Times New Roman" w:eastAsia="宋体" w:cs="Times New Roman"/>
          <w:color w:val="auto"/>
          <w:sz w:val="24"/>
          <w:szCs w:val="24"/>
          <w:highlight w:val="none"/>
          <w:vertAlign w:val="baseline"/>
          <w:lang w:val="en-US" w:eastAsia="zh-CN" w:bidi="ar"/>
        </w:rPr>
        <w:t>烟气黑度均满足《锅炉大气污染物排放标准》（GB13271-2014）表1在用锅炉大气污染物排放浓度限值。</w:t>
      </w:r>
    </w:p>
    <w:p w14:paraId="7FA90421">
      <w:pPr>
        <w:pStyle w:val="105"/>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表3.1-</w:t>
      </w:r>
      <w:r>
        <w:rPr>
          <w:rFonts w:hint="eastAsia"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 xml:space="preserve"> 有组织废气污染物排放浓度情况一览表</w:t>
      </w:r>
    </w:p>
    <w:tbl>
      <w:tblPr>
        <w:tblStyle w:val="37"/>
        <w:tblW w:w="5122" w:type="pct"/>
        <w:tblInd w:w="0" w:type="dxa"/>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shd w:val="clear" w:color="auto" w:fill="FFFFFF"/>
        <w:tblLayout w:type="fixed"/>
        <w:tblCellMar>
          <w:top w:w="0" w:type="dxa"/>
          <w:left w:w="108" w:type="dxa"/>
          <w:bottom w:w="0" w:type="dxa"/>
          <w:right w:w="108" w:type="dxa"/>
        </w:tblCellMar>
      </w:tblPr>
      <w:tblGrid>
        <w:gridCol w:w="1188"/>
        <w:gridCol w:w="873"/>
        <w:gridCol w:w="419"/>
        <w:gridCol w:w="1024"/>
        <w:gridCol w:w="945"/>
        <w:gridCol w:w="780"/>
        <w:gridCol w:w="780"/>
        <w:gridCol w:w="840"/>
        <w:gridCol w:w="585"/>
        <w:gridCol w:w="615"/>
        <w:gridCol w:w="615"/>
      </w:tblGrid>
      <w:tr w14:paraId="679D9AB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570" w:hRule="atLeast"/>
        </w:trPr>
        <w:tc>
          <w:tcPr>
            <w:tcW w:w="685" w:type="pct"/>
            <w:vMerge w:val="restar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08A968D9">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排放口</w:t>
            </w:r>
          </w:p>
          <w:p w14:paraId="0C97BE16">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编号</w:t>
            </w:r>
          </w:p>
        </w:tc>
        <w:tc>
          <w:tcPr>
            <w:tcW w:w="503" w:type="pct"/>
            <w:vMerge w:val="restar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4CD0653C">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污染物</w:t>
            </w:r>
          </w:p>
          <w:p w14:paraId="3AB7EFA1">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种类</w:t>
            </w:r>
          </w:p>
        </w:tc>
        <w:tc>
          <w:tcPr>
            <w:tcW w:w="241" w:type="pct"/>
            <w:vMerge w:val="restar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455DE8DC">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监测</w:t>
            </w:r>
          </w:p>
          <w:p w14:paraId="7EB1438F">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eastAsia="zh-CN" w:bidi="ar"/>
              </w:rPr>
            </w:pPr>
            <w:r>
              <w:rPr>
                <w:rFonts w:hint="eastAsia" w:ascii="Times New Roman" w:hAnsi="Times New Roman" w:eastAsia="宋体" w:cs="Times New Roman"/>
                <w:color w:val="auto"/>
                <w:kern w:val="0"/>
                <w:sz w:val="21"/>
                <w:szCs w:val="21"/>
                <w:highlight w:val="none"/>
                <w:lang w:val="en-US" w:eastAsia="zh-CN" w:bidi="ar"/>
              </w:rPr>
              <w:t>方式</w:t>
            </w:r>
          </w:p>
        </w:tc>
        <w:tc>
          <w:tcPr>
            <w:tcW w:w="590" w:type="pct"/>
            <w:vMerge w:val="restar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230722AA">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许可排放浓度限值（mg/m³）</w:t>
            </w:r>
          </w:p>
        </w:tc>
        <w:tc>
          <w:tcPr>
            <w:tcW w:w="545" w:type="pct"/>
            <w:vMerge w:val="restar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0CFB3952">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有效监测数据数量（小时值</w:t>
            </w:r>
            <w:r>
              <w:rPr>
                <w:rFonts w:hint="eastAsia" w:ascii="Times New Roman" w:hAnsi="Times New Roman" w:eastAsia="宋体" w:cs="Times New Roman"/>
                <w:color w:val="auto"/>
                <w:kern w:val="0"/>
                <w:sz w:val="21"/>
                <w:szCs w:val="21"/>
                <w:highlight w:val="none"/>
                <w:lang w:eastAsia="zh-CN" w:bidi="ar"/>
              </w:rPr>
              <w:t>）</w:t>
            </w:r>
          </w:p>
        </w:tc>
        <w:tc>
          <w:tcPr>
            <w:tcW w:w="1385" w:type="pct"/>
            <w:gridSpan w:val="3"/>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32906070">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监测结果（折标，小时浓度）（mg/m³）</w:t>
            </w:r>
          </w:p>
        </w:tc>
        <w:tc>
          <w:tcPr>
            <w:tcW w:w="337" w:type="pct"/>
            <w:vMerge w:val="restar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3FA3349A">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超标数据数量</w:t>
            </w:r>
          </w:p>
        </w:tc>
        <w:tc>
          <w:tcPr>
            <w:tcW w:w="354" w:type="pct"/>
            <w:vMerge w:val="restar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6069C285">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超标率</w:t>
            </w:r>
            <w:r>
              <w:rPr>
                <w:rFonts w:hint="eastAsia" w:ascii="Times New Roman" w:hAnsi="Times New Roman" w:eastAsia="宋体"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w:t>
            </w:r>
            <w:r>
              <w:rPr>
                <w:rFonts w:hint="eastAsia" w:ascii="Times New Roman" w:hAnsi="Times New Roman" w:eastAsia="宋体" w:cs="Times New Roman"/>
                <w:color w:val="auto"/>
                <w:kern w:val="0"/>
                <w:sz w:val="21"/>
                <w:szCs w:val="21"/>
                <w:highlight w:val="none"/>
                <w:lang w:eastAsia="zh-CN" w:bidi="ar"/>
              </w:rPr>
              <w:t>）</w:t>
            </w:r>
          </w:p>
        </w:tc>
        <w:tc>
          <w:tcPr>
            <w:tcW w:w="354" w:type="pct"/>
            <w:vMerge w:val="restar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45AD05E5">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备注</w:t>
            </w:r>
          </w:p>
        </w:tc>
      </w:tr>
      <w:tr w14:paraId="3C2D1F1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shd w:val="clear" w:color="auto" w:fill="FFFFFF"/>
          <w:tblCellMar>
            <w:top w:w="0" w:type="dxa"/>
            <w:left w:w="108" w:type="dxa"/>
            <w:bottom w:w="0" w:type="dxa"/>
            <w:right w:w="108" w:type="dxa"/>
          </w:tblCellMar>
        </w:tblPrEx>
        <w:trPr>
          <w:trHeight w:val="90" w:hRule="atLeast"/>
        </w:trPr>
        <w:tc>
          <w:tcPr>
            <w:tcW w:w="685"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3037AEC4">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p>
        </w:tc>
        <w:tc>
          <w:tcPr>
            <w:tcW w:w="503"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25F67570">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p>
        </w:tc>
        <w:tc>
          <w:tcPr>
            <w:tcW w:w="241"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187EFC52">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p>
        </w:tc>
        <w:tc>
          <w:tcPr>
            <w:tcW w:w="590"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5D75AEFE">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p>
        </w:tc>
        <w:tc>
          <w:tcPr>
            <w:tcW w:w="545"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25C20D59">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2C61B42A">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最小值</w:t>
            </w: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51F8BD8D">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最大值</w:t>
            </w:r>
          </w:p>
        </w:tc>
        <w:tc>
          <w:tcPr>
            <w:tcW w:w="484"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53F3EBCE">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平均值</w:t>
            </w:r>
          </w:p>
        </w:tc>
        <w:tc>
          <w:tcPr>
            <w:tcW w:w="337"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2ACB291A">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p>
        </w:tc>
        <w:tc>
          <w:tcPr>
            <w:tcW w:w="354"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4A9C0A56">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p>
        </w:tc>
        <w:tc>
          <w:tcPr>
            <w:tcW w:w="354"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18B16E36">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p>
        </w:tc>
      </w:tr>
      <w:tr w14:paraId="42DD2C8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shd w:val="clear" w:color="auto" w:fill="FFFFFF"/>
          <w:tblCellMar>
            <w:top w:w="0" w:type="dxa"/>
            <w:left w:w="108" w:type="dxa"/>
            <w:bottom w:w="0" w:type="dxa"/>
            <w:right w:w="108" w:type="dxa"/>
          </w:tblCellMar>
        </w:tblPrEx>
        <w:trPr>
          <w:trHeight w:val="276" w:hRule="atLeast"/>
        </w:trPr>
        <w:tc>
          <w:tcPr>
            <w:tcW w:w="685" w:type="pct"/>
            <w:vMerge w:val="restar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75685299">
            <w:pPr>
              <w:widowControl/>
              <w:adjustRightInd w:val="0"/>
              <w:snapToGrid w:val="0"/>
              <w:spacing w:line="240" w:lineRule="auto"/>
              <w:ind w:firstLine="0" w:firstLineChars="0"/>
              <w:jc w:val="center"/>
              <w:rPr>
                <w:rFonts w:hint="default" w:ascii="Times New Roman" w:hAnsi="Times New Roman" w:eastAsia="宋体" w:cs="Times New Roman"/>
                <w:color w:val="FF0000"/>
                <w:kern w:val="0"/>
                <w:sz w:val="21"/>
                <w:szCs w:val="21"/>
                <w:highlight w:val="none"/>
                <w:lang w:val="en-US" w:eastAsia="zh-CN" w:bidi="ar"/>
              </w:rPr>
            </w:pPr>
            <w:r>
              <w:rPr>
                <w:rFonts w:hint="eastAsia" w:ascii="Times New Roman" w:hAnsi="Times New Roman" w:eastAsia="宋体" w:cs="Times New Roman"/>
                <w:color w:val="FF0000"/>
                <w:kern w:val="0"/>
                <w:sz w:val="21"/>
                <w:szCs w:val="21"/>
                <w:highlight w:val="none"/>
                <w:lang w:val="en-US" w:eastAsia="zh-CN" w:bidi="ar"/>
              </w:rPr>
              <w:t>1#锅炉</w:t>
            </w:r>
          </w:p>
          <w:p w14:paraId="511D4C48">
            <w:pPr>
              <w:widowControl/>
              <w:adjustRightInd w:val="0"/>
              <w:snapToGrid w:val="0"/>
              <w:spacing w:line="240" w:lineRule="auto"/>
              <w:ind w:firstLine="0" w:firstLineChars="0"/>
              <w:jc w:val="center"/>
              <w:rPr>
                <w:rFonts w:hint="default" w:ascii="Times New Roman" w:hAnsi="Times New Roman" w:eastAsia="宋体" w:cs="Times New Roman"/>
                <w:color w:val="FF0000"/>
                <w:kern w:val="0"/>
                <w:sz w:val="21"/>
                <w:szCs w:val="21"/>
                <w:highlight w:val="none"/>
                <w:lang w:bidi="ar"/>
              </w:rPr>
            </w:pPr>
            <w:r>
              <w:rPr>
                <w:rFonts w:hint="eastAsia" w:ascii="Times New Roman" w:hAnsi="Times New Roman" w:eastAsia="宋体" w:cs="Times New Roman"/>
                <w:color w:val="FF0000"/>
                <w:kern w:val="0"/>
                <w:sz w:val="21"/>
                <w:szCs w:val="21"/>
                <w:highlight w:val="none"/>
                <w:lang w:eastAsia="zh-CN" w:bidi="ar"/>
              </w:rPr>
              <w:t>（</w:t>
            </w:r>
            <w:r>
              <w:rPr>
                <w:rFonts w:hint="default" w:ascii="Times New Roman" w:hAnsi="Times New Roman" w:eastAsia="宋体" w:cs="Times New Roman"/>
                <w:color w:val="FF0000"/>
                <w:kern w:val="0"/>
                <w:sz w:val="21"/>
                <w:szCs w:val="21"/>
                <w:highlight w:val="none"/>
                <w:lang w:bidi="ar"/>
              </w:rPr>
              <w:t>DA001</w:t>
            </w:r>
            <w:r>
              <w:rPr>
                <w:rFonts w:hint="eastAsia" w:ascii="Times New Roman" w:hAnsi="Times New Roman" w:eastAsia="宋体" w:cs="Times New Roman"/>
                <w:color w:val="FF0000"/>
                <w:kern w:val="0"/>
                <w:sz w:val="21"/>
                <w:szCs w:val="21"/>
                <w:highlight w:val="none"/>
                <w:lang w:eastAsia="zh-CN" w:bidi="ar"/>
              </w:rPr>
              <w:t>）</w:t>
            </w:r>
          </w:p>
        </w:tc>
        <w:tc>
          <w:tcPr>
            <w:tcW w:w="503"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33F0346A">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 xml:space="preserve">二氧化硫 </w:t>
            </w:r>
          </w:p>
        </w:tc>
        <w:tc>
          <w:tcPr>
            <w:tcW w:w="241"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151DB1BC">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 xml:space="preserve">自动 </w:t>
            </w:r>
          </w:p>
        </w:tc>
        <w:tc>
          <w:tcPr>
            <w:tcW w:w="59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0ABEEAF8">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100</w:t>
            </w:r>
          </w:p>
        </w:tc>
        <w:tc>
          <w:tcPr>
            <w:tcW w:w="545"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4DA0F529">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3594</w:t>
            </w: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668F1130">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5.70</w:t>
            </w: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6562BE2C">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79.41</w:t>
            </w:r>
          </w:p>
        </w:tc>
        <w:tc>
          <w:tcPr>
            <w:tcW w:w="484"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3FEA99B2">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37.52</w:t>
            </w:r>
          </w:p>
        </w:tc>
        <w:tc>
          <w:tcPr>
            <w:tcW w:w="337"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155959E9">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w:t>
            </w:r>
          </w:p>
        </w:tc>
        <w:tc>
          <w:tcPr>
            <w:tcW w:w="354"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13ABAC7E">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w:t>
            </w:r>
          </w:p>
        </w:tc>
        <w:tc>
          <w:tcPr>
            <w:tcW w:w="354" w:type="pct"/>
            <w:vMerge w:val="restar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1B46289A">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现有工程</w:t>
            </w:r>
          </w:p>
        </w:tc>
      </w:tr>
      <w:tr w14:paraId="4E89D48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6" w:hRule="atLeast"/>
        </w:trPr>
        <w:tc>
          <w:tcPr>
            <w:tcW w:w="685"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3A2A9EFE">
            <w:pPr>
              <w:widowControl/>
              <w:adjustRightInd w:val="0"/>
              <w:snapToGrid w:val="0"/>
              <w:spacing w:line="240" w:lineRule="auto"/>
              <w:ind w:firstLine="0" w:firstLineChars="0"/>
              <w:jc w:val="center"/>
              <w:rPr>
                <w:rFonts w:hint="default" w:ascii="Times New Roman" w:hAnsi="Times New Roman" w:eastAsia="宋体" w:cs="Times New Roman"/>
                <w:color w:val="FF0000"/>
                <w:kern w:val="0"/>
                <w:sz w:val="21"/>
                <w:szCs w:val="21"/>
                <w:highlight w:val="none"/>
                <w:lang w:bidi="ar"/>
              </w:rPr>
            </w:pPr>
          </w:p>
        </w:tc>
        <w:tc>
          <w:tcPr>
            <w:tcW w:w="503"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092BD3F3">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 xml:space="preserve">林格曼黑度 </w:t>
            </w:r>
          </w:p>
        </w:tc>
        <w:tc>
          <w:tcPr>
            <w:tcW w:w="241"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60F7FCB6">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 xml:space="preserve">手工 </w:t>
            </w:r>
          </w:p>
        </w:tc>
        <w:tc>
          <w:tcPr>
            <w:tcW w:w="59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36995B58">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&lt;1</w:t>
            </w:r>
          </w:p>
        </w:tc>
        <w:tc>
          <w:tcPr>
            <w:tcW w:w="545"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4ECA3F6C">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3</w:t>
            </w: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7E47176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w:t>
            </w:r>
            <w:r>
              <w:rPr>
                <w:rFonts w:hint="eastAsia" w:ascii="Times New Roman" w:hAnsi="Times New Roman" w:eastAsia="宋体" w:cs="Times New Roman"/>
                <w:color w:val="auto"/>
                <w:kern w:val="0"/>
                <w:sz w:val="21"/>
                <w:szCs w:val="21"/>
                <w:highlight w:val="none"/>
                <w:lang w:val="en-US" w:eastAsia="zh-CN" w:bidi="ar"/>
              </w:rPr>
              <w:t>1</w:t>
            </w: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1D2E959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w:t>
            </w:r>
            <w:r>
              <w:rPr>
                <w:rFonts w:hint="eastAsia" w:ascii="Times New Roman" w:hAnsi="Times New Roman" w:eastAsia="宋体" w:cs="Times New Roman"/>
                <w:color w:val="auto"/>
                <w:kern w:val="0"/>
                <w:sz w:val="21"/>
                <w:szCs w:val="21"/>
                <w:highlight w:val="none"/>
                <w:lang w:val="en-US" w:eastAsia="zh-CN" w:bidi="ar"/>
              </w:rPr>
              <w:t>1</w:t>
            </w:r>
          </w:p>
        </w:tc>
        <w:tc>
          <w:tcPr>
            <w:tcW w:w="484"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0AE33EE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w:t>
            </w:r>
            <w:r>
              <w:rPr>
                <w:rFonts w:hint="eastAsia" w:ascii="Times New Roman" w:hAnsi="Times New Roman" w:eastAsia="宋体" w:cs="Times New Roman"/>
                <w:color w:val="auto"/>
                <w:kern w:val="0"/>
                <w:sz w:val="21"/>
                <w:szCs w:val="21"/>
                <w:highlight w:val="none"/>
                <w:lang w:val="en-US" w:eastAsia="zh-CN" w:bidi="ar"/>
              </w:rPr>
              <w:t>1</w:t>
            </w:r>
          </w:p>
        </w:tc>
        <w:tc>
          <w:tcPr>
            <w:tcW w:w="337"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0A80724F">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w:t>
            </w:r>
          </w:p>
        </w:tc>
        <w:tc>
          <w:tcPr>
            <w:tcW w:w="354"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11F5E56C">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w:t>
            </w:r>
          </w:p>
        </w:tc>
        <w:tc>
          <w:tcPr>
            <w:tcW w:w="354"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1044245B">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p>
        </w:tc>
      </w:tr>
      <w:tr w14:paraId="2C3B1BA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shd w:val="clear" w:color="auto" w:fill="FFFFFF"/>
          <w:tblCellMar>
            <w:top w:w="0" w:type="dxa"/>
            <w:left w:w="108" w:type="dxa"/>
            <w:bottom w:w="0" w:type="dxa"/>
            <w:right w:w="108" w:type="dxa"/>
          </w:tblCellMar>
        </w:tblPrEx>
        <w:trPr>
          <w:trHeight w:val="242" w:hRule="atLeast"/>
        </w:trPr>
        <w:tc>
          <w:tcPr>
            <w:tcW w:w="685"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2CF8C15C">
            <w:pPr>
              <w:widowControl/>
              <w:adjustRightInd w:val="0"/>
              <w:snapToGrid w:val="0"/>
              <w:spacing w:line="240" w:lineRule="auto"/>
              <w:ind w:firstLine="0" w:firstLineChars="0"/>
              <w:jc w:val="center"/>
              <w:rPr>
                <w:rFonts w:hint="default" w:ascii="Times New Roman" w:hAnsi="Times New Roman" w:eastAsia="宋体" w:cs="Times New Roman"/>
                <w:color w:val="FF0000"/>
                <w:kern w:val="0"/>
                <w:sz w:val="21"/>
                <w:szCs w:val="21"/>
                <w:highlight w:val="none"/>
                <w:lang w:bidi="ar"/>
              </w:rPr>
            </w:pPr>
          </w:p>
        </w:tc>
        <w:tc>
          <w:tcPr>
            <w:tcW w:w="503"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6C6D04F9">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 xml:space="preserve">氮氧化物 </w:t>
            </w:r>
          </w:p>
        </w:tc>
        <w:tc>
          <w:tcPr>
            <w:tcW w:w="241"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1F965148">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 xml:space="preserve">自动 </w:t>
            </w:r>
          </w:p>
        </w:tc>
        <w:tc>
          <w:tcPr>
            <w:tcW w:w="59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57C78F84">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100</w:t>
            </w:r>
          </w:p>
        </w:tc>
        <w:tc>
          <w:tcPr>
            <w:tcW w:w="545"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4BDD474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3594</w:t>
            </w: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7EC20D8F">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23.47</w:t>
            </w: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17513A6D">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88.1</w:t>
            </w:r>
          </w:p>
        </w:tc>
        <w:tc>
          <w:tcPr>
            <w:tcW w:w="484"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05CAB098">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52.29</w:t>
            </w:r>
          </w:p>
        </w:tc>
        <w:tc>
          <w:tcPr>
            <w:tcW w:w="337"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1F5BDCBF">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w:t>
            </w:r>
          </w:p>
        </w:tc>
        <w:tc>
          <w:tcPr>
            <w:tcW w:w="354"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3E450BCC">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w:t>
            </w:r>
          </w:p>
        </w:tc>
        <w:tc>
          <w:tcPr>
            <w:tcW w:w="354"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60A75735">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p>
        </w:tc>
      </w:tr>
      <w:tr w14:paraId="790C789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shd w:val="clear" w:color="auto" w:fill="FFFFFF"/>
          <w:tblCellMar>
            <w:top w:w="0" w:type="dxa"/>
            <w:left w:w="108" w:type="dxa"/>
            <w:bottom w:w="0" w:type="dxa"/>
            <w:right w:w="108" w:type="dxa"/>
          </w:tblCellMar>
        </w:tblPrEx>
        <w:trPr>
          <w:trHeight w:val="90" w:hRule="atLeast"/>
        </w:trPr>
        <w:tc>
          <w:tcPr>
            <w:tcW w:w="685"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72B2DEFE">
            <w:pPr>
              <w:widowControl/>
              <w:adjustRightInd w:val="0"/>
              <w:snapToGrid w:val="0"/>
              <w:spacing w:line="240" w:lineRule="auto"/>
              <w:ind w:firstLine="0" w:firstLineChars="0"/>
              <w:jc w:val="center"/>
              <w:rPr>
                <w:rFonts w:hint="default" w:ascii="Times New Roman" w:hAnsi="Times New Roman" w:eastAsia="宋体" w:cs="Times New Roman"/>
                <w:color w:val="FF0000"/>
                <w:kern w:val="0"/>
                <w:sz w:val="21"/>
                <w:szCs w:val="21"/>
                <w:highlight w:val="none"/>
                <w:lang w:bidi="ar"/>
              </w:rPr>
            </w:pPr>
          </w:p>
        </w:tc>
        <w:tc>
          <w:tcPr>
            <w:tcW w:w="503"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1C5E4523">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 xml:space="preserve">汞及其化合物 </w:t>
            </w:r>
          </w:p>
        </w:tc>
        <w:tc>
          <w:tcPr>
            <w:tcW w:w="241"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01E25A96">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 xml:space="preserve">手工 </w:t>
            </w:r>
          </w:p>
        </w:tc>
        <w:tc>
          <w:tcPr>
            <w:tcW w:w="59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5832F7E4">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0.03</w:t>
            </w:r>
          </w:p>
        </w:tc>
        <w:tc>
          <w:tcPr>
            <w:tcW w:w="545"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305EE77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bidi="ar"/>
              </w:rPr>
            </w:pPr>
            <w:r>
              <w:rPr>
                <w:rFonts w:hint="eastAsia" w:ascii="Times New Roman" w:hAnsi="Times New Roman" w:eastAsia="宋体" w:cs="Times New Roman"/>
                <w:color w:val="auto"/>
                <w:kern w:val="0"/>
                <w:sz w:val="21"/>
                <w:szCs w:val="21"/>
                <w:highlight w:val="none"/>
                <w:lang w:val="en-US" w:eastAsia="zh-CN" w:bidi="ar"/>
              </w:rPr>
              <w:t>3594</w:t>
            </w: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413553A5">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0.0023</w:t>
            </w: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5303994F">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0.002</w:t>
            </w:r>
            <w:r>
              <w:rPr>
                <w:rFonts w:hint="eastAsia" w:ascii="Times New Roman" w:hAnsi="Times New Roman" w:eastAsia="宋体" w:cs="Times New Roman"/>
                <w:color w:val="auto"/>
                <w:kern w:val="0"/>
                <w:sz w:val="21"/>
                <w:szCs w:val="21"/>
                <w:highlight w:val="none"/>
                <w:lang w:val="en-US" w:eastAsia="zh-CN" w:bidi="ar"/>
              </w:rPr>
              <w:t>4</w:t>
            </w:r>
          </w:p>
        </w:tc>
        <w:tc>
          <w:tcPr>
            <w:tcW w:w="484"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11F8C47B">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0.002</w:t>
            </w:r>
            <w:r>
              <w:rPr>
                <w:rFonts w:hint="eastAsia" w:ascii="Times New Roman" w:hAnsi="Times New Roman" w:eastAsia="宋体" w:cs="Times New Roman"/>
                <w:color w:val="auto"/>
                <w:kern w:val="0"/>
                <w:sz w:val="21"/>
                <w:szCs w:val="21"/>
                <w:highlight w:val="none"/>
                <w:lang w:val="en-US" w:eastAsia="zh-CN" w:bidi="ar"/>
              </w:rPr>
              <w:t>4</w:t>
            </w:r>
          </w:p>
        </w:tc>
        <w:tc>
          <w:tcPr>
            <w:tcW w:w="337"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0AA94FC3">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w:t>
            </w:r>
          </w:p>
        </w:tc>
        <w:tc>
          <w:tcPr>
            <w:tcW w:w="354"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6074D4C0">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w:t>
            </w:r>
          </w:p>
        </w:tc>
        <w:tc>
          <w:tcPr>
            <w:tcW w:w="354"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0FEA50AE">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p>
        </w:tc>
      </w:tr>
      <w:tr w14:paraId="08E1278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68" w:hRule="atLeast"/>
        </w:trPr>
        <w:tc>
          <w:tcPr>
            <w:tcW w:w="685"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0AB67537">
            <w:pPr>
              <w:widowControl/>
              <w:adjustRightInd w:val="0"/>
              <w:snapToGrid w:val="0"/>
              <w:spacing w:line="240" w:lineRule="auto"/>
              <w:ind w:firstLine="0" w:firstLineChars="0"/>
              <w:jc w:val="center"/>
              <w:rPr>
                <w:rFonts w:hint="default" w:ascii="Times New Roman" w:hAnsi="Times New Roman" w:eastAsia="宋体" w:cs="Times New Roman"/>
                <w:color w:val="FF0000"/>
                <w:kern w:val="0"/>
                <w:sz w:val="21"/>
                <w:szCs w:val="21"/>
                <w:highlight w:val="none"/>
                <w:lang w:bidi="ar"/>
              </w:rPr>
            </w:pPr>
          </w:p>
        </w:tc>
        <w:tc>
          <w:tcPr>
            <w:tcW w:w="503"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2CFD3BBB">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 xml:space="preserve">颗粒物 </w:t>
            </w:r>
          </w:p>
        </w:tc>
        <w:tc>
          <w:tcPr>
            <w:tcW w:w="241"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320CD91D">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 xml:space="preserve">自动 </w:t>
            </w:r>
          </w:p>
        </w:tc>
        <w:tc>
          <w:tcPr>
            <w:tcW w:w="59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143B4A10">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30</w:t>
            </w:r>
          </w:p>
        </w:tc>
        <w:tc>
          <w:tcPr>
            <w:tcW w:w="545"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296C53B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3594</w:t>
            </w: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323E51AB">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1.09</w:t>
            </w: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4CCF9D2F">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3.12</w:t>
            </w:r>
          </w:p>
        </w:tc>
        <w:tc>
          <w:tcPr>
            <w:tcW w:w="484"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4873CDE3">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1.46</w:t>
            </w:r>
          </w:p>
        </w:tc>
        <w:tc>
          <w:tcPr>
            <w:tcW w:w="337"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5DF187DC">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w:t>
            </w:r>
          </w:p>
        </w:tc>
        <w:tc>
          <w:tcPr>
            <w:tcW w:w="354"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26FE4D61">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w:t>
            </w:r>
          </w:p>
        </w:tc>
        <w:tc>
          <w:tcPr>
            <w:tcW w:w="354"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3D001F8D">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p>
        </w:tc>
      </w:tr>
      <w:tr w14:paraId="7B9C4E2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83" w:hRule="atLeast"/>
        </w:trPr>
        <w:tc>
          <w:tcPr>
            <w:tcW w:w="685" w:type="pct"/>
            <w:vMerge w:val="restar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20A39A2F">
            <w:pPr>
              <w:widowControl/>
              <w:adjustRightInd w:val="0"/>
              <w:snapToGrid w:val="0"/>
              <w:spacing w:line="240" w:lineRule="auto"/>
              <w:ind w:firstLine="0" w:firstLineChars="0"/>
              <w:jc w:val="center"/>
              <w:rPr>
                <w:rFonts w:hint="default" w:ascii="Times New Roman" w:hAnsi="Times New Roman" w:eastAsia="宋体" w:cs="Times New Roman"/>
                <w:color w:val="FF0000"/>
                <w:kern w:val="0"/>
                <w:sz w:val="21"/>
                <w:szCs w:val="21"/>
                <w:highlight w:val="none"/>
                <w:lang w:val="en-US" w:eastAsia="zh-CN" w:bidi="ar"/>
              </w:rPr>
            </w:pPr>
            <w:r>
              <w:rPr>
                <w:rFonts w:hint="eastAsia" w:ascii="Times New Roman" w:hAnsi="Times New Roman" w:eastAsia="宋体" w:cs="Times New Roman"/>
                <w:color w:val="FF0000"/>
                <w:kern w:val="0"/>
                <w:sz w:val="21"/>
                <w:szCs w:val="21"/>
                <w:highlight w:val="none"/>
                <w:lang w:val="en-US" w:eastAsia="zh-CN" w:bidi="ar"/>
              </w:rPr>
              <w:t>2</w:t>
            </w:r>
            <w:r>
              <w:rPr>
                <w:rFonts w:hint="default" w:ascii="Times New Roman" w:hAnsi="Times New Roman" w:eastAsia="宋体" w:cs="Times New Roman"/>
                <w:color w:val="FF0000"/>
                <w:kern w:val="0"/>
                <w:sz w:val="21"/>
                <w:szCs w:val="21"/>
                <w:highlight w:val="none"/>
                <w:lang w:val="en-US" w:eastAsia="zh-CN" w:bidi="ar"/>
              </w:rPr>
              <w:t>#锅炉</w:t>
            </w:r>
          </w:p>
          <w:p w14:paraId="60317431">
            <w:pPr>
              <w:widowControl/>
              <w:adjustRightInd w:val="0"/>
              <w:snapToGrid w:val="0"/>
              <w:spacing w:line="240" w:lineRule="auto"/>
              <w:ind w:firstLine="0" w:firstLineChars="0"/>
              <w:jc w:val="center"/>
              <w:rPr>
                <w:rFonts w:hint="eastAsia" w:ascii="Times New Roman" w:hAnsi="Times New Roman" w:eastAsia="宋体" w:cs="Times New Roman"/>
                <w:color w:val="FF0000"/>
                <w:kern w:val="0"/>
                <w:sz w:val="21"/>
                <w:szCs w:val="21"/>
                <w:highlight w:val="none"/>
                <w:lang w:eastAsia="zh-CN" w:bidi="ar"/>
              </w:rPr>
            </w:pPr>
            <w:r>
              <w:rPr>
                <w:rFonts w:hint="default" w:ascii="Times New Roman" w:hAnsi="Times New Roman" w:eastAsia="宋体" w:cs="Times New Roman"/>
                <w:color w:val="FF0000"/>
                <w:kern w:val="0"/>
                <w:sz w:val="21"/>
                <w:szCs w:val="21"/>
                <w:highlight w:val="none"/>
                <w:lang w:eastAsia="zh-CN" w:bidi="ar"/>
              </w:rPr>
              <w:t>（</w:t>
            </w:r>
            <w:r>
              <w:rPr>
                <w:rFonts w:hint="default" w:ascii="Times New Roman" w:hAnsi="Times New Roman" w:eastAsia="宋体" w:cs="Times New Roman"/>
                <w:color w:val="FF0000"/>
                <w:kern w:val="0"/>
                <w:sz w:val="21"/>
                <w:szCs w:val="21"/>
                <w:highlight w:val="none"/>
                <w:lang w:bidi="ar"/>
              </w:rPr>
              <w:t>DA00</w:t>
            </w:r>
            <w:r>
              <w:rPr>
                <w:rFonts w:hint="eastAsia" w:ascii="Times New Roman" w:hAnsi="Times New Roman" w:eastAsia="宋体" w:cs="Times New Roman"/>
                <w:color w:val="FF0000"/>
                <w:kern w:val="0"/>
                <w:sz w:val="21"/>
                <w:szCs w:val="21"/>
                <w:highlight w:val="none"/>
                <w:lang w:val="en-US" w:eastAsia="zh-CN" w:bidi="ar"/>
              </w:rPr>
              <w:t>3</w:t>
            </w:r>
            <w:r>
              <w:rPr>
                <w:rFonts w:hint="default" w:ascii="Times New Roman" w:hAnsi="Times New Roman" w:eastAsia="宋体" w:cs="Times New Roman"/>
                <w:color w:val="FF0000"/>
                <w:kern w:val="0"/>
                <w:sz w:val="21"/>
                <w:szCs w:val="21"/>
                <w:highlight w:val="none"/>
                <w:lang w:eastAsia="zh-CN" w:bidi="ar"/>
              </w:rPr>
              <w:t>）</w:t>
            </w:r>
          </w:p>
        </w:tc>
        <w:tc>
          <w:tcPr>
            <w:tcW w:w="503"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006BFE4E">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 xml:space="preserve">二氧化硫 </w:t>
            </w:r>
          </w:p>
        </w:tc>
        <w:tc>
          <w:tcPr>
            <w:tcW w:w="241"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1889058B">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 xml:space="preserve">自动 </w:t>
            </w:r>
          </w:p>
        </w:tc>
        <w:tc>
          <w:tcPr>
            <w:tcW w:w="59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308DA718">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bidi="ar"/>
              </w:rPr>
            </w:pPr>
            <w:r>
              <w:rPr>
                <w:rFonts w:hint="eastAsia" w:ascii="Times New Roman" w:hAnsi="Times New Roman" w:eastAsia="宋体" w:cs="Times New Roman"/>
                <w:color w:val="auto"/>
                <w:kern w:val="0"/>
                <w:sz w:val="21"/>
                <w:szCs w:val="21"/>
                <w:highlight w:val="none"/>
                <w:lang w:val="en-US" w:eastAsia="zh-CN" w:bidi="ar"/>
              </w:rPr>
              <w:t>100</w:t>
            </w:r>
          </w:p>
        </w:tc>
        <w:tc>
          <w:tcPr>
            <w:tcW w:w="545"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2A8B30D8">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3787</w:t>
            </w: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5EB22E55">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6.74</w:t>
            </w: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02A6624F">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80.42</w:t>
            </w:r>
          </w:p>
        </w:tc>
        <w:tc>
          <w:tcPr>
            <w:tcW w:w="484"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7CC0D41E">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37.94</w:t>
            </w:r>
          </w:p>
        </w:tc>
        <w:tc>
          <w:tcPr>
            <w:tcW w:w="337"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0089B217">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w:t>
            </w:r>
          </w:p>
        </w:tc>
        <w:tc>
          <w:tcPr>
            <w:tcW w:w="354"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535FA103">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w:t>
            </w:r>
          </w:p>
        </w:tc>
        <w:tc>
          <w:tcPr>
            <w:tcW w:w="354" w:type="pct"/>
            <w:vMerge w:val="restar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64807ADD">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现有工程</w:t>
            </w:r>
          </w:p>
        </w:tc>
      </w:tr>
      <w:tr w14:paraId="1219D40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90" w:hRule="atLeast"/>
        </w:trPr>
        <w:tc>
          <w:tcPr>
            <w:tcW w:w="685"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75B54117">
            <w:pPr>
              <w:widowControl/>
              <w:adjustRightInd w:val="0"/>
              <w:snapToGrid w:val="0"/>
              <w:spacing w:line="240" w:lineRule="auto"/>
              <w:ind w:firstLine="0" w:firstLineChars="0"/>
              <w:jc w:val="center"/>
              <w:rPr>
                <w:rFonts w:hint="default" w:ascii="Times New Roman" w:hAnsi="Times New Roman" w:eastAsia="宋体" w:cs="Times New Roman"/>
                <w:color w:val="FF0000"/>
                <w:kern w:val="0"/>
                <w:sz w:val="21"/>
                <w:szCs w:val="21"/>
                <w:highlight w:val="none"/>
                <w:lang w:bidi="ar"/>
              </w:rPr>
            </w:pPr>
          </w:p>
        </w:tc>
        <w:tc>
          <w:tcPr>
            <w:tcW w:w="503"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7D6B54ED">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 xml:space="preserve">林格曼黑度 </w:t>
            </w:r>
          </w:p>
        </w:tc>
        <w:tc>
          <w:tcPr>
            <w:tcW w:w="241"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47F5E2A9">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 xml:space="preserve">手工 </w:t>
            </w:r>
          </w:p>
        </w:tc>
        <w:tc>
          <w:tcPr>
            <w:tcW w:w="59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6CE0F701">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 xml:space="preserve">1 </w:t>
            </w:r>
          </w:p>
        </w:tc>
        <w:tc>
          <w:tcPr>
            <w:tcW w:w="545"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3A2F6A82">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3</w:t>
            </w: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2CEDBD2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w:t>
            </w:r>
            <w:r>
              <w:rPr>
                <w:rFonts w:hint="eastAsia" w:ascii="Times New Roman" w:hAnsi="Times New Roman" w:eastAsia="宋体" w:cs="Times New Roman"/>
                <w:color w:val="auto"/>
                <w:kern w:val="0"/>
                <w:sz w:val="21"/>
                <w:szCs w:val="21"/>
                <w:highlight w:val="none"/>
                <w:lang w:val="en-US" w:eastAsia="zh-CN" w:bidi="ar"/>
              </w:rPr>
              <w:t>1</w:t>
            </w: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63DB65A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w:t>
            </w:r>
            <w:r>
              <w:rPr>
                <w:rFonts w:hint="eastAsia" w:ascii="Times New Roman" w:hAnsi="Times New Roman" w:eastAsia="宋体" w:cs="Times New Roman"/>
                <w:color w:val="auto"/>
                <w:kern w:val="0"/>
                <w:sz w:val="21"/>
                <w:szCs w:val="21"/>
                <w:highlight w:val="none"/>
                <w:lang w:val="en-US" w:eastAsia="zh-CN" w:bidi="ar"/>
              </w:rPr>
              <w:t>1</w:t>
            </w:r>
          </w:p>
        </w:tc>
        <w:tc>
          <w:tcPr>
            <w:tcW w:w="484"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5CB8C17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w:t>
            </w:r>
            <w:r>
              <w:rPr>
                <w:rFonts w:hint="eastAsia" w:ascii="Times New Roman" w:hAnsi="Times New Roman" w:eastAsia="宋体" w:cs="Times New Roman"/>
                <w:color w:val="auto"/>
                <w:kern w:val="0"/>
                <w:sz w:val="21"/>
                <w:szCs w:val="21"/>
                <w:highlight w:val="none"/>
                <w:lang w:val="en-US" w:eastAsia="zh-CN" w:bidi="ar"/>
              </w:rPr>
              <w:t>1</w:t>
            </w:r>
          </w:p>
        </w:tc>
        <w:tc>
          <w:tcPr>
            <w:tcW w:w="337"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1C1047BC">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w:t>
            </w:r>
          </w:p>
        </w:tc>
        <w:tc>
          <w:tcPr>
            <w:tcW w:w="354"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11910587">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w:t>
            </w:r>
          </w:p>
        </w:tc>
        <w:tc>
          <w:tcPr>
            <w:tcW w:w="354"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21CEE602">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p>
        </w:tc>
      </w:tr>
      <w:tr w14:paraId="3B31BF1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shd w:val="clear" w:color="auto" w:fill="FFFFFF"/>
          <w:tblCellMar>
            <w:top w:w="0" w:type="dxa"/>
            <w:left w:w="108" w:type="dxa"/>
            <w:bottom w:w="0" w:type="dxa"/>
            <w:right w:w="108" w:type="dxa"/>
          </w:tblCellMar>
        </w:tblPrEx>
        <w:trPr>
          <w:trHeight w:val="349" w:hRule="atLeast"/>
        </w:trPr>
        <w:tc>
          <w:tcPr>
            <w:tcW w:w="685"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7C28A17D">
            <w:pPr>
              <w:widowControl/>
              <w:adjustRightInd w:val="0"/>
              <w:snapToGrid w:val="0"/>
              <w:spacing w:line="240" w:lineRule="auto"/>
              <w:ind w:firstLine="0" w:firstLineChars="0"/>
              <w:jc w:val="center"/>
              <w:rPr>
                <w:rFonts w:hint="default" w:ascii="Times New Roman" w:hAnsi="Times New Roman" w:eastAsia="宋体" w:cs="Times New Roman"/>
                <w:color w:val="FF0000"/>
                <w:kern w:val="0"/>
                <w:sz w:val="21"/>
                <w:szCs w:val="21"/>
                <w:highlight w:val="none"/>
                <w:lang w:bidi="ar"/>
              </w:rPr>
            </w:pPr>
          </w:p>
        </w:tc>
        <w:tc>
          <w:tcPr>
            <w:tcW w:w="503"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6EDE649A">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 xml:space="preserve">氮氧化物 </w:t>
            </w:r>
          </w:p>
        </w:tc>
        <w:tc>
          <w:tcPr>
            <w:tcW w:w="241"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105C9A99">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 xml:space="preserve">自动 </w:t>
            </w:r>
          </w:p>
        </w:tc>
        <w:tc>
          <w:tcPr>
            <w:tcW w:w="59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5BBD2BB5">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bidi="ar"/>
              </w:rPr>
            </w:pPr>
            <w:r>
              <w:rPr>
                <w:rFonts w:hint="eastAsia" w:ascii="Times New Roman" w:hAnsi="Times New Roman" w:eastAsia="宋体" w:cs="Times New Roman"/>
                <w:color w:val="auto"/>
                <w:kern w:val="0"/>
                <w:sz w:val="21"/>
                <w:szCs w:val="21"/>
                <w:highlight w:val="none"/>
                <w:lang w:val="en-US" w:eastAsia="zh-CN" w:bidi="ar"/>
              </w:rPr>
              <w:t>100</w:t>
            </w:r>
          </w:p>
        </w:tc>
        <w:tc>
          <w:tcPr>
            <w:tcW w:w="545"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48D9B28B">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3787</w:t>
            </w: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2A6D4EB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24.05</w:t>
            </w: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7CB290D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83.12</w:t>
            </w:r>
          </w:p>
        </w:tc>
        <w:tc>
          <w:tcPr>
            <w:tcW w:w="484"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2D36B86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56.04</w:t>
            </w:r>
          </w:p>
        </w:tc>
        <w:tc>
          <w:tcPr>
            <w:tcW w:w="337"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0FA66CFA">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w:t>
            </w:r>
          </w:p>
        </w:tc>
        <w:tc>
          <w:tcPr>
            <w:tcW w:w="354"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75A8E9DE">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w:t>
            </w:r>
          </w:p>
        </w:tc>
        <w:tc>
          <w:tcPr>
            <w:tcW w:w="354"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5BA8B32E">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p>
        </w:tc>
      </w:tr>
      <w:tr w14:paraId="313A70A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shd w:val="clear" w:color="auto" w:fill="FFFFFF"/>
          <w:tblCellMar>
            <w:top w:w="0" w:type="dxa"/>
            <w:left w:w="108" w:type="dxa"/>
            <w:bottom w:w="0" w:type="dxa"/>
            <w:right w:w="108" w:type="dxa"/>
          </w:tblCellMar>
        </w:tblPrEx>
        <w:trPr>
          <w:trHeight w:val="90" w:hRule="atLeast"/>
        </w:trPr>
        <w:tc>
          <w:tcPr>
            <w:tcW w:w="685"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043F93BD">
            <w:pPr>
              <w:widowControl/>
              <w:adjustRightInd w:val="0"/>
              <w:snapToGrid w:val="0"/>
              <w:spacing w:line="240" w:lineRule="auto"/>
              <w:ind w:firstLine="0" w:firstLineChars="0"/>
              <w:jc w:val="center"/>
              <w:rPr>
                <w:rFonts w:hint="default" w:ascii="Times New Roman" w:hAnsi="Times New Roman" w:eastAsia="宋体" w:cs="Times New Roman"/>
                <w:color w:val="FF0000"/>
                <w:kern w:val="0"/>
                <w:sz w:val="21"/>
                <w:szCs w:val="21"/>
                <w:highlight w:val="none"/>
                <w:lang w:bidi="ar"/>
              </w:rPr>
            </w:pPr>
          </w:p>
        </w:tc>
        <w:tc>
          <w:tcPr>
            <w:tcW w:w="503"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1226E6E6">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 xml:space="preserve">汞及其化合物 </w:t>
            </w:r>
          </w:p>
        </w:tc>
        <w:tc>
          <w:tcPr>
            <w:tcW w:w="241"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04FCBF3B">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 xml:space="preserve">手工 </w:t>
            </w:r>
          </w:p>
        </w:tc>
        <w:tc>
          <w:tcPr>
            <w:tcW w:w="59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282F9342">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eastAsia="zh-CN" w:bidi="ar"/>
              </w:rPr>
            </w:pPr>
            <w:r>
              <w:rPr>
                <w:rFonts w:hint="default" w:ascii="Times New Roman" w:hAnsi="Times New Roman" w:eastAsia="宋体" w:cs="Times New Roman"/>
                <w:color w:val="auto"/>
                <w:kern w:val="0"/>
                <w:sz w:val="21"/>
                <w:szCs w:val="21"/>
                <w:highlight w:val="none"/>
                <w:lang w:bidi="ar"/>
              </w:rPr>
              <w:t>0.0</w:t>
            </w:r>
            <w:r>
              <w:rPr>
                <w:rFonts w:hint="eastAsia" w:ascii="Times New Roman" w:hAnsi="Times New Roman" w:eastAsia="宋体" w:cs="Times New Roman"/>
                <w:color w:val="auto"/>
                <w:kern w:val="0"/>
                <w:sz w:val="21"/>
                <w:szCs w:val="21"/>
                <w:highlight w:val="none"/>
                <w:lang w:val="en-US" w:eastAsia="zh-CN" w:bidi="ar"/>
              </w:rPr>
              <w:t>3</w:t>
            </w:r>
          </w:p>
        </w:tc>
        <w:tc>
          <w:tcPr>
            <w:tcW w:w="545"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794C8931">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3</w:t>
            </w: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63A2E5E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bidi="ar"/>
              </w:rPr>
            </w:pPr>
            <w:r>
              <w:rPr>
                <w:rFonts w:hint="eastAsia" w:ascii="Times New Roman" w:hAnsi="Times New Roman" w:eastAsia="宋体" w:cs="Times New Roman"/>
                <w:color w:val="auto"/>
                <w:kern w:val="0"/>
                <w:sz w:val="21"/>
                <w:szCs w:val="21"/>
                <w:highlight w:val="none"/>
                <w:lang w:val="en-US" w:eastAsia="zh-CN" w:bidi="ar"/>
              </w:rPr>
              <w:t>0.0023</w:t>
            </w: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0D0C328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bidi="ar"/>
              </w:rPr>
            </w:pPr>
            <w:r>
              <w:rPr>
                <w:rFonts w:hint="default" w:ascii="Times New Roman" w:hAnsi="Times New Roman" w:eastAsia="宋体" w:cs="Times New Roman"/>
                <w:color w:val="auto"/>
                <w:kern w:val="0"/>
                <w:sz w:val="21"/>
                <w:szCs w:val="21"/>
                <w:highlight w:val="none"/>
                <w:lang w:val="en-US" w:eastAsia="zh-CN" w:bidi="ar"/>
              </w:rPr>
              <w:t>0.002</w:t>
            </w:r>
            <w:r>
              <w:rPr>
                <w:rFonts w:hint="eastAsia" w:ascii="Times New Roman" w:hAnsi="Times New Roman" w:eastAsia="宋体" w:cs="Times New Roman"/>
                <w:color w:val="auto"/>
                <w:kern w:val="0"/>
                <w:sz w:val="21"/>
                <w:szCs w:val="21"/>
                <w:highlight w:val="none"/>
                <w:lang w:val="en-US" w:eastAsia="zh-CN" w:bidi="ar"/>
              </w:rPr>
              <w:t>4</w:t>
            </w:r>
          </w:p>
        </w:tc>
        <w:tc>
          <w:tcPr>
            <w:tcW w:w="484"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0700AD7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0.002</w:t>
            </w:r>
            <w:r>
              <w:rPr>
                <w:rFonts w:hint="eastAsia" w:ascii="Times New Roman" w:hAnsi="Times New Roman" w:eastAsia="宋体" w:cs="Times New Roman"/>
                <w:color w:val="auto"/>
                <w:kern w:val="0"/>
                <w:sz w:val="21"/>
                <w:szCs w:val="21"/>
                <w:highlight w:val="none"/>
                <w:lang w:val="en-US" w:eastAsia="zh-CN" w:bidi="ar"/>
              </w:rPr>
              <w:t>3</w:t>
            </w:r>
          </w:p>
        </w:tc>
        <w:tc>
          <w:tcPr>
            <w:tcW w:w="337"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71356FF1">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w:t>
            </w:r>
          </w:p>
        </w:tc>
        <w:tc>
          <w:tcPr>
            <w:tcW w:w="354"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41DEE56C">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w:t>
            </w:r>
          </w:p>
        </w:tc>
        <w:tc>
          <w:tcPr>
            <w:tcW w:w="354"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4E2D17BE">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p>
        </w:tc>
      </w:tr>
      <w:tr w14:paraId="2EEEC70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shd w:val="clear" w:color="auto" w:fill="FFFFFF"/>
          <w:tblCellMar>
            <w:top w:w="0" w:type="dxa"/>
            <w:left w:w="108" w:type="dxa"/>
            <w:bottom w:w="0" w:type="dxa"/>
            <w:right w:w="108" w:type="dxa"/>
          </w:tblCellMar>
        </w:tblPrEx>
        <w:trPr>
          <w:trHeight w:val="331" w:hRule="atLeast"/>
        </w:trPr>
        <w:tc>
          <w:tcPr>
            <w:tcW w:w="685"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265C4485">
            <w:pPr>
              <w:widowControl/>
              <w:adjustRightInd w:val="0"/>
              <w:snapToGrid w:val="0"/>
              <w:spacing w:line="240" w:lineRule="auto"/>
              <w:ind w:firstLine="0" w:firstLineChars="0"/>
              <w:jc w:val="center"/>
              <w:rPr>
                <w:rFonts w:hint="default" w:ascii="Times New Roman" w:hAnsi="Times New Roman" w:eastAsia="宋体" w:cs="Times New Roman"/>
                <w:color w:val="FF0000"/>
                <w:kern w:val="0"/>
                <w:sz w:val="21"/>
                <w:szCs w:val="21"/>
                <w:highlight w:val="none"/>
                <w:lang w:bidi="ar"/>
              </w:rPr>
            </w:pPr>
          </w:p>
        </w:tc>
        <w:tc>
          <w:tcPr>
            <w:tcW w:w="503"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6DD81E69">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 xml:space="preserve">颗粒物 </w:t>
            </w:r>
          </w:p>
        </w:tc>
        <w:tc>
          <w:tcPr>
            <w:tcW w:w="241"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5C6FB8E8">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 xml:space="preserve">自动 </w:t>
            </w:r>
          </w:p>
        </w:tc>
        <w:tc>
          <w:tcPr>
            <w:tcW w:w="59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27E9A49A">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30</w:t>
            </w:r>
          </w:p>
        </w:tc>
        <w:tc>
          <w:tcPr>
            <w:tcW w:w="545"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60126A32">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3787</w:t>
            </w: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596FB992">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1.29</w:t>
            </w: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17F807F3">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13.67</w:t>
            </w:r>
          </w:p>
        </w:tc>
        <w:tc>
          <w:tcPr>
            <w:tcW w:w="484"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6D907952">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2.04</w:t>
            </w:r>
          </w:p>
        </w:tc>
        <w:tc>
          <w:tcPr>
            <w:tcW w:w="337"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3146E2FE">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w:t>
            </w:r>
          </w:p>
        </w:tc>
        <w:tc>
          <w:tcPr>
            <w:tcW w:w="354"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5E751148">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w:t>
            </w:r>
          </w:p>
        </w:tc>
        <w:tc>
          <w:tcPr>
            <w:tcW w:w="354"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203C3DFB">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p>
        </w:tc>
      </w:tr>
      <w:tr w14:paraId="11B111F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shd w:val="clear" w:color="auto" w:fill="FFFFFF"/>
          <w:tblCellMar>
            <w:top w:w="0" w:type="dxa"/>
            <w:left w:w="108" w:type="dxa"/>
            <w:bottom w:w="0" w:type="dxa"/>
            <w:right w:w="108" w:type="dxa"/>
          </w:tblCellMar>
        </w:tblPrEx>
        <w:trPr>
          <w:trHeight w:val="332" w:hRule="atLeast"/>
        </w:trPr>
        <w:tc>
          <w:tcPr>
            <w:tcW w:w="685" w:type="pct"/>
            <w:vMerge w:val="restar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2D73DDF2">
            <w:pPr>
              <w:widowControl/>
              <w:adjustRightInd w:val="0"/>
              <w:snapToGrid w:val="0"/>
              <w:spacing w:line="240" w:lineRule="auto"/>
              <w:ind w:firstLine="0" w:firstLineChars="0"/>
              <w:jc w:val="center"/>
              <w:rPr>
                <w:rFonts w:hint="eastAsia" w:ascii="Times New Roman" w:hAnsi="Times New Roman" w:eastAsia="宋体" w:cs="Times New Roman"/>
                <w:color w:val="FF0000"/>
                <w:kern w:val="0"/>
                <w:sz w:val="21"/>
                <w:szCs w:val="21"/>
                <w:highlight w:val="none"/>
                <w:lang w:val="en-US" w:eastAsia="zh-CN" w:bidi="ar"/>
              </w:rPr>
            </w:pPr>
            <w:r>
              <w:rPr>
                <w:rFonts w:hint="eastAsia" w:ascii="Times New Roman" w:hAnsi="Times New Roman" w:eastAsia="宋体" w:cs="Times New Roman"/>
                <w:color w:val="FF0000"/>
                <w:kern w:val="0"/>
                <w:sz w:val="21"/>
                <w:szCs w:val="21"/>
                <w:highlight w:val="none"/>
                <w:lang w:val="en-US" w:eastAsia="zh-CN" w:bidi="ar"/>
              </w:rPr>
              <w:t>4#锅炉</w:t>
            </w:r>
          </w:p>
          <w:p w14:paraId="10C0DE50">
            <w:pPr>
              <w:widowControl/>
              <w:adjustRightInd w:val="0"/>
              <w:snapToGrid w:val="0"/>
              <w:spacing w:line="240" w:lineRule="auto"/>
              <w:ind w:firstLine="0" w:firstLineChars="0"/>
              <w:jc w:val="center"/>
              <w:rPr>
                <w:rFonts w:hint="default" w:ascii="Times New Roman" w:hAnsi="Times New Roman" w:eastAsia="宋体" w:cs="Times New Roman"/>
                <w:color w:val="FF0000"/>
                <w:kern w:val="0"/>
                <w:sz w:val="21"/>
                <w:szCs w:val="21"/>
                <w:highlight w:val="none"/>
                <w:lang w:val="en-US" w:eastAsia="zh-CN" w:bidi="ar"/>
              </w:rPr>
            </w:pPr>
            <w:r>
              <w:rPr>
                <w:rFonts w:hint="eastAsia" w:ascii="Times New Roman" w:hAnsi="Times New Roman" w:eastAsia="宋体" w:cs="Times New Roman"/>
                <w:color w:val="FF0000"/>
                <w:kern w:val="0"/>
                <w:sz w:val="21"/>
                <w:szCs w:val="21"/>
                <w:highlight w:val="none"/>
                <w:lang w:val="en-US" w:eastAsia="zh-CN" w:bidi="ar"/>
              </w:rPr>
              <w:t>（DA005）</w:t>
            </w:r>
          </w:p>
        </w:tc>
        <w:tc>
          <w:tcPr>
            <w:tcW w:w="503"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41281256">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 xml:space="preserve">二氧化硫 </w:t>
            </w:r>
          </w:p>
        </w:tc>
        <w:tc>
          <w:tcPr>
            <w:tcW w:w="241"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66A32F94">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 xml:space="preserve">自动 </w:t>
            </w:r>
          </w:p>
        </w:tc>
        <w:tc>
          <w:tcPr>
            <w:tcW w:w="59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1FD673E8">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400</w:t>
            </w:r>
          </w:p>
        </w:tc>
        <w:tc>
          <w:tcPr>
            <w:tcW w:w="545"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73CB9BC3">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1904</w:t>
            </w: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63702C04">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1.85</w:t>
            </w: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4428B1D5">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65.96</w:t>
            </w:r>
          </w:p>
        </w:tc>
        <w:tc>
          <w:tcPr>
            <w:tcW w:w="484"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45EB5127">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23.26</w:t>
            </w:r>
          </w:p>
        </w:tc>
        <w:tc>
          <w:tcPr>
            <w:tcW w:w="337"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60A037AB">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w:t>
            </w:r>
          </w:p>
        </w:tc>
        <w:tc>
          <w:tcPr>
            <w:tcW w:w="354"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593F0BC3">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w:t>
            </w:r>
          </w:p>
        </w:tc>
        <w:tc>
          <w:tcPr>
            <w:tcW w:w="354" w:type="pct"/>
            <w:vMerge w:val="restar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3A4A3EEA">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本项目一期工程</w:t>
            </w:r>
          </w:p>
        </w:tc>
      </w:tr>
      <w:tr w14:paraId="7A93120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shd w:val="clear" w:color="auto" w:fill="FFFFFF"/>
          <w:tblCellMar>
            <w:top w:w="0" w:type="dxa"/>
            <w:left w:w="108" w:type="dxa"/>
            <w:bottom w:w="0" w:type="dxa"/>
            <w:right w:w="108" w:type="dxa"/>
          </w:tblCellMar>
        </w:tblPrEx>
        <w:trPr>
          <w:trHeight w:val="360" w:hRule="atLeast"/>
        </w:trPr>
        <w:tc>
          <w:tcPr>
            <w:tcW w:w="685"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2B63F787">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p>
        </w:tc>
        <w:tc>
          <w:tcPr>
            <w:tcW w:w="503"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52BC1C32">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 xml:space="preserve">林格曼黑度 </w:t>
            </w:r>
          </w:p>
        </w:tc>
        <w:tc>
          <w:tcPr>
            <w:tcW w:w="241"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2F436725">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 xml:space="preserve">手工 </w:t>
            </w:r>
          </w:p>
        </w:tc>
        <w:tc>
          <w:tcPr>
            <w:tcW w:w="59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27953260">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 xml:space="preserve">1 </w:t>
            </w:r>
          </w:p>
        </w:tc>
        <w:tc>
          <w:tcPr>
            <w:tcW w:w="545"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01E4C3D3">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3</w:t>
            </w: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4860C844">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w:t>
            </w: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68CACCC7">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w:t>
            </w:r>
          </w:p>
        </w:tc>
        <w:tc>
          <w:tcPr>
            <w:tcW w:w="484"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040F139C">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w:t>
            </w:r>
          </w:p>
        </w:tc>
        <w:tc>
          <w:tcPr>
            <w:tcW w:w="337"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05C8EB79">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w:t>
            </w:r>
          </w:p>
        </w:tc>
        <w:tc>
          <w:tcPr>
            <w:tcW w:w="354"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29A1959B">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w:t>
            </w:r>
          </w:p>
        </w:tc>
        <w:tc>
          <w:tcPr>
            <w:tcW w:w="354"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7A95FCF1">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p>
        </w:tc>
      </w:tr>
      <w:tr w14:paraId="3B86FA3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shd w:val="clear" w:color="auto" w:fill="FFFFFF"/>
          <w:tblCellMar>
            <w:top w:w="0" w:type="dxa"/>
            <w:left w:w="108" w:type="dxa"/>
            <w:bottom w:w="0" w:type="dxa"/>
            <w:right w:w="108" w:type="dxa"/>
          </w:tblCellMar>
        </w:tblPrEx>
        <w:trPr>
          <w:trHeight w:val="299" w:hRule="atLeast"/>
        </w:trPr>
        <w:tc>
          <w:tcPr>
            <w:tcW w:w="685"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0AABEEA7">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p>
        </w:tc>
        <w:tc>
          <w:tcPr>
            <w:tcW w:w="503"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3B565F1D">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 xml:space="preserve">氮氧化物 </w:t>
            </w:r>
          </w:p>
        </w:tc>
        <w:tc>
          <w:tcPr>
            <w:tcW w:w="241"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1FFA516D">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 xml:space="preserve">自动 </w:t>
            </w:r>
          </w:p>
        </w:tc>
        <w:tc>
          <w:tcPr>
            <w:tcW w:w="59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6876B6FF">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400</w:t>
            </w:r>
          </w:p>
        </w:tc>
        <w:tc>
          <w:tcPr>
            <w:tcW w:w="545"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20962DDA">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1904</w:t>
            </w: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48A97D2D">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15.1</w:t>
            </w: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58F5563A">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125</w:t>
            </w:r>
          </w:p>
        </w:tc>
        <w:tc>
          <w:tcPr>
            <w:tcW w:w="484"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3E5E81D8">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60.5</w:t>
            </w:r>
          </w:p>
        </w:tc>
        <w:tc>
          <w:tcPr>
            <w:tcW w:w="337"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5ACE8185">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w:t>
            </w:r>
          </w:p>
        </w:tc>
        <w:tc>
          <w:tcPr>
            <w:tcW w:w="354"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2A91F854">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w:t>
            </w:r>
          </w:p>
        </w:tc>
        <w:tc>
          <w:tcPr>
            <w:tcW w:w="354"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322723D6">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p>
        </w:tc>
      </w:tr>
      <w:tr w14:paraId="3289C47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shd w:val="clear" w:color="auto" w:fill="FFFFFF"/>
          <w:tblCellMar>
            <w:top w:w="0" w:type="dxa"/>
            <w:left w:w="108" w:type="dxa"/>
            <w:bottom w:w="0" w:type="dxa"/>
            <w:right w:w="108" w:type="dxa"/>
          </w:tblCellMar>
        </w:tblPrEx>
        <w:trPr>
          <w:trHeight w:val="353" w:hRule="atLeast"/>
        </w:trPr>
        <w:tc>
          <w:tcPr>
            <w:tcW w:w="685"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1750797F">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p>
        </w:tc>
        <w:tc>
          <w:tcPr>
            <w:tcW w:w="503"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48E85A3A">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 xml:space="preserve">汞及其化合物 </w:t>
            </w:r>
          </w:p>
        </w:tc>
        <w:tc>
          <w:tcPr>
            <w:tcW w:w="241"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01319871">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 xml:space="preserve">手工 </w:t>
            </w:r>
          </w:p>
        </w:tc>
        <w:tc>
          <w:tcPr>
            <w:tcW w:w="59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63DCF51B">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 xml:space="preserve">0.05 </w:t>
            </w:r>
          </w:p>
        </w:tc>
        <w:tc>
          <w:tcPr>
            <w:tcW w:w="545"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563FF16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bidi="ar"/>
              </w:rPr>
            </w:pPr>
            <w:r>
              <w:rPr>
                <w:rFonts w:hint="eastAsia" w:ascii="Times New Roman" w:hAnsi="Times New Roman" w:eastAsia="宋体" w:cs="Times New Roman"/>
                <w:color w:val="auto"/>
                <w:kern w:val="0"/>
                <w:sz w:val="21"/>
                <w:szCs w:val="21"/>
                <w:highlight w:val="none"/>
                <w:lang w:val="en-US" w:eastAsia="zh-CN" w:bidi="ar"/>
              </w:rPr>
              <w:t>3</w:t>
            </w: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4B5586BF">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0.0017</w:t>
            </w: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2FCD8857">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0.0023</w:t>
            </w:r>
          </w:p>
        </w:tc>
        <w:tc>
          <w:tcPr>
            <w:tcW w:w="484"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39339A3E">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0.002</w:t>
            </w:r>
          </w:p>
        </w:tc>
        <w:tc>
          <w:tcPr>
            <w:tcW w:w="337"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7F3029B9">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w:t>
            </w:r>
          </w:p>
        </w:tc>
        <w:tc>
          <w:tcPr>
            <w:tcW w:w="354"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7931F2C0">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w:t>
            </w:r>
          </w:p>
        </w:tc>
        <w:tc>
          <w:tcPr>
            <w:tcW w:w="354"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0C3DB936">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p>
        </w:tc>
      </w:tr>
      <w:tr w14:paraId="3A37888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shd w:val="clear" w:color="auto" w:fill="FFFFFF"/>
          <w:tblCellMar>
            <w:top w:w="0" w:type="dxa"/>
            <w:left w:w="108" w:type="dxa"/>
            <w:bottom w:w="0" w:type="dxa"/>
            <w:right w:w="108" w:type="dxa"/>
          </w:tblCellMar>
        </w:tblPrEx>
        <w:trPr>
          <w:trHeight w:val="326" w:hRule="atLeast"/>
        </w:trPr>
        <w:tc>
          <w:tcPr>
            <w:tcW w:w="685"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7F12400A">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p>
        </w:tc>
        <w:tc>
          <w:tcPr>
            <w:tcW w:w="503"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3F84167F">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 xml:space="preserve">颗粒物 </w:t>
            </w:r>
          </w:p>
        </w:tc>
        <w:tc>
          <w:tcPr>
            <w:tcW w:w="241"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633A4105">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 xml:space="preserve">自动 </w:t>
            </w:r>
          </w:p>
        </w:tc>
        <w:tc>
          <w:tcPr>
            <w:tcW w:w="59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1C0D1B57">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80</w:t>
            </w:r>
          </w:p>
        </w:tc>
        <w:tc>
          <w:tcPr>
            <w:tcW w:w="545"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4470A6F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1904</w:t>
            </w: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6777E565">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0.57</w:t>
            </w:r>
          </w:p>
        </w:tc>
        <w:tc>
          <w:tcPr>
            <w:tcW w:w="450"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07B745D4">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5.31</w:t>
            </w:r>
          </w:p>
        </w:tc>
        <w:tc>
          <w:tcPr>
            <w:tcW w:w="484"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438F9D80">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1.235</w:t>
            </w:r>
          </w:p>
        </w:tc>
        <w:tc>
          <w:tcPr>
            <w:tcW w:w="337"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7CDD5D71">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w:t>
            </w:r>
          </w:p>
        </w:tc>
        <w:tc>
          <w:tcPr>
            <w:tcW w:w="354" w:type="pct"/>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39620199">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w:t>
            </w:r>
          </w:p>
        </w:tc>
        <w:tc>
          <w:tcPr>
            <w:tcW w:w="354" w:type="pct"/>
            <w:vMerge w:val="continue"/>
            <w:tcBorders>
              <w:insideH w:val="single" w:sz="6" w:space="0"/>
              <w:insideV w:val="single" w:sz="6" w:space="0"/>
              <w:tl2br w:val="nil"/>
              <w:tr2bl w:val="nil"/>
            </w:tcBorders>
            <w:shd w:val="clear" w:color="auto" w:fill="FFFFFF"/>
            <w:tcMar>
              <w:top w:w="60" w:type="dxa"/>
              <w:left w:w="75" w:type="dxa"/>
              <w:bottom w:w="60" w:type="dxa"/>
              <w:right w:w="75" w:type="dxa"/>
            </w:tcMar>
            <w:vAlign w:val="center"/>
          </w:tcPr>
          <w:p w14:paraId="4D16B6AE">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p>
        </w:tc>
      </w:tr>
    </w:tbl>
    <w:p w14:paraId="0A880E2F">
      <w:pPr>
        <w:bidi w:val="0"/>
        <w:ind w:left="0" w:leftChars="0" w:firstLine="480" w:firstLineChars="20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（2）无组织废气污染物排放情况</w:t>
      </w:r>
    </w:p>
    <w:p w14:paraId="4A725793">
      <w:pPr>
        <w:bidi w:val="0"/>
        <w:rPr>
          <w:rFonts w:hint="default" w:ascii="Times New Roman" w:hAnsi="Times New Roman" w:eastAsia="宋体" w:cs="Times New Roman"/>
          <w:color w:val="auto"/>
          <w:szCs w:val="24"/>
          <w:highlight w:val="none"/>
          <w:lang w:val="en-US" w:eastAsia="zh-CN"/>
        </w:rPr>
      </w:pPr>
      <w:r>
        <w:rPr>
          <w:rFonts w:hint="default" w:ascii="Times New Roman" w:hAnsi="Times New Roman" w:eastAsia="宋体" w:cs="Times New Roman"/>
          <w:color w:val="FF0000"/>
          <w:highlight w:val="none"/>
          <w:lang w:val="en-US" w:eastAsia="zh-CN"/>
        </w:rPr>
        <w:t>碎煤机室全封闭</w:t>
      </w:r>
      <w:r>
        <w:rPr>
          <w:rFonts w:hint="eastAsia" w:ascii="Times New Roman" w:hAnsi="Times New Roman" w:eastAsia="宋体" w:cs="Times New Roman"/>
          <w:color w:val="FF0000"/>
          <w:highlight w:val="none"/>
          <w:lang w:val="en-US" w:eastAsia="zh-CN"/>
        </w:rPr>
        <w:t>，</w:t>
      </w:r>
      <w:r>
        <w:rPr>
          <w:rFonts w:hint="default" w:ascii="Times New Roman" w:hAnsi="Times New Roman" w:eastAsia="宋体" w:cs="Times New Roman"/>
          <w:color w:val="FF0000"/>
          <w:highlight w:val="none"/>
          <w:lang w:val="en-US" w:eastAsia="zh-CN"/>
        </w:rPr>
        <w:t>输煤栈桥采用全封闭布置，采用钢筋混凝土基础砖墙围护，预制盖板封顶并上铺彩钢瓦，窗采用塑钢窗。储煤场围墙上设置防风抑尘网，不装卸时用篷布覆盖，定期洒水降尘</w:t>
      </w:r>
      <w:r>
        <w:rPr>
          <w:rFonts w:hint="eastAsia" w:ascii="Times New Roman" w:hAnsi="Times New Roman" w:eastAsia="宋体" w:cs="Times New Roman"/>
          <w:color w:val="FF0000"/>
          <w:highlight w:val="none"/>
          <w:lang w:val="en-US" w:eastAsia="zh-CN"/>
        </w:rPr>
        <w:t>。</w:t>
      </w:r>
      <w:r>
        <w:rPr>
          <w:rFonts w:hint="default" w:ascii="Times New Roman" w:hAnsi="Times New Roman" w:eastAsia="宋体" w:cs="Times New Roman"/>
          <w:color w:val="auto"/>
          <w:highlight w:val="none"/>
          <w:lang w:val="en-US" w:eastAsia="zh-CN"/>
        </w:rPr>
        <w:t>根据建设单位提供的2025年4季度检测报告，厂界无组织颗粒物排放监控浓度满足《大气污染物综合排放标准》（GB16297-1996）表2大气污染物排放限值无组织排放浓度限值。</w:t>
      </w:r>
    </w:p>
    <w:p w14:paraId="5D205691">
      <w:pPr>
        <w:pStyle w:val="105"/>
        <w:spacing w:line="420" w:lineRule="exact"/>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kern w:val="2"/>
          <w:sz w:val="24"/>
          <w:szCs w:val="24"/>
          <w:highlight w:val="none"/>
          <w:lang w:val="en-US" w:eastAsia="zh-CN" w:bidi="ar-SA"/>
        </w:rPr>
        <w:t>表3.1-</w:t>
      </w:r>
      <w:r>
        <w:rPr>
          <w:rFonts w:hint="eastAsia" w:ascii="Times New Roman" w:hAnsi="Times New Roman" w:eastAsia="宋体" w:cs="Times New Roman"/>
          <w:b w:val="0"/>
          <w:bCs w:val="0"/>
          <w:color w:val="auto"/>
          <w:kern w:val="2"/>
          <w:sz w:val="24"/>
          <w:szCs w:val="24"/>
          <w:highlight w:val="none"/>
          <w:lang w:val="en-US" w:eastAsia="zh-CN" w:bidi="ar-SA"/>
        </w:rPr>
        <w:t>4</w:t>
      </w:r>
      <w:r>
        <w:rPr>
          <w:rFonts w:hint="default" w:ascii="Times New Roman" w:hAnsi="Times New Roman" w:eastAsia="宋体" w:cs="Times New Roman"/>
          <w:b w:val="0"/>
          <w:bCs w:val="0"/>
          <w:color w:val="auto"/>
          <w:kern w:val="2"/>
          <w:sz w:val="24"/>
          <w:szCs w:val="24"/>
          <w:highlight w:val="none"/>
          <w:lang w:val="en-US" w:eastAsia="zh-CN" w:bidi="ar-SA"/>
        </w:rPr>
        <w:t xml:space="preserve"> </w:t>
      </w:r>
      <w:r>
        <w:rPr>
          <w:rFonts w:hint="eastAsia" w:ascii="Times New Roman" w:hAnsi="Times New Roman" w:eastAsia="宋体" w:cs="Times New Roman"/>
          <w:b w:val="0"/>
          <w:bCs w:val="0"/>
          <w:color w:val="auto"/>
          <w:kern w:val="2"/>
          <w:sz w:val="24"/>
          <w:szCs w:val="24"/>
          <w:highlight w:val="none"/>
          <w:lang w:val="en-US" w:eastAsia="zh-CN" w:bidi="ar-SA"/>
        </w:rPr>
        <w:t>无组织废气监测结果</w:t>
      </w:r>
      <w:r>
        <w:rPr>
          <w:rFonts w:hint="default" w:ascii="Times New Roman" w:hAnsi="Times New Roman" w:eastAsia="宋体" w:cs="Times New Roman"/>
          <w:b w:val="0"/>
          <w:bCs w:val="0"/>
          <w:color w:val="auto"/>
          <w:kern w:val="2"/>
          <w:sz w:val="24"/>
          <w:szCs w:val="24"/>
          <w:highlight w:val="none"/>
          <w:lang w:val="en-US" w:eastAsia="zh-CN" w:bidi="ar-SA"/>
        </w:rPr>
        <w:t xml:space="preserve">  单位：</w:t>
      </w:r>
      <w:r>
        <w:rPr>
          <w:rFonts w:hint="default" w:ascii="Times New Roman" w:hAnsi="Times New Roman" w:eastAsia="宋体" w:cs="Times New Roman"/>
          <w:b w:val="0"/>
          <w:bCs w:val="0"/>
          <w:color w:val="auto"/>
          <w:highlight w:val="none"/>
          <w:lang w:val="en-US" w:eastAsia="zh-CN"/>
        </w:rPr>
        <w:t>mg/m</w:t>
      </w:r>
      <w:r>
        <w:rPr>
          <w:rFonts w:hint="default" w:ascii="Times New Roman" w:hAnsi="Times New Roman" w:eastAsia="宋体" w:cs="Times New Roman"/>
          <w:b w:val="0"/>
          <w:bCs w:val="0"/>
          <w:color w:val="auto"/>
          <w:highlight w:val="none"/>
          <w:vertAlign w:val="superscript"/>
          <w:lang w:val="en-US" w:eastAsia="zh-CN"/>
        </w:rPr>
        <w:t>3</w:t>
      </w:r>
    </w:p>
    <w:tbl>
      <w:tblPr>
        <w:tblStyle w:val="3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91"/>
        <w:gridCol w:w="2201"/>
        <w:gridCol w:w="2295"/>
        <w:gridCol w:w="2332"/>
      </w:tblGrid>
      <w:tr w14:paraId="70DE52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992" w:type="pct"/>
            <w:vMerge w:val="restart"/>
            <w:tcBorders>
              <w:tl2br w:val="nil"/>
              <w:tr2bl w:val="nil"/>
            </w:tcBorders>
            <w:vAlign w:val="center"/>
          </w:tcPr>
          <w:p w14:paraId="4E6581CC">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监测点位</w:t>
            </w:r>
          </w:p>
        </w:tc>
        <w:tc>
          <w:tcPr>
            <w:tcW w:w="1291" w:type="pct"/>
            <w:tcBorders>
              <w:tl2br w:val="nil"/>
              <w:tr2bl w:val="nil"/>
            </w:tcBorders>
            <w:vAlign w:val="center"/>
          </w:tcPr>
          <w:p w14:paraId="78D4004C">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bidi="ar"/>
              </w:rPr>
              <w:t>检测结果（mg/m</w:t>
            </w:r>
            <w:r>
              <w:rPr>
                <w:rFonts w:hint="default" w:ascii="Times New Roman" w:hAnsi="Times New Roman" w:eastAsia="宋体" w:cs="Times New Roman"/>
                <w:color w:val="auto"/>
                <w:kern w:val="0"/>
                <w:sz w:val="21"/>
                <w:szCs w:val="21"/>
                <w:highlight w:val="none"/>
                <w:vertAlign w:val="superscript"/>
                <w:lang w:bidi="ar"/>
              </w:rPr>
              <w:t>3</w:t>
            </w:r>
            <w:r>
              <w:rPr>
                <w:rFonts w:hint="default" w:ascii="Times New Roman" w:hAnsi="Times New Roman" w:eastAsia="宋体" w:cs="Times New Roman"/>
                <w:color w:val="auto"/>
                <w:kern w:val="0"/>
                <w:sz w:val="21"/>
                <w:szCs w:val="21"/>
                <w:highlight w:val="none"/>
                <w:lang w:bidi="ar"/>
              </w:rPr>
              <w:t>）</w:t>
            </w:r>
          </w:p>
        </w:tc>
        <w:tc>
          <w:tcPr>
            <w:tcW w:w="1346" w:type="pct"/>
            <w:vMerge w:val="restart"/>
            <w:tcBorders>
              <w:tl2br w:val="nil"/>
              <w:tr2bl w:val="nil"/>
            </w:tcBorders>
            <w:vAlign w:val="center"/>
          </w:tcPr>
          <w:p w14:paraId="0FD38EF7">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监测点位</w:t>
            </w:r>
          </w:p>
        </w:tc>
        <w:tc>
          <w:tcPr>
            <w:tcW w:w="1368" w:type="pct"/>
            <w:tcBorders>
              <w:tl2br w:val="nil"/>
              <w:tr2bl w:val="nil"/>
            </w:tcBorders>
            <w:vAlign w:val="center"/>
          </w:tcPr>
          <w:p w14:paraId="63650E69">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检测结果（mg/m</w:t>
            </w:r>
            <w:r>
              <w:rPr>
                <w:rFonts w:hint="default" w:ascii="Times New Roman" w:hAnsi="Times New Roman" w:eastAsia="宋体" w:cs="Times New Roman"/>
                <w:color w:val="auto"/>
                <w:kern w:val="0"/>
                <w:sz w:val="21"/>
                <w:szCs w:val="21"/>
                <w:highlight w:val="none"/>
                <w:vertAlign w:val="superscript"/>
                <w:lang w:bidi="ar"/>
              </w:rPr>
              <w:t>3</w:t>
            </w:r>
            <w:r>
              <w:rPr>
                <w:rFonts w:hint="default" w:ascii="Times New Roman" w:hAnsi="Times New Roman" w:eastAsia="宋体" w:cs="Times New Roman"/>
                <w:color w:val="auto"/>
                <w:kern w:val="0"/>
                <w:sz w:val="21"/>
                <w:szCs w:val="21"/>
                <w:highlight w:val="none"/>
                <w:lang w:bidi="ar"/>
              </w:rPr>
              <w:t>）</w:t>
            </w:r>
          </w:p>
        </w:tc>
      </w:tr>
      <w:tr w14:paraId="44E237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992" w:type="pct"/>
            <w:vMerge w:val="continue"/>
            <w:tcBorders>
              <w:tl2br w:val="nil"/>
              <w:tr2bl w:val="nil"/>
            </w:tcBorders>
            <w:vAlign w:val="center"/>
          </w:tcPr>
          <w:p w14:paraId="65182797">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p>
        </w:tc>
        <w:tc>
          <w:tcPr>
            <w:tcW w:w="1291" w:type="pct"/>
            <w:tcBorders>
              <w:tl2br w:val="nil"/>
              <w:tr2bl w:val="nil"/>
            </w:tcBorders>
            <w:vAlign w:val="center"/>
          </w:tcPr>
          <w:p w14:paraId="3CB917F7">
            <w:pPr>
              <w:widowControl/>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颗粒物</w:t>
            </w:r>
          </w:p>
        </w:tc>
        <w:tc>
          <w:tcPr>
            <w:tcW w:w="1346" w:type="pct"/>
            <w:vMerge w:val="continue"/>
            <w:tcBorders>
              <w:tl2br w:val="nil"/>
              <w:tr2bl w:val="nil"/>
            </w:tcBorders>
            <w:vAlign w:val="center"/>
          </w:tcPr>
          <w:p w14:paraId="2E1AA9C5">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p>
        </w:tc>
        <w:tc>
          <w:tcPr>
            <w:tcW w:w="1368" w:type="pct"/>
            <w:tcBorders>
              <w:tl2br w:val="nil"/>
              <w:tr2bl w:val="nil"/>
            </w:tcBorders>
            <w:vAlign w:val="center"/>
          </w:tcPr>
          <w:p w14:paraId="682D1B79">
            <w:pPr>
              <w:widowControl/>
              <w:adjustRightInd w:val="0"/>
              <w:snapToGri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非甲烷总烃</w:t>
            </w:r>
          </w:p>
        </w:tc>
      </w:tr>
      <w:tr w14:paraId="3F8299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2" w:type="pct"/>
            <w:tcBorders>
              <w:tl2br w:val="nil"/>
              <w:tr2bl w:val="nil"/>
            </w:tcBorders>
            <w:vAlign w:val="center"/>
          </w:tcPr>
          <w:p w14:paraId="7F9B6A64">
            <w:pPr>
              <w:widowControl/>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厂界上风向</w:t>
            </w:r>
          </w:p>
        </w:tc>
        <w:tc>
          <w:tcPr>
            <w:tcW w:w="1291" w:type="pct"/>
            <w:tcBorders>
              <w:tl2br w:val="nil"/>
              <w:tr2bl w:val="nil"/>
            </w:tcBorders>
            <w:vAlign w:val="center"/>
          </w:tcPr>
          <w:p w14:paraId="624290C4">
            <w:pPr>
              <w:widowControl/>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0.07~0.08</w:t>
            </w:r>
          </w:p>
        </w:tc>
        <w:tc>
          <w:tcPr>
            <w:tcW w:w="1346" w:type="pct"/>
            <w:tcBorders>
              <w:tl2br w:val="nil"/>
              <w:tr2bl w:val="nil"/>
            </w:tcBorders>
            <w:vAlign w:val="center"/>
          </w:tcPr>
          <w:p w14:paraId="17FFBB3F">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储油罐周边上风向</w:t>
            </w:r>
          </w:p>
        </w:tc>
        <w:tc>
          <w:tcPr>
            <w:tcW w:w="1368" w:type="pct"/>
            <w:tcBorders>
              <w:tl2br w:val="nil"/>
              <w:tr2bl w:val="nil"/>
            </w:tcBorders>
            <w:vAlign w:val="center"/>
          </w:tcPr>
          <w:p w14:paraId="5D649BD2">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0.13~0.17</w:t>
            </w:r>
          </w:p>
        </w:tc>
      </w:tr>
      <w:tr w14:paraId="32C435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2" w:type="pct"/>
            <w:tcBorders>
              <w:tl2br w:val="nil"/>
              <w:tr2bl w:val="nil"/>
            </w:tcBorders>
            <w:vAlign w:val="center"/>
          </w:tcPr>
          <w:p w14:paraId="7978B4EB">
            <w:pPr>
              <w:widowControl/>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厂界下风向1#</w:t>
            </w:r>
          </w:p>
        </w:tc>
        <w:tc>
          <w:tcPr>
            <w:tcW w:w="1291" w:type="pct"/>
            <w:tcBorders>
              <w:tl2br w:val="nil"/>
              <w:tr2bl w:val="nil"/>
            </w:tcBorders>
            <w:vAlign w:val="center"/>
          </w:tcPr>
          <w:p w14:paraId="2C62E896">
            <w:pPr>
              <w:widowControl/>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0.13~0.17</w:t>
            </w:r>
          </w:p>
        </w:tc>
        <w:tc>
          <w:tcPr>
            <w:tcW w:w="1346" w:type="pct"/>
            <w:tcBorders>
              <w:tl2br w:val="nil"/>
              <w:tr2bl w:val="nil"/>
            </w:tcBorders>
            <w:vAlign w:val="center"/>
          </w:tcPr>
          <w:p w14:paraId="250E7B36">
            <w:pPr>
              <w:widowControl/>
              <w:spacing w:line="240" w:lineRule="auto"/>
              <w:ind w:left="0" w:lef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储油罐周边下风向1</w:t>
            </w:r>
          </w:p>
        </w:tc>
        <w:tc>
          <w:tcPr>
            <w:tcW w:w="1368" w:type="pct"/>
            <w:tcBorders>
              <w:tl2br w:val="nil"/>
              <w:tr2bl w:val="nil"/>
            </w:tcBorders>
            <w:vAlign w:val="center"/>
          </w:tcPr>
          <w:p w14:paraId="13185C4C">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0.18~0.23</w:t>
            </w:r>
          </w:p>
        </w:tc>
      </w:tr>
      <w:tr w14:paraId="1796FA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2" w:type="pct"/>
            <w:tcBorders>
              <w:tl2br w:val="nil"/>
              <w:tr2bl w:val="nil"/>
            </w:tcBorders>
            <w:vAlign w:val="center"/>
          </w:tcPr>
          <w:p w14:paraId="5499B946">
            <w:pPr>
              <w:widowControl/>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厂界下风向2#</w:t>
            </w:r>
          </w:p>
        </w:tc>
        <w:tc>
          <w:tcPr>
            <w:tcW w:w="1291" w:type="pct"/>
            <w:tcBorders>
              <w:tl2br w:val="nil"/>
              <w:tr2bl w:val="nil"/>
            </w:tcBorders>
            <w:vAlign w:val="center"/>
          </w:tcPr>
          <w:p w14:paraId="380B8837">
            <w:pPr>
              <w:widowControl/>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0.14~0.19</w:t>
            </w:r>
          </w:p>
        </w:tc>
        <w:tc>
          <w:tcPr>
            <w:tcW w:w="1346" w:type="pct"/>
            <w:tcBorders>
              <w:tl2br w:val="nil"/>
              <w:tr2bl w:val="nil"/>
            </w:tcBorders>
            <w:vAlign w:val="center"/>
          </w:tcPr>
          <w:p w14:paraId="3B2A77CF">
            <w:pPr>
              <w:widowControl/>
              <w:spacing w:line="240" w:lineRule="auto"/>
              <w:ind w:left="0" w:lef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储油罐周边下风向2</w:t>
            </w:r>
          </w:p>
        </w:tc>
        <w:tc>
          <w:tcPr>
            <w:tcW w:w="1368" w:type="pct"/>
            <w:tcBorders>
              <w:tl2br w:val="nil"/>
              <w:tr2bl w:val="nil"/>
            </w:tcBorders>
            <w:vAlign w:val="center"/>
          </w:tcPr>
          <w:p w14:paraId="39D03AF6">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0.21~0.22</w:t>
            </w:r>
          </w:p>
        </w:tc>
      </w:tr>
      <w:tr w14:paraId="3D24F2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92" w:type="pct"/>
            <w:tcBorders>
              <w:tl2br w:val="nil"/>
              <w:tr2bl w:val="nil"/>
            </w:tcBorders>
            <w:vAlign w:val="center"/>
          </w:tcPr>
          <w:p w14:paraId="258BBFCD">
            <w:pPr>
              <w:widowControl/>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厂界下风向3#</w:t>
            </w:r>
          </w:p>
        </w:tc>
        <w:tc>
          <w:tcPr>
            <w:tcW w:w="1291" w:type="pct"/>
            <w:tcBorders>
              <w:tl2br w:val="nil"/>
              <w:tr2bl w:val="nil"/>
            </w:tcBorders>
            <w:vAlign w:val="center"/>
          </w:tcPr>
          <w:p w14:paraId="4B26AC17">
            <w:pPr>
              <w:widowControl/>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0.15~0.19</w:t>
            </w:r>
          </w:p>
        </w:tc>
        <w:tc>
          <w:tcPr>
            <w:tcW w:w="1346" w:type="pct"/>
            <w:tcBorders>
              <w:tl2br w:val="nil"/>
              <w:tr2bl w:val="nil"/>
            </w:tcBorders>
            <w:vAlign w:val="center"/>
          </w:tcPr>
          <w:p w14:paraId="429682F3">
            <w:pPr>
              <w:widowControl/>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p>
        </w:tc>
        <w:tc>
          <w:tcPr>
            <w:tcW w:w="1368" w:type="pct"/>
            <w:tcBorders>
              <w:tl2br w:val="nil"/>
              <w:tr2bl w:val="nil"/>
            </w:tcBorders>
            <w:vAlign w:val="center"/>
          </w:tcPr>
          <w:p w14:paraId="5D210DA2">
            <w:pPr>
              <w:widowControl/>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p>
        </w:tc>
      </w:tr>
    </w:tbl>
    <w:p w14:paraId="53F0BEBC">
      <w:pPr>
        <w:pStyle w:val="7"/>
        <w:numPr>
          <w:ilvl w:val="3"/>
          <w:numId w:val="3"/>
        </w:numPr>
        <w:bidi w:val="0"/>
        <w:ind w:left="850" w:leftChars="0" w:hanging="850" w:firstLineChars="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废水污染防治措施及排放情况</w:t>
      </w:r>
    </w:p>
    <w:p w14:paraId="63B9BE0C">
      <w:pPr>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（1）生活污水</w:t>
      </w:r>
    </w:p>
    <w:p w14:paraId="50FF5FAF">
      <w:pPr>
        <w:bidi w:val="0"/>
        <w:rPr>
          <w:rFonts w:hint="default" w:ascii="Times New Roman" w:hAnsi="Times New Roman" w:eastAsia="宋体" w:cs="Times New Roman"/>
          <w:color w:val="auto"/>
          <w:spacing w:val="0"/>
          <w:w w:val="100"/>
          <w:szCs w:val="24"/>
          <w:highlight w:val="none"/>
          <w:lang w:val="en-US" w:eastAsia="zh-CN"/>
        </w:rPr>
      </w:pPr>
      <w:r>
        <w:rPr>
          <w:rFonts w:hint="default" w:ascii="Times New Roman" w:hAnsi="Times New Roman" w:eastAsia="宋体" w:cs="Times New Roman"/>
          <w:color w:val="auto"/>
          <w:highlight w:val="none"/>
          <w:lang w:val="en-US" w:eastAsia="zh-CN"/>
        </w:rPr>
        <w:t>排水主要是生活污水，主要污染物为COD、BOD、SS、氨氮，生活污水</w:t>
      </w:r>
      <w:r>
        <w:rPr>
          <w:rFonts w:hint="eastAsia" w:ascii="Times New Roman" w:hAnsi="Times New Roman" w:eastAsia="宋体" w:cs="Times New Roman"/>
          <w:color w:val="auto"/>
          <w:highlight w:val="none"/>
          <w:lang w:val="en-US" w:eastAsia="zh-CN"/>
        </w:rPr>
        <w:t>满足污水处理厂进水指标</w:t>
      </w:r>
      <w:r>
        <w:rPr>
          <w:rFonts w:hint="default" w:ascii="Times New Roman" w:hAnsi="Times New Roman" w:eastAsia="宋体" w:cs="Times New Roman"/>
          <w:color w:val="auto"/>
          <w:highlight w:val="none"/>
          <w:lang w:val="en-US" w:eastAsia="zh-CN"/>
        </w:rPr>
        <w:t>后</w:t>
      </w:r>
      <w:r>
        <w:rPr>
          <w:rFonts w:hint="eastAsia" w:ascii="Times New Roman" w:hAnsi="Times New Roman" w:eastAsia="宋体" w:cs="Times New Roman"/>
          <w:color w:val="auto"/>
          <w:highlight w:val="none"/>
          <w:lang w:val="en-US" w:eastAsia="zh-CN"/>
        </w:rPr>
        <w:t>通过</w:t>
      </w:r>
      <w:r>
        <w:rPr>
          <w:rFonts w:hint="default" w:ascii="Times New Roman" w:hAnsi="Times New Roman" w:eastAsia="宋体" w:cs="Times New Roman"/>
          <w:color w:val="auto"/>
          <w:highlight w:val="none"/>
          <w:lang w:val="en-US" w:eastAsia="zh-CN"/>
        </w:rPr>
        <w:t>市政污水管网进入</w:t>
      </w:r>
      <w:r>
        <w:rPr>
          <w:rFonts w:hint="eastAsia" w:ascii="Times New Roman" w:hAnsi="Times New Roman" w:eastAsia="宋体" w:cs="Times New Roman"/>
          <w:color w:val="auto"/>
          <w:highlight w:val="none"/>
          <w:lang w:val="en-US" w:eastAsia="zh-CN"/>
        </w:rPr>
        <w:t>佳木斯西区污水处理厂</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sz w:val="24"/>
          <w:szCs w:val="24"/>
          <w:highlight w:val="none"/>
          <w:lang w:val="en-US" w:eastAsia="zh-CN" w:bidi="ar"/>
        </w:rPr>
        <w:t>经处理后污水排放浓度达到《城镇污水处理厂污染物排放标准》（GB18918-2002）一级A标准后排入</w:t>
      </w:r>
      <w:r>
        <w:rPr>
          <w:rFonts w:hint="eastAsia" w:ascii="Times New Roman" w:hAnsi="Times New Roman" w:eastAsia="宋体" w:cs="Times New Roman"/>
          <w:color w:val="auto"/>
          <w:sz w:val="24"/>
          <w:szCs w:val="24"/>
          <w:highlight w:val="none"/>
          <w:lang w:val="en-US" w:eastAsia="zh-CN" w:bidi="ar"/>
        </w:rPr>
        <w:t>松花江</w:t>
      </w:r>
      <w:r>
        <w:rPr>
          <w:rFonts w:hint="default" w:ascii="Times New Roman" w:hAnsi="Times New Roman" w:eastAsia="宋体" w:cs="Times New Roman"/>
          <w:color w:val="auto"/>
          <w:sz w:val="24"/>
          <w:szCs w:val="24"/>
          <w:highlight w:val="none"/>
          <w:lang w:val="en-US" w:eastAsia="zh-CN" w:bidi="ar"/>
        </w:rPr>
        <w:t>。</w:t>
      </w:r>
    </w:p>
    <w:p w14:paraId="0CFFD355">
      <w:pPr>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（2）生产废水</w:t>
      </w:r>
    </w:p>
    <w:p w14:paraId="3C573AC3">
      <w:pPr>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本项目生产废水全部回用</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sz w:val="24"/>
          <w:szCs w:val="24"/>
          <w:highlight w:val="none"/>
          <w:lang w:val="en-US" w:eastAsia="zh-CN"/>
        </w:rPr>
        <w:t>锅炉用水来自</w:t>
      </w:r>
      <w:r>
        <w:rPr>
          <w:rFonts w:hint="eastAsia" w:ascii="Times New Roman" w:hAnsi="Times New Roman" w:eastAsia="宋体" w:cs="Times New Roman"/>
          <w:color w:val="auto"/>
          <w:sz w:val="24"/>
          <w:szCs w:val="24"/>
          <w:highlight w:val="none"/>
          <w:lang w:val="en-US" w:eastAsia="zh-CN"/>
        </w:rPr>
        <w:t>佳木斯中恒热电有限公司</w:t>
      </w:r>
      <w:r>
        <w:rPr>
          <w:rFonts w:hint="default" w:ascii="Times New Roman" w:hAnsi="Times New Roman" w:eastAsia="宋体" w:cs="Times New Roman"/>
          <w:color w:val="auto"/>
          <w:sz w:val="24"/>
          <w:szCs w:val="24"/>
          <w:highlight w:val="none"/>
          <w:lang w:val="en-US" w:eastAsia="zh-CN"/>
        </w:rPr>
        <w:t>主热源</w:t>
      </w:r>
      <w:r>
        <w:rPr>
          <w:rFonts w:hint="eastAsia" w:ascii="Times New Roman" w:hAnsi="Times New Roman" w:eastAsia="宋体" w:cs="Times New Roman"/>
          <w:color w:val="auto"/>
          <w:sz w:val="24"/>
          <w:szCs w:val="24"/>
          <w:highlight w:val="none"/>
          <w:lang w:val="en-US" w:eastAsia="zh-CN"/>
        </w:rPr>
        <w:t>现有制</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补水系统，</w:t>
      </w:r>
      <w:r>
        <w:rPr>
          <w:rFonts w:hint="default" w:ascii="Times New Roman" w:hAnsi="Times New Roman" w:eastAsia="宋体" w:cs="Times New Roman"/>
          <w:color w:val="auto"/>
          <w:highlight w:val="none"/>
          <w:lang w:val="en-US" w:eastAsia="zh-CN"/>
        </w:rPr>
        <w:t>锅炉排污水用于灰渣</w:t>
      </w:r>
      <w:r>
        <w:rPr>
          <w:rFonts w:hint="eastAsia" w:ascii="Times New Roman" w:hAnsi="Times New Roman" w:eastAsia="宋体" w:cs="Times New Roman"/>
          <w:color w:val="auto"/>
          <w:highlight w:val="none"/>
          <w:lang w:val="en-US" w:eastAsia="zh-CN"/>
        </w:rPr>
        <w:t>冷却、</w:t>
      </w:r>
      <w:r>
        <w:rPr>
          <w:rFonts w:hint="default" w:ascii="Times New Roman" w:hAnsi="Times New Roman" w:eastAsia="宋体" w:cs="Times New Roman"/>
          <w:color w:val="auto"/>
          <w:highlight w:val="none"/>
          <w:lang w:val="en-US" w:eastAsia="zh-CN"/>
        </w:rPr>
        <w:t>加湿回用，不外排。</w:t>
      </w:r>
    </w:p>
    <w:p w14:paraId="0F154F62">
      <w:pPr>
        <w:bidi w:val="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object>
          <v:shape id="_x0000_i1026" o:spt="75" type="#_x0000_t75" style="height:194.95pt;width:426.6pt;" o:ole="t" filled="f" o:preferrelative="t" stroked="f" coordsize="21600,21600">
            <v:path/>
            <v:fill on="f" focussize="0,0"/>
            <v:stroke on="f"/>
            <v:imagedata r:id="rId34" o:title=""/>
            <o:lock v:ext="edit" aspectratio="t"/>
            <w10:wrap type="none"/>
            <w10:anchorlock/>
          </v:shape>
          <o:OLEObject Type="Embed" ProgID="Visio.Drawing.11" ShapeID="_x0000_i1026" DrawAspect="Content" ObjectID="_1468075726" r:id="rId33">
            <o:LockedField>false</o:LockedField>
          </o:OLEObject>
        </w:object>
      </w:r>
      <w:r>
        <w:rPr>
          <w:rFonts w:hint="eastAsia" w:ascii="Times New Roman" w:hAnsi="Times New Roman" w:eastAsia="宋体" w:cs="Times New Roman"/>
          <w:color w:val="auto"/>
          <w:highlight w:val="none"/>
          <w:lang w:val="en-US" w:eastAsia="zh-CN"/>
        </w:rPr>
        <w:t>图3.1-1厂区水平衡图</w:t>
      </w:r>
    </w:p>
    <w:p w14:paraId="6ED99634">
      <w:pPr>
        <w:pStyle w:val="7"/>
        <w:numPr>
          <w:ilvl w:val="3"/>
          <w:numId w:val="3"/>
        </w:numPr>
        <w:bidi w:val="0"/>
        <w:ind w:left="850" w:leftChars="0" w:hanging="850" w:firstLineChars="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噪声污染防治措施及排放情况</w:t>
      </w:r>
    </w:p>
    <w:p w14:paraId="608902DB">
      <w:pPr>
        <w:bidi w:val="0"/>
        <w:rPr>
          <w:rFonts w:hint="default" w:ascii="Times New Roman" w:hAnsi="Times New Roman" w:eastAsia="宋体" w:cs="Times New Roman"/>
          <w:color w:val="auto"/>
          <w:szCs w:val="24"/>
          <w:highlight w:val="none"/>
          <w:lang w:val="en-US" w:eastAsia="zh-CN"/>
        </w:rPr>
      </w:pPr>
      <w:r>
        <w:rPr>
          <w:rFonts w:hint="eastAsia" w:ascii="Times New Roman" w:hAnsi="Times New Roman" w:eastAsia="宋体" w:cs="Times New Roman"/>
          <w:color w:val="auto"/>
          <w:highlight w:val="none"/>
          <w:lang w:val="en-US" w:eastAsia="zh-CN"/>
        </w:rPr>
        <w:t>厂区内</w:t>
      </w:r>
      <w:r>
        <w:rPr>
          <w:rFonts w:hint="default" w:ascii="Times New Roman" w:hAnsi="Times New Roman" w:eastAsia="宋体" w:cs="Times New Roman"/>
          <w:color w:val="auto"/>
          <w:highlight w:val="none"/>
          <w:lang w:val="en-US" w:eastAsia="zh-CN"/>
        </w:rPr>
        <w:t>主要噪声源为锅炉风机</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碎煤机、水泵等设备运转时产生的噪声。采取设备间隔声，基础减</w:t>
      </w:r>
      <w:r>
        <w:rPr>
          <w:rFonts w:hint="eastAsia" w:ascii="Times New Roman" w:hAnsi="Times New Roman" w:eastAsia="宋体" w:cs="Times New Roman"/>
          <w:color w:val="auto"/>
          <w:highlight w:val="none"/>
          <w:lang w:val="en-US" w:eastAsia="zh-CN"/>
        </w:rPr>
        <w:t>振，</w:t>
      </w:r>
      <w:r>
        <w:rPr>
          <w:rFonts w:hint="default" w:ascii="Times New Roman" w:hAnsi="Times New Roman" w:eastAsia="宋体" w:cs="Times New Roman"/>
          <w:color w:val="auto"/>
          <w:highlight w:val="none"/>
          <w:lang w:val="en-US" w:eastAsia="zh-CN"/>
        </w:rPr>
        <w:t>安装低噪声设备、安装风机管道消声器，加隔音罩等措施降噪。根据建设单位提供的</w:t>
      </w:r>
      <w:r>
        <w:rPr>
          <w:rFonts w:hint="eastAsia" w:ascii="Times New Roman" w:hAnsi="Times New Roman" w:eastAsia="宋体" w:cs="Times New Roman"/>
          <w:color w:val="auto"/>
          <w:highlight w:val="none"/>
          <w:lang w:val="en-US" w:eastAsia="zh-CN"/>
        </w:rPr>
        <w:t>佳木斯中恒热电有限公司2025年4季度检测报告可知，</w:t>
      </w:r>
      <w:r>
        <w:rPr>
          <w:rFonts w:hint="default" w:ascii="Times New Roman" w:hAnsi="Times New Roman" w:eastAsia="宋体" w:cs="Times New Roman"/>
          <w:color w:val="auto"/>
          <w:highlight w:val="none"/>
          <w:lang w:val="en-US" w:eastAsia="zh-CN"/>
        </w:rPr>
        <w:t>厂界的噪声监测值满足《</w:t>
      </w:r>
      <w:r>
        <w:rPr>
          <w:rFonts w:hint="eastAsia" w:ascii="Times New Roman" w:hAnsi="Times New Roman" w:eastAsia="宋体" w:cs="Times New Roman"/>
          <w:color w:val="auto"/>
          <w:highlight w:val="none"/>
          <w:lang w:val="en-US" w:eastAsia="zh-CN"/>
        </w:rPr>
        <w:t>工业企业厂界环境噪声排放标准</w:t>
      </w:r>
      <w:r>
        <w:rPr>
          <w:rFonts w:hint="default" w:ascii="Times New Roman" w:hAnsi="Times New Roman" w:eastAsia="宋体" w:cs="Times New Roman"/>
          <w:color w:val="auto"/>
          <w:highlight w:val="none"/>
          <w:lang w:val="en-US" w:eastAsia="zh-CN"/>
        </w:rPr>
        <w:t>》（GB12348-2008）中</w:t>
      </w:r>
      <w:r>
        <w:rPr>
          <w:rFonts w:hint="eastAsia"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lang w:val="en-US" w:eastAsia="zh-CN"/>
        </w:rPr>
        <w:t>类区标准要求。</w:t>
      </w:r>
    </w:p>
    <w:p w14:paraId="25227743">
      <w:pPr>
        <w:pStyle w:val="7"/>
        <w:numPr>
          <w:ilvl w:val="3"/>
          <w:numId w:val="3"/>
        </w:numPr>
        <w:bidi w:val="0"/>
        <w:ind w:left="850" w:leftChars="0" w:hanging="850" w:firstLineChars="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固体废物处置情况</w:t>
      </w:r>
    </w:p>
    <w:p w14:paraId="1EBA7F83">
      <w:pPr>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现有工程</w:t>
      </w:r>
      <w:r>
        <w:rPr>
          <w:rFonts w:hint="eastAsia" w:ascii="Times New Roman" w:hAnsi="Times New Roman" w:eastAsia="宋体" w:cs="Times New Roman"/>
          <w:color w:val="auto"/>
          <w:highlight w:val="none"/>
          <w:lang w:val="en-US" w:eastAsia="zh-CN"/>
        </w:rPr>
        <w:t>及本项目一期工程产生的废离子交换树脂，暂存化学水处理车间，厂家回收；废布袋厂家回收；2025年飞灰产生量为55986.8t，炉渣、脱硫副产物产生量为22723.32t，外售佳木斯北方奥特建材有限公司、佳木斯北方水泥有限公司、黑龙江东瑞科技发展有限公司和佳木斯市丰奇水泥有限公司综合利用；废机油暂存于危废贮存库委托佳木斯大江环境治理有限公司进行处置。</w:t>
      </w:r>
      <w:r>
        <w:rPr>
          <w:rFonts w:hint="default" w:ascii="Times New Roman" w:hAnsi="Times New Roman" w:eastAsia="宋体" w:cs="Times New Roman"/>
          <w:color w:val="auto"/>
          <w:highlight w:val="none"/>
          <w:lang w:val="en-US" w:eastAsia="zh-CN"/>
        </w:rPr>
        <w:t>职工产生的生活垃圾一并交由市政环卫收集统一处理。</w:t>
      </w:r>
    </w:p>
    <w:p w14:paraId="5A3894DF">
      <w:pPr>
        <w:pStyle w:val="7"/>
        <w:numPr>
          <w:ilvl w:val="3"/>
          <w:numId w:val="3"/>
        </w:numPr>
        <w:bidi w:val="0"/>
        <w:ind w:left="850" w:leftChars="0" w:hanging="850" w:firstLineChars="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厂区现有工程</w:t>
      </w:r>
      <w:r>
        <w:rPr>
          <w:rFonts w:hint="eastAsia" w:ascii="Times New Roman" w:hAnsi="Times New Roman" w:cs="Times New Roman"/>
          <w:color w:val="auto"/>
          <w:highlight w:val="none"/>
          <w:lang w:val="en-US" w:eastAsia="zh-CN"/>
        </w:rPr>
        <w:t>及本项目一期工程</w:t>
      </w:r>
      <w:r>
        <w:rPr>
          <w:rFonts w:hint="default" w:ascii="Times New Roman" w:hAnsi="Times New Roman" w:eastAsia="宋体" w:cs="Times New Roman"/>
          <w:color w:val="auto"/>
          <w:highlight w:val="none"/>
          <w:lang w:val="en-US" w:eastAsia="zh-CN"/>
        </w:rPr>
        <w:t>污染物排放总量</w:t>
      </w:r>
    </w:p>
    <w:p w14:paraId="75FC4351">
      <w:pPr>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（1）现有工程</w:t>
      </w:r>
      <w:r>
        <w:rPr>
          <w:rFonts w:hint="eastAsia" w:ascii="Times New Roman" w:hAnsi="Times New Roman" w:eastAsia="宋体" w:cs="Times New Roman"/>
          <w:color w:val="auto"/>
          <w:highlight w:val="none"/>
          <w:lang w:val="en-US" w:eastAsia="zh-CN"/>
        </w:rPr>
        <w:t>及</w:t>
      </w:r>
      <w:r>
        <w:rPr>
          <w:rFonts w:hint="default" w:ascii="Times New Roman" w:hAnsi="Times New Roman" w:eastAsia="宋体" w:cs="Times New Roman"/>
          <w:color w:val="auto"/>
          <w:highlight w:val="none"/>
          <w:lang w:val="en-US" w:eastAsia="zh-CN"/>
        </w:rPr>
        <w:t>本项目一期工程核定排放总量</w:t>
      </w:r>
    </w:p>
    <w:p w14:paraId="2C7787B6">
      <w:pPr>
        <w:bidi w:val="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color w:val="auto"/>
          <w:highlight w:val="none"/>
          <w:lang w:val="en-US" w:eastAsia="zh-CN"/>
        </w:rPr>
        <w:t>根据《</w:t>
      </w:r>
      <w:r>
        <w:rPr>
          <w:rFonts w:hint="eastAsia" w:ascii="Times New Roman" w:hAnsi="Times New Roman" w:eastAsia="宋体" w:cs="Times New Roman"/>
          <w:color w:val="auto"/>
          <w:highlight w:val="none"/>
          <w:lang w:val="en-US" w:eastAsia="zh-CN"/>
        </w:rPr>
        <w:t>佳木斯中恒热电有限公司</w:t>
      </w:r>
      <w:r>
        <w:rPr>
          <w:rFonts w:hint="default" w:ascii="Times New Roman" w:hAnsi="Times New Roman" w:eastAsia="宋体" w:cs="Times New Roman"/>
          <w:color w:val="auto"/>
          <w:highlight w:val="none"/>
          <w:lang w:val="en-US" w:eastAsia="zh-CN"/>
        </w:rPr>
        <w:t>排污许可证》，厂区现有工程及本项目一期工程大气排放总许可量为颗粒物：</w:t>
      </w:r>
      <w:r>
        <w:rPr>
          <w:rFonts w:hint="eastAsia" w:ascii="Times New Roman" w:hAnsi="Times New Roman" w:eastAsia="宋体" w:cs="Times New Roman"/>
          <w:color w:val="auto"/>
          <w:sz w:val="24"/>
          <w:szCs w:val="24"/>
          <w:highlight w:val="none"/>
          <w:lang w:val="en-US" w:eastAsia="zh-CN"/>
        </w:rPr>
        <w:t>92.08</w:t>
      </w:r>
      <w:r>
        <w:rPr>
          <w:rFonts w:hint="default" w:ascii="Times New Roman" w:hAnsi="Times New Roman" w:eastAsia="宋体" w:cs="Times New Roman"/>
          <w:color w:val="auto"/>
          <w:highlight w:val="none"/>
          <w:lang w:val="en-US" w:eastAsia="zh-CN"/>
        </w:rPr>
        <w:t>t/a、SO</w:t>
      </w:r>
      <w:r>
        <w:rPr>
          <w:rFonts w:hint="default" w:ascii="Times New Roman" w:hAnsi="Times New Roman" w:eastAsia="宋体" w:cs="Times New Roman"/>
          <w:color w:val="auto"/>
          <w:highlight w:val="none"/>
          <w:vertAlign w:val="subscript"/>
          <w:lang w:val="en-US" w:eastAsia="zh-CN"/>
        </w:rPr>
        <w:t>2</w:t>
      </w:r>
      <w:r>
        <w:rPr>
          <w:rFonts w:hint="eastAsia" w:ascii="Times New Roman" w:hAnsi="Times New Roman" w:eastAsia="宋体" w:cs="Times New Roman"/>
          <w:color w:val="auto"/>
          <w:highlight w:val="none"/>
          <w:vertAlign w:val="subscript"/>
          <w:lang w:val="en-US" w:eastAsia="zh-CN"/>
        </w:rPr>
        <w:t>:</w:t>
      </w:r>
      <w:r>
        <w:rPr>
          <w:rFonts w:hint="eastAsia" w:ascii="Times New Roman" w:hAnsi="Times New Roman" w:eastAsia="宋体" w:cs="Times New Roman"/>
          <w:color w:val="auto"/>
          <w:sz w:val="24"/>
          <w:szCs w:val="24"/>
          <w:highlight w:val="none"/>
          <w:lang w:val="en-US" w:eastAsia="zh-CN"/>
        </w:rPr>
        <w:t>318.69</w:t>
      </w:r>
      <w:r>
        <w:rPr>
          <w:rFonts w:hint="default" w:ascii="Times New Roman" w:hAnsi="Times New Roman" w:eastAsia="宋体" w:cs="Times New Roman"/>
          <w:color w:val="auto"/>
          <w:highlight w:val="none"/>
          <w:lang w:val="en-US" w:eastAsia="zh-CN"/>
        </w:rPr>
        <w:t>t/a、NOx：</w:t>
      </w:r>
      <w:r>
        <w:rPr>
          <w:rFonts w:hint="eastAsia" w:ascii="Times New Roman" w:hAnsi="Times New Roman" w:eastAsia="宋体" w:cs="Times New Roman"/>
          <w:color w:val="auto"/>
          <w:sz w:val="24"/>
          <w:szCs w:val="24"/>
          <w:highlight w:val="none"/>
          <w:lang w:val="en-US" w:eastAsia="zh-CN"/>
        </w:rPr>
        <w:t>336.35</w:t>
      </w:r>
      <w:r>
        <w:rPr>
          <w:rFonts w:hint="default" w:ascii="Times New Roman" w:hAnsi="Times New Roman" w:eastAsia="宋体" w:cs="Times New Roman"/>
          <w:color w:val="auto"/>
          <w:highlight w:val="none"/>
          <w:lang w:val="en-US" w:eastAsia="zh-CN"/>
        </w:rPr>
        <w:t>t/a。</w:t>
      </w:r>
    </w:p>
    <w:p w14:paraId="31DF9B7C">
      <w:pPr>
        <w:pStyle w:val="107"/>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表3.1-</w:t>
      </w:r>
      <w:r>
        <w:rPr>
          <w:rFonts w:hint="eastAsia" w:ascii="Times New Roman" w:hAnsi="Times New Roman" w:cs="Times New Roman"/>
          <w:b w:val="0"/>
          <w:bCs w:val="0"/>
          <w:color w:val="auto"/>
          <w:sz w:val="24"/>
          <w:szCs w:val="24"/>
          <w:highlight w:val="none"/>
          <w:lang w:val="en-US" w:eastAsia="zh-CN"/>
        </w:rPr>
        <w:t>5</w:t>
      </w:r>
      <w:r>
        <w:rPr>
          <w:rFonts w:hint="default" w:ascii="Times New Roman" w:hAnsi="Times New Roman" w:eastAsia="宋体" w:cs="Times New Roman"/>
          <w:b w:val="0"/>
          <w:bCs w:val="0"/>
          <w:color w:val="auto"/>
          <w:sz w:val="24"/>
          <w:szCs w:val="24"/>
          <w:highlight w:val="none"/>
          <w:lang w:val="en-US" w:eastAsia="zh-CN"/>
        </w:rPr>
        <w:t xml:space="preserve"> 厂区现有工程污染物排放总量一览表  单位：t/a</w:t>
      </w:r>
    </w:p>
    <w:tbl>
      <w:tblPr>
        <w:tblStyle w:val="3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813"/>
        <w:gridCol w:w="5709"/>
      </w:tblGrid>
      <w:tr w14:paraId="22A2F7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650" w:type="pct"/>
            <w:tcBorders>
              <w:tl2br w:val="nil"/>
              <w:tr2bl w:val="nil"/>
            </w:tcBorders>
            <w:noWrap w:val="0"/>
            <w:vAlign w:val="center"/>
          </w:tcPr>
          <w:p w14:paraId="6416EB82">
            <w:pPr>
              <w:pStyle w:val="10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污染物种类</w:t>
            </w:r>
          </w:p>
        </w:tc>
        <w:tc>
          <w:tcPr>
            <w:tcW w:w="3349" w:type="pct"/>
            <w:tcBorders>
              <w:tl2br w:val="nil"/>
              <w:tr2bl w:val="nil"/>
            </w:tcBorders>
            <w:noWrap w:val="0"/>
            <w:vAlign w:val="center"/>
          </w:tcPr>
          <w:p w14:paraId="69DC0FD7">
            <w:pPr>
              <w:pStyle w:val="10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厂区现有工程总排放总量</w:t>
            </w:r>
          </w:p>
        </w:tc>
      </w:tr>
      <w:tr w14:paraId="29CF4B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1650" w:type="pct"/>
            <w:tcBorders>
              <w:tl2br w:val="nil"/>
              <w:tr2bl w:val="nil"/>
            </w:tcBorders>
            <w:noWrap w:val="0"/>
            <w:vAlign w:val="center"/>
          </w:tcPr>
          <w:p w14:paraId="318F0F35">
            <w:pPr>
              <w:pStyle w:val="10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颗粒物</w:t>
            </w:r>
          </w:p>
        </w:tc>
        <w:tc>
          <w:tcPr>
            <w:tcW w:w="6222" w:type="dxa"/>
            <w:tcBorders>
              <w:tl2br w:val="nil"/>
              <w:tr2bl w:val="nil"/>
            </w:tcBorders>
            <w:noWrap w:val="0"/>
            <w:vAlign w:val="center"/>
          </w:tcPr>
          <w:p w14:paraId="03E432E5">
            <w:pPr>
              <w:pStyle w:val="69"/>
              <w:keepNext w:val="0"/>
              <w:keepLines w:val="0"/>
              <w:pageBreakBefore w:val="0"/>
              <w:widowControl w:val="0"/>
              <w:shd w:val="clear" w:color="auto" w:fill="auto"/>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92.08</w:t>
            </w:r>
          </w:p>
        </w:tc>
      </w:tr>
      <w:tr w14:paraId="4B7E1E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650" w:type="pct"/>
            <w:tcBorders>
              <w:tl2br w:val="nil"/>
              <w:tr2bl w:val="nil"/>
            </w:tcBorders>
            <w:noWrap w:val="0"/>
            <w:vAlign w:val="center"/>
          </w:tcPr>
          <w:p w14:paraId="4E1D7BBA">
            <w:pPr>
              <w:pStyle w:val="10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SO</w:t>
            </w:r>
            <w:r>
              <w:rPr>
                <w:rFonts w:hint="default" w:ascii="Times New Roman" w:hAnsi="Times New Roman" w:eastAsia="宋体" w:cs="Times New Roman"/>
                <w:color w:val="auto"/>
                <w:sz w:val="21"/>
                <w:szCs w:val="21"/>
                <w:highlight w:val="none"/>
                <w:vertAlign w:val="subscript"/>
                <w:lang w:val="en-US" w:eastAsia="zh-CN"/>
              </w:rPr>
              <w:t>2</w:t>
            </w:r>
          </w:p>
        </w:tc>
        <w:tc>
          <w:tcPr>
            <w:tcW w:w="6222" w:type="dxa"/>
            <w:tcBorders>
              <w:tl2br w:val="nil"/>
              <w:tr2bl w:val="nil"/>
            </w:tcBorders>
            <w:noWrap w:val="0"/>
            <w:vAlign w:val="center"/>
          </w:tcPr>
          <w:p w14:paraId="2D04A5A9">
            <w:pPr>
              <w:pStyle w:val="69"/>
              <w:keepNext w:val="0"/>
              <w:keepLines w:val="0"/>
              <w:pageBreakBefore w:val="0"/>
              <w:widowControl w:val="0"/>
              <w:shd w:val="clear" w:color="auto" w:fill="auto"/>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318.69</w:t>
            </w:r>
          </w:p>
        </w:tc>
      </w:tr>
      <w:tr w14:paraId="5DA163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650" w:type="pct"/>
            <w:tcBorders>
              <w:tl2br w:val="nil"/>
              <w:tr2bl w:val="nil"/>
            </w:tcBorders>
            <w:noWrap w:val="0"/>
            <w:vAlign w:val="center"/>
          </w:tcPr>
          <w:p w14:paraId="27685527">
            <w:pPr>
              <w:pStyle w:val="10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NOx</w:t>
            </w:r>
          </w:p>
        </w:tc>
        <w:tc>
          <w:tcPr>
            <w:tcW w:w="6222" w:type="dxa"/>
            <w:tcBorders>
              <w:tl2br w:val="nil"/>
              <w:tr2bl w:val="nil"/>
            </w:tcBorders>
            <w:noWrap w:val="0"/>
            <w:vAlign w:val="center"/>
          </w:tcPr>
          <w:p w14:paraId="278E77E8">
            <w:pPr>
              <w:pStyle w:val="69"/>
              <w:keepNext w:val="0"/>
              <w:keepLines w:val="0"/>
              <w:pageBreakBefore w:val="0"/>
              <w:widowControl w:val="0"/>
              <w:shd w:val="clear" w:color="auto" w:fill="auto"/>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336.35</w:t>
            </w:r>
          </w:p>
        </w:tc>
      </w:tr>
    </w:tbl>
    <w:p w14:paraId="12960633">
      <w:pPr>
        <w:keepNext w:val="0"/>
        <w:keepLines w:val="0"/>
        <w:pageBreakBefore w:val="0"/>
        <w:widowControl w:val="0"/>
        <w:numPr>
          <w:ilvl w:val="0"/>
          <w:numId w:val="0"/>
        </w:numPr>
        <w:kinsoku/>
        <w:wordWrap/>
        <w:overflowPunct/>
        <w:topLinePunct w:val="0"/>
        <w:bidi w:val="0"/>
        <w:adjustRightInd/>
        <w:snapToGrid/>
        <w:spacing w:line="480" w:lineRule="exact"/>
        <w:ind w:leftChars="200"/>
        <w:textAlignment w:val="auto"/>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val="en-US" w:eastAsia="zh-CN"/>
        </w:rPr>
        <w:t>（2）现有工程及本项目一期工程实际排放总量</w:t>
      </w:r>
    </w:p>
    <w:p w14:paraId="0929489A">
      <w:pPr>
        <w:pStyle w:val="47"/>
        <w:keepNext w:val="0"/>
        <w:keepLines w:val="0"/>
        <w:pageBreakBefore w:val="0"/>
        <w:widowControl w:val="0"/>
        <w:numPr>
          <w:ilvl w:val="0"/>
          <w:numId w:val="0"/>
        </w:numPr>
        <w:kinsoku/>
        <w:wordWrap/>
        <w:overflowPunct/>
        <w:topLinePunct w:val="0"/>
        <w:autoSpaceDE w:val="0"/>
        <w:autoSpaceDN w:val="0"/>
        <w:bidi w:val="0"/>
        <w:adjustRightInd/>
        <w:snapToGrid/>
        <w:spacing w:beforeLines="0" w:afterLines="0" w:line="480" w:lineRule="exact"/>
        <w:ind w:firstLine="480" w:firstLineChars="200"/>
        <w:textAlignment w:val="auto"/>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sz w:val="24"/>
          <w:szCs w:val="24"/>
          <w:highlight w:val="none"/>
          <w:lang w:val="en-US" w:eastAsia="zh-CN"/>
        </w:rPr>
        <w:t>根据《</w:t>
      </w:r>
      <w:r>
        <w:rPr>
          <w:rFonts w:hint="eastAsia" w:ascii="Times New Roman" w:hAnsi="Times New Roman" w:cs="Times New Roman"/>
          <w:color w:val="FF0000"/>
          <w:sz w:val="24"/>
          <w:szCs w:val="24"/>
          <w:highlight w:val="none"/>
          <w:lang w:val="en-US" w:eastAsia="zh-CN"/>
        </w:rPr>
        <w:t>佳木斯中恒热电有限公司</w:t>
      </w:r>
      <w:r>
        <w:rPr>
          <w:rFonts w:hint="default" w:ascii="Times New Roman" w:hAnsi="Times New Roman" w:eastAsia="宋体" w:cs="Times New Roman"/>
          <w:color w:val="FF0000"/>
          <w:sz w:val="24"/>
          <w:szCs w:val="24"/>
          <w:highlight w:val="none"/>
          <w:lang w:val="en-US" w:eastAsia="zh-CN"/>
        </w:rPr>
        <w:t>202</w:t>
      </w:r>
      <w:r>
        <w:rPr>
          <w:rFonts w:hint="eastAsia" w:ascii="Times New Roman" w:hAnsi="Times New Roman" w:cs="Times New Roman"/>
          <w:color w:val="FF0000"/>
          <w:sz w:val="24"/>
          <w:szCs w:val="24"/>
          <w:highlight w:val="none"/>
          <w:lang w:val="en-US" w:eastAsia="zh-CN"/>
        </w:rPr>
        <w:t>5</w:t>
      </w:r>
      <w:r>
        <w:rPr>
          <w:rFonts w:hint="default" w:ascii="Times New Roman" w:hAnsi="Times New Roman" w:eastAsia="宋体" w:cs="Times New Roman"/>
          <w:color w:val="FF0000"/>
          <w:sz w:val="24"/>
          <w:szCs w:val="24"/>
          <w:highlight w:val="none"/>
          <w:lang w:val="en-US" w:eastAsia="zh-CN"/>
        </w:rPr>
        <w:t>年排污许可证执行报告》（年报）中“六、实际排放情况及达标判定分析”，污染物实际排放总量为颗粒物：</w:t>
      </w:r>
      <w:r>
        <w:rPr>
          <w:rFonts w:hint="eastAsia" w:ascii="Times New Roman" w:hAnsi="Times New Roman" w:cs="Times New Roman"/>
          <w:color w:val="FF0000"/>
          <w:sz w:val="24"/>
          <w:szCs w:val="24"/>
          <w:highlight w:val="none"/>
          <w:lang w:val="en-US" w:eastAsia="zh-CN"/>
        </w:rPr>
        <w:t>31.69</w:t>
      </w:r>
      <w:r>
        <w:rPr>
          <w:rFonts w:hint="default" w:ascii="Times New Roman" w:hAnsi="Times New Roman" w:eastAsia="宋体" w:cs="Times New Roman"/>
          <w:color w:val="FF0000"/>
          <w:sz w:val="24"/>
          <w:szCs w:val="24"/>
          <w:highlight w:val="none"/>
          <w:lang w:val="en-US" w:eastAsia="zh-CN"/>
        </w:rPr>
        <w:t>t/a、SO</w:t>
      </w:r>
      <w:r>
        <w:rPr>
          <w:rFonts w:hint="default" w:ascii="Times New Roman" w:hAnsi="Times New Roman" w:eastAsia="宋体" w:cs="Times New Roman"/>
          <w:color w:val="FF0000"/>
          <w:sz w:val="24"/>
          <w:szCs w:val="24"/>
          <w:highlight w:val="none"/>
          <w:vertAlign w:val="subscript"/>
          <w:lang w:val="en-US" w:eastAsia="zh-CN"/>
        </w:rPr>
        <w:t>2</w:t>
      </w:r>
      <w:r>
        <w:rPr>
          <w:rFonts w:hint="eastAsia" w:ascii="宋体" w:hAnsi="宋体" w:eastAsia="宋体" w:cs="宋体"/>
          <w:color w:val="FF0000"/>
          <w:sz w:val="24"/>
          <w:szCs w:val="24"/>
          <w:highlight w:val="none"/>
          <w:vertAlign w:val="baseline"/>
          <w:lang w:val="en-US" w:eastAsia="zh-CN"/>
        </w:rPr>
        <w:t>:</w:t>
      </w:r>
      <w:r>
        <w:rPr>
          <w:rFonts w:hint="eastAsia" w:ascii="Times New Roman" w:hAnsi="Times New Roman" w:cs="Times New Roman"/>
          <w:color w:val="FF0000"/>
          <w:sz w:val="24"/>
          <w:szCs w:val="24"/>
          <w:highlight w:val="none"/>
          <w:lang w:val="en-US" w:eastAsia="zh-CN"/>
        </w:rPr>
        <w:t>65.287</w:t>
      </w:r>
      <w:r>
        <w:rPr>
          <w:rFonts w:hint="default" w:ascii="Times New Roman" w:hAnsi="Times New Roman" w:eastAsia="宋体" w:cs="Times New Roman"/>
          <w:color w:val="FF0000"/>
          <w:sz w:val="24"/>
          <w:szCs w:val="24"/>
          <w:highlight w:val="none"/>
          <w:lang w:val="en-US" w:eastAsia="zh-CN"/>
        </w:rPr>
        <w:t>t/a、NO</w:t>
      </w:r>
      <w:r>
        <w:rPr>
          <w:rFonts w:hint="default" w:ascii="Times New Roman" w:hAnsi="Times New Roman" w:eastAsia="宋体" w:cs="Times New Roman"/>
          <w:color w:val="FF0000"/>
          <w:sz w:val="24"/>
          <w:szCs w:val="24"/>
          <w:highlight w:val="none"/>
          <w:vertAlign w:val="subscript"/>
          <w:lang w:val="en-US" w:eastAsia="zh-CN"/>
        </w:rPr>
        <w:t>x</w:t>
      </w:r>
      <w:r>
        <w:rPr>
          <w:rFonts w:hint="default" w:ascii="Times New Roman" w:hAnsi="Times New Roman" w:eastAsia="宋体" w:cs="Times New Roman"/>
          <w:color w:val="FF0000"/>
          <w:sz w:val="24"/>
          <w:szCs w:val="24"/>
          <w:highlight w:val="none"/>
          <w:lang w:val="en-US" w:eastAsia="zh-CN"/>
        </w:rPr>
        <w:t>：</w:t>
      </w:r>
      <w:r>
        <w:rPr>
          <w:rFonts w:hint="eastAsia" w:ascii="Times New Roman" w:hAnsi="Times New Roman" w:cs="Times New Roman"/>
          <w:color w:val="FF0000"/>
          <w:sz w:val="24"/>
          <w:szCs w:val="24"/>
          <w:highlight w:val="none"/>
          <w:lang w:val="en-US" w:eastAsia="zh-CN"/>
        </w:rPr>
        <w:t>86.74</w:t>
      </w:r>
      <w:r>
        <w:rPr>
          <w:rFonts w:hint="default" w:ascii="Times New Roman" w:hAnsi="Times New Roman" w:eastAsia="宋体" w:cs="Times New Roman"/>
          <w:color w:val="FF0000"/>
          <w:sz w:val="24"/>
          <w:szCs w:val="24"/>
          <w:highlight w:val="none"/>
          <w:lang w:val="en-US" w:eastAsia="zh-CN"/>
        </w:rPr>
        <w:t>t/a，未超出核定排放总量。</w:t>
      </w:r>
    </w:p>
    <w:p w14:paraId="497CA831">
      <w:pPr>
        <w:pStyle w:val="107"/>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rPr>
          <w:rFonts w:hint="default" w:ascii="Times New Roman" w:hAnsi="Times New Roman" w:eastAsia="宋体" w:cs="Times New Roman"/>
          <w:b w:val="0"/>
          <w:bCs w:val="0"/>
          <w:color w:val="FF0000"/>
          <w:sz w:val="24"/>
          <w:szCs w:val="24"/>
          <w:highlight w:val="none"/>
          <w:lang w:val="en-US" w:eastAsia="zh-CN"/>
        </w:rPr>
      </w:pPr>
      <w:r>
        <w:rPr>
          <w:rFonts w:hint="default" w:ascii="Times New Roman" w:hAnsi="Times New Roman" w:eastAsia="宋体" w:cs="Times New Roman"/>
          <w:b w:val="0"/>
          <w:bCs w:val="0"/>
          <w:color w:val="FF0000"/>
          <w:sz w:val="24"/>
          <w:szCs w:val="24"/>
          <w:highlight w:val="none"/>
          <w:lang w:val="en-US" w:eastAsia="zh-CN"/>
        </w:rPr>
        <w:t>表3.1-</w:t>
      </w:r>
      <w:r>
        <w:rPr>
          <w:rFonts w:hint="eastAsia" w:ascii="Times New Roman" w:hAnsi="Times New Roman" w:cs="Times New Roman"/>
          <w:b w:val="0"/>
          <w:bCs w:val="0"/>
          <w:color w:val="FF0000"/>
          <w:sz w:val="24"/>
          <w:szCs w:val="24"/>
          <w:highlight w:val="none"/>
          <w:lang w:val="en-US" w:eastAsia="zh-CN"/>
        </w:rPr>
        <w:t>6</w:t>
      </w:r>
      <w:r>
        <w:rPr>
          <w:rFonts w:hint="default" w:ascii="Times New Roman" w:hAnsi="Times New Roman" w:eastAsia="宋体" w:cs="Times New Roman"/>
          <w:b w:val="0"/>
          <w:bCs w:val="0"/>
          <w:color w:val="FF0000"/>
          <w:sz w:val="24"/>
          <w:szCs w:val="24"/>
          <w:highlight w:val="none"/>
          <w:lang w:val="en-US" w:eastAsia="zh-CN"/>
        </w:rPr>
        <w:t xml:space="preserve"> 现有工程及本项目一期工程总量达标情况一览表  单位：t/a</w:t>
      </w:r>
    </w:p>
    <w:tbl>
      <w:tblPr>
        <w:tblStyle w:val="3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91"/>
        <w:gridCol w:w="2473"/>
        <w:gridCol w:w="2427"/>
        <w:gridCol w:w="2131"/>
      </w:tblGrid>
      <w:tr w14:paraId="6DDF57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875" w:type="pct"/>
            <w:tcBorders>
              <w:tl2br w:val="nil"/>
              <w:tr2bl w:val="nil"/>
            </w:tcBorders>
            <w:noWrap w:val="0"/>
            <w:vAlign w:val="center"/>
          </w:tcPr>
          <w:p w14:paraId="3D67AA47">
            <w:pPr>
              <w:pStyle w:val="10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污染物种类</w:t>
            </w:r>
          </w:p>
        </w:tc>
        <w:tc>
          <w:tcPr>
            <w:tcW w:w="1450" w:type="pct"/>
            <w:tcBorders>
              <w:tl2br w:val="nil"/>
              <w:tr2bl w:val="nil"/>
            </w:tcBorders>
            <w:noWrap w:val="0"/>
            <w:vAlign w:val="center"/>
          </w:tcPr>
          <w:p w14:paraId="64583904">
            <w:pPr>
              <w:pStyle w:val="10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现有工程</w:t>
            </w:r>
            <w:r>
              <w:rPr>
                <w:rFonts w:hint="eastAsia" w:ascii="Times New Roman" w:hAnsi="Times New Roman" w:cs="Times New Roman"/>
                <w:color w:val="FF0000"/>
                <w:sz w:val="21"/>
                <w:szCs w:val="21"/>
                <w:highlight w:val="none"/>
                <w:vertAlign w:val="baseline"/>
                <w:lang w:val="en-US" w:eastAsia="zh-CN"/>
              </w:rPr>
              <w:t>实际</w:t>
            </w:r>
            <w:r>
              <w:rPr>
                <w:rFonts w:hint="default" w:ascii="Times New Roman" w:hAnsi="Times New Roman" w:eastAsia="宋体" w:cs="Times New Roman"/>
                <w:color w:val="FF0000"/>
                <w:sz w:val="21"/>
                <w:szCs w:val="21"/>
                <w:highlight w:val="none"/>
                <w:vertAlign w:val="baseline"/>
                <w:lang w:val="en-US" w:eastAsia="zh-CN"/>
              </w:rPr>
              <w:t>排放量</w:t>
            </w:r>
          </w:p>
        </w:tc>
        <w:tc>
          <w:tcPr>
            <w:tcW w:w="1423" w:type="pct"/>
            <w:tcBorders>
              <w:tl2br w:val="nil"/>
              <w:tr2bl w:val="nil"/>
            </w:tcBorders>
            <w:noWrap w:val="0"/>
            <w:vAlign w:val="center"/>
          </w:tcPr>
          <w:p w14:paraId="3E0BA013">
            <w:pPr>
              <w:pStyle w:val="10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排放许可总量</w:t>
            </w:r>
          </w:p>
        </w:tc>
        <w:tc>
          <w:tcPr>
            <w:tcW w:w="1250" w:type="pct"/>
            <w:tcBorders>
              <w:tl2br w:val="nil"/>
              <w:tr2bl w:val="nil"/>
            </w:tcBorders>
            <w:noWrap w:val="0"/>
            <w:vAlign w:val="center"/>
          </w:tcPr>
          <w:p w14:paraId="1B8E0DA5">
            <w:pPr>
              <w:pStyle w:val="10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是否满足</w:t>
            </w:r>
          </w:p>
        </w:tc>
      </w:tr>
      <w:tr w14:paraId="7D315D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875" w:type="pct"/>
            <w:tcBorders>
              <w:tl2br w:val="nil"/>
              <w:tr2bl w:val="nil"/>
            </w:tcBorders>
            <w:noWrap w:val="0"/>
            <w:vAlign w:val="center"/>
          </w:tcPr>
          <w:p w14:paraId="349716C5">
            <w:pPr>
              <w:pStyle w:val="10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颗粒物</w:t>
            </w:r>
          </w:p>
        </w:tc>
        <w:tc>
          <w:tcPr>
            <w:tcW w:w="1450" w:type="pct"/>
            <w:tcBorders>
              <w:tl2br w:val="nil"/>
              <w:tr2bl w:val="nil"/>
            </w:tcBorders>
            <w:noWrap w:val="0"/>
            <w:vAlign w:val="center"/>
          </w:tcPr>
          <w:p w14:paraId="324A6781">
            <w:pPr>
              <w:pStyle w:val="10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cs="Times New Roman"/>
                <w:color w:val="FF0000"/>
                <w:sz w:val="21"/>
                <w:szCs w:val="21"/>
                <w:highlight w:val="none"/>
                <w:vertAlign w:val="baseline"/>
                <w:lang w:val="en-US" w:eastAsia="zh-CN"/>
              </w:rPr>
              <w:t>31.69</w:t>
            </w:r>
          </w:p>
        </w:tc>
        <w:tc>
          <w:tcPr>
            <w:tcW w:w="2645" w:type="dxa"/>
            <w:tcBorders>
              <w:tl2br w:val="nil"/>
              <w:tr2bl w:val="nil"/>
            </w:tcBorders>
            <w:noWrap w:val="0"/>
            <w:vAlign w:val="center"/>
          </w:tcPr>
          <w:p w14:paraId="6E6342D3">
            <w:pPr>
              <w:pStyle w:val="69"/>
              <w:keepNext w:val="0"/>
              <w:keepLines w:val="0"/>
              <w:pageBreakBefore w:val="0"/>
              <w:widowControl w:val="0"/>
              <w:shd w:val="clear" w:color="auto" w:fill="auto"/>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kern w:val="2"/>
                <w:sz w:val="21"/>
                <w:szCs w:val="21"/>
                <w:highlight w:val="none"/>
                <w:vertAlign w:val="baseline"/>
                <w:lang w:val="en-US" w:eastAsia="zh-CN" w:bidi="ar-SA"/>
              </w:rPr>
            </w:pPr>
            <w:r>
              <w:rPr>
                <w:rFonts w:hint="default" w:ascii="Times New Roman" w:hAnsi="Times New Roman" w:eastAsia="宋体" w:cs="Times New Roman"/>
                <w:snapToGrid w:val="0"/>
                <w:color w:val="FF0000"/>
                <w:kern w:val="2"/>
                <w:sz w:val="21"/>
                <w:szCs w:val="21"/>
                <w:highlight w:val="none"/>
                <w:lang w:val="en-US" w:eastAsia="zh-CN" w:bidi="ar-SA"/>
              </w:rPr>
              <w:t>92.08</w:t>
            </w:r>
          </w:p>
        </w:tc>
        <w:tc>
          <w:tcPr>
            <w:tcW w:w="1250" w:type="pct"/>
            <w:tcBorders>
              <w:tl2br w:val="nil"/>
              <w:tr2bl w:val="nil"/>
            </w:tcBorders>
            <w:noWrap w:val="0"/>
            <w:vAlign w:val="center"/>
          </w:tcPr>
          <w:p w14:paraId="4BB6EBAE">
            <w:pPr>
              <w:pStyle w:val="10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是</w:t>
            </w:r>
          </w:p>
        </w:tc>
      </w:tr>
      <w:tr w14:paraId="302410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875" w:type="pct"/>
            <w:tcBorders>
              <w:tl2br w:val="nil"/>
              <w:tr2bl w:val="nil"/>
            </w:tcBorders>
            <w:noWrap w:val="0"/>
            <w:vAlign w:val="center"/>
          </w:tcPr>
          <w:p w14:paraId="77B6A4D4">
            <w:pPr>
              <w:pStyle w:val="10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SO</w:t>
            </w:r>
            <w:r>
              <w:rPr>
                <w:rFonts w:hint="default" w:ascii="Times New Roman" w:hAnsi="Times New Roman" w:eastAsia="宋体" w:cs="Times New Roman"/>
                <w:color w:val="FF0000"/>
                <w:sz w:val="21"/>
                <w:szCs w:val="21"/>
                <w:highlight w:val="none"/>
                <w:vertAlign w:val="subscript"/>
                <w:lang w:val="en-US" w:eastAsia="zh-CN"/>
              </w:rPr>
              <w:t>2</w:t>
            </w:r>
          </w:p>
        </w:tc>
        <w:tc>
          <w:tcPr>
            <w:tcW w:w="1450" w:type="pct"/>
            <w:tcBorders>
              <w:tl2br w:val="nil"/>
              <w:tr2bl w:val="nil"/>
            </w:tcBorders>
            <w:noWrap w:val="0"/>
            <w:vAlign w:val="center"/>
          </w:tcPr>
          <w:p w14:paraId="17F68165">
            <w:pPr>
              <w:pStyle w:val="10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cs="Times New Roman"/>
                <w:color w:val="FF0000"/>
                <w:sz w:val="21"/>
                <w:szCs w:val="21"/>
                <w:highlight w:val="none"/>
                <w:vertAlign w:val="baseline"/>
                <w:lang w:val="en-US" w:eastAsia="zh-CN"/>
              </w:rPr>
              <w:t>65.287</w:t>
            </w:r>
          </w:p>
        </w:tc>
        <w:tc>
          <w:tcPr>
            <w:tcW w:w="2645" w:type="dxa"/>
            <w:tcBorders>
              <w:tl2br w:val="nil"/>
              <w:tr2bl w:val="nil"/>
            </w:tcBorders>
            <w:noWrap w:val="0"/>
            <w:vAlign w:val="center"/>
          </w:tcPr>
          <w:p w14:paraId="41A041C8">
            <w:pPr>
              <w:pStyle w:val="69"/>
              <w:keepNext w:val="0"/>
              <w:keepLines w:val="0"/>
              <w:pageBreakBefore w:val="0"/>
              <w:widowControl w:val="0"/>
              <w:shd w:val="clear" w:color="auto" w:fill="auto"/>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kern w:val="2"/>
                <w:sz w:val="21"/>
                <w:szCs w:val="21"/>
                <w:highlight w:val="none"/>
                <w:vertAlign w:val="baseline"/>
                <w:lang w:val="en-US" w:eastAsia="zh-CN" w:bidi="ar-SA"/>
              </w:rPr>
            </w:pPr>
            <w:r>
              <w:rPr>
                <w:rFonts w:hint="default" w:ascii="Times New Roman" w:hAnsi="Times New Roman" w:eastAsia="宋体" w:cs="Times New Roman"/>
                <w:snapToGrid w:val="0"/>
                <w:color w:val="FF0000"/>
                <w:kern w:val="2"/>
                <w:sz w:val="21"/>
                <w:szCs w:val="21"/>
                <w:highlight w:val="none"/>
                <w:lang w:val="en-US" w:eastAsia="zh-CN" w:bidi="ar-SA"/>
              </w:rPr>
              <w:t>318.69</w:t>
            </w:r>
          </w:p>
        </w:tc>
        <w:tc>
          <w:tcPr>
            <w:tcW w:w="1250" w:type="pct"/>
            <w:tcBorders>
              <w:tl2br w:val="nil"/>
              <w:tr2bl w:val="nil"/>
            </w:tcBorders>
            <w:noWrap w:val="0"/>
            <w:vAlign w:val="center"/>
          </w:tcPr>
          <w:p w14:paraId="1B3BC2B5">
            <w:pPr>
              <w:pStyle w:val="10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是</w:t>
            </w:r>
          </w:p>
        </w:tc>
      </w:tr>
      <w:tr w14:paraId="6451FD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875" w:type="pct"/>
            <w:tcBorders>
              <w:tl2br w:val="nil"/>
              <w:tr2bl w:val="nil"/>
            </w:tcBorders>
            <w:noWrap w:val="0"/>
            <w:vAlign w:val="center"/>
          </w:tcPr>
          <w:p w14:paraId="2AD56FF9">
            <w:pPr>
              <w:pStyle w:val="10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NO</w:t>
            </w:r>
            <w:r>
              <w:rPr>
                <w:rFonts w:hint="default" w:ascii="Times New Roman" w:hAnsi="Times New Roman" w:eastAsia="宋体" w:cs="Times New Roman"/>
                <w:color w:val="FF0000"/>
                <w:sz w:val="21"/>
                <w:szCs w:val="21"/>
                <w:highlight w:val="none"/>
                <w:vertAlign w:val="subscript"/>
                <w:lang w:val="en-US" w:eastAsia="zh-CN"/>
              </w:rPr>
              <w:t>x</w:t>
            </w:r>
          </w:p>
        </w:tc>
        <w:tc>
          <w:tcPr>
            <w:tcW w:w="1450" w:type="pct"/>
            <w:tcBorders>
              <w:tl2br w:val="nil"/>
              <w:tr2bl w:val="nil"/>
            </w:tcBorders>
            <w:noWrap w:val="0"/>
            <w:vAlign w:val="center"/>
          </w:tcPr>
          <w:p w14:paraId="19A2B39A">
            <w:pPr>
              <w:pStyle w:val="10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cs="Times New Roman"/>
                <w:color w:val="FF0000"/>
                <w:sz w:val="21"/>
                <w:szCs w:val="21"/>
                <w:highlight w:val="none"/>
                <w:vertAlign w:val="baseline"/>
                <w:lang w:val="en-US" w:eastAsia="zh-CN"/>
              </w:rPr>
              <w:t>86.74</w:t>
            </w:r>
          </w:p>
        </w:tc>
        <w:tc>
          <w:tcPr>
            <w:tcW w:w="2645" w:type="dxa"/>
            <w:tcBorders>
              <w:tl2br w:val="nil"/>
              <w:tr2bl w:val="nil"/>
            </w:tcBorders>
            <w:noWrap w:val="0"/>
            <w:vAlign w:val="center"/>
          </w:tcPr>
          <w:p w14:paraId="1AD6E630">
            <w:pPr>
              <w:pStyle w:val="69"/>
              <w:keepNext w:val="0"/>
              <w:keepLines w:val="0"/>
              <w:pageBreakBefore w:val="0"/>
              <w:widowControl w:val="0"/>
              <w:shd w:val="clear" w:color="auto" w:fill="auto"/>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FF0000"/>
                <w:kern w:val="2"/>
                <w:sz w:val="21"/>
                <w:szCs w:val="21"/>
                <w:highlight w:val="none"/>
                <w:vertAlign w:val="baseline"/>
                <w:lang w:val="en-US" w:eastAsia="zh-CN" w:bidi="ar-SA"/>
              </w:rPr>
            </w:pPr>
            <w:r>
              <w:rPr>
                <w:rFonts w:hint="default" w:ascii="Times New Roman" w:hAnsi="Times New Roman" w:eastAsia="宋体" w:cs="Times New Roman"/>
                <w:snapToGrid w:val="0"/>
                <w:color w:val="FF0000"/>
                <w:kern w:val="2"/>
                <w:sz w:val="21"/>
                <w:szCs w:val="21"/>
                <w:highlight w:val="none"/>
                <w:lang w:val="en-US" w:eastAsia="zh-CN" w:bidi="ar-SA"/>
              </w:rPr>
              <w:t>336.35</w:t>
            </w:r>
          </w:p>
        </w:tc>
        <w:tc>
          <w:tcPr>
            <w:tcW w:w="1250" w:type="pct"/>
            <w:tcBorders>
              <w:tl2br w:val="nil"/>
              <w:tr2bl w:val="nil"/>
            </w:tcBorders>
            <w:noWrap w:val="0"/>
            <w:vAlign w:val="center"/>
          </w:tcPr>
          <w:p w14:paraId="4AD454A7">
            <w:pPr>
              <w:pStyle w:val="10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是</w:t>
            </w:r>
          </w:p>
        </w:tc>
      </w:tr>
    </w:tbl>
    <w:p w14:paraId="4850851E">
      <w:pPr>
        <w:pStyle w:val="6"/>
        <w:numPr>
          <w:ilvl w:val="2"/>
          <w:numId w:val="3"/>
        </w:numPr>
        <w:bidi w:val="0"/>
        <w:ind w:left="709" w:leftChars="0" w:hanging="709" w:firstLineChars="0"/>
        <w:rPr>
          <w:rFonts w:hint="default" w:ascii="Times New Roman" w:hAnsi="Times New Roman" w:eastAsia="宋体" w:cs="Times New Roman"/>
          <w:color w:val="auto"/>
          <w:highlight w:val="none"/>
          <w:lang w:val="en-US" w:eastAsia="zh-CN"/>
        </w:rPr>
      </w:pPr>
      <w:bookmarkStart w:id="192" w:name="_Toc23339"/>
      <w:bookmarkStart w:id="193" w:name="_Toc22501"/>
      <w:bookmarkStart w:id="194" w:name="_Toc30067"/>
      <w:r>
        <w:rPr>
          <w:rFonts w:hint="default" w:ascii="Times New Roman" w:hAnsi="Times New Roman" w:eastAsia="宋体" w:cs="Times New Roman"/>
          <w:color w:val="auto"/>
          <w:highlight w:val="none"/>
          <w:lang w:val="en-US" w:eastAsia="zh-CN"/>
        </w:rPr>
        <w:t>现有工程风险源及防范措施</w:t>
      </w:r>
      <w:bookmarkEnd w:id="192"/>
      <w:bookmarkEnd w:id="193"/>
      <w:bookmarkEnd w:id="194"/>
    </w:p>
    <w:p w14:paraId="049E82D8">
      <w:pPr>
        <w:bidi w:val="0"/>
        <w:rPr>
          <w:rFonts w:hint="default" w:ascii="Times New Roman" w:hAnsi="Times New Roman" w:eastAsia="宋体" w:cs="Times New Roman"/>
          <w:color w:val="FF0000"/>
          <w:highlight w:val="none"/>
          <w:lang w:val="en-US" w:eastAsia="zh-CN"/>
        </w:rPr>
      </w:pPr>
      <w:bookmarkStart w:id="195" w:name="_Toc7915"/>
      <w:bookmarkStart w:id="196" w:name="_Toc3949"/>
      <w:bookmarkStart w:id="197" w:name="_Toc31421"/>
      <w:r>
        <w:rPr>
          <w:rFonts w:hint="default" w:ascii="Times New Roman" w:hAnsi="Times New Roman" w:eastAsia="宋体" w:cs="Times New Roman"/>
          <w:color w:val="FF0000"/>
          <w:highlight w:val="none"/>
          <w:lang w:val="en-US" w:eastAsia="zh-CN"/>
        </w:rPr>
        <w:t>（1）柴油</w:t>
      </w:r>
    </w:p>
    <w:p w14:paraId="54F4A353">
      <w:pPr>
        <w:bidi w:val="0"/>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sz w:val="24"/>
          <w:szCs w:val="24"/>
          <w:highlight w:val="none"/>
        </w:rPr>
        <w:t>锅炉点火采用燃料为轻柴油，</w:t>
      </w:r>
      <w:r>
        <w:rPr>
          <w:rFonts w:hint="eastAsia" w:ascii="Times New Roman" w:hAnsi="Times New Roman" w:eastAsia="宋体" w:cs="Times New Roman"/>
          <w:color w:val="FF0000"/>
          <w:sz w:val="24"/>
          <w:szCs w:val="24"/>
          <w:highlight w:val="none"/>
          <w:lang w:val="en-US" w:eastAsia="zh-CN"/>
        </w:rPr>
        <w:t>厂区内设置2座50m</w:t>
      </w:r>
      <w:r>
        <w:rPr>
          <w:rFonts w:hint="eastAsia" w:ascii="Times New Roman" w:hAnsi="Times New Roman" w:eastAsia="宋体" w:cs="Times New Roman"/>
          <w:color w:val="FF0000"/>
          <w:sz w:val="24"/>
          <w:szCs w:val="24"/>
          <w:highlight w:val="none"/>
          <w:vertAlign w:val="superscript"/>
          <w:lang w:val="en-US" w:eastAsia="zh-CN"/>
        </w:rPr>
        <w:t>3</w:t>
      </w:r>
      <w:r>
        <w:rPr>
          <w:rFonts w:hint="eastAsia" w:ascii="Times New Roman" w:hAnsi="Times New Roman" w:eastAsia="宋体" w:cs="Times New Roman"/>
          <w:color w:val="FF0000"/>
          <w:sz w:val="24"/>
          <w:szCs w:val="24"/>
          <w:highlight w:val="none"/>
          <w:lang w:val="en-US" w:eastAsia="zh-CN"/>
        </w:rPr>
        <w:t>的柴油储罐，经供油泵升压送至锅炉房用于锅炉点火</w:t>
      </w:r>
      <w:r>
        <w:rPr>
          <w:rFonts w:hint="eastAsia" w:ascii="Times New Roman" w:hAnsi="Times New Roman" w:eastAsia="宋体" w:cs="Times New Roman"/>
          <w:color w:val="FF0000"/>
          <w:sz w:val="24"/>
          <w:szCs w:val="24"/>
          <w:highlight w:val="none"/>
          <w:lang w:eastAsia="zh-CN"/>
        </w:rPr>
        <w:t>。油罐区采用低倍数泡沫灭火系统，设置独立的泡沫消防管，在油罐防火堤外设置环状消防管网及室外消火栓和泡沫消火栓；泡沫消防间内设置推车式泡沫灭火器1个，保证轻柴油安全。除此之外，点火油采用汽车运输方式进厂。</w:t>
      </w:r>
      <w:r>
        <w:rPr>
          <w:rFonts w:hint="eastAsia" w:ascii="Times New Roman" w:hAnsi="Times New Roman" w:eastAsia="宋体" w:cs="Times New Roman"/>
          <w:color w:val="FF0000"/>
          <w:sz w:val="24"/>
          <w:szCs w:val="24"/>
          <w:highlight w:val="none"/>
          <w:lang w:val="en-US" w:eastAsia="zh-CN"/>
        </w:rPr>
        <w:t>通过采取上述措施，</w:t>
      </w:r>
      <w:r>
        <w:rPr>
          <w:rFonts w:hint="default" w:ascii="Times New Roman" w:hAnsi="Times New Roman" w:eastAsia="宋体" w:cs="Times New Roman"/>
          <w:color w:val="FF0000"/>
          <w:highlight w:val="none"/>
          <w:lang w:val="en-US" w:eastAsia="zh-CN"/>
        </w:rPr>
        <w:t>本项目建成后对环境风险影响较小。</w:t>
      </w:r>
    </w:p>
    <w:p w14:paraId="58D71C00">
      <w:pPr>
        <w:bidi w:val="0"/>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highlight w:val="none"/>
          <w:lang w:val="en-US" w:eastAsia="zh-CN"/>
        </w:rPr>
        <w:t>（2）物料贮运安全防范措施</w:t>
      </w:r>
    </w:p>
    <w:p w14:paraId="58CBAA28">
      <w:pPr>
        <w:bidi w:val="0"/>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highlight w:val="none"/>
          <w:lang w:val="en-US" w:eastAsia="zh-CN"/>
        </w:rPr>
        <w:t>物料在运输过程中，各个路口应当保证有足够的视距；设置明显的厂内道路交通安全标志；加强厂外运输车辆的安全管理。厂内道路经常保持路面平整、路基稳固、边坡整齐、排水良好，并应有完好的照明设施。制定合理的物料运输方案，定期对运输设备进行检查，保证设备无损坏。制定严格的风险、安全管理制度，严禁违章操作。物料堆场应注意防火，禁止违章动火。</w:t>
      </w:r>
    </w:p>
    <w:p w14:paraId="17DA1466">
      <w:pPr>
        <w:bidi w:val="0"/>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highlight w:val="none"/>
          <w:lang w:val="en-US" w:eastAsia="zh-CN"/>
        </w:rPr>
        <w:t>（3）加强安全管理和人员培训措施</w:t>
      </w:r>
    </w:p>
    <w:p w14:paraId="525C6464">
      <w:pPr>
        <w:bidi w:val="0"/>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highlight w:val="none"/>
          <w:lang w:val="en-US" w:eastAsia="zh-CN"/>
        </w:rPr>
        <w:t>①企业应针对本项目实际情况，设立相应的安全管理机构，建立有效的安全管理条例、制度和规定，并且要不断改进和提高管理水平，严防操作事故的发生。加强全厂干部、职工的风险意识和环境意识教育，增强安全、环境意识。</w:t>
      </w:r>
    </w:p>
    <w:p w14:paraId="175FF281">
      <w:pPr>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FF0000"/>
          <w:highlight w:val="none"/>
          <w:lang w:val="en-US" w:eastAsia="zh-CN"/>
        </w:rPr>
        <w:t>②加强企业相关人员的安全环境保护相关知识的培训工作，定期、定向、定点</w:t>
      </w:r>
      <w:r>
        <w:rPr>
          <w:rFonts w:hint="eastAsia" w:ascii="Times New Roman" w:hAnsi="Times New Roman" w:eastAsia="宋体" w:cs="Times New Roman"/>
          <w:color w:val="FF0000"/>
          <w:highlight w:val="none"/>
          <w:lang w:val="en-US" w:eastAsia="zh-CN"/>
        </w:rPr>
        <w:t>地</w:t>
      </w:r>
      <w:r>
        <w:rPr>
          <w:rFonts w:hint="default" w:ascii="Times New Roman" w:hAnsi="Times New Roman" w:eastAsia="宋体" w:cs="Times New Roman"/>
          <w:color w:val="FF0000"/>
          <w:highlight w:val="none"/>
          <w:lang w:val="en-US" w:eastAsia="zh-CN"/>
        </w:rPr>
        <w:t>对企业各工作岗位和安全管理人员开展安全和环境保护防护的相关知识培训工作。使得员工掌握相关的安全和环境防护技能。</w:t>
      </w:r>
    </w:p>
    <w:p w14:paraId="0C317CDB">
      <w:pPr>
        <w:pStyle w:val="6"/>
        <w:keepNext/>
        <w:keepLines/>
        <w:pageBreakBefore w:val="0"/>
        <w:widowControl w:val="0"/>
        <w:numPr>
          <w:ilvl w:val="2"/>
          <w:numId w:val="3"/>
        </w:numPr>
        <w:kinsoku/>
        <w:wordWrap/>
        <w:overflowPunct/>
        <w:topLinePunct w:val="0"/>
        <w:autoSpaceDE/>
        <w:autoSpaceDN/>
        <w:bidi w:val="0"/>
        <w:adjustRightInd/>
        <w:snapToGrid/>
        <w:spacing w:line="360" w:lineRule="auto"/>
        <w:ind w:left="709" w:leftChars="0" w:hanging="709" w:firstLineChars="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地下水防渗措施</w:t>
      </w:r>
    </w:p>
    <w:p w14:paraId="5173EF15">
      <w:pPr>
        <w:pStyle w:val="5"/>
        <w:rPr>
          <w:rFonts w:hint="default"/>
          <w:color w:val="FF0000"/>
          <w:highlight w:val="none"/>
          <w:lang w:val="en-US" w:eastAsia="zh-CN"/>
        </w:rPr>
      </w:pPr>
      <w:r>
        <w:rPr>
          <w:rFonts w:hint="eastAsia"/>
          <w:color w:val="FF0000"/>
          <w:highlight w:val="none"/>
          <w:lang w:val="en-US" w:eastAsia="zh-CN"/>
        </w:rPr>
        <w:t>烟气治理设施底部、锅炉房为一般防渗区，地面采用抗渗混凝土进行防渗；厂区道路、碎煤机室等其他区域为简单防渗区，采取水泥地面硬化的防渗措施。通过采取上述措施，</w:t>
      </w:r>
      <w:r>
        <w:rPr>
          <w:rFonts w:hint="default"/>
          <w:color w:val="FF0000"/>
          <w:highlight w:val="none"/>
          <w:lang w:val="en-US" w:eastAsia="zh-CN"/>
        </w:rPr>
        <w:t>满足《环境影响评价技术导则 地下水环境》（HJ610-2016）表7地下水污染防渗分区参照表中</w:t>
      </w:r>
      <w:r>
        <w:rPr>
          <w:rFonts w:hint="eastAsia"/>
          <w:color w:val="FF0000"/>
          <w:highlight w:val="none"/>
          <w:lang w:val="en-US" w:eastAsia="zh-CN"/>
        </w:rPr>
        <w:t>一般防渗区和</w:t>
      </w:r>
      <w:r>
        <w:rPr>
          <w:rFonts w:hint="default"/>
          <w:color w:val="FF0000"/>
          <w:highlight w:val="none"/>
          <w:lang w:val="en-US" w:eastAsia="zh-CN"/>
        </w:rPr>
        <w:t>简单防渗区防渗技术要求</w:t>
      </w:r>
      <w:r>
        <w:rPr>
          <w:rFonts w:hint="eastAsia"/>
          <w:color w:val="FF0000"/>
          <w:highlight w:val="none"/>
          <w:lang w:val="en-US" w:eastAsia="zh-CN"/>
        </w:rPr>
        <w:t>。厂区内危险废物贮存库已按《危险废物贮存污染控制标准》（GB 18597-2023）贮存设施污染控制要求进行重点防渗，采用1.5mm厚土工膜+250mm抗渗混凝土进行防渗处理。</w:t>
      </w:r>
    </w:p>
    <w:p w14:paraId="1FE37129">
      <w:pPr>
        <w:pStyle w:val="6"/>
        <w:keepNext/>
        <w:keepLines/>
        <w:pageBreakBefore w:val="0"/>
        <w:widowControl w:val="0"/>
        <w:numPr>
          <w:ilvl w:val="2"/>
          <w:numId w:val="3"/>
        </w:numPr>
        <w:kinsoku/>
        <w:wordWrap/>
        <w:overflowPunct/>
        <w:topLinePunct w:val="0"/>
        <w:autoSpaceDE/>
        <w:autoSpaceDN/>
        <w:bidi w:val="0"/>
        <w:adjustRightInd/>
        <w:snapToGrid/>
        <w:spacing w:line="360" w:lineRule="auto"/>
        <w:ind w:left="709" w:leftChars="0" w:hanging="709"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现有主要环境问题</w:t>
      </w:r>
      <w:bookmarkEnd w:id="195"/>
      <w:bookmarkEnd w:id="196"/>
      <w:bookmarkEnd w:id="197"/>
    </w:p>
    <w:p w14:paraId="1AC4925B">
      <w:pPr>
        <w:pStyle w:val="7"/>
        <w:numPr>
          <w:ilvl w:val="0"/>
          <w:numId w:val="0"/>
        </w:numPr>
        <w:bidi w:val="0"/>
        <w:ind w:leftChars="0" w:firstLine="480"/>
        <w:rPr>
          <w:rFonts w:hint="default" w:ascii="Times New Roman" w:hAnsi="Times New Roman" w:cs="Times New Roman"/>
          <w:b w:val="0"/>
          <w:bCs w:val="0"/>
          <w:color w:val="auto"/>
          <w:kern w:val="2"/>
          <w:sz w:val="24"/>
          <w:szCs w:val="22"/>
          <w:highlight w:val="none"/>
          <w:lang w:val="en-US" w:eastAsia="zh-CN" w:bidi="ar-SA"/>
        </w:rPr>
      </w:pPr>
      <w:r>
        <w:rPr>
          <w:rFonts w:hint="eastAsia" w:ascii="Times New Roman" w:hAnsi="Times New Roman" w:cs="Times New Roman"/>
          <w:b w:val="0"/>
          <w:bCs w:val="0"/>
          <w:color w:val="auto"/>
          <w:kern w:val="2"/>
          <w:sz w:val="24"/>
          <w:szCs w:val="22"/>
          <w:highlight w:val="none"/>
          <w:lang w:val="en-US" w:eastAsia="zh-CN" w:bidi="ar-SA"/>
        </w:rPr>
        <w:t>本项目现有工程不存在环境问题。</w:t>
      </w:r>
    </w:p>
    <w:p w14:paraId="3BEDFB13">
      <w:pPr>
        <w:pStyle w:val="4"/>
        <w:numPr>
          <w:ilvl w:val="1"/>
          <w:numId w:val="3"/>
        </w:numPr>
        <w:bidi w:val="0"/>
        <w:ind w:left="567" w:leftChars="0" w:hanging="567" w:firstLineChars="0"/>
        <w:rPr>
          <w:rFonts w:hint="default" w:ascii="Times New Roman" w:hAnsi="Times New Roman" w:eastAsia="宋体" w:cs="Times New Roman"/>
          <w:b/>
          <w:bCs/>
          <w:color w:val="auto"/>
          <w:highlight w:val="none"/>
        </w:rPr>
      </w:pPr>
      <w:bookmarkStart w:id="198" w:name="_Toc13626"/>
      <w:bookmarkStart w:id="199" w:name="_Toc11147"/>
      <w:r>
        <w:rPr>
          <w:rFonts w:hint="default" w:ascii="Times New Roman" w:hAnsi="Times New Roman" w:eastAsia="宋体" w:cs="Times New Roman"/>
          <w:b/>
          <w:bCs/>
          <w:color w:val="auto"/>
          <w:highlight w:val="none"/>
        </w:rPr>
        <w:t>拟建工程建设内容</w:t>
      </w:r>
      <w:bookmarkEnd w:id="198"/>
      <w:bookmarkEnd w:id="199"/>
    </w:p>
    <w:p w14:paraId="5D73B08B">
      <w:pPr>
        <w:pStyle w:val="6"/>
        <w:numPr>
          <w:ilvl w:val="2"/>
          <w:numId w:val="3"/>
        </w:numPr>
        <w:bidi w:val="0"/>
        <w:ind w:left="709" w:leftChars="0" w:hanging="709" w:firstLineChars="0"/>
        <w:rPr>
          <w:rFonts w:hint="default" w:ascii="Times New Roman" w:hAnsi="Times New Roman" w:eastAsia="宋体" w:cs="Times New Roman"/>
          <w:color w:val="auto"/>
          <w:highlight w:val="none"/>
        </w:rPr>
      </w:pPr>
      <w:bookmarkStart w:id="200" w:name="_Toc32668"/>
      <w:bookmarkStart w:id="201" w:name="_Toc24982"/>
      <w:bookmarkStart w:id="202" w:name="_Toc8405"/>
      <w:r>
        <w:rPr>
          <w:rFonts w:hint="default" w:ascii="Times New Roman" w:hAnsi="Times New Roman" w:eastAsia="宋体" w:cs="Times New Roman"/>
          <w:color w:val="auto"/>
          <w:highlight w:val="none"/>
        </w:rPr>
        <w:t>本项目基本情况</w:t>
      </w:r>
      <w:bookmarkEnd w:id="200"/>
      <w:bookmarkEnd w:id="201"/>
      <w:bookmarkEnd w:id="202"/>
    </w:p>
    <w:p w14:paraId="6AC56095">
      <w:pPr>
        <w:pStyle w:val="69"/>
        <w:ind w:firstLine="480"/>
        <w:rPr>
          <w:rFonts w:hint="eastAsia" w:ascii="Times New Roman" w:hAnsi="Times New Roman" w:eastAsia="宋体" w:cs="Times New Roman"/>
          <w:color w:val="auto"/>
          <w:highlight w:val="none"/>
          <w:lang w:eastAsia="zh-CN"/>
        </w:rPr>
      </w:pPr>
      <w:r>
        <w:rPr>
          <w:rFonts w:hint="default" w:ascii="Times New Roman" w:hAnsi="Times New Roman" w:eastAsia="宋体" w:cs="Times New Roman"/>
          <w:snapToGrid w:val="0"/>
          <w:color w:val="auto"/>
          <w:highlight w:val="none"/>
        </w:rPr>
        <w:t>（1）</w:t>
      </w:r>
      <w:r>
        <w:rPr>
          <w:rFonts w:hint="default" w:ascii="Times New Roman" w:hAnsi="Times New Roman" w:eastAsia="宋体" w:cs="Times New Roman"/>
          <w:color w:val="auto"/>
          <w:highlight w:val="none"/>
        </w:rPr>
        <w:t>项目名称：</w:t>
      </w:r>
      <w:r>
        <w:rPr>
          <w:rFonts w:hint="eastAsia" w:ascii="Times New Roman" w:hAnsi="Times New Roman" w:cs="Times New Roman"/>
          <w:color w:val="auto"/>
          <w:sz w:val="24"/>
          <w:highlight w:val="none"/>
          <w:lang w:eastAsia="zh-CN"/>
        </w:rPr>
        <w:t>佳木斯中恒热电有限公司新建、扩建锅炉房工程（二期1×58MW锅炉重新报批）</w:t>
      </w:r>
    </w:p>
    <w:p w14:paraId="769130FE">
      <w:pPr>
        <w:pStyle w:val="69"/>
        <w:ind w:firstLine="480"/>
        <w:rPr>
          <w:rFonts w:hint="eastAsia" w:ascii="Times New Roman" w:hAnsi="Times New Roman" w:eastAsia="宋体" w:cs="Times New Roman"/>
          <w:color w:val="auto"/>
          <w:highlight w:val="none"/>
          <w:lang w:eastAsia="zh-CN"/>
        </w:rPr>
      </w:pPr>
      <w:r>
        <w:rPr>
          <w:rFonts w:hint="default" w:ascii="Times New Roman" w:hAnsi="Times New Roman" w:eastAsia="宋体" w:cs="Times New Roman"/>
          <w:snapToGrid w:val="0"/>
          <w:color w:val="auto"/>
          <w:highlight w:val="none"/>
        </w:rPr>
        <w:t>（2）</w:t>
      </w:r>
      <w:r>
        <w:rPr>
          <w:rFonts w:hint="default" w:ascii="Times New Roman" w:hAnsi="Times New Roman" w:eastAsia="宋体" w:cs="Times New Roman"/>
          <w:color w:val="auto"/>
          <w:kern w:val="0"/>
          <w:sz w:val="24"/>
          <w:szCs w:val="24"/>
          <w:highlight w:val="none"/>
        </w:rPr>
        <w:t>建设单位</w:t>
      </w:r>
      <w:r>
        <w:rPr>
          <w:rFonts w:hint="default" w:ascii="Times New Roman" w:hAnsi="Times New Roman" w:eastAsia="宋体" w:cs="Times New Roman"/>
          <w:color w:val="auto"/>
          <w:highlight w:val="none"/>
        </w:rPr>
        <w:t>：</w:t>
      </w:r>
      <w:r>
        <w:rPr>
          <w:rFonts w:hint="eastAsia" w:ascii="Times New Roman" w:hAnsi="Times New Roman" w:cs="Times New Roman"/>
          <w:color w:val="auto"/>
          <w:highlight w:val="none"/>
          <w:lang w:eastAsia="zh-CN"/>
        </w:rPr>
        <w:t>佳木斯中恒热电有限公司</w:t>
      </w:r>
    </w:p>
    <w:p w14:paraId="01CC60B2">
      <w:pPr>
        <w:pStyle w:val="69"/>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snapToGrid w:val="0"/>
          <w:color w:val="auto"/>
          <w:highlight w:val="none"/>
        </w:rPr>
        <w:t>（3）</w:t>
      </w:r>
      <w:r>
        <w:rPr>
          <w:rFonts w:hint="default" w:ascii="Times New Roman" w:hAnsi="Times New Roman" w:eastAsia="宋体" w:cs="Times New Roman"/>
          <w:color w:val="auto"/>
          <w:highlight w:val="none"/>
        </w:rPr>
        <w:t>建设地点：</w:t>
      </w:r>
      <w:r>
        <w:rPr>
          <w:rFonts w:hint="eastAsia" w:ascii="Times New Roman" w:hAnsi="Times New Roman" w:cs="Times New Roman"/>
          <w:color w:val="auto"/>
          <w:highlight w:val="none"/>
          <w:lang w:eastAsia="zh-CN"/>
        </w:rPr>
        <w:t>佳木斯中恒热电有限公司</w:t>
      </w:r>
      <w:r>
        <w:rPr>
          <w:rFonts w:hint="default" w:ascii="Times New Roman" w:hAnsi="Times New Roman" w:eastAsia="宋体" w:cs="Times New Roman"/>
          <w:color w:val="auto"/>
          <w:highlight w:val="none"/>
        </w:rPr>
        <w:t>现锅炉房西侧，无需新征土地。</w:t>
      </w:r>
    </w:p>
    <w:p w14:paraId="258D01AB">
      <w:pPr>
        <w:pStyle w:val="69"/>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snapToGrid w:val="0"/>
          <w:color w:val="auto"/>
          <w:highlight w:val="none"/>
        </w:rPr>
        <w:t>（4）</w:t>
      </w:r>
      <w:r>
        <w:rPr>
          <w:rFonts w:hint="default" w:ascii="Times New Roman" w:hAnsi="Times New Roman" w:eastAsia="宋体" w:cs="Times New Roman"/>
          <w:color w:val="auto"/>
          <w:highlight w:val="none"/>
        </w:rPr>
        <w:t>建设性质：</w:t>
      </w:r>
      <w:r>
        <w:rPr>
          <w:rFonts w:hint="default" w:ascii="Times New Roman" w:hAnsi="Times New Roman" w:eastAsia="宋体" w:cs="Times New Roman"/>
          <w:color w:val="auto"/>
          <w:highlight w:val="none"/>
          <w:lang w:val="en-US" w:eastAsia="zh-CN"/>
        </w:rPr>
        <w:t>改</w:t>
      </w:r>
      <w:r>
        <w:rPr>
          <w:rFonts w:hint="default" w:ascii="Times New Roman" w:hAnsi="Times New Roman" w:eastAsia="宋体" w:cs="Times New Roman"/>
          <w:color w:val="auto"/>
          <w:highlight w:val="none"/>
        </w:rPr>
        <w:t>扩建</w:t>
      </w:r>
    </w:p>
    <w:p w14:paraId="4DAC8ED6">
      <w:pPr>
        <w:pStyle w:val="69"/>
        <w:ind w:firstLine="480"/>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snapToGrid w:val="0"/>
          <w:color w:val="auto"/>
          <w:highlight w:val="none"/>
        </w:rPr>
        <w:t>（5）</w:t>
      </w:r>
      <w:r>
        <w:rPr>
          <w:rFonts w:hint="default" w:ascii="Times New Roman" w:hAnsi="Times New Roman" w:eastAsia="宋体" w:cs="Times New Roman"/>
          <w:color w:val="auto"/>
          <w:highlight w:val="none"/>
        </w:rPr>
        <w:t>建设规模：</w:t>
      </w:r>
      <w:r>
        <w:rPr>
          <w:rFonts w:hint="eastAsia" w:ascii="Times New Roman" w:hAnsi="Times New Roman" w:cs="Times New Roman"/>
          <w:color w:val="FF0000"/>
          <w:highlight w:val="none"/>
          <w:lang w:val="en-US" w:eastAsia="zh-CN"/>
        </w:rPr>
        <w:t>本项目</w:t>
      </w:r>
      <w:r>
        <w:rPr>
          <w:rFonts w:hint="eastAsia" w:ascii="Times New Roman" w:hAnsi="Times New Roman" w:cs="Times New Roman"/>
          <w:color w:val="FF0000"/>
          <w:highlight w:val="none"/>
          <w:lang w:eastAsia="zh-CN"/>
        </w:rPr>
        <w:t>建设</w:t>
      </w:r>
      <w:r>
        <w:rPr>
          <w:rFonts w:hint="eastAsia" w:ascii="Times New Roman" w:hAnsi="Times New Roman" w:cs="Times New Roman"/>
          <w:color w:val="FF0000"/>
          <w:highlight w:val="none"/>
          <w:lang w:val="en-US" w:eastAsia="zh-CN"/>
        </w:rPr>
        <w:t>1</w:t>
      </w:r>
      <w:r>
        <w:rPr>
          <w:rFonts w:hint="default" w:ascii="Times New Roman" w:hAnsi="Times New Roman" w:eastAsia="宋体" w:cs="Times New Roman"/>
          <w:color w:val="FF0000"/>
          <w:highlight w:val="none"/>
        </w:rPr>
        <w:t>台</w:t>
      </w:r>
      <w:r>
        <w:rPr>
          <w:rFonts w:hint="eastAsia" w:ascii="Times New Roman" w:hAnsi="Times New Roman" w:cs="Times New Roman"/>
          <w:color w:val="FF0000"/>
          <w:highlight w:val="none"/>
          <w:lang w:val="en-US" w:eastAsia="zh-CN"/>
        </w:rPr>
        <w:t>58</w:t>
      </w:r>
      <w:r>
        <w:rPr>
          <w:rFonts w:hint="default" w:ascii="Times New Roman" w:hAnsi="Times New Roman" w:eastAsia="宋体" w:cs="Times New Roman"/>
          <w:color w:val="FF0000"/>
          <w:highlight w:val="none"/>
        </w:rPr>
        <w:t>MW</w:t>
      </w:r>
      <w:r>
        <w:rPr>
          <w:rFonts w:hint="eastAsia" w:ascii="Times New Roman" w:hAnsi="Times New Roman" w:cs="Times New Roman"/>
          <w:color w:val="FF0000"/>
          <w:highlight w:val="none"/>
          <w:lang w:eastAsia="zh-CN"/>
        </w:rPr>
        <w:t>往复炉排热水锅炉作为调峰热源，配套脱硫除尘脱硝设备</w:t>
      </w:r>
      <w:r>
        <w:rPr>
          <w:rFonts w:hint="default" w:ascii="Times New Roman" w:hAnsi="Times New Roman" w:eastAsia="宋体" w:cs="Times New Roman"/>
          <w:color w:val="FF0000"/>
          <w:highlight w:val="none"/>
        </w:rPr>
        <w:t>。项目在实际建设过程中</w:t>
      </w:r>
      <w:r>
        <w:rPr>
          <w:rFonts w:hint="eastAsia" w:ascii="Times New Roman" w:hAnsi="Times New Roman" w:cs="Times New Roman"/>
          <w:color w:val="FF0000"/>
          <w:highlight w:val="none"/>
          <w:lang w:eastAsia="zh-CN"/>
        </w:rPr>
        <w:t>，</w:t>
      </w:r>
      <w:r>
        <w:rPr>
          <w:rFonts w:hint="eastAsia" w:ascii="Times New Roman" w:hAnsi="Times New Roman" w:cs="Times New Roman"/>
          <w:color w:val="FF0000"/>
          <w:highlight w:val="none"/>
          <w:lang w:val="en-US" w:eastAsia="zh-CN"/>
        </w:rPr>
        <w:t>调峰热源由原环评中2台8MW往复炉排热水锅炉改为1台，</w:t>
      </w:r>
      <w:r>
        <w:rPr>
          <w:rFonts w:hint="default" w:ascii="Times New Roman" w:hAnsi="Times New Roman" w:eastAsia="宋体" w:cs="Times New Roman"/>
          <w:color w:val="FF0000"/>
          <w:highlight w:val="none"/>
          <w:lang w:val="en-US" w:eastAsia="zh-CN"/>
        </w:rPr>
        <w:t>配套的120m烟囱不再建设，锅炉烟气</w:t>
      </w:r>
      <w:r>
        <w:rPr>
          <w:rFonts w:hint="eastAsia" w:ascii="Times New Roman" w:hAnsi="Times New Roman" w:cs="Times New Roman"/>
          <w:color w:val="FF0000"/>
          <w:highlight w:val="none"/>
          <w:lang w:val="en-US" w:eastAsia="zh-CN"/>
        </w:rPr>
        <w:t>利用</w:t>
      </w:r>
      <w:r>
        <w:rPr>
          <w:rFonts w:hint="default" w:ascii="Times New Roman" w:hAnsi="Times New Roman" w:eastAsia="宋体" w:cs="Times New Roman"/>
          <w:color w:val="FF0000"/>
          <w:highlight w:val="none"/>
          <w:lang w:val="en-US" w:eastAsia="zh-CN"/>
        </w:rPr>
        <w:t>厂区内现有的一根70m高烟囱排放</w:t>
      </w:r>
      <w:r>
        <w:rPr>
          <w:rFonts w:hint="default" w:ascii="Times New Roman" w:hAnsi="Times New Roman" w:eastAsia="宋体" w:cs="Times New Roman"/>
          <w:color w:val="FF0000"/>
          <w:highlight w:val="none"/>
        </w:rPr>
        <w:t>，</w:t>
      </w:r>
      <w:r>
        <w:rPr>
          <w:rFonts w:hint="eastAsia" w:ascii="Times New Roman" w:hAnsi="Times New Roman" w:cs="Times New Roman"/>
          <w:color w:val="FF0000"/>
          <w:highlight w:val="none"/>
          <w:lang w:val="en-US" w:eastAsia="zh-CN"/>
        </w:rPr>
        <w:t>烟囱高度降低超过10%</w:t>
      </w:r>
      <w:r>
        <w:rPr>
          <w:rFonts w:hint="default" w:ascii="Times New Roman" w:hAnsi="Times New Roman" w:eastAsia="宋体" w:cs="Times New Roman"/>
          <w:color w:val="FF0000"/>
          <w:highlight w:val="none"/>
        </w:rPr>
        <w:t>，故需重新报批项目环境影响评价文件。</w:t>
      </w:r>
    </w:p>
    <w:p w14:paraId="2638E264">
      <w:pPr>
        <w:pStyle w:val="69"/>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snapToGrid w:val="0"/>
          <w:color w:val="auto"/>
          <w:highlight w:val="none"/>
        </w:rPr>
        <w:t>（6）</w:t>
      </w:r>
      <w:r>
        <w:rPr>
          <w:rFonts w:hint="default" w:ascii="Times New Roman" w:hAnsi="Times New Roman" w:eastAsia="宋体" w:cs="Times New Roman"/>
          <w:color w:val="auto"/>
          <w:highlight w:val="none"/>
        </w:rPr>
        <w:t>总投资：</w:t>
      </w:r>
      <w:r>
        <w:rPr>
          <w:rFonts w:hint="eastAsia" w:ascii="Times New Roman" w:hAnsi="Times New Roman" w:cs="Times New Roman"/>
          <w:color w:val="auto"/>
          <w:highlight w:val="none"/>
          <w:lang w:val="en-US" w:eastAsia="zh-CN"/>
        </w:rPr>
        <w:t>2100</w:t>
      </w:r>
      <w:r>
        <w:rPr>
          <w:rFonts w:hint="default" w:ascii="Times New Roman" w:hAnsi="Times New Roman" w:eastAsia="宋体" w:cs="Times New Roman"/>
          <w:color w:val="auto"/>
          <w:highlight w:val="none"/>
        </w:rPr>
        <w:t>万元</w:t>
      </w:r>
    </w:p>
    <w:p w14:paraId="3528AE35">
      <w:pPr>
        <w:pStyle w:val="69"/>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snapToGrid w:val="0"/>
          <w:color w:val="auto"/>
          <w:highlight w:val="none"/>
        </w:rPr>
        <w:t>（7）</w:t>
      </w:r>
      <w:r>
        <w:rPr>
          <w:rFonts w:hint="default" w:ascii="Times New Roman" w:hAnsi="Times New Roman" w:eastAsia="宋体" w:cs="Times New Roman"/>
          <w:color w:val="auto"/>
          <w:highlight w:val="none"/>
        </w:rPr>
        <w:t>劳动定员：</w:t>
      </w:r>
      <w:r>
        <w:rPr>
          <w:rFonts w:hint="eastAsia" w:ascii="Times New Roman" w:hAnsi="Times New Roman" w:cs="Times New Roman"/>
          <w:color w:val="auto"/>
          <w:highlight w:val="none"/>
          <w:lang w:eastAsia="zh-CN"/>
        </w:rPr>
        <w:t>本项目</w:t>
      </w:r>
      <w:r>
        <w:rPr>
          <w:rFonts w:hint="eastAsia" w:ascii="Times New Roman" w:hAnsi="Times New Roman" w:cs="Times New Roman"/>
          <w:color w:val="auto"/>
          <w:highlight w:val="none"/>
          <w:lang w:val="en-US" w:eastAsia="zh-CN"/>
        </w:rPr>
        <w:t>现有员工367人，不新增员工。</w:t>
      </w:r>
    </w:p>
    <w:p w14:paraId="0D839EE4">
      <w:pPr>
        <w:ind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（8）运行时数：</w:t>
      </w:r>
      <w:r>
        <w:rPr>
          <w:rFonts w:hint="eastAsia" w:ascii="Times New Roman" w:hAnsi="Times New Roman" w:eastAsia="宋体" w:cs="Times New Roman"/>
          <w:color w:val="auto"/>
          <w:highlight w:val="none"/>
          <w:lang w:eastAsia="zh-CN"/>
        </w:rPr>
        <w:t>本项目</w:t>
      </w:r>
      <w:r>
        <w:rPr>
          <w:rFonts w:hint="eastAsia" w:ascii="Times New Roman" w:hAnsi="Times New Roman" w:eastAsia="宋体" w:cs="Times New Roman"/>
          <w:color w:val="auto"/>
          <w:highlight w:val="none"/>
          <w:lang w:val="en-US" w:eastAsia="zh-CN"/>
        </w:rPr>
        <w:t>年运行时间1083小时/年，日运行时间24小时/天（仅供采暖期进行调峰供热）。</w:t>
      </w:r>
    </w:p>
    <w:p w14:paraId="06CB022E">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203" w:name="_Toc15314"/>
      <w:bookmarkStart w:id="204" w:name="_Toc21498"/>
      <w:bookmarkStart w:id="205" w:name="_Toc14952"/>
      <w:r>
        <w:rPr>
          <w:rFonts w:hint="default" w:ascii="Times New Roman" w:hAnsi="Times New Roman" w:eastAsia="宋体" w:cs="Times New Roman"/>
          <w:color w:val="auto"/>
          <w:highlight w:val="none"/>
        </w:rPr>
        <w:t>本项目工程内容</w:t>
      </w:r>
      <w:bookmarkEnd w:id="203"/>
      <w:bookmarkEnd w:id="204"/>
      <w:bookmarkEnd w:id="205"/>
    </w:p>
    <w:p w14:paraId="07AF157B">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项目基本组成</w:t>
      </w:r>
    </w:p>
    <w:p w14:paraId="2EF51481">
      <w:pPr>
        <w:ind w:firstLine="48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本项目为佳木斯中恒热电有限公司新建、扩建锅炉房工程二期工程。</w:t>
      </w:r>
      <w:r>
        <w:rPr>
          <w:rFonts w:hint="default" w:ascii="Times New Roman" w:hAnsi="Times New Roman" w:eastAsia="宋体" w:cs="Times New Roman"/>
          <w:color w:val="auto"/>
          <w:highlight w:val="none"/>
        </w:rPr>
        <w:t>建设内容：</w:t>
      </w:r>
      <w:r>
        <w:rPr>
          <w:rFonts w:hint="eastAsia" w:ascii="Times New Roman" w:hAnsi="Times New Roman" w:eastAsia="宋体" w:cs="Times New Roman"/>
          <w:color w:val="auto"/>
          <w:highlight w:val="none"/>
          <w:lang w:eastAsia="zh-CN"/>
        </w:rPr>
        <w:t>在佳木斯中恒热电有限公司</w:t>
      </w:r>
      <w:r>
        <w:rPr>
          <w:rFonts w:hint="eastAsia" w:ascii="Times New Roman" w:hAnsi="Times New Roman" w:eastAsia="宋体" w:cs="Times New Roman"/>
          <w:color w:val="auto"/>
          <w:highlight w:val="none"/>
          <w:lang w:val="en-US" w:eastAsia="zh-CN"/>
        </w:rPr>
        <w:t>厂区西侧</w:t>
      </w:r>
      <w:r>
        <w:rPr>
          <w:rFonts w:hint="default"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eastAsia="zh-CN"/>
        </w:rPr>
        <w:t>建设</w:t>
      </w:r>
      <w:r>
        <w:rPr>
          <w:rFonts w:hint="eastAsia"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台燃煤</w:t>
      </w:r>
      <w:r>
        <w:rPr>
          <w:rFonts w:hint="eastAsia" w:ascii="Times New Roman" w:hAnsi="Times New Roman" w:eastAsia="宋体" w:cs="Times New Roman"/>
          <w:color w:val="auto"/>
          <w:highlight w:val="none"/>
          <w:lang w:val="en-US" w:eastAsia="zh-CN"/>
        </w:rPr>
        <w:t>58</w:t>
      </w:r>
      <w:r>
        <w:rPr>
          <w:rFonts w:hint="default" w:ascii="Times New Roman" w:hAnsi="Times New Roman" w:eastAsia="宋体" w:cs="Times New Roman"/>
          <w:color w:val="auto"/>
          <w:highlight w:val="none"/>
          <w:lang w:eastAsia="zh-CN"/>
        </w:rPr>
        <w:t>MW</w:t>
      </w:r>
      <w:r>
        <w:rPr>
          <w:rFonts w:hint="eastAsia" w:ascii="Times New Roman" w:hAnsi="Times New Roman" w:eastAsia="宋体" w:cs="Times New Roman"/>
          <w:color w:val="auto"/>
          <w:highlight w:val="none"/>
          <w:lang w:eastAsia="zh-CN"/>
        </w:rPr>
        <w:t>往复炉排热水锅炉（</w:t>
      </w:r>
      <w:r>
        <w:rPr>
          <w:rFonts w:hint="eastAsia" w:ascii="Times New Roman" w:hAnsi="Times New Roman" w:eastAsia="宋体" w:cs="Times New Roman"/>
          <w:color w:val="auto"/>
          <w:highlight w:val="none"/>
          <w:lang w:val="en-US" w:eastAsia="zh-CN"/>
        </w:rPr>
        <w:t>5#锅炉</w:t>
      </w:r>
      <w:r>
        <w:rPr>
          <w:rFonts w:hint="eastAsia" w:ascii="Times New Roman" w:hAnsi="Times New Roman" w:eastAsia="宋体" w:cs="Times New Roman"/>
          <w:color w:val="auto"/>
          <w:highlight w:val="none"/>
          <w:lang w:eastAsia="zh-CN"/>
        </w:rPr>
        <w:t>），采用</w:t>
      </w:r>
      <w:r>
        <w:rPr>
          <w:rFonts w:hint="eastAsia" w:ascii="Times New Roman" w:hAnsi="Times New Roman" w:eastAsia="宋体" w:cs="Times New Roman"/>
          <w:color w:val="auto"/>
          <w:highlight w:val="none"/>
          <w:lang w:val="en-US" w:eastAsia="zh-CN"/>
        </w:rPr>
        <w:t>炉内喷钙+氨法脱硫+SNCR+亚氯酸钠脱硝+袋式除尘器的烟气净化技术处理后通过一根70m高烟囱DA006排放</w:t>
      </w: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厂区内</w:t>
      </w:r>
      <w:r>
        <w:rPr>
          <w:rFonts w:hint="eastAsia" w:ascii="Times New Roman" w:hAnsi="Times New Roman" w:eastAsia="宋体" w:cs="Times New Roman"/>
          <w:color w:val="auto"/>
          <w:highlight w:val="none"/>
          <w:lang w:eastAsia="zh-CN"/>
        </w:rPr>
        <w:t>输水、供电、供热系统、原料运输贮煤场等</w:t>
      </w:r>
      <w:r>
        <w:rPr>
          <w:rFonts w:hint="default" w:ascii="Times New Roman" w:hAnsi="Times New Roman" w:eastAsia="宋体" w:cs="Times New Roman"/>
          <w:color w:val="auto"/>
          <w:highlight w:val="none"/>
        </w:rPr>
        <w:t>依托现有工程。</w:t>
      </w:r>
      <w:r>
        <w:rPr>
          <w:rFonts w:hint="eastAsia" w:ascii="Times New Roman" w:hAnsi="Times New Roman" w:eastAsia="宋体" w:cs="Times New Roman"/>
          <w:color w:val="auto"/>
          <w:highlight w:val="none"/>
          <w:lang w:val="en-US" w:eastAsia="zh-CN"/>
        </w:rPr>
        <w:t>DA006为厂区内现有烟囱。</w:t>
      </w:r>
    </w:p>
    <w:p w14:paraId="64882BFE">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eastAsia="zh-CN"/>
        </w:rPr>
        <w:t>改扩建</w:t>
      </w:r>
      <w:r>
        <w:rPr>
          <w:rFonts w:hint="default" w:ascii="Times New Roman" w:hAnsi="Times New Roman" w:eastAsia="宋体" w:cs="Times New Roman"/>
          <w:color w:val="auto"/>
          <w:highlight w:val="none"/>
        </w:rPr>
        <w:t>工程</w:t>
      </w:r>
      <w:r>
        <w:rPr>
          <w:rFonts w:hint="eastAsia" w:ascii="Times New Roman" w:hAnsi="Times New Roman" w:eastAsia="宋体" w:cs="Times New Roman"/>
          <w:color w:val="auto"/>
          <w:highlight w:val="none"/>
          <w:lang w:eastAsia="zh-CN"/>
        </w:rPr>
        <w:t>实际建设及锅炉、环保设施落实</w:t>
      </w:r>
      <w:r>
        <w:rPr>
          <w:rFonts w:hint="default" w:ascii="Times New Roman" w:hAnsi="Times New Roman" w:eastAsia="宋体" w:cs="Times New Roman"/>
          <w:color w:val="auto"/>
          <w:highlight w:val="none"/>
        </w:rPr>
        <w:t>情况</w:t>
      </w:r>
      <w:r>
        <w:rPr>
          <w:rFonts w:hint="eastAsia" w:ascii="Times New Roman" w:hAnsi="Times New Roman" w:eastAsia="宋体" w:cs="Times New Roman"/>
          <w:color w:val="auto"/>
          <w:highlight w:val="none"/>
          <w:lang w:eastAsia="zh-CN"/>
        </w:rPr>
        <w:t>，建设内容</w:t>
      </w:r>
      <w:r>
        <w:rPr>
          <w:rFonts w:hint="default" w:ascii="Times New Roman" w:hAnsi="Times New Roman" w:eastAsia="宋体" w:cs="Times New Roman"/>
          <w:color w:val="auto"/>
          <w:highlight w:val="none"/>
        </w:rPr>
        <w:t>见表3.</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w:t>
      </w:r>
    </w:p>
    <w:p w14:paraId="3E4BB91F">
      <w:pPr>
        <w:pStyle w:val="105"/>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表3.2-</w:t>
      </w:r>
      <w:r>
        <w:rPr>
          <w:rFonts w:hint="eastAsia" w:ascii="Times New Roman" w:hAnsi="Times New Roman" w:eastAsia="宋体" w:cs="Times New Roman"/>
          <w:color w:val="auto"/>
          <w:sz w:val="24"/>
          <w:szCs w:val="24"/>
          <w:highlight w:val="none"/>
          <w:lang w:val="en-US" w:eastAsia="zh-CN"/>
        </w:rPr>
        <w:t>1本项目</w:t>
      </w:r>
      <w:r>
        <w:rPr>
          <w:rFonts w:hint="default" w:ascii="Times New Roman" w:hAnsi="Times New Roman" w:eastAsia="宋体" w:cs="Times New Roman"/>
          <w:color w:val="auto"/>
          <w:sz w:val="24"/>
          <w:szCs w:val="24"/>
          <w:highlight w:val="none"/>
          <w:lang w:val="en-US" w:eastAsia="zh-CN"/>
        </w:rPr>
        <w:t>主要建设内容一览表</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56"/>
        <w:gridCol w:w="695"/>
        <w:gridCol w:w="745"/>
        <w:gridCol w:w="5620"/>
        <w:gridCol w:w="806"/>
      </w:tblGrid>
      <w:tr w14:paraId="52DC82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56" w:type="dxa"/>
            <w:tcBorders>
              <w:tl2br w:val="nil"/>
              <w:tr2bl w:val="nil"/>
            </w:tcBorders>
            <w:noWrap w:val="0"/>
            <w:vAlign w:val="center"/>
          </w:tcPr>
          <w:p w14:paraId="52DABFA4">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工程类别</w:t>
            </w:r>
          </w:p>
        </w:tc>
        <w:tc>
          <w:tcPr>
            <w:tcW w:w="1440" w:type="dxa"/>
            <w:gridSpan w:val="2"/>
            <w:tcBorders>
              <w:tl2br w:val="nil"/>
              <w:tr2bl w:val="nil"/>
            </w:tcBorders>
            <w:noWrap w:val="0"/>
            <w:vAlign w:val="center"/>
          </w:tcPr>
          <w:p w14:paraId="29444F44">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项目名称</w:t>
            </w:r>
          </w:p>
        </w:tc>
        <w:tc>
          <w:tcPr>
            <w:tcW w:w="5620" w:type="dxa"/>
            <w:tcBorders>
              <w:tl2br w:val="nil"/>
              <w:tr2bl w:val="nil"/>
            </w:tcBorders>
            <w:noWrap w:val="0"/>
            <w:vAlign w:val="center"/>
          </w:tcPr>
          <w:p w14:paraId="0BCF6CDD">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建设内容</w:t>
            </w:r>
          </w:p>
        </w:tc>
        <w:tc>
          <w:tcPr>
            <w:tcW w:w="806" w:type="dxa"/>
            <w:tcBorders>
              <w:tl2br w:val="nil"/>
              <w:tr2bl w:val="nil"/>
            </w:tcBorders>
            <w:noWrap w:val="0"/>
            <w:vAlign w:val="center"/>
          </w:tcPr>
          <w:p w14:paraId="3BEC6213">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备注</w:t>
            </w:r>
          </w:p>
        </w:tc>
      </w:tr>
      <w:tr w14:paraId="514A75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6" w:type="dxa"/>
            <w:tcBorders>
              <w:tl2br w:val="nil"/>
              <w:tr2bl w:val="nil"/>
            </w:tcBorders>
            <w:noWrap w:val="0"/>
            <w:vAlign w:val="center"/>
          </w:tcPr>
          <w:p w14:paraId="6B032813">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主体工程</w:t>
            </w:r>
          </w:p>
        </w:tc>
        <w:tc>
          <w:tcPr>
            <w:tcW w:w="1440" w:type="dxa"/>
            <w:gridSpan w:val="2"/>
            <w:tcBorders>
              <w:tl2br w:val="nil"/>
              <w:tr2bl w:val="nil"/>
            </w:tcBorders>
            <w:noWrap w:val="0"/>
            <w:vAlign w:val="center"/>
          </w:tcPr>
          <w:p w14:paraId="748678C0">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5#锅炉</w:t>
            </w:r>
          </w:p>
        </w:tc>
        <w:tc>
          <w:tcPr>
            <w:tcW w:w="5620" w:type="dxa"/>
            <w:tcBorders>
              <w:tl2br w:val="nil"/>
              <w:tr2bl w:val="nil"/>
            </w:tcBorders>
            <w:noWrap w:val="0"/>
            <w:vAlign w:val="center"/>
          </w:tcPr>
          <w:p w14:paraId="6E294384">
            <w:pPr>
              <w:pStyle w:val="63"/>
              <w:keepNext w:val="0"/>
              <w:keepLines w:val="0"/>
              <w:pageBreakBefore w:val="0"/>
              <w:widowControl w:val="0"/>
              <w:kinsoku/>
              <w:wordWrap/>
              <w:overflowPunct/>
              <w:topLinePunct w:val="0"/>
              <w:bidi w:val="0"/>
              <w:adjustRightInd/>
              <w:snapToGrid/>
              <w:ind w:firstLine="0" w:firstLineChars="0"/>
              <w:jc w:val="left"/>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1</w:t>
            </w:r>
            <w:r>
              <w:rPr>
                <w:rFonts w:hint="default" w:ascii="Times New Roman" w:hAnsi="Times New Roman" w:eastAsia="宋体" w:cs="Times New Roman"/>
                <w:color w:val="FF0000"/>
                <w:sz w:val="21"/>
                <w:szCs w:val="21"/>
                <w:highlight w:val="none"/>
                <w:lang w:val="en-US" w:eastAsia="zh-CN"/>
              </w:rPr>
              <w:t>台</w:t>
            </w:r>
            <w:r>
              <w:rPr>
                <w:rFonts w:hint="eastAsia" w:ascii="Times New Roman" w:hAnsi="Times New Roman" w:eastAsia="宋体" w:cs="Times New Roman"/>
                <w:color w:val="FF0000"/>
                <w:sz w:val="21"/>
                <w:szCs w:val="21"/>
                <w:highlight w:val="none"/>
                <w:lang w:val="en-US" w:eastAsia="zh-CN"/>
              </w:rPr>
              <w:t>58MW往复炉排热水锅炉</w:t>
            </w:r>
            <w:r>
              <w:rPr>
                <w:rFonts w:hint="default" w:ascii="Times New Roman" w:hAnsi="Times New Roman" w:eastAsia="宋体" w:cs="Times New Roman"/>
                <w:color w:val="FF0000"/>
                <w:sz w:val="21"/>
                <w:szCs w:val="21"/>
                <w:highlight w:val="none"/>
                <w:lang w:val="en-US" w:eastAsia="zh-CN"/>
              </w:rPr>
              <w:t>作为居民供热调峰热源，</w:t>
            </w:r>
            <w:r>
              <w:rPr>
                <w:rFonts w:hint="eastAsia" w:ascii="Times New Roman" w:hAnsi="Times New Roman" w:eastAsia="宋体" w:cs="Times New Roman"/>
                <w:color w:val="FF0000"/>
                <w:sz w:val="21"/>
                <w:szCs w:val="21"/>
                <w:highlight w:val="none"/>
                <w:lang w:val="en-US" w:eastAsia="zh-CN"/>
              </w:rPr>
              <w:t>锅炉型号</w:t>
            </w:r>
            <w:r>
              <w:rPr>
                <w:rFonts w:hint="default" w:ascii="Times New Roman" w:hAnsi="Times New Roman" w:eastAsia="宋体" w:cs="Times New Roman"/>
                <w:color w:val="FF0000"/>
                <w:sz w:val="21"/>
                <w:szCs w:val="21"/>
                <w:highlight w:val="none"/>
                <w:lang w:val="en-US" w:eastAsia="zh-CN"/>
              </w:rPr>
              <w:t>SHW58-1.60/130/70</w:t>
            </w:r>
            <w:r>
              <w:rPr>
                <w:rFonts w:hint="eastAsia" w:ascii="Times New Roman" w:hAnsi="Times New Roman" w:eastAsia="宋体" w:cs="Times New Roman"/>
                <w:color w:val="FF0000"/>
                <w:sz w:val="21"/>
                <w:szCs w:val="21"/>
                <w:highlight w:val="none"/>
                <w:lang w:val="en-US" w:eastAsia="zh-CN"/>
              </w:rPr>
              <w:t>，</w:t>
            </w:r>
            <w:r>
              <w:rPr>
                <w:rFonts w:hint="default" w:ascii="Times New Roman" w:hAnsi="Times New Roman" w:eastAsia="宋体" w:cs="Times New Roman"/>
                <w:color w:val="FF0000"/>
                <w:sz w:val="21"/>
                <w:szCs w:val="21"/>
                <w:highlight w:val="none"/>
                <w:lang w:val="en-US" w:eastAsia="zh-CN"/>
              </w:rPr>
              <w:t>配套脱硫除尘脱硝设备。</w:t>
            </w:r>
            <w:r>
              <w:rPr>
                <w:rFonts w:hint="eastAsia" w:ascii="Times New Roman" w:hAnsi="Times New Roman" w:eastAsia="宋体" w:cs="Times New Roman"/>
                <w:color w:val="FF0000"/>
                <w:sz w:val="21"/>
                <w:szCs w:val="21"/>
                <w:highlight w:val="none"/>
                <w:lang w:val="en-US" w:eastAsia="zh-CN"/>
              </w:rPr>
              <w:t>燃煤量约15616.86t/a</w:t>
            </w:r>
          </w:p>
        </w:tc>
        <w:tc>
          <w:tcPr>
            <w:tcW w:w="806" w:type="dxa"/>
            <w:tcBorders>
              <w:tl2br w:val="nil"/>
              <w:tr2bl w:val="nil"/>
            </w:tcBorders>
            <w:noWrap w:val="0"/>
            <w:vAlign w:val="center"/>
          </w:tcPr>
          <w:p w14:paraId="0DE85C40">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本项目二期</w:t>
            </w:r>
          </w:p>
        </w:tc>
      </w:tr>
      <w:tr w14:paraId="7D1164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6" w:type="dxa"/>
            <w:vMerge w:val="restart"/>
            <w:tcBorders>
              <w:tl2br w:val="nil"/>
              <w:tr2bl w:val="nil"/>
            </w:tcBorders>
            <w:noWrap w:val="0"/>
            <w:vAlign w:val="center"/>
          </w:tcPr>
          <w:p w14:paraId="175A774B">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辅助工程</w:t>
            </w:r>
          </w:p>
        </w:tc>
        <w:tc>
          <w:tcPr>
            <w:tcW w:w="1440" w:type="dxa"/>
            <w:gridSpan w:val="2"/>
            <w:tcBorders>
              <w:tl2br w:val="nil"/>
              <w:tr2bl w:val="nil"/>
            </w:tcBorders>
            <w:noWrap w:val="0"/>
            <w:vAlign w:val="center"/>
          </w:tcPr>
          <w:p w14:paraId="7FE100AF">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燃料供应系统</w:t>
            </w:r>
          </w:p>
        </w:tc>
        <w:tc>
          <w:tcPr>
            <w:tcW w:w="5620" w:type="dxa"/>
            <w:tcBorders>
              <w:tl2br w:val="nil"/>
              <w:tr2bl w:val="nil"/>
            </w:tcBorders>
            <w:noWrap w:val="0"/>
            <w:vAlign w:val="center"/>
          </w:tcPr>
          <w:p w14:paraId="1208EEB2">
            <w:pPr>
              <w:pStyle w:val="63"/>
              <w:keepNext w:val="0"/>
              <w:keepLines w:val="0"/>
              <w:pageBreakBefore w:val="0"/>
              <w:widowControl w:val="0"/>
              <w:kinsoku/>
              <w:wordWrap/>
              <w:overflowPunct/>
              <w:topLinePunct w:val="0"/>
              <w:bidi w:val="0"/>
              <w:adjustRightInd/>
              <w:snapToGrid/>
              <w:ind w:firstLine="0" w:firstLineChars="0"/>
              <w:jc w:val="left"/>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kern w:val="2"/>
                <w:sz w:val="21"/>
                <w:szCs w:val="21"/>
                <w:highlight w:val="none"/>
                <w:lang w:val="en-US" w:eastAsia="zh-CN" w:bidi="ar-SA"/>
              </w:rPr>
              <w:t>燃煤采用</w:t>
            </w:r>
            <w:r>
              <w:rPr>
                <w:rFonts w:hint="eastAsia" w:ascii="Times New Roman" w:hAnsi="Times New Roman" w:eastAsia="宋体" w:cs="Times New Roman"/>
                <w:color w:val="FF0000"/>
                <w:kern w:val="2"/>
                <w:sz w:val="21"/>
                <w:szCs w:val="21"/>
                <w:highlight w:val="none"/>
                <w:lang w:val="en-US" w:eastAsia="zh-CN" w:bidi="ar-SA"/>
              </w:rPr>
              <w:t>公路</w:t>
            </w:r>
            <w:r>
              <w:rPr>
                <w:rFonts w:hint="default" w:ascii="Times New Roman" w:hAnsi="Times New Roman" w:eastAsia="宋体" w:cs="Times New Roman"/>
                <w:color w:val="FF0000"/>
                <w:kern w:val="2"/>
                <w:sz w:val="21"/>
                <w:szCs w:val="21"/>
                <w:highlight w:val="none"/>
                <w:lang w:val="en-US" w:eastAsia="zh-CN" w:bidi="ar-SA"/>
              </w:rPr>
              <w:t>运输，</w:t>
            </w:r>
            <w:r>
              <w:rPr>
                <w:rFonts w:hint="eastAsia" w:ascii="Times New Roman" w:hAnsi="Times New Roman" w:eastAsia="宋体" w:cs="Times New Roman"/>
                <w:color w:val="FF0000"/>
                <w:kern w:val="2"/>
                <w:sz w:val="21"/>
                <w:szCs w:val="21"/>
                <w:highlight w:val="none"/>
                <w:lang w:val="en-US" w:eastAsia="zh-CN" w:bidi="ar-SA"/>
              </w:rPr>
              <w:t>从煤炭供应地出发通过火车运至建设单位，厂内设置铲车，</w:t>
            </w:r>
            <w:r>
              <w:rPr>
                <w:rFonts w:hint="default" w:ascii="Times New Roman" w:hAnsi="Times New Roman" w:eastAsia="宋体" w:cs="Times New Roman"/>
                <w:color w:val="FF0000"/>
                <w:kern w:val="2"/>
                <w:sz w:val="21"/>
                <w:szCs w:val="21"/>
                <w:highlight w:val="none"/>
                <w:lang w:val="en-US" w:eastAsia="zh-CN" w:bidi="ar-SA"/>
              </w:rPr>
              <w:t>厂区设贮煤场。</w:t>
            </w:r>
          </w:p>
        </w:tc>
        <w:tc>
          <w:tcPr>
            <w:tcW w:w="806" w:type="dxa"/>
            <w:tcBorders>
              <w:tl2br w:val="nil"/>
              <w:tr2bl w:val="nil"/>
            </w:tcBorders>
            <w:noWrap w:val="0"/>
            <w:vAlign w:val="center"/>
          </w:tcPr>
          <w:p w14:paraId="03C6320C">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依托</w:t>
            </w:r>
            <w:r>
              <w:rPr>
                <w:rFonts w:hint="eastAsia" w:ascii="Times New Roman" w:hAnsi="Times New Roman" w:eastAsia="宋体" w:cs="Times New Roman"/>
                <w:color w:val="FF0000"/>
                <w:sz w:val="21"/>
                <w:szCs w:val="21"/>
                <w:highlight w:val="none"/>
                <w:lang w:val="en-US" w:eastAsia="zh-CN"/>
              </w:rPr>
              <w:t>现有工程</w:t>
            </w:r>
          </w:p>
        </w:tc>
      </w:tr>
      <w:tr w14:paraId="5013B1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6" w:type="dxa"/>
            <w:vMerge w:val="continue"/>
            <w:tcBorders>
              <w:tl2br w:val="nil"/>
              <w:tr2bl w:val="nil"/>
            </w:tcBorders>
            <w:noWrap w:val="0"/>
            <w:vAlign w:val="center"/>
          </w:tcPr>
          <w:p w14:paraId="1B96C435">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1440" w:type="dxa"/>
            <w:gridSpan w:val="2"/>
            <w:tcBorders>
              <w:tl2br w:val="nil"/>
              <w:tr2bl w:val="nil"/>
            </w:tcBorders>
            <w:noWrap w:val="0"/>
            <w:vAlign w:val="center"/>
          </w:tcPr>
          <w:p w14:paraId="3F2FC327">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燃烧系统</w:t>
            </w:r>
          </w:p>
        </w:tc>
        <w:tc>
          <w:tcPr>
            <w:tcW w:w="5620" w:type="dxa"/>
            <w:tcBorders>
              <w:tl2br w:val="nil"/>
              <w:tr2bl w:val="nil"/>
            </w:tcBorders>
            <w:noWrap w:val="0"/>
            <w:vAlign w:val="center"/>
          </w:tcPr>
          <w:p w14:paraId="0D23B3DD">
            <w:pPr>
              <w:pStyle w:val="63"/>
              <w:keepNext w:val="0"/>
              <w:keepLines w:val="0"/>
              <w:pageBreakBefore w:val="0"/>
              <w:widowControl w:val="0"/>
              <w:kinsoku/>
              <w:wordWrap/>
              <w:overflowPunct/>
              <w:topLinePunct w:val="0"/>
              <w:bidi w:val="0"/>
              <w:adjustRightInd/>
              <w:snapToGrid/>
              <w:ind w:firstLine="0" w:firstLineChars="0"/>
              <w:jc w:val="left"/>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原煤经煤仓、煤斗闸门落入炉排上，运入锅炉炉膛。送风机安装在锅炉间底层后部，送风机取风自锅炉间室内及室外两处，采用变频风机进行调整锅炉的进风量，防止因取风而使锅炉间内温度过低。经送风机至锅炉。锅炉烟气均由尾部烟道排出，经除尘器除尘后，再由引风机抽出送入烟囱排出</w:t>
            </w:r>
            <w:r>
              <w:rPr>
                <w:rFonts w:hint="eastAsia" w:ascii="Times New Roman" w:hAnsi="Times New Roman" w:eastAsia="宋体" w:cs="Times New Roman"/>
                <w:color w:val="FF0000"/>
                <w:sz w:val="21"/>
                <w:szCs w:val="21"/>
                <w:highlight w:val="none"/>
                <w:lang w:val="en-US" w:eastAsia="zh-CN"/>
              </w:rPr>
              <w:t>。</w:t>
            </w:r>
          </w:p>
        </w:tc>
        <w:tc>
          <w:tcPr>
            <w:tcW w:w="806" w:type="dxa"/>
            <w:tcBorders>
              <w:tl2br w:val="nil"/>
              <w:tr2bl w:val="nil"/>
            </w:tcBorders>
            <w:noWrap w:val="0"/>
            <w:vAlign w:val="center"/>
          </w:tcPr>
          <w:p w14:paraId="27AEDD65">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本项目二期工程</w:t>
            </w:r>
          </w:p>
        </w:tc>
      </w:tr>
      <w:tr w14:paraId="57D768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6" w:type="dxa"/>
            <w:vMerge w:val="continue"/>
            <w:tcBorders>
              <w:tl2br w:val="nil"/>
              <w:tr2bl w:val="nil"/>
            </w:tcBorders>
            <w:noWrap w:val="0"/>
            <w:vAlign w:val="center"/>
          </w:tcPr>
          <w:p w14:paraId="38C29816">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1440" w:type="dxa"/>
            <w:gridSpan w:val="2"/>
            <w:tcBorders>
              <w:tl2br w:val="nil"/>
              <w:tr2bl w:val="nil"/>
            </w:tcBorders>
            <w:noWrap w:val="0"/>
            <w:vAlign w:val="center"/>
          </w:tcPr>
          <w:p w14:paraId="7C3CD1E4">
            <w:pPr>
              <w:pStyle w:val="72"/>
              <w:keepNext w:val="0"/>
              <w:keepLines w:val="0"/>
              <w:pageBreakBefore w:val="0"/>
              <w:widowControl w:val="0"/>
              <w:shd w:val="clear" w:color="auto" w:fill="auto"/>
              <w:kinsoku/>
              <w:wordWrap/>
              <w:overflowPunct/>
              <w:topLinePunct w:val="0"/>
              <w:bidi w:val="0"/>
              <w:adjustRightInd/>
              <w:snapToGrid/>
              <w:spacing w:after="0" w:line="240" w:lineRule="auto"/>
              <w:ind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cs="Times New Roman"/>
                <w:color w:val="FF0000"/>
                <w:sz w:val="21"/>
                <w:szCs w:val="21"/>
                <w:highlight w:val="none"/>
                <w:lang w:val="en-US" w:eastAsia="zh-CN"/>
              </w:rPr>
              <w:t>上煤</w:t>
            </w:r>
            <w:r>
              <w:rPr>
                <w:rFonts w:hint="default" w:ascii="Times New Roman" w:hAnsi="Times New Roman" w:eastAsia="宋体" w:cs="Times New Roman"/>
                <w:color w:val="FF0000"/>
                <w:sz w:val="21"/>
                <w:szCs w:val="21"/>
                <w:highlight w:val="none"/>
              </w:rPr>
              <w:t>系统</w:t>
            </w:r>
          </w:p>
        </w:tc>
        <w:tc>
          <w:tcPr>
            <w:tcW w:w="5620" w:type="dxa"/>
            <w:tcBorders>
              <w:tl2br w:val="nil"/>
              <w:tr2bl w:val="nil"/>
            </w:tcBorders>
            <w:noWrap w:val="0"/>
            <w:vAlign w:val="center"/>
          </w:tcPr>
          <w:p w14:paraId="06D02CC4">
            <w:pPr>
              <w:pStyle w:val="72"/>
              <w:keepNext w:val="0"/>
              <w:keepLines w:val="0"/>
              <w:pageBreakBefore w:val="0"/>
              <w:widowControl w:val="0"/>
              <w:shd w:val="clear" w:color="auto" w:fill="auto"/>
              <w:kinsoku/>
              <w:wordWrap/>
              <w:overflowPunct/>
              <w:topLinePunct w:val="0"/>
              <w:bidi w:val="0"/>
              <w:adjustRightInd/>
              <w:snapToGrid/>
              <w:spacing w:after="0" w:line="240" w:lineRule="auto"/>
              <w:ind w:firstLine="0" w:firstLineChars="0"/>
              <w:jc w:val="both"/>
              <w:textAlignment w:val="auto"/>
              <w:rPr>
                <w:rFonts w:hint="default" w:ascii="Times New Roman" w:hAnsi="Times New Roman" w:eastAsia="宋体" w:cs="Times New Roman"/>
                <w:color w:val="FF0000"/>
                <w:sz w:val="21"/>
                <w:szCs w:val="21"/>
                <w:highlight w:val="none"/>
                <w:lang w:val="zh-TW" w:eastAsia="zh-CN"/>
              </w:rPr>
            </w:pPr>
            <w:r>
              <w:rPr>
                <w:rFonts w:hint="default" w:ascii="Times New Roman" w:hAnsi="Times New Roman" w:eastAsia="宋体" w:cs="Times New Roman"/>
                <w:color w:val="FF0000"/>
                <w:sz w:val="21"/>
                <w:szCs w:val="21"/>
                <w:highlight w:val="none"/>
                <w:lang w:val="zh-TW" w:eastAsia="zh-TW"/>
              </w:rPr>
              <w:t>输煤系统采用单路胶带运输机。地下受煤煤斗，其下设置给煤机</w:t>
            </w:r>
            <w:r>
              <w:rPr>
                <w:rFonts w:hint="default" w:ascii="Times New Roman" w:hAnsi="Times New Roman" w:eastAsia="宋体" w:cs="Times New Roman"/>
                <w:color w:val="FF0000"/>
                <w:sz w:val="21"/>
                <w:szCs w:val="21"/>
                <w:highlight w:val="none"/>
                <w:lang w:val="zh-TW" w:eastAsia="zh-CN"/>
              </w:rPr>
              <w:t>（</w:t>
            </w:r>
            <w:r>
              <w:rPr>
                <w:rFonts w:hint="default" w:ascii="Times New Roman" w:hAnsi="Times New Roman" w:eastAsia="宋体" w:cs="Times New Roman"/>
                <w:color w:val="FF0000"/>
                <w:sz w:val="21"/>
                <w:szCs w:val="21"/>
                <w:highlight w:val="none"/>
                <w:lang w:val="en-US" w:eastAsia="zh-CN"/>
              </w:rPr>
              <w:t>1台，GMWF-1型，入粒粒度≤200mm， 出力150t/h，功率 4.0kW</w:t>
            </w:r>
            <w:r>
              <w:rPr>
                <w:rFonts w:hint="default" w:ascii="Times New Roman" w:hAnsi="Times New Roman" w:eastAsia="宋体" w:cs="Times New Roman"/>
                <w:color w:val="FF0000"/>
                <w:sz w:val="21"/>
                <w:szCs w:val="21"/>
                <w:highlight w:val="none"/>
                <w:lang w:val="zh-TW" w:eastAsia="zh-CN"/>
              </w:rPr>
              <w:t>）</w:t>
            </w:r>
            <w:r>
              <w:rPr>
                <w:rFonts w:hint="default" w:ascii="Times New Roman" w:hAnsi="Times New Roman" w:eastAsia="宋体" w:cs="Times New Roman"/>
                <w:color w:val="FF0000"/>
                <w:sz w:val="21"/>
                <w:szCs w:val="21"/>
                <w:highlight w:val="none"/>
                <w:lang w:val="zh-TW" w:eastAsia="zh-TW"/>
              </w:rPr>
              <w:t>，燃煤通过给煤机送入胶带机，进入运煤系统</w:t>
            </w:r>
            <w:r>
              <w:rPr>
                <w:rFonts w:hint="default" w:ascii="Times New Roman" w:hAnsi="Times New Roman" w:eastAsia="宋体" w:cs="Times New Roman"/>
                <w:color w:val="FF0000"/>
                <w:sz w:val="21"/>
                <w:szCs w:val="21"/>
                <w:highlight w:val="none"/>
                <w:lang w:val="zh-TW" w:eastAsia="zh-CN"/>
              </w:rPr>
              <w:t>。</w:t>
            </w:r>
          </w:p>
          <w:p w14:paraId="2BF32A5B">
            <w:pPr>
              <w:pStyle w:val="72"/>
              <w:keepNext w:val="0"/>
              <w:keepLines w:val="0"/>
              <w:pageBreakBefore w:val="0"/>
              <w:widowControl w:val="0"/>
              <w:shd w:val="clear" w:color="auto" w:fill="auto"/>
              <w:kinsoku/>
              <w:wordWrap/>
              <w:overflowPunct/>
              <w:topLinePunct w:val="0"/>
              <w:bidi w:val="0"/>
              <w:adjustRightInd/>
              <w:snapToGrid/>
              <w:spacing w:after="0" w:line="240" w:lineRule="auto"/>
              <w:ind w:firstLine="0" w:firstLineChars="0"/>
              <w:jc w:val="both"/>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zh-TW" w:eastAsia="zh-TW"/>
              </w:rPr>
              <w:t>本项目上煤系统由1段、</w:t>
            </w:r>
            <w:r>
              <w:rPr>
                <w:rFonts w:hint="default" w:ascii="Times New Roman" w:hAnsi="Times New Roman" w:eastAsia="宋体" w:cs="Times New Roman"/>
                <w:color w:val="FF0000"/>
                <w:sz w:val="21"/>
                <w:szCs w:val="21"/>
                <w:highlight w:val="none"/>
                <w:lang w:val="en-US" w:eastAsia="zh-CN"/>
              </w:rPr>
              <w:t>2</w:t>
            </w:r>
            <w:r>
              <w:rPr>
                <w:rFonts w:hint="default" w:ascii="Times New Roman" w:hAnsi="Times New Roman" w:eastAsia="宋体" w:cs="Times New Roman"/>
                <w:color w:val="FF0000"/>
                <w:sz w:val="21"/>
                <w:szCs w:val="21"/>
                <w:highlight w:val="none"/>
                <w:lang w:val="zh-TW" w:eastAsia="zh-TW"/>
              </w:rPr>
              <w:t>段</w:t>
            </w:r>
            <w:r>
              <w:rPr>
                <w:rFonts w:hint="default" w:ascii="Times New Roman" w:hAnsi="Times New Roman" w:eastAsia="宋体" w:cs="Times New Roman"/>
                <w:color w:val="FF0000"/>
                <w:sz w:val="21"/>
                <w:szCs w:val="21"/>
                <w:highlight w:val="none"/>
                <w:lang w:val="zh-TW" w:eastAsia="zh-CN"/>
              </w:rPr>
              <w:t>、</w:t>
            </w:r>
            <w:r>
              <w:rPr>
                <w:rFonts w:hint="default" w:ascii="Times New Roman" w:hAnsi="Times New Roman" w:eastAsia="宋体" w:cs="Times New Roman"/>
                <w:color w:val="FF0000"/>
                <w:sz w:val="21"/>
                <w:szCs w:val="21"/>
                <w:highlight w:val="none"/>
                <w:lang w:val="en-US" w:eastAsia="zh-CN"/>
              </w:rPr>
              <w:t>3段</w:t>
            </w:r>
            <w:r>
              <w:rPr>
                <w:rFonts w:hint="default" w:ascii="Times New Roman" w:hAnsi="Times New Roman" w:eastAsia="宋体" w:cs="Times New Roman"/>
                <w:color w:val="FF0000"/>
                <w:sz w:val="21"/>
                <w:szCs w:val="21"/>
                <w:highlight w:val="none"/>
                <w:lang w:val="zh-TW" w:eastAsia="zh-TW"/>
              </w:rPr>
              <w:t>槽型皮带输送机（B=</w:t>
            </w:r>
            <w:r>
              <w:rPr>
                <w:rFonts w:hint="default" w:ascii="Times New Roman" w:hAnsi="Times New Roman" w:eastAsia="宋体" w:cs="Times New Roman"/>
                <w:color w:val="FF0000"/>
                <w:sz w:val="21"/>
                <w:szCs w:val="21"/>
                <w:highlight w:val="none"/>
                <w:lang w:val="en-US" w:eastAsia="zh-CN"/>
              </w:rPr>
              <w:t>65</w:t>
            </w:r>
            <w:r>
              <w:rPr>
                <w:rFonts w:hint="default" w:ascii="Times New Roman" w:hAnsi="Times New Roman" w:eastAsia="宋体" w:cs="Times New Roman"/>
                <w:color w:val="FF0000"/>
                <w:sz w:val="21"/>
                <w:szCs w:val="21"/>
                <w:highlight w:val="none"/>
                <w:lang w:val="zh-TW" w:eastAsia="zh-TW"/>
              </w:rPr>
              <w:t>0mm），</w:t>
            </w:r>
            <w:r>
              <w:rPr>
                <w:rFonts w:hint="default" w:ascii="Times New Roman" w:hAnsi="Times New Roman" w:eastAsia="宋体" w:cs="Times New Roman"/>
                <w:color w:val="FF0000"/>
                <w:sz w:val="21"/>
                <w:szCs w:val="21"/>
                <w:highlight w:val="none"/>
                <w:lang w:val="en-US" w:eastAsia="zh-CN"/>
              </w:rPr>
              <w:t>1段倾斜皮带式输送机，</w:t>
            </w:r>
            <w:r>
              <w:rPr>
                <w:rFonts w:hint="default" w:ascii="Times New Roman" w:hAnsi="Times New Roman" w:eastAsia="宋体" w:cs="Times New Roman"/>
                <w:color w:val="FF0000"/>
                <w:sz w:val="21"/>
                <w:szCs w:val="21"/>
                <w:highlight w:val="none"/>
                <w:lang w:val="zh-TW" w:eastAsia="zh-TW"/>
              </w:rPr>
              <w:t>2段</w:t>
            </w:r>
            <w:r>
              <w:rPr>
                <w:rFonts w:hint="default" w:ascii="Times New Roman" w:hAnsi="Times New Roman" w:eastAsia="宋体" w:cs="Times New Roman"/>
                <w:color w:val="FF0000"/>
                <w:sz w:val="21"/>
                <w:szCs w:val="21"/>
                <w:highlight w:val="none"/>
                <w:lang w:val="en-US" w:eastAsia="zh-CN"/>
              </w:rPr>
              <w:t>倾斜皮带式输送机</w:t>
            </w:r>
            <w:r>
              <w:rPr>
                <w:rFonts w:hint="default" w:ascii="Times New Roman" w:hAnsi="Times New Roman" w:eastAsia="宋体" w:cs="Times New Roman"/>
                <w:color w:val="FF0000"/>
                <w:sz w:val="21"/>
                <w:szCs w:val="21"/>
                <w:highlight w:val="none"/>
                <w:lang w:val="zh-TW" w:eastAsia="zh-TW"/>
              </w:rPr>
              <w:t>（B=</w:t>
            </w:r>
            <w:r>
              <w:rPr>
                <w:rFonts w:hint="default" w:ascii="Times New Roman" w:hAnsi="Times New Roman" w:eastAsia="宋体" w:cs="Times New Roman"/>
                <w:color w:val="FF0000"/>
                <w:sz w:val="21"/>
                <w:szCs w:val="21"/>
                <w:highlight w:val="none"/>
                <w:lang w:val="en-US" w:eastAsia="zh-CN"/>
              </w:rPr>
              <w:t>65</w:t>
            </w:r>
            <w:r>
              <w:rPr>
                <w:rFonts w:hint="default" w:ascii="Times New Roman" w:hAnsi="Times New Roman" w:eastAsia="宋体" w:cs="Times New Roman"/>
                <w:color w:val="FF0000"/>
                <w:sz w:val="21"/>
                <w:szCs w:val="21"/>
                <w:highlight w:val="none"/>
                <w:lang w:val="zh-TW" w:eastAsia="zh-TW"/>
              </w:rPr>
              <w:t>0mm），3段</w:t>
            </w:r>
            <w:r>
              <w:rPr>
                <w:rFonts w:hint="default" w:ascii="Times New Roman" w:hAnsi="Times New Roman" w:eastAsia="宋体" w:cs="Times New Roman"/>
                <w:color w:val="FF0000"/>
                <w:sz w:val="21"/>
                <w:szCs w:val="21"/>
                <w:highlight w:val="none"/>
                <w:lang w:val="en-US" w:eastAsia="zh-CN"/>
              </w:rPr>
              <w:t>水平皮带式输送机</w:t>
            </w:r>
            <w:r>
              <w:rPr>
                <w:rFonts w:hint="default" w:ascii="Times New Roman" w:hAnsi="Times New Roman" w:eastAsia="宋体" w:cs="Times New Roman"/>
                <w:color w:val="FF0000"/>
                <w:sz w:val="21"/>
                <w:szCs w:val="21"/>
                <w:highlight w:val="none"/>
                <w:lang w:val="zh-TW" w:eastAsia="zh-TW"/>
              </w:rPr>
              <w:t>及给料、破碎、筛分等设备组成。设计输煤量</w:t>
            </w:r>
            <w:r>
              <w:rPr>
                <w:rFonts w:hint="default" w:ascii="Times New Roman" w:hAnsi="Times New Roman" w:eastAsia="宋体" w:cs="Times New Roman"/>
                <w:color w:val="FF0000"/>
                <w:sz w:val="21"/>
                <w:szCs w:val="21"/>
                <w:highlight w:val="none"/>
                <w:lang w:val="en-US" w:eastAsia="zh-CN"/>
              </w:rPr>
              <w:t>150</w:t>
            </w:r>
            <w:r>
              <w:rPr>
                <w:rFonts w:hint="default" w:ascii="Times New Roman" w:hAnsi="Times New Roman" w:eastAsia="宋体" w:cs="Times New Roman"/>
                <w:color w:val="FF0000"/>
                <w:sz w:val="21"/>
                <w:szCs w:val="21"/>
                <w:highlight w:val="none"/>
                <w:lang w:val="zh-TW" w:eastAsia="zh-TW"/>
              </w:rPr>
              <w:t>t/h。燃煤由铲车由煤场卸至受煤坑，经原煤筛初次筛分后由往复式给料机拨到1段槽型皮带输送机送至破碎间；破碎后的煤经2段</w:t>
            </w:r>
            <w:r>
              <w:rPr>
                <w:rFonts w:hint="default" w:ascii="Times New Roman" w:hAnsi="Times New Roman" w:eastAsia="宋体" w:cs="Times New Roman"/>
                <w:color w:val="FF0000"/>
                <w:sz w:val="21"/>
                <w:szCs w:val="21"/>
                <w:highlight w:val="none"/>
                <w:lang w:val="en-US" w:eastAsia="zh-CN"/>
              </w:rPr>
              <w:t>倾斜</w:t>
            </w:r>
            <w:r>
              <w:rPr>
                <w:rFonts w:hint="default" w:ascii="Times New Roman" w:hAnsi="Times New Roman" w:eastAsia="宋体" w:cs="Times New Roman"/>
                <w:color w:val="FF0000"/>
                <w:sz w:val="21"/>
                <w:szCs w:val="21"/>
                <w:highlight w:val="none"/>
                <w:lang w:val="zh-TW" w:eastAsia="zh-TW"/>
              </w:rPr>
              <w:t>皮带输送机称重后送至主厂房</w:t>
            </w:r>
            <w:r>
              <w:rPr>
                <w:rFonts w:hint="default" w:ascii="Times New Roman" w:hAnsi="Times New Roman" w:eastAsia="宋体" w:cs="Times New Roman"/>
                <w:color w:val="FF0000"/>
                <w:sz w:val="21"/>
                <w:szCs w:val="21"/>
                <w:highlight w:val="none"/>
                <w:lang w:val="en-US" w:eastAsia="zh-CN"/>
              </w:rPr>
              <w:t>3</w:t>
            </w:r>
            <w:r>
              <w:rPr>
                <w:rFonts w:hint="default" w:ascii="Times New Roman" w:hAnsi="Times New Roman" w:eastAsia="宋体" w:cs="Times New Roman"/>
                <w:color w:val="FF0000"/>
                <w:sz w:val="21"/>
                <w:szCs w:val="21"/>
                <w:highlight w:val="none"/>
                <w:lang w:val="zh-TW" w:eastAsia="zh-TW"/>
              </w:rPr>
              <w:t>段槽型皮带输送机上，经犁煤器分别配入锅炉的煤仓内，碎煤机室为现浇钢筋混凝土框架结构，砖墙围护。碎煤机室密闭，选用</w:t>
            </w:r>
            <w:r>
              <w:rPr>
                <w:rFonts w:hint="default" w:ascii="Times New Roman" w:hAnsi="Times New Roman" w:eastAsia="宋体" w:cs="Times New Roman"/>
                <w:color w:val="FF0000"/>
                <w:sz w:val="21"/>
                <w:szCs w:val="21"/>
                <w:highlight w:val="none"/>
                <w:lang w:val="en-US" w:eastAsia="zh-CN"/>
              </w:rPr>
              <w:t>1</w:t>
            </w:r>
            <w:r>
              <w:rPr>
                <w:rFonts w:hint="default" w:ascii="Times New Roman" w:hAnsi="Times New Roman" w:eastAsia="宋体" w:cs="Times New Roman"/>
                <w:color w:val="FF0000"/>
                <w:sz w:val="21"/>
                <w:szCs w:val="21"/>
                <w:highlight w:val="none"/>
                <w:lang w:val="zh-TW" w:eastAsia="zh-TW"/>
              </w:rPr>
              <w:t>台环锤式破碎机</w:t>
            </w:r>
            <w:r>
              <w:rPr>
                <w:rFonts w:hint="default" w:ascii="Times New Roman" w:hAnsi="Times New Roman" w:eastAsia="宋体" w:cs="Times New Roman"/>
                <w:color w:val="FF0000"/>
                <w:sz w:val="21"/>
                <w:szCs w:val="21"/>
                <w:highlight w:val="none"/>
                <w:lang w:val="zh-TW" w:eastAsia="zh-CN"/>
              </w:rPr>
              <w:t>（Y2-280M-8型，入粒粒度≤200mm，出料粒度≤</w:t>
            </w:r>
            <w:r>
              <w:rPr>
                <w:rFonts w:hint="default" w:ascii="Times New Roman" w:hAnsi="Times New Roman" w:eastAsia="宋体" w:cs="Times New Roman"/>
                <w:color w:val="FF0000"/>
                <w:sz w:val="21"/>
                <w:szCs w:val="21"/>
                <w:highlight w:val="none"/>
                <w:lang w:val="en-US" w:eastAsia="zh-CN"/>
              </w:rPr>
              <w:t>50</w:t>
            </w:r>
            <w:r>
              <w:rPr>
                <w:rFonts w:hint="default" w:ascii="Times New Roman" w:hAnsi="Times New Roman" w:eastAsia="宋体" w:cs="Times New Roman"/>
                <w:color w:val="FF0000"/>
                <w:sz w:val="21"/>
                <w:szCs w:val="21"/>
                <w:highlight w:val="none"/>
                <w:lang w:val="zh-TW" w:eastAsia="zh-CN"/>
              </w:rPr>
              <w:t>mm，出力1</w:t>
            </w:r>
            <w:r>
              <w:rPr>
                <w:rFonts w:hint="default" w:ascii="Times New Roman" w:hAnsi="Times New Roman" w:eastAsia="宋体" w:cs="Times New Roman"/>
                <w:color w:val="FF0000"/>
                <w:sz w:val="21"/>
                <w:szCs w:val="21"/>
                <w:highlight w:val="none"/>
                <w:lang w:val="en-US" w:eastAsia="zh-CN"/>
              </w:rPr>
              <w:t>00</w:t>
            </w:r>
            <w:r>
              <w:rPr>
                <w:rFonts w:hint="default" w:ascii="Times New Roman" w:hAnsi="Times New Roman" w:eastAsia="宋体" w:cs="Times New Roman"/>
                <w:color w:val="FF0000"/>
                <w:sz w:val="21"/>
                <w:szCs w:val="21"/>
                <w:highlight w:val="none"/>
                <w:lang w:val="zh-TW" w:eastAsia="zh-CN"/>
              </w:rPr>
              <w:t xml:space="preserve">t/h，功率 </w:t>
            </w:r>
            <w:r>
              <w:rPr>
                <w:rFonts w:hint="default" w:ascii="Times New Roman" w:hAnsi="Times New Roman" w:eastAsia="宋体" w:cs="Times New Roman"/>
                <w:color w:val="FF0000"/>
                <w:sz w:val="21"/>
                <w:szCs w:val="21"/>
                <w:highlight w:val="none"/>
                <w:lang w:val="en-US" w:eastAsia="zh-CN"/>
              </w:rPr>
              <w:t>45</w:t>
            </w:r>
            <w:r>
              <w:rPr>
                <w:rFonts w:hint="default" w:ascii="Times New Roman" w:hAnsi="Times New Roman" w:eastAsia="宋体" w:cs="Times New Roman"/>
                <w:color w:val="FF0000"/>
                <w:sz w:val="21"/>
                <w:szCs w:val="21"/>
                <w:highlight w:val="none"/>
                <w:lang w:val="zh-TW" w:eastAsia="zh-CN"/>
              </w:rPr>
              <w:t>kW）</w:t>
            </w:r>
            <w:r>
              <w:rPr>
                <w:rFonts w:hint="default" w:ascii="Times New Roman" w:hAnsi="Times New Roman" w:eastAsia="宋体" w:cs="Times New Roman"/>
                <w:color w:val="FF0000"/>
                <w:sz w:val="21"/>
                <w:szCs w:val="21"/>
                <w:highlight w:val="none"/>
                <w:lang w:val="zh-TW" w:eastAsia="zh-TW"/>
              </w:rPr>
              <w:t>。在破碎机前1段槽型皮带输送机头部设有一台RCDB-6.5型电磁除铁器。选用一台BMP650型电子皮带秤，装于水平胶带输送机中间部位</w:t>
            </w:r>
            <w:r>
              <w:rPr>
                <w:rFonts w:hint="default" w:ascii="Times New Roman" w:hAnsi="Times New Roman" w:eastAsia="宋体" w:cs="Times New Roman"/>
                <w:color w:val="FF0000"/>
                <w:sz w:val="21"/>
                <w:szCs w:val="21"/>
                <w:highlight w:val="none"/>
              </w:rPr>
              <w:t>。</w:t>
            </w:r>
          </w:p>
        </w:tc>
        <w:tc>
          <w:tcPr>
            <w:tcW w:w="806" w:type="dxa"/>
            <w:tcBorders>
              <w:tl2br w:val="nil"/>
              <w:tr2bl w:val="nil"/>
            </w:tcBorders>
            <w:noWrap w:val="0"/>
            <w:vAlign w:val="center"/>
          </w:tcPr>
          <w:p w14:paraId="3B9BDE7E">
            <w:pPr>
              <w:pStyle w:val="63"/>
              <w:keepNext w:val="0"/>
              <w:keepLines w:val="0"/>
              <w:pageBreakBefore w:val="0"/>
              <w:widowControl w:val="0"/>
              <w:kinsoku/>
              <w:wordWrap/>
              <w:overflowPunct/>
              <w:topLinePunct w:val="0"/>
              <w:bidi w:val="0"/>
              <w:adjustRightInd/>
              <w:snapToGrid/>
              <w:jc w:val="center"/>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本项目二期</w:t>
            </w:r>
          </w:p>
        </w:tc>
      </w:tr>
      <w:tr w14:paraId="20F949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6" w:type="dxa"/>
            <w:vMerge w:val="continue"/>
            <w:tcBorders>
              <w:tl2br w:val="nil"/>
              <w:tr2bl w:val="nil"/>
            </w:tcBorders>
            <w:noWrap w:val="0"/>
            <w:vAlign w:val="center"/>
          </w:tcPr>
          <w:p w14:paraId="47E97F99">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1440" w:type="dxa"/>
            <w:gridSpan w:val="2"/>
            <w:tcBorders>
              <w:tl2br w:val="nil"/>
              <w:tr2bl w:val="nil"/>
            </w:tcBorders>
            <w:noWrap w:val="0"/>
            <w:vAlign w:val="center"/>
          </w:tcPr>
          <w:p w14:paraId="3488D7E8">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输煤栈桥</w:t>
            </w:r>
          </w:p>
        </w:tc>
        <w:tc>
          <w:tcPr>
            <w:tcW w:w="5620" w:type="dxa"/>
            <w:tcBorders>
              <w:tl2br w:val="nil"/>
              <w:tr2bl w:val="nil"/>
            </w:tcBorders>
            <w:noWrap w:val="0"/>
            <w:vAlign w:val="center"/>
          </w:tcPr>
          <w:p w14:paraId="7C508E04">
            <w:pPr>
              <w:pStyle w:val="63"/>
              <w:keepNext w:val="0"/>
              <w:keepLines w:val="0"/>
              <w:pageBreakBefore w:val="0"/>
              <w:widowControl w:val="0"/>
              <w:kinsoku/>
              <w:wordWrap/>
              <w:overflowPunct/>
              <w:topLinePunct w:val="0"/>
              <w:bidi w:val="0"/>
              <w:adjustRightInd/>
              <w:snapToGrid/>
              <w:ind w:firstLine="0" w:firstLineChars="0"/>
              <w:jc w:val="left"/>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输煤栈桥采用全封闭布置，岩棉夹</w:t>
            </w:r>
            <w:r>
              <w:rPr>
                <w:rFonts w:hint="eastAsia" w:ascii="Times New Roman" w:hAnsi="Times New Roman" w:eastAsia="宋体" w:cs="Times New Roman"/>
                <w:color w:val="FF0000"/>
                <w:sz w:val="21"/>
                <w:szCs w:val="21"/>
                <w:highlight w:val="none"/>
                <w:lang w:val="en-US" w:eastAsia="zh-CN"/>
              </w:rPr>
              <w:t>芯</w:t>
            </w:r>
            <w:r>
              <w:rPr>
                <w:rFonts w:hint="default" w:ascii="Times New Roman" w:hAnsi="Times New Roman" w:eastAsia="宋体" w:cs="Times New Roman"/>
                <w:color w:val="FF0000"/>
                <w:sz w:val="21"/>
                <w:szCs w:val="21"/>
                <w:highlight w:val="none"/>
                <w:lang w:val="en-US" w:eastAsia="zh-CN"/>
              </w:rPr>
              <w:t>复合彩钢板围护，窗采用塑钢窗</w:t>
            </w:r>
          </w:p>
        </w:tc>
        <w:tc>
          <w:tcPr>
            <w:tcW w:w="806" w:type="dxa"/>
            <w:tcBorders>
              <w:tl2br w:val="nil"/>
              <w:tr2bl w:val="nil"/>
            </w:tcBorders>
            <w:noWrap w:val="0"/>
            <w:vAlign w:val="center"/>
          </w:tcPr>
          <w:p w14:paraId="015F57A8">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本项目二期</w:t>
            </w:r>
          </w:p>
        </w:tc>
      </w:tr>
      <w:tr w14:paraId="24DD6B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6" w:type="dxa"/>
            <w:vMerge w:val="continue"/>
            <w:tcBorders>
              <w:tl2br w:val="nil"/>
              <w:tr2bl w:val="nil"/>
            </w:tcBorders>
            <w:noWrap w:val="0"/>
            <w:vAlign w:val="center"/>
          </w:tcPr>
          <w:p w14:paraId="6303B044">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1440" w:type="dxa"/>
            <w:gridSpan w:val="2"/>
            <w:tcBorders>
              <w:tl2br w:val="nil"/>
              <w:tr2bl w:val="nil"/>
            </w:tcBorders>
            <w:noWrap w:val="0"/>
            <w:vAlign w:val="center"/>
          </w:tcPr>
          <w:p w14:paraId="766C42BD">
            <w:pPr>
              <w:pStyle w:val="72"/>
              <w:keepNext w:val="0"/>
              <w:keepLines w:val="0"/>
              <w:pageBreakBefore w:val="0"/>
              <w:widowControl w:val="0"/>
              <w:shd w:val="clear" w:color="auto" w:fill="auto"/>
              <w:kinsoku/>
              <w:wordWrap/>
              <w:overflowPunct/>
              <w:topLinePunct w:val="0"/>
              <w:bidi w:val="0"/>
              <w:adjustRightInd/>
              <w:snapToGrid/>
              <w:spacing w:after="0" w:line="240" w:lineRule="auto"/>
              <w:ind w:firstLine="0" w:firstLineChars="0"/>
              <w:jc w:val="center"/>
              <w:textAlignment w:val="auto"/>
              <w:rPr>
                <w:rFonts w:hint="default" w:ascii="Times New Roman" w:hAnsi="Times New Roman" w:eastAsia="宋体" w:cs="Times New Roman"/>
                <w:color w:val="FF0000"/>
                <w:sz w:val="21"/>
                <w:szCs w:val="21"/>
                <w:highlight w:val="none"/>
                <w:lang w:val="en-US" w:eastAsia="zh-CN" w:bidi="zh-TW"/>
              </w:rPr>
            </w:pPr>
            <w:r>
              <w:rPr>
                <w:rFonts w:hint="default" w:ascii="Times New Roman" w:hAnsi="Times New Roman" w:eastAsia="宋体" w:cs="Times New Roman"/>
                <w:color w:val="FF0000"/>
                <w:sz w:val="21"/>
                <w:szCs w:val="21"/>
                <w:highlight w:val="none"/>
              </w:rPr>
              <w:t>热力系统</w:t>
            </w:r>
          </w:p>
        </w:tc>
        <w:tc>
          <w:tcPr>
            <w:tcW w:w="5620" w:type="dxa"/>
            <w:tcBorders>
              <w:tl2br w:val="nil"/>
              <w:tr2bl w:val="nil"/>
            </w:tcBorders>
            <w:noWrap w:val="0"/>
            <w:vAlign w:val="center"/>
          </w:tcPr>
          <w:p w14:paraId="789C7C81">
            <w:pPr>
              <w:pStyle w:val="72"/>
              <w:keepNext w:val="0"/>
              <w:keepLines w:val="0"/>
              <w:pageBreakBefore w:val="0"/>
              <w:widowControl w:val="0"/>
              <w:shd w:val="clear" w:color="auto" w:fill="auto"/>
              <w:kinsoku/>
              <w:wordWrap/>
              <w:overflowPunct/>
              <w:topLinePunct w:val="0"/>
              <w:bidi w:val="0"/>
              <w:adjustRightInd/>
              <w:snapToGrid/>
              <w:spacing w:after="0" w:line="240" w:lineRule="auto"/>
              <w:ind w:firstLine="0" w:firstLineChars="0"/>
              <w:jc w:val="both"/>
              <w:textAlignment w:val="auto"/>
              <w:rPr>
                <w:rFonts w:hint="default" w:ascii="Times New Roman" w:hAnsi="Times New Roman" w:eastAsia="宋体" w:cs="Times New Roman"/>
                <w:color w:val="FF0000"/>
                <w:sz w:val="21"/>
                <w:szCs w:val="21"/>
                <w:highlight w:val="none"/>
                <w:lang w:val="en-US" w:eastAsia="zh-CN" w:bidi="zh-TW"/>
              </w:rPr>
            </w:pPr>
            <w:r>
              <w:rPr>
                <w:rFonts w:hint="default" w:ascii="Times New Roman" w:hAnsi="Times New Roman" w:eastAsia="宋体" w:cs="Times New Roman"/>
                <w:color w:val="FF0000"/>
                <w:sz w:val="21"/>
                <w:szCs w:val="21"/>
                <w:highlight w:val="none"/>
              </w:rPr>
              <w:t>热源以热水为热媒，一级网设计供回水温度为130/70℃，供/回水温差60℃。新建锅炉房厂区供热管道（DN</w:t>
            </w:r>
            <w:r>
              <w:rPr>
                <w:rFonts w:hint="eastAsia" w:ascii="Times New Roman" w:hAnsi="Times New Roman" w:cs="Times New Roman"/>
                <w:color w:val="FF0000"/>
                <w:sz w:val="21"/>
                <w:szCs w:val="21"/>
                <w:highlight w:val="none"/>
                <w:lang w:val="en-US" w:eastAsia="zh-CN"/>
              </w:rPr>
              <w:t>6</w:t>
            </w:r>
            <w:r>
              <w:rPr>
                <w:rFonts w:hint="default" w:ascii="Times New Roman" w:hAnsi="Times New Roman" w:eastAsia="宋体" w:cs="Times New Roman"/>
                <w:color w:val="FF0000"/>
                <w:sz w:val="21"/>
                <w:szCs w:val="21"/>
                <w:highlight w:val="none"/>
              </w:rPr>
              <w:t>00）与原热源出口总供回水管道（一级网）直接连接。</w:t>
            </w:r>
          </w:p>
        </w:tc>
        <w:tc>
          <w:tcPr>
            <w:tcW w:w="806" w:type="dxa"/>
            <w:tcBorders>
              <w:tl2br w:val="nil"/>
              <w:tr2bl w:val="nil"/>
            </w:tcBorders>
            <w:noWrap w:val="0"/>
            <w:vAlign w:val="center"/>
          </w:tcPr>
          <w:p w14:paraId="6A372A27">
            <w:pPr>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FF0000"/>
                <w:kern w:val="0"/>
                <w:sz w:val="21"/>
                <w:szCs w:val="21"/>
                <w:highlight w:val="none"/>
                <w:lang w:val="en-US" w:eastAsia="zh-CN" w:bidi="ar-SA"/>
              </w:rPr>
            </w:pPr>
            <w:r>
              <w:rPr>
                <w:rFonts w:hint="eastAsia" w:ascii="Times New Roman" w:hAnsi="Times New Roman" w:eastAsia="宋体" w:cs="Times New Roman"/>
                <w:color w:val="FF0000"/>
                <w:sz w:val="21"/>
                <w:szCs w:val="21"/>
                <w:highlight w:val="none"/>
                <w:lang w:val="en-US" w:eastAsia="zh-CN"/>
              </w:rPr>
              <w:t>依托现有工程</w:t>
            </w:r>
          </w:p>
        </w:tc>
      </w:tr>
      <w:tr w14:paraId="10468D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6" w:type="dxa"/>
            <w:vMerge w:val="continue"/>
            <w:tcBorders>
              <w:tl2br w:val="nil"/>
              <w:tr2bl w:val="nil"/>
            </w:tcBorders>
            <w:noWrap w:val="0"/>
            <w:vAlign w:val="center"/>
          </w:tcPr>
          <w:p w14:paraId="58AFEFDE">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1440" w:type="dxa"/>
            <w:gridSpan w:val="2"/>
            <w:tcBorders>
              <w:tl2br w:val="nil"/>
              <w:tr2bl w:val="nil"/>
            </w:tcBorders>
            <w:noWrap w:val="0"/>
            <w:vAlign w:val="center"/>
          </w:tcPr>
          <w:p w14:paraId="7BDBE77E">
            <w:pPr>
              <w:pStyle w:val="72"/>
              <w:keepNext w:val="0"/>
              <w:keepLines w:val="0"/>
              <w:pageBreakBefore w:val="0"/>
              <w:widowControl w:val="0"/>
              <w:kinsoku/>
              <w:wordWrap/>
              <w:overflowPunct/>
              <w:topLinePunct w:val="0"/>
              <w:bidi w:val="0"/>
              <w:adjustRightInd/>
              <w:snapToGrid/>
              <w:spacing w:after="0" w:line="240" w:lineRule="auto"/>
              <w:ind w:firstLine="0" w:firstLineChars="0"/>
              <w:jc w:val="center"/>
              <w:rPr>
                <w:rFonts w:hint="default" w:ascii="Times New Roman" w:hAnsi="Times New Roman" w:eastAsia="宋体" w:cs="Times New Roman"/>
                <w:color w:val="FF0000"/>
                <w:sz w:val="21"/>
                <w:szCs w:val="21"/>
                <w:highlight w:val="none"/>
                <w:lang w:val="en-US" w:eastAsia="zh-CN" w:bidi="zh-TW"/>
              </w:rPr>
            </w:pPr>
            <w:r>
              <w:rPr>
                <w:rFonts w:hint="default" w:ascii="Times New Roman" w:hAnsi="Times New Roman" w:eastAsia="宋体" w:cs="Times New Roman"/>
                <w:color w:val="FF0000"/>
                <w:sz w:val="21"/>
                <w:szCs w:val="21"/>
                <w:highlight w:val="none"/>
                <w:lang w:val="en-US" w:eastAsia="zh-CN"/>
              </w:rPr>
              <w:t>热网</w:t>
            </w:r>
            <w:r>
              <w:rPr>
                <w:rFonts w:hint="default" w:ascii="Times New Roman" w:hAnsi="Times New Roman" w:eastAsia="宋体" w:cs="Times New Roman"/>
                <w:color w:val="FF0000"/>
                <w:sz w:val="21"/>
                <w:szCs w:val="21"/>
                <w:highlight w:val="none"/>
              </w:rPr>
              <w:t>补水系统</w:t>
            </w:r>
          </w:p>
        </w:tc>
        <w:tc>
          <w:tcPr>
            <w:tcW w:w="5620" w:type="dxa"/>
            <w:tcBorders>
              <w:tl2br w:val="nil"/>
              <w:tr2bl w:val="nil"/>
            </w:tcBorders>
            <w:noWrap w:val="0"/>
            <w:vAlign w:val="center"/>
          </w:tcPr>
          <w:p w14:paraId="2A155BF0">
            <w:pPr>
              <w:pStyle w:val="72"/>
              <w:keepNext w:val="0"/>
              <w:keepLines w:val="0"/>
              <w:pageBreakBefore w:val="0"/>
              <w:widowControl w:val="0"/>
              <w:kinsoku/>
              <w:wordWrap/>
              <w:overflowPunct/>
              <w:topLinePunct w:val="0"/>
              <w:bidi w:val="0"/>
              <w:adjustRightInd/>
              <w:snapToGrid/>
              <w:spacing w:after="0" w:line="240" w:lineRule="auto"/>
              <w:ind w:firstLine="0" w:firstLineChars="0"/>
              <w:jc w:val="both"/>
              <w:rPr>
                <w:rFonts w:hint="default" w:ascii="Times New Roman" w:hAnsi="Times New Roman" w:eastAsia="宋体" w:cs="Times New Roman"/>
                <w:color w:val="FF0000"/>
                <w:sz w:val="21"/>
                <w:szCs w:val="21"/>
                <w:highlight w:val="none"/>
                <w:lang w:val="en-US" w:eastAsia="zh-CN" w:bidi="zh-TW"/>
              </w:rPr>
            </w:pPr>
            <w:r>
              <w:rPr>
                <w:rFonts w:hint="default" w:ascii="Times New Roman" w:hAnsi="Times New Roman" w:eastAsia="宋体" w:cs="Times New Roman"/>
                <w:color w:val="FF0000"/>
                <w:sz w:val="21"/>
                <w:szCs w:val="21"/>
                <w:highlight w:val="none"/>
              </w:rPr>
              <w:t>项目给水处理和补水系统，利用</w:t>
            </w:r>
            <w:r>
              <w:rPr>
                <w:rFonts w:hint="eastAsia" w:ascii="Times New Roman" w:hAnsi="Times New Roman" w:cs="Times New Roman"/>
                <w:color w:val="FF0000"/>
                <w:sz w:val="21"/>
                <w:szCs w:val="21"/>
                <w:highlight w:val="none"/>
                <w:lang w:val="en-US" w:eastAsia="zh-CN"/>
              </w:rPr>
              <w:t>中恒</w:t>
            </w:r>
            <w:r>
              <w:rPr>
                <w:rFonts w:hint="default" w:ascii="Times New Roman" w:hAnsi="Times New Roman" w:eastAsia="宋体" w:cs="Times New Roman"/>
                <w:color w:val="FF0000"/>
                <w:sz w:val="21"/>
                <w:szCs w:val="21"/>
                <w:highlight w:val="none"/>
              </w:rPr>
              <w:t>热电有限公司主热源现有制、补水系统，不再另建新系统。</w:t>
            </w:r>
          </w:p>
        </w:tc>
        <w:tc>
          <w:tcPr>
            <w:tcW w:w="806" w:type="dxa"/>
            <w:tcBorders>
              <w:tl2br w:val="nil"/>
              <w:tr2bl w:val="nil"/>
            </w:tcBorders>
            <w:noWrap w:val="0"/>
            <w:vAlign w:val="center"/>
          </w:tcPr>
          <w:p w14:paraId="62AFC19C">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依托现有工程</w:t>
            </w:r>
          </w:p>
        </w:tc>
      </w:tr>
      <w:tr w14:paraId="1DCD21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6" w:type="dxa"/>
            <w:vMerge w:val="continue"/>
            <w:tcBorders>
              <w:tl2br w:val="nil"/>
              <w:tr2bl w:val="nil"/>
            </w:tcBorders>
            <w:noWrap w:val="0"/>
            <w:vAlign w:val="center"/>
          </w:tcPr>
          <w:p w14:paraId="307B76D0">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1440" w:type="dxa"/>
            <w:gridSpan w:val="2"/>
            <w:tcBorders>
              <w:tl2br w:val="nil"/>
              <w:tr2bl w:val="nil"/>
            </w:tcBorders>
            <w:noWrap w:val="0"/>
            <w:vAlign w:val="center"/>
          </w:tcPr>
          <w:p w14:paraId="4E7B526D">
            <w:pPr>
              <w:pStyle w:val="72"/>
              <w:keepNext w:val="0"/>
              <w:keepLines w:val="0"/>
              <w:pageBreakBefore w:val="0"/>
              <w:widowControl w:val="0"/>
              <w:kinsoku/>
              <w:wordWrap/>
              <w:overflowPunct/>
              <w:topLinePunct w:val="0"/>
              <w:bidi w:val="0"/>
              <w:adjustRightInd/>
              <w:snapToGrid/>
              <w:spacing w:after="0"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cs="Times New Roman"/>
                <w:color w:val="FF0000"/>
                <w:sz w:val="21"/>
                <w:szCs w:val="21"/>
                <w:highlight w:val="none"/>
                <w:lang w:val="en-US" w:eastAsia="zh-CN"/>
              </w:rPr>
              <w:t>软化水系统</w:t>
            </w:r>
          </w:p>
        </w:tc>
        <w:tc>
          <w:tcPr>
            <w:tcW w:w="5620" w:type="dxa"/>
            <w:tcBorders>
              <w:tl2br w:val="nil"/>
              <w:tr2bl w:val="nil"/>
            </w:tcBorders>
            <w:noWrap w:val="0"/>
            <w:vAlign w:val="center"/>
          </w:tcPr>
          <w:p w14:paraId="3AFF74DF">
            <w:pPr>
              <w:pStyle w:val="72"/>
              <w:keepNext w:val="0"/>
              <w:keepLines w:val="0"/>
              <w:pageBreakBefore w:val="0"/>
              <w:widowControl w:val="0"/>
              <w:kinsoku/>
              <w:wordWrap/>
              <w:overflowPunct/>
              <w:topLinePunct w:val="0"/>
              <w:bidi w:val="0"/>
              <w:adjustRightInd/>
              <w:snapToGrid/>
              <w:spacing w:after="0" w:line="240" w:lineRule="auto"/>
              <w:ind w:firstLine="0" w:firstLineChars="0"/>
              <w:jc w:val="both"/>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生产用水由</w:t>
            </w:r>
            <w:r>
              <w:rPr>
                <w:rFonts w:hint="eastAsia" w:ascii="Times New Roman" w:hAnsi="Times New Roman" w:cs="Times New Roman"/>
                <w:color w:val="FF0000"/>
                <w:sz w:val="21"/>
                <w:szCs w:val="21"/>
                <w:highlight w:val="none"/>
                <w:lang w:eastAsia="zh-CN"/>
              </w:rPr>
              <w:t>佳木斯中恒热电有限公司</w:t>
            </w:r>
            <w:r>
              <w:rPr>
                <w:rFonts w:hint="default" w:ascii="Times New Roman" w:hAnsi="Times New Roman" w:eastAsia="宋体" w:cs="Times New Roman"/>
                <w:color w:val="FF0000"/>
                <w:sz w:val="21"/>
                <w:szCs w:val="21"/>
                <w:highlight w:val="none"/>
              </w:rPr>
              <w:t>热电厂一并供给，不单独建设化学软化水系统。</w:t>
            </w:r>
          </w:p>
        </w:tc>
        <w:tc>
          <w:tcPr>
            <w:tcW w:w="806" w:type="dxa"/>
            <w:tcBorders>
              <w:tl2br w:val="nil"/>
              <w:tr2bl w:val="nil"/>
            </w:tcBorders>
            <w:noWrap w:val="0"/>
            <w:vAlign w:val="center"/>
          </w:tcPr>
          <w:p w14:paraId="2BCAFEF1">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依托现有工程</w:t>
            </w:r>
          </w:p>
        </w:tc>
      </w:tr>
      <w:tr w14:paraId="6EF939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6" w:type="dxa"/>
            <w:vMerge w:val="continue"/>
            <w:tcBorders>
              <w:tl2br w:val="nil"/>
              <w:tr2bl w:val="nil"/>
            </w:tcBorders>
            <w:noWrap w:val="0"/>
            <w:vAlign w:val="center"/>
          </w:tcPr>
          <w:p w14:paraId="1E5CCE65">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1440" w:type="dxa"/>
            <w:gridSpan w:val="2"/>
            <w:tcBorders>
              <w:tl2br w:val="nil"/>
              <w:tr2bl w:val="nil"/>
            </w:tcBorders>
            <w:noWrap w:val="0"/>
            <w:vAlign w:val="center"/>
          </w:tcPr>
          <w:p w14:paraId="245CC44E">
            <w:pPr>
              <w:pStyle w:val="72"/>
              <w:keepNext w:val="0"/>
              <w:keepLines w:val="0"/>
              <w:pageBreakBefore w:val="0"/>
              <w:widowControl w:val="0"/>
              <w:kinsoku/>
              <w:wordWrap/>
              <w:overflowPunct/>
              <w:topLinePunct w:val="0"/>
              <w:bidi w:val="0"/>
              <w:adjustRightInd/>
              <w:snapToGrid/>
              <w:spacing w:after="0" w:line="240" w:lineRule="auto"/>
              <w:ind w:firstLine="0" w:firstLineChars="0"/>
              <w:jc w:val="center"/>
              <w:rPr>
                <w:rFonts w:hint="default" w:ascii="Times New Roman" w:hAnsi="Times New Roman" w:eastAsia="宋体" w:cs="Times New Roman"/>
                <w:color w:val="FF0000"/>
                <w:sz w:val="21"/>
                <w:szCs w:val="21"/>
                <w:highlight w:val="none"/>
                <w:lang w:val="en-US" w:eastAsia="zh-CN" w:bidi="zh-TW"/>
              </w:rPr>
            </w:pPr>
            <w:r>
              <w:rPr>
                <w:rFonts w:hint="default" w:ascii="Times New Roman" w:hAnsi="Times New Roman" w:eastAsia="宋体" w:cs="Times New Roman"/>
                <w:color w:val="FF0000"/>
                <w:sz w:val="21"/>
                <w:szCs w:val="21"/>
                <w:highlight w:val="none"/>
              </w:rPr>
              <w:t>除灰渣系统</w:t>
            </w:r>
          </w:p>
        </w:tc>
        <w:tc>
          <w:tcPr>
            <w:tcW w:w="5620" w:type="dxa"/>
            <w:tcBorders>
              <w:tl2br w:val="nil"/>
              <w:tr2bl w:val="nil"/>
            </w:tcBorders>
            <w:noWrap w:val="0"/>
            <w:vAlign w:val="center"/>
          </w:tcPr>
          <w:p w14:paraId="743056BD">
            <w:pPr>
              <w:pStyle w:val="7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both"/>
              <w:textAlignment w:val="auto"/>
              <w:rPr>
                <w:rFonts w:hint="default" w:ascii="Times New Roman" w:hAnsi="Times New Roman" w:eastAsia="宋体" w:cs="Times New Roman"/>
                <w:color w:val="FF0000"/>
                <w:sz w:val="21"/>
                <w:szCs w:val="21"/>
                <w:highlight w:val="none"/>
                <w:lang w:val="en-US" w:eastAsia="zh-CN" w:bidi="zh-TW"/>
              </w:rPr>
            </w:pPr>
            <w:r>
              <w:rPr>
                <w:rFonts w:hint="default" w:ascii="Times New Roman" w:hAnsi="Times New Roman" w:eastAsia="宋体" w:cs="Times New Roman"/>
                <w:color w:val="FF0000"/>
                <w:sz w:val="21"/>
                <w:szCs w:val="21"/>
                <w:highlight w:val="none"/>
                <w:lang w:val="zh-TW" w:eastAsia="zh-TW" w:bidi="zh-TW"/>
              </w:rPr>
              <w:t>除渣系统采用</w:t>
            </w:r>
            <w:r>
              <w:rPr>
                <w:rFonts w:hint="eastAsia" w:ascii="Times New Roman" w:hAnsi="Times New Roman" w:cs="Times New Roman"/>
                <w:color w:val="FF0000"/>
                <w:sz w:val="21"/>
                <w:szCs w:val="21"/>
                <w:highlight w:val="none"/>
                <w:lang w:val="en-US" w:eastAsia="zh-CN" w:bidi="zh-TW"/>
              </w:rPr>
              <w:t>干</w:t>
            </w:r>
            <w:r>
              <w:rPr>
                <w:rFonts w:hint="default" w:ascii="Times New Roman" w:hAnsi="Times New Roman" w:eastAsia="宋体" w:cs="Times New Roman"/>
                <w:color w:val="FF0000"/>
                <w:sz w:val="21"/>
                <w:szCs w:val="21"/>
                <w:highlight w:val="none"/>
                <w:lang w:val="zh-TW" w:eastAsia="zh-TW" w:bidi="zh-TW"/>
              </w:rPr>
              <w:t>式机械除渣方式，锅炉底部设置</w:t>
            </w:r>
            <w:r>
              <w:rPr>
                <w:rFonts w:hint="eastAsia" w:ascii="Times New Roman" w:hAnsi="Times New Roman" w:eastAsia="宋体" w:cs="Times New Roman"/>
                <w:color w:val="FF0000"/>
                <w:sz w:val="21"/>
                <w:szCs w:val="21"/>
                <w:highlight w:val="none"/>
                <w:lang w:val="en-US" w:eastAsia="zh-CN" w:bidi="zh-TW"/>
              </w:rPr>
              <w:t>1</w:t>
            </w:r>
            <w:r>
              <w:rPr>
                <w:rFonts w:hint="default" w:ascii="Times New Roman" w:hAnsi="Times New Roman" w:eastAsia="宋体" w:cs="Times New Roman"/>
                <w:color w:val="FF0000"/>
                <w:sz w:val="21"/>
                <w:szCs w:val="21"/>
                <w:highlight w:val="none"/>
                <w:lang w:val="zh-TW" w:eastAsia="zh-TW" w:bidi="zh-TW"/>
              </w:rPr>
              <w:t>台重板链除渣机，每台锅炉排出的炉渣统一排入炉底的重板链除渣机，将炉渣排入渣仓的钢渣斗内，再将炉渣排入渣仓的钢渣斗内，渣库容积为</w:t>
            </w:r>
            <w:r>
              <w:rPr>
                <w:rFonts w:hint="eastAsia" w:ascii="Times New Roman" w:hAnsi="Times New Roman" w:eastAsia="宋体" w:cs="Times New Roman"/>
                <w:color w:val="FF0000"/>
                <w:sz w:val="21"/>
                <w:szCs w:val="21"/>
                <w:highlight w:val="none"/>
                <w:lang w:val="en-US" w:eastAsia="zh-CN" w:bidi="zh-TW"/>
              </w:rPr>
              <w:t>100</w:t>
            </w:r>
            <w:r>
              <w:rPr>
                <w:rFonts w:hint="default" w:ascii="Times New Roman" w:hAnsi="Times New Roman" w:eastAsia="宋体" w:cs="Times New Roman"/>
                <w:color w:val="FF0000"/>
                <w:sz w:val="21"/>
                <w:szCs w:val="21"/>
                <w:highlight w:val="none"/>
                <w:lang w:val="zh-TW" w:eastAsia="zh-TW" w:bidi="zh-TW"/>
              </w:rPr>
              <w:t>m³，可满足</w:t>
            </w:r>
            <w:r>
              <w:rPr>
                <w:rFonts w:hint="eastAsia" w:ascii="Times New Roman" w:hAnsi="Times New Roman" w:eastAsia="宋体" w:cs="Times New Roman"/>
                <w:color w:val="FF0000"/>
                <w:sz w:val="21"/>
                <w:szCs w:val="21"/>
                <w:highlight w:val="none"/>
                <w:lang w:val="en-US" w:eastAsia="zh-CN" w:bidi="zh-TW"/>
              </w:rPr>
              <w:t>58MW</w:t>
            </w:r>
            <w:r>
              <w:rPr>
                <w:rFonts w:hint="default" w:ascii="Times New Roman" w:hAnsi="Times New Roman" w:eastAsia="宋体" w:cs="Times New Roman"/>
                <w:color w:val="FF0000"/>
                <w:sz w:val="21"/>
                <w:szCs w:val="21"/>
                <w:highlight w:val="none"/>
                <w:lang w:val="zh-TW" w:eastAsia="zh-TW" w:bidi="zh-TW"/>
              </w:rPr>
              <w:t>锅炉运行</w:t>
            </w:r>
            <w:r>
              <w:rPr>
                <w:rFonts w:hint="eastAsia" w:ascii="Times New Roman" w:hAnsi="Times New Roman" w:eastAsia="宋体" w:cs="Times New Roman"/>
                <w:color w:val="FF0000"/>
                <w:sz w:val="21"/>
                <w:szCs w:val="21"/>
                <w:highlight w:val="none"/>
                <w:lang w:val="en-US" w:eastAsia="zh-CN" w:bidi="zh-TW"/>
              </w:rPr>
              <w:t>1</w:t>
            </w:r>
            <w:r>
              <w:rPr>
                <w:rFonts w:hint="default" w:ascii="Times New Roman" w:hAnsi="Times New Roman" w:eastAsia="宋体" w:cs="Times New Roman"/>
                <w:color w:val="FF0000"/>
                <w:sz w:val="21"/>
                <w:szCs w:val="21"/>
                <w:highlight w:val="none"/>
                <w:lang w:val="zh-TW" w:eastAsia="zh-TW" w:bidi="zh-TW"/>
              </w:rPr>
              <w:t>天的存渣量。除灰系统采用</w:t>
            </w:r>
            <w:r>
              <w:rPr>
                <w:rFonts w:hint="eastAsia" w:ascii="Times New Roman" w:hAnsi="Times New Roman" w:eastAsia="宋体" w:cs="Times New Roman"/>
                <w:color w:val="FF0000"/>
                <w:sz w:val="21"/>
                <w:szCs w:val="21"/>
                <w:highlight w:val="none"/>
                <w:lang w:val="en-US" w:eastAsia="zh-CN" w:bidi="zh-TW"/>
              </w:rPr>
              <w:t>布</w:t>
            </w:r>
            <w:r>
              <w:rPr>
                <w:rFonts w:hint="eastAsia" w:ascii="Times New Roman" w:hAnsi="Times New Roman" w:eastAsia="宋体" w:cs="Times New Roman"/>
                <w:color w:val="FF0000"/>
                <w:sz w:val="21"/>
                <w:szCs w:val="21"/>
                <w:highlight w:val="none"/>
                <w:lang w:val="zh-TW" w:eastAsia="zh-CN" w:bidi="zh-TW"/>
              </w:rPr>
              <w:t>袋式除尘器，</w:t>
            </w:r>
            <w:r>
              <w:rPr>
                <w:rFonts w:hint="default" w:ascii="Times New Roman" w:hAnsi="Times New Roman" w:eastAsia="宋体" w:cs="Times New Roman"/>
                <w:color w:val="FF0000"/>
                <w:sz w:val="21"/>
                <w:szCs w:val="21"/>
                <w:highlight w:val="none"/>
                <w:lang w:val="en-US" w:eastAsia="zh-CN" w:bidi="zh-TW"/>
              </w:rPr>
              <w:t>采用超细布袋</w:t>
            </w:r>
            <w:r>
              <w:rPr>
                <w:rFonts w:hint="eastAsia" w:ascii="Times New Roman" w:hAnsi="Times New Roman" w:eastAsia="宋体" w:cs="Times New Roman"/>
                <w:color w:val="FF0000"/>
                <w:sz w:val="21"/>
                <w:szCs w:val="21"/>
                <w:highlight w:val="none"/>
                <w:lang w:val="en-US" w:eastAsia="zh-CN" w:bidi="zh-TW"/>
              </w:rPr>
              <w:t>。</w:t>
            </w:r>
            <w:r>
              <w:rPr>
                <w:rFonts w:hint="default" w:ascii="Times New Roman" w:hAnsi="Times New Roman" w:eastAsia="宋体" w:cs="Times New Roman"/>
                <w:color w:val="FF0000"/>
                <w:sz w:val="21"/>
                <w:szCs w:val="21"/>
                <w:highlight w:val="none"/>
                <w:lang w:val="zh-TW" w:eastAsia="zh-TW" w:bidi="zh-TW"/>
              </w:rPr>
              <w:t>灰由罐车外运处理。本工程</w:t>
            </w:r>
            <w:r>
              <w:rPr>
                <w:rFonts w:hint="eastAsia" w:ascii="Times New Roman" w:hAnsi="Times New Roman" w:eastAsia="宋体" w:cs="Times New Roman"/>
                <w:color w:val="FF0000"/>
                <w:sz w:val="21"/>
                <w:szCs w:val="21"/>
                <w:highlight w:val="none"/>
                <w:lang w:val="zh-TW" w:eastAsia="zh-CN" w:bidi="zh-TW"/>
              </w:rPr>
              <w:t>目前</w:t>
            </w:r>
            <w:r>
              <w:rPr>
                <w:rFonts w:hint="default" w:ascii="Times New Roman" w:hAnsi="Times New Roman" w:eastAsia="宋体" w:cs="Times New Roman"/>
                <w:color w:val="FF0000"/>
                <w:sz w:val="21"/>
                <w:szCs w:val="21"/>
                <w:highlight w:val="none"/>
                <w:lang w:val="zh-TW" w:eastAsia="zh-TW" w:bidi="zh-TW"/>
              </w:rPr>
              <w:t>设</w:t>
            </w:r>
            <w:r>
              <w:rPr>
                <w:rFonts w:hint="eastAsia" w:ascii="Times New Roman" w:hAnsi="Times New Roman" w:eastAsia="宋体" w:cs="Times New Roman"/>
                <w:color w:val="FF0000"/>
                <w:sz w:val="21"/>
                <w:szCs w:val="21"/>
                <w:highlight w:val="none"/>
                <w:lang w:val="zh-TW" w:eastAsia="zh-CN" w:bidi="zh-TW"/>
              </w:rPr>
              <w:t>有</w:t>
            </w:r>
            <w:r>
              <w:rPr>
                <w:rFonts w:hint="eastAsia" w:ascii="Times New Roman" w:hAnsi="Times New Roman" w:eastAsia="宋体" w:cs="Times New Roman"/>
                <w:color w:val="FF0000"/>
                <w:sz w:val="21"/>
                <w:szCs w:val="21"/>
                <w:highlight w:val="none"/>
                <w:lang w:val="en-US" w:eastAsia="zh-CN" w:bidi="zh-TW"/>
              </w:rPr>
              <w:t>1</w:t>
            </w:r>
            <w:r>
              <w:rPr>
                <w:rFonts w:hint="default" w:ascii="Times New Roman" w:hAnsi="Times New Roman" w:eastAsia="宋体" w:cs="Times New Roman"/>
                <w:color w:val="FF0000"/>
                <w:sz w:val="21"/>
                <w:szCs w:val="21"/>
                <w:highlight w:val="none"/>
                <w:lang w:val="zh-TW" w:eastAsia="zh-TW" w:bidi="zh-TW"/>
              </w:rPr>
              <w:t>座全封闭贮</w:t>
            </w:r>
            <w:r>
              <w:rPr>
                <w:rFonts w:hint="eastAsia" w:ascii="Times New Roman" w:hAnsi="Times New Roman" w:cs="Times New Roman"/>
                <w:color w:val="FF0000"/>
                <w:sz w:val="21"/>
                <w:szCs w:val="21"/>
                <w:highlight w:val="none"/>
                <w:lang w:val="zh-TW" w:eastAsia="zh-CN" w:bidi="zh-TW"/>
              </w:rPr>
              <w:t>灰库</w:t>
            </w:r>
            <w:r>
              <w:rPr>
                <w:rFonts w:hint="default" w:ascii="Times New Roman" w:hAnsi="Times New Roman" w:eastAsia="宋体" w:cs="Times New Roman"/>
                <w:color w:val="FF0000"/>
                <w:sz w:val="21"/>
                <w:szCs w:val="21"/>
                <w:highlight w:val="none"/>
                <w:lang w:val="zh-TW" w:eastAsia="zh-TW" w:bidi="zh-TW"/>
              </w:rPr>
              <w:t>，容积</w:t>
            </w:r>
            <w:r>
              <w:rPr>
                <w:rFonts w:hint="eastAsia" w:ascii="Times New Roman" w:hAnsi="Times New Roman" w:eastAsia="宋体" w:cs="Times New Roman"/>
                <w:color w:val="FF0000"/>
                <w:sz w:val="21"/>
                <w:szCs w:val="21"/>
                <w:highlight w:val="none"/>
                <w:lang w:val="en-US" w:eastAsia="zh-CN" w:bidi="zh-TW"/>
              </w:rPr>
              <w:t>35000</w:t>
            </w:r>
            <w:r>
              <w:rPr>
                <w:rFonts w:hint="default" w:ascii="Times New Roman" w:hAnsi="Times New Roman" w:eastAsia="宋体" w:cs="Times New Roman"/>
                <w:color w:val="FF0000"/>
                <w:sz w:val="21"/>
                <w:szCs w:val="21"/>
                <w:highlight w:val="none"/>
                <w:lang w:val="zh-TW" w:eastAsia="zh-TW" w:bidi="zh-TW"/>
              </w:rPr>
              <w:t>m³</w:t>
            </w:r>
            <w:r>
              <w:rPr>
                <w:rFonts w:hint="default" w:ascii="Times New Roman" w:hAnsi="Times New Roman" w:eastAsia="宋体" w:cs="Times New Roman"/>
                <w:color w:val="FF0000"/>
                <w:sz w:val="21"/>
                <w:szCs w:val="21"/>
                <w:highlight w:val="none"/>
              </w:rPr>
              <w:t>，可满足</w:t>
            </w:r>
            <w:r>
              <w:rPr>
                <w:rFonts w:hint="eastAsia" w:ascii="Times New Roman" w:hAnsi="Times New Roman" w:cs="Times New Roman"/>
                <w:color w:val="FF0000"/>
                <w:sz w:val="21"/>
                <w:szCs w:val="21"/>
                <w:highlight w:val="none"/>
                <w:lang w:eastAsia="zh-CN"/>
              </w:rPr>
              <w:t>一台</w:t>
            </w:r>
            <w:r>
              <w:rPr>
                <w:rFonts w:hint="default" w:ascii="Times New Roman" w:hAnsi="Times New Roman" w:eastAsia="宋体" w:cs="Times New Roman"/>
                <w:color w:val="FF0000"/>
                <w:sz w:val="21"/>
                <w:szCs w:val="21"/>
                <w:highlight w:val="none"/>
              </w:rPr>
              <w:t>锅炉</w:t>
            </w:r>
            <w:r>
              <w:rPr>
                <w:rFonts w:hint="eastAsia" w:ascii="Times New Roman" w:hAnsi="Times New Roman" w:cs="Times New Roman"/>
                <w:color w:val="FF0000"/>
                <w:sz w:val="21"/>
                <w:szCs w:val="21"/>
                <w:highlight w:val="none"/>
                <w:lang w:val="en-US" w:eastAsia="zh-CN"/>
              </w:rPr>
              <w:t>10</w:t>
            </w:r>
            <w:r>
              <w:rPr>
                <w:rFonts w:hint="default" w:ascii="Times New Roman" w:hAnsi="Times New Roman" w:eastAsia="宋体" w:cs="Times New Roman"/>
                <w:color w:val="FF0000"/>
                <w:sz w:val="21"/>
                <w:szCs w:val="21"/>
                <w:highlight w:val="none"/>
              </w:rPr>
              <w:t>天的灰量</w:t>
            </w:r>
            <w:r>
              <w:rPr>
                <w:rFonts w:hint="eastAsia" w:ascii="Times New Roman" w:hAnsi="Times New Roman" w:eastAsia="宋体" w:cs="Times New Roman"/>
                <w:color w:val="FF0000"/>
                <w:sz w:val="21"/>
                <w:szCs w:val="21"/>
                <w:highlight w:val="none"/>
                <w:lang w:eastAsia="zh-CN"/>
              </w:rPr>
              <w:t>。</w:t>
            </w:r>
          </w:p>
        </w:tc>
        <w:tc>
          <w:tcPr>
            <w:tcW w:w="806" w:type="dxa"/>
            <w:tcBorders>
              <w:tl2br w:val="nil"/>
              <w:tr2bl w:val="nil"/>
            </w:tcBorders>
            <w:noWrap w:val="0"/>
            <w:vAlign w:val="center"/>
          </w:tcPr>
          <w:p w14:paraId="42F3042F">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本项目二期</w:t>
            </w:r>
          </w:p>
        </w:tc>
      </w:tr>
      <w:tr w14:paraId="28E7D0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6" w:type="dxa"/>
            <w:vMerge w:val="continue"/>
            <w:tcBorders>
              <w:tl2br w:val="nil"/>
              <w:tr2bl w:val="nil"/>
            </w:tcBorders>
            <w:noWrap w:val="0"/>
            <w:vAlign w:val="center"/>
          </w:tcPr>
          <w:p w14:paraId="552855B1">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1440" w:type="dxa"/>
            <w:gridSpan w:val="2"/>
            <w:tcBorders>
              <w:tl2br w:val="nil"/>
              <w:tr2bl w:val="nil"/>
            </w:tcBorders>
            <w:noWrap w:val="0"/>
            <w:vAlign w:val="center"/>
          </w:tcPr>
          <w:p w14:paraId="52B7AAB4">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点火系统</w:t>
            </w:r>
          </w:p>
        </w:tc>
        <w:tc>
          <w:tcPr>
            <w:tcW w:w="5620" w:type="dxa"/>
            <w:tcBorders>
              <w:tl2br w:val="nil"/>
              <w:tr2bl w:val="nil"/>
            </w:tcBorders>
            <w:noWrap w:val="0"/>
            <w:vAlign w:val="center"/>
          </w:tcPr>
          <w:p w14:paraId="2EA342BD">
            <w:pPr>
              <w:pStyle w:val="63"/>
              <w:keepNext w:val="0"/>
              <w:keepLines w:val="0"/>
              <w:pageBreakBefore w:val="0"/>
              <w:widowControl w:val="0"/>
              <w:kinsoku/>
              <w:wordWrap/>
              <w:overflowPunct/>
              <w:topLinePunct w:val="0"/>
              <w:bidi w:val="0"/>
              <w:adjustRightInd/>
              <w:snapToGrid/>
              <w:ind w:firstLine="0" w:firstLineChars="0"/>
              <w:jc w:val="left"/>
              <w:rPr>
                <w:rFonts w:hint="eastAsia"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本项目</w:t>
            </w:r>
            <w:r>
              <w:rPr>
                <w:rFonts w:hint="eastAsia" w:ascii="Times New Roman" w:hAnsi="Times New Roman" w:eastAsia="宋体" w:cs="Times New Roman"/>
                <w:color w:val="FF0000"/>
                <w:sz w:val="21"/>
                <w:szCs w:val="21"/>
                <w:highlight w:val="none"/>
                <w:lang w:val="en-US" w:eastAsia="zh-CN"/>
              </w:rPr>
              <w:t>锅炉为床上点火，</w:t>
            </w:r>
            <w:r>
              <w:rPr>
                <w:rFonts w:hint="default" w:ascii="Times New Roman" w:hAnsi="Times New Roman" w:eastAsia="宋体" w:cs="Times New Roman"/>
                <w:color w:val="FF0000"/>
                <w:sz w:val="21"/>
                <w:szCs w:val="21"/>
                <w:highlight w:val="none"/>
                <w:lang w:val="en-US" w:eastAsia="zh-CN"/>
              </w:rPr>
              <w:t>使用木材点火，使用量约0.1t，并且在使用时临时购买，不在</w:t>
            </w:r>
            <w:r>
              <w:rPr>
                <w:rFonts w:hint="eastAsia" w:ascii="Times New Roman" w:hAnsi="Times New Roman" w:eastAsia="宋体" w:cs="Times New Roman"/>
                <w:color w:val="FF0000"/>
                <w:sz w:val="21"/>
                <w:szCs w:val="21"/>
                <w:highlight w:val="none"/>
                <w:lang w:val="en-US" w:eastAsia="zh-CN"/>
              </w:rPr>
              <w:t>厂</w:t>
            </w:r>
            <w:r>
              <w:rPr>
                <w:rFonts w:hint="default" w:ascii="Times New Roman" w:hAnsi="Times New Roman" w:eastAsia="宋体" w:cs="Times New Roman"/>
                <w:color w:val="FF0000"/>
                <w:sz w:val="21"/>
                <w:szCs w:val="21"/>
                <w:highlight w:val="none"/>
                <w:lang w:val="en-US" w:eastAsia="zh-CN"/>
              </w:rPr>
              <w:t>区内储存</w:t>
            </w:r>
            <w:r>
              <w:rPr>
                <w:rFonts w:hint="eastAsia" w:ascii="Times New Roman" w:hAnsi="Times New Roman" w:eastAsia="宋体" w:cs="Times New Roman"/>
                <w:color w:val="FF0000"/>
                <w:sz w:val="21"/>
                <w:szCs w:val="21"/>
                <w:highlight w:val="none"/>
                <w:lang w:eastAsia="zh-CN"/>
              </w:rPr>
              <w:t>。</w:t>
            </w:r>
          </w:p>
        </w:tc>
        <w:tc>
          <w:tcPr>
            <w:tcW w:w="806" w:type="dxa"/>
            <w:tcBorders>
              <w:tl2br w:val="nil"/>
              <w:tr2bl w:val="nil"/>
            </w:tcBorders>
            <w:noWrap w:val="0"/>
            <w:vAlign w:val="center"/>
          </w:tcPr>
          <w:p w14:paraId="78E65E49">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本项目二期</w:t>
            </w:r>
          </w:p>
        </w:tc>
      </w:tr>
      <w:tr w14:paraId="68BC6D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6" w:type="dxa"/>
            <w:vMerge w:val="continue"/>
            <w:tcBorders>
              <w:tl2br w:val="nil"/>
              <w:tr2bl w:val="nil"/>
            </w:tcBorders>
            <w:noWrap w:val="0"/>
            <w:vAlign w:val="center"/>
          </w:tcPr>
          <w:p w14:paraId="428148D5">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1440" w:type="dxa"/>
            <w:gridSpan w:val="2"/>
            <w:tcBorders>
              <w:tl2br w:val="nil"/>
              <w:tr2bl w:val="nil"/>
            </w:tcBorders>
            <w:noWrap w:val="0"/>
            <w:vAlign w:val="center"/>
          </w:tcPr>
          <w:p w14:paraId="0EEF21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尿素溶液储罐</w:t>
            </w:r>
          </w:p>
        </w:tc>
        <w:tc>
          <w:tcPr>
            <w:tcW w:w="5620" w:type="dxa"/>
            <w:tcBorders>
              <w:tl2br w:val="nil"/>
              <w:tr2bl w:val="nil"/>
            </w:tcBorders>
            <w:noWrap w:val="0"/>
            <w:vAlign w:val="center"/>
          </w:tcPr>
          <w:p w14:paraId="44C0B951">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设置</w:t>
            </w:r>
            <w:r>
              <w:rPr>
                <w:rFonts w:hint="eastAsia" w:ascii="Times New Roman" w:hAnsi="Times New Roman" w:eastAsia="宋体" w:cs="Times New Roman"/>
                <w:color w:val="FF0000"/>
                <w:sz w:val="21"/>
                <w:szCs w:val="21"/>
                <w:highlight w:val="none"/>
                <w:lang w:val="en-US" w:eastAsia="zh-CN"/>
              </w:rPr>
              <w:t>1</w:t>
            </w:r>
            <w:r>
              <w:rPr>
                <w:rFonts w:hint="default" w:ascii="Times New Roman" w:hAnsi="Times New Roman" w:eastAsia="宋体" w:cs="Times New Roman"/>
                <w:color w:val="FF0000"/>
                <w:sz w:val="21"/>
                <w:szCs w:val="21"/>
                <w:highlight w:val="none"/>
                <w:lang w:val="en-US" w:eastAsia="zh-CN"/>
              </w:rPr>
              <w:t>座</w:t>
            </w:r>
            <w:r>
              <w:rPr>
                <w:rFonts w:hint="default" w:ascii="Times New Roman" w:hAnsi="Times New Roman" w:eastAsia="宋体" w:cs="Times New Roman"/>
                <w:color w:val="FF0000"/>
                <w:sz w:val="21"/>
                <w:szCs w:val="21"/>
                <w:highlight w:val="none"/>
              </w:rPr>
              <w:t>尿素溶液储罐</w:t>
            </w:r>
            <w:r>
              <w:rPr>
                <w:rFonts w:hint="eastAsia" w:ascii="Times New Roman" w:hAnsi="Times New Roman" w:eastAsia="宋体" w:cs="Times New Roman"/>
                <w:color w:val="FF0000"/>
                <w:sz w:val="21"/>
                <w:szCs w:val="21"/>
                <w:highlight w:val="none"/>
                <w:lang w:eastAsia="zh-CN"/>
              </w:rPr>
              <w:t>（每个</w:t>
            </w:r>
            <w:r>
              <w:rPr>
                <w:rFonts w:hint="default" w:ascii="Times New Roman" w:hAnsi="Times New Roman" w:eastAsia="宋体" w:cs="Times New Roman"/>
                <w:color w:val="FF0000"/>
                <w:sz w:val="21"/>
                <w:szCs w:val="21"/>
                <w:highlight w:val="none"/>
              </w:rPr>
              <w:t>容积</w:t>
            </w:r>
            <w:r>
              <w:rPr>
                <w:rFonts w:hint="eastAsia" w:ascii="Times New Roman" w:hAnsi="Times New Roman" w:eastAsia="宋体" w:cs="Times New Roman"/>
                <w:color w:val="FF0000"/>
                <w:sz w:val="21"/>
                <w:szCs w:val="21"/>
                <w:highlight w:val="none"/>
                <w:lang w:val="en-US" w:eastAsia="zh-CN"/>
              </w:rPr>
              <w:t>55</w:t>
            </w:r>
            <w:r>
              <w:rPr>
                <w:rFonts w:hint="default" w:ascii="Times New Roman" w:hAnsi="Times New Roman" w:eastAsia="宋体" w:cs="Times New Roman"/>
                <w:color w:val="FF0000"/>
                <w:sz w:val="21"/>
                <w:szCs w:val="21"/>
                <w:highlight w:val="none"/>
                <w:lang w:val="en-US" w:eastAsia="zh-CN"/>
              </w:rPr>
              <w:t>m</w:t>
            </w:r>
            <w:r>
              <w:rPr>
                <w:rFonts w:hint="default" w:ascii="Times New Roman" w:hAnsi="Times New Roman" w:eastAsia="宋体" w:cs="Times New Roman"/>
                <w:color w:val="FF0000"/>
                <w:sz w:val="21"/>
                <w:szCs w:val="21"/>
                <w:highlight w:val="none"/>
                <w:vertAlign w:val="superscript"/>
                <w:lang w:val="en-US" w:eastAsia="zh-CN"/>
              </w:rPr>
              <w:t>3</w:t>
            </w:r>
            <w:r>
              <w:rPr>
                <w:rFonts w:hint="eastAsia" w:ascii="Times New Roman" w:hAnsi="Times New Roman" w:eastAsia="宋体" w:cs="Times New Roman"/>
                <w:color w:val="FF0000"/>
                <w:sz w:val="21"/>
                <w:szCs w:val="21"/>
                <w:highlight w:val="none"/>
                <w:vertAlign w:val="baseline"/>
                <w:lang w:val="en-US" w:eastAsia="zh-CN"/>
              </w:rPr>
              <w:t>）</w:t>
            </w:r>
            <w:r>
              <w:rPr>
                <w:rFonts w:hint="eastAsia" w:ascii="Times New Roman" w:hAnsi="Times New Roman" w:eastAsia="宋体" w:cs="Times New Roman"/>
                <w:color w:val="FF0000"/>
                <w:sz w:val="21"/>
                <w:szCs w:val="21"/>
                <w:highlight w:val="none"/>
                <w:lang w:eastAsia="zh-CN"/>
              </w:rPr>
              <w:t>，</w:t>
            </w:r>
            <w:r>
              <w:rPr>
                <w:rFonts w:hint="eastAsia" w:ascii="Times New Roman" w:hAnsi="Times New Roman" w:eastAsia="宋体" w:cs="Times New Roman"/>
                <w:color w:val="FF0000"/>
                <w:sz w:val="21"/>
                <w:szCs w:val="21"/>
                <w:highlight w:val="none"/>
                <w:lang w:val="en-US" w:eastAsia="zh-CN"/>
              </w:rPr>
              <w:t>1座</w:t>
            </w:r>
            <w:r>
              <w:rPr>
                <w:rFonts w:hint="eastAsia" w:ascii="Times New Roman" w:hAnsi="Times New Roman" w:eastAsia="宋体" w:cs="Times New Roman"/>
                <w:color w:val="FF0000"/>
                <w:sz w:val="21"/>
                <w:szCs w:val="21"/>
                <w:highlight w:val="none"/>
                <w:lang w:eastAsia="zh-CN"/>
              </w:rPr>
              <w:t>溶解</w:t>
            </w:r>
            <w:r>
              <w:rPr>
                <w:rFonts w:hint="default" w:ascii="Times New Roman" w:hAnsi="Times New Roman" w:eastAsia="宋体" w:cs="Times New Roman"/>
                <w:color w:val="FF0000"/>
                <w:sz w:val="21"/>
                <w:szCs w:val="21"/>
                <w:highlight w:val="none"/>
                <w:lang w:eastAsia="zh-CN"/>
              </w:rPr>
              <w:t>罐</w:t>
            </w:r>
            <w:r>
              <w:rPr>
                <w:rFonts w:hint="eastAsia" w:ascii="Times New Roman" w:hAnsi="Times New Roman" w:eastAsia="宋体" w:cs="Times New Roman"/>
                <w:color w:val="FF0000"/>
                <w:sz w:val="21"/>
                <w:szCs w:val="21"/>
                <w:highlight w:val="none"/>
                <w:lang w:eastAsia="zh-CN"/>
              </w:rPr>
              <w:t>（</w:t>
            </w:r>
            <w:r>
              <w:rPr>
                <w:rFonts w:hint="eastAsia" w:ascii="Times New Roman" w:hAnsi="Times New Roman" w:eastAsia="宋体" w:cs="Times New Roman"/>
                <w:color w:val="FF0000"/>
                <w:sz w:val="21"/>
                <w:szCs w:val="21"/>
                <w:highlight w:val="none"/>
                <w:lang w:val="en-US" w:eastAsia="zh-CN"/>
              </w:rPr>
              <w:t>15</w:t>
            </w:r>
            <w:r>
              <w:rPr>
                <w:rFonts w:hint="default" w:ascii="Times New Roman" w:hAnsi="Times New Roman" w:eastAsia="宋体" w:cs="Times New Roman"/>
                <w:color w:val="FF0000"/>
                <w:sz w:val="21"/>
                <w:szCs w:val="21"/>
                <w:highlight w:val="none"/>
                <w:lang w:val="en-US" w:eastAsia="zh-CN"/>
              </w:rPr>
              <w:t>m</w:t>
            </w:r>
            <w:r>
              <w:rPr>
                <w:rFonts w:hint="default" w:ascii="Times New Roman" w:hAnsi="Times New Roman" w:eastAsia="宋体" w:cs="Times New Roman"/>
                <w:color w:val="FF0000"/>
                <w:sz w:val="21"/>
                <w:szCs w:val="21"/>
                <w:highlight w:val="none"/>
                <w:vertAlign w:val="superscript"/>
                <w:lang w:val="en-US" w:eastAsia="zh-CN"/>
              </w:rPr>
              <w:t>3</w:t>
            </w:r>
            <w:r>
              <w:rPr>
                <w:rFonts w:hint="eastAsia" w:ascii="Times New Roman" w:hAnsi="Times New Roman" w:eastAsia="宋体" w:cs="Times New Roman"/>
                <w:color w:val="FF0000"/>
                <w:sz w:val="21"/>
                <w:szCs w:val="21"/>
                <w:highlight w:val="none"/>
                <w:lang w:eastAsia="zh-CN"/>
              </w:rPr>
              <w:t>），</w:t>
            </w:r>
            <w:r>
              <w:rPr>
                <w:rFonts w:hint="eastAsia" w:ascii="Times New Roman" w:hAnsi="Times New Roman" w:eastAsia="宋体" w:cs="Times New Roman"/>
                <w:color w:val="FF0000"/>
                <w:sz w:val="21"/>
                <w:szCs w:val="21"/>
                <w:highlight w:val="none"/>
                <w:lang w:val="en-US" w:eastAsia="zh-CN"/>
              </w:rPr>
              <w:t>1座稀释罐</w:t>
            </w:r>
            <w:r>
              <w:rPr>
                <w:rFonts w:hint="eastAsia" w:ascii="Times New Roman" w:hAnsi="Times New Roman" w:eastAsia="宋体" w:cs="Times New Roman"/>
                <w:color w:val="FF0000"/>
                <w:sz w:val="21"/>
                <w:szCs w:val="21"/>
                <w:highlight w:val="none"/>
                <w:lang w:eastAsia="zh-CN"/>
              </w:rPr>
              <w:t>（</w:t>
            </w:r>
            <w:r>
              <w:rPr>
                <w:rFonts w:hint="eastAsia" w:ascii="Times New Roman" w:hAnsi="Times New Roman" w:eastAsia="宋体" w:cs="Times New Roman"/>
                <w:color w:val="FF0000"/>
                <w:sz w:val="21"/>
                <w:szCs w:val="21"/>
                <w:highlight w:val="none"/>
                <w:lang w:val="en-US" w:eastAsia="zh-CN"/>
              </w:rPr>
              <w:t>15</w:t>
            </w:r>
            <w:r>
              <w:rPr>
                <w:rFonts w:hint="default" w:ascii="Times New Roman" w:hAnsi="Times New Roman" w:eastAsia="宋体" w:cs="Times New Roman"/>
                <w:color w:val="FF0000"/>
                <w:sz w:val="21"/>
                <w:szCs w:val="21"/>
                <w:highlight w:val="none"/>
                <w:lang w:val="en-US" w:eastAsia="zh-CN"/>
              </w:rPr>
              <w:t>m</w:t>
            </w:r>
            <w:r>
              <w:rPr>
                <w:rFonts w:hint="default" w:ascii="Times New Roman" w:hAnsi="Times New Roman" w:eastAsia="宋体" w:cs="Times New Roman"/>
                <w:color w:val="FF0000"/>
                <w:sz w:val="21"/>
                <w:szCs w:val="21"/>
                <w:highlight w:val="none"/>
                <w:vertAlign w:val="superscript"/>
                <w:lang w:val="en-US" w:eastAsia="zh-CN"/>
              </w:rPr>
              <w:t>3</w:t>
            </w:r>
            <w:r>
              <w:rPr>
                <w:rFonts w:hint="eastAsia" w:ascii="Times New Roman" w:hAnsi="Times New Roman" w:eastAsia="宋体" w:cs="Times New Roman"/>
                <w:color w:val="FF0000"/>
                <w:sz w:val="21"/>
                <w:szCs w:val="21"/>
                <w:highlight w:val="none"/>
                <w:lang w:eastAsia="zh-CN"/>
              </w:rPr>
              <w:t>）</w:t>
            </w:r>
            <w:r>
              <w:rPr>
                <w:rFonts w:hint="default" w:ascii="Times New Roman" w:hAnsi="Times New Roman" w:eastAsia="宋体" w:cs="Times New Roman"/>
                <w:color w:val="FF0000"/>
                <w:sz w:val="21"/>
                <w:szCs w:val="21"/>
                <w:highlight w:val="none"/>
                <w:lang w:eastAsia="zh-CN"/>
              </w:rPr>
              <w:t>。</w:t>
            </w:r>
          </w:p>
        </w:tc>
        <w:tc>
          <w:tcPr>
            <w:tcW w:w="806" w:type="dxa"/>
            <w:tcBorders>
              <w:tl2br w:val="nil"/>
              <w:tr2bl w:val="nil"/>
            </w:tcBorders>
            <w:noWrap w:val="0"/>
            <w:vAlign w:val="center"/>
          </w:tcPr>
          <w:p w14:paraId="7D3157A9">
            <w:pPr>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FF0000"/>
                <w:kern w:val="0"/>
                <w:sz w:val="21"/>
                <w:szCs w:val="21"/>
                <w:highlight w:val="none"/>
                <w:lang w:val="en-US" w:eastAsia="zh-CN" w:bidi="ar-SA"/>
              </w:rPr>
            </w:pPr>
            <w:r>
              <w:rPr>
                <w:rFonts w:hint="eastAsia" w:ascii="Times New Roman" w:hAnsi="Times New Roman" w:eastAsia="宋体" w:cs="Times New Roman"/>
                <w:color w:val="FF0000"/>
                <w:sz w:val="21"/>
                <w:szCs w:val="21"/>
                <w:highlight w:val="none"/>
                <w:lang w:val="en-US" w:eastAsia="zh-CN"/>
              </w:rPr>
              <w:t>本项目二期</w:t>
            </w:r>
          </w:p>
        </w:tc>
      </w:tr>
      <w:tr w14:paraId="0CDA21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6" w:type="dxa"/>
            <w:vMerge w:val="continue"/>
            <w:tcBorders>
              <w:tl2br w:val="nil"/>
              <w:tr2bl w:val="nil"/>
            </w:tcBorders>
            <w:noWrap w:val="0"/>
            <w:vAlign w:val="center"/>
          </w:tcPr>
          <w:p w14:paraId="244BF9D8">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1440" w:type="dxa"/>
            <w:gridSpan w:val="2"/>
            <w:tcBorders>
              <w:tl2br w:val="nil"/>
              <w:tr2bl w:val="nil"/>
            </w:tcBorders>
            <w:noWrap w:val="0"/>
            <w:vAlign w:val="center"/>
          </w:tcPr>
          <w:p w14:paraId="3EF43DDF">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烟囱</w:t>
            </w:r>
            <w:r>
              <w:rPr>
                <w:rFonts w:hint="eastAsia" w:ascii="Times New Roman" w:hAnsi="Times New Roman" w:eastAsia="宋体" w:cs="Times New Roman"/>
                <w:color w:val="FF0000"/>
                <w:sz w:val="21"/>
                <w:szCs w:val="21"/>
                <w:highlight w:val="none"/>
                <w:lang w:val="en-US" w:eastAsia="zh-CN"/>
              </w:rPr>
              <w:t>（DA006）</w:t>
            </w:r>
          </w:p>
        </w:tc>
        <w:tc>
          <w:tcPr>
            <w:tcW w:w="5620" w:type="dxa"/>
            <w:tcBorders>
              <w:tl2br w:val="nil"/>
              <w:tr2bl w:val="nil"/>
            </w:tcBorders>
            <w:noWrap w:val="0"/>
            <w:vAlign w:val="center"/>
          </w:tcPr>
          <w:p w14:paraId="4FF6086C">
            <w:pPr>
              <w:pStyle w:val="63"/>
              <w:keepNext w:val="0"/>
              <w:keepLines w:val="0"/>
              <w:pageBreakBefore w:val="0"/>
              <w:widowControl w:val="0"/>
              <w:kinsoku/>
              <w:wordWrap/>
              <w:overflowPunct/>
              <w:topLinePunct w:val="0"/>
              <w:bidi w:val="0"/>
              <w:adjustRightInd/>
              <w:snapToGrid/>
              <w:ind w:firstLine="0" w:firstLineChars="0"/>
              <w:jc w:val="left"/>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利用厂区内现有烟囱，烟囱</w:t>
            </w:r>
            <w:r>
              <w:rPr>
                <w:rFonts w:hint="default" w:ascii="Times New Roman" w:hAnsi="Times New Roman" w:eastAsia="宋体" w:cs="Times New Roman"/>
                <w:color w:val="FF0000"/>
                <w:sz w:val="21"/>
                <w:szCs w:val="21"/>
                <w:highlight w:val="none"/>
                <w:lang w:val="en-US" w:eastAsia="zh-CN"/>
              </w:rPr>
              <w:t>高度</w:t>
            </w:r>
            <w:r>
              <w:rPr>
                <w:rFonts w:hint="eastAsia" w:ascii="Times New Roman" w:hAnsi="Times New Roman" w:eastAsia="宋体" w:cs="Times New Roman"/>
                <w:color w:val="FF0000"/>
                <w:sz w:val="21"/>
                <w:szCs w:val="21"/>
                <w:highlight w:val="none"/>
                <w:lang w:val="en-US" w:eastAsia="zh-CN"/>
              </w:rPr>
              <w:t>为70</w:t>
            </w:r>
            <w:r>
              <w:rPr>
                <w:rFonts w:hint="default" w:ascii="Times New Roman" w:hAnsi="Times New Roman" w:eastAsia="宋体" w:cs="Times New Roman"/>
                <w:color w:val="FF0000"/>
                <w:sz w:val="21"/>
                <w:szCs w:val="21"/>
                <w:highlight w:val="none"/>
                <w:lang w:val="en-US" w:eastAsia="zh-CN"/>
              </w:rPr>
              <w:t>m，出口内径</w:t>
            </w:r>
            <w:r>
              <w:rPr>
                <w:rFonts w:hint="eastAsia" w:ascii="Times New Roman" w:hAnsi="Times New Roman" w:eastAsia="宋体" w:cs="Times New Roman"/>
                <w:color w:val="FF0000"/>
                <w:sz w:val="21"/>
                <w:szCs w:val="21"/>
                <w:highlight w:val="none"/>
                <w:lang w:val="en-US" w:eastAsia="zh-CN"/>
              </w:rPr>
              <w:t>为3.5</w:t>
            </w:r>
            <w:r>
              <w:rPr>
                <w:rFonts w:hint="default" w:ascii="Times New Roman" w:hAnsi="Times New Roman" w:eastAsia="宋体" w:cs="Times New Roman"/>
                <w:color w:val="FF0000"/>
                <w:sz w:val="21"/>
                <w:szCs w:val="21"/>
                <w:highlight w:val="none"/>
                <w:lang w:val="en-US" w:eastAsia="zh-CN"/>
              </w:rPr>
              <w:t>m</w:t>
            </w:r>
            <w:r>
              <w:rPr>
                <w:rFonts w:hint="eastAsia" w:ascii="Times New Roman" w:hAnsi="Times New Roman" w:eastAsia="宋体" w:cs="Times New Roman"/>
                <w:color w:val="FF0000"/>
                <w:sz w:val="21"/>
                <w:szCs w:val="21"/>
                <w:highlight w:val="none"/>
                <w:lang w:val="en-US" w:eastAsia="zh-CN"/>
              </w:rPr>
              <w:t>。</w:t>
            </w:r>
          </w:p>
        </w:tc>
        <w:tc>
          <w:tcPr>
            <w:tcW w:w="806" w:type="dxa"/>
            <w:tcBorders>
              <w:tl2br w:val="nil"/>
              <w:tr2bl w:val="nil"/>
            </w:tcBorders>
            <w:noWrap w:val="0"/>
            <w:vAlign w:val="center"/>
          </w:tcPr>
          <w:p w14:paraId="33FC9D25">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本项目二期（利旧）</w:t>
            </w:r>
          </w:p>
        </w:tc>
      </w:tr>
      <w:tr w14:paraId="7F6578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6" w:type="dxa"/>
            <w:vMerge w:val="restart"/>
            <w:tcBorders>
              <w:tl2br w:val="nil"/>
              <w:tr2bl w:val="nil"/>
            </w:tcBorders>
            <w:noWrap w:val="0"/>
            <w:vAlign w:val="center"/>
          </w:tcPr>
          <w:p w14:paraId="715BCA39">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公用工程</w:t>
            </w:r>
          </w:p>
        </w:tc>
        <w:tc>
          <w:tcPr>
            <w:tcW w:w="1440" w:type="dxa"/>
            <w:gridSpan w:val="2"/>
            <w:tcBorders>
              <w:tl2br w:val="nil"/>
              <w:tr2bl w:val="nil"/>
            </w:tcBorders>
            <w:noWrap w:val="0"/>
            <w:vAlign w:val="center"/>
          </w:tcPr>
          <w:p w14:paraId="2D77CF97">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给水系统</w:t>
            </w:r>
          </w:p>
        </w:tc>
        <w:tc>
          <w:tcPr>
            <w:tcW w:w="5620" w:type="dxa"/>
            <w:tcBorders>
              <w:tl2br w:val="nil"/>
              <w:tr2bl w:val="nil"/>
            </w:tcBorders>
            <w:noWrap w:val="0"/>
            <w:vAlign w:val="center"/>
          </w:tcPr>
          <w:p w14:paraId="7D9DE782">
            <w:pPr>
              <w:pStyle w:val="63"/>
              <w:keepNext w:val="0"/>
              <w:keepLines w:val="0"/>
              <w:pageBreakBefore w:val="0"/>
              <w:widowControl w:val="0"/>
              <w:kinsoku/>
              <w:wordWrap/>
              <w:overflowPunct/>
              <w:topLinePunct w:val="0"/>
              <w:bidi w:val="0"/>
              <w:adjustRightInd/>
              <w:snapToGrid/>
              <w:ind w:firstLine="0" w:firstLineChars="0"/>
              <w:jc w:val="left"/>
              <w:rPr>
                <w:rFonts w:hint="default"/>
                <w:color w:val="FF0000"/>
                <w:highlight w:val="none"/>
                <w:lang w:val="en-US" w:eastAsia="zh-CN"/>
              </w:rPr>
            </w:pPr>
            <w:r>
              <w:rPr>
                <w:rFonts w:hint="default" w:ascii="Times New Roman" w:hAnsi="Times New Roman" w:eastAsia="宋体" w:cs="Times New Roman"/>
                <w:color w:val="FF0000"/>
                <w:sz w:val="21"/>
                <w:szCs w:val="21"/>
                <w:highlight w:val="none"/>
                <w:lang w:val="en-US" w:eastAsia="zh-CN"/>
              </w:rPr>
              <w:t>生产用水由</w:t>
            </w:r>
            <w:r>
              <w:rPr>
                <w:rFonts w:hint="eastAsia" w:ascii="Times New Roman" w:hAnsi="Times New Roman" w:eastAsia="宋体" w:cs="Times New Roman"/>
                <w:color w:val="FF0000"/>
                <w:sz w:val="21"/>
                <w:szCs w:val="21"/>
                <w:highlight w:val="none"/>
                <w:lang w:val="en-US" w:eastAsia="zh-CN"/>
              </w:rPr>
              <w:t>佳木斯中恒热电有限公司</w:t>
            </w:r>
            <w:r>
              <w:rPr>
                <w:rFonts w:hint="default" w:ascii="Times New Roman" w:hAnsi="Times New Roman" w:eastAsia="宋体" w:cs="Times New Roman"/>
                <w:color w:val="FF0000"/>
                <w:sz w:val="21"/>
                <w:szCs w:val="21"/>
                <w:highlight w:val="none"/>
                <w:lang w:val="en-US" w:eastAsia="zh-CN"/>
              </w:rPr>
              <w:t>热电厂一并供给，生活用水由市政管网供给</w:t>
            </w:r>
            <w:r>
              <w:rPr>
                <w:rFonts w:hint="eastAsia" w:ascii="Times New Roman" w:hAnsi="Times New Roman" w:eastAsia="宋体" w:cs="Times New Roman"/>
                <w:color w:val="FF0000"/>
                <w:sz w:val="21"/>
                <w:szCs w:val="21"/>
                <w:highlight w:val="none"/>
                <w:lang w:val="en-US" w:eastAsia="zh-CN"/>
              </w:rPr>
              <w:t>。厂区内现有水井供水能力为90万m</w:t>
            </w:r>
            <w:r>
              <w:rPr>
                <w:rFonts w:hint="eastAsia" w:ascii="Times New Roman" w:hAnsi="Times New Roman" w:eastAsia="宋体" w:cs="Times New Roman"/>
                <w:color w:val="FF0000"/>
                <w:sz w:val="21"/>
                <w:szCs w:val="21"/>
                <w:highlight w:val="none"/>
                <w:vertAlign w:val="superscript"/>
                <w:lang w:val="en-US" w:eastAsia="zh-CN"/>
              </w:rPr>
              <w:t>3</w:t>
            </w:r>
            <w:r>
              <w:rPr>
                <w:rFonts w:hint="eastAsia" w:ascii="Times New Roman" w:hAnsi="Times New Roman" w:eastAsia="宋体" w:cs="Times New Roman"/>
                <w:color w:val="FF0000"/>
                <w:sz w:val="21"/>
                <w:szCs w:val="21"/>
                <w:highlight w:val="none"/>
                <w:lang w:val="en-US" w:eastAsia="zh-CN"/>
              </w:rPr>
              <w:t>/a，目前厂区内现有工程用水量约为42.5万m</w:t>
            </w:r>
            <w:r>
              <w:rPr>
                <w:rFonts w:hint="eastAsia" w:ascii="Times New Roman" w:hAnsi="Times New Roman" w:eastAsia="宋体" w:cs="Times New Roman"/>
                <w:color w:val="FF0000"/>
                <w:sz w:val="21"/>
                <w:szCs w:val="21"/>
                <w:highlight w:val="none"/>
                <w:vertAlign w:val="superscript"/>
                <w:lang w:val="en-US" w:eastAsia="zh-CN"/>
              </w:rPr>
              <w:t>3</w:t>
            </w:r>
            <w:r>
              <w:rPr>
                <w:rFonts w:hint="eastAsia" w:ascii="Times New Roman" w:hAnsi="Times New Roman" w:eastAsia="宋体" w:cs="Times New Roman"/>
                <w:color w:val="FF0000"/>
                <w:sz w:val="21"/>
                <w:szCs w:val="21"/>
                <w:highlight w:val="none"/>
                <w:lang w:val="en-US" w:eastAsia="zh-CN"/>
              </w:rPr>
              <w:t>/a。</w:t>
            </w:r>
          </w:p>
        </w:tc>
        <w:tc>
          <w:tcPr>
            <w:tcW w:w="806" w:type="dxa"/>
            <w:tcBorders>
              <w:tl2br w:val="nil"/>
              <w:tr2bl w:val="nil"/>
            </w:tcBorders>
            <w:noWrap w:val="0"/>
            <w:vAlign w:val="center"/>
          </w:tcPr>
          <w:p w14:paraId="14B697DC">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依托现有工程</w:t>
            </w:r>
          </w:p>
        </w:tc>
      </w:tr>
      <w:tr w14:paraId="03BCD5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6" w:type="dxa"/>
            <w:vMerge w:val="continue"/>
            <w:tcBorders>
              <w:tl2br w:val="nil"/>
              <w:tr2bl w:val="nil"/>
            </w:tcBorders>
            <w:noWrap w:val="0"/>
            <w:vAlign w:val="center"/>
          </w:tcPr>
          <w:p w14:paraId="54889178">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1440" w:type="dxa"/>
            <w:gridSpan w:val="2"/>
            <w:tcBorders>
              <w:tl2br w:val="nil"/>
              <w:tr2bl w:val="nil"/>
            </w:tcBorders>
            <w:noWrap w:val="0"/>
            <w:vAlign w:val="center"/>
          </w:tcPr>
          <w:p w14:paraId="176AA19A">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排水系统</w:t>
            </w:r>
          </w:p>
        </w:tc>
        <w:tc>
          <w:tcPr>
            <w:tcW w:w="5620" w:type="dxa"/>
            <w:tcBorders>
              <w:tl2br w:val="nil"/>
              <w:tr2bl w:val="nil"/>
            </w:tcBorders>
            <w:noWrap w:val="0"/>
            <w:vAlign w:val="center"/>
          </w:tcPr>
          <w:p w14:paraId="0109C613">
            <w:pPr>
              <w:pStyle w:val="63"/>
              <w:keepNext w:val="0"/>
              <w:keepLines w:val="0"/>
              <w:pageBreakBefore w:val="0"/>
              <w:widowControl w:val="0"/>
              <w:kinsoku/>
              <w:wordWrap/>
              <w:overflowPunct/>
              <w:topLinePunct w:val="0"/>
              <w:bidi w:val="0"/>
              <w:adjustRightInd/>
              <w:snapToGrid/>
              <w:ind w:firstLine="0" w:firstLineChars="0"/>
              <w:jc w:val="left"/>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本工程所产生废水主要是生活污水，生产废水全部回用，不外排。生产废水主要包括锅炉定期排污水经降温池降温、沉淀后，用于降尘、除渣；</w:t>
            </w:r>
            <w:r>
              <w:rPr>
                <w:rFonts w:hint="eastAsia" w:ascii="Times New Roman" w:hAnsi="Times New Roman" w:eastAsia="宋体" w:cs="Times New Roman"/>
                <w:color w:val="FF0000"/>
                <w:sz w:val="21"/>
                <w:szCs w:val="21"/>
                <w:highlight w:val="none"/>
                <w:lang w:val="en-US" w:eastAsia="zh-CN"/>
              </w:rPr>
              <w:t>初期雨水经雨水收集池收集沉淀后排入地下水池，用于输煤系统除尘</w:t>
            </w:r>
            <w:r>
              <w:rPr>
                <w:rFonts w:hint="default" w:ascii="Times New Roman" w:hAnsi="Times New Roman" w:eastAsia="宋体" w:cs="Times New Roman"/>
                <w:color w:val="FF0000"/>
                <w:sz w:val="21"/>
                <w:szCs w:val="21"/>
                <w:highlight w:val="none"/>
                <w:lang w:val="en-US" w:eastAsia="zh-CN"/>
              </w:rPr>
              <w:t>。输煤系统降尘废水收集于沉煤池中，循环用于地面及输煤皮带冲洗。池内沉煤定期清理再用。生活污水经市政污水管网排至</w:t>
            </w:r>
            <w:r>
              <w:rPr>
                <w:rFonts w:hint="eastAsia" w:ascii="Times New Roman" w:hAnsi="Times New Roman" w:eastAsia="宋体" w:cs="Times New Roman"/>
                <w:color w:val="FF0000"/>
                <w:sz w:val="21"/>
                <w:szCs w:val="21"/>
                <w:highlight w:val="none"/>
                <w:lang w:val="en-US" w:eastAsia="zh-CN"/>
              </w:rPr>
              <w:t>佳木斯西区污水处理厂</w:t>
            </w:r>
            <w:r>
              <w:rPr>
                <w:rFonts w:hint="default" w:ascii="Times New Roman" w:hAnsi="Times New Roman" w:eastAsia="宋体" w:cs="Times New Roman"/>
                <w:color w:val="FF0000"/>
                <w:sz w:val="21"/>
                <w:szCs w:val="21"/>
                <w:highlight w:val="none"/>
                <w:lang w:val="en-US" w:eastAsia="zh-CN"/>
              </w:rPr>
              <w:t>处理</w:t>
            </w:r>
            <w:r>
              <w:rPr>
                <w:rFonts w:hint="eastAsia" w:ascii="Times New Roman" w:hAnsi="Times New Roman" w:eastAsia="宋体" w:cs="Times New Roman"/>
                <w:color w:val="FF0000"/>
                <w:sz w:val="21"/>
                <w:szCs w:val="21"/>
                <w:highlight w:val="none"/>
                <w:lang w:val="en-US" w:eastAsia="zh-CN"/>
              </w:rPr>
              <w:t>达标后排放</w:t>
            </w:r>
            <w:r>
              <w:rPr>
                <w:rFonts w:hint="default" w:ascii="Times New Roman" w:hAnsi="Times New Roman" w:eastAsia="宋体" w:cs="Times New Roman"/>
                <w:color w:val="FF0000"/>
                <w:sz w:val="21"/>
                <w:szCs w:val="21"/>
                <w:highlight w:val="none"/>
                <w:lang w:val="en-US" w:eastAsia="zh-CN"/>
              </w:rPr>
              <w:t>。</w:t>
            </w:r>
          </w:p>
        </w:tc>
        <w:tc>
          <w:tcPr>
            <w:tcW w:w="806" w:type="dxa"/>
            <w:tcBorders>
              <w:tl2br w:val="nil"/>
              <w:tr2bl w:val="nil"/>
            </w:tcBorders>
            <w:noWrap w:val="0"/>
            <w:vAlign w:val="center"/>
          </w:tcPr>
          <w:p w14:paraId="72C39841">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依托现有工程</w:t>
            </w:r>
          </w:p>
        </w:tc>
      </w:tr>
      <w:tr w14:paraId="086464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6" w:type="dxa"/>
            <w:vMerge w:val="continue"/>
            <w:tcBorders>
              <w:tl2br w:val="nil"/>
              <w:tr2bl w:val="nil"/>
            </w:tcBorders>
            <w:noWrap w:val="0"/>
            <w:vAlign w:val="center"/>
          </w:tcPr>
          <w:p w14:paraId="58D7970F">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1440" w:type="dxa"/>
            <w:gridSpan w:val="2"/>
            <w:tcBorders>
              <w:tl2br w:val="nil"/>
              <w:tr2bl w:val="nil"/>
            </w:tcBorders>
            <w:noWrap w:val="0"/>
            <w:vAlign w:val="center"/>
          </w:tcPr>
          <w:p w14:paraId="4BF67815">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供电系统</w:t>
            </w:r>
          </w:p>
        </w:tc>
        <w:tc>
          <w:tcPr>
            <w:tcW w:w="5620" w:type="dxa"/>
            <w:tcBorders>
              <w:tl2br w:val="nil"/>
              <w:tr2bl w:val="nil"/>
            </w:tcBorders>
            <w:noWrap w:val="0"/>
            <w:vAlign w:val="center"/>
          </w:tcPr>
          <w:p w14:paraId="7AA1CF70">
            <w:pPr>
              <w:pStyle w:val="63"/>
              <w:keepNext w:val="0"/>
              <w:keepLines w:val="0"/>
              <w:pageBreakBefore w:val="0"/>
              <w:widowControl w:val="0"/>
              <w:kinsoku/>
              <w:wordWrap/>
              <w:overflowPunct/>
              <w:topLinePunct w:val="0"/>
              <w:bidi w:val="0"/>
              <w:adjustRightInd/>
              <w:snapToGrid/>
              <w:ind w:firstLine="0" w:firstLineChars="0"/>
              <w:jc w:val="left"/>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依托厂内发电机组供电</w:t>
            </w:r>
          </w:p>
        </w:tc>
        <w:tc>
          <w:tcPr>
            <w:tcW w:w="806" w:type="dxa"/>
            <w:tcBorders>
              <w:tl2br w:val="nil"/>
              <w:tr2bl w:val="nil"/>
            </w:tcBorders>
            <w:noWrap w:val="0"/>
            <w:vAlign w:val="center"/>
          </w:tcPr>
          <w:p w14:paraId="0690F89D">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依托现有工程</w:t>
            </w:r>
          </w:p>
        </w:tc>
      </w:tr>
      <w:tr w14:paraId="7B882C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6" w:type="dxa"/>
            <w:vMerge w:val="restart"/>
            <w:tcBorders>
              <w:tl2br w:val="nil"/>
              <w:tr2bl w:val="nil"/>
            </w:tcBorders>
            <w:noWrap w:val="0"/>
            <w:vAlign w:val="center"/>
          </w:tcPr>
          <w:p w14:paraId="023EFE7B">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储运工程</w:t>
            </w:r>
          </w:p>
        </w:tc>
        <w:tc>
          <w:tcPr>
            <w:tcW w:w="1440" w:type="dxa"/>
            <w:gridSpan w:val="2"/>
            <w:tcBorders>
              <w:tl2br w:val="nil"/>
              <w:tr2bl w:val="nil"/>
            </w:tcBorders>
            <w:noWrap w:val="0"/>
            <w:vAlign w:val="center"/>
          </w:tcPr>
          <w:p w14:paraId="7C37B2A4">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储煤</w:t>
            </w:r>
            <w:r>
              <w:rPr>
                <w:rFonts w:hint="eastAsia" w:ascii="Times New Roman" w:hAnsi="Times New Roman" w:eastAsia="宋体" w:cs="Times New Roman"/>
                <w:color w:val="FF0000"/>
                <w:sz w:val="21"/>
                <w:szCs w:val="21"/>
                <w:highlight w:val="none"/>
                <w:lang w:val="en-US" w:eastAsia="zh-CN"/>
              </w:rPr>
              <w:t>场</w:t>
            </w:r>
          </w:p>
        </w:tc>
        <w:tc>
          <w:tcPr>
            <w:tcW w:w="5620" w:type="dxa"/>
            <w:tcBorders>
              <w:tl2br w:val="nil"/>
              <w:tr2bl w:val="nil"/>
            </w:tcBorders>
            <w:noWrap w:val="0"/>
            <w:vAlign w:val="center"/>
          </w:tcPr>
          <w:p w14:paraId="303343AC">
            <w:pPr>
              <w:pStyle w:val="63"/>
              <w:keepNext w:val="0"/>
              <w:keepLines w:val="0"/>
              <w:pageBreakBefore w:val="0"/>
              <w:widowControl w:val="0"/>
              <w:kinsoku/>
              <w:wordWrap/>
              <w:overflowPunct/>
              <w:topLinePunct w:val="0"/>
              <w:bidi w:val="0"/>
              <w:adjustRightInd/>
              <w:snapToGrid/>
              <w:ind w:firstLine="0" w:firstLineChars="0"/>
              <w:jc w:val="left"/>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snapToGrid w:val="0"/>
                <w:color w:val="FF0000"/>
                <w:sz w:val="21"/>
                <w:szCs w:val="21"/>
                <w:highlight w:val="none"/>
                <w:lang w:eastAsia="zh-CN"/>
              </w:rPr>
              <w:t>依托现有带防风抑尘网的储煤场，厂区内煤场</w:t>
            </w:r>
            <w:r>
              <w:rPr>
                <w:rFonts w:hint="eastAsia" w:ascii="Times New Roman" w:hAnsi="Times New Roman" w:eastAsia="宋体" w:cs="Times New Roman"/>
                <w:snapToGrid w:val="0"/>
                <w:color w:val="FF0000"/>
                <w:sz w:val="21"/>
                <w:szCs w:val="21"/>
                <w:highlight w:val="none"/>
                <w:lang w:eastAsia="zh-CN"/>
              </w:rPr>
              <w:t>15320</w:t>
            </w:r>
            <w:r>
              <w:rPr>
                <w:rFonts w:hint="default" w:ascii="Times New Roman" w:hAnsi="Times New Roman" w:eastAsia="宋体" w:cs="Times New Roman"/>
                <w:snapToGrid w:val="0"/>
                <w:color w:val="FF0000"/>
                <w:sz w:val="21"/>
                <w:szCs w:val="21"/>
                <w:highlight w:val="none"/>
                <w:lang w:eastAsia="zh-CN"/>
              </w:rPr>
              <w:t>平方米，煤场内用两台轮胎式装载机整理储煤及向受煤斗送煤，煤</w:t>
            </w:r>
            <w:r>
              <w:rPr>
                <w:rFonts w:hint="eastAsia" w:ascii="Times New Roman" w:hAnsi="Times New Roman" w:eastAsia="宋体" w:cs="Times New Roman"/>
                <w:snapToGrid w:val="0"/>
                <w:color w:val="FF0000"/>
                <w:sz w:val="21"/>
                <w:szCs w:val="21"/>
                <w:highlight w:val="none"/>
                <w:lang w:eastAsia="zh-CN"/>
              </w:rPr>
              <w:t>堆高10m</w:t>
            </w:r>
            <w:r>
              <w:rPr>
                <w:rFonts w:hint="default" w:ascii="Times New Roman" w:hAnsi="Times New Roman" w:eastAsia="宋体" w:cs="Times New Roman"/>
                <w:snapToGrid w:val="0"/>
                <w:color w:val="FF0000"/>
                <w:sz w:val="21"/>
                <w:szCs w:val="21"/>
                <w:highlight w:val="none"/>
                <w:lang w:eastAsia="zh-CN"/>
              </w:rPr>
              <w:t>，可储存燃煤10万吨，可确保本项目</w:t>
            </w:r>
            <w:r>
              <w:rPr>
                <w:rFonts w:hint="eastAsia" w:ascii="Times New Roman" w:hAnsi="Times New Roman" w:eastAsia="宋体" w:cs="Times New Roman"/>
                <w:snapToGrid w:val="0"/>
                <w:color w:val="FF0000"/>
                <w:sz w:val="21"/>
                <w:szCs w:val="21"/>
                <w:highlight w:val="none"/>
                <w:lang w:val="en-US" w:eastAsia="zh-CN"/>
              </w:rPr>
              <w:t>及现有工程</w:t>
            </w:r>
            <w:r>
              <w:rPr>
                <w:rFonts w:hint="default" w:ascii="Times New Roman" w:hAnsi="Times New Roman" w:eastAsia="宋体" w:cs="Times New Roman"/>
                <w:snapToGrid w:val="0"/>
                <w:color w:val="FF0000"/>
                <w:sz w:val="21"/>
                <w:szCs w:val="21"/>
                <w:highlight w:val="none"/>
                <w:lang w:eastAsia="zh-CN"/>
              </w:rPr>
              <w:t>锅炉运行</w:t>
            </w:r>
            <w:r>
              <w:rPr>
                <w:rFonts w:hint="eastAsia" w:ascii="Times New Roman" w:hAnsi="Times New Roman" w:eastAsia="宋体" w:cs="Times New Roman"/>
                <w:snapToGrid w:val="0"/>
                <w:color w:val="FF0000"/>
                <w:sz w:val="21"/>
                <w:szCs w:val="21"/>
                <w:highlight w:val="none"/>
                <w:lang w:val="en-US" w:eastAsia="zh-CN"/>
              </w:rPr>
              <w:t>46</w:t>
            </w:r>
            <w:r>
              <w:rPr>
                <w:rFonts w:hint="default" w:ascii="Times New Roman" w:hAnsi="Times New Roman" w:eastAsia="宋体" w:cs="Times New Roman"/>
                <w:snapToGrid w:val="0"/>
                <w:color w:val="FF0000"/>
                <w:sz w:val="21"/>
                <w:szCs w:val="21"/>
                <w:highlight w:val="none"/>
                <w:lang w:eastAsia="zh-CN"/>
              </w:rPr>
              <w:t>天的燃煤使用量；煤场周围设置</w:t>
            </w:r>
            <w:r>
              <w:rPr>
                <w:rFonts w:hint="eastAsia" w:ascii="Times New Roman" w:hAnsi="Times New Roman" w:eastAsia="宋体" w:cs="Times New Roman"/>
                <w:snapToGrid w:val="0"/>
                <w:color w:val="FF0000"/>
                <w:sz w:val="21"/>
                <w:szCs w:val="21"/>
                <w:highlight w:val="none"/>
                <w:lang w:val="en-US" w:eastAsia="zh-CN"/>
              </w:rPr>
              <w:t>2.5</w:t>
            </w:r>
            <w:r>
              <w:rPr>
                <w:rFonts w:hint="default" w:ascii="Times New Roman" w:hAnsi="Times New Roman" w:eastAsia="宋体" w:cs="Times New Roman"/>
                <w:snapToGrid w:val="0"/>
                <w:color w:val="FF0000"/>
                <w:sz w:val="21"/>
                <w:szCs w:val="21"/>
                <w:highlight w:val="none"/>
                <w:lang w:eastAsia="zh-CN"/>
              </w:rPr>
              <w:t>米高实体围墙，围墙上设置总长</w:t>
            </w:r>
            <w:r>
              <w:rPr>
                <w:rFonts w:hint="eastAsia" w:ascii="Times New Roman" w:hAnsi="Times New Roman" w:eastAsia="宋体" w:cs="Times New Roman"/>
                <w:snapToGrid w:val="0"/>
                <w:color w:val="FF0000"/>
                <w:sz w:val="21"/>
                <w:szCs w:val="21"/>
                <w:highlight w:val="none"/>
                <w:lang w:val="en-US" w:eastAsia="zh-CN"/>
              </w:rPr>
              <w:t>400</w:t>
            </w:r>
            <w:r>
              <w:rPr>
                <w:rFonts w:hint="default" w:ascii="Times New Roman" w:hAnsi="Times New Roman" w:eastAsia="宋体" w:cs="Times New Roman"/>
                <w:snapToGrid w:val="0"/>
                <w:color w:val="FF0000"/>
                <w:sz w:val="21"/>
                <w:szCs w:val="21"/>
                <w:highlight w:val="none"/>
                <w:lang w:eastAsia="zh-CN"/>
              </w:rPr>
              <w:t>米，高</w:t>
            </w:r>
            <w:r>
              <w:rPr>
                <w:rFonts w:hint="eastAsia" w:ascii="Times New Roman" w:hAnsi="Times New Roman" w:eastAsia="宋体" w:cs="Times New Roman"/>
                <w:snapToGrid w:val="0"/>
                <w:color w:val="FF0000"/>
                <w:sz w:val="21"/>
                <w:szCs w:val="21"/>
                <w:highlight w:val="none"/>
                <w:lang w:val="en-US" w:eastAsia="zh-CN"/>
              </w:rPr>
              <w:t>11</w:t>
            </w:r>
            <w:r>
              <w:rPr>
                <w:rFonts w:hint="default" w:ascii="Times New Roman" w:hAnsi="Times New Roman" w:eastAsia="宋体" w:cs="Times New Roman"/>
                <w:snapToGrid w:val="0"/>
                <w:color w:val="FF0000"/>
                <w:sz w:val="21"/>
                <w:szCs w:val="21"/>
                <w:highlight w:val="none"/>
                <w:lang w:eastAsia="zh-CN"/>
              </w:rPr>
              <w:t>米的防风抑尘网。</w:t>
            </w:r>
          </w:p>
        </w:tc>
        <w:tc>
          <w:tcPr>
            <w:tcW w:w="806" w:type="dxa"/>
            <w:tcBorders>
              <w:tl2br w:val="nil"/>
              <w:tr2bl w:val="nil"/>
            </w:tcBorders>
            <w:noWrap w:val="0"/>
            <w:vAlign w:val="center"/>
          </w:tcPr>
          <w:p w14:paraId="715EE842">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依托现有工程</w:t>
            </w:r>
          </w:p>
        </w:tc>
      </w:tr>
      <w:tr w14:paraId="7D5030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6" w:type="dxa"/>
            <w:vMerge w:val="continue"/>
            <w:tcBorders>
              <w:tl2br w:val="nil"/>
              <w:tr2bl w:val="nil"/>
            </w:tcBorders>
            <w:noWrap w:val="0"/>
            <w:vAlign w:val="center"/>
          </w:tcPr>
          <w:p w14:paraId="5F980478">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1440" w:type="dxa"/>
            <w:gridSpan w:val="2"/>
            <w:tcBorders>
              <w:tl2br w:val="nil"/>
              <w:tr2bl w:val="nil"/>
            </w:tcBorders>
            <w:noWrap w:val="0"/>
            <w:vAlign w:val="center"/>
          </w:tcPr>
          <w:p w14:paraId="104DBC22">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全封闭</w:t>
            </w:r>
            <w:r>
              <w:rPr>
                <w:rFonts w:hint="default" w:ascii="Times New Roman" w:hAnsi="Times New Roman" w:eastAsia="宋体" w:cs="Times New Roman"/>
                <w:color w:val="FF0000"/>
                <w:sz w:val="21"/>
                <w:szCs w:val="21"/>
                <w:highlight w:val="none"/>
              </w:rPr>
              <w:t>渣</w:t>
            </w:r>
            <w:r>
              <w:rPr>
                <w:rFonts w:hint="default" w:ascii="Times New Roman" w:hAnsi="Times New Roman" w:eastAsia="宋体" w:cs="Times New Roman"/>
                <w:color w:val="FF0000"/>
                <w:sz w:val="21"/>
                <w:szCs w:val="21"/>
                <w:highlight w:val="none"/>
                <w:lang w:val="en-US" w:eastAsia="zh-CN"/>
              </w:rPr>
              <w:t>库</w:t>
            </w:r>
          </w:p>
        </w:tc>
        <w:tc>
          <w:tcPr>
            <w:tcW w:w="5620" w:type="dxa"/>
            <w:tcBorders>
              <w:tl2br w:val="nil"/>
              <w:tr2bl w:val="nil"/>
            </w:tcBorders>
            <w:noWrap w:val="0"/>
            <w:vAlign w:val="center"/>
          </w:tcPr>
          <w:p w14:paraId="4A4BA22E">
            <w:pPr>
              <w:pStyle w:val="63"/>
              <w:keepNext w:val="0"/>
              <w:keepLines w:val="0"/>
              <w:pageBreakBefore w:val="0"/>
              <w:widowControl w:val="0"/>
              <w:kinsoku/>
              <w:wordWrap/>
              <w:overflowPunct/>
              <w:topLinePunct w:val="0"/>
              <w:bidi w:val="0"/>
              <w:adjustRightInd/>
              <w:snapToGrid/>
              <w:ind w:firstLine="0" w:firstLineChars="0"/>
              <w:jc w:val="left"/>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厂区内现有</w:t>
            </w:r>
            <w:r>
              <w:rPr>
                <w:rFonts w:hint="default" w:ascii="Times New Roman" w:hAnsi="Times New Roman" w:eastAsia="宋体" w:cs="Times New Roman"/>
                <w:color w:val="FF0000"/>
                <w:sz w:val="21"/>
                <w:szCs w:val="21"/>
                <w:highlight w:val="none"/>
                <w:lang w:val="en-US" w:eastAsia="zh-CN"/>
              </w:rPr>
              <w:t>1座全封闭</w:t>
            </w:r>
            <w:r>
              <w:rPr>
                <w:rFonts w:hint="default" w:ascii="Times New Roman" w:hAnsi="Times New Roman" w:eastAsia="宋体" w:cs="Times New Roman"/>
                <w:color w:val="FF0000"/>
                <w:sz w:val="21"/>
                <w:szCs w:val="21"/>
                <w:highlight w:val="none"/>
                <w:lang w:eastAsia="zh-CN"/>
              </w:rPr>
              <w:t>渣</w:t>
            </w:r>
            <w:r>
              <w:rPr>
                <w:rFonts w:hint="default" w:ascii="Times New Roman" w:hAnsi="Times New Roman" w:eastAsia="宋体" w:cs="Times New Roman"/>
                <w:color w:val="FF0000"/>
                <w:sz w:val="21"/>
                <w:szCs w:val="21"/>
                <w:highlight w:val="none"/>
                <w:lang w:val="en-US" w:eastAsia="zh-CN"/>
              </w:rPr>
              <w:t>库，容积为</w:t>
            </w:r>
            <w:r>
              <w:rPr>
                <w:rFonts w:hint="eastAsia" w:ascii="Times New Roman" w:hAnsi="Times New Roman" w:eastAsia="宋体" w:cs="Times New Roman"/>
                <w:color w:val="FF0000"/>
                <w:sz w:val="21"/>
                <w:szCs w:val="21"/>
                <w:highlight w:val="none"/>
                <w:lang w:val="en-US" w:eastAsia="zh-CN"/>
              </w:rPr>
              <w:t>10000</w:t>
            </w:r>
            <w:r>
              <w:rPr>
                <w:rFonts w:hint="default" w:ascii="Times New Roman" w:hAnsi="Times New Roman" w:eastAsia="宋体" w:cs="Times New Roman"/>
                <w:color w:val="FF0000"/>
                <w:sz w:val="21"/>
                <w:szCs w:val="21"/>
                <w:highlight w:val="none"/>
                <w:lang w:val="en-US" w:eastAsia="zh-CN"/>
              </w:rPr>
              <w:t>m</w:t>
            </w:r>
            <w:r>
              <w:rPr>
                <w:rFonts w:hint="default" w:ascii="Times New Roman" w:hAnsi="Times New Roman" w:eastAsia="宋体" w:cs="Times New Roman"/>
                <w:color w:val="FF0000"/>
                <w:sz w:val="21"/>
                <w:szCs w:val="21"/>
                <w:highlight w:val="none"/>
                <w:vertAlign w:val="superscript"/>
                <w:lang w:val="en-US" w:eastAsia="zh-CN"/>
              </w:rPr>
              <w:t>3</w:t>
            </w:r>
            <w:r>
              <w:rPr>
                <w:rFonts w:hint="eastAsia" w:ascii="Times New Roman" w:hAnsi="Times New Roman" w:eastAsia="宋体" w:cs="Times New Roman"/>
                <w:color w:val="FF0000"/>
                <w:sz w:val="21"/>
                <w:szCs w:val="21"/>
                <w:highlight w:val="none"/>
                <w:lang w:val="en-US" w:eastAsia="zh-CN"/>
              </w:rPr>
              <w:t>。可储存本工程和现有工程5天的炉渣量。</w:t>
            </w:r>
          </w:p>
        </w:tc>
        <w:tc>
          <w:tcPr>
            <w:tcW w:w="806" w:type="dxa"/>
            <w:tcBorders>
              <w:tl2br w:val="nil"/>
              <w:tr2bl w:val="nil"/>
            </w:tcBorders>
            <w:noWrap w:val="0"/>
            <w:vAlign w:val="center"/>
          </w:tcPr>
          <w:p w14:paraId="620A0D0C">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依托现有工程</w:t>
            </w:r>
          </w:p>
        </w:tc>
      </w:tr>
      <w:tr w14:paraId="2671F4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6" w:type="dxa"/>
            <w:vMerge w:val="continue"/>
            <w:tcBorders>
              <w:tl2br w:val="nil"/>
              <w:tr2bl w:val="nil"/>
            </w:tcBorders>
            <w:noWrap w:val="0"/>
            <w:vAlign w:val="center"/>
          </w:tcPr>
          <w:p w14:paraId="5AD23939">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1440" w:type="dxa"/>
            <w:gridSpan w:val="2"/>
            <w:tcBorders>
              <w:tl2br w:val="nil"/>
              <w:tr2bl w:val="nil"/>
            </w:tcBorders>
            <w:noWrap w:val="0"/>
            <w:vAlign w:val="center"/>
          </w:tcPr>
          <w:p w14:paraId="231F50EF">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eastAsia="zh-CN"/>
              </w:rPr>
            </w:pPr>
            <w:r>
              <w:rPr>
                <w:rFonts w:hint="default" w:ascii="Times New Roman" w:hAnsi="Times New Roman" w:eastAsia="宋体" w:cs="Times New Roman"/>
                <w:color w:val="FF0000"/>
                <w:sz w:val="21"/>
                <w:szCs w:val="21"/>
                <w:highlight w:val="none"/>
                <w:lang w:val="en-US" w:eastAsia="zh-CN"/>
              </w:rPr>
              <w:t>全封闭</w:t>
            </w:r>
            <w:r>
              <w:rPr>
                <w:rFonts w:hint="eastAsia" w:ascii="Times New Roman" w:hAnsi="Times New Roman" w:eastAsia="宋体" w:cs="Times New Roman"/>
                <w:color w:val="FF0000"/>
                <w:sz w:val="21"/>
                <w:szCs w:val="21"/>
                <w:highlight w:val="none"/>
                <w:lang w:eastAsia="zh-CN"/>
              </w:rPr>
              <w:t>灰库</w:t>
            </w:r>
          </w:p>
        </w:tc>
        <w:tc>
          <w:tcPr>
            <w:tcW w:w="5620" w:type="dxa"/>
            <w:tcBorders>
              <w:tl2br w:val="nil"/>
              <w:tr2bl w:val="nil"/>
            </w:tcBorders>
            <w:noWrap w:val="0"/>
            <w:vAlign w:val="center"/>
          </w:tcPr>
          <w:p w14:paraId="760CB21F">
            <w:pPr>
              <w:pStyle w:val="63"/>
              <w:keepNext w:val="0"/>
              <w:keepLines w:val="0"/>
              <w:pageBreakBefore w:val="0"/>
              <w:widowControl w:val="0"/>
              <w:kinsoku/>
              <w:wordWrap/>
              <w:overflowPunct/>
              <w:topLinePunct w:val="0"/>
              <w:bidi w:val="0"/>
              <w:adjustRightInd/>
              <w:snapToGrid/>
              <w:ind w:firstLine="0" w:firstLineChars="0"/>
              <w:jc w:val="left"/>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厂区现有1座全封闭贮灰库</w:t>
            </w:r>
            <w:r>
              <w:rPr>
                <w:rFonts w:hint="default" w:ascii="Times New Roman" w:hAnsi="Times New Roman" w:eastAsia="宋体" w:cs="Times New Roman"/>
                <w:color w:val="FF0000"/>
                <w:sz w:val="21"/>
                <w:szCs w:val="21"/>
                <w:highlight w:val="none"/>
                <w:lang w:val="en-US" w:eastAsia="zh-CN"/>
              </w:rPr>
              <w:t>，</w:t>
            </w:r>
            <w:r>
              <w:rPr>
                <w:rFonts w:hint="eastAsia" w:ascii="Times New Roman" w:hAnsi="Times New Roman" w:eastAsia="宋体" w:cs="Times New Roman"/>
                <w:color w:val="FF0000"/>
                <w:sz w:val="21"/>
                <w:szCs w:val="21"/>
                <w:highlight w:val="none"/>
                <w:lang w:val="en-US" w:eastAsia="zh-CN"/>
              </w:rPr>
              <w:t>建筑面积4600m</w:t>
            </w:r>
            <w:r>
              <w:rPr>
                <w:rFonts w:hint="eastAsia" w:ascii="Times New Roman" w:hAnsi="Times New Roman" w:eastAsia="宋体" w:cs="Times New Roman"/>
                <w:color w:val="FF0000"/>
                <w:sz w:val="21"/>
                <w:szCs w:val="21"/>
                <w:highlight w:val="none"/>
                <w:vertAlign w:val="superscript"/>
                <w:lang w:val="en-US" w:eastAsia="zh-CN"/>
              </w:rPr>
              <w:t>2</w:t>
            </w:r>
            <w:r>
              <w:rPr>
                <w:rFonts w:hint="default" w:ascii="Times New Roman" w:hAnsi="Times New Roman" w:eastAsia="宋体" w:cs="Times New Roman"/>
                <w:color w:val="FF0000"/>
                <w:sz w:val="21"/>
                <w:szCs w:val="21"/>
                <w:highlight w:val="none"/>
                <w:lang w:val="en-US" w:eastAsia="zh-CN"/>
              </w:rPr>
              <w:t>，总容积为</w:t>
            </w:r>
            <w:r>
              <w:rPr>
                <w:rFonts w:hint="eastAsia" w:ascii="Times New Roman" w:hAnsi="Times New Roman" w:eastAsia="宋体" w:cs="Times New Roman"/>
                <w:color w:val="FF0000"/>
                <w:sz w:val="21"/>
                <w:szCs w:val="21"/>
                <w:highlight w:val="none"/>
                <w:lang w:val="en-US" w:eastAsia="zh-CN"/>
              </w:rPr>
              <w:t>35000</w:t>
            </w:r>
            <w:r>
              <w:rPr>
                <w:rFonts w:hint="default" w:ascii="Times New Roman" w:hAnsi="Times New Roman" w:eastAsia="宋体" w:cs="Times New Roman"/>
                <w:color w:val="FF0000"/>
                <w:sz w:val="21"/>
                <w:szCs w:val="21"/>
                <w:highlight w:val="none"/>
                <w:lang w:val="en-US" w:eastAsia="zh-CN"/>
              </w:rPr>
              <w:t>m</w:t>
            </w:r>
            <w:r>
              <w:rPr>
                <w:rFonts w:hint="default" w:ascii="Times New Roman" w:hAnsi="Times New Roman" w:eastAsia="宋体" w:cs="Times New Roman"/>
                <w:color w:val="FF0000"/>
                <w:sz w:val="21"/>
                <w:szCs w:val="21"/>
                <w:highlight w:val="none"/>
                <w:vertAlign w:val="superscript"/>
                <w:lang w:val="en-US" w:eastAsia="zh-CN"/>
              </w:rPr>
              <w:t>3</w:t>
            </w:r>
            <w:r>
              <w:rPr>
                <w:rFonts w:hint="default" w:ascii="Times New Roman" w:hAnsi="Times New Roman" w:eastAsia="宋体" w:cs="Times New Roman"/>
                <w:color w:val="FF0000"/>
                <w:sz w:val="21"/>
                <w:szCs w:val="21"/>
                <w:highlight w:val="none"/>
                <w:lang w:val="en-US" w:eastAsia="zh-CN"/>
              </w:rPr>
              <w:t>，可满足贮存</w:t>
            </w:r>
            <w:r>
              <w:rPr>
                <w:rFonts w:hint="eastAsia" w:ascii="Times New Roman" w:hAnsi="Times New Roman" w:eastAsia="宋体" w:cs="Times New Roman"/>
                <w:color w:val="FF0000"/>
                <w:sz w:val="21"/>
                <w:szCs w:val="21"/>
                <w:highlight w:val="none"/>
                <w:lang w:val="en-US" w:eastAsia="zh-CN"/>
              </w:rPr>
              <w:t>本工程和现有工程65天的</w:t>
            </w:r>
            <w:r>
              <w:rPr>
                <w:rFonts w:hint="default" w:ascii="Times New Roman" w:hAnsi="Times New Roman" w:eastAsia="宋体" w:cs="Times New Roman"/>
                <w:color w:val="FF0000"/>
                <w:sz w:val="21"/>
                <w:szCs w:val="21"/>
                <w:highlight w:val="none"/>
                <w:lang w:val="en-US" w:eastAsia="zh-CN"/>
              </w:rPr>
              <w:t>灰量。</w:t>
            </w:r>
          </w:p>
        </w:tc>
        <w:tc>
          <w:tcPr>
            <w:tcW w:w="806" w:type="dxa"/>
            <w:tcBorders>
              <w:tl2br w:val="nil"/>
              <w:tr2bl w:val="nil"/>
            </w:tcBorders>
            <w:noWrap w:val="0"/>
            <w:vAlign w:val="center"/>
          </w:tcPr>
          <w:p w14:paraId="5D8E062F">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依托现有工程</w:t>
            </w:r>
          </w:p>
        </w:tc>
      </w:tr>
      <w:tr w14:paraId="411CAB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56" w:type="dxa"/>
            <w:vMerge w:val="continue"/>
            <w:tcBorders>
              <w:tl2br w:val="nil"/>
              <w:tr2bl w:val="nil"/>
            </w:tcBorders>
            <w:noWrap w:val="0"/>
            <w:vAlign w:val="center"/>
          </w:tcPr>
          <w:p w14:paraId="1820338F">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1440" w:type="dxa"/>
            <w:gridSpan w:val="2"/>
            <w:tcBorders>
              <w:tl2br w:val="nil"/>
              <w:tr2bl w:val="nil"/>
            </w:tcBorders>
            <w:noWrap w:val="0"/>
            <w:vAlign w:val="center"/>
          </w:tcPr>
          <w:p w14:paraId="03C8CE6B">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尿素存储间</w:t>
            </w:r>
          </w:p>
        </w:tc>
        <w:tc>
          <w:tcPr>
            <w:tcW w:w="5620" w:type="dxa"/>
            <w:tcBorders>
              <w:tl2br w:val="nil"/>
              <w:tr2bl w:val="nil"/>
            </w:tcBorders>
            <w:noWrap w:val="0"/>
            <w:vAlign w:val="center"/>
          </w:tcPr>
          <w:p w14:paraId="182FE84A">
            <w:pPr>
              <w:pStyle w:val="63"/>
              <w:keepNext w:val="0"/>
              <w:keepLines w:val="0"/>
              <w:pageBreakBefore w:val="0"/>
              <w:widowControl w:val="0"/>
              <w:kinsoku/>
              <w:wordWrap/>
              <w:overflowPunct/>
              <w:topLinePunct w:val="0"/>
              <w:bidi w:val="0"/>
              <w:adjustRightInd/>
              <w:snapToGrid/>
              <w:ind w:firstLine="0" w:firstLineChars="0"/>
              <w:jc w:val="left"/>
              <w:rPr>
                <w:rFonts w:hint="default" w:ascii="Times New Roman" w:hAnsi="Times New Roman" w:eastAsia="宋体" w:cs="Times New Roman"/>
                <w:b/>
                <w:bCs/>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本项目选用尿素为脱硝还原剂，外购袋装尿素由汽车运入厂内，储存于尿素仓库中，仓库建筑面积为</w:t>
            </w:r>
            <w:r>
              <w:rPr>
                <w:rFonts w:hint="eastAsia" w:ascii="Times New Roman" w:hAnsi="Times New Roman" w:eastAsia="宋体" w:cs="Times New Roman"/>
                <w:color w:val="FF0000"/>
                <w:sz w:val="21"/>
                <w:szCs w:val="21"/>
                <w:highlight w:val="none"/>
                <w:lang w:val="en-US" w:eastAsia="zh-CN"/>
              </w:rPr>
              <w:t>50</w:t>
            </w:r>
            <w:r>
              <w:rPr>
                <w:rFonts w:hint="default" w:ascii="Times New Roman" w:hAnsi="Times New Roman" w:eastAsia="宋体" w:cs="Times New Roman"/>
                <w:color w:val="FF0000"/>
                <w:sz w:val="21"/>
                <w:szCs w:val="21"/>
                <w:highlight w:val="none"/>
                <w:lang w:val="en-US" w:eastAsia="zh-CN"/>
              </w:rPr>
              <w:t>m</w:t>
            </w:r>
            <w:r>
              <w:rPr>
                <w:rFonts w:hint="default" w:ascii="Times New Roman" w:hAnsi="Times New Roman" w:eastAsia="宋体" w:cs="Times New Roman"/>
                <w:color w:val="FF0000"/>
                <w:sz w:val="21"/>
                <w:szCs w:val="21"/>
                <w:highlight w:val="none"/>
                <w:vertAlign w:val="superscript"/>
                <w:lang w:val="en-US" w:eastAsia="zh-CN"/>
              </w:rPr>
              <w:t>2</w:t>
            </w:r>
            <w:r>
              <w:rPr>
                <w:rFonts w:hint="default" w:ascii="Times New Roman" w:hAnsi="Times New Roman" w:eastAsia="宋体" w:cs="Times New Roman"/>
                <w:color w:val="FF0000"/>
                <w:sz w:val="21"/>
                <w:szCs w:val="21"/>
                <w:highlight w:val="none"/>
                <w:lang w:val="en-US" w:eastAsia="zh-CN"/>
              </w:rPr>
              <w:t>，拟设置在除尘器底部，</w:t>
            </w:r>
            <w:r>
              <w:rPr>
                <w:rFonts w:hint="eastAsia" w:ascii="Times New Roman" w:hAnsi="Times New Roman" w:eastAsia="宋体" w:cs="Times New Roman"/>
                <w:color w:val="FF0000"/>
                <w:sz w:val="21"/>
                <w:szCs w:val="21"/>
                <w:highlight w:val="none"/>
                <w:lang w:val="en-US" w:eastAsia="zh-CN"/>
              </w:rPr>
              <w:t>单台锅炉</w:t>
            </w:r>
            <w:r>
              <w:rPr>
                <w:rFonts w:hint="default" w:ascii="Times New Roman" w:hAnsi="Times New Roman" w:eastAsia="宋体" w:cs="Times New Roman"/>
                <w:color w:val="FF0000"/>
                <w:sz w:val="21"/>
                <w:szCs w:val="21"/>
                <w:highlight w:val="none"/>
                <w:lang w:val="en-US" w:eastAsia="zh-CN"/>
              </w:rPr>
              <w:t>尿素年用量为</w:t>
            </w:r>
            <w:r>
              <w:rPr>
                <w:rFonts w:hint="eastAsia" w:ascii="Times New Roman" w:hAnsi="Times New Roman" w:eastAsia="宋体" w:cs="Times New Roman"/>
                <w:color w:val="FF0000"/>
                <w:sz w:val="21"/>
                <w:szCs w:val="21"/>
                <w:highlight w:val="none"/>
                <w:lang w:val="en-US" w:eastAsia="zh-CN"/>
              </w:rPr>
              <w:t>78</w:t>
            </w:r>
            <w:r>
              <w:rPr>
                <w:rFonts w:hint="default" w:ascii="Times New Roman" w:hAnsi="Times New Roman" w:eastAsia="宋体" w:cs="Times New Roman"/>
                <w:color w:val="FF0000"/>
                <w:sz w:val="21"/>
                <w:szCs w:val="21"/>
                <w:highlight w:val="none"/>
                <w:lang w:val="en-US" w:eastAsia="zh-CN"/>
              </w:rPr>
              <w:t>t，能储存本项目</w:t>
            </w:r>
            <w:r>
              <w:rPr>
                <w:rFonts w:hint="eastAsia" w:ascii="Times New Roman" w:hAnsi="Times New Roman" w:eastAsia="宋体" w:cs="Times New Roman"/>
                <w:color w:val="FF0000"/>
                <w:sz w:val="21"/>
                <w:szCs w:val="21"/>
                <w:highlight w:val="none"/>
                <w:lang w:val="en-US" w:eastAsia="zh-CN"/>
              </w:rPr>
              <w:t>45</w:t>
            </w:r>
            <w:r>
              <w:rPr>
                <w:rFonts w:hint="default" w:ascii="Times New Roman" w:hAnsi="Times New Roman" w:eastAsia="宋体" w:cs="Times New Roman"/>
                <w:color w:val="FF0000"/>
                <w:sz w:val="21"/>
                <w:szCs w:val="21"/>
                <w:highlight w:val="none"/>
                <w:lang w:val="en-US" w:eastAsia="zh-CN"/>
              </w:rPr>
              <w:t>天左右的尿素用量</w:t>
            </w:r>
            <w:r>
              <w:rPr>
                <w:rFonts w:hint="eastAsia" w:ascii="Times New Roman" w:hAnsi="Times New Roman" w:eastAsia="宋体" w:cs="Times New Roman"/>
                <w:color w:val="FF0000"/>
                <w:sz w:val="21"/>
                <w:szCs w:val="21"/>
                <w:highlight w:val="none"/>
                <w:lang w:val="en-US" w:eastAsia="zh-CN"/>
              </w:rPr>
              <w:t>。</w:t>
            </w:r>
          </w:p>
        </w:tc>
        <w:tc>
          <w:tcPr>
            <w:tcW w:w="806" w:type="dxa"/>
            <w:tcBorders>
              <w:tl2br w:val="nil"/>
              <w:tr2bl w:val="nil"/>
            </w:tcBorders>
            <w:noWrap w:val="0"/>
            <w:vAlign w:val="center"/>
          </w:tcPr>
          <w:p w14:paraId="5DBCDBA2">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本项目二期</w:t>
            </w:r>
          </w:p>
        </w:tc>
      </w:tr>
      <w:tr w14:paraId="39DC86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56" w:type="dxa"/>
            <w:vMerge w:val="continue"/>
            <w:tcBorders>
              <w:tl2br w:val="nil"/>
              <w:tr2bl w:val="nil"/>
            </w:tcBorders>
            <w:noWrap w:val="0"/>
            <w:vAlign w:val="center"/>
          </w:tcPr>
          <w:p w14:paraId="76E8AE1A">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1440" w:type="dxa"/>
            <w:gridSpan w:val="2"/>
            <w:tcBorders>
              <w:tl2br w:val="nil"/>
              <w:tr2bl w:val="nil"/>
            </w:tcBorders>
            <w:noWrap w:val="0"/>
            <w:vAlign w:val="center"/>
          </w:tcPr>
          <w:p w14:paraId="44C80364">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生石灰粉</w:t>
            </w:r>
            <w:r>
              <w:rPr>
                <w:rFonts w:hint="default" w:ascii="Times New Roman" w:hAnsi="Times New Roman" w:eastAsia="宋体" w:cs="Times New Roman"/>
                <w:color w:val="FF0000"/>
                <w:sz w:val="21"/>
                <w:szCs w:val="21"/>
                <w:highlight w:val="none"/>
                <w:lang w:val="en-US" w:eastAsia="zh-CN"/>
              </w:rPr>
              <w:t>仓</w:t>
            </w:r>
          </w:p>
        </w:tc>
        <w:tc>
          <w:tcPr>
            <w:tcW w:w="5620" w:type="dxa"/>
            <w:tcBorders>
              <w:tl2br w:val="nil"/>
              <w:tr2bl w:val="nil"/>
            </w:tcBorders>
            <w:noWrap w:val="0"/>
            <w:vAlign w:val="center"/>
          </w:tcPr>
          <w:p w14:paraId="177FA3E5">
            <w:pPr>
              <w:pStyle w:val="63"/>
              <w:keepNext w:val="0"/>
              <w:keepLines w:val="0"/>
              <w:pageBreakBefore w:val="0"/>
              <w:widowControl w:val="0"/>
              <w:kinsoku/>
              <w:wordWrap/>
              <w:overflowPunct/>
              <w:topLinePunct w:val="0"/>
              <w:bidi w:val="0"/>
              <w:adjustRightInd/>
              <w:snapToGrid/>
              <w:ind w:firstLine="0" w:firstLineChars="0"/>
              <w:jc w:val="left"/>
              <w:rPr>
                <w:rFonts w:hint="default" w:ascii="Times New Roman" w:hAnsi="Times New Roman" w:eastAsia="宋体" w:cs="Times New Roman"/>
                <w:color w:val="FF0000"/>
                <w:sz w:val="21"/>
                <w:szCs w:val="21"/>
                <w:highlight w:val="none"/>
              </w:rPr>
            </w:pPr>
            <w:r>
              <w:rPr>
                <w:rFonts w:hint="eastAsia" w:ascii="Times New Roman" w:hAnsi="Times New Roman" w:eastAsia="宋体" w:cs="Times New Roman"/>
                <w:color w:val="FF0000"/>
                <w:sz w:val="21"/>
                <w:szCs w:val="21"/>
                <w:highlight w:val="none"/>
                <w:lang w:val="en-US" w:eastAsia="zh-CN"/>
              </w:rPr>
              <w:t>1</w:t>
            </w:r>
            <w:r>
              <w:rPr>
                <w:rFonts w:hint="default" w:ascii="Times New Roman" w:hAnsi="Times New Roman" w:eastAsia="宋体" w:cs="Times New Roman"/>
                <w:color w:val="FF0000"/>
                <w:sz w:val="21"/>
                <w:szCs w:val="21"/>
                <w:highlight w:val="none"/>
              </w:rPr>
              <w:t>座，总容积为</w:t>
            </w:r>
            <w:r>
              <w:rPr>
                <w:rFonts w:hint="eastAsia" w:ascii="Times New Roman" w:hAnsi="Times New Roman" w:eastAsia="宋体" w:cs="Times New Roman"/>
                <w:color w:val="FF0000"/>
                <w:sz w:val="21"/>
                <w:szCs w:val="21"/>
                <w:highlight w:val="none"/>
                <w:lang w:val="en-US" w:eastAsia="zh-CN"/>
              </w:rPr>
              <w:t>100</w:t>
            </w:r>
            <w:r>
              <w:rPr>
                <w:rFonts w:hint="default" w:ascii="Times New Roman" w:hAnsi="Times New Roman" w:eastAsia="宋体" w:cs="Times New Roman"/>
                <w:color w:val="FF0000"/>
                <w:sz w:val="21"/>
                <w:szCs w:val="21"/>
                <w:highlight w:val="none"/>
              </w:rPr>
              <w:t>m</w:t>
            </w:r>
            <w:r>
              <w:rPr>
                <w:rFonts w:hint="default" w:ascii="Times New Roman" w:hAnsi="Times New Roman" w:eastAsia="宋体" w:cs="Times New Roman"/>
                <w:color w:val="FF0000"/>
                <w:sz w:val="21"/>
                <w:szCs w:val="21"/>
                <w:highlight w:val="none"/>
                <w:vertAlign w:val="superscript"/>
              </w:rPr>
              <w:t>3</w:t>
            </w:r>
            <w:r>
              <w:rPr>
                <w:rFonts w:hint="default" w:ascii="Times New Roman" w:hAnsi="Times New Roman" w:eastAsia="宋体" w:cs="Times New Roman"/>
                <w:color w:val="FF0000"/>
                <w:sz w:val="21"/>
                <w:szCs w:val="21"/>
                <w:highlight w:val="none"/>
              </w:rPr>
              <w:t>，可满足</w:t>
            </w:r>
            <w:r>
              <w:rPr>
                <w:rFonts w:hint="eastAsia" w:ascii="Times New Roman" w:hAnsi="Times New Roman" w:eastAsia="宋体" w:cs="Times New Roman"/>
                <w:color w:val="FF0000"/>
                <w:sz w:val="21"/>
                <w:szCs w:val="21"/>
                <w:highlight w:val="none"/>
                <w:lang w:eastAsia="zh-CN"/>
              </w:rPr>
              <w:t>本项目</w:t>
            </w:r>
            <w:r>
              <w:rPr>
                <w:rFonts w:hint="default" w:ascii="Times New Roman" w:hAnsi="Times New Roman" w:eastAsia="宋体" w:cs="Times New Roman"/>
                <w:color w:val="FF0000"/>
                <w:sz w:val="21"/>
                <w:szCs w:val="21"/>
                <w:highlight w:val="none"/>
              </w:rPr>
              <w:t>锅炉满负荷运行</w:t>
            </w:r>
            <w:r>
              <w:rPr>
                <w:rFonts w:hint="eastAsia" w:ascii="Times New Roman" w:hAnsi="Times New Roman" w:eastAsia="宋体" w:cs="Times New Roman"/>
                <w:color w:val="FF0000"/>
                <w:sz w:val="21"/>
                <w:szCs w:val="21"/>
                <w:highlight w:val="none"/>
                <w:lang w:val="en-US" w:eastAsia="zh-CN"/>
              </w:rPr>
              <w:t>6</w:t>
            </w:r>
            <w:r>
              <w:rPr>
                <w:rFonts w:hint="default" w:ascii="Times New Roman" w:hAnsi="Times New Roman" w:eastAsia="宋体" w:cs="Times New Roman"/>
                <w:color w:val="FF0000"/>
                <w:sz w:val="21"/>
                <w:szCs w:val="21"/>
                <w:highlight w:val="none"/>
              </w:rPr>
              <w:t>天的</w:t>
            </w:r>
            <w:r>
              <w:rPr>
                <w:rFonts w:hint="eastAsia" w:ascii="Times New Roman" w:hAnsi="Times New Roman" w:eastAsia="宋体" w:cs="Times New Roman"/>
                <w:color w:val="FF0000"/>
                <w:sz w:val="21"/>
                <w:szCs w:val="21"/>
                <w:highlight w:val="none"/>
                <w:lang w:eastAsia="zh-CN"/>
              </w:rPr>
              <w:t>生石灰</w:t>
            </w:r>
            <w:r>
              <w:rPr>
                <w:rFonts w:hint="default" w:ascii="Times New Roman" w:hAnsi="Times New Roman" w:eastAsia="宋体" w:cs="Times New Roman"/>
                <w:color w:val="FF0000"/>
                <w:sz w:val="21"/>
                <w:szCs w:val="21"/>
                <w:highlight w:val="none"/>
              </w:rPr>
              <w:t>用量。设有</w:t>
            </w:r>
            <w:r>
              <w:rPr>
                <w:rFonts w:hint="eastAsia" w:ascii="Times New Roman" w:hAnsi="Times New Roman" w:eastAsia="宋体" w:cs="Times New Roman"/>
                <w:color w:val="FF0000"/>
                <w:sz w:val="21"/>
                <w:szCs w:val="21"/>
                <w:highlight w:val="none"/>
                <w:lang w:eastAsia="zh-CN"/>
              </w:rPr>
              <w:t>脉冲布袋</w:t>
            </w:r>
            <w:r>
              <w:rPr>
                <w:rFonts w:hint="default" w:ascii="Times New Roman" w:hAnsi="Times New Roman" w:eastAsia="宋体" w:cs="Times New Roman"/>
                <w:color w:val="FF0000"/>
                <w:sz w:val="21"/>
                <w:szCs w:val="21"/>
                <w:highlight w:val="none"/>
              </w:rPr>
              <w:t>除尘。</w:t>
            </w:r>
          </w:p>
        </w:tc>
        <w:tc>
          <w:tcPr>
            <w:tcW w:w="806" w:type="dxa"/>
            <w:tcBorders>
              <w:tl2br w:val="nil"/>
              <w:tr2bl w:val="nil"/>
            </w:tcBorders>
            <w:noWrap w:val="0"/>
            <w:vAlign w:val="center"/>
          </w:tcPr>
          <w:p w14:paraId="0DC175F7">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本项目二期</w:t>
            </w:r>
          </w:p>
        </w:tc>
      </w:tr>
      <w:tr w14:paraId="04A130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56" w:type="dxa"/>
            <w:vMerge w:val="continue"/>
            <w:tcBorders>
              <w:tl2br w:val="nil"/>
              <w:tr2bl w:val="nil"/>
            </w:tcBorders>
            <w:noWrap w:val="0"/>
            <w:vAlign w:val="center"/>
          </w:tcPr>
          <w:p w14:paraId="77E04560">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1440" w:type="dxa"/>
            <w:gridSpan w:val="2"/>
            <w:tcBorders>
              <w:tl2br w:val="nil"/>
              <w:tr2bl w:val="nil"/>
            </w:tcBorders>
            <w:noWrap w:val="0"/>
            <w:vAlign w:val="center"/>
          </w:tcPr>
          <w:p w14:paraId="3EBA6218">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危废贮存库</w:t>
            </w:r>
          </w:p>
        </w:tc>
        <w:tc>
          <w:tcPr>
            <w:tcW w:w="5620" w:type="dxa"/>
            <w:tcBorders>
              <w:tl2br w:val="nil"/>
              <w:tr2bl w:val="nil"/>
            </w:tcBorders>
            <w:noWrap w:val="0"/>
            <w:vAlign w:val="center"/>
          </w:tcPr>
          <w:p w14:paraId="57FD9DB5">
            <w:pPr>
              <w:pStyle w:val="63"/>
              <w:keepNext w:val="0"/>
              <w:keepLines w:val="0"/>
              <w:pageBreakBefore w:val="0"/>
              <w:widowControl w:val="0"/>
              <w:kinsoku/>
              <w:wordWrap/>
              <w:overflowPunct/>
              <w:topLinePunct w:val="0"/>
              <w:bidi w:val="0"/>
              <w:adjustRightInd/>
              <w:snapToGrid/>
              <w:ind w:firstLine="0" w:firstLineChars="0"/>
              <w:jc w:val="left"/>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危废贮存库建筑面积20m</w:t>
            </w:r>
            <w:r>
              <w:rPr>
                <w:rFonts w:hint="eastAsia" w:ascii="Times New Roman" w:hAnsi="Times New Roman" w:eastAsia="宋体" w:cs="Times New Roman"/>
                <w:color w:val="FF0000"/>
                <w:sz w:val="21"/>
                <w:szCs w:val="21"/>
                <w:highlight w:val="none"/>
                <w:vertAlign w:val="superscript"/>
                <w:lang w:val="en-US" w:eastAsia="zh-CN"/>
              </w:rPr>
              <w:t>2</w:t>
            </w:r>
            <w:r>
              <w:rPr>
                <w:rFonts w:hint="eastAsia" w:ascii="Times New Roman" w:hAnsi="Times New Roman" w:eastAsia="宋体" w:cs="Times New Roman"/>
                <w:color w:val="FF0000"/>
                <w:sz w:val="21"/>
                <w:szCs w:val="21"/>
                <w:highlight w:val="none"/>
                <w:lang w:val="en-US" w:eastAsia="zh-CN"/>
              </w:rPr>
              <w:t>，用于储存项目运行产生的危险废物</w:t>
            </w:r>
          </w:p>
        </w:tc>
        <w:tc>
          <w:tcPr>
            <w:tcW w:w="806" w:type="dxa"/>
            <w:tcBorders>
              <w:tl2br w:val="nil"/>
              <w:tr2bl w:val="nil"/>
            </w:tcBorders>
            <w:noWrap w:val="0"/>
            <w:vAlign w:val="center"/>
          </w:tcPr>
          <w:p w14:paraId="6C51F9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依托现有工程</w:t>
            </w:r>
          </w:p>
        </w:tc>
      </w:tr>
      <w:tr w14:paraId="7558B8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56" w:type="dxa"/>
            <w:vMerge w:val="restart"/>
            <w:tcBorders>
              <w:tl2br w:val="nil"/>
              <w:tr2bl w:val="nil"/>
            </w:tcBorders>
            <w:noWrap w:val="0"/>
            <w:vAlign w:val="center"/>
          </w:tcPr>
          <w:p w14:paraId="558F8892">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环保工程</w:t>
            </w:r>
          </w:p>
        </w:tc>
        <w:tc>
          <w:tcPr>
            <w:tcW w:w="695" w:type="dxa"/>
            <w:vMerge w:val="restart"/>
            <w:tcBorders>
              <w:tl2br w:val="nil"/>
              <w:tr2bl w:val="nil"/>
            </w:tcBorders>
            <w:noWrap w:val="0"/>
            <w:vAlign w:val="center"/>
          </w:tcPr>
          <w:p w14:paraId="64E2FC94">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锅炉烟气防治措施</w:t>
            </w:r>
          </w:p>
        </w:tc>
        <w:tc>
          <w:tcPr>
            <w:tcW w:w="745" w:type="dxa"/>
            <w:tcBorders>
              <w:tl2br w:val="nil"/>
              <w:tr2bl w:val="nil"/>
            </w:tcBorders>
            <w:noWrap w:val="0"/>
            <w:vAlign w:val="center"/>
          </w:tcPr>
          <w:p w14:paraId="3D798FD3">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除尘</w:t>
            </w:r>
          </w:p>
        </w:tc>
        <w:tc>
          <w:tcPr>
            <w:tcW w:w="5620" w:type="dxa"/>
            <w:tcBorders>
              <w:tl2br w:val="nil"/>
              <w:tr2bl w:val="nil"/>
            </w:tcBorders>
            <w:noWrap w:val="0"/>
            <w:vAlign w:val="center"/>
          </w:tcPr>
          <w:p w14:paraId="4A337ED9">
            <w:pPr>
              <w:pStyle w:val="63"/>
              <w:keepNext w:val="0"/>
              <w:keepLines w:val="0"/>
              <w:pageBreakBefore w:val="0"/>
              <w:widowControl w:val="0"/>
              <w:kinsoku/>
              <w:wordWrap/>
              <w:overflowPunct/>
              <w:topLinePunct w:val="0"/>
              <w:bidi w:val="0"/>
              <w:adjustRightInd/>
              <w:snapToGrid/>
              <w:ind w:firstLine="0" w:firstLineChars="0"/>
              <w:jc w:val="left"/>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采用</w:t>
            </w:r>
            <w:r>
              <w:rPr>
                <w:rFonts w:hint="eastAsia" w:ascii="Times New Roman" w:hAnsi="Times New Roman" w:eastAsia="宋体" w:cs="Times New Roman"/>
                <w:color w:val="FF0000"/>
                <w:sz w:val="21"/>
                <w:szCs w:val="21"/>
                <w:highlight w:val="none"/>
                <w:lang w:val="en-US" w:eastAsia="zh-CN"/>
              </w:rPr>
              <w:t>布袋除尘器对</w:t>
            </w:r>
            <w:r>
              <w:rPr>
                <w:rFonts w:hint="default" w:ascii="Times New Roman" w:hAnsi="Times New Roman" w:eastAsia="宋体" w:cs="Times New Roman"/>
                <w:color w:val="FF0000"/>
                <w:sz w:val="21"/>
                <w:szCs w:val="21"/>
                <w:highlight w:val="none"/>
                <w:lang w:val="en-US" w:eastAsia="zh-CN"/>
              </w:rPr>
              <w:t>锅炉烟气进行净化处理，</w:t>
            </w:r>
            <w:r>
              <w:rPr>
                <w:rFonts w:hint="eastAsia" w:ascii="Times New Roman" w:hAnsi="Times New Roman" w:eastAsia="宋体" w:cs="Times New Roman"/>
                <w:color w:val="FF0000"/>
                <w:sz w:val="21"/>
                <w:szCs w:val="21"/>
                <w:highlight w:val="none"/>
                <w:lang w:val="en-US" w:eastAsia="zh-CN"/>
              </w:rPr>
              <w:t>本项目新建1台电袋复合式除尘器，</w:t>
            </w:r>
            <w:r>
              <w:rPr>
                <w:rFonts w:hint="default" w:ascii="Times New Roman" w:hAnsi="Times New Roman" w:eastAsia="宋体" w:cs="Times New Roman"/>
                <w:color w:val="FF0000"/>
                <w:sz w:val="21"/>
                <w:szCs w:val="21"/>
                <w:highlight w:val="none"/>
                <w:lang w:val="en-US" w:eastAsia="zh-CN"/>
              </w:rPr>
              <w:t>布袋除尘系统的颗粒物处理效率高于99.9%</w:t>
            </w:r>
            <w:r>
              <w:rPr>
                <w:rFonts w:hint="eastAsia" w:ascii="Times New Roman" w:hAnsi="Times New Roman" w:eastAsia="宋体" w:cs="Times New Roman"/>
                <w:color w:val="FF0000"/>
                <w:sz w:val="21"/>
                <w:szCs w:val="21"/>
                <w:highlight w:val="none"/>
                <w:lang w:val="en-US" w:eastAsia="zh-CN"/>
              </w:rPr>
              <w:t>，石灰石－石膏湿法脱硫协同除尘效率50%，综合除尘效率可达99.95%以上。</w:t>
            </w:r>
          </w:p>
        </w:tc>
        <w:tc>
          <w:tcPr>
            <w:tcW w:w="806" w:type="dxa"/>
            <w:vMerge w:val="restart"/>
            <w:tcBorders>
              <w:tl2br w:val="nil"/>
              <w:tr2bl w:val="nil"/>
            </w:tcBorders>
            <w:noWrap w:val="0"/>
            <w:vAlign w:val="center"/>
          </w:tcPr>
          <w:p w14:paraId="632AEF1B">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本项目二期</w:t>
            </w:r>
          </w:p>
        </w:tc>
      </w:tr>
      <w:tr w14:paraId="76138F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56" w:type="dxa"/>
            <w:vMerge w:val="continue"/>
            <w:tcBorders>
              <w:tl2br w:val="nil"/>
              <w:tr2bl w:val="nil"/>
            </w:tcBorders>
            <w:noWrap w:val="0"/>
            <w:vAlign w:val="center"/>
          </w:tcPr>
          <w:p w14:paraId="62D12D0B">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695" w:type="dxa"/>
            <w:vMerge w:val="continue"/>
            <w:tcBorders>
              <w:tl2br w:val="nil"/>
              <w:tr2bl w:val="nil"/>
            </w:tcBorders>
            <w:noWrap w:val="0"/>
            <w:vAlign w:val="center"/>
          </w:tcPr>
          <w:p w14:paraId="1D378D4A">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745" w:type="dxa"/>
            <w:tcBorders>
              <w:tl2br w:val="nil"/>
              <w:tr2bl w:val="nil"/>
            </w:tcBorders>
            <w:noWrap w:val="0"/>
            <w:vAlign w:val="center"/>
          </w:tcPr>
          <w:p w14:paraId="675F3234">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脱硫</w:t>
            </w:r>
          </w:p>
        </w:tc>
        <w:tc>
          <w:tcPr>
            <w:tcW w:w="5620" w:type="dxa"/>
            <w:tcBorders>
              <w:tl2br w:val="nil"/>
              <w:tr2bl w:val="nil"/>
            </w:tcBorders>
            <w:noWrap w:val="0"/>
            <w:vAlign w:val="center"/>
          </w:tcPr>
          <w:p w14:paraId="0291CD1B">
            <w:pPr>
              <w:pStyle w:val="63"/>
              <w:keepNext w:val="0"/>
              <w:keepLines w:val="0"/>
              <w:pageBreakBefore w:val="0"/>
              <w:widowControl w:val="0"/>
              <w:kinsoku/>
              <w:wordWrap/>
              <w:overflowPunct/>
              <w:topLinePunct w:val="0"/>
              <w:bidi w:val="0"/>
              <w:adjustRightInd/>
              <w:snapToGrid/>
              <w:ind w:firstLine="0" w:firstLineChars="0"/>
              <w:jc w:val="left"/>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炉内喷钙+氨法脱硫，生石灰浆液经生石灰浆液泵送入脱硫吸收塔内，脱硫塔</w:t>
            </w:r>
            <w:r>
              <w:rPr>
                <w:rFonts w:hint="default" w:ascii="Times New Roman" w:hAnsi="Times New Roman" w:eastAsia="宋体" w:cs="Times New Roman"/>
                <w:color w:val="FF0000"/>
                <w:sz w:val="21"/>
                <w:szCs w:val="21"/>
                <w:highlight w:val="none"/>
                <w:lang w:val="en-US" w:eastAsia="zh-CN"/>
              </w:rPr>
              <w:t>内部不同的位置布置5支喷枪</w:t>
            </w:r>
            <w:r>
              <w:rPr>
                <w:rFonts w:hint="eastAsia" w:ascii="Times New Roman" w:hAnsi="Times New Roman" w:eastAsia="宋体" w:cs="Times New Roman"/>
                <w:color w:val="FF0000"/>
                <w:sz w:val="21"/>
                <w:szCs w:val="21"/>
                <w:highlight w:val="none"/>
                <w:lang w:val="en-US" w:eastAsia="zh-CN"/>
              </w:rPr>
              <w:t>和二</w:t>
            </w:r>
            <w:r>
              <w:rPr>
                <w:rFonts w:hint="default" w:ascii="Times New Roman" w:hAnsi="Times New Roman" w:eastAsia="宋体" w:cs="Times New Roman"/>
                <w:color w:val="FF0000"/>
                <w:sz w:val="21"/>
                <w:szCs w:val="21"/>
                <w:highlight w:val="none"/>
                <w:lang w:val="en-US" w:eastAsia="zh-CN"/>
              </w:rPr>
              <w:t>层除雾器，除尘效率按50%考虑。</w:t>
            </w:r>
          </w:p>
        </w:tc>
        <w:tc>
          <w:tcPr>
            <w:tcW w:w="806" w:type="dxa"/>
            <w:vMerge w:val="continue"/>
            <w:tcBorders>
              <w:tl2br w:val="nil"/>
              <w:tr2bl w:val="nil"/>
            </w:tcBorders>
            <w:noWrap w:val="0"/>
            <w:vAlign w:val="center"/>
          </w:tcPr>
          <w:p w14:paraId="22B1FE6A">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r>
      <w:tr w14:paraId="0ED13E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656" w:type="dxa"/>
            <w:vMerge w:val="continue"/>
            <w:tcBorders>
              <w:tl2br w:val="nil"/>
              <w:tr2bl w:val="nil"/>
            </w:tcBorders>
            <w:noWrap w:val="0"/>
            <w:vAlign w:val="center"/>
          </w:tcPr>
          <w:p w14:paraId="2FA9AE54">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695" w:type="dxa"/>
            <w:vMerge w:val="continue"/>
            <w:tcBorders>
              <w:tl2br w:val="nil"/>
              <w:tr2bl w:val="nil"/>
            </w:tcBorders>
            <w:noWrap w:val="0"/>
            <w:vAlign w:val="center"/>
          </w:tcPr>
          <w:p w14:paraId="4A86C9ED">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745" w:type="dxa"/>
            <w:tcBorders>
              <w:tl2br w:val="nil"/>
              <w:tr2bl w:val="nil"/>
            </w:tcBorders>
            <w:noWrap w:val="0"/>
            <w:vAlign w:val="center"/>
          </w:tcPr>
          <w:p w14:paraId="0869D643">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脱硝</w:t>
            </w:r>
          </w:p>
        </w:tc>
        <w:tc>
          <w:tcPr>
            <w:tcW w:w="5620" w:type="dxa"/>
            <w:tcBorders>
              <w:tl2br w:val="nil"/>
              <w:tr2bl w:val="nil"/>
            </w:tcBorders>
            <w:noWrap w:val="0"/>
            <w:vAlign w:val="center"/>
          </w:tcPr>
          <w:p w14:paraId="608D5137">
            <w:pPr>
              <w:pStyle w:val="63"/>
              <w:keepNext w:val="0"/>
              <w:keepLines w:val="0"/>
              <w:pageBreakBefore w:val="0"/>
              <w:widowControl w:val="0"/>
              <w:kinsoku/>
              <w:wordWrap/>
              <w:overflowPunct/>
              <w:topLinePunct w:val="0"/>
              <w:bidi w:val="0"/>
              <w:adjustRightInd/>
              <w:snapToGrid/>
              <w:ind w:firstLine="0" w:firstLineChars="0"/>
              <w:jc w:val="left"/>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SNCR脱硝喷枪安装在旋风分离器入口750℃~850℃位置，左右各5个喷枪，控制系统采用PLC控制。亚氯酸钠脱硝塔内部不同的位置布置喷枪共8支，保证喷入溶液完全覆盖整个脱硝塔截面，脱硝效率为88%。</w:t>
            </w:r>
          </w:p>
        </w:tc>
        <w:tc>
          <w:tcPr>
            <w:tcW w:w="806" w:type="dxa"/>
            <w:vMerge w:val="continue"/>
            <w:tcBorders>
              <w:tl2br w:val="nil"/>
              <w:tr2bl w:val="nil"/>
            </w:tcBorders>
            <w:noWrap w:val="0"/>
            <w:vAlign w:val="center"/>
          </w:tcPr>
          <w:p w14:paraId="04D0AD89">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r>
      <w:tr w14:paraId="3D2E38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6" w:type="dxa"/>
            <w:vMerge w:val="continue"/>
            <w:tcBorders>
              <w:tl2br w:val="nil"/>
              <w:tr2bl w:val="nil"/>
            </w:tcBorders>
            <w:noWrap w:val="0"/>
            <w:vAlign w:val="center"/>
          </w:tcPr>
          <w:p w14:paraId="7B28FB74">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695" w:type="dxa"/>
            <w:vMerge w:val="continue"/>
            <w:tcBorders>
              <w:tl2br w:val="nil"/>
              <w:tr2bl w:val="nil"/>
            </w:tcBorders>
            <w:noWrap w:val="0"/>
            <w:vAlign w:val="center"/>
          </w:tcPr>
          <w:p w14:paraId="4C49ECDE">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745" w:type="dxa"/>
            <w:tcBorders>
              <w:tl2br w:val="nil"/>
              <w:tr2bl w:val="nil"/>
            </w:tcBorders>
            <w:noWrap w:val="0"/>
            <w:vAlign w:val="center"/>
          </w:tcPr>
          <w:p w14:paraId="1427B264">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汞及其化合物</w:t>
            </w:r>
          </w:p>
        </w:tc>
        <w:tc>
          <w:tcPr>
            <w:tcW w:w="5620" w:type="dxa"/>
            <w:tcBorders>
              <w:tl2br w:val="nil"/>
              <w:tr2bl w:val="nil"/>
            </w:tcBorders>
            <w:noWrap w:val="0"/>
            <w:vAlign w:val="center"/>
          </w:tcPr>
          <w:p w14:paraId="722BC99E">
            <w:pPr>
              <w:pStyle w:val="63"/>
              <w:keepNext w:val="0"/>
              <w:keepLines w:val="0"/>
              <w:pageBreakBefore w:val="0"/>
              <w:widowControl w:val="0"/>
              <w:kinsoku/>
              <w:wordWrap/>
              <w:overflowPunct/>
              <w:topLinePunct w:val="0"/>
              <w:bidi w:val="0"/>
              <w:adjustRightInd/>
              <w:snapToGrid/>
              <w:ind w:firstLine="0" w:firstLineChars="0"/>
              <w:jc w:val="left"/>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本项目锅炉烟气汞及其化合物采用</w:t>
            </w:r>
            <w:r>
              <w:rPr>
                <w:rFonts w:hint="default" w:ascii="Times New Roman" w:hAnsi="Times New Roman" w:eastAsia="宋体" w:cs="Times New Roman"/>
                <w:color w:val="FF0000"/>
                <w:sz w:val="21"/>
                <w:szCs w:val="21"/>
                <w:highlight w:val="none"/>
                <w:lang w:val="en-US" w:eastAsia="zh-CN"/>
              </w:rPr>
              <w:t>协同去除，去除效率</w:t>
            </w:r>
            <w:r>
              <w:rPr>
                <w:rFonts w:hint="eastAsia" w:ascii="Times New Roman" w:hAnsi="Times New Roman" w:eastAsia="宋体" w:cs="Times New Roman"/>
                <w:color w:val="FF0000"/>
                <w:sz w:val="21"/>
                <w:szCs w:val="21"/>
                <w:highlight w:val="none"/>
                <w:lang w:val="en-US" w:eastAsia="zh-CN"/>
              </w:rPr>
              <w:t>可达7</w:t>
            </w:r>
            <w:r>
              <w:rPr>
                <w:rFonts w:hint="default" w:ascii="Times New Roman" w:hAnsi="Times New Roman" w:eastAsia="宋体" w:cs="Times New Roman"/>
                <w:color w:val="FF0000"/>
                <w:sz w:val="21"/>
                <w:szCs w:val="21"/>
                <w:highlight w:val="none"/>
                <w:lang w:val="en-US" w:eastAsia="zh-CN"/>
              </w:rPr>
              <w:t>0%</w:t>
            </w:r>
            <w:r>
              <w:rPr>
                <w:rFonts w:hint="eastAsia" w:ascii="Times New Roman" w:hAnsi="Times New Roman" w:eastAsia="宋体" w:cs="Times New Roman"/>
                <w:color w:val="FF0000"/>
                <w:sz w:val="21"/>
                <w:szCs w:val="21"/>
                <w:highlight w:val="none"/>
                <w:lang w:val="en-US" w:eastAsia="zh-CN"/>
              </w:rPr>
              <w:t>以上</w:t>
            </w:r>
          </w:p>
        </w:tc>
        <w:tc>
          <w:tcPr>
            <w:tcW w:w="806" w:type="dxa"/>
            <w:vMerge w:val="continue"/>
            <w:tcBorders>
              <w:tl2br w:val="nil"/>
              <w:tr2bl w:val="nil"/>
            </w:tcBorders>
            <w:noWrap w:val="0"/>
            <w:vAlign w:val="center"/>
          </w:tcPr>
          <w:p w14:paraId="4B0B4343">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r>
      <w:tr w14:paraId="7E173B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6" w:type="dxa"/>
            <w:vMerge w:val="continue"/>
            <w:tcBorders>
              <w:tl2br w:val="nil"/>
              <w:tr2bl w:val="nil"/>
            </w:tcBorders>
            <w:noWrap w:val="0"/>
            <w:vAlign w:val="center"/>
          </w:tcPr>
          <w:p w14:paraId="6D67D302">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695" w:type="dxa"/>
            <w:vMerge w:val="continue"/>
            <w:tcBorders>
              <w:tl2br w:val="nil"/>
              <w:tr2bl w:val="nil"/>
            </w:tcBorders>
            <w:noWrap w:val="0"/>
            <w:vAlign w:val="center"/>
          </w:tcPr>
          <w:p w14:paraId="00114748">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745" w:type="dxa"/>
            <w:tcBorders>
              <w:tl2br w:val="nil"/>
              <w:tr2bl w:val="nil"/>
            </w:tcBorders>
            <w:noWrap w:val="0"/>
            <w:vAlign w:val="center"/>
          </w:tcPr>
          <w:p w14:paraId="06ECAC83">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rPr>
              <w:t>在线监测系统</w:t>
            </w:r>
          </w:p>
        </w:tc>
        <w:tc>
          <w:tcPr>
            <w:tcW w:w="5620" w:type="dxa"/>
            <w:tcBorders>
              <w:tl2br w:val="nil"/>
              <w:tr2bl w:val="nil"/>
            </w:tcBorders>
            <w:noWrap w:val="0"/>
            <w:vAlign w:val="center"/>
          </w:tcPr>
          <w:p w14:paraId="020F9AFC">
            <w:pPr>
              <w:pStyle w:val="63"/>
              <w:keepNext w:val="0"/>
              <w:keepLines w:val="0"/>
              <w:pageBreakBefore w:val="0"/>
              <w:widowControl w:val="0"/>
              <w:kinsoku/>
              <w:wordWrap/>
              <w:overflowPunct/>
              <w:topLinePunct w:val="0"/>
              <w:bidi w:val="0"/>
              <w:adjustRightInd/>
              <w:snapToGrid/>
              <w:ind w:firstLine="0" w:firstLineChars="0"/>
              <w:jc w:val="left"/>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eastAsia="zh-CN"/>
              </w:rPr>
              <w:t>安装</w:t>
            </w:r>
            <w:r>
              <w:rPr>
                <w:rFonts w:hint="default" w:ascii="Times New Roman" w:hAnsi="Times New Roman" w:eastAsia="宋体" w:cs="Times New Roman"/>
                <w:color w:val="FF0000"/>
                <w:sz w:val="21"/>
                <w:szCs w:val="21"/>
                <w:highlight w:val="none"/>
              </w:rPr>
              <w:t>烟气污染源自动连续监测系统，</w:t>
            </w:r>
            <w:r>
              <w:rPr>
                <w:rFonts w:hint="default" w:ascii="Times New Roman" w:hAnsi="Times New Roman" w:eastAsia="宋体" w:cs="Times New Roman"/>
                <w:snapToGrid w:val="0"/>
                <w:color w:val="FF0000"/>
                <w:kern w:val="0"/>
                <w:sz w:val="21"/>
                <w:szCs w:val="21"/>
                <w:highlight w:val="none"/>
                <w:lang w:val="en-US" w:eastAsia="zh-CN"/>
              </w:rPr>
              <w:t>用来监测烟气中颗粒物、SO</w:t>
            </w:r>
            <w:r>
              <w:rPr>
                <w:rFonts w:hint="default" w:ascii="Times New Roman" w:hAnsi="Times New Roman" w:eastAsia="宋体" w:cs="Times New Roman"/>
                <w:snapToGrid w:val="0"/>
                <w:color w:val="FF0000"/>
                <w:kern w:val="0"/>
                <w:sz w:val="21"/>
                <w:szCs w:val="21"/>
                <w:highlight w:val="none"/>
                <w:vertAlign w:val="subscript"/>
                <w:lang w:val="en-US" w:eastAsia="zh-CN"/>
              </w:rPr>
              <w:t>2</w:t>
            </w:r>
            <w:r>
              <w:rPr>
                <w:rFonts w:hint="default" w:ascii="Times New Roman" w:hAnsi="Times New Roman" w:eastAsia="宋体" w:cs="Times New Roman"/>
                <w:snapToGrid w:val="0"/>
                <w:color w:val="FF0000"/>
                <w:kern w:val="0"/>
                <w:sz w:val="21"/>
                <w:szCs w:val="21"/>
                <w:highlight w:val="none"/>
                <w:lang w:val="en-US" w:eastAsia="zh-CN"/>
              </w:rPr>
              <w:t>、NO</w:t>
            </w:r>
            <w:r>
              <w:rPr>
                <w:rFonts w:hint="default" w:ascii="Times New Roman" w:hAnsi="Times New Roman" w:eastAsia="宋体" w:cs="Times New Roman"/>
                <w:snapToGrid w:val="0"/>
                <w:color w:val="FF0000"/>
                <w:kern w:val="0"/>
                <w:sz w:val="21"/>
                <w:szCs w:val="21"/>
                <w:highlight w:val="none"/>
                <w:vertAlign w:val="subscript"/>
                <w:lang w:val="en-US" w:eastAsia="zh-CN"/>
              </w:rPr>
              <w:t>X</w:t>
            </w:r>
            <w:r>
              <w:rPr>
                <w:rFonts w:hint="default" w:ascii="Times New Roman" w:hAnsi="Times New Roman" w:eastAsia="宋体" w:cs="Times New Roman"/>
                <w:snapToGrid w:val="0"/>
                <w:color w:val="FF0000"/>
                <w:kern w:val="0"/>
                <w:sz w:val="21"/>
                <w:szCs w:val="21"/>
                <w:highlight w:val="none"/>
                <w:lang w:val="en-US" w:eastAsia="zh-CN"/>
              </w:rPr>
              <w:t>排放浓度</w:t>
            </w:r>
            <w:r>
              <w:rPr>
                <w:rFonts w:hint="default" w:ascii="Times New Roman" w:hAnsi="Times New Roman" w:eastAsia="宋体" w:cs="Times New Roman"/>
                <w:color w:val="FF0000"/>
                <w:sz w:val="21"/>
                <w:szCs w:val="21"/>
                <w:highlight w:val="none"/>
              </w:rPr>
              <w:t>，与</w:t>
            </w:r>
            <w:r>
              <w:rPr>
                <w:rFonts w:hint="eastAsia" w:ascii="Times New Roman" w:hAnsi="Times New Roman" w:eastAsia="宋体" w:cs="Times New Roman"/>
                <w:color w:val="FF0000"/>
                <w:sz w:val="21"/>
                <w:szCs w:val="21"/>
                <w:highlight w:val="none"/>
                <w:lang w:val="en-US" w:eastAsia="zh-CN"/>
              </w:rPr>
              <w:t>佳木斯</w:t>
            </w:r>
            <w:r>
              <w:rPr>
                <w:rFonts w:hint="eastAsia" w:ascii="Times New Roman" w:hAnsi="Times New Roman" w:eastAsia="宋体" w:cs="Times New Roman"/>
                <w:color w:val="FF0000"/>
                <w:sz w:val="21"/>
                <w:szCs w:val="21"/>
                <w:highlight w:val="none"/>
                <w:lang w:eastAsia="zh-CN"/>
              </w:rPr>
              <w:t>市生态环境</w:t>
            </w:r>
            <w:r>
              <w:rPr>
                <w:rFonts w:hint="default" w:ascii="Times New Roman" w:hAnsi="Times New Roman" w:eastAsia="宋体" w:cs="Times New Roman"/>
                <w:color w:val="FF0000"/>
                <w:sz w:val="21"/>
                <w:szCs w:val="21"/>
                <w:highlight w:val="none"/>
              </w:rPr>
              <w:t>局联网</w:t>
            </w:r>
          </w:p>
        </w:tc>
        <w:tc>
          <w:tcPr>
            <w:tcW w:w="806" w:type="dxa"/>
            <w:vMerge w:val="continue"/>
            <w:tcBorders>
              <w:tl2br w:val="nil"/>
              <w:tr2bl w:val="nil"/>
            </w:tcBorders>
            <w:noWrap w:val="0"/>
            <w:vAlign w:val="center"/>
          </w:tcPr>
          <w:p w14:paraId="28424148">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r>
      <w:tr w14:paraId="01AFDE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6" w:type="dxa"/>
            <w:vMerge w:val="continue"/>
            <w:tcBorders>
              <w:tl2br w:val="nil"/>
              <w:tr2bl w:val="nil"/>
            </w:tcBorders>
            <w:noWrap w:val="0"/>
            <w:vAlign w:val="center"/>
          </w:tcPr>
          <w:p w14:paraId="16062EA9">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695" w:type="dxa"/>
            <w:tcBorders>
              <w:tl2br w:val="nil"/>
              <w:tr2bl w:val="nil"/>
            </w:tcBorders>
            <w:noWrap w:val="0"/>
            <w:vAlign w:val="center"/>
          </w:tcPr>
          <w:p w14:paraId="1A49CBF4">
            <w:pPr>
              <w:pStyle w:val="72"/>
              <w:keepNext w:val="0"/>
              <w:keepLines w:val="0"/>
              <w:pageBreakBefore w:val="0"/>
              <w:widowControl w:val="0"/>
              <w:shd w:val="clear" w:color="auto" w:fill="auto"/>
              <w:kinsoku/>
              <w:wordWrap/>
              <w:overflowPunct/>
              <w:topLinePunct w:val="0"/>
              <w:bidi w:val="0"/>
              <w:adjustRightInd/>
              <w:snapToGrid/>
              <w:spacing w:after="0" w:line="240" w:lineRule="auto"/>
              <w:ind w:firstLine="0" w:firstLineChars="0"/>
              <w:jc w:val="center"/>
              <w:textAlignment w:val="auto"/>
              <w:rPr>
                <w:rFonts w:hint="default" w:ascii="Times New Roman" w:hAnsi="Times New Roman" w:eastAsia="宋体" w:cs="Times New Roman"/>
                <w:color w:val="FF0000"/>
                <w:sz w:val="21"/>
                <w:szCs w:val="21"/>
                <w:highlight w:val="none"/>
                <w:lang w:val="en-US" w:eastAsia="zh-CN" w:bidi="zh-TW"/>
              </w:rPr>
            </w:pPr>
            <w:r>
              <w:rPr>
                <w:rFonts w:hint="default" w:ascii="Times New Roman" w:hAnsi="Times New Roman" w:eastAsia="宋体" w:cs="Times New Roman"/>
                <w:color w:val="FF0000"/>
                <w:sz w:val="21"/>
                <w:szCs w:val="21"/>
                <w:highlight w:val="none"/>
                <w:lang w:eastAsia="zh-CN"/>
              </w:rPr>
              <w:t>碎煤机室</w:t>
            </w:r>
          </w:p>
        </w:tc>
        <w:tc>
          <w:tcPr>
            <w:tcW w:w="745" w:type="dxa"/>
            <w:vMerge w:val="restart"/>
            <w:tcBorders>
              <w:tl2br w:val="nil"/>
              <w:tr2bl w:val="nil"/>
            </w:tcBorders>
            <w:noWrap w:val="0"/>
            <w:vAlign w:val="center"/>
          </w:tcPr>
          <w:p w14:paraId="5C2FC4A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outlineLvl w:val="9"/>
              <w:rPr>
                <w:rFonts w:hint="default" w:ascii="Times New Roman" w:hAnsi="Times New Roman" w:eastAsia="宋体" w:cs="Times New Roman"/>
                <w:snapToGrid w:val="0"/>
                <w:color w:val="FF0000"/>
                <w:kern w:val="0"/>
                <w:sz w:val="21"/>
                <w:szCs w:val="21"/>
                <w:highlight w:val="none"/>
                <w:lang w:val="en-US" w:eastAsia="zh-CN" w:bidi="ar-SA"/>
              </w:rPr>
            </w:pPr>
            <w:r>
              <w:rPr>
                <w:rFonts w:hint="default" w:ascii="Times New Roman" w:hAnsi="Times New Roman" w:eastAsia="宋体" w:cs="Times New Roman"/>
                <w:snapToGrid w:val="0"/>
                <w:color w:val="FF0000"/>
                <w:kern w:val="0"/>
                <w:sz w:val="21"/>
                <w:szCs w:val="21"/>
                <w:highlight w:val="none"/>
                <w:lang w:val="en-US" w:eastAsia="zh-CN"/>
              </w:rPr>
              <w:t>颗粒物除尘措施</w:t>
            </w:r>
          </w:p>
        </w:tc>
        <w:tc>
          <w:tcPr>
            <w:tcW w:w="5620" w:type="dxa"/>
            <w:tcBorders>
              <w:tl2br w:val="nil"/>
              <w:tr2bl w:val="nil"/>
            </w:tcBorders>
            <w:noWrap w:val="0"/>
            <w:vAlign w:val="center"/>
          </w:tcPr>
          <w:p w14:paraId="29C19ECC">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outlineLvl w:val="9"/>
              <w:rPr>
                <w:rFonts w:hint="default" w:ascii="Times New Roman" w:hAnsi="Times New Roman" w:eastAsia="宋体" w:cs="Times New Roman"/>
                <w:snapToGrid w:val="0"/>
                <w:color w:val="FF0000"/>
                <w:kern w:val="0"/>
                <w:sz w:val="21"/>
                <w:szCs w:val="21"/>
                <w:highlight w:val="none"/>
                <w:lang w:val="en-US" w:eastAsia="zh-CN" w:bidi="ar-SA"/>
              </w:rPr>
            </w:pPr>
            <w:r>
              <w:rPr>
                <w:rFonts w:hint="default" w:ascii="Times New Roman" w:hAnsi="Times New Roman" w:eastAsia="宋体" w:cs="Times New Roman"/>
                <w:snapToGrid w:val="0"/>
                <w:color w:val="FF0000"/>
                <w:kern w:val="0"/>
                <w:sz w:val="21"/>
                <w:szCs w:val="21"/>
                <w:highlight w:val="none"/>
                <w:lang w:val="en-US" w:eastAsia="zh-CN"/>
              </w:rPr>
              <w:t>碎煤机室的各落煤点会产生煤尘扬尘，企业全封闭管控，碎煤机为全封闭式</w:t>
            </w:r>
            <w:r>
              <w:rPr>
                <w:rFonts w:hint="eastAsia" w:ascii="Times New Roman" w:hAnsi="Times New Roman" w:eastAsia="宋体" w:cs="Times New Roman"/>
                <w:snapToGrid w:val="0"/>
                <w:color w:val="FF0000"/>
                <w:kern w:val="0"/>
                <w:sz w:val="21"/>
                <w:szCs w:val="21"/>
                <w:highlight w:val="none"/>
                <w:lang w:val="en-US" w:eastAsia="zh-CN"/>
              </w:rPr>
              <w:t>配备布袋除尘器，处理后粉尘车间内无组织排放，定期洒水降尘</w:t>
            </w:r>
            <w:r>
              <w:rPr>
                <w:rFonts w:hint="default" w:ascii="Times New Roman" w:hAnsi="Times New Roman" w:eastAsia="宋体" w:cs="Times New Roman"/>
                <w:snapToGrid w:val="0"/>
                <w:color w:val="FF0000"/>
                <w:kern w:val="0"/>
                <w:sz w:val="21"/>
                <w:szCs w:val="21"/>
                <w:highlight w:val="none"/>
                <w:lang w:val="en-US" w:eastAsia="zh-CN"/>
              </w:rPr>
              <w:t>。</w:t>
            </w:r>
          </w:p>
        </w:tc>
        <w:tc>
          <w:tcPr>
            <w:tcW w:w="806" w:type="dxa"/>
            <w:tcBorders>
              <w:tl2br w:val="nil"/>
              <w:tr2bl w:val="nil"/>
            </w:tcBorders>
            <w:noWrap w:val="0"/>
            <w:vAlign w:val="center"/>
          </w:tcPr>
          <w:p w14:paraId="1E1D394E">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本项目二期</w:t>
            </w:r>
          </w:p>
        </w:tc>
      </w:tr>
      <w:tr w14:paraId="670FA1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6" w:type="dxa"/>
            <w:vMerge w:val="continue"/>
            <w:tcBorders>
              <w:tl2br w:val="nil"/>
              <w:tr2bl w:val="nil"/>
            </w:tcBorders>
            <w:noWrap w:val="0"/>
            <w:vAlign w:val="center"/>
          </w:tcPr>
          <w:p w14:paraId="2EE1A3AD">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695" w:type="dxa"/>
            <w:tcBorders>
              <w:tl2br w:val="nil"/>
              <w:tr2bl w:val="nil"/>
            </w:tcBorders>
            <w:noWrap w:val="0"/>
            <w:vAlign w:val="center"/>
          </w:tcPr>
          <w:p w14:paraId="6C0521FC">
            <w:pPr>
              <w:pStyle w:val="72"/>
              <w:keepNext w:val="0"/>
              <w:keepLines w:val="0"/>
              <w:pageBreakBefore w:val="0"/>
              <w:widowControl w:val="0"/>
              <w:shd w:val="clear" w:color="auto" w:fill="auto"/>
              <w:kinsoku/>
              <w:wordWrap/>
              <w:overflowPunct/>
              <w:topLinePunct w:val="0"/>
              <w:bidi w:val="0"/>
              <w:adjustRightInd/>
              <w:snapToGrid/>
              <w:spacing w:after="0" w:line="240" w:lineRule="auto"/>
              <w:ind w:firstLine="0" w:firstLineChars="0"/>
              <w:jc w:val="center"/>
              <w:textAlignment w:val="auto"/>
              <w:rPr>
                <w:rFonts w:hint="default" w:ascii="Times New Roman" w:hAnsi="Times New Roman" w:eastAsia="宋体" w:cs="Times New Roman"/>
                <w:color w:val="FF0000"/>
                <w:sz w:val="21"/>
                <w:szCs w:val="21"/>
                <w:highlight w:val="none"/>
                <w:lang w:val="en-US" w:eastAsia="zh-CN" w:bidi="zh-TW"/>
              </w:rPr>
            </w:pPr>
            <w:r>
              <w:rPr>
                <w:rFonts w:hint="eastAsia" w:ascii="Times New Roman" w:hAnsi="Times New Roman" w:cs="Times New Roman"/>
                <w:color w:val="FF0000"/>
                <w:sz w:val="21"/>
                <w:szCs w:val="21"/>
                <w:highlight w:val="none"/>
                <w:lang w:val="en-US" w:eastAsia="zh-CN"/>
              </w:rPr>
              <w:t>生石灰粉</w:t>
            </w:r>
            <w:r>
              <w:rPr>
                <w:rFonts w:hint="default" w:ascii="Times New Roman" w:hAnsi="Times New Roman" w:eastAsia="宋体" w:cs="Times New Roman"/>
                <w:color w:val="FF0000"/>
                <w:sz w:val="21"/>
                <w:szCs w:val="21"/>
                <w:highlight w:val="none"/>
                <w:lang w:val="en-US" w:eastAsia="zh-CN"/>
              </w:rPr>
              <w:t>仓</w:t>
            </w:r>
          </w:p>
        </w:tc>
        <w:tc>
          <w:tcPr>
            <w:tcW w:w="745" w:type="dxa"/>
            <w:vMerge w:val="continue"/>
            <w:tcBorders>
              <w:tl2br w:val="nil"/>
              <w:tr2bl w:val="nil"/>
            </w:tcBorders>
            <w:noWrap w:val="0"/>
            <w:vAlign w:val="center"/>
          </w:tcPr>
          <w:p w14:paraId="1E0913A9">
            <w:pPr>
              <w:pStyle w:val="63"/>
              <w:keepNext w:val="0"/>
              <w:keepLines w:val="0"/>
              <w:pageBreakBefore w:val="0"/>
              <w:widowControl w:val="0"/>
              <w:kinsoku/>
              <w:wordWrap/>
              <w:overflowPunct/>
              <w:topLinePunct w:val="0"/>
              <w:bidi w:val="0"/>
              <w:adjustRightInd/>
              <w:snapToGrid/>
              <w:ind w:firstLine="0" w:firstLineChars="0"/>
              <w:textAlignment w:val="auto"/>
              <w:rPr>
                <w:rFonts w:hint="default" w:ascii="Times New Roman" w:hAnsi="Times New Roman" w:eastAsia="宋体" w:cs="Times New Roman"/>
                <w:color w:val="FF0000"/>
                <w:sz w:val="21"/>
                <w:szCs w:val="21"/>
                <w:highlight w:val="none"/>
              </w:rPr>
            </w:pPr>
          </w:p>
        </w:tc>
        <w:tc>
          <w:tcPr>
            <w:tcW w:w="5620" w:type="dxa"/>
            <w:tcBorders>
              <w:tl2br w:val="nil"/>
              <w:tr2bl w:val="nil"/>
            </w:tcBorders>
            <w:noWrap w:val="0"/>
            <w:vAlign w:val="center"/>
          </w:tcPr>
          <w:p w14:paraId="2047C22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outlineLvl w:val="9"/>
              <w:rPr>
                <w:rFonts w:hint="default" w:ascii="Times New Roman" w:hAnsi="Times New Roman" w:eastAsia="宋体" w:cs="Times New Roman"/>
                <w:snapToGrid w:val="0"/>
                <w:color w:val="FF0000"/>
                <w:kern w:val="0"/>
                <w:sz w:val="21"/>
                <w:szCs w:val="21"/>
                <w:highlight w:val="none"/>
                <w:lang w:val="en-US" w:eastAsia="zh-CN" w:bidi="ar-SA"/>
              </w:rPr>
            </w:pPr>
            <w:r>
              <w:rPr>
                <w:rFonts w:hint="eastAsia" w:ascii="Times New Roman" w:hAnsi="Times New Roman" w:eastAsia="宋体" w:cs="Times New Roman"/>
                <w:color w:val="FF0000"/>
                <w:sz w:val="21"/>
                <w:szCs w:val="21"/>
                <w:highlight w:val="none"/>
                <w:lang w:val="en-US" w:eastAsia="zh-CN"/>
              </w:rPr>
              <w:t>料</w:t>
            </w:r>
            <w:r>
              <w:rPr>
                <w:rFonts w:hint="default" w:ascii="Times New Roman" w:hAnsi="Times New Roman" w:eastAsia="宋体" w:cs="Times New Roman"/>
                <w:color w:val="FF0000"/>
                <w:sz w:val="21"/>
                <w:szCs w:val="21"/>
                <w:highlight w:val="none"/>
                <w:lang w:val="en-US" w:eastAsia="zh-CN"/>
              </w:rPr>
              <w:t>仓</w:t>
            </w:r>
            <w:r>
              <w:rPr>
                <w:rFonts w:hint="eastAsia" w:ascii="Times New Roman" w:hAnsi="Times New Roman" w:eastAsia="宋体" w:cs="Times New Roman"/>
                <w:color w:val="FF0000"/>
                <w:sz w:val="21"/>
                <w:szCs w:val="21"/>
                <w:highlight w:val="none"/>
                <w:lang w:val="en-US" w:eastAsia="zh-CN"/>
              </w:rPr>
              <w:t>配备</w:t>
            </w:r>
            <w:r>
              <w:rPr>
                <w:rFonts w:hint="default" w:ascii="Times New Roman" w:hAnsi="Times New Roman" w:eastAsia="宋体" w:cs="Times New Roman"/>
                <w:color w:val="FF0000"/>
                <w:sz w:val="21"/>
                <w:szCs w:val="21"/>
                <w:highlight w:val="none"/>
                <w:lang w:val="en-US" w:eastAsia="zh-CN"/>
              </w:rPr>
              <w:t>1</w:t>
            </w:r>
            <w:r>
              <w:rPr>
                <w:rFonts w:hint="eastAsia" w:ascii="Times New Roman" w:hAnsi="Times New Roman" w:eastAsia="宋体" w:cs="Times New Roman"/>
                <w:color w:val="FF0000"/>
                <w:sz w:val="21"/>
                <w:szCs w:val="21"/>
                <w:highlight w:val="none"/>
                <w:lang w:val="en-US" w:eastAsia="zh-CN"/>
              </w:rPr>
              <w:t>座</w:t>
            </w:r>
            <w:r>
              <w:rPr>
                <w:rFonts w:hint="default" w:ascii="Times New Roman" w:hAnsi="Times New Roman" w:eastAsia="宋体" w:cs="Times New Roman"/>
                <w:color w:val="FF0000"/>
                <w:sz w:val="21"/>
                <w:szCs w:val="21"/>
                <w:highlight w:val="none"/>
                <w:lang w:val="en-US" w:eastAsia="zh-CN"/>
              </w:rPr>
              <w:t>布袋除尘器</w:t>
            </w:r>
            <w:r>
              <w:rPr>
                <w:rFonts w:hint="eastAsia" w:ascii="Times New Roman" w:hAnsi="Times New Roman" w:eastAsia="宋体" w:cs="Times New Roman"/>
                <w:color w:val="FF0000"/>
                <w:sz w:val="21"/>
                <w:szCs w:val="21"/>
                <w:highlight w:val="none"/>
                <w:lang w:val="en-US" w:eastAsia="zh-CN"/>
              </w:rPr>
              <w:t>处</w:t>
            </w:r>
            <w:r>
              <w:rPr>
                <w:rFonts w:hint="eastAsia" w:ascii="Times New Roman" w:hAnsi="Times New Roman" w:eastAsia="宋体" w:cs="Times New Roman"/>
                <w:snapToGrid w:val="0"/>
                <w:color w:val="FF0000"/>
                <w:kern w:val="0"/>
                <w:sz w:val="21"/>
                <w:szCs w:val="21"/>
                <w:highlight w:val="none"/>
                <w:lang w:val="en-US" w:eastAsia="zh-CN"/>
              </w:rPr>
              <w:t>理后废气通过仓顶排放（按有组织排放点源计）</w:t>
            </w:r>
          </w:p>
        </w:tc>
        <w:tc>
          <w:tcPr>
            <w:tcW w:w="806" w:type="dxa"/>
            <w:tcBorders>
              <w:tl2br w:val="nil"/>
              <w:tr2bl w:val="nil"/>
            </w:tcBorders>
            <w:noWrap w:val="0"/>
            <w:vAlign w:val="center"/>
          </w:tcPr>
          <w:p w14:paraId="4D7BB3D4">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本项目二期</w:t>
            </w:r>
          </w:p>
        </w:tc>
      </w:tr>
      <w:tr w14:paraId="4370CB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6" w:type="dxa"/>
            <w:vMerge w:val="continue"/>
            <w:tcBorders>
              <w:tl2br w:val="nil"/>
              <w:tr2bl w:val="nil"/>
            </w:tcBorders>
            <w:noWrap w:val="0"/>
            <w:vAlign w:val="center"/>
          </w:tcPr>
          <w:p w14:paraId="16C65366">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695" w:type="dxa"/>
            <w:tcBorders>
              <w:tl2br w:val="nil"/>
              <w:tr2bl w:val="nil"/>
            </w:tcBorders>
            <w:noWrap w:val="0"/>
            <w:vAlign w:val="center"/>
          </w:tcPr>
          <w:p w14:paraId="10D34BDE">
            <w:pPr>
              <w:pStyle w:val="72"/>
              <w:keepNext w:val="0"/>
              <w:keepLines w:val="0"/>
              <w:pageBreakBefore w:val="0"/>
              <w:widowControl w:val="0"/>
              <w:shd w:val="clear" w:color="auto" w:fill="auto"/>
              <w:kinsoku/>
              <w:wordWrap/>
              <w:overflowPunct/>
              <w:topLinePunct w:val="0"/>
              <w:bidi w:val="0"/>
              <w:adjustRightInd/>
              <w:snapToGrid/>
              <w:spacing w:after="0" w:line="240" w:lineRule="auto"/>
              <w:ind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cs="Times New Roman"/>
                <w:color w:val="FF0000"/>
                <w:sz w:val="21"/>
                <w:szCs w:val="21"/>
                <w:highlight w:val="none"/>
                <w:lang w:val="en-US" w:eastAsia="zh-CN"/>
              </w:rPr>
              <w:t>灰库</w:t>
            </w:r>
          </w:p>
        </w:tc>
        <w:tc>
          <w:tcPr>
            <w:tcW w:w="745" w:type="dxa"/>
            <w:vMerge w:val="continue"/>
            <w:tcBorders>
              <w:tl2br w:val="nil"/>
              <w:tr2bl w:val="nil"/>
            </w:tcBorders>
            <w:noWrap w:val="0"/>
            <w:vAlign w:val="center"/>
          </w:tcPr>
          <w:p w14:paraId="2462C8B3">
            <w:pPr>
              <w:pStyle w:val="63"/>
              <w:keepNext w:val="0"/>
              <w:keepLines w:val="0"/>
              <w:pageBreakBefore w:val="0"/>
              <w:widowControl w:val="0"/>
              <w:kinsoku/>
              <w:wordWrap/>
              <w:overflowPunct/>
              <w:topLinePunct w:val="0"/>
              <w:bidi w:val="0"/>
              <w:adjustRightInd/>
              <w:snapToGrid/>
              <w:ind w:firstLine="0" w:firstLineChars="0"/>
              <w:textAlignment w:val="auto"/>
              <w:rPr>
                <w:rFonts w:hint="default" w:ascii="Times New Roman" w:hAnsi="Times New Roman" w:eastAsia="宋体" w:cs="Times New Roman"/>
                <w:color w:val="FF0000"/>
                <w:sz w:val="21"/>
                <w:szCs w:val="21"/>
                <w:highlight w:val="none"/>
              </w:rPr>
            </w:pPr>
          </w:p>
        </w:tc>
        <w:tc>
          <w:tcPr>
            <w:tcW w:w="5620" w:type="dxa"/>
            <w:tcBorders>
              <w:tl2br w:val="nil"/>
              <w:tr2bl w:val="nil"/>
            </w:tcBorders>
            <w:noWrap w:val="0"/>
            <w:vAlign w:val="center"/>
          </w:tcPr>
          <w:p w14:paraId="4083B7C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灰库设置一座布袋除尘器，处理后废气通过库顶排放（按有组织排放点源计）</w:t>
            </w:r>
          </w:p>
        </w:tc>
        <w:tc>
          <w:tcPr>
            <w:tcW w:w="806" w:type="dxa"/>
            <w:tcBorders>
              <w:tl2br w:val="nil"/>
              <w:tr2bl w:val="nil"/>
            </w:tcBorders>
            <w:noWrap w:val="0"/>
            <w:vAlign w:val="center"/>
          </w:tcPr>
          <w:p w14:paraId="6376B1FC">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本项目二期</w:t>
            </w:r>
          </w:p>
        </w:tc>
      </w:tr>
      <w:tr w14:paraId="4D8127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656" w:type="dxa"/>
            <w:vMerge w:val="continue"/>
            <w:tcBorders>
              <w:tl2br w:val="nil"/>
              <w:tr2bl w:val="nil"/>
            </w:tcBorders>
            <w:noWrap w:val="0"/>
            <w:vAlign w:val="center"/>
          </w:tcPr>
          <w:p w14:paraId="69E56107">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695" w:type="dxa"/>
            <w:tcBorders>
              <w:tl2br w:val="nil"/>
              <w:tr2bl w:val="nil"/>
            </w:tcBorders>
            <w:noWrap w:val="0"/>
            <w:vAlign w:val="center"/>
          </w:tcPr>
          <w:p w14:paraId="72441E0E">
            <w:pPr>
              <w:pStyle w:val="72"/>
              <w:keepNext w:val="0"/>
              <w:keepLines w:val="0"/>
              <w:pageBreakBefore w:val="0"/>
              <w:widowControl w:val="0"/>
              <w:shd w:val="clear" w:color="auto" w:fill="auto"/>
              <w:kinsoku/>
              <w:wordWrap/>
              <w:overflowPunct/>
              <w:topLinePunct w:val="0"/>
              <w:bidi w:val="0"/>
              <w:adjustRightInd/>
              <w:snapToGrid/>
              <w:spacing w:after="0" w:line="240" w:lineRule="auto"/>
              <w:ind w:firstLine="0" w:firstLineChars="0"/>
              <w:jc w:val="center"/>
              <w:textAlignment w:val="auto"/>
              <w:rPr>
                <w:rFonts w:hint="eastAsia" w:ascii="Times New Roman" w:hAnsi="Times New Roman" w:cs="Times New Roman"/>
                <w:color w:val="FF0000"/>
                <w:sz w:val="21"/>
                <w:szCs w:val="21"/>
                <w:highlight w:val="none"/>
                <w:lang w:val="en-US" w:eastAsia="zh-CN"/>
              </w:rPr>
            </w:pPr>
            <w:r>
              <w:rPr>
                <w:rFonts w:hint="eastAsia" w:ascii="Times New Roman" w:hAnsi="Times New Roman" w:cs="Times New Roman"/>
                <w:color w:val="FF0000"/>
                <w:sz w:val="21"/>
                <w:szCs w:val="21"/>
                <w:highlight w:val="none"/>
                <w:lang w:val="en-US" w:eastAsia="zh-CN"/>
              </w:rPr>
              <w:t>渣库</w:t>
            </w:r>
          </w:p>
        </w:tc>
        <w:tc>
          <w:tcPr>
            <w:tcW w:w="745" w:type="dxa"/>
            <w:vMerge w:val="continue"/>
            <w:tcBorders>
              <w:tl2br w:val="nil"/>
              <w:tr2bl w:val="nil"/>
            </w:tcBorders>
            <w:noWrap w:val="0"/>
            <w:vAlign w:val="center"/>
          </w:tcPr>
          <w:p w14:paraId="6085A6BF">
            <w:pPr>
              <w:pStyle w:val="63"/>
              <w:keepNext w:val="0"/>
              <w:keepLines w:val="0"/>
              <w:pageBreakBefore w:val="0"/>
              <w:widowControl w:val="0"/>
              <w:kinsoku/>
              <w:wordWrap/>
              <w:overflowPunct/>
              <w:topLinePunct w:val="0"/>
              <w:bidi w:val="0"/>
              <w:adjustRightInd/>
              <w:snapToGrid/>
              <w:ind w:firstLine="0" w:firstLineChars="0"/>
              <w:textAlignment w:val="auto"/>
              <w:rPr>
                <w:rFonts w:hint="default" w:ascii="Times New Roman" w:hAnsi="Times New Roman" w:eastAsia="宋体" w:cs="Times New Roman"/>
                <w:color w:val="FF0000"/>
                <w:sz w:val="21"/>
                <w:szCs w:val="21"/>
                <w:highlight w:val="none"/>
              </w:rPr>
            </w:pPr>
          </w:p>
        </w:tc>
        <w:tc>
          <w:tcPr>
            <w:tcW w:w="5620" w:type="dxa"/>
            <w:tcBorders>
              <w:tl2br w:val="nil"/>
              <w:tr2bl w:val="nil"/>
            </w:tcBorders>
            <w:noWrap w:val="0"/>
            <w:vAlign w:val="center"/>
          </w:tcPr>
          <w:p w14:paraId="1DDB507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outlineLvl w:val="9"/>
              <w:rPr>
                <w:rFonts w:hint="eastAsia"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企业全封闭管控，渣库为全封闭式</w:t>
            </w:r>
            <w:r>
              <w:rPr>
                <w:rFonts w:hint="eastAsia" w:ascii="Times New Roman" w:hAnsi="Times New Roman" w:eastAsia="宋体" w:cs="Times New Roman"/>
                <w:snapToGrid w:val="0"/>
                <w:color w:val="FF0000"/>
                <w:kern w:val="0"/>
                <w:sz w:val="21"/>
                <w:szCs w:val="21"/>
                <w:highlight w:val="none"/>
                <w:lang w:val="en-US" w:eastAsia="zh-CN"/>
              </w:rPr>
              <w:t>，定期洒水降尘</w:t>
            </w:r>
            <w:r>
              <w:rPr>
                <w:rFonts w:hint="default" w:ascii="Times New Roman" w:hAnsi="Times New Roman" w:eastAsia="宋体" w:cs="Times New Roman"/>
                <w:snapToGrid w:val="0"/>
                <w:color w:val="FF0000"/>
                <w:kern w:val="0"/>
                <w:sz w:val="21"/>
                <w:szCs w:val="21"/>
                <w:highlight w:val="none"/>
                <w:lang w:val="en-US" w:eastAsia="zh-CN"/>
              </w:rPr>
              <w:t>。</w:t>
            </w:r>
          </w:p>
        </w:tc>
        <w:tc>
          <w:tcPr>
            <w:tcW w:w="806" w:type="dxa"/>
            <w:tcBorders>
              <w:tl2br w:val="nil"/>
              <w:tr2bl w:val="nil"/>
            </w:tcBorders>
            <w:noWrap w:val="0"/>
            <w:vAlign w:val="center"/>
          </w:tcPr>
          <w:p w14:paraId="6DEA7D1E">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依托现有工程</w:t>
            </w:r>
          </w:p>
        </w:tc>
      </w:tr>
      <w:tr w14:paraId="6384C7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656" w:type="dxa"/>
            <w:vMerge w:val="continue"/>
            <w:tcBorders>
              <w:tl2br w:val="nil"/>
              <w:tr2bl w:val="nil"/>
            </w:tcBorders>
            <w:noWrap w:val="0"/>
            <w:vAlign w:val="center"/>
          </w:tcPr>
          <w:p w14:paraId="68EA8B75">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695" w:type="dxa"/>
            <w:vMerge w:val="restart"/>
            <w:tcBorders>
              <w:tl2br w:val="nil"/>
              <w:tr2bl w:val="nil"/>
            </w:tcBorders>
            <w:noWrap w:val="0"/>
            <w:vAlign w:val="center"/>
          </w:tcPr>
          <w:p w14:paraId="586A2FFB">
            <w:pPr>
              <w:pStyle w:val="72"/>
              <w:keepNext w:val="0"/>
              <w:keepLines w:val="0"/>
              <w:pageBreakBefore w:val="0"/>
              <w:widowControl w:val="0"/>
              <w:shd w:val="clear" w:color="auto" w:fill="auto"/>
              <w:kinsoku/>
              <w:wordWrap/>
              <w:overflowPunct/>
              <w:topLinePunct w:val="0"/>
              <w:bidi w:val="0"/>
              <w:adjustRightInd/>
              <w:snapToGrid/>
              <w:spacing w:after="0" w:line="240" w:lineRule="auto"/>
              <w:ind w:firstLine="0" w:firstLineChars="0"/>
              <w:jc w:val="center"/>
              <w:textAlignment w:val="auto"/>
              <w:rPr>
                <w:rFonts w:hint="default" w:ascii="Times New Roman" w:hAnsi="Times New Roman" w:eastAsia="宋体" w:cs="Times New Roman"/>
                <w:color w:val="FF0000"/>
                <w:sz w:val="21"/>
                <w:szCs w:val="21"/>
                <w:highlight w:val="none"/>
                <w:lang w:val="en-US" w:eastAsia="zh-CN" w:bidi="zh-TW"/>
              </w:rPr>
            </w:pPr>
            <w:r>
              <w:rPr>
                <w:rFonts w:hint="eastAsia" w:ascii="Times New Roman" w:hAnsi="Times New Roman" w:cs="Times New Roman"/>
                <w:color w:val="FF0000"/>
                <w:sz w:val="21"/>
                <w:szCs w:val="21"/>
                <w:highlight w:val="none"/>
                <w:lang w:val="en-US" w:eastAsia="zh-CN"/>
              </w:rPr>
              <w:t>储煤场</w:t>
            </w:r>
            <w:r>
              <w:rPr>
                <w:rFonts w:hint="default" w:ascii="Times New Roman" w:hAnsi="Times New Roman" w:eastAsia="宋体" w:cs="Times New Roman"/>
                <w:color w:val="FF0000"/>
                <w:sz w:val="21"/>
                <w:szCs w:val="21"/>
                <w:highlight w:val="none"/>
                <w:lang w:eastAsia="zh-CN"/>
              </w:rPr>
              <w:t>、输煤系统</w:t>
            </w:r>
          </w:p>
        </w:tc>
        <w:tc>
          <w:tcPr>
            <w:tcW w:w="745" w:type="dxa"/>
            <w:vMerge w:val="restart"/>
            <w:tcBorders>
              <w:tl2br w:val="nil"/>
              <w:tr2bl w:val="nil"/>
            </w:tcBorders>
            <w:noWrap w:val="0"/>
            <w:vAlign w:val="center"/>
          </w:tcPr>
          <w:p w14:paraId="6FD4BF0B">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outlineLvl w:val="9"/>
              <w:rPr>
                <w:rFonts w:hint="default" w:ascii="Times New Roman" w:hAnsi="Times New Roman" w:eastAsia="宋体" w:cs="Times New Roman"/>
                <w:snapToGrid w:val="0"/>
                <w:color w:val="FF0000"/>
                <w:kern w:val="0"/>
                <w:sz w:val="21"/>
                <w:szCs w:val="21"/>
                <w:highlight w:val="none"/>
                <w:lang w:val="en-US" w:eastAsia="zh-CN" w:bidi="ar-SA"/>
              </w:rPr>
            </w:pPr>
            <w:r>
              <w:rPr>
                <w:rFonts w:hint="default" w:ascii="Times New Roman" w:hAnsi="Times New Roman" w:eastAsia="宋体" w:cs="Times New Roman"/>
                <w:snapToGrid w:val="0"/>
                <w:color w:val="FF0000"/>
                <w:kern w:val="0"/>
                <w:sz w:val="21"/>
                <w:szCs w:val="21"/>
                <w:highlight w:val="none"/>
                <w:lang w:val="en-US" w:eastAsia="zh-CN"/>
              </w:rPr>
              <w:t>无组织颗粒物</w:t>
            </w:r>
          </w:p>
        </w:tc>
        <w:tc>
          <w:tcPr>
            <w:tcW w:w="5620" w:type="dxa"/>
            <w:tcBorders>
              <w:tl2br w:val="nil"/>
              <w:tr2bl w:val="nil"/>
            </w:tcBorders>
            <w:noWrap w:val="0"/>
            <w:vAlign w:val="center"/>
          </w:tcPr>
          <w:p w14:paraId="09578EB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outlineLvl w:val="9"/>
              <w:rPr>
                <w:rFonts w:hint="default"/>
                <w:color w:val="FF0000"/>
                <w:highlight w:val="none"/>
                <w:lang w:val="en-US" w:eastAsia="zh-CN"/>
              </w:rPr>
            </w:pPr>
            <w:r>
              <w:rPr>
                <w:rFonts w:hint="default" w:ascii="Times New Roman" w:hAnsi="Times New Roman" w:eastAsia="宋体" w:cs="Times New Roman"/>
                <w:snapToGrid w:val="0"/>
                <w:color w:val="FF0000"/>
                <w:sz w:val="21"/>
                <w:szCs w:val="21"/>
                <w:highlight w:val="none"/>
                <w:lang w:eastAsia="zh-CN"/>
              </w:rPr>
              <w:t>依托现有带防风抑尘网的储煤场，厂区内煤场</w:t>
            </w:r>
            <w:r>
              <w:rPr>
                <w:rFonts w:hint="eastAsia" w:ascii="Times New Roman" w:hAnsi="Times New Roman" w:eastAsia="宋体" w:cs="Times New Roman"/>
                <w:snapToGrid w:val="0"/>
                <w:color w:val="FF0000"/>
                <w:sz w:val="21"/>
                <w:szCs w:val="21"/>
                <w:highlight w:val="none"/>
                <w:lang w:eastAsia="zh-CN"/>
              </w:rPr>
              <w:t>15320</w:t>
            </w:r>
            <w:r>
              <w:rPr>
                <w:rFonts w:hint="default" w:ascii="Times New Roman" w:hAnsi="Times New Roman" w:eastAsia="宋体" w:cs="Times New Roman"/>
                <w:snapToGrid w:val="0"/>
                <w:color w:val="FF0000"/>
                <w:sz w:val="21"/>
                <w:szCs w:val="21"/>
                <w:highlight w:val="none"/>
                <w:lang w:eastAsia="zh-CN"/>
              </w:rPr>
              <w:t>平方米</w:t>
            </w:r>
            <w:r>
              <w:rPr>
                <w:rFonts w:hint="eastAsia" w:ascii="Times New Roman" w:hAnsi="Times New Roman" w:eastAsia="宋体" w:cs="Times New Roman"/>
                <w:snapToGrid w:val="0"/>
                <w:color w:val="FF0000"/>
                <w:sz w:val="21"/>
                <w:szCs w:val="21"/>
                <w:highlight w:val="none"/>
                <w:lang w:eastAsia="zh-CN"/>
              </w:rPr>
              <w:t>，堆高</w:t>
            </w:r>
            <w:r>
              <w:rPr>
                <w:rFonts w:hint="eastAsia" w:ascii="Times New Roman" w:hAnsi="Times New Roman" w:eastAsia="宋体" w:cs="Times New Roman"/>
                <w:snapToGrid w:val="0"/>
                <w:color w:val="FF0000"/>
                <w:sz w:val="21"/>
                <w:szCs w:val="21"/>
                <w:highlight w:val="none"/>
                <w:lang w:val="en-US" w:eastAsia="zh-CN"/>
              </w:rPr>
              <w:t>10m，燃料煤采用公路运输，</w:t>
            </w:r>
            <w:r>
              <w:rPr>
                <w:rFonts w:hint="default" w:ascii="Times New Roman" w:hAnsi="Times New Roman" w:eastAsia="宋体" w:cs="Times New Roman"/>
                <w:snapToGrid w:val="0"/>
                <w:color w:val="FF0000"/>
                <w:sz w:val="21"/>
                <w:szCs w:val="21"/>
                <w:highlight w:val="none"/>
                <w:lang w:eastAsia="zh-CN"/>
              </w:rPr>
              <w:t>煤场周围设置</w:t>
            </w:r>
            <w:r>
              <w:rPr>
                <w:rFonts w:hint="eastAsia" w:ascii="Times New Roman" w:hAnsi="Times New Roman" w:eastAsia="宋体" w:cs="Times New Roman"/>
                <w:snapToGrid w:val="0"/>
                <w:color w:val="FF0000"/>
                <w:sz w:val="21"/>
                <w:szCs w:val="21"/>
                <w:highlight w:val="none"/>
                <w:lang w:val="en-US" w:eastAsia="zh-CN"/>
              </w:rPr>
              <w:t>2.5</w:t>
            </w:r>
            <w:r>
              <w:rPr>
                <w:rFonts w:hint="default" w:ascii="Times New Roman" w:hAnsi="Times New Roman" w:eastAsia="宋体" w:cs="Times New Roman"/>
                <w:snapToGrid w:val="0"/>
                <w:color w:val="FF0000"/>
                <w:sz w:val="21"/>
                <w:szCs w:val="21"/>
                <w:highlight w:val="none"/>
                <w:lang w:eastAsia="zh-CN"/>
              </w:rPr>
              <w:t>米高实体围墙，围墙上设置总长</w:t>
            </w:r>
            <w:r>
              <w:rPr>
                <w:rFonts w:hint="eastAsia" w:ascii="Times New Roman" w:hAnsi="Times New Roman" w:eastAsia="宋体" w:cs="Times New Roman"/>
                <w:snapToGrid w:val="0"/>
                <w:color w:val="FF0000"/>
                <w:sz w:val="21"/>
                <w:szCs w:val="21"/>
                <w:highlight w:val="none"/>
                <w:lang w:val="en-US" w:eastAsia="zh-CN"/>
              </w:rPr>
              <w:t>400</w:t>
            </w:r>
            <w:r>
              <w:rPr>
                <w:rFonts w:hint="default" w:ascii="Times New Roman" w:hAnsi="Times New Roman" w:eastAsia="宋体" w:cs="Times New Roman"/>
                <w:snapToGrid w:val="0"/>
                <w:color w:val="FF0000"/>
                <w:sz w:val="21"/>
                <w:szCs w:val="21"/>
                <w:highlight w:val="none"/>
                <w:lang w:eastAsia="zh-CN"/>
              </w:rPr>
              <w:t>米，高</w:t>
            </w:r>
            <w:r>
              <w:rPr>
                <w:rFonts w:hint="eastAsia" w:ascii="Times New Roman" w:hAnsi="Times New Roman" w:eastAsia="宋体" w:cs="Times New Roman"/>
                <w:snapToGrid w:val="0"/>
                <w:color w:val="FF0000"/>
                <w:sz w:val="21"/>
                <w:szCs w:val="21"/>
                <w:highlight w:val="none"/>
                <w:lang w:val="en-US" w:eastAsia="zh-CN"/>
              </w:rPr>
              <w:t>11</w:t>
            </w:r>
            <w:r>
              <w:rPr>
                <w:rFonts w:hint="default" w:ascii="Times New Roman" w:hAnsi="Times New Roman" w:eastAsia="宋体" w:cs="Times New Roman"/>
                <w:snapToGrid w:val="0"/>
                <w:color w:val="FF0000"/>
                <w:sz w:val="21"/>
                <w:szCs w:val="21"/>
                <w:highlight w:val="none"/>
                <w:lang w:eastAsia="zh-CN"/>
              </w:rPr>
              <w:t>米的双层防风抑尘网。</w:t>
            </w:r>
          </w:p>
        </w:tc>
        <w:tc>
          <w:tcPr>
            <w:tcW w:w="806" w:type="dxa"/>
            <w:tcBorders>
              <w:tl2br w:val="nil"/>
              <w:tr2bl w:val="nil"/>
            </w:tcBorders>
            <w:noWrap w:val="0"/>
            <w:vAlign w:val="center"/>
          </w:tcPr>
          <w:p w14:paraId="6EFC9BCF">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依托现有工程</w:t>
            </w:r>
          </w:p>
        </w:tc>
      </w:tr>
      <w:tr w14:paraId="285F1A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656" w:type="dxa"/>
            <w:vMerge w:val="continue"/>
            <w:tcBorders>
              <w:tl2br w:val="nil"/>
              <w:tr2bl w:val="nil"/>
            </w:tcBorders>
            <w:noWrap w:val="0"/>
            <w:vAlign w:val="center"/>
          </w:tcPr>
          <w:p w14:paraId="75FFE061">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695" w:type="dxa"/>
            <w:vMerge w:val="continue"/>
            <w:tcBorders>
              <w:tl2br w:val="nil"/>
              <w:tr2bl w:val="nil"/>
            </w:tcBorders>
            <w:noWrap w:val="0"/>
            <w:vAlign w:val="center"/>
          </w:tcPr>
          <w:p w14:paraId="274A0DBF">
            <w:pPr>
              <w:pStyle w:val="72"/>
              <w:keepNext w:val="0"/>
              <w:keepLines w:val="0"/>
              <w:pageBreakBefore w:val="0"/>
              <w:widowControl w:val="0"/>
              <w:shd w:val="clear" w:color="auto" w:fill="auto"/>
              <w:kinsoku/>
              <w:wordWrap/>
              <w:overflowPunct/>
              <w:topLinePunct w:val="0"/>
              <w:bidi w:val="0"/>
              <w:adjustRightInd/>
              <w:snapToGrid/>
              <w:spacing w:after="0" w:line="240" w:lineRule="auto"/>
              <w:ind w:firstLine="0" w:firstLineChars="0"/>
              <w:jc w:val="center"/>
              <w:textAlignment w:val="auto"/>
              <w:rPr>
                <w:rFonts w:hint="eastAsia" w:ascii="Times New Roman" w:hAnsi="Times New Roman" w:cs="Times New Roman"/>
                <w:color w:val="FF0000"/>
                <w:sz w:val="21"/>
                <w:szCs w:val="21"/>
                <w:highlight w:val="none"/>
                <w:lang w:val="en-US" w:eastAsia="zh-CN"/>
              </w:rPr>
            </w:pPr>
          </w:p>
        </w:tc>
        <w:tc>
          <w:tcPr>
            <w:tcW w:w="745" w:type="dxa"/>
            <w:vMerge w:val="continue"/>
            <w:tcBorders>
              <w:tl2br w:val="nil"/>
              <w:tr2bl w:val="nil"/>
            </w:tcBorders>
            <w:noWrap w:val="0"/>
            <w:vAlign w:val="center"/>
          </w:tcPr>
          <w:p w14:paraId="712217A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outlineLvl w:val="9"/>
              <w:rPr>
                <w:rFonts w:hint="default" w:ascii="Times New Roman" w:hAnsi="Times New Roman" w:eastAsia="宋体" w:cs="Times New Roman"/>
                <w:snapToGrid w:val="0"/>
                <w:color w:val="FF0000"/>
                <w:kern w:val="0"/>
                <w:sz w:val="21"/>
                <w:szCs w:val="21"/>
                <w:highlight w:val="none"/>
                <w:lang w:val="en-US" w:eastAsia="zh-CN"/>
              </w:rPr>
            </w:pPr>
          </w:p>
        </w:tc>
        <w:tc>
          <w:tcPr>
            <w:tcW w:w="5620" w:type="dxa"/>
            <w:tcBorders>
              <w:tl2br w:val="nil"/>
              <w:tr2bl w:val="nil"/>
            </w:tcBorders>
            <w:noWrap w:val="0"/>
            <w:vAlign w:val="center"/>
          </w:tcPr>
          <w:p w14:paraId="29AF41C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outlineLvl w:val="9"/>
              <w:rPr>
                <w:rFonts w:hint="eastAsia" w:ascii="Times New Roman" w:hAnsi="Times New Roman" w:eastAsia="宋体" w:cs="Times New Roman"/>
                <w:snapToGrid w:val="0"/>
                <w:color w:val="FF0000"/>
                <w:kern w:val="0"/>
                <w:sz w:val="21"/>
                <w:szCs w:val="21"/>
                <w:highlight w:val="none"/>
                <w:lang w:val="en-US" w:eastAsia="zh-CN"/>
              </w:rPr>
            </w:pPr>
            <w:r>
              <w:rPr>
                <w:rFonts w:hint="default" w:ascii="Times New Roman" w:hAnsi="Times New Roman" w:eastAsia="宋体" w:cs="Times New Roman"/>
                <w:snapToGrid w:val="0"/>
                <w:color w:val="FF0000"/>
                <w:kern w:val="0"/>
                <w:sz w:val="21"/>
                <w:szCs w:val="21"/>
                <w:highlight w:val="none"/>
                <w:lang w:val="en-US" w:eastAsia="zh-CN"/>
              </w:rPr>
              <w:t>碎煤机室的各落煤点会产生煤尘扬尘，企业全封闭管控，碎煤机为全封闭式，定期洒水降尘。</w:t>
            </w:r>
          </w:p>
        </w:tc>
        <w:tc>
          <w:tcPr>
            <w:tcW w:w="806" w:type="dxa"/>
            <w:tcBorders>
              <w:tl2br w:val="nil"/>
              <w:tr2bl w:val="nil"/>
            </w:tcBorders>
            <w:noWrap w:val="0"/>
            <w:vAlign w:val="center"/>
          </w:tcPr>
          <w:p w14:paraId="57F11E9E">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本项目二期</w:t>
            </w:r>
          </w:p>
        </w:tc>
      </w:tr>
      <w:tr w14:paraId="78A430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656" w:type="dxa"/>
            <w:vMerge w:val="continue"/>
            <w:tcBorders>
              <w:tl2br w:val="nil"/>
              <w:tr2bl w:val="nil"/>
            </w:tcBorders>
            <w:noWrap w:val="0"/>
            <w:vAlign w:val="center"/>
          </w:tcPr>
          <w:p w14:paraId="6FBE2503">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695" w:type="dxa"/>
            <w:vMerge w:val="continue"/>
            <w:tcBorders>
              <w:tl2br w:val="nil"/>
              <w:tr2bl w:val="nil"/>
            </w:tcBorders>
            <w:noWrap w:val="0"/>
            <w:vAlign w:val="center"/>
          </w:tcPr>
          <w:p w14:paraId="66B6335C">
            <w:pPr>
              <w:pStyle w:val="72"/>
              <w:keepNext w:val="0"/>
              <w:keepLines w:val="0"/>
              <w:pageBreakBefore w:val="0"/>
              <w:widowControl w:val="0"/>
              <w:shd w:val="clear" w:color="auto" w:fill="auto"/>
              <w:kinsoku/>
              <w:wordWrap/>
              <w:overflowPunct/>
              <w:topLinePunct w:val="0"/>
              <w:bidi w:val="0"/>
              <w:adjustRightInd/>
              <w:snapToGrid/>
              <w:spacing w:after="0" w:line="240" w:lineRule="auto"/>
              <w:ind w:firstLine="0" w:firstLineChars="0"/>
              <w:jc w:val="center"/>
              <w:textAlignment w:val="auto"/>
              <w:rPr>
                <w:rFonts w:hint="eastAsia" w:ascii="Times New Roman" w:hAnsi="Times New Roman" w:cs="Times New Roman"/>
                <w:color w:val="FF0000"/>
                <w:sz w:val="21"/>
                <w:szCs w:val="21"/>
                <w:highlight w:val="none"/>
                <w:lang w:val="en-US" w:eastAsia="zh-CN"/>
              </w:rPr>
            </w:pPr>
          </w:p>
        </w:tc>
        <w:tc>
          <w:tcPr>
            <w:tcW w:w="745" w:type="dxa"/>
            <w:vMerge w:val="continue"/>
            <w:tcBorders>
              <w:tl2br w:val="nil"/>
              <w:tr2bl w:val="nil"/>
            </w:tcBorders>
            <w:noWrap w:val="0"/>
            <w:vAlign w:val="center"/>
          </w:tcPr>
          <w:p w14:paraId="67B883A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outlineLvl w:val="9"/>
              <w:rPr>
                <w:rFonts w:hint="default" w:ascii="Times New Roman" w:hAnsi="Times New Roman" w:eastAsia="宋体" w:cs="Times New Roman"/>
                <w:snapToGrid w:val="0"/>
                <w:color w:val="FF0000"/>
                <w:kern w:val="0"/>
                <w:sz w:val="21"/>
                <w:szCs w:val="21"/>
                <w:highlight w:val="none"/>
                <w:lang w:val="en-US" w:eastAsia="zh-CN"/>
              </w:rPr>
            </w:pPr>
          </w:p>
        </w:tc>
        <w:tc>
          <w:tcPr>
            <w:tcW w:w="5620" w:type="dxa"/>
            <w:tcBorders>
              <w:tl2br w:val="nil"/>
              <w:tr2bl w:val="nil"/>
            </w:tcBorders>
            <w:noWrap w:val="0"/>
            <w:vAlign w:val="center"/>
          </w:tcPr>
          <w:p w14:paraId="1A441E9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auto"/>
              <w:outlineLvl w:val="9"/>
              <w:rPr>
                <w:rFonts w:hint="eastAsia" w:ascii="Times New Roman" w:hAnsi="Times New Roman" w:eastAsia="宋体" w:cs="Times New Roman"/>
                <w:snapToGrid w:val="0"/>
                <w:color w:val="FF0000"/>
                <w:kern w:val="0"/>
                <w:sz w:val="21"/>
                <w:szCs w:val="21"/>
                <w:highlight w:val="none"/>
                <w:lang w:val="en-US" w:eastAsia="zh-CN"/>
              </w:rPr>
            </w:pPr>
            <w:r>
              <w:rPr>
                <w:rFonts w:hint="eastAsia" w:ascii="Times New Roman" w:hAnsi="Times New Roman" w:eastAsia="宋体" w:cs="Times New Roman"/>
                <w:snapToGrid w:val="0"/>
                <w:color w:val="FF0000"/>
                <w:kern w:val="0"/>
                <w:sz w:val="21"/>
                <w:szCs w:val="21"/>
                <w:highlight w:val="none"/>
                <w:lang w:val="en-US" w:eastAsia="zh-CN"/>
              </w:rPr>
              <w:t>厂区生产地面及道路均采用混凝土硬化，并定期清扫、洒水。</w:t>
            </w:r>
          </w:p>
        </w:tc>
        <w:tc>
          <w:tcPr>
            <w:tcW w:w="806" w:type="dxa"/>
            <w:tcBorders>
              <w:tl2br w:val="nil"/>
              <w:tr2bl w:val="nil"/>
            </w:tcBorders>
            <w:noWrap w:val="0"/>
            <w:vAlign w:val="center"/>
          </w:tcPr>
          <w:p w14:paraId="21D5BF1C">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依托现有工程</w:t>
            </w:r>
          </w:p>
        </w:tc>
      </w:tr>
      <w:tr w14:paraId="368AB9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656" w:type="dxa"/>
            <w:vMerge w:val="continue"/>
            <w:tcBorders>
              <w:tl2br w:val="nil"/>
              <w:tr2bl w:val="nil"/>
            </w:tcBorders>
            <w:noWrap w:val="0"/>
            <w:vAlign w:val="center"/>
          </w:tcPr>
          <w:p w14:paraId="6611699E">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695" w:type="dxa"/>
            <w:vMerge w:val="restart"/>
            <w:tcBorders>
              <w:tl2br w:val="nil"/>
              <w:tr2bl w:val="nil"/>
            </w:tcBorders>
            <w:noWrap w:val="0"/>
            <w:vAlign w:val="center"/>
          </w:tcPr>
          <w:p w14:paraId="3AF439B7">
            <w:pPr>
              <w:pStyle w:val="72"/>
              <w:keepNext w:val="0"/>
              <w:keepLines w:val="0"/>
              <w:pageBreakBefore w:val="0"/>
              <w:widowControl w:val="0"/>
              <w:shd w:val="clear" w:color="auto" w:fill="auto"/>
              <w:kinsoku/>
              <w:wordWrap/>
              <w:overflowPunct/>
              <w:topLinePunct w:val="0"/>
              <w:bidi w:val="0"/>
              <w:adjustRightInd/>
              <w:snapToGrid/>
              <w:spacing w:after="0" w:line="240" w:lineRule="auto"/>
              <w:ind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废水处理</w:t>
            </w:r>
          </w:p>
        </w:tc>
        <w:tc>
          <w:tcPr>
            <w:tcW w:w="745" w:type="dxa"/>
            <w:tcBorders>
              <w:tl2br w:val="nil"/>
              <w:tr2bl w:val="nil"/>
            </w:tcBorders>
            <w:noWrap w:val="0"/>
            <w:vAlign w:val="center"/>
          </w:tcPr>
          <w:p w14:paraId="6DD8BC72">
            <w:pPr>
              <w:pStyle w:val="72"/>
              <w:keepNext w:val="0"/>
              <w:keepLines w:val="0"/>
              <w:pageBreakBefore w:val="0"/>
              <w:widowControl w:val="0"/>
              <w:shd w:val="clear" w:color="auto" w:fill="auto"/>
              <w:kinsoku/>
              <w:wordWrap/>
              <w:overflowPunct/>
              <w:topLinePunct w:val="0"/>
              <w:bidi w:val="0"/>
              <w:adjustRightInd/>
              <w:snapToGrid/>
              <w:spacing w:after="0" w:line="240" w:lineRule="auto"/>
              <w:ind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生产</w:t>
            </w:r>
          </w:p>
          <w:p w14:paraId="13C9195F">
            <w:pPr>
              <w:pStyle w:val="72"/>
              <w:keepNext w:val="0"/>
              <w:keepLines w:val="0"/>
              <w:pageBreakBefore w:val="0"/>
              <w:widowControl w:val="0"/>
              <w:shd w:val="clear" w:color="auto" w:fill="auto"/>
              <w:kinsoku/>
              <w:wordWrap/>
              <w:overflowPunct/>
              <w:topLinePunct w:val="0"/>
              <w:bidi w:val="0"/>
              <w:adjustRightInd/>
              <w:snapToGrid/>
              <w:spacing w:after="0" w:line="240" w:lineRule="auto"/>
              <w:ind w:firstLine="0" w:firstLineChars="0"/>
              <w:jc w:val="center"/>
              <w:textAlignment w:val="auto"/>
              <w:rPr>
                <w:rFonts w:hint="default" w:ascii="Times New Roman" w:hAnsi="Times New Roman" w:eastAsia="宋体" w:cs="Times New Roman"/>
                <w:color w:val="FF0000"/>
                <w:sz w:val="21"/>
                <w:szCs w:val="21"/>
                <w:highlight w:val="none"/>
                <w:lang w:val="en-US" w:eastAsia="zh-CN" w:bidi="zh-TW"/>
              </w:rPr>
            </w:pPr>
            <w:r>
              <w:rPr>
                <w:rFonts w:hint="default" w:ascii="Times New Roman" w:hAnsi="Times New Roman" w:eastAsia="宋体" w:cs="Times New Roman"/>
                <w:color w:val="FF0000"/>
                <w:sz w:val="21"/>
                <w:szCs w:val="21"/>
                <w:highlight w:val="none"/>
                <w:lang w:val="en-US" w:eastAsia="zh-CN"/>
              </w:rPr>
              <w:t>废水</w:t>
            </w:r>
          </w:p>
        </w:tc>
        <w:tc>
          <w:tcPr>
            <w:tcW w:w="5620" w:type="dxa"/>
            <w:tcBorders>
              <w:tl2br w:val="nil"/>
              <w:tr2bl w:val="nil"/>
            </w:tcBorders>
            <w:noWrap w:val="0"/>
            <w:vAlign w:val="center"/>
          </w:tcPr>
          <w:p w14:paraId="48FA10B0">
            <w:pPr>
              <w:pStyle w:val="72"/>
              <w:keepNext w:val="0"/>
              <w:keepLines w:val="0"/>
              <w:pageBreakBefore w:val="0"/>
              <w:widowControl w:val="0"/>
              <w:shd w:val="clear" w:color="auto" w:fill="auto"/>
              <w:kinsoku/>
              <w:wordWrap/>
              <w:overflowPunct/>
              <w:topLinePunct w:val="0"/>
              <w:bidi w:val="0"/>
              <w:adjustRightInd/>
              <w:snapToGrid/>
              <w:spacing w:after="0" w:line="240" w:lineRule="auto"/>
              <w:ind w:firstLine="0" w:firstLineChars="0"/>
              <w:jc w:val="both"/>
              <w:textAlignment w:val="auto"/>
              <w:rPr>
                <w:rFonts w:hint="default" w:ascii="Times New Roman" w:hAnsi="Times New Roman" w:eastAsia="宋体" w:cs="Times New Roman"/>
                <w:color w:val="FF0000"/>
                <w:sz w:val="21"/>
                <w:szCs w:val="21"/>
                <w:highlight w:val="none"/>
                <w:lang w:val="en-US" w:eastAsia="zh-CN" w:bidi="zh-TW"/>
              </w:rPr>
            </w:pPr>
            <w:r>
              <w:rPr>
                <w:rFonts w:hint="default" w:ascii="Times New Roman" w:hAnsi="Times New Roman" w:eastAsia="宋体" w:cs="Times New Roman"/>
                <w:color w:val="FF0000"/>
                <w:sz w:val="21"/>
                <w:szCs w:val="21"/>
                <w:highlight w:val="none"/>
                <w:lang w:val="en-US" w:eastAsia="zh-CN"/>
              </w:rPr>
              <w:t>本项目产生的生产废水全部回用，不外排。脱硫废水经曝气、沉淀后用于脱硝补水和输煤系统除尘、除渣用水。含煤废水经厂区内现有污水处理间处理，处理工艺为过滤+沉淀+气浮，处理后的废水进入地下水池回用。锅炉排污水、软化水处理废水、处理后的含煤废水用于输煤栈桥冲洗、输煤系统除尘水、</w:t>
            </w:r>
            <w:r>
              <w:rPr>
                <w:rFonts w:hint="eastAsia" w:ascii="Times New Roman" w:hAnsi="Times New Roman" w:cs="Times New Roman"/>
                <w:color w:val="FF0000"/>
                <w:sz w:val="21"/>
                <w:szCs w:val="21"/>
                <w:highlight w:val="none"/>
                <w:lang w:val="en-US" w:eastAsia="zh-CN"/>
              </w:rPr>
              <w:t>渣库降尘等工序</w:t>
            </w:r>
            <w:r>
              <w:rPr>
                <w:rFonts w:hint="default" w:ascii="Times New Roman" w:hAnsi="Times New Roman" w:eastAsia="宋体" w:cs="Times New Roman"/>
                <w:color w:val="FF0000"/>
                <w:sz w:val="21"/>
                <w:szCs w:val="21"/>
                <w:highlight w:val="none"/>
                <w:lang w:val="en-US" w:eastAsia="zh-CN"/>
              </w:rPr>
              <w:t>，不外排。</w:t>
            </w:r>
          </w:p>
        </w:tc>
        <w:tc>
          <w:tcPr>
            <w:tcW w:w="806" w:type="dxa"/>
            <w:tcBorders>
              <w:tl2br w:val="nil"/>
              <w:tr2bl w:val="nil"/>
            </w:tcBorders>
            <w:noWrap w:val="0"/>
            <w:vAlign w:val="center"/>
          </w:tcPr>
          <w:p w14:paraId="7AD3E00F">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依托</w:t>
            </w:r>
          </w:p>
        </w:tc>
      </w:tr>
      <w:tr w14:paraId="75E7BB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6" w:type="dxa"/>
            <w:vMerge w:val="continue"/>
            <w:tcBorders>
              <w:tl2br w:val="nil"/>
              <w:tr2bl w:val="nil"/>
            </w:tcBorders>
            <w:noWrap w:val="0"/>
            <w:vAlign w:val="center"/>
          </w:tcPr>
          <w:p w14:paraId="0592805C">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695" w:type="dxa"/>
            <w:vMerge w:val="continue"/>
            <w:tcBorders>
              <w:tl2br w:val="nil"/>
              <w:tr2bl w:val="nil"/>
            </w:tcBorders>
            <w:noWrap w:val="0"/>
            <w:vAlign w:val="center"/>
          </w:tcPr>
          <w:p w14:paraId="1D6C5AD8">
            <w:pPr>
              <w:pStyle w:val="72"/>
              <w:keepNext w:val="0"/>
              <w:keepLines w:val="0"/>
              <w:pageBreakBefore w:val="0"/>
              <w:widowControl w:val="0"/>
              <w:shd w:val="clear" w:color="auto" w:fill="auto"/>
              <w:kinsoku/>
              <w:wordWrap/>
              <w:overflowPunct/>
              <w:topLinePunct w:val="0"/>
              <w:bidi w:val="0"/>
              <w:adjustRightInd/>
              <w:snapToGrid/>
              <w:spacing w:after="0" w:line="240" w:lineRule="auto"/>
              <w:ind w:firstLine="0" w:firstLineChars="0"/>
              <w:jc w:val="center"/>
              <w:textAlignment w:val="auto"/>
              <w:rPr>
                <w:rFonts w:hint="default" w:ascii="Times New Roman" w:hAnsi="Times New Roman" w:eastAsia="宋体" w:cs="Times New Roman"/>
                <w:color w:val="FF0000"/>
                <w:sz w:val="21"/>
                <w:szCs w:val="21"/>
                <w:highlight w:val="none"/>
                <w:lang w:val="en-US" w:eastAsia="zh-CN"/>
              </w:rPr>
            </w:pPr>
          </w:p>
        </w:tc>
        <w:tc>
          <w:tcPr>
            <w:tcW w:w="745" w:type="dxa"/>
            <w:tcBorders>
              <w:tl2br w:val="nil"/>
              <w:tr2bl w:val="nil"/>
            </w:tcBorders>
            <w:noWrap w:val="0"/>
            <w:vAlign w:val="center"/>
          </w:tcPr>
          <w:p w14:paraId="50E405D8">
            <w:pPr>
              <w:pStyle w:val="72"/>
              <w:keepNext w:val="0"/>
              <w:keepLines w:val="0"/>
              <w:pageBreakBefore w:val="0"/>
              <w:widowControl w:val="0"/>
              <w:shd w:val="clear" w:color="auto" w:fill="auto"/>
              <w:kinsoku/>
              <w:wordWrap/>
              <w:overflowPunct/>
              <w:topLinePunct w:val="0"/>
              <w:bidi w:val="0"/>
              <w:adjustRightInd/>
              <w:snapToGrid/>
              <w:spacing w:after="0" w:line="240" w:lineRule="auto"/>
              <w:ind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cs="Times New Roman"/>
                <w:color w:val="FF0000"/>
                <w:sz w:val="21"/>
                <w:szCs w:val="21"/>
                <w:highlight w:val="none"/>
                <w:lang w:val="en-US" w:eastAsia="zh-CN"/>
              </w:rPr>
              <w:t>脱硫废水</w:t>
            </w:r>
          </w:p>
        </w:tc>
        <w:tc>
          <w:tcPr>
            <w:tcW w:w="5620" w:type="dxa"/>
            <w:tcBorders>
              <w:tl2br w:val="nil"/>
              <w:tr2bl w:val="nil"/>
            </w:tcBorders>
            <w:noWrap w:val="0"/>
            <w:vAlign w:val="center"/>
          </w:tcPr>
          <w:p w14:paraId="1C35E2A6">
            <w:pPr>
              <w:pStyle w:val="72"/>
              <w:keepNext w:val="0"/>
              <w:keepLines w:val="0"/>
              <w:pageBreakBefore w:val="0"/>
              <w:widowControl w:val="0"/>
              <w:shd w:val="clear" w:color="auto" w:fill="auto"/>
              <w:kinsoku/>
              <w:wordWrap/>
              <w:overflowPunct/>
              <w:topLinePunct w:val="0"/>
              <w:bidi w:val="0"/>
              <w:adjustRightInd/>
              <w:snapToGrid/>
              <w:spacing w:after="0" w:line="240" w:lineRule="auto"/>
              <w:ind w:firstLine="0" w:firstLineChars="0"/>
              <w:jc w:val="both"/>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脱硫废水曝气、沉淀后用于脱硝补水和输煤系统除尘、除渣用水，不外排</w:t>
            </w:r>
            <w:r>
              <w:rPr>
                <w:rFonts w:hint="eastAsia" w:ascii="Times New Roman" w:hAnsi="Times New Roman" w:eastAsia="宋体" w:cs="Times New Roman"/>
                <w:color w:val="FF0000"/>
                <w:sz w:val="21"/>
                <w:szCs w:val="21"/>
                <w:highlight w:val="none"/>
                <w:lang w:val="en-US" w:eastAsia="zh-CN"/>
              </w:rPr>
              <w:t>。设置事故浆液储存系统，容量与脱硫系统排空所需容量相匹配，内部</w:t>
            </w:r>
            <w:r>
              <w:rPr>
                <w:rFonts w:hint="eastAsia" w:ascii="Times New Roman" w:hAnsi="Times New Roman" w:cs="Times New Roman"/>
                <w:color w:val="FF0000"/>
                <w:sz w:val="21"/>
                <w:szCs w:val="21"/>
                <w:highlight w:val="none"/>
                <w:lang w:val="en-US" w:eastAsia="zh-CN"/>
              </w:rPr>
              <w:t>设置</w:t>
            </w:r>
            <w:r>
              <w:rPr>
                <w:rFonts w:hint="eastAsia" w:ascii="Times New Roman" w:hAnsi="Times New Roman" w:eastAsia="宋体" w:cs="Times New Roman"/>
                <w:color w:val="FF0000"/>
                <w:sz w:val="21"/>
                <w:szCs w:val="21"/>
                <w:highlight w:val="none"/>
                <w:lang w:val="en-US" w:eastAsia="zh-CN"/>
              </w:rPr>
              <w:t>防腐措施及箱体底部清理淤泥、杂质等沉淀物功能，可在脱硫系统故障情况下快速排空脱硫塔内浆液进行抢修。</w:t>
            </w:r>
          </w:p>
        </w:tc>
        <w:tc>
          <w:tcPr>
            <w:tcW w:w="806" w:type="dxa"/>
            <w:tcBorders>
              <w:tl2br w:val="nil"/>
              <w:tr2bl w:val="nil"/>
            </w:tcBorders>
            <w:noWrap w:val="0"/>
            <w:vAlign w:val="center"/>
          </w:tcPr>
          <w:p w14:paraId="7780C210">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本项目二期</w:t>
            </w:r>
          </w:p>
        </w:tc>
      </w:tr>
      <w:tr w14:paraId="17FE77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6" w:type="dxa"/>
            <w:vMerge w:val="continue"/>
            <w:tcBorders>
              <w:tl2br w:val="nil"/>
              <w:tr2bl w:val="nil"/>
            </w:tcBorders>
            <w:noWrap w:val="0"/>
            <w:vAlign w:val="center"/>
          </w:tcPr>
          <w:p w14:paraId="79FE0B6E">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695" w:type="dxa"/>
            <w:vMerge w:val="continue"/>
            <w:tcBorders>
              <w:tl2br w:val="nil"/>
              <w:tr2bl w:val="nil"/>
            </w:tcBorders>
            <w:noWrap w:val="0"/>
            <w:vAlign w:val="center"/>
          </w:tcPr>
          <w:p w14:paraId="219EC62D">
            <w:pPr>
              <w:pStyle w:val="72"/>
              <w:keepNext w:val="0"/>
              <w:keepLines w:val="0"/>
              <w:pageBreakBefore w:val="0"/>
              <w:widowControl w:val="0"/>
              <w:shd w:val="clear" w:color="auto" w:fill="auto"/>
              <w:kinsoku/>
              <w:wordWrap/>
              <w:overflowPunct/>
              <w:topLinePunct w:val="0"/>
              <w:bidi w:val="0"/>
              <w:adjustRightInd/>
              <w:snapToGrid/>
              <w:spacing w:after="0" w:line="240" w:lineRule="auto"/>
              <w:ind w:firstLine="0" w:firstLineChars="0"/>
              <w:jc w:val="center"/>
              <w:textAlignment w:val="auto"/>
              <w:rPr>
                <w:rFonts w:hint="default" w:ascii="Times New Roman" w:hAnsi="Times New Roman" w:eastAsia="宋体" w:cs="Times New Roman"/>
                <w:color w:val="FF0000"/>
                <w:sz w:val="21"/>
                <w:szCs w:val="21"/>
                <w:highlight w:val="none"/>
                <w:lang w:val="en-US" w:eastAsia="zh-CN"/>
              </w:rPr>
            </w:pPr>
          </w:p>
        </w:tc>
        <w:tc>
          <w:tcPr>
            <w:tcW w:w="745" w:type="dxa"/>
            <w:tcBorders>
              <w:tl2br w:val="nil"/>
              <w:tr2bl w:val="nil"/>
            </w:tcBorders>
            <w:noWrap w:val="0"/>
            <w:vAlign w:val="center"/>
          </w:tcPr>
          <w:p w14:paraId="62ABAE1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eastAsia="zh-CN"/>
              </w:rPr>
              <w:t>雨水</w:t>
            </w:r>
            <w:r>
              <w:rPr>
                <w:rFonts w:hint="default" w:ascii="Times New Roman" w:hAnsi="Times New Roman" w:eastAsia="宋体" w:cs="Times New Roman"/>
                <w:color w:val="FF0000"/>
                <w:sz w:val="21"/>
                <w:szCs w:val="21"/>
                <w:highlight w:val="none"/>
                <w:lang w:val="en-US" w:eastAsia="zh-CN"/>
              </w:rPr>
              <w:t>收集</w:t>
            </w:r>
          </w:p>
        </w:tc>
        <w:tc>
          <w:tcPr>
            <w:tcW w:w="5620" w:type="dxa"/>
            <w:tcBorders>
              <w:tl2br w:val="nil"/>
              <w:tr2bl w:val="nil"/>
            </w:tcBorders>
            <w:noWrap w:val="0"/>
            <w:vAlign w:val="center"/>
          </w:tcPr>
          <w:p w14:paraId="794F6049">
            <w:pPr>
              <w:keepNext w:val="0"/>
              <w:keepLines w:val="0"/>
              <w:pageBreakBefore w:val="0"/>
              <w:widowControl w:val="0"/>
              <w:kinsoku/>
              <w:wordWrap/>
              <w:overflowPunct/>
              <w:topLinePunct w:val="0"/>
              <w:bidi w:val="0"/>
              <w:snapToGrid/>
              <w:spacing w:line="240" w:lineRule="auto"/>
              <w:ind w:firstLine="0" w:firstLineChars="0"/>
              <w:textAlignment w:val="auto"/>
              <w:outlineLvl w:val="9"/>
              <w:rPr>
                <w:rFonts w:hint="default" w:ascii="Times New Roman" w:hAnsi="Times New Roman" w:eastAsia="宋体" w:cs="Times New Roman"/>
                <w:color w:val="FF0000"/>
                <w:kern w:val="0"/>
                <w:sz w:val="21"/>
                <w:szCs w:val="21"/>
                <w:highlight w:val="none"/>
                <w:lang w:val="en-US" w:eastAsia="zh-CN" w:bidi="ar-SA"/>
              </w:rPr>
            </w:pPr>
            <w:r>
              <w:rPr>
                <w:rFonts w:hint="eastAsia" w:ascii="Times New Roman" w:hAnsi="Times New Roman" w:eastAsia="宋体" w:cs="Times New Roman"/>
                <w:color w:val="FF0000"/>
                <w:kern w:val="0"/>
                <w:sz w:val="21"/>
                <w:szCs w:val="21"/>
                <w:highlight w:val="none"/>
                <w:lang w:val="en-US" w:eastAsia="zh-CN" w:bidi="ar-SA"/>
              </w:rPr>
              <w:t>本项目新增占地，项目建设不增加初期雨水，初期雨水经厂区内现有雨水收集池收集沉淀后排入地下水池，回用。</w:t>
            </w:r>
          </w:p>
        </w:tc>
        <w:tc>
          <w:tcPr>
            <w:tcW w:w="806" w:type="dxa"/>
            <w:tcBorders>
              <w:tl2br w:val="nil"/>
              <w:tr2bl w:val="nil"/>
            </w:tcBorders>
            <w:noWrap w:val="0"/>
            <w:vAlign w:val="center"/>
          </w:tcPr>
          <w:p w14:paraId="74219BD5">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依托现有工程</w:t>
            </w:r>
          </w:p>
        </w:tc>
      </w:tr>
      <w:tr w14:paraId="3FC30E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6" w:type="dxa"/>
            <w:vMerge w:val="continue"/>
            <w:tcBorders>
              <w:tl2br w:val="nil"/>
              <w:tr2bl w:val="nil"/>
            </w:tcBorders>
            <w:noWrap w:val="0"/>
            <w:vAlign w:val="center"/>
          </w:tcPr>
          <w:p w14:paraId="216AE10D">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695" w:type="dxa"/>
            <w:vMerge w:val="continue"/>
            <w:tcBorders>
              <w:tl2br w:val="nil"/>
              <w:tr2bl w:val="nil"/>
            </w:tcBorders>
            <w:noWrap w:val="0"/>
            <w:vAlign w:val="center"/>
          </w:tcPr>
          <w:p w14:paraId="2F9C33B5">
            <w:pPr>
              <w:pStyle w:val="72"/>
              <w:keepNext w:val="0"/>
              <w:keepLines w:val="0"/>
              <w:pageBreakBefore w:val="0"/>
              <w:widowControl w:val="0"/>
              <w:shd w:val="clear" w:color="auto" w:fill="auto"/>
              <w:kinsoku/>
              <w:wordWrap/>
              <w:overflowPunct/>
              <w:topLinePunct w:val="0"/>
              <w:bidi w:val="0"/>
              <w:adjustRightInd/>
              <w:snapToGrid/>
              <w:spacing w:after="0" w:line="240" w:lineRule="auto"/>
              <w:ind w:firstLine="0" w:firstLineChars="0"/>
              <w:jc w:val="center"/>
              <w:textAlignment w:val="auto"/>
              <w:rPr>
                <w:rFonts w:hint="default" w:ascii="Times New Roman" w:hAnsi="Times New Roman" w:eastAsia="宋体" w:cs="Times New Roman"/>
                <w:color w:val="FF0000"/>
                <w:sz w:val="21"/>
                <w:szCs w:val="21"/>
                <w:highlight w:val="none"/>
                <w:lang w:val="en-US" w:eastAsia="zh-CN"/>
              </w:rPr>
            </w:pPr>
          </w:p>
        </w:tc>
        <w:tc>
          <w:tcPr>
            <w:tcW w:w="745" w:type="dxa"/>
            <w:tcBorders>
              <w:tl2br w:val="nil"/>
              <w:tr2bl w:val="nil"/>
            </w:tcBorders>
            <w:noWrap w:val="0"/>
            <w:vAlign w:val="center"/>
          </w:tcPr>
          <w:p w14:paraId="1A12DC97">
            <w:pPr>
              <w:pStyle w:val="72"/>
              <w:keepNext w:val="0"/>
              <w:keepLines w:val="0"/>
              <w:pageBreakBefore w:val="0"/>
              <w:widowControl w:val="0"/>
              <w:shd w:val="clear" w:color="auto" w:fill="auto"/>
              <w:kinsoku/>
              <w:wordWrap/>
              <w:overflowPunct/>
              <w:topLinePunct w:val="0"/>
              <w:bidi w:val="0"/>
              <w:adjustRightInd/>
              <w:snapToGrid/>
              <w:spacing w:after="0" w:line="240" w:lineRule="auto"/>
              <w:ind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生活</w:t>
            </w:r>
          </w:p>
          <w:p w14:paraId="263558F1">
            <w:pPr>
              <w:pStyle w:val="72"/>
              <w:keepNext w:val="0"/>
              <w:keepLines w:val="0"/>
              <w:pageBreakBefore w:val="0"/>
              <w:widowControl w:val="0"/>
              <w:shd w:val="clear" w:color="auto" w:fill="auto"/>
              <w:kinsoku/>
              <w:wordWrap/>
              <w:overflowPunct/>
              <w:topLinePunct w:val="0"/>
              <w:bidi w:val="0"/>
              <w:adjustRightInd/>
              <w:snapToGrid/>
              <w:spacing w:after="0" w:line="240" w:lineRule="auto"/>
              <w:ind w:firstLine="0" w:firstLineChars="0"/>
              <w:jc w:val="center"/>
              <w:textAlignment w:val="auto"/>
              <w:rPr>
                <w:rFonts w:hint="default" w:ascii="Times New Roman" w:hAnsi="Times New Roman" w:eastAsia="宋体" w:cs="Times New Roman"/>
                <w:color w:val="FF0000"/>
                <w:sz w:val="21"/>
                <w:szCs w:val="21"/>
                <w:highlight w:val="none"/>
                <w:lang w:val="en-US" w:eastAsia="zh-CN" w:bidi="zh-TW"/>
              </w:rPr>
            </w:pPr>
            <w:r>
              <w:rPr>
                <w:rFonts w:hint="default" w:ascii="Times New Roman" w:hAnsi="Times New Roman" w:eastAsia="宋体" w:cs="Times New Roman"/>
                <w:color w:val="FF0000"/>
                <w:sz w:val="21"/>
                <w:szCs w:val="21"/>
                <w:highlight w:val="none"/>
                <w:lang w:val="en-US" w:eastAsia="zh-CN"/>
              </w:rPr>
              <w:t>污水</w:t>
            </w:r>
          </w:p>
        </w:tc>
        <w:tc>
          <w:tcPr>
            <w:tcW w:w="5620" w:type="dxa"/>
            <w:tcBorders>
              <w:tl2br w:val="nil"/>
              <w:tr2bl w:val="nil"/>
            </w:tcBorders>
            <w:noWrap w:val="0"/>
            <w:vAlign w:val="center"/>
          </w:tcPr>
          <w:p w14:paraId="232784BC">
            <w:pPr>
              <w:pStyle w:val="72"/>
              <w:keepNext w:val="0"/>
              <w:keepLines w:val="0"/>
              <w:pageBreakBefore w:val="0"/>
              <w:widowControl w:val="0"/>
              <w:shd w:val="clear" w:color="auto" w:fill="auto"/>
              <w:kinsoku/>
              <w:wordWrap/>
              <w:overflowPunct/>
              <w:topLinePunct w:val="0"/>
              <w:bidi w:val="0"/>
              <w:adjustRightInd/>
              <w:snapToGrid/>
              <w:spacing w:after="0" w:line="240" w:lineRule="auto"/>
              <w:ind w:firstLine="0" w:firstLineChars="0"/>
              <w:jc w:val="both"/>
              <w:textAlignment w:val="auto"/>
              <w:rPr>
                <w:rFonts w:hint="default" w:ascii="Times New Roman" w:hAnsi="Times New Roman" w:eastAsia="宋体" w:cs="Times New Roman"/>
                <w:color w:val="FF0000"/>
                <w:sz w:val="21"/>
                <w:szCs w:val="21"/>
                <w:highlight w:val="none"/>
                <w:lang w:val="en-US" w:eastAsia="zh-CN" w:bidi="zh-TW"/>
              </w:rPr>
            </w:pPr>
            <w:r>
              <w:rPr>
                <w:rFonts w:hint="eastAsia" w:ascii="Times New Roman" w:hAnsi="Times New Roman" w:cs="Times New Roman"/>
                <w:color w:val="FF0000"/>
                <w:sz w:val="21"/>
                <w:szCs w:val="21"/>
                <w:highlight w:val="none"/>
                <w:lang w:val="en-US" w:eastAsia="zh-CN" w:bidi="zh-TW"/>
              </w:rPr>
              <w:t>本项目不新增员工，不新增生活污水。厂区现有</w:t>
            </w:r>
            <w:r>
              <w:rPr>
                <w:rFonts w:hint="default" w:ascii="Times New Roman" w:hAnsi="Times New Roman" w:eastAsia="宋体" w:cs="Times New Roman"/>
                <w:color w:val="FF0000"/>
                <w:sz w:val="21"/>
                <w:szCs w:val="21"/>
                <w:highlight w:val="none"/>
                <w:lang w:val="en-US" w:eastAsia="zh-CN" w:bidi="zh-TW"/>
              </w:rPr>
              <w:t>生活污水经市政污水管网进入</w:t>
            </w:r>
            <w:r>
              <w:rPr>
                <w:rFonts w:hint="eastAsia" w:ascii="Times New Roman" w:hAnsi="Times New Roman" w:cs="Times New Roman"/>
                <w:color w:val="FF0000"/>
                <w:sz w:val="21"/>
                <w:szCs w:val="21"/>
                <w:highlight w:val="none"/>
                <w:lang w:val="en-US" w:eastAsia="zh-CN" w:bidi="zh-TW"/>
              </w:rPr>
              <w:t>佳木斯西区污水处理厂</w:t>
            </w:r>
            <w:r>
              <w:rPr>
                <w:rFonts w:hint="default" w:ascii="Times New Roman" w:hAnsi="Times New Roman" w:eastAsia="宋体" w:cs="Times New Roman"/>
                <w:color w:val="FF0000"/>
                <w:sz w:val="21"/>
                <w:szCs w:val="21"/>
                <w:highlight w:val="none"/>
                <w:lang w:val="en-US" w:eastAsia="zh-CN" w:bidi="zh-TW"/>
              </w:rPr>
              <w:t>，</w:t>
            </w:r>
            <w:r>
              <w:rPr>
                <w:rFonts w:hint="eastAsia" w:ascii="Times New Roman" w:hAnsi="Times New Roman" w:eastAsia="宋体" w:cs="Times New Roman"/>
                <w:color w:val="FF0000"/>
                <w:sz w:val="21"/>
                <w:szCs w:val="21"/>
                <w:highlight w:val="none"/>
                <w:lang w:val="en-US" w:eastAsia="zh-CN" w:bidi="zh-TW"/>
              </w:rPr>
              <w:t>处理</w:t>
            </w:r>
            <w:r>
              <w:rPr>
                <w:rFonts w:hint="default" w:ascii="Times New Roman" w:hAnsi="Times New Roman" w:eastAsia="宋体" w:cs="Times New Roman"/>
                <w:color w:val="FF0000"/>
                <w:sz w:val="21"/>
                <w:szCs w:val="21"/>
                <w:highlight w:val="none"/>
                <w:lang w:val="en-US" w:eastAsia="zh-CN" w:bidi="zh-TW"/>
              </w:rPr>
              <w:t>达标</w:t>
            </w:r>
            <w:r>
              <w:rPr>
                <w:rFonts w:hint="eastAsia" w:ascii="Times New Roman" w:hAnsi="Times New Roman" w:eastAsia="宋体" w:cs="Times New Roman"/>
                <w:color w:val="FF0000"/>
                <w:sz w:val="21"/>
                <w:szCs w:val="21"/>
                <w:highlight w:val="none"/>
                <w:lang w:val="en-US" w:eastAsia="zh-CN" w:bidi="zh-TW"/>
              </w:rPr>
              <w:t>后</w:t>
            </w:r>
            <w:r>
              <w:rPr>
                <w:rFonts w:hint="default" w:ascii="Times New Roman" w:hAnsi="Times New Roman" w:eastAsia="宋体" w:cs="Times New Roman"/>
                <w:color w:val="FF0000"/>
                <w:sz w:val="21"/>
                <w:szCs w:val="21"/>
                <w:highlight w:val="none"/>
                <w:lang w:val="en-US" w:eastAsia="zh-CN" w:bidi="zh-TW"/>
              </w:rPr>
              <w:t>排入</w:t>
            </w:r>
            <w:r>
              <w:rPr>
                <w:rFonts w:hint="eastAsia" w:ascii="Times New Roman" w:hAnsi="Times New Roman" w:cs="Times New Roman"/>
                <w:color w:val="FF0000"/>
                <w:sz w:val="21"/>
                <w:szCs w:val="21"/>
                <w:highlight w:val="none"/>
                <w:lang w:val="en-US" w:eastAsia="zh-CN" w:bidi="zh-TW"/>
              </w:rPr>
              <w:t>松花江</w:t>
            </w:r>
            <w:r>
              <w:rPr>
                <w:rFonts w:hint="default" w:ascii="Times New Roman" w:hAnsi="Times New Roman" w:eastAsia="宋体" w:cs="Times New Roman"/>
                <w:color w:val="FF0000"/>
                <w:sz w:val="21"/>
                <w:szCs w:val="21"/>
                <w:highlight w:val="none"/>
                <w:lang w:val="en-US" w:eastAsia="zh-CN" w:bidi="zh-TW"/>
              </w:rPr>
              <w:t>。</w:t>
            </w:r>
          </w:p>
        </w:tc>
        <w:tc>
          <w:tcPr>
            <w:tcW w:w="806" w:type="dxa"/>
            <w:tcBorders>
              <w:tl2br w:val="nil"/>
              <w:tr2bl w:val="nil"/>
            </w:tcBorders>
            <w:noWrap w:val="0"/>
            <w:vAlign w:val="center"/>
          </w:tcPr>
          <w:p w14:paraId="57173EAA">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依托现有工程</w:t>
            </w:r>
          </w:p>
        </w:tc>
      </w:tr>
      <w:tr w14:paraId="5A4707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6" w:type="dxa"/>
            <w:vMerge w:val="continue"/>
            <w:tcBorders>
              <w:tl2br w:val="nil"/>
              <w:tr2bl w:val="nil"/>
            </w:tcBorders>
            <w:noWrap w:val="0"/>
            <w:vAlign w:val="center"/>
          </w:tcPr>
          <w:p w14:paraId="6267FA20">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1440" w:type="dxa"/>
            <w:gridSpan w:val="2"/>
            <w:tcBorders>
              <w:tl2br w:val="nil"/>
              <w:tr2bl w:val="nil"/>
            </w:tcBorders>
            <w:noWrap w:val="0"/>
            <w:vAlign w:val="center"/>
          </w:tcPr>
          <w:p w14:paraId="0383AADB">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噪声治理</w:t>
            </w:r>
          </w:p>
        </w:tc>
        <w:tc>
          <w:tcPr>
            <w:tcW w:w="5620" w:type="dxa"/>
            <w:tcBorders>
              <w:tl2br w:val="nil"/>
              <w:tr2bl w:val="nil"/>
            </w:tcBorders>
            <w:noWrap w:val="0"/>
            <w:vAlign w:val="center"/>
          </w:tcPr>
          <w:p w14:paraId="6A371F50">
            <w:pPr>
              <w:pStyle w:val="72"/>
              <w:keepNext w:val="0"/>
              <w:keepLines w:val="0"/>
              <w:pageBreakBefore w:val="0"/>
              <w:widowControl w:val="0"/>
              <w:shd w:val="clear" w:color="auto" w:fill="auto"/>
              <w:kinsoku/>
              <w:wordWrap/>
              <w:overflowPunct/>
              <w:topLinePunct w:val="0"/>
              <w:bidi w:val="0"/>
              <w:adjustRightInd/>
              <w:snapToGrid/>
              <w:spacing w:after="0" w:line="240" w:lineRule="auto"/>
              <w:ind w:firstLine="0" w:firstLineChars="0"/>
              <w:jc w:val="both"/>
              <w:textAlignment w:val="auto"/>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cs="Times New Roman"/>
                <w:snapToGrid w:val="0"/>
                <w:color w:val="FF0000"/>
                <w:kern w:val="0"/>
                <w:sz w:val="21"/>
                <w:szCs w:val="21"/>
                <w:highlight w:val="none"/>
                <w:lang w:eastAsia="zh-CN"/>
              </w:rPr>
              <w:t>选用低噪声设备；设备</w:t>
            </w:r>
            <w:r>
              <w:rPr>
                <w:rFonts w:hint="default" w:ascii="Times New Roman" w:hAnsi="Times New Roman" w:eastAsia="宋体" w:cs="Times New Roman"/>
                <w:snapToGrid w:val="0"/>
                <w:color w:val="FF0000"/>
                <w:kern w:val="0"/>
                <w:sz w:val="21"/>
                <w:szCs w:val="21"/>
                <w:highlight w:val="none"/>
                <w:lang w:eastAsia="zh-CN"/>
              </w:rPr>
              <w:t>采取</w:t>
            </w:r>
            <w:r>
              <w:rPr>
                <w:rFonts w:hint="default" w:ascii="Times New Roman" w:hAnsi="Times New Roman" w:eastAsia="宋体" w:cs="Times New Roman"/>
                <w:snapToGrid w:val="0"/>
                <w:color w:val="FF0000"/>
                <w:kern w:val="0"/>
                <w:sz w:val="21"/>
                <w:szCs w:val="21"/>
                <w:highlight w:val="none"/>
              </w:rPr>
              <w:t>基础减振、加装消声器</w:t>
            </w:r>
            <w:r>
              <w:rPr>
                <w:rFonts w:hint="default" w:ascii="Times New Roman" w:hAnsi="Times New Roman" w:eastAsia="宋体" w:cs="Times New Roman"/>
                <w:snapToGrid w:val="0"/>
                <w:color w:val="FF0000"/>
                <w:kern w:val="0"/>
                <w:sz w:val="21"/>
                <w:szCs w:val="21"/>
                <w:highlight w:val="none"/>
                <w:lang w:eastAsia="zh-CN"/>
              </w:rPr>
              <w:t>、</w:t>
            </w:r>
            <w:r>
              <w:rPr>
                <w:rFonts w:hint="default" w:ascii="Times New Roman" w:hAnsi="Times New Roman" w:eastAsia="宋体" w:cs="Times New Roman"/>
                <w:snapToGrid w:val="0"/>
                <w:color w:val="FF0000"/>
                <w:kern w:val="0"/>
                <w:sz w:val="21"/>
                <w:szCs w:val="21"/>
                <w:highlight w:val="none"/>
              </w:rPr>
              <w:t>厂房隔声等</w:t>
            </w:r>
            <w:r>
              <w:rPr>
                <w:rFonts w:hint="default" w:ascii="Times New Roman" w:hAnsi="Times New Roman" w:eastAsia="宋体" w:cs="Times New Roman"/>
                <w:snapToGrid w:val="0"/>
                <w:color w:val="FF0000"/>
                <w:kern w:val="0"/>
                <w:sz w:val="21"/>
                <w:szCs w:val="21"/>
                <w:highlight w:val="none"/>
                <w:lang w:eastAsia="zh-CN"/>
              </w:rPr>
              <w:t>措施</w:t>
            </w:r>
            <w:r>
              <w:rPr>
                <w:rFonts w:hint="default" w:ascii="Times New Roman" w:hAnsi="Times New Roman" w:eastAsia="宋体" w:cs="Times New Roman"/>
                <w:snapToGrid w:val="0"/>
                <w:color w:val="FF0000"/>
                <w:kern w:val="0"/>
                <w:sz w:val="21"/>
                <w:szCs w:val="21"/>
                <w:highlight w:val="none"/>
              </w:rPr>
              <w:t>。</w:t>
            </w:r>
          </w:p>
        </w:tc>
        <w:tc>
          <w:tcPr>
            <w:tcW w:w="806" w:type="dxa"/>
            <w:tcBorders>
              <w:tl2br w:val="nil"/>
              <w:tr2bl w:val="nil"/>
            </w:tcBorders>
            <w:noWrap w:val="0"/>
            <w:vAlign w:val="center"/>
          </w:tcPr>
          <w:p w14:paraId="3FA6CB20">
            <w:pPr>
              <w:pStyle w:val="72"/>
              <w:keepNext w:val="0"/>
              <w:keepLines w:val="0"/>
              <w:pageBreakBefore w:val="0"/>
              <w:widowControl w:val="0"/>
              <w:shd w:val="clear" w:color="auto" w:fill="auto"/>
              <w:kinsoku/>
              <w:wordWrap/>
              <w:overflowPunct/>
              <w:topLinePunct w:val="0"/>
              <w:bidi w:val="0"/>
              <w:adjustRightInd/>
              <w:snapToGrid/>
              <w:spacing w:after="0" w:line="240" w:lineRule="auto"/>
              <w:ind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本项目二期</w:t>
            </w:r>
          </w:p>
        </w:tc>
      </w:tr>
      <w:tr w14:paraId="3E7B27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656" w:type="dxa"/>
            <w:vMerge w:val="continue"/>
            <w:tcBorders>
              <w:tl2br w:val="nil"/>
              <w:tr2bl w:val="nil"/>
            </w:tcBorders>
            <w:noWrap w:val="0"/>
            <w:vAlign w:val="center"/>
          </w:tcPr>
          <w:p w14:paraId="40416E97">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695" w:type="dxa"/>
            <w:vMerge w:val="restart"/>
            <w:tcBorders>
              <w:tl2br w:val="nil"/>
              <w:tr2bl w:val="nil"/>
            </w:tcBorders>
            <w:noWrap w:val="0"/>
            <w:vAlign w:val="center"/>
          </w:tcPr>
          <w:p w14:paraId="18F79DEC">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固体废物</w:t>
            </w:r>
          </w:p>
        </w:tc>
        <w:tc>
          <w:tcPr>
            <w:tcW w:w="745" w:type="dxa"/>
            <w:tcBorders>
              <w:tl2br w:val="nil"/>
              <w:tr2bl w:val="nil"/>
            </w:tcBorders>
            <w:noWrap w:val="0"/>
            <w:vAlign w:val="center"/>
          </w:tcPr>
          <w:p w14:paraId="61A9F6E2">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一般</w:t>
            </w:r>
          </w:p>
          <w:p w14:paraId="02889E76">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固废</w:t>
            </w:r>
          </w:p>
        </w:tc>
        <w:tc>
          <w:tcPr>
            <w:tcW w:w="5620" w:type="dxa"/>
            <w:tcBorders>
              <w:tl2br w:val="nil"/>
              <w:tr2bl w:val="nil"/>
            </w:tcBorders>
            <w:noWrap w:val="0"/>
            <w:vAlign w:val="center"/>
          </w:tcPr>
          <w:p w14:paraId="743B59C2">
            <w:pPr>
              <w:pStyle w:val="63"/>
              <w:keepNext w:val="0"/>
              <w:keepLines w:val="0"/>
              <w:pageBreakBefore w:val="0"/>
              <w:widowControl w:val="0"/>
              <w:kinsoku/>
              <w:wordWrap/>
              <w:overflowPunct/>
              <w:topLinePunct w:val="0"/>
              <w:bidi w:val="0"/>
              <w:adjustRightInd/>
              <w:snapToGrid/>
              <w:ind w:firstLine="0" w:firstLineChars="0"/>
              <w:jc w:val="left"/>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本项目飞灰、炉渣外售综合利用；废布袋由厂家回收，不在厂区内堆存；</w:t>
            </w:r>
            <w:r>
              <w:rPr>
                <w:rFonts w:hint="eastAsia" w:ascii="Times New Roman" w:hAnsi="Times New Roman" w:eastAsia="宋体" w:cs="Times New Roman"/>
                <w:color w:val="FF0000"/>
                <w:sz w:val="21"/>
                <w:szCs w:val="21"/>
                <w:highlight w:val="none"/>
                <w:lang w:val="en-US" w:eastAsia="zh-CN"/>
              </w:rPr>
              <w:t>灰库</w:t>
            </w:r>
            <w:r>
              <w:rPr>
                <w:rFonts w:hint="default" w:ascii="Times New Roman" w:hAnsi="Times New Roman" w:eastAsia="宋体" w:cs="Times New Roman"/>
                <w:color w:val="FF0000"/>
                <w:sz w:val="21"/>
                <w:szCs w:val="21"/>
                <w:highlight w:val="none"/>
                <w:lang w:val="en-US" w:eastAsia="zh-CN"/>
              </w:rPr>
              <w:t>除尘器收尘外售综合利用；</w:t>
            </w:r>
            <w:r>
              <w:rPr>
                <w:rFonts w:hint="eastAsia" w:ascii="Times New Roman" w:hAnsi="Times New Roman" w:eastAsia="宋体" w:cs="Times New Roman"/>
                <w:color w:val="FF0000"/>
                <w:sz w:val="21"/>
                <w:szCs w:val="21"/>
                <w:highlight w:val="none"/>
                <w:lang w:val="en-US" w:eastAsia="zh-CN"/>
              </w:rPr>
              <w:t>生石灰</w:t>
            </w:r>
            <w:r>
              <w:rPr>
                <w:rFonts w:hint="default" w:ascii="Times New Roman" w:hAnsi="Times New Roman" w:eastAsia="宋体" w:cs="Times New Roman"/>
                <w:color w:val="FF0000"/>
                <w:sz w:val="21"/>
                <w:szCs w:val="21"/>
                <w:highlight w:val="none"/>
                <w:lang w:val="en-US" w:eastAsia="zh-CN"/>
              </w:rPr>
              <w:t>粉仓除尘器收尘回用于脱硫工序；碎煤机除尘器收尘作为燃料入炉燃烧；沉渣定期清掏作为燃料入炉燃烧；废矿物油暂存于现有工程危废暂存间内，委托有资质单位处置</w:t>
            </w:r>
            <w:r>
              <w:rPr>
                <w:rFonts w:hint="eastAsia" w:ascii="Times New Roman" w:hAnsi="Times New Roman" w:eastAsia="宋体" w:cs="Times New Roman"/>
                <w:color w:val="FF0000"/>
                <w:sz w:val="21"/>
                <w:szCs w:val="21"/>
                <w:highlight w:val="none"/>
                <w:lang w:val="en-US" w:eastAsia="zh-CN"/>
              </w:rPr>
              <w:t>。</w:t>
            </w:r>
          </w:p>
        </w:tc>
        <w:tc>
          <w:tcPr>
            <w:tcW w:w="806" w:type="dxa"/>
            <w:tcBorders>
              <w:tl2br w:val="nil"/>
              <w:tr2bl w:val="nil"/>
            </w:tcBorders>
            <w:noWrap w:val="0"/>
            <w:vAlign w:val="center"/>
          </w:tcPr>
          <w:p w14:paraId="4E38467E">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依托</w:t>
            </w:r>
          </w:p>
        </w:tc>
      </w:tr>
      <w:tr w14:paraId="2557C5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56" w:type="dxa"/>
            <w:vMerge w:val="continue"/>
            <w:tcBorders>
              <w:tl2br w:val="nil"/>
              <w:tr2bl w:val="nil"/>
            </w:tcBorders>
            <w:noWrap w:val="0"/>
            <w:vAlign w:val="center"/>
          </w:tcPr>
          <w:p w14:paraId="4AF14A57">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695" w:type="dxa"/>
            <w:vMerge w:val="continue"/>
            <w:tcBorders>
              <w:tl2br w:val="nil"/>
              <w:tr2bl w:val="nil"/>
            </w:tcBorders>
            <w:noWrap w:val="0"/>
            <w:vAlign w:val="center"/>
          </w:tcPr>
          <w:p w14:paraId="243BB280">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p>
        </w:tc>
        <w:tc>
          <w:tcPr>
            <w:tcW w:w="745" w:type="dxa"/>
            <w:tcBorders>
              <w:tl2br w:val="nil"/>
              <w:tr2bl w:val="nil"/>
            </w:tcBorders>
            <w:noWrap w:val="0"/>
            <w:vAlign w:val="center"/>
          </w:tcPr>
          <w:p w14:paraId="702BC7A0">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危险废物</w:t>
            </w:r>
          </w:p>
        </w:tc>
        <w:tc>
          <w:tcPr>
            <w:tcW w:w="5620" w:type="dxa"/>
            <w:tcBorders>
              <w:tl2br w:val="nil"/>
              <w:tr2bl w:val="nil"/>
            </w:tcBorders>
            <w:noWrap w:val="0"/>
            <w:vAlign w:val="center"/>
          </w:tcPr>
          <w:p w14:paraId="20E45BE4">
            <w:pPr>
              <w:pStyle w:val="63"/>
              <w:keepNext w:val="0"/>
              <w:keepLines w:val="0"/>
              <w:pageBreakBefore w:val="0"/>
              <w:widowControl w:val="0"/>
              <w:kinsoku/>
              <w:wordWrap/>
              <w:overflowPunct/>
              <w:topLinePunct w:val="0"/>
              <w:bidi w:val="0"/>
              <w:adjustRightInd/>
              <w:snapToGrid/>
              <w:ind w:firstLine="0" w:firstLineChars="0"/>
              <w:jc w:val="left"/>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废矿物油暂存于现有工程危废暂存间内，委托有资质单位处置。</w:t>
            </w:r>
          </w:p>
        </w:tc>
        <w:tc>
          <w:tcPr>
            <w:tcW w:w="806" w:type="dxa"/>
            <w:tcBorders>
              <w:tl2br w:val="nil"/>
              <w:tr2bl w:val="nil"/>
            </w:tcBorders>
            <w:noWrap w:val="0"/>
            <w:vAlign w:val="center"/>
          </w:tcPr>
          <w:p w14:paraId="12E3F184">
            <w:pPr>
              <w:pStyle w:val="63"/>
              <w:keepNext w:val="0"/>
              <w:keepLines w:val="0"/>
              <w:pageBreakBefore w:val="0"/>
              <w:widowControl w:val="0"/>
              <w:kinsoku/>
              <w:wordWrap/>
              <w:overflowPunct/>
              <w:topLinePunct w:val="0"/>
              <w:bidi w:val="0"/>
              <w:adjustRightInd/>
              <w:snapToGrid/>
              <w:ind w:firstLine="0" w:firstLineChars="0"/>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依托现有工程</w:t>
            </w:r>
          </w:p>
        </w:tc>
      </w:tr>
      <w:tr w14:paraId="62C581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48" w:hRule="atLeast"/>
          <w:jc w:val="center"/>
        </w:trPr>
        <w:tc>
          <w:tcPr>
            <w:tcW w:w="656" w:type="dxa"/>
            <w:tcBorders>
              <w:tl2br w:val="nil"/>
              <w:tr2bl w:val="nil"/>
            </w:tcBorders>
            <w:noWrap w:val="0"/>
            <w:vAlign w:val="center"/>
          </w:tcPr>
          <w:p w14:paraId="2851A3FA">
            <w:pPr>
              <w:keepNext w:val="0"/>
              <w:keepLines w:val="0"/>
              <w:pageBreakBefore w:val="0"/>
              <w:widowControl w:val="0"/>
              <w:shd w:val="clear" w:color="auto" w:fill="auto"/>
              <w:kinsoku/>
              <w:wordWrap/>
              <w:overflowPunct/>
              <w:topLinePunct w:val="0"/>
              <w:bidi w:val="0"/>
              <w:adjustRightInd/>
              <w:snapToGrid/>
              <w:spacing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eastAsia="zh-CN"/>
              </w:rPr>
              <w:t>依托工程</w:t>
            </w:r>
          </w:p>
        </w:tc>
        <w:tc>
          <w:tcPr>
            <w:tcW w:w="1440" w:type="dxa"/>
            <w:gridSpan w:val="2"/>
            <w:tcBorders>
              <w:tl2br w:val="nil"/>
              <w:tr2bl w:val="nil"/>
            </w:tcBorders>
            <w:noWrap w:val="0"/>
            <w:vAlign w:val="center"/>
          </w:tcPr>
          <w:p w14:paraId="69D92E23">
            <w:pPr>
              <w:pStyle w:val="72"/>
              <w:keepNext w:val="0"/>
              <w:keepLines w:val="0"/>
              <w:pageBreakBefore w:val="0"/>
              <w:widowControl w:val="0"/>
              <w:shd w:val="clear" w:color="auto" w:fill="auto"/>
              <w:kinsoku/>
              <w:wordWrap/>
              <w:overflowPunct/>
              <w:topLinePunct w:val="0"/>
              <w:bidi w:val="0"/>
              <w:adjustRightInd/>
              <w:snapToGrid/>
              <w:spacing w:after="0" w:line="240" w:lineRule="auto"/>
              <w:ind w:firstLine="0" w:firstLineChars="0"/>
              <w:jc w:val="center"/>
              <w:textAlignment w:val="auto"/>
              <w:rPr>
                <w:rFonts w:hint="default" w:ascii="Times New Roman" w:hAnsi="Times New Roman" w:eastAsia="宋体" w:cs="Times New Roman"/>
                <w:color w:val="FF0000"/>
                <w:sz w:val="21"/>
                <w:szCs w:val="21"/>
                <w:highlight w:val="none"/>
                <w:lang w:val="en-US" w:eastAsia="zh-CN" w:bidi="zh-TW"/>
              </w:rPr>
            </w:pPr>
            <w:r>
              <w:rPr>
                <w:rFonts w:hint="default" w:ascii="Times New Roman" w:hAnsi="Times New Roman" w:eastAsia="宋体" w:cs="Times New Roman"/>
                <w:color w:val="FF0000"/>
                <w:sz w:val="21"/>
                <w:szCs w:val="21"/>
                <w:highlight w:val="none"/>
                <w:lang w:val="en-US" w:eastAsia="zh-CN"/>
              </w:rPr>
              <w:t>生活污水处理</w:t>
            </w:r>
          </w:p>
        </w:tc>
        <w:tc>
          <w:tcPr>
            <w:tcW w:w="5620" w:type="dxa"/>
            <w:tcBorders>
              <w:tl2br w:val="nil"/>
              <w:tr2bl w:val="nil"/>
            </w:tcBorders>
            <w:noWrap w:val="0"/>
            <w:vAlign w:val="center"/>
          </w:tcPr>
          <w:p w14:paraId="101EE00C">
            <w:pPr>
              <w:pStyle w:val="72"/>
              <w:keepNext w:val="0"/>
              <w:keepLines w:val="0"/>
              <w:pageBreakBefore w:val="0"/>
              <w:widowControl w:val="0"/>
              <w:shd w:val="clear" w:color="auto" w:fill="auto"/>
              <w:kinsoku/>
              <w:wordWrap/>
              <w:overflowPunct/>
              <w:topLinePunct w:val="0"/>
              <w:bidi w:val="0"/>
              <w:adjustRightInd/>
              <w:snapToGrid/>
              <w:spacing w:after="0" w:line="240" w:lineRule="auto"/>
              <w:ind w:firstLine="0" w:firstLineChars="0"/>
              <w:jc w:val="both"/>
              <w:textAlignment w:val="auto"/>
              <w:rPr>
                <w:rFonts w:hint="default" w:ascii="Times New Roman" w:hAnsi="Times New Roman" w:eastAsia="宋体" w:cs="Times New Roman"/>
                <w:color w:val="FF0000"/>
                <w:sz w:val="21"/>
                <w:szCs w:val="21"/>
                <w:highlight w:val="none"/>
                <w:lang w:val="en-US" w:eastAsia="zh-CN" w:bidi="zh-TW"/>
              </w:rPr>
            </w:pPr>
            <w:r>
              <w:rPr>
                <w:rFonts w:hint="eastAsia" w:ascii="Times New Roman" w:hAnsi="Times New Roman" w:cs="Times New Roman"/>
                <w:color w:val="FF0000"/>
                <w:sz w:val="21"/>
                <w:szCs w:val="21"/>
                <w:highlight w:val="none"/>
                <w:lang w:val="en-US" w:eastAsia="zh-CN" w:bidi="zh-TW"/>
              </w:rPr>
              <w:t>本项目生活污水经市政管网排入佳木斯西区污水处理厂</w:t>
            </w:r>
            <w:r>
              <w:rPr>
                <w:rFonts w:hint="default" w:ascii="Times New Roman" w:hAnsi="Times New Roman" w:eastAsia="宋体" w:cs="Times New Roman"/>
                <w:color w:val="FF0000"/>
                <w:sz w:val="21"/>
                <w:szCs w:val="21"/>
                <w:highlight w:val="none"/>
                <w:lang w:val="en-US" w:eastAsia="zh-CN" w:bidi="zh-TW"/>
              </w:rPr>
              <w:t>，日处理量为每天</w:t>
            </w:r>
            <w:r>
              <w:rPr>
                <w:rFonts w:hint="eastAsia" w:ascii="Times New Roman" w:hAnsi="Times New Roman" w:cs="Times New Roman"/>
                <w:color w:val="FF0000"/>
                <w:sz w:val="21"/>
                <w:szCs w:val="21"/>
                <w:highlight w:val="none"/>
                <w:lang w:val="en-US" w:eastAsia="zh-CN" w:bidi="zh-TW"/>
              </w:rPr>
              <w:t>10</w:t>
            </w:r>
            <w:r>
              <w:rPr>
                <w:rFonts w:hint="default" w:ascii="Times New Roman" w:hAnsi="Times New Roman" w:eastAsia="宋体" w:cs="Times New Roman"/>
                <w:color w:val="FF0000"/>
                <w:sz w:val="21"/>
                <w:szCs w:val="21"/>
                <w:highlight w:val="none"/>
                <w:lang w:val="en-US" w:eastAsia="zh-CN" w:bidi="zh-TW"/>
              </w:rPr>
              <w:t>万吨，采用周期循环曝气活性污泥法（CASS）污水处理工艺。污水处理厂出水水质达到《城镇污水处理厂污染物排放标准》</w:t>
            </w:r>
            <w:r>
              <w:rPr>
                <w:rFonts w:hint="eastAsia" w:ascii="Times New Roman" w:hAnsi="Times New Roman" w:cs="Times New Roman"/>
                <w:color w:val="FF0000"/>
                <w:sz w:val="21"/>
                <w:szCs w:val="21"/>
                <w:highlight w:val="none"/>
                <w:lang w:val="en-US" w:eastAsia="zh-CN" w:bidi="zh-TW"/>
              </w:rPr>
              <w:t>（</w:t>
            </w:r>
            <w:r>
              <w:rPr>
                <w:rFonts w:hint="default" w:ascii="Times New Roman" w:hAnsi="Times New Roman" w:eastAsia="宋体" w:cs="Times New Roman"/>
                <w:color w:val="FF0000"/>
                <w:sz w:val="21"/>
                <w:szCs w:val="21"/>
                <w:highlight w:val="none"/>
                <w:lang w:val="en-US" w:eastAsia="zh-CN" w:bidi="zh-TW"/>
              </w:rPr>
              <w:t>GB18918-2002</w:t>
            </w:r>
            <w:r>
              <w:rPr>
                <w:rFonts w:hint="eastAsia" w:ascii="Times New Roman" w:hAnsi="Times New Roman" w:cs="Times New Roman"/>
                <w:color w:val="FF0000"/>
                <w:sz w:val="21"/>
                <w:szCs w:val="21"/>
                <w:highlight w:val="none"/>
                <w:lang w:val="en-US" w:eastAsia="zh-CN" w:bidi="zh-TW"/>
              </w:rPr>
              <w:t>）</w:t>
            </w:r>
            <w:r>
              <w:rPr>
                <w:rFonts w:hint="default" w:ascii="Times New Roman" w:hAnsi="Times New Roman" w:eastAsia="宋体" w:cs="Times New Roman"/>
                <w:color w:val="FF0000"/>
                <w:sz w:val="21"/>
                <w:szCs w:val="21"/>
                <w:highlight w:val="none"/>
                <w:lang w:val="en-US" w:eastAsia="zh-CN" w:bidi="zh-TW"/>
              </w:rPr>
              <w:t>一级A标准后排入</w:t>
            </w:r>
            <w:r>
              <w:rPr>
                <w:rFonts w:hint="eastAsia" w:ascii="Times New Roman" w:hAnsi="Times New Roman" w:cs="Times New Roman"/>
                <w:color w:val="FF0000"/>
                <w:sz w:val="21"/>
                <w:szCs w:val="21"/>
                <w:highlight w:val="none"/>
                <w:lang w:val="en-US" w:eastAsia="zh-CN" w:bidi="zh-TW"/>
              </w:rPr>
              <w:t>松花江</w:t>
            </w:r>
            <w:r>
              <w:rPr>
                <w:rFonts w:hint="eastAsia" w:ascii="Times New Roman" w:hAnsi="Times New Roman" w:eastAsia="宋体" w:cs="Times New Roman"/>
                <w:color w:val="FF0000"/>
                <w:sz w:val="21"/>
                <w:szCs w:val="21"/>
                <w:highlight w:val="none"/>
                <w:lang w:val="en-US" w:eastAsia="zh-CN" w:bidi="zh-TW"/>
              </w:rPr>
              <w:t>。有足够余量收纳本项目废水，可以接纳本项目生活污水进行处理。本项目属于污水处理厂收水范围内，且市政污水管网已铺设完成。因此，佳木斯西区污水处理厂可以接纳并处理本项目的生活污水。从水质和水量角度，本项目生活污水依托污水处理设施可行。</w:t>
            </w:r>
          </w:p>
        </w:tc>
        <w:tc>
          <w:tcPr>
            <w:tcW w:w="806" w:type="dxa"/>
            <w:tcBorders>
              <w:tl2br w:val="nil"/>
              <w:tr2bl w:val="nil"/>
            </w:tcBorders>
            <w:noWrap w:val="0"/>
            <w:vAlign w:val="center"/>
          </w:tcPr>
          <w:p w14:paraId="5A948442">
            <w:pPr>
              <w:pStyle w:val="63"/>
              <w:keepNext w:val="0"/>
              <w:keepLines w:val="0"/>
              <w:pageBreakBefore w:val="0"/>
              <w:widowControl w:val="0"/>
              <w:kinsoku/>
              <w:wordWrap/>
              <w:overflowPunct/>
              <w:topLinePunct w:val="0"/>
              <w:bidi w:val="0"/>
              <w:adjustRightInd/>
              <w:snapToGrid/>
              <w:ind w:firstLine="0" w:firstLineChars="0"/>
              <w:textAlignment w:val="center"/>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依托</w:t>
            </w:r>
          </w:p>
        </w:tc>
      </w:tr>
    </w:tbl>
    <w:p w14:paraId="510D281D">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锅炉选型</w:t>
      </w:r>
    </w:p>
    <w:p w14:paraId="07D1778B">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eastAsia="zh-CN"/>
        </w:rPr>
        <w:t>建设</w:t>
      </w:r>
      <w:r>
        <w:rPr>
          <w:rFonts w:hint="default" w:ascii="Times New Roman" w:hAnsi="Times New Roman" w:eastAsia="宋体" w:cs="Times New Roman"/>
          <w:color w:val="auto"/>
          <w:highlight w:val="none"/>
        </w:rPr>
        <w:t>的</w:t>
      </w:r>
      <w:r>
        <w:rPr>
          <w:rFonts w:hint="eastAsia" w:ascii="Times New Roman" w:hAnsi="Times New Roman" w:eastAsia="宋体" w:cs="Times New Roman"/>
          <w:color w:val="auto"/>
          <w:highlight w:val="none"/>
          <w:lang w:val="en-US" w:eastAsia="zh-CN"/>
        </w:rPr>
        <w:t>1台58MW往复炉排热水锅炉</w:t>
      </w:r>
      <w:r>
        <w:rPr>
          <w:rFonts w:hint="default" w:ascii="Times New Roman" w:hAnsi="Times New Roman" w:eastAsia="宋体" w:cs="Times New Roman"/>
          <w:color w:val="auto"/>
          <w:highlight w:val="none"/>
        </w:rPr>
        <w:t>主机设备工艺参数见表3</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2-</w:t>
      </w:r>
      <w:r>
        <w:rPr>
          <w:rFonts w:hint="eastAsia"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w:t>
      </w:r>
    </w:p>
    <w:p w14:paraId="0C028D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表3.</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 xml:space="preserve">2  </w:t>
      </w:r>
      <w:r>
        <w:rPr>
          <w:rFonts w:hint="default" w:ascii="Times New Roman" w:hAnsi="Times New Roman" w:eastAsia="宋体" w:cs="Times New Roman"/>
          <w:color w:val="auto"/>
          <w:highlight w:val="none"/>
        </w:rPr>
        <w:t>本工程主要设备一览表</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618"/>
        <w:gridCol w:w="2759"/>
        <w:gridCol w:w="4911"/>
      </w:tblGrid>
      <w:tr w14:paraId="5CC8337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8" w:hRule="atLeast"/>
          <w:jc w:val="center"/>
        </w:trPr>
        <w:tc>
          <w:tcPr>
            <w:tcW w:w="1618" w:type="dxa"/>
            <w:noWrap/>
            <w:vAlign w:val="center"/>
          </w:tcPr>
          <w:p w14:paraId="5AE713F4">
            <w:pPr>
              <w:pStyle w:val="63"/>
              <w:jc w:val="center"/>
              <w:rPr>
                <w:rFonts w:hint="default" w:ascii="Times New Roman" w:hAnsi="Times New Roman" w:eastAsia="宋体" w:cs="Times New Roman"/>
                <w:color w:val="auto"/>
                <w:highlight w:val="none"/>
                <w:lang w:val="en-US" w:eastAsia="zh-CN"/>
              </w:rPr>
            </w:pPr>
            <w:bookmarkStart w:id="206" w:name="_Toc107238107"/>
            <w:bookmarkStart w:id="207" w:name="_Toc105659890"/>
            <w:r>
              <w:rPr>
                <w:rFonts w:hint="default" w:ascii="Times New Roman" w:hAnsi="Times New Roman" w:eastAsia="宋体" w:cs="Times New Roman"/>
                <w:color w:val="auto"/>
                <w:highlight w:val="none"/>
                <w:lang w:val="en-US" w:eastAsia="zh-CN"/>
              </w:rPr>
              <w:t>名称</w:t>
            </w:r>
          </w:p>
        </w:tc>
        <w:tc>
          <w:tcPr>
            <w:tcW w:w="2759" w:type="dxa"/>
            <w:noWrap/>
            <w:vAlign w:val="center"/>
          </w:tcPr>
          <w:p w14:paraId="00E28EDF">
            <w:pPr>
              <w:pStyle w:val="63"/>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项目</w:t>
            </w:r>
          </w:p>
        </w:tc>
        <w:tc>
          <w:tcPr>
            <w:tcW w:w="4911" w:type="dxa"/>
            <w:noWrap/>
            <w:vAlign w:val="center"/>
          </w:tcPr>
          <w:p w14:paraId="217F3F04">
            <w:pPr>
              <w:pStyle w:val="63"/>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型号及技术参数</w:t>
            </w:r>
          </w:p>
        </w:tc>
      </w:tr>
      <w:tr w14:paraId="6741092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8" w:hRule="atLeast"/>
          <w:jc w:val="center"/>
        </w:trPr>
        <w:tc>
          <w:tcPr>
            <w:tcW w:w="1618" w:type="dxa"/>
            <w:vMerge w:val="restart"/>
            <w:noWrap/>
            <w:vAlign w:val="center"/>
          </w:tcPr>
          <w:p w14:paraId="18DE30E3">
            <w:pPr>
              <w:pStyle w:val="63"/>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锅炉</w:t>
            </w:r>
          </w:p>
        </w:tc>
        <w:tc>
          <w:tcPr>
            <w:tcW w:w="2759" w:type="dxa"/>
            <w:noWrap/>
            <w:vAlign w:val="center"/>
          </w:tcPr>
          <w:p w14:paraId="4CA91E8E">
            <w:pPr>
              <w:pStyle w:val="63"/>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型号</w:t>
            </w:r>
          </w:p>
        </w:tc>
        <w:tc>
          <w:tcPr>
            <w:tcW w:w="4911" w:type="dxa"/>
            <w:noWrap/>
            <w:vAlign w:val="center"/>
          </w:tcPr>
          <w:p w14:paraId="6BD0C479">
            <w:pPr>
              <w:pStyle w:val="63"/>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SHW168-1.6/150/90-</w:t>
            </w:r>
            <w:r>
              <w:rPr>
                <w:rFonts w:hint="eastAsia" w:ascii="Times New Roman" w:hAnsi="Times New Roman" w:eastAsia="宋体" w:cs="Times New Roman"/>
                <w:color w:val="auto"/>
                <w:highlight w:val="none"/>
                <w:lang w:val="en-US" w:eastAsia="zh-CN"/>
              </w:rPr>
              <w:t>H</w:t>
            </w:r>
          </w:p>
        </w:tc>
      </w:tr>
      <w:tr w14:paraId="1BDE650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8" w:hRule="atLeast"/>
          <w:jc w:val="center"/>
        </w:trPr>
        <w:tc>
          <w:tcPr>
            <w:tcW w:w="1618" w:type="dxa"/>
            <w:vMerge w:val="continue"/>
            <w:noWrap/>
            <w:vAlign w:val="center"/>
          </w:tcPr>
          <w:p w14:paraId="1C7948A4">
            <w:pPr>
              <w:pStyle w:val="63"/>
              <w:jc w:val="center"/>
              <w:rPr>
                <w:rFonts w:hint="default" w:ascii="Times New Roman" w:hAnsi="Times New Roman" w:eastAsia="宋体" w:cs="Times New Roman"/>
                <w:color w:val="auto"/>
                <w:highlight w:val="none"/>
                <w:lang w:val="en-US" w:eastAsia="zh-CN"/>
              </w:rPr>
            </w:pPr>
          </w:p>
        </w:tc>
        <w:tc>
          <w:tcPr>
            <w:tcW w:w="2759" w:type="dxa"/>
            <w:noWrap/>
            <w:vAlign w:val="center"/>
          </w:tcPr>
          <w:p w14:paraId="67C18F22">
            <w:pPr>
              <w:pStyle w:val="63"/>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额定</w:t>
            </w:r>
            <w:r>
              <w:rPr>
                <w:rFonts w:hint="eastAsia" w:ascii="Times New Roman" w:hAnsi="Times New Roman" w:eastAsia="宋体" w:cs="Times New Roman"/>
                <w:color w:val="auto"/>
                <w:highlight w:val="none"/>
                <w:lang w:val="en-US" w:eastAsia="zh-CN"/>
              </w:rPr>
              <w:t>工作</w:t>
            </w:r>
            <w:r>
              <w:rPr>
                <w:rFonts w:hint="default" w:ascii="Times New Roman" w:hAnsi="Times New Roman" w:eastAsia="宋体" w:cs="Times New Roman"/>
                <w:color w:val="auto"/>
                <w:highlight w:val="none"/>
                <w:lang w:val="en-US" w:eastAsia="zh-CN"/>
              </w:rPr>
              <w:t>压力</w:t>
            </w:r>
          </w:p>
        </w:tc>
        <w:tc>
          <w:tcPr>
            <w:tcW w:w="4911" w:type="dxa"/>
            <w:noWrap/>
            <w:vAlign w:val="center"/>
          </w:tcPr>
          <w:p w14:paraId="248F3A33">
            <w:pPr>
              <w:pStyle w:val="63"/>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1.6MPa</w:t>
            </w:r>
          </w:p>
        </w:tc>
      </w:tr>
      <w:tr w14:paraId="51FDCE6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8" w:hRule="atLeast"/>
          <w:jc w:val="center"/>
        </w:trPr>
        <w:tc>
          <w:tcPr>
            <w:tcW w:w="1618" w:type="dxa"/>
            <w:vMerge w:val="continue"/>
            <w:noWrap/>
            <w:vAlign w:val="center"/>
          </w:tcPr>
          <w:p w14:paraId="5C3000ED">
            <w:pPr>
              <w:pStyle w:val="63"/>
              <w:jc w:val="center"/>
              <w:rPr>
                <w:rFonts w:hint="default" w:ascii="Times New Roman" w:hAnsi="Times New Roman" w:eastAsia="宋体" w:cs="Times New Roman"/>
                <w:color w:val="auto"/>
                <w:highlight w:val="none"/>
                <w:lang w:val="en-US" w:eastAsia="zh-CN"/>
              </w:rPr>
            </w:pPr>
          </w:p>
        </w:tc>
        <w:tc>
          <w:tcPr>
            <w:tcW w:w="2759" w:type="dxa"/>
            <w:noWrap/>
            <w:vAlign w:val="center"/>
          </w:tcPr>
          <w:p w14:paraId="05D7B584">
            <w:pPr>
              <w:pStyle w:val="63"/>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额定出口水温</w:t>
            </w:r>
          </w:p>
        </w:tc>
        <w:tc>
          <w:tcPr>
            <w:tcW w:w="4911" w:type="dxa"/>
            <w:noWrap/>
            <w:vAlign w:val="center"/>
          </w:tcPr>
          <w:p w14:paraId="44CC97CB">
            <w:pPr>
              <w:pStyle w:val="63"/>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w:t>
            </w:r>
            <w:r>
              <w:rPr>
                <w:rFonts w:hint="eastAsia"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lang w:val="en-US" w:eastAsia="zh-CN"/>
              </w:rPr>
              <w:t>0℃</w:t>
            </w:r>
          </w:p>
        </w:tc>
      </w:tr>
      <w:tr w14:paraId="0BF772B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8" w:hRule="atLeast"/>
          <w:jc w:val="center"/>
        </w:trPr>
        <w:tc>
          <w:tcPr>
            <w:tcW w:w="1618" w:type="dxa"/>
            <w:vMerge w:val="continue"/>
            <w:noWrap/>
            <w:vAlign w:val="center"/>
          </w:tcPr>
          <w:p w14:paraId="31056F18">
            <w:pPr>
              <w:pStyle w:val="63"/>
              <w:jc w:val="center"/>
              <w:rPr>
                <w:rFonts w:hint="default" w:ascii="Times New Roman" w:hAnsi="Times New Roman" w:eastAsia="宋体" w:cs="Times New Roman"/>
                <w:color w:val="auto"/>
                <w:highlight w:val="none"/>
                <w:lang w:val="en-US" w:eastAsia="zh-CN"/>
              </w:rPr>
            </w:pPr>
          </w:p>
        </w:tc>
        <w:tc>
          <w:tcPr>
            <w:tcW w:w="2759" w:type="dxa"/>
            <w:noWrap/>
            <w:vAlign w:val="center"/>
          </w:tcPr>
          <w:p w14:paraId="0C25E13F">
            <w:pPr>
              <w:pStyle w:val="63"/>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额定进口水温</w:t>
            </w:r>
          </w:p>
        </w:tc>
        <w:tc>
          <w:tcPr>
            <w:tcW w:w="4911" w:type="dxa"/>
            <w:noWrap/>
            <w:vAlign w:val="center"/>
          </w:tcPr>
          <w:p w14:paraId="0490D3EE">
            <w:pPr>
              <w:pStyle w:val="63"/>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9</w:t>
            </w:r>
            <w:r>
              <w:rPr>
                <w:rFonts w:hint="default" w:ascii="Times New Roman" w:hAnsi="Times New Roman" w:eastAsia="宋体" w:cs="Times New Roman"/>
                <w:color w:val="auto"/>
                <w:highlight w:val="none"/>
                <w:lang w:val="en-US" w:eastAsia="zh-CN"/>
              </w:rPr>
              <w:t>0℃</w:t>
            </w:r>
          </w:p>
        </w:tc>
      </w:tr>
      <w:tr w14:paraId="57CEE9D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8" w:hRule="atLeast"/>
          <w:jc w:val="center"/>
        </w:trPr>
        <w:tc>
          <w:tcPr>
            <w:tcW w:w="1618" w:type="dxa"/>
            <w:vMerge w:val="continue"/>
            <w:noWrap/>
            <w:vAlign w:val="center"/>
          </w:tcPr>
          <w:p w14:paraId="50582B11">
            <w:pPr>
              <w:pStyle w:val="63"/>
              <w:jc w:val="center"/>
              <w:rPr>
                <w:rFonts w:hint="default" w:ascii="Times New Roman" w:hAnsi="Times New Roman" w:eastAsia="宋体" w:cs="Times New Roman"/>
                <w:color w:val="auto"/>
                <w:highlight w:val="none"/>
                <w:lang w:val="en-US" w:eastAsia="zh-CN"/>
              </w:rPr>
            </w:pPr>
          </w:p>
        </w:tc>
        <w:tc>
          <w:tcPr>
            <w:tcW w:w="2759" w:type="dxa"/>
            <w:noWrap/>
            <w:vAlign w:val="center"/>
          </w:tcPr>
          <w:p w14:paraId="7039FEE8">
            <w:pPr>
              <w:pStyle w:val="63"/>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排烟温度</w:t>
            </w:r>
          </w:p>
        </w:tc>
        <w:tc>
          <w:tcPr>
            <w:tcW w:w="4911" w:type="dxa"/>
            <w:noWrap/>
            <w:vAlign w:val="center"/>
          </w:tcPr>
          <w:p w14:paraId="1DF98164">
            <w:pPr>
              <w:pStyle w:val="63"/>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110</w:t>
            </w:r>
            <w:r>
              <w:rPr>
                <w:rFonts w:hint="default" w:ascii="Times New Roman" w:hAnsi="Times New Roman" w:eastAsia="宋体" w:cs="Times New Roman"/>
                <w:color w:val="auto"/>
                <w:highlight w:val="none"/>
                <w:lang w:val="en-US" w:eastAsia="zh-CN"/>
              </w:rPr>
              <w:t>℃</w:t>
            </w:r>
          </w:p>
        </w:tc>
      </w:tr>
      <w:tr w14:paraId="340C59C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8" w:hRule="atLeast"/>
          <w:jc w:val="center"/>
        </w:trPr>
        <w:tc>
          <w:tcPr>
            <w:tcW w:w="1618" w:type="dxa"/>
            <w:vMerge w:val="continue"/>
            <w:noWrap/>
            <w:vAlign w:val="center"/>
          </w:tcPr>
          <w:p w14:paraId="4035DB0A">
            <w:pPr>
              <w:pStyle w:val="63"/>
              <w:jc w:val="center"/>
              <w:rPr>
                <w:rFonts w:hint="default" w:ascii="Times New Roman" w:hAnsi="Times New Roman" w:eastAsia="宋体" w:cs="Times New Roman"/>
                <w:color w:val="auto"/>
                <w:highlight w:val="none"/>
                <w:lang w:val="en-US" w:eastAsia="zh-CN"/>
              </w:rPr>
            </w:pPr>
          </w:p>
        </w:tc>
        <w:tc>
          <w:tcPr>
            <w:tcW w:w="2759" w:type="dxa"/>
            <w:noWrap/>
            <w:vAlign w:val="center"/>
          </w:tcPr>
          <w:p w14:paraId="1D0B05A9">
            <w:pPr>
              <w:pStyle w:val="63"/>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bCs/>
                <w:color w:val="auto"/>
                <w:highlight w:val="none"/>
                <w:lang w:val="en-US" w:eastAsia="zh-CN"/>
              </w:rPr>
              <w:t>保证锅炉效率</w:t>
            </w:r>
          </w:p>
        </w:tc>
        <w:tc>
          <w:tcPr>
            <w:tcW w:w="4911" w:type="dxa"/>
            <w:noWrap/>
            <w:vAlign w:val="center"/>
          </w:tcPr>
          <w:p w14:paraId="5CD9AAE8">
            <w:pPr>
              <w:pStyle w:val="63"/>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9</w:t>
            </w:r>
            <w:r>
              <w:rPr>
                <w:rFonts w:hint="eastAsia" w:ascii="Times New Roman" w:hAnsi="Times New Roman" w:eastAsia="宋体" w:cs="Times New Roman"/>
                <w:color w:val="auto"/>
                <w:highlight w:val="none"/>
                <w:lang w:val="en-US" w:eastAsia="zh-CN"/>
              </w:rPr>
              <w:t>0</w:t>
            </w:r>
            <w:r>
              <w:rPr>
                <w:rFonts w:hint="default" w:ascii="Times New Roman" w:hAnsi="Times New Roman" w:eastAsia="宋体" w:cs="Times New Roman"/>
                <w:color w:val="auto"/>
                <w:highlight w:val="none"/>
                <w:lang w:val="en-US" w:eastAsia="zh-CN"/>
              </w:rPr>
              <w:t>%</w:t>
            </w:r>
          </w:p>
        </w:tc>
      </w:tr>
    </w:tbl>
    <w:p w14:paraId="2A819F2C">
      <w:pPr>
        <w:pStyle w:val="7"/>
        <w:numPr>
          <w:ilvl w:val="3"/>
          <w:numId w:val="3"/>
        </w:numPr>
        <w:bidi w:val="0"/>
        <w:ind w:left="850" w:leftChars="0" w:hanging="850" w:firstLineChars="0"/>
        <w:rPr>
          <w:rFonts w:hint="default" w:ascii="Times New Roman" w:hAnsi="Times New Roman" w:eastAsia="宋体" w:cs="Times New Roman"/>
          <w:color w:val="auto"/>
          <w:highlight w:val="none"/>
          <w:lang w:val="en-US" w:eastAsia="zh-CN"/>
        </w:rPr>
      </w:pPr>
      <w:bookmarkStart w:id="208" w:name="_Toc7959"/>
      <w:r>
        <w:rPr>
          <w:rFonts w:hint="default" w:ascii="Times New Roman" w:hAnsi="Times New Roman" w:eastAsia="宋体" w:cs="Times New Roman"/>
          <w:color w:val="auto"/>
          <w:highlight w:val="none"/>
          <w:lang w:val="en-US" w:eastAsia="zh-CN"/>
        </w:rPr>
        <w:t>主要设备</w:t>
      </w:r>
    </w:p>
    <w:p w14:paraId="1AAE9FFE">
      <w:pPr>
        <w:bidi w:val="0"/>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本项目主要设备见表3.2-</w:t>
      </w:r>
      <w:r>
        <w:rPr>
          <w:rFonts w:hint="eastAsia" w:ascii="Times New Roman" w:hAnsi="Times New Roman" w:eastAsia="宋体" w:cs="Times New Roman"/>
          <w:color w:val="auto"/>
          <w:kern w:val="0"/>
          <w:sz w:val="24"/>
          <w:szCs w:val="24"/>
          <w:highlight w:val="none"/>
          <w:lang w:val="en-US" w:eastAsia="zh-CN"/>
        </w:rPr>
        <w:t>3</w:t>
      </w:r>
      <w:r>
        <w:rPr>
          <w:rFonts w:hint="default" w:ascii="Times New Roman" w:hAnsi="Times New Roman" w:eastAsia="宋体" w:cs="Times New Roman"/>
          <w:color w:val="auto"/>
          <w:kern w:val="0"/>
          <w:sz w:val="24"/>
          <w:szCs w:val="24"/>
          <w:highlight w:val="none"/>
          <w:lang w:val="en-US" w:eastAsia="zh-CN"/>
        </w:rPr>
        <w:t>。</w:t>
      </w:r>
    </w:p>
    <w:p w14:paraId="0B6C6C2C">
      <w:pPr>
        <w:pStyle w:val="105"/>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w:t>
      </w:r>
      <w:r>
        <w:rPr>
          <w:rFonts w:hint="default" w:ascii="Times New Roman" w:hAnsi="Times New Roman" w:eastAsia="宋体" w:cs="Times New Roman"/>
          <w:color w:val="auto"/>
          <w:sz w:val="24"/>
          <w:szCs w:val="24"/>
          <w:highlight w:val="none"/>
          <w:lang w:val="en-US" w:eastAsia="zh-CN"/>
        </w:rPr>
        <w:t>3.2-</w:t>
      </w:r>
      <w:r>
        <w:rPr>
          <w:rFonts w:hint="eastAsia"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 xml:space="preserve">  主要设备参数</w:t>
      </w:r>
      <w:r>
        <w:rPr>
          <w:rFonts w:hint="default" w:ascii="Times New Roman" w:hAnsi="Times New Roman" w:eastAsia="宋体" w:cs="Times New Roman"/>
          <w:color w:val="auto"/>
          <w:sz w:val="24"/>
          <w:szCs w:val="24"/>
          <w:highlight w:val="none"/>
        </w:rPr>
        <w:t>一览表</w:t>
      </w:r>
    </w:p>
    <w:tbl>
      <w:tblPr>
        <w:tblStyle w:val="37"/>
        <w:tblW w:w="509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39"/>
        <w:gridCol w:w="2311"/>
        <w:gridCol w:w="1945"/>
        <w:gridCol w:w="3146"/>
        <w:gridCol w:w="842"/>
      </w:tblGrid>
      <w:tr w14:paraId="4365CA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252" w:type="pct"/>
            <w:tcBorders>
              <w:tl2br w:val="nil"/>
              <w:tr2bl w:val="nil"/>
            </w:tcBorders>
            <w:noWrap w:val="0"/>
            <w:vAlign w:val="center"/>
          </w:tcPr>
          <w:p w14:paraId="741579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1330" w:type="pct"/>
            <w:tcBorders>
              <w:tl2br w:val="nil"/>
              <w:tr2bl w:val="nil"/>
            </w:tcBorders>
            <w:noWrap w:val="0"/>
            <w:vAlign w:val="center"/>
          </w:tcPr>
          <w:p w14:paraId="3FA2D7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名  称</w:t>
            </w:r>
          </w:p>
        </w:tc>
        <w:tc>
          <w:tcPr>
            <w:tcW w:w="1120" w:type="pct"/>
            <w:tcBorders>
              <w:tl2br w:val="nil"/>
              <w:tr2bl w:val="nil"/>
            </w:tcBorders>
            <w:noWrap w:val="0"/>
            <w:vAlign w:val="center"/>
          </w:tcPr>
          <w:p w14:paraId="5FE526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型号及规格</w:t>
            </w:r>
          </w:p>
        </w:tc>
        <w:tc>
          <w:tcPr>
            <w:tcW w:w="1811" w:type="pct"/>
            <w:tcBorders>
              <w:tl2br w:val="nil"/>
              <w:tr2bl w:val="nil"/>
            </w:tcBorders>
            <w:noWrap w:val="0"/>
            <w:vAlign w:val="center"/>
          </w:tcPr>
          <w:p w14:paraId="28C008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参数</w:t>
            </w:r>
          </w:p>
        </w:tc>
        <w:tc>
          <w:tcPr>
            <w:tcW w:w="484" w:type="pct"/>
            <w:tcBorders>
              <w:tl2br w:val="nil"/>
              <w:tr2bl w:val="nil"/>
            </w:tcBorders>
            <w:noWrap w:val="0"/>
            <w:vAlign w:val="center"/>
          </w:tcPr>
          <w:p w14:paraId="2C8BC7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数量</w:t>
            </w:r>
          </w:p>
        </w:tc>
      </w:tr>
      <w:tr w14:paraId="4B6689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52" w:type="pct"/>
            <w:tcBorders>
              <w:tl2br w:val="nil"/>
              <w:tr2bl w:val="nil"/>
            </w:tcBorders>
            <w:noWrap w:val="0"/>
            <w:vAlign w:val="center"/>
          </w:tcPr>
          <w:p w14:paraId="27DDC6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330" w:type="pct"/>
            <w:tcBorders>
              <w:tl2br w:val="nil"/>
              <w:tr2bl w:val="nil"/>
            </w:tcBorders>
            <w:noWrap w:val="0"/>
            <w:vAlign w:val="center"/>
          </w:tcPr>
          <w:p w14:paraId="392D2BC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shd w:val="clear" w:color="auto" w:fill="FFFFFF"/>
                <w:lang w:val="en-US" w:eastAsia="zh-CN"/>
              </w:rPr>
              <w:t>58MW往复炉排热水锅炉</w:t>
            </w:r>
          </w:p>
        </w:tc>
        <w:tc>
          <w:tcPr>
            <w:tcW w:w="1120" w:type="pct"/>
            <w:tcBorders>
              <w:tl2br w:val="nil"/>
              <w:tr2bl w:val="nil"/>
            </w:tcBorders>
            <w:noWrap w:val="0"/>
            <w:vAlign w:val="center"/>
          </w:tcPr>
          <w:p w14:paraId="48EF9E5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kern w:val="2"/>
                <w:sz w:val="21"/>
                <w:szCs w:val="21"/>
                <w:highlight w:val="none"/>
                <w:lang w:val="en-US" w:eastAsia="zh-CN" w:bidi="ar-SA"/>
              </w:rPr>
              <w:t>SHW58-1.60/130/70</w:t>
            </w:r>
          </w:p>
        </w:tc>
        <w:tc>
          <w:tcPr>
            <w:tcW w:w="1811" w:type="pct"/>
            <w:tcBorders>
              <w:tl2br w:val="nil"/>
              <w:tr2bl w:val="nil"/>
            </w:tcBorders>
            <w:noWrap w:val="0"/>
            <w:vAlign w:val="center"/>
          </w:tcPr>
          <w:p w14:paraId="72D85E1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额定热率58MW，额定出口压力1.6MPa，额定进/出口</w:t>
            </w:r>
            <w:r>
              <w:rPr>
                <w:rFonts w:hint="eastAsia" w:ascii="Times New Roman" w:hAnsi="Times New Roman" w:eastAsia="宋体" w:cs="Times New Roman"/>
                <w:color w:val="auto"/>
                <w:sz w:val="21"/>
                <w:szCs w:val="21"/>
                <w:highlight w:val="none"/>
                <w:lang w:val="en-US" w:eastAsia="zh-CN"/>
              </w:rPr>
              <w:t>温度</w:t>
            </w:r>
            <w:r>
              <w:rPr>
                <w:rFonts w:hint="default" w:ascii="Times New Roman" w:hAnsi="Times New Roman" w:eastAsia="宋体" w:cs="Times New Roman"/>
                <w:color w:val="auto"/>
                <w:sz w:val="21"/>
                <w:szCs w:val="21"/>
                <w:highlight w:val="none"/>
                <w:lang w:val="en-US" w:eastAsia="zh-CN"/>
              </w:rPr>
              <w:t>130/70℃</w:t>
            </w:r>
          </w:p>
        </w:tc>
        <w:tc>
          <w:tcPr>
            <w:tcW w:w="484" w:type="pct"/>
            <w:tcBorders>
              <w:tl2br w:val="nil"/>
              <w:tr2bl w:val="nil"/>
            </w:tcBorders>
            <w:noWrap w:val="0"/>
            <w:vAlign w:val="center"/>
          </w:tcPr>
          <w:p w14:paraId="47FB873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1台</w:t>
            </w:r>
          </w:p>
        </w:tc>
      </w:tr>
      <w:tr w14:paraId="7A647A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91" w:hRule="atLeast"/>
          <w:jc w:val="center"/>
        </w:trPr>
        <w:tc>
          <w:tcPr>
            <w:tcW w:w="252" w:type="pct"/>
            <w:tcBorders>
              <w:tl2br w:val="nil"/>
              <w:tr2bl w:val="nil"/>
            </w:tcBorders>
            <w:noWrap w:val="0"/>
            <w:vAlign w:val="center"/>
          </w:tcPr>
          <w:p w14:paraId="72D9D2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330" w:type="pct"/>
            <w:tcBorders>
              <w:tl2br w:val="nil"/>
              <w:tr2bl w:val="nil"/>
            </w:tcBorders>
            <w:noWrap w:val="0"/>
            <w:vAlign w:val="center"/>
          </w:tcPr>
          <w:p w14:paraId="56C3727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浆液循环</w:t>
            </w:r>
            <w:r>
              <w:rPr>
                <w:rFonts w:hint="default" w:ascii="Times New Roman" w:hAnsi="Times New Roman" w:eastAsia="宋体" w:cs="Times New Roman"/>
                <w:color w:val="auto"/>
                <w:sz w:val="21"/>
                <w:szCs w:val="21"/>
                <w:highlight w:val="none"/>
                <w:lang w:val="en-US" w:eastAsia="zh-CN"/>
              </w:rPr>
              <w:t>泵</w:t>
            </w:r>
          </w:p>
        </w:tc>
        <w:tc>
          <w:tcPr>
            <w:tcW w:w="1120" w:type="pct"/>
            <w:tcBorders>
              <w:tl2br w:val="nil"/>
              <w:tr2bl w:val="nil"/>
            </w:tcBorders>
            <w:noWrap w:val="0"/>
            <w:vAlign w:val="center"/>
          </w:tcPr>
          <w:p w14:paraId="519CEE8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KP29-10203-DV7069</w:t>
            </w:r>
          </w:p>
        </w:tc>
        <w:tc>
          <w:tcPr>
            <w:tcW w:w="1811" w:type="pct"/>
            <w:tcBorders>
              <w:tl2br w:val="nil"/>
              <w:tr2bl w:val="nil"/>
            </w:tcBorders>
            <w:noWrap w:val="0"/>
            <w:vAlign w:val="center"/>
          </w:tcPr>
          <w:p w14:paraId="7BF5C15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Q=1100m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/h,H=70m,N=280kW</w:t>
            </w:r>
          </w:p>
        </w:tc>
        <w:tc>
          <w:tcPr>
            <w:tcW w:w="484" w:type="pct"/>
            <w:tcBorders>
              <w:tl2br w:val="nil"/>
              <w:tr2bl w:val="nil"/>
            </w:tcBorders>
            <w:noWrap w:val="0"/>
            <w:vAlign w:val="center"/>
          </w:tcPr>
          <w:p w14:paraId="5451979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val="en-US" w:eastAsia="zh-CN"/>
              </w:rPr>
              <w:t>台</w:t>
            </w:r>
          </w:p>
        </w:tc>
      </w:tr>
      <w:tr w14:paraId="3E94F0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52" w:type="pct"/>
            <w:tcBorders>
              <w:tl2br w:val="nil"/>
              <w:tr2bl w:val="nil"/>
            </w:tcBorders>
            <w:noWrap w:val="0"/>
            <w:vAlign w:val="center"/>
          </w:tcPr>
          <w:p w14:paraId="5B7473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w:t>
            </w:r>
          </w:p>
        </w:tc>
        <w:tc>
          <w:tcPr>
            <w:tcW w:w="1330" w:type="pct"/>
            <w:tcBorders>
              <w:tl2br w:val="nil"/>
              <w:tr2bl w:val="nil"/>
            </w:tcBorders>
            <w:noWrap w:val="0"/>
            <w:vAlign w:val="center"/>
          </w:tcPr>
          <w:p w14:paraId="298055B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送风机</w:t>
            </w:r>
          </w:p>
        </w:tc>
        <w:tc>
          <w:tcPr>
            <w:tcW w:w="1120" w:type="pct"/>
            <w:tcBorders>
              <w:tl2br w:val="nil"/>
              <w:tr2bl w:val="nil"/>
            </w:tcBorders>
            <w:noWrap w:val="0"/>
            <w:vAlign w:val="center"/>
          </w:tcPr>
          <w:p w14:paraId="1A66B35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G6-70-11N016D</w:t>
            </w:r>
          </w:p>
        </w:tc>
        <w:tc>
          <w:tcPr>
            <w:tcW w:w="1811" w:type="pct"/>
            <w:tcBorders>
              <w:tl2br w:val="nil"/>
              <w:tr2bl w:val="nil"/>
            </w:tcBorders>
            <w:noWrap w:val="0"/>
            <w:vAlign w:val="center"/>
          </w:tcPr>
          <w:p w14:paraId="4BA9EB7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Q=110768m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/h,N=140kW  H=2600Pa</w:t>
            </w:r>
          </w:p>
        </w:tc>
        <w:tc>
          <w:tcPr>
            <w:tcW w:w="484" w:type="pct"/>
            <w:tcBorders>
              <w:tl2br w:val="nil"/>
              <w:tr2bl w:val="nil"/>
            </w:tcBorders>
            <w:noWrap w:val="0"/>
            <w:vAlign w:val="center"/>
          </w:tcPr>
          <w:p w14:paraId="4448BD1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1台</w:t>
            </w:r>
          </w:p>
        </w:tc>
      </w:tr>
      <w:tr w14:paraId="63FCA0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52" w:type="pct"/>
            <w:tcBorders>
              <w:tl2br w:val="nil"/>
              <w:tr2bl w:val="nil"/>
            </w:tcBorders>
            <w:noWrap w:val="0"/>
            <w:vAlign w:val="center"/>
          </w:tcPr>
          <w:p w14:paraId="3027D6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w:t>
            </w:r>
          </w:p>
        </w:tc>
        <w:tc>
          <w:tcPr>
            <w:tcW w:w="1330" w:type="pct"/>
            <w:tcBorders>
              <w:tl2br w:val="nil"/>
              <w:tr2bl w:val="nil"/>
            </w:tcBorders>
            <w:noWrap w:val="0"/>
            <w:vAlign w:val="center"/>
          </w:tcPr>
          <w:p w14:paraId="0615508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引风机</w:t>
            </w:r>
          </w:p>
        </w:tc>
        <w:tc>
          <w:tcPr>
            <w:tcW w:w="1120" w:type="pct"/>
            <w:tcBorders>
              <w:tl2br w:val="nil"/>
              <w:tr2bl w:val="nil"/>
            </w:tcBorders>
            <w:noWrap w:val="0"/>
            <w:vAlign w:val="center"/>
          </w:tcPr>
          <w:p w14:paraId="5CF2507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AFY-41N022.80</w:t>
            </w:r>
          </w:p>
        </w:tc>
        <w:tc>
          <w:tcPr>
            <w:tcW w:w="1811" w:type="pct"/>
            <w:tcBorders>
              <w:tl2br w:val="nil"/>
              <w:tr2bl w:val="nil"/>
            </w:tcBorders>
            <w:noWrap w:val="0"/>
            <w:vAlign w:val="center"/>
          </w:tcPr>
          <w:p w14:paraId="0255BE4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Q=240000m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/h,N=630kW  H=6500Pa</w:t>
            </w:r>
          </w:p>
        </w:tc>
        <w:tc>
          <w:tcPr>
            <w:tcW w:w="484" w:type="pct"/>
            <w:tcBorders>
              <w:tl2br w:val="nil"/>
              <w:tr2bl w:val="nil"/>
            </w:tcBorders>
            <w:noWrap w:val="0"/>
            <w:vAlign w:val="center"/>
          </w:tcPr>
          <w:p w14:paraId="54DE6FB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1台</w:t>
            </w:r>
          </w:p>
        </w:tc>
      </w:tr>
      <w:tr w14:paraId="39077A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52" w:type="pct"/>
            <w:tcBorders>
              <w:tl2br w:val="nil"/>
              <w:tr2bl w:val="nil"/>
            </w:tcBorders>
            <w:noWrap w:val="0"/>
            <w:vAlign w:val="center"/>
          </w:tcPr>
          <w:p w14:paraId="379681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w:t>
            </w:r>
          </w:p>
        </w:tc>
        <w:tc>
          <w:tcPr>
            <w:tcW w:w="1330" w:type="pct"/>
            <w:tcBorders>
              <w:tl2br w:val="nil"/>
              <w:tr2bl w:val="nil"/>
            </w:tcBorders>
            <w:noWrap w:val="0"/>
            <w:vAlign w:val="center"/>
          </w:tcPr>
          <w:p w14:paraId="2EE9D3F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空压机</w:t>
            </w:r>
          </w:p>
        </w:tc>
        <w:tc>
          <w:tcPr>
            <w:tcW w:w="1120" w:type="pct"/>
            <w:tcBorders>
              <w:tl2br w:val="nil"/>
              <w:tr2bl w:val="nil"/>
            </w:tcBorders>
            <w:noWrap w:val="0"/>
            <w:vAlign w:val="center"/>
          </w:tcPr>
          <w:p w14:paraId="4156A8F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IF 60AZ/8</w:t>
            </w:r>
          </w:p>
        </w:tc>
        <w:tc>
          <w:tcPr>
            <w:tcW w:w="1811" w:type="pct"/>
            <w:tcBorders>
              <w:tl2br w:val="nil"/>
              <w:tr2bl w:val="nil"/>
            </w:tcBorders>
            <w:noWrap w:val="0"/>
            <w:vAlign w:val="center"/>
          </w:tcPr>
          <w:p w14:paraId="1C412C9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Q=7m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/min,N=45kW  H=0.8MPa</w:t>
            </w:r>
          </w:p>
        </w:tc>
        <w:tc>
          <w:tcPr>
            <w:tcW w:w="484" w:type="pct"/>
            <w:tcBorders>
              <w:tl2br w:val="nil"/>
              <w:tr2bl w:val="nil"/>
            </w:tcBorders>
            <w:noWrap w:val="0"/>
            <w:vAlign w:val="center"/>
          </w:tcPr>
          <w:p w14:paraId="0C7E74C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1台</w:t>
            </w:r>
          </w:p>
        </w:tc>
      </w:tr>
      <w:tr w14:paraId="401E35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52" w:type="pct"/>
            <w:tcBorders>
              <w:tl2br w:val="nil"/>
              <w:tr2bl w:val="nil"/>
            </w:tcBorders>
            <w:noWrap w:val="0"/>
            <w:vAlign w:val="center"/>
          </w:tcPr>
          <w:p w14:paraId="1F28A6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w:t>
            </w:r>
          </w:p>
        </w:tc>
        <w:tc>
          <w:tcPr>
            <w:tcW w:w="1330" w:type="pct"/>
            <w:tcBorders>
              <w:tl2br w:val="nil"/>
              <w:tr2bl w:val="nil"/>
            </w:tcBorders>
            <w:noWrap w:val="0"/>
            <w:vAlign w:val="center"/>
          </w:tcPr>
          <w:p w14:paraId="0E5F96C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布袋除尘器</w:t>
            </w:r>
          </w:p>
        </w:tc>
        <w:tc>
          <w:tcPr>
            <w:tcW w:w="1120" w:type="pct"/>
            <w:tcBorders>
              <w:tl2br w:val="nil"/>
              <w:tr2bl w:val="nil"/>
            </w:tcBorders>
            <w:noWrap w:val="0"/>
            <w:vAlign w:val="center"/>
          </w:tcPr>
          <w:p w14:paraId="56828D9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ZHCC-4050</w:t>
            </w:r>
          </w:p>
        </w:tc>
        <w:tc>
          <w:tcPr>
            <w:tcW w:w="1811" w:type="pct"/>
            <w:tcBorders>
              <w:tl2br w:val="nil"/>
              <w:tr2bl w:val="nil"/>
            </w:tcBorders>
            <w:noWrap w:val="0"/>
            <w:vAlign w:val="center"/>
          </w:tcPr>
          <w:p w14:paraId="48F706A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处理风量180000m/h，过滤面积4053</w:t>
            </w:r>
            <w:r>
              <w:rPr>
                <w:rFonts w:hint="eastAsia" w:ascii="Times New Roman" w:hAnsi="Times New Roman" w:eastAsia="宋体" w:cs="Times New Roman"/>
                <w:color w:val="auto"/>
                <w:sz w:val="21"/>
                <w:szCs w:val="21"/>
                <w:highlight w:val="none"/>
                <w:lang w:val="en-US" w:eastAsia="zh-CN"/>
              </w:rPr>
              <w:t>m</w:t>
            </w:r>
            <w:r>
              <w:rPr>
                <w:rFonts w:hint="eastAsia"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eastAsia="宋体" w:cs="Times New Roman"/>
                <w:color w:val="auto"/>
                <w:sz w:val="21"/>
                <w:szCs w:val="21"/>
                <w:highlight w:val="none"/>
                <w:lang w:val="en-US" w:eastAsia="zh-CN"/>
              </w:rPr>
              <w:t>，过滤风速0.74m/min</w:t>
            </w:r>
          </w:p>
        </w:tc>
        <w:tc>
          <w:tcPr>
            <w:tcW w:w="484" w:type="pct"/>
            <w:tcBorders>
              <w:tl2br w:val="nil"/>
              <w:tr2bl w:val="nil"/>
            </w:tcBorders>
            <w:noWrap w:val="0"/>
            <w:vAlign w:val="center"/>
          </w:tcPr>
          <w:p w14:paraId="7448BE2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1152条</w:t>
            </w:r>
          </w:p>
        </w:tc>
      </w:tr>
      <w:tr w14:paraId="3BA76D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52" w:type="pct"/>
            <w:tcBorders>
              <w:tl2br w:val="nil"/>
              <w:tr2bl w:val="nil"/>
            </w:tcBorders>
            <w:noWrap w:val="0"/>
            <w:vAlign w:val="center"/>
          </w:tcPr>
          <w:p w14:paraId="36F76A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w:t>
            </w:r>
          </w:p>
        </w:tc>
        <w:tc>
          <w:tcPr>
            <w:tcW w:w="1330" w:type="pct"/>
            <w:tcBorders>
              <w:tl2br w:val="nil"/>
              <w:tr2bl w:val="nil"/>
            </w:tcBorders>
            <w:noWrap w:val="0"/>
            <w:vAlign w:val="center"/>
          </w:tcPr>
          <w:p w14:paraId="35F9A2F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脱硫系统</w:t>
            </w:r>
          </w:p>
        </w:tc>
        <w:tc>
          <w:tcPr>
            <w:tcW w:w="1120" w:type="pct"/>
            <w:tcBorders>
              <w:tl2br w:val="nil"/>
              <w:tr2bl w:val="nil"/>
            </w:tcBorders>
            <w:noWrap w:val="0"/>
            <w:vAlign w:val="center"/>
          </w:tcPr>
          <w:p w14:paraId="15B5F09A">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eastAsia="zh-CN"/>
              </w:rPr>
              <w:t>/</w:t>
            </w:r>
          </w:p>
        </w:tc>
        <w:tc>
          <w:tcPr>
            <w:tcW w:w="1811" w:type="pct"/>
            <w:tcBorders>
              <w:tl2br w:val="nil"/>
              <w:tr2bl w:val="nil"/>
            </w:tcBorders>
            <w:noWrap w:val="0"/>
            <w:vAlign w:val="center"/>
          </w:tcPr>
          <w:p w14:paraId="087D308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ascii="Times New Roman" w:hAnsi="Times New Roman" w:cs="Times New Roman"/>
                <w:color w:val="auto"/>
                <w:kern w:val="0"/>
                <w:sz w:val="21"/>
                <w:szCs w:val="21"/>
                <w:highlight w:val="none"/>
              </w:rPr>
              <w:t>N=</w:t>
            </w:r>
            <w:r>
              <w:rPr>
                <w:rFonts w:hint="eastAsia" w:ascii="Times New Roman" w:hAnsi="Times New Roman" w:cs="Times New Roman"/>
                <w:color w:val="auto"/>
                <w:kern w:val="0"/>
                <w:sz w:val="21"/>
                <w:szCs w:val="21"/>
                <w:highlight w:val="none"/>
              </w:rPr>
              <w:t>2200</w:t>
            </w:r>
            <w:r>
              <w:rPr>
                <w:rFonts w:ascii="Times New Roman" w:hAnsi="Times New Roman" w:cs="Times New Roman"/>
                <w:color w:val="auto"/>
                <w:kern w:val="0"/>
                <w:sz w:val="21"/>
                <w:szCs w:val="21"/>
                <w:highlight w:val="none"/>
              </w:rPr>
              <w:t>kW</w:t>
            </w:r>
          </w:p>
        </w:tc>
        <w:tc>
          <w:tcPr>
            <w:tcW w:w="484" w:type="pct"/>
            <w:tcBorders>
              <w:tl2br w:val="nil"/>
              <w:tr2bl w:val="nil"/>
            </w:tcBorders>
            <w:noWrap w:val="0"/>
            <w:vAlign w:val="center"/>
          </w:tcPr>
          <w:p w14:paraId="77FFDA9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1</w:t>
            </w:r>
          </w:p>
        </w:tc>
      </w:tr>
      <w:tr w14:paraId="6F888A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52" w:type="pct"/>
            <w:tcBorders>
              <w:tl2br w:val="nil"/>
              <w:tr2bl w:val="nil"/>
            </w:tcBorders>
            <w:noWrap w:val="0"/>
            <w:vAlign w:val="center"/>
          </w:tcPr>
          <w:p w14:paraId="476AF0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w:t>
            </w:r>
          </w:p>
        </w:tc>
        <w:tc>
          <w:tcPr>
            <w:tcW w:w="1330" w:type="pct"/>
            <w:tcBorders>
              <w:tl2br w:val="nil"/>
              <w:tr2bl w:val="nil"/>
            </w:tcBorders>
            <w:noWrap w:val="0"/>
            <w:vAlign w:val="center"/>
          </w:tcPr>
          <w:p w14:paraId="468BB33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脱硝系统</w:t>
            </w:r>
          </w:p>
        </w:tc>
        <w:tc>
          <w:tcPr>
            <w:tcW w:w="1120" w:type="pct"/>
            <w:tcBorders>
              <w:tl2br w:val="nil"/>
              <w:tr2bl w:val="nil"/>
            </w:tcBorders>
            <w:noWrap w:val="0"/>
            <w:vAlign w:val="center"/>
          </w:tcPr>
          <w:p w14:paraId="26635B51">
            <w:pPr>
              <w:spacing w:line="240" w:lineRule="auto"/>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811" w:type="pct"/>
            <w:tcBorders>
              <w:tl2br w:val="nil"/>
              <w:tr2bl w:val="nil"/>
            </w:tcBorders>
            <w:noWrap w:val="0"/>
            <w:vAlign w:val="center"/>
          </w:tcPr>
          <w:p w14:paraId="70ACDE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ascii="Times New Roman" w:hAnsi="Times New Roman" w:cs="Times New Roman"/>
                <w:color w:val="auto"/>
                <w:kern w:val="0"/>
                <w:sz w:val="21"/>
                <w:szCs w:val="21"/>
                <w:highlight w:val="none"/>
              </w:rPr>
              <w:t>N=</w:t>
            </w:r>
            <w:r>
              <w:rPr>
                <w:rFonts w:hint="eastAsia" w:ascii="Times New Roman" w:hAnsi="Times New Roman" w:cs="Times New Roman"/>
                <w:color w:val="auto"/>
                <w:kern w:val="0"/>
                <w:sz w:val="21"/>
                <w:szCs w:val="21"/>
                <w:highlight w:val="none"/>
              </w:rPr>
              <w:t>200</w:t>
            </w:r>
            <w:r>
              <w:rPr>
                <w:rFonts w:ascii="Times New Roman" w:hAnsi="Times New Roman" w:cs="Times New Roman"/>
                <w:color w:val="auto"/>
                <w:kern w:val="0"/>
                <w:sz w:val="21"/>
                <w:szCs w:val="21"/>
                <w:highlight w:val="none"/>
              </w:rPr>
              <w:t>kW</w:t>
            </w:r>
          </w:p>
        </w:tc>
        <w:tc>
          <w:tcPr>
            <w:tcW w:w="484" w:type="pct"/>
            <w:tcBorders>
              <w:tl2br w:val="nil"/>
              <w:tr2bl w:val="nil"/>
            </w:tcBorders>
            <w:noWrap w:val="0"/>
            <w:vAlign w:val="center"/>
          </w:tcPr>
          <w:p w14:paraId="7E59BE4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1</w:t>
            </w:r>
          </w:p>
        </w:tc>
      </w:tr>
      <w:tr w14:paraId="6C5D7E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52" w:type="pct"/>
            <w:tcBorders>
              <w:tl2br w:val="nil"/>
              <w:tr2bl w:val="nil"/>
            </w:tcBorders>
            <w:noWrap w:val="0"/>
            <w:vAlign w:val="center"/>
          </w:tcPr>
          <w:p w14:paraId="30898F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w:t>
            </w:r>
          </w:p>
        </w:tc>
        <w:tc>
          <w:tcPr>
            <w:tcW w:w="1330" w:type="pct"/>
            <w:tcBorders>
              <w:tl2br w:val="nil"/>
              <w:tr2bl w:val="nil"/>
            </w:tcBorders>
            <w:noWrap w:val="0"/>
            <w:vAlign w:val="center"/>
          </w:tcPr>
          <w:p w14:paraId="555A62C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三段水平皮带式输送机</w:t>
            </w:r>
          </w:p>
        </w:tc>
        <w:tc>
          <w:tcPr>
            <w:tcW w:w="1120" w:type="pct"/>
            <w:tcBorders>
              <w:tl2br w:val="nil"/>
              <w:tr2bl w:val="nil"/>
            </w:tcBorders>
            <w:noWrap w:val="0"/>
            <w:vAlign w:val="center"/>
          </w:tcPr>
          <w:p w14:paraId="56ADFDA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TD75型</w:t>
            </w:r>
          </w:p>
        </w:tc>
        <w:tc>
          <w:tcPr>
            <w:tcW w:w="1811" w:type="pct"/>
            <w:tcBorders>
              <w:tl2br w:val="nil"/>
              <w:tr2bl w:val="nil"/>
            </w:tcBorders>
            <w:noWrap w:val="0"/>
            <w:vAlign w:val="center"/>
          </w:tcPr>
          <w:p w14:paraId="2E422D5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出力：150t/h，N=7.5kW，B=650mm</w:t>
            </w:r>
          </w:p>
        </w:tc>
        <w:tc>
          <w:tcPr>
            <w:tcW w:w="484" w:type="pct"/>
            <w:tcBorders>
              <w:tl2br w:val="nil"/>
              <w:tr2bl w:val="nil"/>
            </w:tcBorders>
            <w:noWrap w:val="0"/>
            <w:vAlign w:val="center"/>
          </w:tcPr>
          <w:p w14:paraId="1279CEE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w:t>
            </w:r>
          </w:p>
        </w:tc>
      </w:tr>
      <w:tr w14:paraId="26FAE6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52" w:type="pct"/>
            <w:tcBorders>
              <w:tl2br w:val="nil"/>
              <w:tr2bl w:val="nil"/>
            </w:tcBorders>
            <w:noWrap w:val="0"/>
            <w:vAlign w:val="center"/>
          </w:tcPr>
          <w:p w14:paraId="205A66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1330" w:type="pct"/>
            <w:tcBorders>
              <w:tl2br w:val="nil"/>
              <w:tr2bl w:val="nil"/>
            </w:tcBorders>
            <w:noWrap w:val="0"/>
            <w:vAlign w:val="center"/>
          </w:tcPr>
          <w:p w14:paraId="5B4ABE2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二段倾斜皮带式输送机</w:t>
            </w:r>
          </w:p>
        </w:tc>
        <w:tc>
          <w:tcPr>
            <w:tcW w:w="1120" w:type="pct"/>
            <w:tcBorders>
              <w:tl2br w:val="nil"/>
              <w:tr2bl w:val="nil"/>
            </w:tcBorders>
            <w:noWrap w:val="0"/>
            <w:vAlign w:val="center"/>
          </w:tcPr>
          <w:p w14:paraId="469C353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TD75型</w:t>
            </w:r>
          </w:p>
        </w:tc>
        <w:tc>
          <w:tcPr>
            <w:tcW w:w="1811" w:type="pct"/>
            <w:tcBorders>
              <w:tl2br w:val="nil"/>
              <w:tr2bl w:val="nil"/>
            </w:tcBorders>
            <w:noWrap w:val="0"/>
            <w:vAlign w:val="center"/>
          </w:tcPr>
          <w:p w14:paraId="71B6B2B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出力：150t/h，N=18.5kW，B=650mm</w:t>
            </w:r>
          </w:p>
        </w:tc>
        <w:tc>
          <w:tcPr>
            <w:tcW w:w="484" w:type="pct"/>
            <w:tcBorders>
              <w:tl2br w:val="nil"/>
              <w:tr2bl w:val="nil"/>
            </w:tcBorders>
            <w:noWrap w:val="0"/>
            <w:vAlign w:val="center"/>
          </w:tcPr>
          <w:p w14:paraId="6C048A6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w:t>
            </w:r>
          </w:p>
        </w:tc>
      </w:tr>
      <w:tr w14:paraId="77D5F4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52" w:type="pct"/>
            <w:tcBorders>
              <w:tl2br w:val="nil"/>
              <w:tr2bl w:val="nil"/>
            </w:tcBorders>
            <w:noWrap w:val="0"/>
            <w:vAlign w:val="center"/>
          </w:tcPr>
          <w:p w14:paraId="63CB01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11</w:t>
            </w:r>
          </w:p>
        </w:tc>
        <w:tc>
          <w:tcPr>
            <w:tcW w:w="1330" w:type="pct"/>
            <w:tcBorders>
              <w:tl2br w:val="nil"/>
              <w:tr2bl w:val="nil"/>
            </w:tcBorders>
            <w:noWrap w:val="0"/>
            <w:vAlign w:val="center"/>
          </w:tcPr>
          <w:p w14:paraId="64291C8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一段倾斜皮带式输送机</w:t>
            </w:r>
          </w:p>
        </w:tc>
        <w:tc>
          <w:tcPr>
            <w:tcW w:w="1120" w:type="pct"/>
            <w:tcBorders>
              <w:tl2br w:val="nil"/>
              <w:tr2bl w:val="nil"/>
            </w:tcBorders>
            <w:noWrap w:val="0"/>
            <w:vAlign w:val="center"/>
          </w:tcPr>
          <w:p w14:paraId="366DFF0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TD75型</w:t>
            </w:r>
          </w:p>
        </w:tc>
        <w:tc>
          <w:tcPr>
            <w:tcW w:w="1811" w:type="pct"/>
            <w:tcBorders>
              <w:tl2br w:val="nil"/>
              <w:tr2bl w:val="nil"/>
            </w:tcBorders>
            <w:noWrap w:val="0"/>
            <w:vAlign w:val="center"/>
          </w:tcPr>
          <w:p w14:paraId="2CB14C7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出力：180t/h，N=15kW，B=650mm</w:t>
            </w:r>
          </w:p>
        </w:tc>
        <w:tc>
          <w:tcPr>
            <w:tcW w:w="484" w:type="pct"/>
            <w:tcBorders>
              <w:tl2br w:val="nil"/>
              <w:tr2bl w:val="nil"/>
            </w:tcBorders>
            <w:noWrap w:val="0"/>
            <w:vAlign w:val="center"/>
          </w:tcPr>
          <w:p w14:paraId="6C5E776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w:t>
            </w:r>
          </w:p>
        </w:tc>
      </w:tr>
      <w:tr w14:paraId="57E5BF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52" w:type="pct"/>
            <w:tcBorders>
              <w:tl2br w:val="nil"/>
              <w:tr2bl w:val="nil"/>
            </w:tcBorders>
            <w:noWrap w:val="0"/>
            <w:vAlign w:val="center"/>
          </w:tcPr>
          <w:p w14:paraId="4BEA61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12</w:t>
            </w:r>
          </w:p>
        </w:tc>
        <w:tc>
          <w:tcPr>
            <w:tcW w:w="1330" w:type="pct"/>
            <w:tcBorders>
              <w:tl2br w:val="nil"/>
              <w:tr2bl w:val="nil"/>
            </w:tcBorders>
            <w:noWrap w:val="0"/>
            <w:vAlign w:val="center"/>
          </w:tcPr>
          <w:p w14:paraId="1CF1FDB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往复式给煤机</w:t>
            </w:r>
          </w:p>
        </w:tc>
        <w:tc>
          <w:tcPr>
            <w:tcW w:w="1120" w:type="pct"/>
            <w:tcBorders>
              <w:tl2br w:val="nil"/>
              <w:tr2bl w:val="nil"/>
            </w:tcBorders>
            <w:noWrap w:val="0"/>
            <w:vAlign w:val="center"/>
          </w:tcPr>
          <w:p w14:paraId="4423DF5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GMWF-1</w:t>
            </w:r>
          </w:p>
        </w:tc>
        <w:tc>
          <w:tcPr>
            <w:tcW w:w="1811" w:type="pct"/>
            <w:tcBorders>
              <w:tl2br w:val="nil"/>
              <w:tr2bl w:val="nil"/>
            </w:tcBorders>
            <w:noWrap w:val="0"/>
            <w:vAlign w:val="center"/>
          </w:tcPr>
          <w:p w14:paraId="469F4A6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出力：150t/h，N=4kW</w:t>
            </w:r>
          </w:p>
        </w:tc>
        <w:tc>
          <w:tcPr>
            <w:tcW w:w="484" w:type="pct"/>
            <w:tcBorders>
              <w:tl2br w:val="nil"/>
              <w:tr2bl w:val="nil"/>
            </w:tcBorders>
            <w:noWrap w:val="0"/>
            <w:vAlign w:val="center"/>
          </w:tcPr>
          <w:p w14:paraId="41AD1B9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w:t>
            </w:r>
          </w:p>
        </w:tc>
      </w:tr>
      <w:tr w14:paraId="20100E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52" w:type="pct"/>
            <w:tcBorders>
              <w:tl2br w:val="nil"/>
              <w:tr2bl w:val="nil"/>
            </w:tcBorders>
            <w:noWrap w:val="0"/>
            <w:vAlign w:val="center"/>
          </w:tcPr>
          <w:p w14:paraId="23D60E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13</w:t>
            </w:r>
          </w:p>
        </w:tc>
        <w:tc>
          <w:tcPr>
            <w:tcW w:w="1330" w:type="pct"/>
            <w:tcBorders>
              <w:tl2br w:val="nil"/>
              <w:tr2bl w:val="nil"/>
            </w:tcBorders>
            <w:noWrap w:val="0"/>
            <w:vAlign w:val="center"/>
          </w:tcPr>
          <w:p w14:paraId="5CCEBEA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滚筒筛分机</w:t>
            </w:r>
          </w:p>
        </w:tc>
        <w:tc>
          <w:tcPr>
            <w:tcW w:w="1120" w:type="pct"/>
            <w:tcBorders>
              <w:tl2br w:val="nil"/>
              <w:tr2bl w:val="nil"/>
            </w:tcBorders>
            <w:noWrap w:val="0"/>
            <w:vAlign w:val="center"/>
          </w:tcPr>
          <w:p w14:paraId="77168D0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GTS150</w:t>
            </w:r>
          </w:p>
        </w:tc>
        <w:tc>
          <w:tcPr>
            <w:tcW w:w="1811" w:type="pct"/>
            <w:tcBorders>
              <w:tl2br w:val="nil"/>
              <w:tr2bl w:val="nil"/>
            </w:tcBorders>
            <w:noWrap w:val="0"/>
            <w:vAlign w:val="center"/>
          </w:tcPr>
          <w:p w14:paraId="57EADEB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产量：150t/h，N=7.5kW</w:t>
            </w:r>
          </w:p>
        </w:tc>
        <w:tc>
          <w:tcPr>
            <w:tcW w:w="484" w:type="pct"/>
            <w:tcBorders>
              <w:tl2br w:val="nil"/>
              <w:tr2bl w:val="nil"/>
            </w:tcBorders>
            <w:noWrap w:val="0"/>
            <w:vAlign w:val="center"/>
          </w:tcPr>
          <w:p w14:paraId="2E20DD9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w:t>
            </w:r>
          </w:p>
        </w:tc>
      </w:tr>
      <w:tr w14:paraId="3995DF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52" w:type="pct"/>
            <w:tcBorders>
              <w:tl2br w:val="nil"/>
              <w:tr2bl w:val="nil"/>
            </w:tcBorders>
            <w:noWrap w:val="0"/>
            <w:vAlign w:val="center"/>
          </w:tcPr>
          <w:p w14:paraId="5F8507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14</w:t>
            </w:r>
          </w:p>
        </w:tc>
        <w:tc>
          <w:tcPr>
            <w:tcW w:w="1330" w:type="pct"/>
            <w:tcBorders>
              <w:tl2br w:val="nil"/>
              <w:tr2bl w:val="nil"/>
            </w:tcBorders>
            <w:noWrap w:val="0"/>
            <w:vAlign w:val="center"/>
          </w:tcPr>
          <w:p w14:paraId="563AD88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环锤式破碎机</w:t>
            </w:r>
          </w:p>
        </w:tc>
        <w:tc>
          <w:tcPr>
            <w:tcW w:w="1120" w:type="pct"/>
            <w:tcBorders>
              <w:tl2br w:val="nil"/>
              <w:tr2bl w:val="nil"/>
            </w:tcBorders>
            <w:noWrap w:val="0"/>
            <w:vAlign w:val="center"/>
          </w:tcPr>
          <w:p w14:paraId="7FD2DBB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PC-08-08</w:t>
            </w:r>
          </w:p>
        </w:tc>
        <w:tc>
          <w:tcPr>
            <w:tcW w:w="1811" w:type="pct"/>
            <w:tcBorders>
              <w:tl2br w:val="nil"/>
              <w:tr2bl w:val="nil"/>
            </w:tcBorders>
            <w:noWrap w:val="0"/>
            <w:vAlign w:val="center"/>
          </w:tcPr>
          <w:p w14:paraId="2B5F098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产量：100t/h，N=45kW</w:t>
            </w:r>
          </w:p>
        </w:tc>
        <w:tc>
          <w:tcPr>
            <w:tcW w:w="484" w:type="pct"/>
            <w:tcBorders>
              <w:tl2br w:val="nil"/>
              <w:tr2bl w:val="nil"/>
            </w:tcBorders>
            <w:noWrap w:val="0"/>
            <w:vAlign w:val="center"/>
          </w:tcPr>
          <w:p w14:paraId="12F9B67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w:t>
            </w:r>
          </w:p>
        </w:tc>
      </w:tr>
      <w:tr w14:paraId="08B178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52" w:type="pct"/>
            <w:tcBorders>
              <w:tl2br w:val="nil"/>
              <w:tr2bl w:val="nil"/>
            </w:tcBorders>
            <w:noWrap w:val="0"/>
            <w:vAlign w:val="center"/>
          </w:tcPr>
          <w:p w14:paraId="7F30FC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15</w:t>
            </w:r>
          </w:p>
        </w:tc>
        <w:tc>
          <w:tcPr>
            <w:tcW w:w="1330" w:type="pct"/>
            <w:tcBorders>
              <w:tl2br w:val="nil"/>
              <w:tr2bl w:val="nil"/>
            </w:tcBorders>
            <w:noWrap w:val="0"/>
            <w:vAlign w:val="center"/>
          </w:tcPr>
          <w:p w14:paraId="7D459D6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皮带秤</w:t>
            </w:r>
          </w:p>
        </w:tc>
        <w:tc>
          <w:tcPr>
            <w:tcW w:w="1120" w:type="pct"/>
            <w:tcBorders>
              <w:tl2br w:val="nil"/>
              <w:tr2bl w:val="nil"/>
            </w:tcBorders>
            <w:noWrap w:val="0"/>
            <w:vAlign w:val="center"/>
          </w:tcPr>
          <w:p w14:paraId="5F17D18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BMP650</w:t>
            </w:r>
          </w:p>
        </w:tc>
        <w:tc>
          <w:tcPr>
            <w:tcW w:w="1811" w:type="pct"/>
            <w:tcBorders>
              <w:tl2br w:val="nil"/>
              <w:tr2bl w:val="nil"/>
            </w:tcBorders>
            <w:noWrap w:val="0"/>
            <w:vAlign w:val="center"/>
          </w:tcPr>
          <w:p w14:paraId="1B3B8AA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B=650mm</w:t>
            </w:r>
          </w:p>
        </w:tc>
        <w:tc>
          <w:tcPr>
            <w:tcW w:w="484" w:type="pct"/>
            <w:tcBorders>
              <w:tl2br w:val="nil"/>
              <w:tr2bl w:val="nil"/>
            </w:tcBorders>
            <w:noWrap w:val="0"/>
            <w:vAlign w:val="center"/>
          </w:tcPr>
          <w:p w14:paraId="39CA2B4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w:t>
            </w:r>
          </w:p>
        </w:tc>
      </w:tr>
    </w:tbl>
    <w:p w14:paraId="5AE42723">
      <w:pPr>
        <w:pStyle w:val="4"/>
        <w:numPr>
          <w:ilvl w:val="1"/>
          <w:numId w:val="3"/>
        </w:numPr>
        <w:bidi w:val="0"/>
        <w:ind w:left="567" w:leftChars="0" w:hanging="567" w:firstLineChars="0"/>
        <w:rPr>
          <w:rFonts w:hint="default" w:ascii="Times New Roman" w:hAnsi="Times New Roman" w:eastAsia="宋体" w:cs="Times New Roman"/>
          <w:b/>
          <w:bCs/>
          <w:color w:val="auto"/>
          <w:highlight w:val="none"/>
          <w:lang w:val="en-US" w:eastAsia="zh-CN"/>
        </w:rPr>
      </w:pPr>
      <w:bookmarkStart w:id="209" w:name="_Toc12469"/>
      <w:bookmarkStart w:id="210" w:name="_Toc2738"/>
      <w:bookmarkStart w:id="211" w:name="_Toc18448"/>
      <w:r>
        <w:rPr>
          <w:rFonts w:hint="default" w:ascii="Times New Roman" w:hAnsi="Times New Roman" w:eastAsia="宋体" w:cs="Times New Roman"/>
          <w:b/>
          <w:bCs/>
          <w:color w:val="auto"/>
          <w:highlight w:val="none"/>
        </w:rPr>
        <w:t>燃料供应系统</w:t>
      </w:r>
      <w:bookmarkEnd w:id="209"/>
      <w:bookmarkEnd w:id="210"/>
      <w:bookmarkEnd w:id="211"/>
    </w:p>
    <w:p w14:paraId="2A056A89">
      <w:pPr>
        <w:pStyle w:val="6"/>
        <w:numPr>
          <w:ilvl w:val="2"/>
          <w:numId w:val="3"/>
        </w:numPr>
        <w:bidi w:val="0"/>
        <w:ind w:left="709" w:leftChars="0" w:hanging="709" w:firstLineChars="0"/>
        <w:rPr>
          <w:rFonts w:hint="default" w:ascii="Times New Roman" w:hAnsi="Times New Roman" w:eastAsia="宋体" w:cs="Times New Roman"/>
          <w:color w:val="auto"/>
          <w:highlight w:val="none"/>
        </w:rPr>
      </w:pPr>
      <w:bookmarkStart w:id="212" w:name="_Toc355941932"/>
      <w:bookmarkStart w:id="213" w:name="_Toc337734345"/>
      <w:bookmarkStart w:id="214" w:name="_Toc14512"/>
      <w:bookmarkStart w:id="215" w:name="_Toc23264"/>
      <w:bookmarkStart w:id="216" w:name="_Toc15410"/>
      <w:r>
        <w:rPr>
          <w:rFonts w:hint="default" w:ascii="Times New Roman" w:hAnsi="Times New Roman" w:eastAsia="宋体" w:cs="Times New Roman"/>
          <w:color w:val="auto"/>
          <w:highlight w:val="none"/>
        </w:rPr>
        <w:t>燃料来源及运输</w:t>
      </w:r>
      <w:bookmarkEnd w:id="212"/>
      <w:bookmarkEnd w:id="213"/>
      <w:bookmarkEnd w:id="214"/>
      <w:bookmarkEnd w:id="215"/>
      <w:bookmarkEnd w:id="216"/>
    </w:p>
    <w:p w14:paraId="338E7F43">
      <w:pPr>
        <w:bidi w:val="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iCs/>
          <w:color w:val="auto"/>
          <w:sz w:val="24"/>
          <w:highlight w:val="none"/>
          <w:lang w:val="en-US" w:eastAsia="zh-CN"/>
        </w:rPr>
        <w:t>本项目燃煤来自鹤岗，采用公路运输，全年耗原煤量15616.86t/a，</w:t>
      </w:r>
      <w:r>
        <w:rPr>
          <w:rFonts w:hint="eastAsia" w:ascii="Times New Roman" w:hAnsi="Times New Roman" w:eastAsia="宋体" w:cs="Times New Roman"/>
          <w:iCs/>
          <w:color w:val="auto"/>
          <w:sz w:val="24"/>
          <w:highlight w:val="none"/>
          <w:lang w:eastAsia="zh-CN"/>
        </w:rPr>
        <w:t>厂区内设置铲车</w:t>
      </w:r>
      <w:r>
        <w:rPr>
          <w:rFonts w:hint="default" w:ascii="Times New Roman" w:hAnsi="Times New Roman" w:eastAsia="宋体" w:cs="Times New Roman"/>
          <w:iCs/>
          <w:color w:val="auto"/>
          <w:sz w:val="24"/>
          <w:highlight w:val="none"/>
        </w:rPr>
        <w:t>。</w:t>
      </w:r>
      <w:r>
        <w:rPr>
          <w:rFonts w:hint="eastAsia" w:ascii="Times New Roman" w:hAnsi="Times New Roman" w:eastAsia="宋体" w:cs="Times New Roman"/>
          <w:iCs/>
          <w:color w:val="auto"/>
          <w:sz w:val="24"/>
          <w:highlight w:val="none"/>
          <w:lang w:val="en-US" w:eastAsia="zh-CN"/>
        </w:rPr>
        <w:t xml:space="preserve"> </w:t>
      </w:r>
    </w:p>
    <w:bookmarkEnd w:id="206"/>
    <w:bookmarkEnd w:id="207"/>
    <w:bookmarkEnd w:id="208"/>
    <w:p w14:paraId="227EF1A8">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217" w:name="_Toc105659891"/>
      <w:bookmarkStart w:id="218" w:name="_Toc15489"/>
      <w:bookmarkStart w:id="219" w:name="_Toc26917"/>
      <w:bookmarkStart w:id="220" w:name="_Toc8391"/>
      <w:bookmarkStart w:id="221" w:name="_Toc29124"/>
      <w:bookmarkStart w:id="222" w:name="_Toc107238108"/>
      <w:r>
        <w:rPr>
          <w:rFonts w:hint="default" w:ascii="Times New Roman" w:hAnsi="Times New Roman" w:eastAsia="宋体" w:cs="Times New Roman"/>
          <w:color w:val="auto"/>
          <w:highlight w:val="none"/>
        </w:rPr>
        <w:t>燃料消耗量及成分分析</w:t>
      </w:r>
      <w:bookmarkEnd w:id="217"/>
      <w:bookmarkEnd w:id="218"/>
      <w:bookmarkEnd w:id="219"/>
      <w:bookmarkEnd w:id="220"/>
      <w:bookmarkEnd w:id="221"/>
      <w:bookmarkEnd w:id="222"/>
    </w:p>
    <w:p w14:paraId="75B408A1">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iCs/>
          <w:color w:val="auto"/>
          <w:sz w:val="24"/>
          <w:szCs w:val="24"/>
          <w:highlight w:val="none"/>
          <w:lang w:val="en-US" w:eastAsia="zh-CN"/>
        </w:rPr>
        <w:t>本项目</w:t>
      </w:r>
      <w:r>
        <w:rPr>
          <w:rFonts w:hint="eastAsia" w:ascii="Times New Roman" w:hAnsi="Times New Roman" w:eastAsia="宋体" w:cs="Times New Roman"/>
          <w:iCs/>
          <w:color w:val="auto"/>
          <w:sz w:val="24"/>
          <w:szCs w:val="24"/>
          <w:highlight w:val="none"/>
          <w:lang w:val="en-US" w:eastAsia="zh-CN"/>
        </w:rPr>
        <w:t>建设</w:t>
      </w:r>
      <w:r>
        <w:rPr>
          <w:rFonts w:hint="default" w:ascii="Times New Roman" w:hAnsi="Times New Roman" w:eastAsia="宋体" w:cs="Times New Roman"/>
          <w:iCs/>
          <w:color w:val="auto"/>
          <w:sz w:val="24"/>
          <w:szCs w:val="24"/>
          <w:highlight w:val="none"/>
          <w:lang w:val="en-US" w:eastAsia="zh-CN"/>
        </w:rPr>
        <w:t>的</w:t>
      </w:r>
      <w:r>
        <w:rPr>
          <w:rFonts w:hint="eastAsia" w:ascii="Times New Roman" w:hAnsi="Times New Roman" w:eastAsia="宋体" w:cs="Times New Roman"/>
          <w:iCs/>
          <w:color w:val="auto"/>
          <w:sz w:val="24"/>
          <w:szCs w:val="24"/>
          <w:highlight w:val="none"/>
          <w:lang w:val="en-US" w:eastAsia="zh-CN"/>
        </w:rPr>
        <w:t>1</w:t>
      </w:r>
      <w:r>
        <w:rPr>
          <w:rFonts w:hint="default" w:ascii="Times New Roman" w:hAnsi="Times New Roman" w:eastAsia="宋体" w:cs="Times New Roman"/>
          <w:iCs/>
          <w:color w:val="auto"/>
          <w:sz w:val="24"/>
          <w:szCs w:val="24"/>
          <w:highlight w:val="none"/>
          <w:lang w:val="en-US" w:eastAsia="zh-CN"/>
        </w:rPr>
        <w:t>台</w:t>
      </w:r>
      <w:r>
        <w:rPr>
          <w:rFonts w:hint="eastAsia" w:ascii="Times New Roman" w:hAnsi="Times New Roman" w:eastAsia="宋体" w:cs="Times New Roman"/>
          <w:iCs/>
          <w:color w:val="auto"/>
          <w:sz w:val="24"/>
          <w:szCs w:val="24"/>
          <w:highlight w:val="none"/>
          <w:lang w:val="en-US" w:eastAsia="zh-CN"/>
        </w:rPr>
        <w:t>58MW往复炉排热水锅炉为调峰锅炉，在采暖期运行45天</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iCs/>
          <w:color w:val="auto"/>
          <w:sz w:val="24"/>
          <w:szCs w:val="24"/>
          <w:highlight w:val="none"/>
        </w:rPr>
        <w:t>锅炉</w:t>
      </w:r>
      <w:r>
        <w:rPr>
          <w:rFonts w:hint="eastAsia" w:ascii="Times New Roman" w:hAnsi="Times New Roman" w:eastAsia="宋体" w:cs="Times New Roman"/>
          <w:iCs/>
          <w:color w:val="auto"/>
          <w:sz w:val="24"/>
          <w:szCs w:val="24"/>
          <w:highlight w:val="none"/>
          <w:lang w:eastAsia="zh-CN"/>
        </w:rPr>
        <w:t>按年</w:t>
      </w:r>
      <w:r>
        <w:rPr>
          <w:rFonts w:hint="eastAsia" w:ascii="Times New Roman" w:hAnsi="Times New Roman" w:eastAsia="宋体" w:cs="Times New Roman"/>
          <w:iCs/>
          <w:color w:val="auto"/>
          <w:sz w:val="24"/>
          <w:szCs w:val="24"/>
          <w:highlight w:val="none"/>
          <w:lang w:val="en-US" w:eastAsia="zh-CN"/>
        </w:rPr>
        <w:t>满负荷</w:t>
      </w:r>
      <w:r>
        <w:rPr>
          <w:rFonts w:hint="default" w:ascii="Times New Roman" w:hAnsi="Times New Roman" w:eastAsia="宋体" w:cs="Times New Roman"/>
          <w:iCs/>
          <w:color w:val="auto"/>
          <w:sz w:val="24"/>
          <w:szCs w:val="24"/>
          <w:highlight w:val="none"/>
          <w:lang w:val="en-US" w:eastAsia="zh-CN"/>
        </w:rPr>
        <w:t>运行小时数</w:t>
      </w:r>
      <w:r>
        <w:rPr>
          <w:rFonts w:hint="eastAsia" w:ascii="Times New Roman" w:hAnsi="Times New Roman" w:eastAsia="宋体" w:cs="Times New Roman"/>
          <w:iCs/>
          <w:color w:val="auto"/>
          <w:sz w:val="24"/>
          <w:szCs w:val="24"/>
          <w:highlight w:val="none"/>
          <w:lang w:val="en-US" w:eastAsia="zh-CN"/>
        </w:rPr>
        <w:t>1083</w:t>
      </w:r>
      <w:r>
        <w:rPr>
          <w:rFonts w:hint="default" w:ascii="Times New Roman" w:hAnsi="Times New Roman" w:eastAsia="宋体" w:cs="Times New Roman"/>
          <w:iCs/>
          <w:color w:val="auto"/>
          <w:sz w:val="24"/>
          <w:szCs w:val="24"/>
          <w:highlight w:val="none"/>
          <w:lang w:val="en-US" w:eastAsia="zh-CN"/>
        </w:rPr>
        <w:t>h</w:t>
      </w:r>
      <w:r>
        <w:rPr>
          <w:rFonts w:hint="eastAsia" w:ascii="Times New Roman" w:hAnsi="Times New Roman" w:eastAsia="宋体" w:cs="Times New Roman"/>
          <w:iCs/>
          <w:color w:val="auto"/>
          <w:sz w:val="24"/>
          <w:szCs w:val="24"/>
          <w:highlight w:val="none"/>
          <w:lang w:val="en-US" w:eastAsia="zh-CN"/>
        </w:rPr>
        <w:t>，设计锅炉燃煤量为15616.86t/a，小时耗煤量为14.42t/h。</w:t>
      </w:r>
    </w:p>
    <w:p w14:paraId="3DD894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表3.</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 xml:space="preserve">1  </w:t>
      </w:r>
      <w:r>
        <w:rPr>
          <w:rFonts w:hint="default" w:ascii="Times New Roman" w:hAnsi="Times New Roman" w:eastAsia="宋体" w:cs="Times New Roman"/>
          <w:color w:val="auto"/>
          <w:highlight w:val="none"/>
        </w:rPr>
        <w:t>燃料计算</w:t>
      </w:r>
    </w:p>
    <w:tbl>
      <w:tblPr>
        <w:tblStyle w:val="37"/>
        <w:tblpPr w:leftFromText="180" w:rightFromText="180" w:vertAnchor="text" w:horzAnchor="margin" w:tblpXSpec="center" w:tblpY="49"/>
        <w:tblW w:w="4961" w:type="pct"/>
        <w:tblInd w:w="0" w:type="dxa"/>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690"/>
        <w:gridCol w:w="1690"/>
        <w:gridCol w:w="1690"/>
        <w:gridCol w:w="1690"/>
        <w:gridCol w:w="1696"/>
      </w:tblGrid>
      <w:tr w14:paraId="654F3CED">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8" w:hRule="atLeast"/>
        </w:trPr>
        <w:tc>
          <w:tcPr>
            <w:tcW w:w="999" w:type="pct"/>
            <w:tcBorders>
              <w:top w:val="single" w:color="auto" w:sz="12" w:space="0"/>
              <w:bottom w:val="single" w:color="auto" w:sz="6" w:space="0"/>
            </w:tcBorders>
            <w:vAlign w:val="center"/>
          </w:tcPr>
          <w:p w14:paraId="09DBC771">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燃料</w:t>
            </w:r>
          </w:p>
        </w:tc>
        <w:tc>
          <w:tcPr>
            <w:tcW w:w="999" w:type="pct"/>
            <w:tcBorders>
              <w:top w:val="single" w:color="auto" w:sz="12" w:space="0"/>
              <w:bottom w:val="single" w:color="auto" w:sz="6" w:space="0"/>
              <w:right w:val="single" w:color="auto" w:sz="4" w:space="0"/>
            </w:tcBorders>
            <w:vAlign w:val="center"/>
          </w:tcPr>
          <w:p w14:paraId="1CBDD228">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锅炉规模</w:t>
            </w:r>
          </w:p>
        </w:tc>
        <w:tc>
          <w:tcPr>
            <w:tcW w:w="999" w:type="pct"/>
            <w:tcBorders>
              <w:top w:val="single" w:color="auto" w:sz="12" w:space="0"/>
              <w:left w:val="single" w:color="auto" w:sz="4" w:space="0"/>
              <w:bottom w:val="single" w:color="auto" w:sz="6" w:space="0"/>
            </w:tcBorders>
            <w:vAlign w:val="center"/>
          </w:tcPr>
          <w:p w14:paraId="15467380">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小时耗量</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t</w:t>
            </w:r>
            <w:r>
              <w:rPr>
                <w:rFonts w:hint="eastAsia" w:ascii="Times New Roman" w:hAnsi="Times New Roman" w:eastAsia="宋体" w:cs="Times New Roman"/>
                <w:color w:val="auto"/>
                <w:highlight w:val="none"/>
                <w:lang w:eastAsia="zh-CN"/>
              </w:rPr>
              <w:t>）</w:t>
            </w:r>
          </w:p>
        </w:tc>
        <w:tc>
          <w:tcPr>
            <w:tcW w:w="999" w:type="pct"/>
            <w:tcBorders>
              <w:top w:val="single" w:color="auto" w:sz="12" w:space="0"/>
              <w:bottom w:val="single" w:color="auto" w:sz="6" w:space="0"/>
            </w:tcBorders>
            <w:vAlign w:val="center"/>
          </w:tcPr>
          <w:p w14:paraId="30EA0387">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日耗量</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t</w:t>
            </w:r>
            <w:r>
              <w:rPr>
                <w:rFonts w:hint="eastAsia" w:ascii="Times New Roman" w:hAnsi="Times New Roman" w:eastAsia="宋体" w:cs="Times New Roman"/>
                <w:color w:val="auto"/>
                <w:highlight w:val="none"/>
                <w:lang w:eastAsia="zh-CN"/>
              </w:rPr>
              <w:t>）</w:t>
            </w:r>
          </w:p>
        </w:tc>
        <w:tc>
          <w:tcPr>
            <w:tcW w:w="1002" w:type="pct"/>
            <w:tcBorders>
              <w:top w:val="single" w:color="auto" w:sz="12" w:space="0"/>
              <w:bottom w:val="single" w:color="auto" w:sz="6" w:space="0"/>
            </w:tcBorders>
            <w:vAlign w:val="center"/>
          </w:tcPr>
          <w:p w14:paraId="75BDE336">
            <w:pPr>
              <w:pStyle w:val="6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年耗量</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t</w:t>
            </w:r>
            <w:r>
              <w:rPr>
                <w:rFonts w:hint="eastAsia" w:ascii="Times New Roman" w:hAnsi="Times New Roman" w:eastAsia="宋体" w:cs="Times New Roman"/>
                <w:color w:val="auto"/>
                <w:highlight w:val="none"/>
                <w:lang w:eastAsia="zh-CN"/>
              </w:rPr>
              <w:t>）</w:t>
            </w:r>
          </w:p>
        </w:tc>
      </w:tr>
      <w:tr w14:paraId="5CE1D309">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37" w:hRule="atLeast"/>
        </w:trPr>
        <w:tc>
          <w:tcPr>
            <w:tcW w:w="999" w:type="pct"/>
            <w:tcBorders>
              <w:top w:val="single" w:color="auto" w:sz="6" w:space="0"/>
              <w:bottom w:val="single" w:color="auto" w:sz="12" w:space="0"/>
            </w:tcBorders>
            <w:vAlign w:val="center"/>
          </w:tcPr>
          <w:p w14:paraId="5C15D275">
            <w:pPr>
              <w:pStyle w:val="63"/>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燃</w:t>
            </w:r>
            <w:r>
              <w:rPr>
                <w:rFonts w:hint="default" w:ascii="Times New Roman" w:hAnsi="Times New Roman" w:eastAsia="宋体" w:cs="Times New Roman"/>
                <w:color w:val="auto"/>
                <w:highlight w:val="none"/>
              </w:rPr>
              <w:t>煤</w:t>
            </w:r>
          </w:p>
        </w:tc>
        <w:tc>
          <w:tcPr>
            <w:tcW w:w="999" w:type="pct"/>
            <w:tcBorders>
              <w:top w:val="single" w:color="auto" w:sz="6" w:space="0"/>
              <w:bottom w:val="single" w:color="auto" w:sz="12" w:space="0"/>
              <w:right w:val="single" w:color="auto" w:sz="4" w:space="0"/>
            </w:tcBorders>
            <w:vAlign w:val="center"/>
          </w:tcPr>
          <w:p w14:paraId="2DC8FD69">
            <w:pPr>
              <w:pStyle w:val="63"/>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58</w:t>
            </w:r>
            <w:r>
              <w:rPr>
                <w:rFonts w:hint="default" w:ascii="Times New Roman" w:hAnsi="Times New Roman" w:eastAsia="宋体" w:cs="Times New Roman"/>
                <w:color w:val="auto"/>
                <w:highlight w:val="none"/>
              </w:rPr>
              <w:t>MW</w:t>
            </w:r>
          </w:p>
        </w:tc>
        <w:tc>
          <w:tcPr>
            <w:tcW w:w="999" w:type="pct"/>
            <w:tcBorders>
              <w:top w:val="single" w:color="auto" w:sz="6" w:space="0"/>
              <w:left w:val="single" w:color="auto" w:sz="4" w:space="0"/>
              <w:bottom w:val="single" w:color="auto" w:sz="12" w:space="0"/>
            </w:tcBorders>
            <w:vAlign w:val="center"/>
          </w:tcPr>
          <w:p w14:paraId="0B44865C">
            <w:pPr>
              <w:pStyle w:val="63"/>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14.42</w:t>
            </w:r>
          </w:p>
        </w:tc>
        <w:tc>
          <w:tcPr>
            <w:tcW w:w="999" w:type="pct"/>
            <w:tcBorders>
              <w:top w:val="single" w:color="auto" w:sz="6" w:space="0"/>
              <w:bottom w:val="single" w:color="auto" w:sz="12" w:space="0"/>
            </w:tcBorders>
            <w:vAlign w:val="center"/>
          </w:tcPr>
          <w:p w14:paraId="21E106A6">
            <w:pPr>
              <w:pStyle w:val="63"/>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346.08</w:t>
            </w:r>
          </w:p>
        </w:tc>
        <w:tc>
          <w:tcPr>
            <w:tcW w:w="1002" w:type="pct"/>
            <w:tcBorders>
              <w:top w:val="single" w:color="auto" w:sz="6" w:space="0"/>
              <w:bottom w:val="single" w:color="auto" w:sz="12" w:space="0"/>
            </w:tcBorders>
            <w:vAlign w:val="center"/>
          </w:tcPr>
          <w:p w14:paraId="6ACF6B4F">
            <w:pPr>
              <w:pStyle w:val="63"/>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15616.86</w:t>
            </w:r>
          </w:p>
        </w:tc>
      </w:tr>
    </w:tbl>
    <w:p w14:paraId="17F32BA5">
      <w:pPr>
        <w:ind w:firstLine="480"/>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注：年利用小时数</w:t>
      </w:r>
      <w:r>
        <w:rPr>
          <w:rFonts w:hint="eastAsia" w:ascii="Times New Roman" w:hAnsi="Times New Roman" w:eastAsia="宋体" w:cs="Times New Roman"/>
          <w:color w:val="auto"/>
          <w:sz w:val="21"/>
          <w:highlight w:val="none"/>
          <w:lang w:val="en-US" w:eastAsia="zh-CN"/>
        </w:rPr>
        <w:t>1083</w:t>
      </w:r>
      <w:r>
        <w:rPr>
          <w:rFonts w:hint="default" w:ascii="Times New Roman" w:hAnsi="Times New Roman" w:eastAsia="宋体" w:cs="Times New Roman"/>
          <w:color w:val="auto"/>
          <w:sz w:val="21"/>
          <w:highlight w:val="none"/>
        </w:rPr>
        <w:t>小时。</w:t>
      </w:r>
    </w:p>
    <w:p w14:paraId="4B15A8F5">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本工程设计用燃料为燃煤，主要为</w:t>
      </w:r>
      <w:r>
        <w:rPr>
          <w:rFonts w:hint="eastAsia" w:ascii="Times New Roman" w:hAnsi="Times New Roman" w:eastAsia="宋体" w:cs="Times New Roman"/>
          <w:color w:val="auto"/>
          <w:highlight w:val="none"/>
          <w:lang w:eastAsia="zh-CN"/>
        </w:rPr>
        <w:t>烟</w:t>
      </w:r>
      <w:r>
        <w:rPr>
          <w:rFonts w:hint="default" w:ascii="Times New Roman" w:hAnsi="Times New Roman" w:eastAsia="宋体" w:cs="Times New Roman"/>
          <w:color w:val="auto"/>
          <w:highlight w:val="none"/>
          <w:lang w:val="en-US" w:eastAsia="zh-CN"/>
        </w:rPr>
        <w:t>煤</w:t>
      </w:r>
      <w:r>
        <w:rPr>
          <w:rFonts w:hint="default" w:ascii="Times New Roman" w:hAnsi="Times New Roman" w:eastAsia="宋体" w:cs="Times New Roman"/>
          <w:color w:val="auto"/>
          <w:highlight w:val="none"/>
        </w:rPr>
        <w:t>，成分分析报告</w:t>
      </w:r>
      <w:r>
        <w:rPr>
          <w:rFonts w:hint="eastAsia" w:ascii="Times New Roman" w:hAnsi="Times New Roman" w:eastAsia="宋体" w:cs="Times New Roman"/>
          <w:color w:val="auto"/>
          <w:highlight w:val="none"/>
          <w:lang w:eastAsia="zh-CN"/>
        </w:rPr>
        <w:t>换算为收到基之后</w:t>
      </w:r>
      <w:r>
        <w:rPr>
          <w:rFonts w:hint="default" w:ascii="Times New Roman" w:hAnsi="Times New Roman" w:eastAsia="宋体" w:cs="Times New Roman"/>
          <w:color w:val="auto"/>
          <w:highlight w:val="none"/>
        </w:rPr>
        <w:t>详见下表：</w:t>
      </w:r>
    </w:p>
    <w:p w14:paraId="275910B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表3.</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 xml:space="preserve">2  </w:t>
      </w:r>
      <w:r>
        <w:rPr>
          <w:rFonts w:hint="default" w:ascii="Times New Roman" w:hAnsi="Times New Roman" w:eastAsia="宋体" w:cs="Times New Roman"/>
          <w:color w:val="auto"/>
          <w:highlight w:val="none"/>
        </w:rPr>
        <w:t>燃煤成分分析报告</w:t>
      </w:r>
    </w:p>
    <w:tbl>
      <w:tblPr>
        <w:tblStyle w:val="37"/>
        <w:tblW w:w="497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14"/>
        <w:gridCol w:w="4342"/>
        <w:gridCol w:w="1921"/>
        <w:gridCol w:w="1645"/>
      </w:tblGrid>
      <w:tr w14:paraId="10D2B9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97" w:type="pct"/>
            <w:noWrap/>
            <w:vAlign w:val="center"/>
          </w:tcPr>
          <w:p w14:paraId="035A4B21">
            <w:pPr>
              <w:pStyle w:val="63"/>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序号</w:t>
            </w:r>
          </w:p>
        </w:tc>
        <w:tc>
          <w:tcPr>
            <w:tcW w:w="2475" w:type="pct"/>
            <w:noWrap/>
            <w:vAlign w:val="center"/>
          </w:tcPr>
          <w:p w14:paraId="797DDFF1">
            <w:pPr>
              <w:pStyle w:val="63"/>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名称</w:t>
            </w:r>
          </w:p>
        </w:tc>
        <w:tc>
          <w:tcPr>
            <w:tcW w:w="1091" w:type="pct"/>
            <w:noWrap/>
            <w:vAlign w:val="center"/>
          </w:tcPr>
          <w:p w14:paraId="52907F57">
            <w:pPr>
              <w:pStyle w:val="63"/>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单位</w:t>
            </w:r>
          </w:p>
        </w:tc>
        <w:tc>
          <w:tcPr>
            <w:tcW w:w="934" w:type="pct"/>
            <w:noWrap/>
            <w:vAlign w:val="center"/>
          </w:tcPr>
          <w:p w14:paraId="5EF66D8F">
            <w:pPr>
              <w:pStyle w:val="63"/>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检验结果</w:t>
            </w:r>
          </w:p>
        </w:tc>
      </w:tr>
      <w:tr w14:paraId="3CE2F9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2" w:hRule="atLeast"/>
          <w:jc w:val="center"/>
        </w:trPr>
        <w:tc>
          <w:tcPr>
            <w:tcW w:w="497" w:type="pct"/>
            <w:vMerge w:val="restart"/>
            <w:noWrap/>
            <w:vAlign w:val="center"/>
          </w:tcPr>
          <w:p w14:paraId="3F19A21D">
            <w:pPr>
              <w:pStyle w:val="63"/>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w:t>
            </w:r>
          </w:p>
        </w:tc>
        <w:tc>
          <w:tcPr>
            <w:tcW w:w="4575" w:type="dxa"/>
            <w:vMerge w:val="restart"/>
            <w:noWrap/>
            <w:vAlign w:val="center"/>
          </w:tcPr>
          <w:p w14:paraId="77D5A7DF">
            <w:pPr>
              <w:pStyle w:val="63"/>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收到基低位发热量 Qnet.ar</w:t>
            </w:r>
          </w:p>
        </w:tc>
        <w:tc>
          <w:tcPr>
            <w:tcW w:w="2017" w:type="dxa"/>
            <w:noWrap/>
            <w:vAlign w:val="center"/>
          </w:tcPr>
          <w:p w14:paraId="142906A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iCs/>
                <w:color w:val="auto"/>
                <w:sz w:val="21"/>
                <w:szCs w:val="21"/>
                <w:highlight w:val="none"/>
                <w:lang w:val="en-US" w:eastAsia="zh-CN"/>
              </w:rPr>
            </w:pPr>
            <w:r>
              <w:rPr>
                <w:rFonts w:hint="default" w:ascii="Times New Roman" w:hAnsi="Times New Roman" w:cs="Times New Roman"/>
                <w:iCs/>
                <w:color w:val="auto"/>
                <w:sz w:val="21"/>
                <w:szCs w:val="21"/>
                <w:highlight w:val="none"/>
                <w:lang w:val="en-US" w:eastAsia="zh-CN"/>
              </w:rPr>
              <w:t>kJ/kg</w:t>
            </w:r>
          </w:p>
        </w:tc>
        <w:tc>
          <w:tcPr>
            <w:tcW w:w="1726" w:type="dxa"/>
            <w:noWrap/>
            <w:vAlign w:val="center"/>
          </w:tcPr>
          <w:p w14:paraId="1FD3665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iCs/>
                <w:color w:val="auto"/>
                <w:sz w:val="21"/>
                <w:szCs w:val="21"/>
                <w:highlight w:val="none"/>
                <w:lang w:val="en-US" w:eastAsia="zh-CN"/>
              </w:rPr>
            </w:pPr>
            <w:r>
              <w:rPr>
                <w:rFonts w:hint="eastAsia" w:ascii="Times New Roman" w:hAnsi="Times New Roman" w:cs="Times New Roman"/>
                <w:iCs/>
                <w:color w:val="auto"/>
                <w:sz w:val="21"/>
                <w:szCs w:val="21"/>
                <w:highlight w:val="none"/>
                <w:lang w:val="en-US" w:eastAsia="zh-CN"/>
              </w:rPr>
              <w:t>18099</w:t>
            </w:r>
          </w:p>
        </w:tc>
      </w:tr>
      <w:tr w14:paraId="3B41CF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497" w:type="pct"/>
            <w:vMerge w:val="continue"/>
            <w:noWrap/>
            <w:vAlign w:val="center"/>
          </w:tcPr>
          <w:p w14:paraId="22B53AD5">
            <w:pPr>
              <w:pStyle w:val="63"/>
              <w:rPr>
                <w:rFonts w:hint="default" w:ascii="Times New Roman" w:hAnsi="Times New Roman" w:eastAsia="宋体" w:cs="Times New Roman"/>
                <w:color w:val="auto"/>
                <w:highlight w:val="none"/>
                <w:lang w:val="en-US" w:eastAsia="zh-CN"/>
              </w:rPr>
            </w:pPr>
          </w:p>
        </w:tc>
        <w:tc>
          <w:tcPr>
            <w:tcW w:w="4575" w:type="dxa"/>
            <w:vMerge w:val="continue"/>
            <w:noWrap/>
            <w:vAlign w:val="center"/>
          </w:tcPr>
          <w:p w14:paraId="427E896D">
            <w:pPr>
              <w:pStyle w:val="63"/>
              <w:rPr>
                <w:rFonts w:hint="eastAsia" w:ascii="Times New Roman" w:hAnsi="Times New Roman" w:eastAsia="宋体" w:cs="Times New Roman"/>
                <w:color w:val="auto"/>
                <w:highlight w:val="none"/>
                <w:lang w:val="en-US" w:eastAsia="zh-CN"/>
              </w:rPr>
            </w:pPr>
          </w:p>
        </w:tc>
        <w:tc>
          <w:tcPr>
            <w:tcW w:w="2017" w:type="dxa"/>
            <w:noWrap/>
            <w:vAlign w:val="center"/>
          </w:tcPr>
          <w:p w14:paraId="05CD82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iCs/>
                <w:color w:val="auto"/>
                <w:sz w:val="21"/>
                <w:szCs w:val="21"/>
                <w:highlight w:val="none"/>
                <w:lang w:val="en-US" w:eastAsia="zh-CN"/>
              </w:rPr>
            </w:pPr>
            <w:r>
              <w:rPr>
                <w:rFonts w:hint="default" w:ascii="Times New Roman" w:hAnsi="Times New Roman" w:cs="Times New Roman"/>
                <w:iCs/>
                <w:color w:val="auto"/>
                <w:sz w:val="21"/>
                <w:szCs w:val="21"/>
                <w:highlight w:val="none"/>
                <w:lang w:val="en-US" w:eastAsia="zh-CN"/>
              </w:rPr>
              <w:t>kcal/kg</w:t>
            </w:r>
          </w:p>
        </w:tc>
        <w:tc>
          <w:tcPr>
            <w:tcW w:w="1726" w:type="dxa"/>
            <w:noWrap/>
            <w:vAlign w:val="center"/>
          </w:tcPr>
          <w:p w14:paraId="2E9012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iCs/>
                <w:color w:val="auto"/>
                <w:sz w:val="21"/>
                <w:szCs w:val="21"/>
                <w:highlight w:val="none"/>
                <w:lang w:val="en-US" w:eastAsia="zh-CN"/>
              </w:rPr>
            </w:pPr>
            <w:r>
              <w:rPr>
                <w:rFonts w:hint="eastAsia" w:ascii="Times New Roman" w:hAnsi="Times New Roman" w:cs="Times New Roman"/>
                <w:iCs/>
                <w:color w:val="auto"/>
                <w:sz w:val="21"/>
                <w:szCs w:val="21"/>
                <w:highlight w:val="none"/>
                <w:lang w:val="en-US" w:eastAsia="zh-CN"/>
              </w:rPr>
              <w:t>4328</w:t>
            </w:r>
          </w:p>
        </w:tc>
      </w:tr>
      <w:tr w14:paraId="06CB5A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497" w:type="pct"/>
            <w:noWrap/>
            <w:vAlign w:val="center"/>
          </w:tcPr>
          <w:p w14:paraId="492AEB9C">
            <w:pPr>
              <w:pStyle w:val="63"/>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w:t>
            </w:r>
          </w:p>
        </w:tc>
        <w:tc>
          <w:tcPr>
            <w:tcW w:w="4575" w:type="dxa"/>
            <w:noWrap/>
            <w:vAlign w:val="center"/>
          </w:tcPr>
          <w:p w14:paraId="435E50F2">
            <w:pPr>
              <w:pStyle w:val="63"/>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全水分 Mar</w:t>
            </w:r>
          </w:p>
        </w:tc>
        <w:tc>
          <w:tcPr>
            <w:tcW w:w="1091" w:type="pct"/>
            <w:noWrap/>
            <w:vAlign w:val="center"/>
          </w:tcPr>
          <w:p w14:paraId="089783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iCs/>
                <w:color w:val="auto"/>
                <w:sz w:val="21"/>
                <w:szCs w:val="21"/>
                <w:highlight w:val="none"/>
                <w:lang w:val="en-US" w:eastAsia="zh-CN"/>
              </w:rPr>
              <w:t>%</w:t>
            </w:r>
          </w:p>
        </w:tc>
        <w:tc>
          <w:tcPr>
            <w:tcW w:w="1726" w:type="dxa"/>
            <w:noWrap/>
            <w:vAlign w:val="center"/>
          </w:tcPr>
          <w:p w14:paraId="4A1713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iCs/>
                <w:color w:val="auto"/>
                <w:sz w:val="21"/>
                <w:szCs w:val="21"/>
                <w:highlight w:val="none"/>
                <w:lang w:val="en-US" w:eastAsia="zh-CN"/>
              </w:rPr>
            </w:pPr>
            <w:r>
              <w:rPr>
                <w:rFonts w:hint="eastAsia" w:ascii="Times New Roman" w:hAnsi="Times New Roman" w:cs="Times New Roman"/>
                <w:iCs/>
                <w:color w:val="auto"/>
                <w:sz w:val="21"/>
                <w:szCs w:val="21"/>
                <w:highlight w:val="none"/>
                <w:lang w:val="en-US" w:eastAsia="zh-CN"/>
              </w:rPr>
              <w:t>7.3</w:t>
            </w:r>
          </w:p>
        </w:tc>
      </w:tr>
      <w:tr w14:paraId="720029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497" w:type="pct"/>
            <w:noWrap/>
            <w:vAlign w:val="center"/>
          </w:tcPr>
          <w:p w14:paraId="63AA0DBF">
            <w:pPr>
              <w:pStyle w:val="63"/>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w:t>
            </w:r>
          </w:p>
        </w:tc>
        <w:tc>
          <w:tcPr>
            <w:tcW w:w="4575" w:type="dxa"/>
            <w:noWrap/>
            <w:vAlign w:val="center"/>
          </w:tcPr>
          <w:p w14:paraId="7B11FFB2">
            <w:pPr>
              <w:pStyle w:val="63"/>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空气干燥基水分Mad</w:t>
            </w:r>
          </w:p>
        </w:tc>
        <w:tc>
          <w:tcPr>
            <w:tcW w:w="1091" w:type="pct"/>
            <w:noWrap/>
            <w:vAlign w:val="center"/>
          </w:tcPr>
          <w:p w14:paraId="49279A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iCs/>
                <w:color w:val="auto"/>
                <w:sz w:val="21"/>
                <w:szCs w:val="21"/>
                <w:highlight w:val="none"/>
                <w:lang w:val="en-US" w:eastAsia="zh-CN"/>
              </w:rPr>
              <w:t>%</w:t>
            </w:r>
          </w:p>
        </w:tc>
        <w:tc>
          <w:tcPr>
            <w:tcW w:w="1726" w:type="dxa"/>
            <w:noWrap/>
            <w:vAlign w:val="center"/>
          </w:tcPr>
          <w:p w14:paraId="413E7F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iCs/>
                <w:color w:val="auto"/>
                <w:sz w:val="21"/>
                <w:szCs w:val="21"/>
                <w:highlight w:val="none"/>
                <w:lang w:val="en-US" w:eastAsia="zh-CN"/>
              </w:rPr>
            </w:pPr>
            <w:r>
              <w:rPr>
                <w:rFonts w:hint="eastAsia" w:ascii="Times New Roman" w:hAnsi="Times New Roman" w:cs="Times New Roman"/>
                <w:iCs/>
                <w:color w:val="auto"/>
                <w:sz w:val="21"/>
                <w:szCs w:val="21"/>
                <w:highlight w:val="none"/>
                <w:lang w:val="en-US" w:eastAsia="zh-CN"/>
              </w:rPr>
              <w:t>2.42</w:t>
            </w:r>
          </w:p>
        </w:tc>
      </w:tr>
      <w:tr w14:paraId="2F361B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497" w:type="pct"/>
            <w:noWrap/>
            <w:vAlign w:val="center"/>
          </w:tcPr>
          <w:p w14:paraId="4A3B0808">
            <w:pPr>
              <w:pStyle w:val="63"/>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w:t>
            </w:r>
          </w:p>
        </w:tc>
        <w:tc>
          <w:tcPr>
            <w:tcW w:w="4575" w:type="dxa"/>
            <w:noWrap/>
            <w:vAlign w:val="center"/>
          </w:tcPr>
          <w:p w14:paraId="5910BD66">
            <w:pPr>
              <w:pStyle w:val="63"/>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干燥无灰基挥发份Vdaf</w:t>
            </w:r>
          </w:p>
        </w:tc>
        <w:tc>
          <w:tcPr>
            <w:tcW w:w="1091" w:type="pct"/>
            <w:noWrap/>
            <w:vAlign w:val="center"/>
          </w:tcPr>
          <w:p w14:paraId="6A0C80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iCs/>
                <w:color w:val="auto"/>
                <w:sz w:val="21"/>
                <w:szCs w:val="21"/>
                <w:highlight w:val="none"/>
                <w:lang w:val="en-US" w:eastAsia="zh-CN"/>
              </w:rPr>
              <w:t>%</w:t>
            </w:r>
          </w:p>
        </w:tc>
        <w:tc>
          <w:tcPr>
            <w:tcW w:w="1726" w:type="dxa"/>
            <w:noWrap/>
            <w:vAlign w:val="center"/>
          </w:tcPr>
          <w:p w14:paraId="647041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iCs/>
                <w:color w:val="auto"/>
                <w:sz w:val="21"/>
                <w:szCs w:val="21"/>
                <w:highlight w:val="none"/>
                <w:lang w:val="en-US" w:eastAsia="zh-CN"/>
              </w:rPr>
            </w:pPr>
            <w:r>
              <w:rPr>
                <w:rFonts w:hint="eastAsia" w:ascii="Times New Roman" w:hAnsi="Times New Roman" w:cs="Times New Roman"/>
                <w:iCs/>
                <w:color w:val="auto"/>
                <w:sz w:val="21"/>
                <w:szCs w:val="21"/>
                <w:highlight w:val="none"/>
                <w:lang w:val="en-US" w:eastAsia="zh-CN"/>
              </w:rPr>
              <w:t>40.94</w:t>
            </w:r>
          </w:p>
        </w:tc>
      </w:tr>
      <w:tr w14:paraId="01A814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497" w:type="pct"/>
            <w:noWrap/>
            <w:vAlign w:val="center"/>
          </w:tcPr>
          <w:p w14:paraId="1AB98124">
            <w:pPr>
              <w:pStyle w:val="63"/>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w:t>
            </w:r>
          </w:p>
        </w:tc>
        <w:tc>
          <w:tcPr>
            <w:tcW w:w="4575" w:type="dxa"/>
            <w:noWrap/>
            <w:vAlign w:val="center"/>
          </w:tcPr>
          <w:p w14:paraId="5F7ECE38">
            <w:pPr>
              <w:pStyle w:val="63"/>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收到基灰分 Aar</w:t>
            </w:r>
          </w:p>
        </w:tc>
        <w:tc>
          <w:tcPr>
            <w:tcW w:w="1091" w:type="pct"/>
            <w:noWrap/>
            <w:vAlign w:val="center"/>
          </w:tcPr>
          <w:p w14:paraId="641E49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iCs/>
                <w:color w:val="auto"/>
                <w:sz w:val="21"/>
                <w:szCs w:val="21"/>
                <w:highlight w:val="none"/>
                <w:lang w:val="en-US" w:eastAsia="zh-CN"/>
              </w:rPr>
              <w:t>%</w:t>
            </w:r>
          </w:p>
        </w:tc>
        <w:tc>
          <w:tcPr>
            <w:tcW w:w="1726" w:type="dxa"/>
            <w:noWrap/>
            <w:vAlign w:val="center"/>
          </w:tcPr>
          <w:p w14:paraId="2A9E39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iCs/>
                <w:color w:val="auto"/>
                <w:sz w:val="21"/>
                <w:szCs w:val="21"/>
                <w:highlight w:val="none"/>
                <w:lang w:val="en-US" w:eastAsia="zh-CN"/>
              </w:rPr>
            </w:pPr>
            <w:r>
              <w:rPr>
                <w:rFonts w:hint="eastAsia" w:ascii="Times New Roman" w:hAnsi="Times New Roman" w:cs="Times New Roman"/>
                <w:iCs/>
                <w:color w:val="auto"/>
                <w:sz w:val="21"/>
                <w:szCs w:val="21"/>
                <w:highlight w:val="none"/>
                <w:lang w:val="en-US" w:eastAsia="zh-CN"/>
              </w:rPr>
              <w:t>35.55</w:t>
            </w:r>
          </w:p>
        </w:tc>
      </w:tr>
      <w:tr w14:paraId="65B7E0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497" w:type="pct"/>
            <w:noWrap/>
            <w:vAlign w:val="center"/>
          </w:tcPr>
          <w:p w14:paraId="5D1E52BB">
            <w:pPr>
              <w:pStyle w:val="63"/>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6</w:t>
            </w:r>
          </w:p>
        </w:tc>
        <w:tc>
          <w:tcPr>
            <w:tcW w:w="4575" w:type="dxa"/>
            <w:noWrap/>
            <w:vAlign w:val="center"/>
          </w:tcPr>
          <w:p w14:paraId="65B61CAE">
            <w:pPr>
              <w:pStyle w:val="63"/>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收到基固定碳 FCar</w:t>
            </w:r>
          </w:p>
        </w:tc>
        <w:tc>
          <w:tcPr>
            <w:tcW w:w="1091" w:type="pct"/>
            <w:noWrap/>
            <w:vAlign w:val="center"/>
          </w:tcPr>
          <w:p w14:paraId="37ED216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iCs/>
                <w:color w:val="auto"/>
                <w:sz w:val="21"/>
                <w:szCs w:val="21"/>
                <w:highlight w:val="none"/>
                <w:lang w:val="en-US" w:eastAsia="zh-CN"/>
              </w:rPr>
              <w:t>%</w:t>
            </w:r>
          </w:p>
        </w:tc>
        <w:tc>
          <w:tcPr>
            <w:tcW w:w="1726" w:type="dxa"/>
            <w:noWrap/>
            <w:vAlign w:val="center"/>
          </w:tcPr>
          <w:p w14:paraId="0B9B1F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iCs/>
                <w:color w:val="auto"/>
                <w:sz w:val="21"/>
                <w:szCs w:val="21"/>
                <w:highlight w:val="none"/>
                <w:lang w:val="en-US" w:eastAsia="zh-CN"/>
              </w:rPr>
            </w:pPr>
            <w:r>
              <w:rPr>
                <w:rFonts w:hint="eastAsia" w:ascii="Times New Roman" w:hAnsi="Times New Roman" w:cs="Times New Roman"/>
                <w:iCs/>
                <w:color w:val="auto"/>
                <w:sz w:val="21"/>
                <w:szCs w:val="21"/>
                <w:highlight w:val="none"/>
                <w:lang w:val="en-US" w:eastAsia="zh-CN"/>
              </w:rPr>
              <w:t>33.75</w:t>
            </w:r>
          </w:p>
        </w:tc>
      </w:tr>
      <w:tr w14:paraId="304434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497" w:type="pct"/>
            <w:noWrap/>
            <w:vAlign w:val="center"/>
          </w:tcPr>
          <w:p w14:paraId="287D7A97">
            <w:pPr>
              <w:pStyle w:val="63"/>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7</w:t>
            </w:r>
          </w:p>
        </w:tc>
        <w:tc>
          <w:tcPr>
            <w:tcW w:w="4575" w:type="dxa"/>
            <w:noWrap/>
            <w:vAlign w:val="center"/>
          </w:tcPr>
          <w:p w14:paraId="2CD1BAAA">
            <w:pPr>
              <w:pStyle w:val="63"/>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收到基碳 Car</w:t>
            </w:r>
          </w:p>
        </w:tc>
        <w:tc>
          <w:tcPr>
            <w:tcW w:w="1091" w:type="pct"/>
            <w:noWrap/>
            <w:vAlign w:val="center"/>
          </w:tcPr>
          <w:p w14:paraId="74EFC31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iCs/>
                <w:color w:val="auto"/>
                <w:sz w:val="21"/>
                <w:szCs w:val="21"/>
                <w:highlight w:val="none"/>
                <w:lang w:val="en-US" w:eastAsia="zh-CN"/>
              </w:rPr>
              <w:t>%</w:t>
            </w:r>
          </w:p>
        </w:tc>
        <w:tc>
          <w:tcPr>
            <w:tcW w:w="1726" w:type="dxa"/>
            <w:noWrap/>
            <w:vAlign w:val="center"/>
          </w:tcPr>
          <w:p w14:paraId="0279E8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iCs/>
                <w:color w:val="auto"/>
                <w:sz w:val="21"/>
                <w:szCs w:val="21"/>
                <w:highlight w:val="none"/>
                <w:lang w:val="en-US" w:eastAsia="zh-CN"/>
              </w:rPr>
            </w:pPr>
            <w:r>
              <w:rPr>
                <w:rFonts w:hint="eastAsia" w:ascii="Times New Roman" w:hAnsi="Times New Roman" w:cs="Times New Roman"/>
                <w:iCs/>
                <w:color w:val="auto"/>
                <w:sz w:val="21"/>
                <w:szCs w:val="21"/>
                <w:highlight w:val="none"/>
                <w:lang w:val="en-US" w:eastAsia="zh-CN"/>
              </w:rPr>
              <w:t>46.89</w:t>
            </w:r>
          </w:p>
        </w:tc>
      </w:tr>
      <w:tr w14:paraId="59DA8C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497" w:type="pct"/>
            <w:noWrap/>
            <w:vAlign w:val="center"/>
          </w:tcPr>
          <w:p w14:paraId="319CF6EB">
            <w:pPr>
              <w:pStyle w:val="63"/>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8</w:t>
            </w:r>
          </w:p>
        </w:tc>
        <w:tc>
          <w:tcPr>
            <w:tcW w:w="4575" w:type="dxa"/>
            <w:noWrap/>
            <w:vAlign w:val="center"/>
          </w:tcPr>
          <w:p w14:paraId="0F4CB55B">
            <w:pPr>
              <w:pStyle w:val="63"/>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收到基氢 Har</w:t>
            </w:r>
          </w:p>
        </w:tc>
        <w:tc>
          <w:tcPr>
            <w:tcW w:w="1091" w:type="pct"/>
            <w:noWrap/>
            <w:vAlign w:val="center"/>
          </w:tcPr>
          <w:p w14:paraId="3D371C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iCs/>
                <w:color w:val="auto"/>
                <w:sz w:val="21"/>
                <w:szCs w:val="21"/>
                <w:highlight w:val="none"/>
                <w:lang w:val="en-US" w:eastAsia="zh-CN"/>
              </w:rPr>
              <w:t>%</w:t>
            </w:r>
          </w:p>
        </w:tc>
        <w:tc>
          <w:tcPr>
            <w:tcW w:w="1726" w:type="dxa"/>
            <w:noWrap/>
            <w:vAlign w:val="center"/>
          </w:tcPr>
          <w:p w14:paraId="20E398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iCs/>
                <w:color w:val="auto"/>
                <w:sz w:val="21"/>
                <w:szCs w:val="21"/>
                <w:highlight w:val="none"/>
                <w:lang w:val="en-US" w:eastAsia="zh-CN"/>
              </w:rPr>
            </w:pPr>
            <w:r>
              <w:rPr>
                <w:rFonts w:hint="eastAsia" w:ascii="Times New Roman" w:hAnsi="Times New Roman" w:cs="Times New Roman"/>
                <w:iCs/>
                <w:color w:val="auto"/>
                <w:sz w:val="21"/>
                <w:szCs w:val="21"/>
                <w:highlight w:val="none"/>
                <w:lang w:val="en-US" w:eastAsia="zh-CN"/>
              </w:rPr>
              <w:t>2.94</w:t>
            </w:r>
          </w:p>
        </w:tc>
      </w:tr>
      <w:tr w14:paraId="6EDDC2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497" w:type="pct"/>
            <w:noWrap/>
            <w:vAlign w:val="center"/>
          </w:tcPr>
          <w:p w14:paraId="74F45851">
            <w:pPr>
              <w:pStyle w:val="63"/>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9</w:t>
            </w:r>
          </w:p>
        </w:tc>
        <w:tc>
          <w:tcPr>
            <w:tcW w:w="4575" w:type="dxa"/>
            <w:noWrap/>
            <w:vAlign w:val="center"/>
          </w:tcPr>
          <w:p w14:paraId="547FA412">
            <w:pPr>
              <w:pStyle w:val="63"/>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收到基氧 Oar</w:t>
            </w:r>
          </w:p>
        </w:tc>
        <w:tc>
          <w:tcPr>
            <w:tcW w:w="1091" w:type="pct"/>
            <w:noWrap/>
            <w:vAlign w:val="center"/>
          </w:tcPr>
          <w:p w14:paraId="7D066C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iCs/>
                <w:color w:val="auto"/>
                <w:sz w:val="21"/>
                <w:szCs w:val="21"/>
                <w:highlight w:val="none"/>
                <w:lang w:val="en-US" w:eastAsia="zh-CN"/>
              </w:rPr>
              <w:t>%</w:t>
            </w:r>
          </w:p>
        </w:tc>
        <w:tc>
          <w:tcPr>
            <w:tcW w:w="1726" w:type="dxa"/>
            <w:noWrap/>
            <w:vAlign w:val="center"/>
          </w:tcPr>
          <w:p w14:paraId="0F5E7C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iCs/>
                <w:color w:val="auto"/>
                <w:sz w:val="21"/>
                <w:szCs w:val="21"/>
                <w:highlight w:val="none"/>
                <w:lang w:val="en-US" w:eastAsia="zh-CN"/>
              </w:rPr>
            </w:pPr>
            <w:r>
              <w:rPr>
                <w:rFonts w:hint="eastAsia" w:ascii="Times New Roman" w:hAnsi="Times New Roman" w:cs="Times New Roman"/>
                <w:iCs/>
                <w:color w:val="auto"/>
                <w:sz w:val="21"/>
                <w:szCs w:val="21"/>
                <w:highlight w:val="none"/>
                <w:lang w:val="en-US" w:eastAsia="zh-CN"/>
              </w:rPr>
              <w:t>6.61</w:t>
            </w:r>
          </w:p>
        </w:tc>
      </w:tr>
      <w:tr w14:paraId="32F67A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7" w:type="pct"/>
            <w:noWrap/>
            <w:vAlign w:val="center"/>
          </w:tcPr>
          <w:p w14:paraId="3FAB1020">
            <w:pPr>
              <w:pStyle w:val="63"/>
              <w:rPr>
                <w:rFonts w:hint="default" w:ascii="Times New Roman" w:hAnsi="Times New Roman" w:eastAsia="宋体" w:cs="Times New Roman"/>
                <w:color w:val="auto"/>
                <w:highlight w:val="none"/>
                <w:lang w:val="en-US" w:eastAsia="zh-CN"/>
              </w:rPr>
            </w:pPr>
            <w:bookmarkStart w:id="223" w:name="_Toc535"/>
            <w:bookmarkStart w:id="224" w:name="_Toc18797"/>
            <w:bookmarkStart w:id="225" w:name="_Toc107238110"/>
            <w:bookmarkStart w:id="226" w:name="_Toc105659893"/>
            <w:r>
              <w:rPr>
                <w:rFonts w:hint="default" w:ascii="Times New Roman" w:hAnsi="Times New Roman" w:eastAsia="宋体" w:cs="Times New Roman"/>
                <w:color w:val="auto"/>
                <w:highlight w:val="none"/>
                <w:lang w:val="en-US" w:eastAsia="zh-CN"/>
              </w:rPr>
              <w:t>10</w:t>
            </w:r>
          </w:p>
        </w:tc>
        <w:tc>
          <w:tcPr>
            <w:tcW w:w="4575" w:type="dxa"/>
            <w:noWrap/>
            <w:vAlign w:val="center"/>
          </w:tcPr>
          <w:p w14:paraId="18375738">
            <w:pPr>
              <w:pStyle w:val="63"/>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收到基氮 Nar</w:t>
            </w:r>
          </w:p>
        </w:tc>
        <w:tc>
          <w:tcPr>
            <w:tcW w:w="1091" w:type="pct"/>
            <w:noWrap/>
            <w:vAlign w:val="center"/>
          </w:tcPr>
          <w:p w14:paraId="6F6B45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2"/>
                <w:highlight w:val="none"/>
                <w:lang w:val="en-US" w:eastAsia="zh-CN" w:bidi="ar-SA"/>
              </w:rPr>
            </w:pPr>
            <w:r>
              <w:rPr>
                <w:rFonts w:hint="default" w:ascii="Times New Roman" w:hAnsi="Times New Roman" w:cs="Times New Roman"/>
                <w:iCs/>
                <w:color w:val="auto"/>
                <w:sz w:val="21"/>
                <w:szCs w:val="21"/>
                <w:highlight w:val="none"/>
                <w:lang w:val="en-US" w:eastAsia="zh-CN"/>
              </w:rPr>
              <w:t>%</w:t>
            </w:r>
          </w:p>
        </w:tc>
        <w:tc>
          <w:tcPr>
            <w:tcW w:w="1726" w:type="dxa"/>
            <w:noWrap/>
            <w:vAlign w:val="center"/>
          </w:tcPr>
          <w:p w14:paraId="69D32171">
            <w:pPr>
              <w:keepNext w:val="0"/>
              <w:keepLines w:val="0"/>
              <w:pageBreakBefore w:val="0"/>
              <w:widowControl w:val="0"/>
              <w:tabs>
                <w:tab w:val="left" w:pos="470"/>
                <w:tab w:val="center" w:pos="814"/>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iCs/>
                <w:color w:val="auto"/>
                <w:sz w:val="21"/>
                <w:szCs w:val="21"/>
                <w:highlight w:val="none"/>
                <w:lang w:val="en-US" w:eastAsia="zh-CN"/>
              </w:rPr>
            </w:pPr>
            <w:r>
              <w:rPr>
                <w:rFonts w:hint="eastAsia" w:ascii="Times New Roman" w:hAnsi="Times New Roman" w:cs="Times New Roman"/>
                <w:iCs/>
                <w:color w:val="auto"/>
                <w:sz w:val="21"/>
                <w:szCs w:val="21"/>
                <w:highlight w:val="none"/>
                <w:lang w:val="en-US" w:eastAsia="zh-CN"/>
              </w:rPr>
              <w:t>0.48</w:t>
            </w:r>
          </w:p>
        </w:tc>
      </w:tr>
      <w:tr w14:paraId="71917A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97" w:type="pct"/>
            <w:noWrap/>
            <w:vAlign w:val="center"/>
          </w:tcPr>
          <w:p w14:paraId="0A0BFB76">
            <w:pPr>
              <w:pStyle w:val="63"/>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11</w:t>
            </w:r>
          </w:p>
        </w:tc>
        <w:tc>
          <w:tcPr>
            <w:tcW w:w="4575" w:type="dxa"/>
            <w:noWrap/>
            <w:vAlign w:val="center"/>
          </w:tcPr>
          <w:p w14:paraId="37D93817">
            <w:pPr>
              <w:pStyle w:val="63"/>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收到基全硫 St,ar</w:t>
            </w:r>
          </w:p>
        </w:tc>
        <w:tc>
          <w:tcPr>
            <w:tcW w:w="1091" w:type="pct"/>
            <w:noWrap/>
            <w:vAlign w:val="center"/>
          </w:tcPr>
          <w:p w14:paraId="4EAD4A48">
            <w:pPr>
              <w:pStyle w:val="63"/>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w:t>
            </w:r>
          </w:p>
        </w:tc>
        <w:tc>
          <w:tcPr>
            <w:tcW w:w="1726" w:type="dxa"/>
            <w:noWrap/>
            <w:vAlign w:val="center"/>
          </w:tcPr>
          <w:p w14:paraId="5381C1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iCs/>
                <w:color w:val="auto"/>
                <w:sz w:val="21"/>
                <w:szCs w:val="21"/>
                <w:highlight w:val="none"/>
                <w:lang w:val="en-US" w:eastAsia="zh-CN"/>
              </w:rPr>
            </w:pPr>
            <w:r>
              <w:rPr>
                <w:rFonts w:hint="eastAsia" w:ascii="Times New Roman" w:hAnsi="Times New Roman" w:cs="Times New Roman"/>
                <w:iCs/>
                <w:color w:val="auto"/>
                <w:sz w:val="21"/>
                <w:szCs w:val="21"/>
                <w:highlight w:val="none"/>
                <w:lang w:val="en-US" w:eastAsia="zh-CN"/>
              </w:rPr>
              <w:t>0.23</w:t>
            </w:r>
          </w:p>
        </w:tc>
      </w:tr>
      <w:tr w14:paraId="0374F2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97" w:type="pct"/>
            <w:noWrap/>
            <w:vAlign w:val="center"/>
          </w:tcPr>
          <w:p w14:paraId="6C5955B7">
            <w:pPr>
              <w:pStyle w:val="63"/>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12</w:t>
            </w:r>
          </w:p>
        </w:tc>
        <w:tc>
          <w:tcPr>
            <w:tcW w:w="4575" w:type="dxa"/>
            <w:noWrap/>
            <w:vAlign w:val="center"/>
          </w:tcPr>
          <w:p w14:paraId="682400E6">
            <w:pPr>
              <w:pStyle w:val="63"/>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收到基汞Hgar</w:t>
            </w:r>
          </w:p>
        </w:tc>
        <w:tc>
          <w:tcPr>
            <w:tcW w:w="2017" w:type="dxa"/>
            <w:noWrap/>
            <w:vAlign w:val="center"/>
          </w:tcPr>
          <w:p w14:paraId="155731C5">
            <w:pPr>
              <w:pStyle w:val="63"/>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µg/g</w:t>
            </w:r>
          </w:p>
        </w:tc>
        <w:tc>
          <w:tcPr>
            <w:tcW w:w="1726" w:type="dxa"/>
            <w:noWrap/>
            <w:vAlign w:val="center"/>
          </w:tcPr>
          <w:p w14:paraId="0324F9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iCs/>
                <w:color w:val="auto"/>
                <w:sz w:val="21"/>
                <w:szCs w:val="21"/>
                <w:highlight w:val="none"/>
                <w:lang w:val="en-US" w:eastAsia="zh-CN"/>
              </w:rPr>
            </w:pPr>
            <w:r>
              <w:rPr>
                <w:rFonts w:hint="eastAsia" w:ascii="Times New Roman" w:hAnsi="Times New Roman" w:cs="Times New Roman"/>
                <w:iCs/>
                <w:color w:val="auto"/>
                <w:sz w:val="21"/>
                <w:szCs w:val="21"/>
                <w:highlight w:val="none"/>
                <w:lang w:val="en-US" w:eastAsia="zh-CN"/>
              </w:rPr>
              <w:t>0.146</w:t>
            </w:r>
          </w:p>
        </w:tc>
      </w:tr>
    </w:tbl>
    <w:p w14:paraId="22C5AA1B">
      <w:pPr>
        <w:pStyle w:val="4"/>
        <w:numPr>
          <w:ilvl w:val="1"/>
          <w:numId w:val="3"/>
        </w:numPr>
        <w:bidi w:val="0"/>
        <w:ind w:left="567" w:leftChars="0" w:hanging="567" w:firstLineChars="0"/>
        <w:rPr>
          <w:rFonts w:hint="default" w:ascii="Times New Roman" w:hAnsi="Times New Roman" w:eastAsia="宋体" w:cs="Times New Roman"/>
          <w:b/>
          <w:bCs/>
          <w:color w:val="auto"/>
          <w:highlight w:val="none"/>
        </w:rPr>
      </w:pPr>
      <w:bookmarkStart w:id="227" w:name="_Toc1169"/>
      <w:r>
        <w:rPr>
          <w:rFonts w:hint="default" w:ascii="Times New Roman" w:hAnsi="Times New Roman" w:eastAsia="宋体" w:cs="Times New Roman"/>
          <w:b/>
          <w:bCs/>
          <w:color w:val="auto"/>
          <w:highlight w:val="none"/>
        </w:rPr>
        <w:t>辅助材料</w:t>
      </w:r>
      <w:bookmarkEnd w:id="223"/>
      <w:bookmarkEnd w:id="224"/>
      <w:bookmarkEnd w:id="225"/>
      <w:bookmarkEnd w:id="226"/>
      <w:bookmarkEnd w:id="227"/>
    </w:p>
    <w:p w14:paraId="47B894E5">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本项目原辅材料消耗见表3.</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w:t>
      </w:r>
    </w:p>
    <w:p w14:paraId="191AC8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表3.</w:t>
      </w:r>
      <w:r>
        <w:rPr>
          <w:rFonts w:hint="default" w:ascii="Times New Roman" w:hAnsi="Times New Roman" w:eastAsia="宋体" w:cs="Times New Roman"/>
          <w:color w:val="auto"/>
          <w:highlight w:val="none"/>
          <w:lang w:val="en-US" w:eastAsia="zh-CN"/>
        </w:rPr>
        <w:t>4-1</w:t>
      </w:r>
      <w:r>
        <w:rPr>
          <w:rFonts w:hint="default" w:ascii="Times New Roman" w:hAnsi="Times New Roman" w:eastAsia="宋体" w:cs="Times New Roman"/>
          <w:color w:val="auto"/>
          <w:highlight w:val="none"/>
        </w:rPr>
        <w:t>原辅材料消耗一览表</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76"/>
        <w:gridCol w:w="1146"/>
        <w:gridCol w:w="1051"/>
        <w:gridCol w:w="1156"/>
        <w:gridCol w:w="4493"/>
      </w:tblGrid>
      <w:tr w14:paraId="48FE66A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737" w:type="dxa"/>
            <w:noWrap w:val="0"/>
            <w:vAlign w:val="center"/>
          </w:tcPr>
          <w:p w14:paraId="6540D52F">
            <w:pPr>
              <w:pStyle w:val="63"/>
              <w:rPr>
                <w:rFonts w:hint="default" w:ascii="Times New Roman" w:hAnsi="Times New Roman" w:eastAsia="宋体" w:cs="Times New Roman"/>
                <w:color w:val="auto"/>
                <w:highlight w:val="none"/>
                <w:lang w:val="en-US" w:eastAsia="zh-CN"/>
              </w:rPr>
            </w:pPr>
            <w:bookmarkStart w:id="228" w:name="_Toc105659894"/>
            <w:bookmarkStart w:id="229" w:name="_Toc107238111"/>
            <w:r>
              <w:rPr>
                <w:rFonts w:hint="default" w:ascii="Times New Roman" w:hAnsi="Times New Roman" w:eastAsia="宋体" w:cs="Times New Roman"/>
                <w:color w:val="auto"/>
                <w:highlight w:val="none"/>
                <w:lang w:val="en-US" w:eastAsia="zh-CN"/>
              </w:rPr>
              <w:t>序号</w:t>
            </w:r>
          </w:p>
        </w:tc>
        <w:tc>
          <w:tcPr>
            <w:tcW w:w="1249" w:type="dxa"/>
            <w:noWrap w:val="0"/>
            <w:vAlign w:val="center"/>
          </w:tcPr>
          <w:p w14:paraId="5C854580">
            <w:pPr>
              <w:pStyle w:val="63"/>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名称</w:t>
            </w:r>
          </w:p>
        </w:tc>
        <w:tc>
          <w:tcPr>
            <w:tcW w:w="1145" w:type="dxa"/>
            <w:noWrap w:val="0"/>
            <w:vAlign w:val="center"/>
          </w:tcPr>
          <w:p w14:paraId="616530C8">
            <w:pPr>
              <w:pStyle w:val="63"/>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单位</w:t>
            </w:r>
          </w:p>
        </w:tc>
        <w:tc>
          <w:tcPr>
            <w:tcW w:w="1260" w:type="dxa"/>
            <w:noWrap w:val="0"/>
            <w:vAlign w:val="center"/>
          </w:tcPr>
          <w:p w14:paraId="1AA706B5">
            <w:pPr>
              <w:pStyle w:val="63"/>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用量</w:t>
            </w:r>
          </w:p>
        </w:tc>
        <w:tc>
          <w:tcPr>
            <w:tcW w:w="4897" w:type="dxa"/>
            <w:noWrap w:val="0"/>
            <w:vAlign w:val="center"/>
          </w:tcPr>
          <w:p w14:paraId="2BF9987F">
            <w:pPr>
              <w:pStyle w:val="63"/>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备注</w:t>
            </w:r>
          </w:p>
        </w:tc>
      </w:tr>
      <w:tr w14:paraId="5D007ED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737" w:type="dxa"/>
            <w:noWrap w:val="0"/>
            <w:vAlign w:val="center"/>
          </w:tcPr>
          <w:p w14:paraId="11179BFD">
            <w:pPr>
              <w:pStyle w:val="63"/>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w:t>
            </w:r>
          </w:p>
        </w:tc>
        <w:tc>
          <w:tcPr>
            <w:tcW w:w="1249" w:type="dxa"/>
            <w:noWrap w:val="0"/>
            <w:vAlign w:val="center"/>
          </w:tcPr>
          <w:p w14:paraId="213D12B9">
            <w:pPr>
              <w:pStyle w:val="63"/>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木材</w:t>
            </w:r>
          </w:p>
        </w:tc>
        <w:tc>
          <w:tcPr>
            <w:tcW w:w="1145" w:type="dxa"/>
            <w:noWrap w:val="0"/>
            <w:vAlign w:val="center"/>
          </w:tcPr>
          <w:p w14:paraId="0B254E13">
            <w:pPr>
              <w:pStyle w:val="63"/>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t/次</w:t>
            </w:r>
          </w:p>
        </w:tc>
        <w:tc>
          <w:tcPr>
            <w:tcW w:w="1260" w:type="dxa"/>
            <w:noWrap w:val="0"/>
            <w:vAlign w:val="center"/>
          </w:tcPr>
          <w:p w14:paraId="413B2C3D">
            <w:pPr>
              <w:pStyle w:val="63"/>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w:t>
            </w:r>
          </w:p>
        </w:tc>
        <w:tc>
          <w:tcPr>
            <w:tcW w:w="4897" w:type="dxa"/>
            <w:noWrap w:val="0"/>
            <w:vAlign w:val="center"/>
          </w:tcPr>
          <w:p w14:paraId="2C50112D">
            <w:pPr>
              <w:pStyle w:val="63"/>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不储存，现用现买</w:t>
            </w:r>
          </w:p>
        </w:tc>
      </w:tr>
      <w:tr w14:paraId="6C9FD23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737" w:type="dxa"/>
            <w:noWrap w:val="0"/>
            <w:vAlign w:val="center"/>
          </w:tcPr>
          <w:p w14:paraId="596A193E">
            <w:pPr>
              <w:pStyle w:val="63"/>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w:t>
            </w:r>
          </w:p>
        </w:tc>
        <w:tc>
          <w:tcPr>
            <w:tcW w:w="1249" w:type="dxa"/>
            <w:noWrap w:val="0"/>
            <w:vAlign w:val="center"/>
          </w:tcPr>
          <w:p w14:paraId="307F77EC">
            <w:pPr>
              <w:pStyle w:val="63"/>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尿素</w:t>
            </w:r>
          </w:p>
        </w:tc>
        <w:tc>
          <w:tcPr>
            <w:tcW w:w="1145" w:type="dxa"/>
            <w:noWrap w:val="0"/>
            <w:vAlign w:val="center"/>
          </w:tcPr>
          <w:p w14:paraId="267D67A2">
            <w:pPr>
              <w:pStyle w:val="63"/>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t/a</w:t>
            </w:r>
          </w:p>
        </w:tc>
        <w:tc>
          <w:tcPr>
            <w:tcW w:w="1260" w:type="dxa"/>
            <w:noWrap w:val="0"/>
            <w:vAlign w:val="center"/>
          </w:tcPr>
          <w:p w14:paraId="3ADFC22A">
            <w:pPr>
              <w:pStyle w:val="63"/>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78</w:t>
            </w:r>
          </w:p>
        </w:tc>
        <w:tc>
          <w:tcPr>
            <w:tcW w:w="4897" w:type="dxa"/>
            <w:noWrap w:val="0"/>
            <w:vAlign w:val="center"/>
          </w:tcPr>
          <w:p w14:paraId="396F3EDC">
            <w:pPr>
              <w:pStyle w:val="63"/>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sz w:val="21"/>
                <w:szCs w:val="21"/>
                <w:highlight w:val="none"/>
                <w:lang w:val="en-US" w:eastAsia="zh-CN"/>
              </w:rPr>
              <w:t>外购储存于尿素仓库中，</w:t>
            </w:r>
            <w:r>
              <w:rPr>
                <w:rFonts w:hint="eastAsia" w:ascii="Times New Roman" w:hAnsi="Times New Roman" w:eastAsia="宋体" w:cs="Times New Roman"/>
                <w:color w:val="auto"/>
                <w:sz w:val="21"/>
                <w:szCs w:val="21"/>
                <w:highlight w:val="none"/>
                <w:lang w:val="en-US" w:eastAsia="zh-CN"/>
              </w:rPr>
              <w:t>储存</w:t>
            </w:r>
            <w:r>
              <w:rPr>
                <w:rFonts w:hint="default" w:ascii="Times New Roman" w:hAnsi="Times New Roman" w:eastAsia="宋体" w:cs="Times New Roman"/>
                <w:color w:val="auto"/>
                <w:sz w:val="21"/>
                <w:szCs w:val="21"/>
                <w:highlight w:val="none"/>
                <w:lang w:val="en-US" w:eastAsia="zh-CN"/>
              </w:rPr>
              <w:t>面积为</w:t>
            </w:r>
            <w:r>
              <w:rPr>
                <w:rFonts w:hint="eastAsia" w:ascii="Times New Roman" w:hAnsi="Times New Roman" w:eastAsia="宋体" w:cs="Times New Roman"/>
                <w:color w:val="auto"/>
                <w:sz w:val="21"/>
                <w:szCs w:val="21"/>
                <w:highlight w:val="none"/>
                <w:lang w:val="en-US" w:eastAsia="zh-CN"/>
              </w:rPr>
              <w:t>50</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2</w:t>
            </w:r>
            <w:r>
              <w:rPr>
                <w:rFonts w:hint="eastAsia" w:ascii="Times New Roman" w:hAnsi="Times New Roman" w:eastAsia="宋体" w:cs="Times New Roman"/>
                <w:color w:val="auto"/>
                <w:sz w:val="21"/>
                <w:szCs w:val="21"/>
                <w:highlight w:val="none"/>
                <w:vertAlign w:val="baseline"/>
                <w:lang w:val="en-US" w:eastAsia="zh-CN"/>
              </w:rPr>
              <w:t>。</w:t>
            </w:r>
          </w:p>
        </w:tc>
      </w:tr>
      <w:tr w14:paraId="7F31595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737" w:type="dxa"/>
            <w:noWrap w:val="0"/>
            <w:vAlign w:val="center"/>
          </w:tcPr>
          <w:p w14:paraId="5A4F26F0">
            <w:pPr>
              <w:pStyle w:val="63"/>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w:t>
            </w:r>
          </w:p>
        </w:tc>
        <w:tc>
          <w:tcPr>
            <w:tcW w:w="1249" w:type="dxa"/>
            <w:noWrap w:val="0"/>
            <w:vAlign w:val="center"/>
          </w:tcPr>
          <w:p w14:paraId="01435C72">
            <w:pPr>
              <w:pStyle w:val="63"/>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highlight w:val="none"/>
                <w:lang w:val="en-US" w:eastAsia="zh-CN"/>
              </w:rPr>
              <w:t>生石灰</w:t>
            </w:r>
          </w:p>
        </w:tc>
        <w:tc>
          <w:tcPr>
            <w:tcW w:w="1145" w:type="dxa"/>
            <w:noWrap w:val="0"/>
            <w:vAlign w:val="center"/>
          </w:tcPr>
          <w:p w14:paraId="086ADFAE">
            <w:pPr>
              <w:pStyle w:val="63"/>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highlight w:val="none"/>
                <w:lang w:val="en-US" w:eastAsia="zh-CN"/>
              </w:rPr>
              <w:t>t/a</w:t>
            </w:r>
          </w:p>
        </w:tc>
        <w:tc>
          <w:tcPr>
            <w:tcW w:w="1260" w:type="dxa"/>
            <w:noWrap w:val="0"/>
            <w:vAlign w:val="center"/>
          </w:tcPr>
          <w:p w14:paraId="541984B6">
            <w:pPr>
              <w:pStyle w:val="63"/>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highlight w:val="none"/>
                <w:lang w:val="en-US" w:eastAsia="zh-CN"/>
              </w:rPr>
              <w:t>47</w:t>
            </w:r>
          </w:p>
        </w:tc>
        <w:tc>
          <w:tcPr>
            <w:tcW w:w="4897" w:type="dxa"/>
            <w:noWrap w:val="0"/>
            <w:vAlign w:val="center"/>
          </w:tcPr>
          <w:p w14:paraId="30A0849C">
            <w:pPr>
              <w:pStyle w:val="63"/>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座</w:t>
            </w:r>
            <w:r>
              <w:rPr>
                <w:rFonts w:hint="eastAsia" w:ascii="Times New Roman" w:hAnsi="Times New Roman" w:eastAsia="宋体" w:cs="Times New Roman"/>
                <w:color w:val="auto"/>
                <w:sz w:val="21"/>
                <w:szCs w:val="21"/>
                <w:highlight w:val="none"/>
                <w:lang w:eastAsia="zh-CN"/>
              </w:rPr>
              <w:t>生石灰粉仓</w:t>
            </w:r>
            <w:r>
              <w:rPr>
                <w:rFonts w:hint="default"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eastAsia="zh-CN"/>
              </w:rPr>
              <w:t>容积</w:t>
            </w:r>
            <w:r>
              <w:rPr>
                <w:rFonts w:hint="eastAsia" w:ascii="Times New Roman" w:hAnsi="Times New Roman" w:eastAsia="宋体" w:cs="Times New Roman"/>
                <w:color w:val="auto"/>
                <w:sz w:val="21"/>
                <w:szCs w:val="21"/>
                <w:highlight w:val="none"/>
                <w:lang w:val="en-US" w:eastAsia="zh-CN"/>
              </w:rPr>
              <w:t>100m</w:t>
            </w:r>
            <w:r>
              <w:rPr>
                <w:rFonts w:hint="eastAsia" w:ascii="Times New Roman" w:hAnsi="Times New Roman" w:eastAsia="宋体" w:cs="Times New Roman"/>
                <w:color w:val="auto"/>
                <w:sz w:val="21"/>
                <w:szCs w:val="21"/>
                <w:highlight w:val="none"/>
                <w:vertAlign w:val="superscript"/>
                <w:lang w:val="en-US" w:eastAsia="zh-CN"/>
              </w:rPr>
              <w:t>3</w:t>
            </w:r>
          </w:p>
        </w:tc>
      </w:tr>
      <w:tr w14:paraId="05B3234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737" w:type="dxa"/>
            <w:noWrap w:val="0"/>
            <w:vAlign w:val="center"/>
          </w:tcPr>
          <w:p w14:paraId="1FA2F9D0">
            <w:pPr>
              <w:pStyle w:val="63"/>
              <w:rPr>
                <w:rFonts w:hint="default" w:ascii="Times New Roman" w:hAnsi="Times New Roman" w:eastAsia="宋体" w:cs="Times New Roman"/>
                <w:color w:val="auto"/>
                <w:highlight w:val="none"/>
                <w:lang w:val="en-US" w:eastAsia="zh-CN"/>
              </w:rPr>
            </w:pPr>
            <w:bookmarkStart w:id="230" w:name="_Toc22160"/>
            <w:bookmarkStart w:id="231" w:name="_Toc15515"/>
            <w:r>
              <w:rPr>
                <w:rFonts w:hint="eastAsia" w:ascii="Times New Roman" w:hAnsi="Times New Roman" w:eastAsia="宋体" w:cs="Times New Roman"/>
                <w:color w:val="auto"/>
                <w:highlight w:val="none"/>
                <w:lang w:val="en-US" w:eastAsia="zh-CN"/>
              </w:rPr>
              <w:t>4</w:t>
            </w:r>
          </w:p>
        </w:tc>
        <w:tc>
          <w:tcPr>
            <w:tcW w:w="1249" w:type="dxa"/>
            <w:noWrap w:val="0"/>
            <w:vAlign w:val="center"/>
          </w:tcPr>
          <w:p w14:paraId="647CF1A9">
            <w:pPr>
              <w:pStyle w:val="63"/>
              <w:ind w:firstLine="0" w:firstLineChars="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碳酸氢铵</w:t>
            </w:r>
          </w:p>
        </w:tc>
        <w:tc>
          <w:tcPr>
            <w:tcW w:w="1145" w:type="dxa"/>
            <w:noWrap w:val="0"/>
            <w:vAlign w:val="center"/>
          </w:tcPr>
          <w:p w14:paraId="33619CB8">
            <w:pPr>
              <w:pStyle w:val="63"/>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t/a</w:t>
            </w:r>
          </w:p>
        </w:tc>
        <w:tc>
          <w:tcPr>
            <w:tcW w:w="1260" w:type="dxa"/>
            <w:noWrap w:val="0"/>
            <w:vAlign w:val="center"/>
          </w:tcPr>
          <w:p w14:paraId="3D24ED70">
            <w:pPr>
              <w:pStyle w:val="63"/>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56.12</w:t>
            </w:r>
          </w:p>
        </w:tc>
        <w:tc>
          <w:tcPr>
            <w:tcW w:w="4897" w:type="dxa"/>
            <w:noWrap w:val="0"/>
            <w:vAlign w:val="center"/>
          </w:tcPr>
          <w:p w14:paraId="6C439AAE">
            <w:pPr>
              <w:pStyle w:val="63"/>
              <w:ind w:firstLine="0" w:firstLineChars="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氨法脱硫药剂</w:t>
            </w:r>
          </w:p>
        </w:tc>
      </w:tr>
      <w:tr w14:paraId="6849672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737" w:type="dxa"/>
            <w:noWrap w:val="0"/>
            <w:vAlign w:val="center"/>
          </w:tcPr>
          <w:p w14:paraId="1F445B6A">
            <w:pPr>
              <w:pStyle w:val="63"/>
              <w:rPr>
                <w:rFonts w:hint="default" w:ascii="Times New Roman" w:hAnsi="Times New Roman" w:eastAsia="宋体" w:cs="Times New Roman"/>
                <w:color w:val="auto"/>
                <w:highlight w:val="none"/>
                <w:lang w:val="en-US" w:eastAsia="zh-CN"/>
              </w:rPr>
            </w:pPr>
            <w:bookmarkStart w:id="232" w:name="_Toc19406"/>
            <w:r>
              <w:rPr>
                <w:rFonts w:hint="eastAsia" w:ascii="Times New Roman" w:hAnsi="Times New Roman" w:eastAsia="宋体" w:cs="Times New Roman"/>
                <w:color w:val="auto"/>
                <w:highlight w:val="none"/>
                <w:lang w:val="en-US" w:eastAsia="zh-CN"/>
              </w:rPr>
              <w:t>5</w:t>
            </w:r>
          </w:p>
        </w:tc>
        <w:tc>
          <w:tcPr>
            <w:tcW w:w="1249" w:type="dxa"/>
            <w:noWrap w:val="0"/>
            <w:vAlign w:val="center"/>
          </w:tcPr>
          <w:p w14:paraId="64C402FF">
            <w:pPr>
              <w:pStyle w:val="63"/>
              <w:ind w:firstLine="0" w:firstLineChars="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亚氯酸钠</w:t>
            </w:r>
          </w:p>
        </w:tc>
        <w:tc>
          <w:tcPr>
            <w:tcW w:w="1145" w:type="dxa"/>
            <w:noWrap w:val="0"/>
            <w:vAlign w:val="center"/>
          </w:tcPr>
          <w:p w14:paraId="07500097">
            <w:pPr>
              <w:pStyle w:val="63"/>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t/a</w:t>
            </w:r>
          </w:p>
        </w:tc>
        <w:tc>
          <w:tcPr>
            <w:tcW w:w="1260" w:type="dxa"/>
            <w:noWrap w:val="0"/>
            <w:vAlign w:val="center"/>
          </w:tcPr>
          <w:p w14:paraId="5B372E0F">
            <w:pPr>
              <w:pStyle w:val="63"/>
              <w:ind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31.84</w:t>
            </w:r>
          </w:p>
        </w:tc>
        <w:tc>
          <w:tcPr>
            <w:tcW w:w="4897" w:type="dxa"/>
            <w:noWrap w:val="0"/>
            <w:vAlign w:val="center"/>
          </w:tcPr>
          <w:p w14:paraId="23A6052A">
            <w:pPr>
              <w:pStyle w:val="63"/>
              <w:ind w:firstLine="0" w:firstLineChars="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脱硝药剂</w:t>
            </w:r>
          </w:p>
        </w:tc>
      </w:tr>
    </w:tbl>
    <w:p w14:paraId="4B244092">
      <w:pPr>
        <w:pStyle w:val="4"/>
        <w:numPr>
          <w:ilvl w:val="1"/>
          <w:numId w:val="3"/>
        </w:numPr>
        <w:bidi w:val="0"/>
        <w:ind w:left="567" w:leftChars="0" w:hanging="567" w:firstLineChars="0"/>
        <w:rPr>
          <w:rFonts w:hint="default" w:ascii="Times New Roman" w:hAnsi="Times New Roman" w:eastAsia="宋体" w:cs="Times New Roman"/>
          <w:b/>
          <w:bCs/>
          <w:color w:val="auto"/>
          <w:highlight w:val="none"/>
        </w:rPr>
      </w:pPr>
      <w:r>
        <w:rPr>
          <w:rFonts w:hint="eastAsia" w:ascii="Times New Roman" w:hAnsi="Times New Roman" w:cs="Times New Roman"/>
          <w:b/>
          <w:bCs/>
          <w:color w:val="auto"/>
          <w:highlight w:val="none"/>
          <w:lang w:val="en-US" w:eastAsia="zh-CN"/>
        </w:rPr>
        <w:t>锅炉运行方案</w:t>
      </w:r>
    </w:p>
    <w:p w14:paraId="2E048B28">
      <w:pPr>
        <w:pStyle w:val="5"/>
        <w:rPr>
          <w:rFonts w:hint="eastAsia" w:cs="Times New Roman"/>
          <w:b w:val="0"/>
          <w:bCs w:val="0"/>
          <w:color w:val="FF0000"/>
          <w:highlight w:val="none"/>
          <w:lang w:val="en-US" w:eastAsia="zh-CN"/>
        </w:rPr>
      </w:pPr>
      <w:r>
        <w:rPr>
          <w:rFonts w:hint="eastAsia" w:cs="Times New Roman"/>
          <w:b w:val="0"/>
          <w:bCs w:val="0"/>
          <w:color w:val="FF0000"/>
          <w:highlight w:val="none"/>
          <w:lang w:val="en-US" w:eastAsia="zh-CN"/>
        </w:rPr>
        <w:t>本项目建成后厂区内共有5台锅炉，分别为2台240t/h高温高压流化床锅炉（1#锅炉和2#锅炉）配备1×50MW（1#发电机组）＋1×25MW（2#发电机组）背压汽轮发电机组用于供热和供电（仅供暖期运行，非供暖期电能外购），1台154MW循环流化床热水锅炉（3#锅炉），1台116MW循环流化床热水锅炉（4#锅炉）为供暖锅炉和1台58MW往复炉排热水锅炉作为调峰锅炉（5#锅炉）。</w:t>
      </w:r>
    </w:p>
    <w:p w14:paraId="0950D2F4">
      <w:pPr>
        <w:pStyle w:val="5"/>
        <w:rPr>
          <w:rFonts w:hint="default"/>
          <w:b w:val="0"/>
          <w:bCs w:val="0"/>
          <w:color w:val="FF0000"/>
          <w:highlight w:val="none"/>
          <w:lang w:val="en-US"/>
        </w:rPr>
      </w:pPr>
      <w:r>
        <w:rPr>
          <w:rFonts w:hint="eastAsia" w:cs="Times New Roman"/>
          <w:b w:val="0"/>
          <w:bCs w:val="0"/>
          <w:color w:val="FF0000"/>
          <w:highlight w:val="none"/>
          <w:lang w:val="en-US" w:eastAsia="zh-CN"/>
        </w:rPr>
        <w:t>供暖期开始启动1#锅炉，随着室外温度降低依次启动2#锅炉、4#锅炉和5#锅炉。3#锅炉完成超低改造后将其作为厂区的备用热源。</w:t>
      </w:r>
    </w:p>
    <w:p w14:paraId="0B904364">
      <w:pPr>
        <w:pStyle w:val="4"/>
        <w:numPr>
          <w:ilvl w:val="1"/>
          <w:numId w:val="3"/>
        </w:numPr>
        <w:bidi w:val="0"/>
        <w:ind w:left="567" w:leftChars="0" w:hanging="567" w:firstLineChars="0"/>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锅炉生产工艺</w:t>
      </w:r>
      <w:bookmarkEnd w:id="230"/>
      <w:bookmarkEnd w:id="232"/>
    </w:p>
    <w:p w14:paraId="6656AB32">
      <w:pPr>
        <w:pStyle w:val="6"/>
        <w:numPr>
          <w:ilvl w:val="2"/>
          <w:numId w:val="3"/>
        </w:numPr>
        <w:bidi w:val="0"/>
        <w:ind w:left="709" w:leftChars="0" w:hanging="709" w:firstLineChars="0"/>
        <w:rPr>
          <w:rFonts w:hint="default" w:ascii="Times New Roman" w:hAnsi="Times New Roman" w:eastAsia="宋体" w:cs="Times New Roman"/>
          <w:color w:val="auto"/>
          <w:highlight w:val="none"/>
        </w:rPr>
      </w:pPr>
      <w:bookmarkStart w:id="233" w:name="_Toc21769"/>
      <w:bookmarkStart w:id="234" w:name="_Toc10998"/>
      <w:bookmarkStart w:id="235" w:name="_Toc15139"/>
      <w:r>
        <w:rPr>
          <w:rFonts w:hint="default" w:ascii="Times New Roman" w:hAnsi="Times New Roman" w:eastAsia="宋体" w:cs="Times New Roman"/>
          <w:color w:val="auto"/>
          <w:highlight w:val="none"/>
          <w:lang w:val="en-US" w:eastAsia="zh-CN"/>
        </w:rPr>
        <w:t>燃料</w:t>
      </w:r>
      <w:r>
        <w:rPr>
          <w:rFonts w:hint="default" w:ascii="Times New Roman" w:hAnsi="Times New Roman" w:eastAsia="宋体" w:cs="Times New Roman"/>
          <w:color w:val="auto"/>
          <w:highlight w:val="none"/>
        </w:rPr>
        <w:t>上料系统</w:t>
      </w:r>
      <w:bookmarkEnd w:id="233"/>
      <w:bookmarkEnd w:id="234"/>
      <w:bookmarkEnd w:id="235"/>
    </w:p>
    <w:p w14:paraId="59D80B4E">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eastAsia" w:ascii="Times New Roman" w:hAnsi="Times New Roman" w:cs="Times New Roman"/>
          <w:color w:val="auto"/>
          <w:highlight w:val="none"/>
          <w:lang w:eastAsia="zh-CN"/>
        </w:rPr>
        <w:t>卸煤及贮煤系统</w:t>
      </w:r>
    </w:p>
    <w:p w14:paraId="56347560">
      <w:pPr>
        <w:bidi w:val="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锅炉房燃煤采用</w:t>
      </w:r>
      <w:r>
        <w:rPr>
          <w:rFonts w:hint="eastAsia" w:ascii="Times New Roman" w:hAnsi="Times New Roman" w:eastAsia="宋体" w:cs="Times New Roman"/>
          <w:color w:val="auto"/>
          <w:sz w:val="24"/>
          <w:szCs w:val="24"/>
          <w:highlight w:val="none"/>
          <w:lang w:val="en-US" w:eastAsia="zh-CN"/>
        </w:rPr>
        <w:t>公路</w:t>
      </w:r>
      <w:r>
        <w:rPr>
          <w:rFonts w:hint="default" w:ascii="Times New Roman" w:hAnsi="Times New Roman" w:eastAsia="宋体" w:cs="Times New Roman"/>
          <w:color w:val="auto"/>
          <w:sz w:val="24"/>
          <w:szCs w:val="24"/>
          <w:highlight w:val="none"/>
          <w:lang w:val="en-US" w:eastAsia="zh-CN"/>
        </w:rPr>
        <w:t>运输，厂内</w:t>
      </w:r>
      <w:r>
        <w:rPr>
          <w:rFonts w:hint="eastAsia" w:ascii="Times New Roman" w:hAnsi="Times New Roman" w:eastAsia="宋体" w:cs="Times New Roman"/>
          <w:color w:val="auto"/>
          <w:sz w:val="24"/>
          <w:szCs w:val="24"/>
          <w:highlight w:val="none"/>
          <w:lang w:val="en-US" w:eastAsia="zh-CN"/>
        </w:rPr>
        <w:t>设置铲车，</w:t>
      </w:r>
      <w:r>
        <w:rPr>
          <w:rFonts w:hint="default" w:ascii="Times New Roman" w:hAnsi="Times New Roman" w:eastAsia="宋体" w:cs="Times New Roman"/>
          <w:color w:val="auto"/>
          <w:sz w:val="24"/>
          <w:szCs w:val="24"/>
          <w:highlight w:val="none"/>
          <w:lang w:val="en-US" w:eastAsia="zh-CN"/>
        </w:rPr>
        <w:t>厂区设贮煤场。</w:t>
      </w:r>
    </w:p>
    <w:p w14:paraId="644271D7">
      <w:pPr>
        <w:bidi w:val="0"/>
        <w:rPr>
          <w:rFonts w:hint="default" w:ascii="Times New Roman" w:hAnsi="Times New Roman" w:eastAsia="宋体" w:cs="Times New Roman"/>
          <w:color w:val="auto"/>
          <w:sz w:val="24"/>
          <w:szCs w:val="24"/>
          <w:highlight w:val="none"/>
          <w:lang w:val="en-US" w:eastAsia="zh-CN"/>
        </w:rPr>
      </w:pPr>
      <w:bookmarkStart w:id="236" w:name="OLE_LINK22"/>
      <w:bookmarkStart w:id="237" w:name="OLE_LINK10"/>
      <w:bookmarkStart w:id="238" w:name="OLE_LINK27"/>
      <w:r>
        <w:rPr>
          <w:rFonts w:hint="default" w:ascii="Times New Roman" w:hAnsi="Times New Roman" w:eastAsia="宋体" w:cs="Times New Roman"/>
          <w:color w:val="auto"/>
          <w:sz w:val="24"/>
          <w:szCs w:val="24"/>
          <w:highlight w:val="none"/>
          <w:lang w:val="en-US" w:eastAsia="zh-CN"/>
        </w:rPr>
        <w:t>本项目厂区东北侧有贮煤场一处，占地</w:t>
      </w:r>
      <w:r>
        <w:rPr>
          <w:rFonts w:hint="eastAsia" w:ascii="Times New Roman" w:hAnsi="Times New Roman" w:eastAsia="宋体" w:cs="Times New Roman"/>
          <w:color w:val="auto"/>
          <w:sz w:val="24"/>
          <w:szCs w:val="24"/>
          <w:highlight w:val="none"/>
          <w:lang w:val="en-US" w:eastAsia="zh-CN"/>
        </w:rPr>
        <w:t>15320</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堆高10m</w:t>
      </w:r>
      <w:r>
        <w:rPr>
          <w:rFonts w:hint="default" w:ascii="Times New Roman" w:hAnsi="Times New Roman" w:eastAsia="宋体" w:cs="Times New Roman"/>
          <w:color w:val="auto"/>
          <w:sz w:val="24"/>
          <w:szCs w:val="24"/>
          <w:highlight w:val="none"/>
          <w:lang w:val="en-US" w:eastAsia="zh-CN"/>
        </w:rPr>
        <w:t>，贮煤能力为</w:t>
      </w:r>
      <w:r>
        <w:rPr>
          <w:rFonts w:hint="eastAsia" w:ascii="Times New Roman" w:hAnsi="Times New Roman" w:eastAsia="宋体"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lang w:val="en-US" w:eastAsia="zh-CN"/>
        </w:rPr>
        <w:t>万吨，</w:t>
      </w:r>
      <w:bookmarkStart w:id="239" w:name="OLE_LINK69"/>
      <w:bookmarkStart w:id="240" w:name="OLE_LINK70"/>
      <w:bookmarkStart w:id="241" w:name="OLE_LINK1"/>
      <w:bookmarkStart w:id="242" w:name="OLE_LINK9"/>
      <w:r>
        <w:rPr>
          <w:rFonts w:hint="eastAsia" w:ascii="Times New Roman" w:hAnsi="Times New Roman" w:eastAsia="宋体" w:cs="Times New Roman"/>
          <w:color w:val="auto"/>
          <w:sz w:val="24"/>
          <w:szCs w:val="24"/>
          <w:highlight w:val="none"/>
          <w:lang w:val="en-US" w:eastAsia="zh-CN"/>
        </w:rPr>
        <w:t>根据企业2025年排污许可年度执行报告，最大</w:t>
      </w:r>
      <w:r>
        <w:rPr>
          <w:rFonts w:hint="default" w:ascii="Times New Roman" w:hAnsi="Times New Roman" w:eastAsia="宋体" w:cs="Times New Roman"/>
          <w:color w:val="auto"/>
          <w:sz w:val="24"/>
          <w:szCs w:val="24"/>
          <w:highlight w:val="none"/>
          <w:lang w:val="en-US" w:eastAsia="zh-CN"/>
        </w:rPr>
        <w:t>耗煤量为</w:t>
      </w:r>
      <w:r>
        <w:rPr>
          <w:rFonts w:hint="eastAsia" w:ascii="Times New Roman" w:hAnsi="Times New Roman" w:eastAsia="宋体" w:cs="Times New Roman"/>
          <w:color w:val="auto"/>
          <w:sz w:val="24"/>
          <w:szCs w:val="24"/>
          <w:highlight w:val="none"/>
          <w:lang w:val="en-US" w:eastAsia="zh-CN"/>
        </w:rPr>
        <w:t>1802</w:t>
      </w:r>
      <w:r>
        <w:rPr>
          <w:rFonts w:hint="default" w:ascii="Times New Roman" w:hAnsi="Times New Roman" w:eastAsia="宋体" w:cs="Times New Roman"/>
          <w:color w:val="auto"/>
          <w:sz w:val="24"/>
          <w:szCs w:val="24"/>
          <w:highlight w:val="none"/>
          <w:lang w:val="en-US" w:eastAsia="zh-CN"/>
        </w:rPr>
        <w:t>t/d</w:t>
      </w:r>
      <w:bookmarkEnd w:id="239"/>
      <w:bookmarkEnd w:id="240"/>
      <w:r>
        <w:rPr>
          <w:rFonts w:hint="default" w:ascii="Times New Roman" w:hAnsi="Times New Roman" w:eastAsia="宋体" w:cs="Times New Roman"/>
          <w:color w:val="auto"/>
          <w:sz w:val="24"/>
          <w:szCs w:val="24"/>
          <w:highlight w:val="none"/>
          <w:lang w:val="en-US" w:eastAsia="zh-CN"/>
        </w:rPr>
        <w:t>。本期</w:t>
      </w:r>
      <w:r>
        <w:rPr>
          <w:rFonts w:hint="eastAsia" w:ascii="Times New Roman" w:hAnsi="Times New Roman" w:eastAsia="宋体" w:cs="Times New Roman"/>
          <w:color w:val="auto"/>
          <w:sz w:val="24"/>
          <w:szCs w:val="24"/>
          <w:highlight w:val="none"/>
          <w:lang w:val="en-US" w:eastAsia="zh-CN"/>
        </w:rPr>
        <w:t>改</w:t>
      </w:r>
      <w:r>
        <w:rPr>
          <w:rFonts w:hint="default" w:ascii="Times New Roman" w:hAnsi="Times New Roman" w:eastAsia="宋体" w:cs="Times New Roman"/>
          <w:color w:val="auto"/>
          <w:sz w:val="24"/>
          <w:szCs w:val="24"/>
          <w:highlight w:val="none"/>
          <w:lang w:val="en-US" w:eastAsia="zh-CN"/>
        </w:rPr>
        <w:t>扩建工程</w:t>
      </w:r>
      <w:r>
        <w:rPr>
          <w:rFonts w:hint="eastAsia" w:ascii="Times New Roman" w:hAnsi="Times New Roman" w:eastAsia="宋体" w:cs="Times New Roman"/>
          <w:color w:val="auto"/>
          <w:sz w:val="24"/>
          <w:szCs w:val="24"/>
          <w:highlight w:val="none"/>
          <w:lang w:val="en-US" w:eastAsia="zh-CN"/>
        </w:rPr>
        <w:t>最大</w:t>
      </w:r>
      <w:r>
        <w:rPr>
          <w:rFonts w:hint="default" w:ascii="Times New Roman" w:hAnsi="Times New Roman" w:eastAsia="宋体" w:cs="Times New Roman"/>
          <w:color w:val="auto"/>
          <w:sz w:val="24"/>
          <w:szCs w:val="24"/>
          <w:highlight w:val="none"/>
          <w:lang w:val="en-US" w:eastAsia="zh-CN"/>
        </w:rPr>
        <w:t>耗煤量为</w:t>
      </w:r>
      <w:r>
        <w:rPr>
          <w:rFonts w:hint="eastAsia" w:ascii="Times New Roman" w:hAnsi="Times New Roman" w:eastAsia="宋体" w:cs="Times New Roman"/>
          <w:color w:val="auto"/>
          <w:sz w:val="24"/>
          <w:szCs w:val="24"/>
          <w:highlight w:val="none"/>
          <w:lang w:val="en-US" w:eastAsia="zh-CN"/>
        </w:rPr>
        <w:t>346.08</w:t>
      </w:r>
      <w:r>
        <w:rPr>
          <w:rFonts w:hint="default" w:ascii="Times New Roman" w:hAnsi="Times New Roman" w:eastAsia="宋体" w:cs="Times New Roman"/>
          <w:color w:val="auto"/>
          <w:sz w:val="24"/>
          <w:szCs w:val="24"/>
          <w:highlight w:val="none"/>
          <w:lang w:val="en-US" w:eastAsia="zh-CN"/>
        </w:rPr>
        <w:t>t/d，因此，现有贮煤场能够满足全厂需要，可供</w:t>
      </w:r>
      <w:r>
        <w:rPr>
          <w:rFonts w:hint="eastAsia" w:ascii="Times New Roman" w:hAnsi="Times New Roman" w:eastAsia="宋体" w:cs="Times New Roman"/>
          <w:color w:val="auto"/>
          <w:sz w:val="24"/>
          <w:szCs w:val="24"/>
          <w:highlight w:val="none"/>
          <w:lang w:val="en-US" w:eastAsia="zh-CN"/>
        </w:rPr>
        <w:t>现有工程锅炉和本项目</w:t>
      </w:r>
      <w:r>
        <w:rPr>
          <w:rFonts w:hint="default" w:ascii="Times New Roman" w:hAnsi="Times New Roman" w:eastAsia="宋体" w:cs="Times New Roman"/>
          <w:color w:val="auto"/>
          <w:sz w:val="24"/>
          <w:szCs w:val="24"/>
          <w:highlight w:val="none"/>
          <w:lang w:val="en-US" w:eastAsia="zh-CN"/>
        </w:rPr>
        <w:t>锅炉</w:t>
      </w:r>
      <w:r>
        <w:rPr>
          <w:rFonts w:hint="eastAsia" w:ascii="Times New Roman" w:hAnsi="Times New Roman" w:eastAsia="宋体" w:cs="Times New Roman"/>
          <w:color w:val="auto"/>
          <w:sz w:val="24"/>
          <w:szCs w:val="24"/>
          <w:highlight w:val="none"/>
          <w:lang w:val="en-US" w:eastAsia="zh-CN"/>
        </w:rPr>
        <w:t>46</w:t>
      </w:r>
      <w:r>
        <w:rPr>
          <w:rFonts w:hint="default" w:ascii="Times New Roman" w:hAnsi="Times New Roman" w:eastAsia="宋体" w:cs="Times New Roman"/>
          <w:color w:val="auto"/>
          <w:sz w:val="24"/>
          <w:szCs w:val="24"/>
          <w:highlight w:val="none"/>
          <w:lang w:val="en-US" w:eastAsia="zh-CN"/>
        </w:rPr>
        <w:t>天最大用煤量</w:t>
      </w:r>
      <w:bookmarkEnd w:id="241"/>
      <w:bookmarkEnd w:id="242"/>
      <w:r>
        <w:rPr>
          <w:rFonts w:hint="default" w:ascii="Times New Roman" w:hAnsi="Times New Roman" w:eastAsia="宋体" w:cs="Times New Roman"/>
          <w:color w:val="auto"/>
          <w:sz w:val="24"/>
          <w:szCs w:val="24"/>
          <w:highlight w:val="none"/>
          <w:lang w:val="en-US" w:eastAsia="zh-CN"/>
        </w:rPr>
        <w:t>。</w:t>
      </w:r>
      <w:bookmarkEnd w:id="236"/>
      <w:bookmarkEnd w:id="237"/>
      <w:bookmarkEnd w:id="238"/>
      <w:r>
        <w:rPr>
          <w:rFonts w:hint="default" w:ascii="Times New Roman" w:hAnsi="Times New Roman" w:eastAsia="宋体" w:cs="Times New Roman"/>
          <w:color w:val="auto"/>
          <w:sz w:val="24"/>
          <w:szCs w:val="24"/>
          <w:highlight w:val="none"/>
          <w:lang w:val="en-US" w:eastAsia="zh-CN"/>
        </w:rPr>
        <w:t>贮煤场内设地下受煤坑，由铲车将原煤卸下，落入地下煤斗后进入燃料输送系统。贮煤场设有推土机及铲车，负责倒运燃煤，并承担清理汽车卸煤后落在煤</w:t>
      </w:r>
      <w:r>
        <w:rPr>
          <w:rFonts w:hint="eastAsia" w:ascii="Times New Roman" w:hAnsi="Times New Roman" w:eastAsia="宋体" w:cs="Times New Roman"/>
          <w:color w:val="auto"/>
          <w:sz w:val="24"/>
          <w:szCs w:val="24"/>
          <w:highlight w:val="none"/>
          <w:lang w:val="en-US" w:eastAsia="zh-CN"/>
        </w:rPr>
        <w:t>篦子上</w:t>
      </w:r>
      <w:r>
        <w:rPr>
          <w:rFonts w:hint="default" w:ascii="Times New Roman" w:hAnsi="Times New Roman" w:eastAsia="宋体" w:cs="Times New Roman"/>
          <w:color w:val="auto"/>
          <w:sz w:val="24"/>
          <w:szCs w:val="24"/>
          <w:highlight w:val="none"/>
          <w:lang w:val="en-US" w:eastAsia="zh-CN"/>
        </w:rPr>
        <w:t>的煤，及输煤、堆煤等作业。</w:t>
      </w:r>
      <w:r>
        <w:rPr>
          <w:rFonts w:hint="eastAsia" w:ascii="Times New Roman" w:hAnsi="Times New Roman" w:eastAsia="宋体" w:cs="Times New Roman"/>
          <w:color w:val="auto"/>
          <w:sz w:val="24"/>
          <w:szCs w:val="24"/>
          <w:highlight w:val="none"/>
          <w:lang w:val="en-US" w:eastAsia="zh-CN"/>
        </w:rPr>
        <w:t>煤场周围设置2.5米高实体围墙，围墙上设置总长400米，高11米的防风抑尘网，定时洒水降尘，不装卸时用篷布覆盖。</w:t>
      </w:r>
    </w:p>
    <w:p w14:paraId="6400B225">
      <w:pPr>
        <w:pStyle w:val="7"/>
        <w:numPr>
          <w:ilvl w:val="3"/>
          <w:numId w:val="3"/>
        </w:numPr>
        <w:bidi w:val="0"/>
        <w:ind w:left="850" w:leftChars="0" w:hanging="850" w:firstLineChars="0"/>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上</w:t>
      </w:r>
      <w:r>
        <w:rPr>
          <w:rFonts w:hint="default" w:ascii="Times New Roman" w:hAnsi="Times New Roman" w:eastAsia="宋体" w:cs="Times New Roman"/>
          <w:color w:val="auto"/>
          <w:highlight w:val="none"/>
          <w:lang w:val="en-US" w:eastAsia="zh-CN"/>
        </w:rPr>
        <w:t>煤系统</w:t>
      </w:r>
    </w:p>
    <w:p w14:paraId="7EC771B9">
      <w:pPr>
        <w:bidi w:val="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zh-TW" w:eastAsia="zh-CN"/>
        </w:rPr>
        <w:t>本项目上煤系统由1段、</w:t>
      </w:r>
      <w:r>
        <w:rPr>
          <w:rFonts w:hint="eastAsia" w:ascii="Times New Roman" w:hAnsi="Times New Roman" w:eastAsia="宋体" w:cs="Times New Roman"/>
          <w:color w:val="auto"/>
          <w:highlight w:val="none"/>
          <w:lang w:val="en-US" w:eastAsia="zh-CN"/>
        </w:rPr>
        <w:t>2</w:t>
      </w:r>
      <w:r>
        <w:rPr>
          <w:rFonts w:hint="eastAsia" w:ascii="Times New Roman" w:hAnsi="Times New Roman" w:eastAsia="宋体" w:cs="Times New Roman"/>
          <w:color w:val="auto"/>
          <w:highlight w:val="none"/>
          <w:lang w:val="zh-TW" w:eastAsia="zh-CN"/>
        </w:rPr>
        <w:t>段、</w:t>
      </w:r>
      <w:r>
        <w:rPr>
          <w:rFonts w:hint="eastAsia" w:ascii="Times New Roman" w:hAnsi="Times New Roman" w:eastAsia="宋体" w:cs="Times New Roman"/>
          <w:color w:val="auto"/>
          <w:highlight w:val="none"/>
          <w:lang w:val="en-US" w:eastAsia="zh-CN"/>
        </w:rPr>
        <w:t>3段</w:t>
      </w:r>
      <w:r>
        <w:rPr>
          <w:rFonts w:hint="eastAsia" w:ascii="Times New Roman" w:hAnsi="Times New Roman" w:eastAsia="宋体" w:cs="Times New Roman"/>
          <w:color w:val="auto"/>
          <w:highlight w:val="none"/>
          <w:lang w:val="zh-TW" w:eastAsia="zh-CN"/>
        </w:rPr>
        <w:t>槽型皮带输送机（B=</w:t>
      </w:r>
      <w:r>
        <w:rPr>
          <w:rFonts w:hint="eastAsia" w:ascii="Times New Roman" w:hAnsi="Times New Roman" w:eastAsia="宋体" w:cs="Times New Roman"/>
          <w:color w:val="auto"/>
          <w:highlight w:val="none"/>
          <w:lang w:val="en-US" w:eastAsia="zh-CN"/>
        </w:rPr>
        <w:t>65</w:t>
      </w:r>
      <w:r>
        <w:rPr>
          <w:rFonts w:hint="eastAsia" w:ascii="Times New Roman" w:hAnsi="Times New Roman" w:eastAsia="宋体" w:cs="Times New Roman"/>
          <w:color w:val="auto"/>
          <w:highlight w:val="none"/>
          <w:lang w:val="zh-TW" w:eastAsia="zh-CN"/>
        </w:rPr>
        <w:t>0mm），</w:t>
      </w:r>
      <w:r>
        <w:rPr>
          <w:rFonts w:hint="eastAsia" w:ascii="Times New Roman" w:hAnsi="Times New Roman" w:eastAsia="宋体" w:cs="Times New Roman"/>
          <w:color w:val="auto"/>
          <w:highlight w:val="none"/>
          <w:lang w:val="en-US" w:eastAsia="zh-CN"/>
        </w:rPr>
        <w:t>1段倾斜皮带式输送机，</w:t>
      </w:r>
      <w:r>
        <w:rPr>
          <w:rFonts w:hint="eastAsia" w:ascii="Times New Roman" w:hAnsi="Times New Roman" w:eastAsia="宋体" w:cs="Times New Roman"/>
          <w:color w:val="auto"/>
          <w:highlight w:val="none"/>
          <w:lang w:val="zh-TW" w:eastAsia="zh-CN"/>
        </w:rPr>
        <w:t>2段</w:t>
      </w:r>
      <w:r>
        <w:rPr>
          <w:rFonts w:hint="eastAsia" w:ascii="Times New Roman" w:hAnsi="Times New Roman" w:eastAsia="宋体" w:cs="Times New Roman"/>
          <w:color w:val="auto"/>
          <w:highlight w:val="none"/>
          <w:lang w:val="en-US" w:eastAsia="zh-CN"/>
        </w:rPr>
        <w:t>倾斜皮带式输送机</w:t>
      </w:r>
      <w:r>
        <w:rPr>
          <w:rFonts w:hint="eastAsia" w:ascii="Times New Roman" w:hAnsi="Times New Roman" w:eastAsia="宋体" w:cs="Times New Roman"/>
          <w:color w:val="auto"/>
          <w:highlight w:val="none"/>
          <w:lang w:val="zh-TW" w:eastAsia="zh-CN"/>
        </w:rPr>
        <w:t>（B=</w:t>
      </w:r>
      <w:r>
        <w:rPr>
          <w:rFonts w:hint="eastAsia" w:ascii="Times New Roman" w:hAnsi="Times New Roman" w:eastAsia="宋体" w:cs="Times New Roman"/>
          <w:color w:val="auto"/>
          <w:highlight w:val="none"/>
          <w:lang w:val="en-US" w:eastAsia="zh-CN"/>
        </w:rPr>
        <w:t>65</w:t>
      </w:r>
      <w:r>
        <w:rPr>
          <w:rFonts w:hint="eastAsia" w:ascii="Times New Roman" w:hAnsi="Times New Roman" w:eastAsia="宋体" w:cs="Times New Roman"/>
          <w:color w:val="auto"/>
          <w:highlight w:val="none"/>
          <w:lang w:val="zh-TW" w:eastAsia="zh-CN"/>
        </w:rPr>
        <w:t>0mm），3段</w:t>
      </w:r>
      <w:r>
        <w:rPr>
          <w:rFonts w:hint="eastAsia" w:ascii="Times New Roman" w:hAnsi="Times New Roman" w:eastAsia="宋体" w:cs="Times New Roman"/>
          <w:color w:val="auto"/>
          <w:highlight w:val="none"/>
          <w:lang w:val="en-US" w:eastAsia="zh-CN"/>
        </w:rPr>
        <w:t>水平皮带式输送机</w:t>
      </w:r>
      <w:r>
        <w:rPr>
          <w:rFonts w:hint="eastAsia" w:ascii="Times New Roman" w:hAnsi="Times New Roman" w:eastAsia="宋体" w:cs="Times New Roman"/>
          <w:color w:val="auto"/>
          <w:highlight w:val="none"/>
          <w:lang w:val="zh-TW" w:eastAsia="zh-CN"/>
        </w:rPr>
        <w:t>及给料、破碎、筛分等设备组成。设计输煤量</w:t>
      </w:r>
      <w:r>
        <w:rPr>
          <w:rFonts w:hint="eastAsia" w:ascii="Times New Roman" w:hAnsi="Times New Roman" w:eastAsia="宋体" w:cs="Times New Roman"/>
          <w:color w:val="auto"/>
          <w:highlight w:val="none"/>
          <w:lang w:val="en-US" w:eastAsia="zh-CN"/>
        </w:rPr>
        <w:t>150</w:t>
      </w:r>
      <w:r>
        <w:rPr>
          <w:rFonts w:hint="eastAsia" w:ascii="Times New Roman" w:hAnsi="Times New Roman" w:eastAsia="宋体" w:cs="Times New Roman"/>
          <w:color w:val="auto"/>
          <w:highlight w:val="none"/>
          <w:lang w:val="zh-TW" w:eastAsia="zh-CN"/>
        </w:rPr>
        <w:t>t/h。</w:t>
      </w:r>
    </w:p>
    <w:p w14:paraId="603BD86D">
      <w:pPr>
        <w:bidi w:val="0"/>
        <w:rPr>
          <w:rFonts w:hint="eastAsia"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val="zh-TW" w:eastAsia="zh-TW"/>
        </w:rPr>
        <w:t>燃煤由铲车由煤场卸至受煤坑，经原煤筛初次筛分后由往复式给料机拨到1段槽型皮带输送机送至破碎间；破碎后的煤经2段</w:t>
      </w:r>
      <w:r>
        <w:rPr>
          <w:rFonts w:hint="default" w:ascii="Times New Roman" w:hAnsi="Times New Roman" w:eastAsia="宋体" w:cs="Times New Roman"/>
          <w:color w:val="auto"/>
          <w:highlight w:val="none"/>
          <w:lang w:val="en-US" w:eastAsia="zh-CN"/>
        </w:rPr>
        <w:t>倾斜</w:t>
      </w:r>
      <w:r>
        <w:rPr>
          <w:rFonts w:hint="default" w:ascii="Times New Roman" w:hAnsi="Times New Roman" w:eastAsia="宋体" w:cs="Times New Roman"/>
          <w:color w:val="auto"/>
          <w:highlight w:val="none"/>
          <w:lang w:val="zh-TW" w:eastAsia="zh-TW"/>
        </w:rPr>
        <w:t>皮带输送机称重后送至主厂房</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lang w:val="zh-TW" w:eastAsia="zh-TW"/>
        </w:rPr>
        <w:t>段槽型皮带输送机上，经犁煤器分别配入锅炉的煤仓内，碎煤机室为现浇钢筋混凝土框架结构，砖墙围护。碎煤机室密闭，选用</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lang w:val="zh-TW" w:eastAsia="zh-TW"/>
        </w:rPr>
        <w:t>台环锤式破碎机</w:t>
      </w:r>
      <w:r>
        <w:rPr>
          <w:rFonts w:hint="default" w:ascii="Times New Roman" w:hAnsi="Times New Roman" w:eastAsia="宋体" w:cs="Times New Roman"/>
          <w:color w:val="auto"/>
          <w:highlight w:val="none"/>
          <w:lang w:val="zh-TW" w:eastAsia="zh-CN"/>
        </w:rPr>
        <w:t>（Y2-280M-8型，入粒粒度≤200mm，出料粒度≤</w:t>
      </w:r>
      <w:r>
        <w:rPr>
          <w:rFonts w:hint="default" w:ascii="Times New Roman" w:hAnsi="Times New Roman" w:eastAsia="宋体" w:cs="Times New Roman"/>
          <w:color w:val="auto"/>
          <w:highlight w:val="none"/>
          <w:lang w:val="en-US" w:eastAsia="zh-CN"/>
        </w:rPr>
        <w:t>50</w:t>
      </w:r>
      <w:r>
        <w:rPr>
          <w:rFonts w:hint="default" w:ascii="Times New Roman" w:hAnsi="Times New Roman" w:eastAsia="宋体" w:cs="Times New Roman"/>
          <w:color w:val="auto"/>
          <w:highlight w:val="none"/>
          <w:lang w:val="zh-TW" w:eastAsia="zh-CN"/>
        </w:rPr>
        <w:t>mm，出力1</w:t>
      </w:r>
      <w:r>
        <w:rPr>
          <w:rFonts w:hint="default" w:ascii="Times New Roman" w:hAnsi="Times New Roman" w:eastAsia="宋体" w:cs="Times New Roman"/>
          <w:color w:val="auto"/>
          <w:highlight w:val="none"/>
          <w:lang w:val="en-US" w:eastAsia="zh-CN"/>
        </w:rPr>
        <w:t>00</w:t>
      </w:r>
      <w:r>
        <w:rPr>
          <w:rFonts w:hint="default" w:ascii="Times New Roman" w:hAnsi="Times New Roman" w:eastAsia="宋体" w:cs="Times New Roman"/>
          <w:color w:val="auto"/>
          <w:highlight w:val="none"/>
          <w:lang w:val="zh-TW" w:eastAsia="zh-CN"/>
        </w:rPr>
        <w:t>t/h，功率</w:t>
      </w:r>
      <w:r>
        <w:rPr>
          <w:rFonts w:hint="default" w:ascii="Times New Roman" w:hAnsi="Times New Roman" w:eastAsia="宋体" w:cs="Times New Roman"/>
          <w:color w:val="auto"/>
          <w:highlight w:val="none"/>
          <w:lang w:val="en-US" w:eastAsia="zh-CN"/>
        </w:rPr>
        <w:t>45</w:t>
      </w:r>
      <w:r>
        <w:rPr>
          <w:rFonts w:hint="default" w:ascii="Times New Roman" w:hAnsi="Times New Roman" w:eastAsia="宋体" w:cs="Times New Roman"/>
          <w:color w:val="auto"/>
          <w:highlight w:val="none"/>
          <w:lang w:val="zh-TW" w:eastAsia="zh-CN"/>
        </w:rPr>
        <w:t>kW）</w:t>
      </w:r>
      <w:r>
        <w:rPr>
          <w:rFonts w:hint="default" w:ascii="Times New Roman" w:hAnsi="Times New Roman" w:eastAsia="宋体" w:cs="Times New Roman"/>
          <w:color w:val="auto"/>
          <w:highlight w:val="none"/>
          <w:lang w:val="zh-TW" w:eastAsia="zh-TW"/>
        </w:rPr>
        <w:t>。在破碎机前1段槽型皮带输送机头部设有一台RCDB-6.5型电磁除铁器。选用一台BMP650型电子皮带秤，装于水平胶带输送机中间部位</w:t>
      </w:r>
      <w:r>
        <w:rPr>
          <w:rFonts w:hint="eastAsia" w:ascii="Times New Roman" w:hAnsi="Times New Roman" w:eastAsia="宋体" w:cs="Times New Roman"/>
          <w:color w:val="auto"/>
          <w:highlight w:val="none"/>
          <w:lang w:val="zh-TW" w:eastAsia="zh-CN"/>
        </w:rPr>
        <w:t>。</w:t>
      </w:r>
    </w:p>
    <w:p w14:paraId="38F414E4">
      <w:pPr>
        <w:pStyle w:val="6"/>
        <w:numPr>
          <w:ilvl w:val="2"/>
          <w:numId w:val="3"/>
        </w:numPr>
        <w:bidi w:val="0"/>
        <w:ind w:left="709" w:leftChars="0" w:hanging="709" w:firstLineChars="0"/>
        <w:rPr>
          <w:rFonts w:hint="default" w:ascii="Times New Roman" w:hAnsi="Times New Roman" w:eastAsia="宋体" w:cs="Times New Roman"/>
          <w:color w:val="auto"/>
          <w:highlight w:val="none"/>
        </w:rPr>
      </w:pPr>
      <w:bookmarkStart w:id="243" w:name="_Toc30628"/>
      <w:bookmarkStart w:id="244" w:name="_Toc1921"/>
      <w:bookmarkStart w:id="245" w:name="_Toc12898"/>
      <w:r>
        <w:rPr>
          <w:rFonts w:hint="default" w:ascii="Times New Roman" w:hAnsi="Times New Roman" w:eastAsia="宋体" w:cs="Times New Roman"/>
          <w:color w:val="auto"/>
          <w:highlight w:val="none"/>
        </w:rPr>
        <w:t>燃烧系统</w:t>
      </w:r>
      <w:bookmarkEnd w:id="243"/>
      <w:bookmarkEnd w:id="244"/>
      <w:bookmarkEnd w:id="245"/>
    </w:p>
    <w:p w14:paraId="0328706A">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送风系统</w:t>
      </w:r>
    </w:p>
    <w:p w14:paraId="0946A2C4">
      <w:pPr>
        <w:bidi w:val="0"/>
        <w:rPr>
          <w:rFonts w:hint="default" w:ascii="Times New Roman" w:hAnsi="Times New Roman" w:eastAsia="宋体" w:cs="Times New Roman"/>
          <w:color w:val="auto"/>
          <w:spacing w:val="0"/>
          <w:szCs w:val="24"/>
          <w:highlight w:val="none"/>
        </w:rPr>
      </w:pPr>
      <w:r>
        <w:rPr>
          <w:rFonts w:ascii="Times New Roman" w:hAnsi="Times New Roman" w:eastAsia="宋体" w:cs="Times New Roman"/>
          <w:color w:val="auto"/>
          <w:szCs w:val="24"/>
          <w:highlight w:val="none"/>
        </w:rPr>
        <w:t>每台炉各设</w:t>
      </w:r>
      <w:r>
        <w:rPr>
          <w:rFonts w:hint="eastAsia" w:ascii="Times New Roman" w:hAnsi="Times New Roman" w:eastAsia="宋体" w:cs="Times New Roman"/>
          <w:color w:val="auto"/>
          <w:szCs w:val="24"/>
          <w:highlight w:val="none"/>
        </w:rPr>
        <w:t>两</w:t>
      </w:r>
      <w:r>
        <w:rPr>
          <w:rFonts w:ascii="Times New Roman" w:hAnsi="Times New Roman" w:eastAsia="宋体" w:cs="Times New Roman"/>
          <w:color w:val="auto"/>
          <w:szCs w:val="24"/>
          <w:highlight w:val="none"/>
        </w:rPr>
        <w:t>台</w:t>
      </w:r>
      <w:r>
        <w:rPr>
          <w:rFonts w:hint="eastAsia" w:ascii="Times New Roman" w:hAnsi="Times New Roman" w:eastAsia="宋体" w:cs="Times New Roman"/>
          <w:color w:val="auto"/>
          <w:szCs w:val="24"/>
          <w:highlight w:val="none"/>
        </w:rPr>
        <w:t>送</w:t>
      </w:r>
      <w:r>
        <w:rPr>
          <w:rFonts w:ascii="Times New Roman" w:hAnsi="Times New Roman" w:eastAsia="宋体" w:cs="Times New Roman"/>
          <w:color w:val="auto"/>
          <w:szCs w:val="24"/>
          <w:highlight w:val="none"/>
        </w:rPr>
        <w:t>风机，安装在锅炉间零米层，</w:t>
      </w:r>
      <w:r>
        <w:rPr>
          <w:rFonts w:hint="eastAsia" w:ascii="Times New Roman" w:hAnsi="Times New Roman" w:eastAsia="宋体" w:cs="Times New Roman"/>
          <w:color w:val="auto"/>
          <w:szCs w:val="24"/>
          <w:highlight w:val="none"/>
        </w:rPr>
        <w:t>送</w:t>
      </w:r>
      <w:r>
        <w:rPr>
          <w:rFonts w:ascii="Times New Roman" w:hAnsi="Times New Roman" w:eastAsia="宋体" w:cs="Times New Roman"/>
          <w:color w:val="auto"/>
          <w:szCs w:val="24"/>
          <w:highlight w:val="none"/>
        </w:rPr>
        <w:t>风机送出的风分成两路风道送至锅炉两侧的进风口进入炉膛，</w:t>
      </w:r>
      <w:r>
        <w:rPr>
          <w:rFonts w:hint="default" w:ascii="Times New Roman" w:hAnsi="Times New Roman" w:eastAsia="宋体" w:cs="Times New Roman"/>
          <w:color w:val="auto"/>
          <w:sz w:val="24"/>
          <w:szCs w:val="24"/>
          <w:highlight w:val="none"/>
        </w:rPr>
        <w:t>烟气经</w:t>
      </w:r>
      <w:r>
        <w:rPr>
          <w:rFonts w:hint="eastAsia" w:ascii="Times New Roman" w:hAnsi="Times New Roman" w:eastAsia="宋体" w:cs="Times New Roman"/>
          <w:color w:val="auto"/>
          <w:sz w:val="24"/>
          <w:szCs w:val="24"/>
          <w:highlight w:val="none"/>
          <w:lang w:val="en-US" w:eastAsia="zh-CN"/>
        </w:rPr>
        <w:t>SCR法</w:t>
      </w:r>
      <w:r>
        <w:rPr>
          <w:rFonts w:hint="default" w:ascii="Times New Roman" w:hAnsi="Times New Roman" w:eastAsia="宋体" w:cs="Times New Roman"/>
          <w:color w:val="auto"/>
          <w:sz w:val="24"/>
          <w:szCs w:val="24"/>
          <w:highlight w:val="none"/>
        </w:rPr>
        <w:t>脱硝、</w:t>
      </w:r>
      <w:r>
        <w:rPr>
          <w:rFonts w:hint="eastAsia" w:ascii="Times New Roman" w:hAnsi="Times New Roman" w:eastAsia="宋体" w:cs="Times New Roman"/>
          <w:color w:val="auto"/>
          <w:sz w:val="24"/>
          <w:szCs w:val="24"/>
          <w:highlight w:val="none"/>
          <w:lang w:val="en-US" w:eastAsia="zh-CN"/>
        </w:rPr>
        <w:t>石灰石－石膏湿法</w:t>
      </w:r>
      <w:r>
        <w:rPr>
          <w:rFonts w:hint="default" w:ascii="Times New Roman" w:hAnsi="Times New Roman" w:eastAsia="宋体" w:cs="Times New Roman"/>
          <w:color w:val="auto"/>
          <w:sz w:val="24"/>
          <w:szCs w:val="24"/>
          <w:highlight w:val="none"/>
        </w:rPr>
        <w:t>脱硫</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布袋</w:t>
      </w:r>
      <w:r>
        <w:rPr>
          <w:rFonts w:hint="eastAsia" w:ascii="Times New Roman" w:hAnsi="Times New Roman" w:eastAsia="宋体" w:cs="Times New Roman"/>
          <w:color w:val="auto"/>
          <w:sz w:val="24"/>
          <w:szCs w:val="24"/>
          <w:highlight w:val="none"/>
          <w:lang w:eastAsia="zh-CN"/>
        </w:rPr>
        <w:t>除尘器</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eastAsia="zh-CN"/>
        </w:rPr>
        <w:t>由引风机引射</w:t>
      </w:r>
      <w:r>
        <w:rPr>
          <w:rFonts w:hint="default" w:ascii="Times New Roman" w:hAnsi="Times New Roman" w:eastAsia="宋体" w:cs="Times New Roman"/>
          <w:color w:val="auto"/>
          <w:sz w:val="24"/>
          <w:szCs w:val="24"/>
          <w:highlight w:val="none"/>
          <w:lang w:eastAsia="zh-CN"/>
        </w:rPr>
        <w:t>进入</w:t>
      </w:r>
      <w:r>
        <w:rPr>
          <w:rFonts w:hint="default" w:ascii="Times New Roman" w:hAnsi="Times New Roman" w:eastAsia="宋体" w:cs="Times New Roman"/>
          <w:color w:val="auto"/>
          <w:sz w:val="24"/>
          <w:szCs w:val="24"/>
          <w:highlight w:val="none"/>
        </w:rPr>
        <w:t>烟囱，排入大气。</w:t>
      </w:r>
    </w:p>
    <w:p w14:paraId="09C2BE3B">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点火助燃系统</w:t>
      </w:r>
    </w:p>
    <w:p w14:paraId="0AC36913">
      <w:pPr>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本项目锅炉点火</w:t>
      </w:r>
      <w:r>
        <w:rPr>
          <w:rFonts w:hint="default" w:ascii="Times New Roman" w:hAnsi="Times New Roman" w:eastAsia="宋体" w:cs="Times New Roman"/>
          <w:color w:val="auto"/>
          <w:highlight w:val="none"/>
          <w:lang w:val="en-US" w:eastAsia="zh-CN"/>
        </w:rPr>
        <w:t>使用木材</w:t>
      </w:r>
      <w:r>
        <w:rPr>
          <w:rFonts w:hint="eastAsia" w:ascii="Times New Roman" w:hAnsi="Times New Roman" w:eastAsia="宋体" w:cs="Times New Roman"/>
          <w:color w:val="auto"/>
          <w:highlight w:val="none"/>
          <w:lang w:val="en-US" w:eastAsia="zh-CN"/>
        </w:rPr>
        <w:t>，在炉膛内放置适量干燥木材，通过自动点火装置引燃，使炉膛温度逐渐升高至主燃料的燃点以上</w:t>
      </w:r>
      <w:r>
        <w:rPr>
          <w:rFonts w:hint="default" w:ascii="Times New Roman" w:hAnsi="Times New Roman" w:eastAsia="宋体" w:cs="Times New Roman"/>
          <w:color w:val="auto"/>
          <w:highlight w:val="none"/>
          <w:lang w:val="en-US" w:eastAsia="zh-CN"/>
        </w:rPr>
        <w:t>。待木材燃烧形成稳定火床后，系统按设定程序投入主燃料</w:t>
      </w:r>
      <w:r>
        <w:rPr>
          <w:rFonts w:hint="eastAsia" w:ascii="Times New Roman" w:hAnsi="Times New Roman" w:eastAsia="宋体" w:cs="Times New Roman"/>
          <w:color w:val="auto"/>
          <w:highlight w:val="none"/>
          <w:lang w:val="en-US" w:eastAsia="zh-CN"/>
        </w:rPr>
        <w:t>。</w:t>
      </w:r>
    </w:p>
    <w:p w14:paraId="60F69BCB">
      <w:pPr>
        <w:pStyle w:val="6"/>
        <w:numPr>
          <w:ilvl w:val="2"/>
          <w:numId w:val="3"/>
        </w:numPr>
        <w:bidi w:val="0"/>
        <w:ind w:left="709" w:leftChars="0" w:hanging="709" w:firstLineChars="0"/>
        <w:rPr>
          <w:rFonts w:hint="default" w:ascii="Times New Roman" w:hAnsi="Times New Roman" w:eastAsia="宋体" w:cs="Times New Roman"/>
          <w:color w:val="auto"/>
          <w:highlight w:val="none"/>
        </w:rPr>
      </w:pPr>
      <w:bookmarkStart w:id="246" w:name="_Toc12317"/>
      <w:bookmarkStart w:id="247" w:name="_Toc20780"/>
      <w:bookmarkStart w:id="248" w:name="_Toc17135"/>
      <w:r>
        <w:rPr>
          <w:rFonts w:hint="default" w:ascii="Times New Roman" w:hAnsi="Times New Roman" w:eastAsia="宋体" w:cs="Times New Roman"/>
          <w:color w:val="auto"/>
          <w:highlight w:val="none"/>
        </w:rPr>
        <w:t>热力系统</w:t>
      </w:r>
      <w:bookmarkEnd w:id="246"/>
      <w:bookmarkEnd w:id="247"/>
      <w:bookmarkEnd w:id="248"/>
    </w:p>
    <w:p w14:paraId="5EC07728">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供回水</w:t>
      </w:r>
      <w:r>
        <w:rPr>
          <w:rFonts w:hint="default" w:ascii="Times New Roman" w:hAnsi="Times New Roman" w:eastAsia="宋体" w:cs="Times New Roman"/>
          <w:color w:val="auto"/>
          <w:highlight w:val="none"/>
        </w:rPr>
        <w:t>系统</w:t>
      </w:r>
    </w:p>
    <w:p w14:paraId="2012C5F8">
      <w:pPr>
        <w:bidi w:val="0"/>
        <w:rPr>
          <w:rFonts w:hint="default" w:ascii="Times New Roman" w:hAnsi="Times New Roman" w:eastAsia="宋体" w:cs="Times New Roman"/>
          <w:color w:val="auto"/>
          <w:spacing w:val="0"/>
          <w:szCs w:val="24"/>
          <w:highlight w:val="none"/>
        </w:rPr>
      </w:pPr>
      <w:r>
        <w:rPr>
          <w:rFonts w:hint="default" w:ascii="Times New Roman" w:hAnsi="Times New Roman" w:eastAsia="宋体" w:cs="Times New Roman"/>
          <w:color w:val="auto"/>
          <w:sz w:val="24"/>
          <w:szCs w:val="24"/>
          <w:highlight w:val="none"/>
        </w:rPr>
        <w:t>热源以热水为热媒，一级网设计供回水温度为1</w:t>
      </w:r>
      <w:r>
        <w:rPr>
          <w:rFonts w:hint="eastAsia"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0/70℃，供/回水温差</w:t>
      </w: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0℃。新建锅炉房厂区供热管道与</w:t>
      </w:r>
      <w:r>
        <w:rPr>
          <w:rFonts w:hint="eastAsia" w:ascii="Times New Roman" w:hAnsi="Times New Roman" w:eastAsia="宋体" w:cs="Times New Roman"/>
          <w:color w:val="auto"/>
          <w:sz w:val="24"/>
          <w:szCs w:val="24"/>
          <w:highlight w:val="none"/>
          <w:lang w:val="en-US" w:eastAsia="zh-CN"/>
        </w:rPr>
        <w:t>现有工程热源</w:t>
      </w:r>
      <w:r>
        <w:rPr>
          <w:rFonts w:hint="default" w:ascii="Times New Roman" w:hAnsi="Times New Roman" w:eastAsia="宋体" w:cs="Times New Roman"/>
          <w:color w:val="auto"/>
          <w:sz w:val="24"/>
          <w:szCs w:val="24"/>
          <w:highlight w:val="none"/>
        </w:rPr>
        <w:t>出口总供回水管道（一级网）直接连接。为了防止因突然停电，造成循环水泵停运后产生锅炉炉水汽化和循环水泵的水击现象，在循环水泵的出入母管间连接一条装有止回阀的旁通管来防止上述现象的发生。</w:t>
      </w:r>
    </w:p>
    <w:p w14:paraId="37AE88D6">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补水</w:t>
      </w:r>
      <w:r>
        <w:rPr>
          <w:rFonts w:hint="default" w:ascii="Times New Roman" w:hAnsi="Times New Roman" w:eastAsia="宋体" w:cs="Times New Roman"/>
          <w:color w:val="auto"/>
          <w:highlight w:val="none"/>
        </w:rPr>
        <w:t>系统</w:t>
      </w:r>
    </w:p>
    <w:p w14:paraId="3202CB01">
      <w:pPr>
        <w:bidi w:val="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补给水泵流量按热网循环水系统的正常补水量和事故补给水量确定，正常补给水量为循环水量的1%。</w:t>
      </w:r>
      <w:bookmarkStart w:id="249" w:name="OLE_LINK5"/>
      <w:r>
        <w:rPr>
          <w:rFonts w:hint="default" w:ascii="Times New Roman" w:hAnsi="Times New Roman" w:eastAsia="宋体" w:cs="Times New Roman"/>
          <w:color w:val="auto"/>
          <w:sz w:val="24"/>
          <w:szCs w:val="24"/>
          <w:highlight w:val="none"/>
        </w:rPr>
        <w:t>本项目给水处理和补水系统，利用热电有限公司主热源现有制、补水系统，不再另建新系统。</w:t>
      </w:r>
      <w:bookmarkEnd w:id="249"/>
    </w:p>
    <w:p w14:paraId="30303176">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锅炉排污</w:t>
      </w:r>
      <w:r>
        <w:rPr>
          <w:rFonts w:hint="default" w:ascii="Times New Roman" w:hAnsi="Times New Roman" w:eastAsia="宋体" w:cs="Times New Roman"/>
          <w:color w:val="auto"/>
          <w:highlight w:val="none"/>
        </w:rPr>
        <w:t>系统</w:t>
      </w:r>
    </w:p>
    <w:p w14:paraId="7CBEC5D9">
      <w:pPr>
        <w:bidi w:val="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锅炉用水来自</w:t>
      </w:r>
      <w:r>
        <w:rPr>
          <w:rFonts w:hint="eastAsia" w:ascii="Times New Roman" w:hAnsi="Times New Roman" w:eastAsia="宋体" w:cs="Times New Roman"/>
          <w:color w:val="auto"/>
          <w:sz w:val="24"/>
          <w:szCs w:val="24"/>
          <w:highlight w:val="none"/>
          <w:lang w:val="en-US" w:eastAsia="zh-CN"/>
        </w:rPr>
        <w:t>佳木斯中恒热电有限公司</w:t>
      </w:r>
      <w:r>
        <w:rPr>
          <w:rFonts w:hint="default" w:ascii="Times New Roman" w:hAnsi="Times New Roman" w:eastAsia="宋体" w:cs="Times New Roman"/>
          <w:color w:val="auto"/>
          <w:sz w:val="24"/>
          <w:szCs w:val="24"/>
          <w:highlight w:val="none"/>
          <w:lang w:val="en-US" w:eastAsia="zh-CN"/>
        </w:rPr>
        <w:t>主热源</w:t>
      </w:r>
      <w:r>
        <w:rPr>
          <w:rFonts w:hint="eastAsia" w:ascii="Times New Roman" w:hAnsi="Times New Roman" w:eastAsia="宋体" w:cs="Times New Roman"/>
          <w:color w:val="auto"/>
          <w:sz w:val="24"/>
          <w:szCs w:val="24"/>
          <w:highlight w:val="none"/>
          <w:lang w:val="en-US" w:eastAsia="zh-CN"/>
        </w:rPr>
        <w:t>现有制</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补水系统。</w:t>
      </w:r>
      <w:r>
        <w:rPr>
          <w:rFonts w:hint="default" w:ascii="Times New Roman" w:hAnsi="Times New Roman" w:eastAsia="宋体" w:cs="Times New Roman"/>
          <w:color w:val="auto"/>
          <w:sz w:val="24"/>
          <w:szCs w:val="24"/>
          <w:highlight w:val="none"/>
          <w:lang w:val="en-US" w:eastAsia="zh-CN"/>
        </w:rPr>
        <w:t>本项目产生的生产废水全部回用，不外排。脱硫废水经曝气、沉淀后用于脱硝补水和输煤系统除尘、除渣用水。含煤废水经厂区内现有污水处理间处理，处理工艺为过滤+沉淀+气浮，处理后的废水进入地下水池回用。锅炉排污水、软化水处理废水、处理后的含煤废水用于输煤栈桥冲洗、输煤系统除尘水、</w:t>
      </w:r>
      <w:r>
        <w:rPr>
          <w:rFonts w:hint="eastAsia" w:ascii="Times New Roman" w:hAnsi="Times New Roman" w:eastAsia="宋体" w:cs="Times New Roman"/>
          <w:color w:val="auto"/>
          <w:sz w:val="24"/>
          <w:szCs w:val="24"/>
          <w:highlight w:val="none"/>
          <w:lang w:val="en-US" w:eastAsia="zh-CN"/>
        </w:rPr>
        <w:t>渣库降尘等工序</w:t>
      </w:r>
      <w:r>
        <w:rPr>
          <w:rFonts w:hint="default" w:ascii="Times New Roman" w:hAnsi="Times New Roman" w:eastAsia="宋体" w:cs="Times New Roman"/>
          <w:color w:val="auto"/>
          <w:sz w:val="24"/>
          <w:szCs w:val="24"/>
          <w:highlight w:val="none"/>
          <w:lang w:val="en-US" w:eastAsia="zh-CN"/>
        </w:rPr>
        <w:t>，不外排。</w:t>
      </w:r>
    </w:p>
    <w:p w14:paraId="19098289">
      <w:pPr>
        <w:pStyle w:val="6"/>
        <w:numPr>
          <w:ilvl w:val="2"/>
          <w:numId w:val="3"/>
        </w:numPr>
        <w:bidi w:val="0"/>
        <w:ind w:left="709" w:leftChars="0" w:hanging="709" w:firstLineChars="0"/>
        <w:rPr>
          <w:rFonts w:hint="default" w:ascii="Times New Roman" w:hAnsi="Times New Roman" w:eastAsia="宋体" w:cs="Times New Roman"/>
          <w:color w:val="auto"/>
          <w:highlight w:val="none"/>
        </w:rPr>
      </w:pPr>
      <w:bookmarkStart w:id="250" w:name="_Toc12972"/>
      <w:bookmarkStart w:id="251" w:name="_Toc25991"/>
      <w:bookmarkStart w:id="252" w:name="_Toc16093"/>
      <w:r>
        <w:rPr>
          <w:rFonts w:hint="default" w:ascii="Times New Roman" w:hAnsi="Times New Roman" w:eastAsia="宋体" w:cs="Times New Roman"/>
          <w:color w:val="auto"/>
          <w:highlight w:val="none"/>
        </w:rPr>
        <w:t>烟气排放</w:t>
      </w:r>
      <w:bookmarkEnd w:id="250"/>
      <w:bookmarkEnd w:id="251"/>
      <w:bookmarkEnd w:id="252"/>
    </w:p>
    <w:p w14:paraId="1AACEB30">
      <w:pPr>
        <w:bidi w:val="0"/>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sz w:val="24"/>
          <w:szCs w:val="24"/>
          <w:highlight w:val="none"/>
        </w:rPr>
        <w:t>本项目</w:t>
      </w:r>
      <w:r>
        <w:rPr>
          <w:rFonts w:hint="default" w:ascii="Times New Roman" w:hAnsi="Times New Roman" w:eastAsia="宋体" w:cs="Times New Roman"/>
          <w:color w:val="auto"/>
          <w:sz w:val="24"/>
          <w:szCs w:val="24"/>
          <w:highlight w:val="none"/>
          <w:lang w:val="en-US" w:eastAsia="zh-CN"/>
        </w:rPr>
        <w:t>选用的</w:t>
      </w:r>
      <w:r>
        <w:rPr>
          <w:rFonts w:hint="eastAsia" w:ascii="Times New Roman" w:hAnsi="Times New Roman" w:eastAsia="宋体" w:cs="Times New Roman"/>
          <w:color w:val="auto"/>
          <w:sz w:val="24"/>
          <w:szCs w:val="24"/>
          <w:highlight w:val="none"/>
          <w:lang w:val="en-US" w:eastAsia="zh-CN"/>
        </w:rPr>
        <w:t>往复</w:t>
      </w:r>
      <w:r>
        <w:rPr>
          <w:rFonts w:hint="default" w:ascii="Times New Roman" w:hAnsi="Times New Roman" w:eastAsia="宋体" w:cs="Times New Roman"/>
          <w:color w:val="auto"/>
          <w:sz w:val="24"/>
          <w:szCs w:val="24"/>
          <w:highlight w:val="none"/>
          <w:lang w:val="en-US" w:eastAsia="zh-CN"/>
        </w:rPr>
        <w:t>热水锅炉</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锅炉烟气污染防治措施采用</w:t>
      </w:r>
      <w:r>
        <w:rPr>
          <w:rFonts w:hint="eastAsia" w:ascii="Times New Roman" w:hAnsi="Times New Roman" w:eastAsia="宋体" w:cs="Times New Roman"/>
          <w:color w:val="auto"/>
          <w:sz w:val="24"/>
          <w:szCs w:val="24"/>
          <w:highlight w:val="none"/>
          <w:lang w:val="en-US" w:eastAsia="zh-CN"/>
        </w:rPr>
        <w:t>炉内喷钙</w:t>
      </w:r>
      <w:r>
        <w:rPr>
          <w:rFonts w:hint="default" w:ascii="Times New Roman" w:hAnsi="Times New Roman" w:eastAsia="宋体" w:cs="Times New Roman"/>
          <w:color w:val="auto"/>
          <w:sz w:val="24"/>
          <w:szCs w:val="24"/>
          <w:highlight w:val="none"/>
          <w:lang w:val="en-US" w:eastAsia="zh-CN"/>
        </w:rPr>
        <w:t>+氨法脱硫+SNCR+亚氯酸钠脱硝+袋式除尘器</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并安装锅炉烟气在线监测系统，锅炉烟气污染物排放浓度</w:t>
      </w:r>
      <w:r>
        <w:rPr>
          <w:rFonts w:hint="default" w:ascii="Times New Roman" w:hAnsi="Times New Roman" w:eastAsia="宋体" w:cs="Times New Roman"/>
          <w:color w:val="auto"/>
          <w:sz w:val="24"/>
          <w:szCs w:val="24"/>
          <w:highlight w:val="none"/>
          <w:lang w:bidi="ar"/>
        </w:rPr>
        <w:t>满足《关于印发</w:t>
      </w:r>
      <w:r>
        <w:rPr>
          <w:rFonts w:hint="eastAsia" w:ascii="Times New Roman" w:hAnsi="Times New Roman" w:eastAsia="宋体" w:cs="Times New Roman"/>
          <w:color w:val="auto"/>
          <w:sz w:val="24"/>
          <w:szCs w:val="24"/>
          <w:highlight w:val="none"/>
          <w:lang w:eastAsia="zh-CN" w:bidi="ar"/>
        </w:rPr>
        <w:t>〈</w:t>
      </w:r>
      <w:r>
        <w:rPr>
          <w:rFonts w:hint="default" w:ascii="Times New Roman" w:hAnsi="Times New Roman" w:eastAsia="宋体" w:cs="Times New Roman"/>
          <w:color w:val="auto"/>
          <w:sz w:val="24"/>
          <w:szCs w:val="24"/>
          <w:highlight w:val="none"/>
          <w:lang w:bidi="ar"/>
        </w:rPr>
        <w:t>全面实施燃煤电厂超低排放和节能改造工作方案</w:t>
      </w:r>
      <w:r>
        <w:rPr>
          <w:rFonts w:hint="eastAsia" w:ascii="Times New Roman" w:hAnsi="Times New Roman" w:eastAsia="宋体" w:cs="Times New Roman"/>
          <w:color w:val="auto"/>
          <w:sz w:val="24"/>
          <w:szCs w:val="24"/>
          <w:highlight w:val="none"/>
          <w:lang w:eastAsia="zh-CN" w:bidi="ar"/>
        </w:rPr>
        <w:t>〉的通知》</w:t>
      </w:r>
      <w:r>
        <w:rPr>
          <w:rFonts w:hint="default" w:ascii="Times New Roman" w:hAnsi="Times New Roman" w:eastAsia="宋体" w:cs="Times New Roman"/>
          <w:color w:val="auto"/>
          <w:sz w:val="24"/>
          <w:szCs w:val="24"/>
          <w:highlight w:val="none"/>
          <w:lang w:bidi="ar"/>
        </w:rPr>
        <w:t>（环发</w:t>
      </w:r>
      <w:r>
        <w:rPr>
          <w:rFonts w:hint="eastAsia" w:ascii="Times New Roman" w:hAnsi="Times New Roman" w:eastAsia="宋体" w:cs="Times New Roman"/>
          <w:color w:val="auto"/>
          <w:sz w:val="24"/>
          <w:szCs w:val="24"/>
          <w:highlight w:val="none"/>
          <w:lang w:eastAsia="zh-CN" w:bidi="ar"/>
        </w:rPr>
        <w:t>〔</w:t>
      </w:r>
      <w:r>
        <w:rPr>
          <w:rFonts w:hint="default" w:ascii="Times New Roman" w:hAnsi="Times New Roman" w:eastAsia="宋体" w:cs="Times New Roman"/>
          <w:color w:val="auto"/>
          <w:sz w:val="24"/>
          <w:szCs w:val="24"/>
          <w:highlight w:val="none"/>
          <w:lang w:bidi="ar"/>
        </w:rPr>
        <w:t>2015</w:t>
      </w:r>
      <w:r>
        <w:rPr>
          <w:rFonts w:hint="eastAsia" w:ascii="Times New Roman" w:hAnsi="Times New Roman" w:eastAsia="宋体" w:cs="Times New Roman"/>
          <w:color w:val="auto"/>
          <w:sz w:val="24"/>
          <w:szCs w:val="24"/>
          <w:highlight w:val="none"/>
          <w:lang w:eastAsia="zh-CN" w:bidi="ar"/>
        </w:rPr>
        <w:t>〕</w:t>
      </w:r>
      <w:r>
        <w:rPr>
          <w:rFonts w:hint="default" w:ascii="Times New Roman" w:hAnsi="Times New Roman" w:eastAsia="宋体" w:cs="Times New Roman"/>
          <w:color w:val="auto"/>
          <w:sz w:val="24"/>
          <w:szCs w:val="24"/>
          <w:highlight w:val="none"/>
          <w:lang w:bidi="ar"/>
        </w:rPr>
        <w:t>164号）要求，达到超低排放</w:t>
      </w:r>
      <w:r>
        <w:rPr>
          <w:rFonts w:hint="default" w:ascii="Times New Roman" w:hAnsi="Times New Roman" w:eastAsia="宋体" w:cs="Times New Roman"/>
          <w:color w:val="auto"/>
          <w:sz w:val="24"/>
          <w:szCs w:val="24"/>
          <w:highlight w:val="none"/>
          <w:lang w:val="en-US" w:eastAsia="zh-CN" w:bidi="ar"/>
        </w:rPr>
        <w:t>限值</w:t>
      </w:r>
      <w:r>
        <w:rPr>
          <w:rFonts w:hint="default" w:ascii="Times New Roman" w:hAnsi="Times New Roman" w:eastAsia="宋体" w:cs="Times New Roman"/>
          <w:color w:val="auto"/>
          <w:sz w:val="24"/>
          <w:szCs w:val="24"/>
          <w:highlight w:val="none"/>
          <w:lang w:bidi="ar"/>
        </w:rPr>
        <w:t>（在基准氧含量6%条件下，烟尘、SO</w:t>
      </w:r>
      <w:r>
        <w:rPr>
          <w:rFonts w:hint="default" w:ascii="Times New Roman" w:hAnsi="Times New Roman" w:eastAsia="宋体" w:cs="Times New Roman"/>
          <w:color w:val="auto"/>
          <w:sz w:val="24"/>
          <w:szCs w:val="24"/>
          <w:highlight w:val="none"/>
          <w:vertAlign w:val="subscript"/>
          <w:lang w:bidi="ar"/>
        </w:rPr>
        <w:t>2</w:t>
      </w:r>
      <w:r>
        <w:rPr>
          <w:rFonts w:hint="default" w:ascii="Times New Roman" w:hAnsi="Times New Roman" w:eastAsia="宋体" w:cs="Times New Roman"/>
          <w:color w:val="auto"/>
          <w:sz w:val="24"/>
          <w:szCs w:val="24"/>
          <w:highlight w:val="none"/>
          <w:lang w:bidi="ar"/>
        </w:rPr>
        <w:t>、NO</w:t>
      </w:r>
      <w:r>
        <w:rPr>
          <w:rFonts w:hint="default" w:ascii="Times New Roman" w:hAnsi="Times New Roman" w:eastAsia="宋体" w:cs="Times New Roman"/>
          <w:color w:val="auto"/>
          <w:sz w:val="24"/>
          <w:szCs w:val="24"/>
          <w:highlight w:val="none"/>
          <w:vertAlign w:val="subscript"/>
          <w:lang w:bidi="ar"/>
        </w:rPr>
        <w:t>X</w:t>
      </w:r>
      <w:r>
        <w:rPr>
          <w:rFonts w:hint="default" w:ascii="Times New Roman" w:hAnsi="Times New Roman" w:eastAsia="宋体" w:cs="Times New Roman"/>
          <w:color w:val="auto"/>
          <w:sz w:val="24"/>
          <w:szCs w:val="24"/>
          <w:highlight w:val="none"/>
          <w:lang w:bidi="ar"/>
        </w:rPr>
        <w:t>排放浓度分别不高于10mg/m</w:t>
      </w:r>
      <w:r>
        <w:rPr>
          <w:rFonts w:hint="default" w:ascii="Times New Roman" w:hAnsi="Times New Roman" w:eastAsia="宋体" w:cs="Times New Roman"/>
          <w:color w:val="auto"/>
          <w:sz w:val="24"/>
          <w:szCs w:val="24"/>
          <w:highlight w:val="none"/>
          <w:vertAlign w:val="superscript"/>
          <w:lang w:bidi="ar"/>
        </w:rPr>
        <w:t>3</w:t>
      </w:r>
      <w:r>
        <w:rPr>
          <w:rFonts w:hint="default" w:ascii="Times New Roman" w:hAnsi="Times New Roman" w:eastAsia="宋体" w:cs="Times New Roman"/>
          <w:color w:val="auto"/>
          <w:sz w:val="24"/>
          <w:szCs w:val="24"/>
          <w:highlight w:val="none"/>
          <w:lang w:bidi="ar"/>
        </w:rPr>
        <w:t>、35mg/m</w:t>
      </w:r>
      <w:r>
        <w:rPr>
          <w:rFonts w:hint="default" w:ascii="Times New Roman" w:hAnsi="Times New Roman" w:eastAsia="宋体" w:cs="Times New Roman"/>
          <w:color w:val="auto"/>
          <w:sz w:val="24"/>
          <w:szCs w:val="24"/>
          <w:highlight w:val="none"/>
          <w:vertAlign w:val="superscript"/>
          <w:lang w:bidi="ar"/>
        </w:rPr>
        <w:t>3</w:t>
      </w:r>
      <w:r>
        <w:rPr>
          <w:rFonts w:hint="default" w:ascii="Times New Roman" w:hAnsi="Times New Roman" w:eastAsia="宋体" w:cs="Times New Roman"/>
          <w:color w:val="auto"/>
          <w:sz w:val="24"/>
          <w:szCs w:val="24"/>
          <w:highlight w:val="none"/>
          <w:lang w:bidi="ar"/>
        </w:rPr>
        <w:t>、50mg/m</w:t>
      </w:r>
      <w:r>
        <w:rPr>
          <w:rFonts w:hint="default" w:ascii="Times New Roman" w:hAnsi="Times New Roman" w:eastAsia="宋体" w:cs="Times New Roman"/>
          <w:color w:val="auto"/>
          <w:sz w:val="24"/>
          <w:szCs w:val="24"/>
          <w:highlight w:val="none"/>
          <w:vertAlign w:val="superscript"/>
          <w:lang w:bidi="ar"/>
        </w:rPr>
        <w:t>3</w:t>
      </w:r>
      <w:r>
        <w:rPr>
          <w:rFonts w:hint="default" w:ascii="Times New Roman" w:hAnsi="Times New Roman" w:eastAsia="宋体" w:cs="Times New Roman"/>
          <w:color w:val="auto"/>
          <w:sz w:val="24"/>
          <w:szCs w:val="24"/>
          <w:highlight w:val="none"/>
          <w:lang w:bidi="ar"/>
        </w:rPr>
        <w:t>）</w:t>
      </w:r>
      <w:r>
        <w:rPr>
          <w:rFonts w:hint="default" w:ascii="Times New Roman" w:hAnsi="Times New Roman" w:eastAsia="宋体" w:cs="Times New Roman"/>
          <w:color w:val="auto"/>
          <w:sz w:val="24"/>
          <w:szCs w:val="24"/>
          <w:highlight w:val="none"/>
          <w:lang w:val="en-US" w:eastAsia="zh-CN" w:bidi="ar"/>
        </w:rPr>
        <w:t>要求。处理达标后的锅炉烟气经高度</w:t>
      </w:r>
      <w:r>
        <w:rPr>
          <w:rFonts w:hint="eastAsia" w:ascii="Times New Roman" w:hAnsi="Times New Roman" w:eastAsia="宋体" w:cs="Times New Roman"/>
          <w:color w:val="auto"/>
          <w:sz w:val="24"/>
          <w:szCs w:val="24"/>
          <w:highlight w:val="none"/>
          <w:lang w:val="en-US" w:eastAsia="zh-CN" w:bidi="ar"/>
        </w:rPr>
        <w:t>70</w:t>
      </w:r>
      <w:r>
        <w:rPr>
          <w:rFonts w:hint="default" w:ascii="Times New Roman" w:hAnsi="Times New Roman" w:eastAsia="宋体" w:cs="Times New Roman"/>
          <w:color w:val="auto"/>
          <w:sz w:val="24"/>
          <w:szCs w:val="24"/>
          <w:highlight w:val="none"/>
          <w:lang w:val="en-US" w:eastAsia="zh-CN" w:bidi="ar"/>
        </w:rPr>
        <w:t>m，内径</w:t>
      </w:r>
      <w:r>
        <w:rPr>
          <w:rFonts w:hint="eastAsia" w:ascii="Times New Roman" w:hAnsi="Times New Roman" w:eastAsia="宋体" w:cs="Times New Roman"/>
          <w:color w:val="auto"/>
          <w:sz w:val="24"/>
          <w:szCs w:val="24"/>
          <w:highlight w:val="none"/>
          <w:lang w:val="en-US" w:eastAsia="zh-CN" w:bidi="ar"/>
        </w:rPr>
        <w:t>3.5</w:t>
      </w:r>
      <w:r>
        <w:rPr>
          <w:rFonts w:hint="default" w:ascii="Times New Roman" w:hAnsi="Times New Roman" w:eastAsia="宋体" w:cs="Times New Roman"/>
          <w:color w:val="auto"/>
          <w:sz w:val="24"/>
          <w:szCs w:val="24"/>
          <w:highlight w:val="none"/>
          <w:lang w:val="en-US" w:eastAsia="zh-CN" w:bidi="ar"/>
        </w:rPr>
        <w:t>m的烟囱排放</w:t>
      </w:r>
      <w:r>
        <w:rPr>
          <w:rFonts w:hint="default" w:ascii="Times New Roman" w:hAnsi="Times New Roman" w:eastAsia="宋体" w:cs="Times New Roman"/>
          <w:color w:val="auto"/>
          <w:kern w:val="0"/>
          <w:sz w:val="24"/>
          <w:szCs w:val="24"/>
          <w:highlight w:val="none"/>
          <w:lang w:val="en-US" w:eastAsia="zh-CN"/>
        </w:rPr>
        <w:t>。</w:t>
      </w:r>
    </w:p>
    <w:p w14:paraId="5B9B6CEB">
      <w:pPr>
        <w:pStyle w:val="6"/>
        <w:numPr>
          <w:ilvl w:val="2"/>
          <w:numId w:val="3"/>
        </w:numPr>
        <w:bidi w:val="0"/>
        <w:ind w:left="709" w:leftChars="0" w:hanging="709" w:firstLineChars="0"/>
        <w:rPr>
          <w:rFonts w:hint="default" w:ascii="Times New Roman" w:hAnsi="Times New Roman" w:eastAsia="宋体" w:cs="Times New Roman"/>
          <w:color w:val="auto"/>
          <w:highlight w:val="none"/>
        </w:rPr>
      </w:pPr>
      <w:bookmarkStart w:id="253" w:name="_Toc26253"/>
      <w:bookmarkStart w:id="254" w:name="_Toc20743"/>
      <w:bookmarkStart w:id="255" w:name="_Toc16519"/>
      <w:r>
        <w:rPr>
          <w:rFonts w:hint="default" w:ascii="Times New Roman" w:hAnsi="Times New Roman" w:eastAsia="宋体" w:cs="Times New Roman"/>
          <w:color w:val="auto"/>
          <w:highlight w:val="none"/>
        </w:rPr>
        <w:t>除灰渣系统</w:t>
      </w:r>
    </w:p>
    <w:p w14:paraId="35C6AD6C">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0"/>
          <w:szCs w:val="24"/>
          <w:highlight w:val="none"/>
        </w:rPr>
        <w:t>除</w:t>
      </w:r>
      <w:r>
        <w:rPr>
          <w:rFonts w:hint="default" w:ascii="Times New Roman" w:hAnsi="Times New Roman" w:eastAsia="宋体" w:cs="Times New Roman"/>
          <w:color w:val="auto"/>
          <w:highlight w:val="none"/>
        </w:rPr>
        <w:t>灰系统</w:t>
      </w:r>
    </w:p>
    <w:p w14:paraId="2975AB18">
      <w:pPr>
        <w:bidi w:val="0"/>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lang w:val="en-US" w:eastAsia="zh-CN"/>
        </w:rPr>
        <w:t>锅炉配置1台</w:t>
      </w:r>
      <w:r>
        <w:rPr>
          <w:rFonts w:hint="eastAsia" w:ascii="Times New Roman" w:hAnsi="Times New Roman" w:eastAsia="宋体" w:cs="Times New Roman"/>
          <w:color w:val="auto"/>
          <w:highlight w:val="none"/>
          <w:lang w:val="en-US" w:eastAsia="zh-CN"/>
        </w:rPr>
        <w:t>布袋除尘器</w:t>
      </w:r>
      <w:r>
        <w:rPr>
          <w:rFonts w:hint="default" w:ascii="Times New Roman" w:hAnsi="Times New Roman" w:eastAsia="宋体" w:cs="Times New Roman"/>
          <w:color w:val="auto"/>
          <w:highlight w:val="none"/>
          <w:lang w:val="en-US" w:eastAsia="zh-CN"/>
        </w:rPr>
        <w:t>，飞灰气力输送系统采用（正压浓相）气力输送方式，</w:t>
      </w:r>
      <w:r>
        <w:rPr>
          <w:rFonts w:hint="eastAsia" w:ascii="Times New Roman" w:hAnsi="Times New Roman" w:eastAsia="宋体" w:cs="Times New Roman"/>
          <w:color w:val="auto"/>
          <w:highlight w:val="none"/>
          <w:lang w:val="en-US" w:eastAsia="zh-CN"/>
        </w:rPr>
        <w:t>除尘器底部细灰由</w:t>
      </w:r>
      <w:r>
        <w:rPr>
          <w:rFonts w:hint="default" w:ascii="Times New Roman" w:hAnsi="Times New Roman" w:eastAsia="宋体" w:cs="Times New Roman"/>
          <w:color w:val="auto"/>
          <w:highlight w:val="none"/>
          <w:lang w:val="en-US" w:eastAsia="zh-CN"/>
        </w:rPr>
        <w:t>一根</w:t>
      </w:r>
      <w:r>
        <w:rPr>
          <w:rFonts w:hint="eastAsia" w:ascii="Times New Roman" w:hAnsi="Times New Roman" w:eastAsia="宋体" w:cs="Times New Roman"/>
          <w:color w:val="auto"/>
          <w:highlight w:val="none"/>
          <w:lang w:val="en-US" w:eastAsia="zh-CN"/>
        </w:rPr>
        <w:t>冲灰</w:t>
      </w:r>
      <w:r>
        <w:rPr>
          <w:rFonts w:hint="default" w:ascii="Times New Roman" w:hAnsi="Times New Roman" w:eastAsia="宋体" w:cs="Times New Roman"/>
          <w:color w:val="auto"/>
          <w:highlight w:val="none"/>
          <w:lang w:val="en-US" w:eastAsia="zh-CN"/>
        </w:rPr>
        <w:t>管道集中至</w:t>
      </w:r>
      <w:r>
        <w:rPr>
          <w:rFonts w:hint="eastAsia" w:ascii="Times New Roman" w:hAnsi="Times New Roman" w:eastAsia="宋体" w:cs="Times New Roman"/>
          <w:color w:val="auto"/>
          <w:highlight w:val="none"/>
          <w:lang w:val="en-US" w:eastAsia="zh-CN"/>
        </w:rPr>
        <w:t>灰库，现有厂区内已建成1座全封闭贮灰库，总</w:t>
      </w:r>
      <w:r>
        <w:rPr>
          <w:rFonts w:hint="default" w:ascii="Times New Roman" w:hAnsi="Times New Roman" w:eastAsia="宋体" w:cs="Times New Roman"/>
          <w:color w:val="auto"/>
          <w:highlight w:val="none"/>
          <w:lang w:val="en-US" w:eastAsia="zh-CN"/>
        </w:rPr>
        <w:t>有效容积为</w:t>
      </w:r>
      <w:r>
        <w:rPr>
          <w:rFonts w:hint="eastAsia" w:ascii="Times New Roman" w:hAnsi="Times New Roman" w:eastAsia="宋体" w:cs="Times New Roman"/>
          <w:color w:val="auto"/>
          <w:highlight w:val="none"/>
          <w:lang w:val="en-US" w:eastAsia="zh-CN"/>
        </w:rPr>
        <w:t>35000</w:t>
      </w:r>
      <w:r>
        <w:rPr>
          <w:rFonts w:hint="default" w:ascii="Times New Roman" w:hAnsi="Times New Roman" w:eastAsia="宋体" w:cs="Times New Roman"/>
          <w:color w:val="auto"/>
          <w:highlight w:val="none"/>
          <w:lang w:val="en-US" w:eastAsia="zh-CN"/>
        </w:rPr>
        <w:t>m</w:t>
      </w:r>
      <w:r>
        <w:rPr>
          <w:rFonts w:hint="default" w:ascii="Times New Roman" w:hAnsi="Times New Roman" w:eastAsia="宋体" w:cs="Times New Roman"/>
          <w:color w:val="auto"/>
          <w:highlight w:val="none"/>
          <w:vertAlign w:val="superscript"/>
          <w:lang w:val="en-US" w:eastAsia="zh-CN"/>
        </w:rPr>
        <w:t>3</w:t>
      </w:r>
      <w:r>
        <w:rPr>
          <w:rFonts w:hint="eastAsia" w:ascii="Times New Roman" w:hAnsi="Times New Roman" w:eastAsia="宋体" w:cs="Times New Roman"/>
          <w:color w:val="auto"/>
          <w:highlight w:val="none"/>
          <w:vertAlign w:val="baseline"/>
          <w:lang w:val="en-US" w:eastAsia="zh-CN"/>
        </w:rPr>
        <w:t>，收集后由罐车外运处理。</w:t>
      </w:r>
    </w:p>
    <w:p w14:paraId="718E66E9">
      <w:pPr>
        <w:pStyle w:val="7"/>
        <w:numPr>
          <w:ilvl w:val="3"/>
          <w:numId w:val="3"/>
        </w:numPr>
        <w:bidi w:val="0"/>
        <w:ind w:left="850" w:leftChars="0" w:hanging="850" w:firstLineChars="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除渣系统</w:t>
      </w:r>
    </w:p>
    <w:p w14:paraId="15BCB4C8">
      <w:pPr>
        <w:pStyle w:val="5"/>
        <w:rPr>
          <w:rFonts w:hint="default"/>
          <w:highlight w:val="none"/>
        </w:rPr>
      </w:pPr>
      <w:r>
        <w:rPr>
          <w:rFonts w:hint="default" w:ascii="Times New Roman" w:hAnsi="Times New Roman" w:eastAsia="宋体" w:cs="Times New Roman"/>
          <w:color w:val="auto"/>
          <w:highlight w:val="none"/>
          <w:lang w:val="en-US" w:eastAsia="zh-CN"/>
        </w:rPr>
        <w:t>除渣系统采用</w:t>
      </w:r>
      <w:r>
        <w:rPr>
          <w:rFonts w:hint="eastAsia" w:ascii="Times New Roman" w:hAnsi="Times New Roman" w:eastAsia="宋体" w:cs="Times New Roman"/>
          <w:color w:val="auto"/>
          <w:highlight w:val="none"/>
          <w:lang w:val="en-US" w:eastAsia="zh-CN"/>
        </w:rPr>
        <w:t>干</w:t>
      </w:r>
      <w:r>
        <w:rPr>
          <w:rFonts w:hint="default" w:ascii="Times New Roman" w:hAnsi="Times New Roman" w:eastAsia="宋体" w:cs="Times New Roman"/>
          <w:color w:val="auto"/>
          <w:highlight w:val="none"/>
          <w:lang w:val="en-US" w:eastAsia="zh-CN"/>
        </w:rPr>
        <w:t>式机械除渣方式，</w:t>
      </w:r>
      <w:r>
        <w:rPr>
          <w:rFonts w:hint="eastAsia" w:ascii="Times New Roman" w:hAnsi="Times New Roman" w:eastAsia="宋体" w:cs="Times New Roman"/>
          <w:color w:val="auto"/>
          <w:highlight w:val="none"/>
        </w:rPr>
        <w:t>每台</w:t>
      </w:r>
      <w:r>
        <w:rPr>
          <w:rFonts w:ascii="Times New Roman" w:hAnsi="Times New Roman" w:eastAsia="宋体" w:cs="Times New Roman"/>
          <w:color w:val="auto"/>
          <w:highlight w:val="none"/>
        </w:rPr>
        <w:t>锅炉底部设置</w:t>
      </w:r>
      <w:r>
        <w:rPr>
          <w:rFonts w:hint="eastAsia" w:ascii="Times New Roman" w:hAnsi="Times New Roman" w:eastAsia="宋体" w:cs="Times New Roman"/>
          <w:color w:val="auto"/>
          <w:highlight w:val="none"/>
        </w:rPr>
        <w:t>两</w:t>
      </w:r>
      <w:r>
        <w:rPr>
          <w:rFonts w:ascii="Times New Roman" w:hAnsi="Times New Roman" w:eastAsia="宋体" w:cs="Times New Roman"/>
          <w:color w:val="auto"/>
          <w:highlight w:val="none"/>
        </w:rPr>
        <w:t>台重板链除渣机，</w:t>
      </w:r>
      <w:r>
        <w:rPr>
          <w:rFonts w:hint="eastAsia" w:ascii="Times New Roman" w:hAnsi="Times New Roman" w:eastAsia="宋体" w:cs="Times New Roman"/>
          <w:color w:val="auto"/>
          <w:highlight w:val="none"/>
        </w:rPr>
        <w:t>除渣机</w:t>
      </w:r>
      <w:r>
        <w:rPr>
          <w:rFonts w:ascii="Times New Roman" w:hAnsi="Times New Roman" w:eastAsia="宋体" w:cs="Times New Roman"/>
          <w:color w:val="auto"/>
          <w:highlight w:val="none"/>
        </w:rPr>
        <w:t>将炉渣排入渣仓的钢渣斗内，</w:t>
      </w:r>
      <w:r>
        <w:rPr>
          <w:rFonts w:hint="default" w:ascii="Times New Roman" w:hAnsi="Times New Roman" w:eastAsia="宋体" w:cs="Times New Roman"/>
          <w:color w:val="auto"/>
          <w:highlight w:val="none"/>
          <w:lang w:val="en-US" w:eastAsia="zh-CN"/>
        </w:rPr>
        <w:t>由渣库外运综合利用。</w:t>
      </w:r>
    </w:p>
    <w:bookmarkEnd w:id="253"/>
    <w:bookmarkEnd w:id="254"/>
    <w:bookmarkEnd w:id="255"/>
    <w:p w14:paraId="497FBE4E">
      <w:pPr>
        <w:pStyle w:val="4"/>
        <w:numPr>
          <w:ilvl w:val="1"/>
          <w:numId w:val="3"/>
        </w:numPr>
        <w:bidi w:val="0"/>
        <w:ind w:left="567" w:leftChars="0" w:hanging="567" w:firstLineChars="0"/>
        <w:rPr>
          <w:rFonts w:hint="default" w:ascii="Times New Roman" w:hAnsi="Times New Roman" w:eastAsia="宋体" w:cs="Times New Roman"/>
          <w:b/>
          <w:bCs/>
          <w:color w:val="auto"/>
          <w:highlight w:val="none"/>
          <w:lang w:val="en-US" w:eastAsia="zh-CN"/>
        </w:rPr>
      </w:pPr>
      <w:bookmarkStart w:id="256" w:name="_Toc19705"/>
      <w:bookmarkStart w:id="257" w:name="_Toc10393"/>
      <w:bookmarkStart w:id="258" w:name="_Toc7324"/>
      <w:r>
        <w:rPr>
          <w:rFonts w:hint="eastAsia" w:ascii="Times New Roman" w:hAnsi="Times New Roman" w:cs="Times New Roman"/>
          <w:b/>
          <w:bCs/>
          <w:color w:val="auto"/>
          <w:highlight w:val="none"/>
          <w:lang w:eastAsia="zh-CN"/>
        </w:rPr>
        <w:t>软化</w:t>
      </w:r>
      <w:r>
        <w:rPr>
          <w:rFonts w:hint="default" w:ascii="Times New Roman" w:hAnsi="Times New Roman" w:eastAsia="宋体" w:cs="Times New Roman"/>
          <w:b/>
          <w:bCs/>
          <w:color w:val="auto"/>
          <w:highlight w:val="none"/>
        </w:rPr>
        <w:t>水处理</w:t>
      </w:r>
      <w:r>
        <w:rPr>
          <w:rFonts w:hint="default" w:ascii="Times New Roman" w:hAnsi="Times New Roman" w:eastAsia="宋体" w:cs="Times New Roman"/>
          <w:b/>
          <w:bCs/>
          <w:color w:val="auto"/>
          <w:highlight w:val="none"/>
          <w:lang w:val="en-US" w:eastAsia="zh-CN"/>
        </w:rPr>
        <w:t>系统</w:t>
      </w:r>
      <w:bookmarkEnd w:id="256"/>
      <w:bookmarkEnd w:id="257"/>
      <w:bookmarkEnd w:id="258"/>
    </w:p>
    <w:p w14:paraId="17E02CAD">
      <w:pPr>
        <w:bidi w:val="0"/>
        <w:rPr>
          <w:rFonts w:hint="default" w:ascii="Times New Roman" w:hAnsi="Times New Roman" w:eastAsia="宋体" w:cs="Times New Roman"/>
          <w:color w:val="auto"/>
          <w:highlight w:val="none"/>
          <w:lang w:val="en-US"/>
        </w:rPr>
      </w:pPr>
      <w:r>
        <w:rPr>
          <w:rFonts w:hint="default" w:ascii="Times New Roman" w:hAnsi="Times New Roman" w:eastAsia="宋体" w:cs="Times New Roman"/>
          <w:color w:val="auto"/>
          <w:sz w:val="24"/>
          <w:highlight w:val="none"/>
          <w:lang w:val="en-US" w:eastAsia="zh-CN"/>
        </w:rPr>
        <w:t>生产用水</w:t>
      </w:r>
      <w:r>
        <w:rPr>
          <w:rFonts w:hint="eastAsia" w:ascii="Times New Roman" w:hAnsi="Times New Roman" w:eastAsia="宋体" w:cs="Times New Roman"/>
          <w:color w:val="auto"/>
          <w:sz w:val="24"/>
          <w:highlight w:val="none"/>
          <w:lang w:val="en-US" w:eastAsia="zh-CN"/>
        </w:rPr>
        <w:t>依托现有工程，</w:t>
      </w:r>
      <w:r>
        <w:rPr>
          <w:rFonts w:hint="default" w:ascii="Times New Roman" w:hAnsi="Times New Roman" w:eastAsia="宋体" w:cs="Times New Roman"/>
          <w:color w:val="auto"/>
          <w:sz w:val="24"/>
          <w:highlight w:val="none"/>
          <w:lang w:val="en-US" w:eastAsia="zh-CN"/>
        </w:rPr>
        <w:t>由</w:t>
      </w:r>
      <w:r>
        <w:rPr>
          <w:rFonts w:hint="eastAsia" w:ascii="Times New Roman" w:hAnsi="Times New Roman" w:eastAsia="宋体" w:cs="Times New Roman"/>
          <w:color w:val="auto"/>
          <w:sz w:val="24"/>
          <w:highlight w:val="none"/>
          <w:lang w:val="en-US" w:eastAsia="zh-CN"/>
        </w:rPr>
        <w:t>佳木斯中恒热电有限公司</w:t>
      </w:r>
      <w:r>
        <w:rPr>
          <w:rFonts w:hint="default" w:ascii="Times New Roman" w:hAnsi="Times New Roman" w:eastAsia="宋体" w:cs="Times New Roman"/>
          <w:color w:val="auto"/>
          <w:sz w:val="24"/>
          <w:highlight w:val="none"/>
          <w:lang w:val="en-US" w:eastAsia="zh-CN"/>
        </w:rPr>
        <w:t>热电厂一并供给，不单独建设化学软化水系统。</w:t>
      </w:r>
      <w:r>
        <w:rPr>
          <w:rFonts w:hint="eastAsia" w:ascii="Times New Roman" w:hAnsi="Times New Roman" w:eastAsia="宋体" w:cs="Times New Roman"/>
          <w:color w:val="auto"/>
          <w:sz w:val="24"/>
          <w:highlight w:val="none"/>
          <w:lang w:val="en-US" w:eastAsia="zh-CN"/>
        </w:rPr>
        <w:t>设计处理能力为120t/h，工艺：锰砂过滤器—高效纤维过滤器—纤维球过滤器—软化器—软化水池。</w:t>
      </w:r>
    </w:p>
    <w:bookmarkEnd w:id="228"/>
    <w:bookmarkEnd w:id="229"/>
    <w:bookmarkEnd w:id="231"/>
    <w:p w14:paraId="79F7798B">
      <w:pPr>
        <w:pStyle w:val="4"/>
        <w:numPr>
          <w:ilvl w:val="1"/>
          <w:numId w:val="3"/>
        </w:numPr>
        <w:bidi w:val="0"/>
        <w:ind w:left="567" w:leftChars="0" w:hanging="567" w:firstLineChars="0"/>
        <w:rPr>
          <w:rFonts w:hint="default" w:ascii="Times New Roman" w:hAnsi="Times New Roman" w:eastAsia="宋体" w:cs="Times New Roman"/>
          <w:b/>
          <w:bCs/>
          <w:color w:val="auto"/>
          <w:highlight w:val="none"/>
        </w:rPr>
      </w:pPr>
      <w:bookmarkStart w:id="259" w:name="_Toc5367"/>
      <w:bookmarkStart w:id="260" w:name="_Toc107238112"/>
      <w:bookmarkStart w:id="261" w:name="_Toc13619"/>
      <w:bookmarkStart w:id="262" w:name="_Toc105659895"/>
      <w:bookmarkStart w:id="263" w:name="_Toc14290"/>
      <w:r>
        <w:rPr>
          <w:rFonts w:hint="default" w:ascii="Times New Roman" w:hAnsi="Times New Roman" w:eastAsia="宋体" w:cs="Times New Roman"/>
          <w:b/>
          <w:bCs/>
          <w:color w:val="auto"/>
          <w:highlight w:val="none"/>
        </w:rPr>
        <w:t>公用工程</w:t>
      </w:r>
      <w:bookmarkEnd w:id="259"/>
      <w:bookmarkEnd w:id="260"/>
      <w:bookmarkEnd w:id="261"/>
      <w:bookmarkEnd w:id="262"/>
      <w:bookmarkEnd w:id="263"/>
    </w:p>
    <w:p w14:paraId="2FBB8D64">
      <w:pPr>
        <w:pStyle w:val="6"/>
        <w:numPr>
          <w:ilvl w:val="2"/>
          <w:numId w:val="3"/>
        </w:numPr>
        <w:bidi w:val="0"/>
        <w:ind w:left="709" w:leftChars="0" w:hanging="709" w:firstLineChars="0"/>
        <w:rPr>
          <w:rFonts w:hint="default" w:ascii="Times New Roman" w:hAnsi="Times New Roman" w:eastAsia="宋体" w:cs="Times New Roman"/>
          <w:color w:val="auto"/>
          <w:highlight w:val="none"/>
        </w:rPr>
      </w:pPr>
      <w:bookmarkStart w:id="264" w:name="_Toc3547"/>
      <w:bookmarkStart w:id="265" w:name="_Toc8126"/>
      <w:bookmarkStart w:id="266" w:name="_Toc20004"/>
      <w:r>
        <w:rPr>
          <w:rFonts w:hint="default" w:ascii="Times New Roman" w:hAnsi="Times New Roman" w:eastAsia="宋体" w:cs="Times New Roman"/>
          <w:color w:val="auto"/>
          <w:highlight w:val="none"/>
        </w:rPr>
        <w:t>给水系统</w:t>
      </w:r>
      <w:bookmarkEnd w:id="264"/>
      <w:bookmarkEnd w:id="265"/>
      <w:bookmarkEnd w:id="266"/>
    </w:p>
    <w:p w14:paraId="4C06A53E">
      <w:pPr>
        <w:ind w:firstLine="480"/>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lang w:eastAsia="zh-CN"/>
        </w:rPr>
        <w:t>（</w:t>
      </w:r>
      <w:r>
        <w:rPr>
          <w:rFonts w:hint="default" w:ascii="Times New Roman" w:hAnsi="Times New Roman" w:eastAsia="宋体" w:cs="Times New Roman"/>
          <w:color w:val="FF0000"/>
          <w:highlight w:val="none"/>
        </w:rPr>
        <w:t>1）水源</w:t>
      </w:r>
    </w:p>
    <w:p w14:paraId="2F1C07DE">
      <w:pPr>
        <w:ind w:firstLine="480"/>
        <w:rPr>
          <w:color w:val="FF0000"/>
          <w:highlight w:val="none"/>
        </w:rPr>
      </w:pPr>
      <w:r>
        <w:rPr>
          <w:rFonts w:hint="eastAsia" w:ascii="Times New Roman" w:hAnsi="Times New Roman" w:eastAsia="宋体" w:cs="Times New Roman"/>
          <w:color w:val="FF0000"/>
          <w:highlight w:val="none"/>
          <w:lang w:eastAsia="zh-CN"/>
        </w:rPr>
        <w:t>佳木斯中恒热电有限公司</w:t>
      </w:r>
      <w:r>
        <w:rPr>
          <w:rFonts w:hint="default" w:ascii="Times New Roman" w:hAnsi="Times New Roman" w:eastAsia="宋体" w:cs="Times New Roman"/>
          <w:color w:val="FF0000"/>
          <w:highlight w:val="none"/>
        </w:rPr>
        <w:t>有一整套生产、生活及消防管网，本工程厂址设在</w:t>
      </w:r>
      <w:r>
        <w:rPr>
          <w:rFonts w:hint="eastAsia" w:ascii="Times New Roman" w:hAnsi="Times New Roman" w:eastAsia="宋体" w:cs="Times New Roman"/>
          <w:color w:val="FF0000"/>
          <w:highlight w:val="none"/>
          <w:lang w:val="en-US" w:eastAsia="zh-CN"/>
        </w:rPr>
        <w:t>现有工程</w:t>
      </w:r>
      <w:r>
        <w:rPr>
          <w:rFonts w:hint="default" w:ascii="Times New Roman" w:hAnsi="Times New Roman" w:eastAsia="宋体" w:cs="Times New Roman"/>
          <w:color w:val="FF0000"/>
          <w:highlight w:val="none"/>
        </w:rPr>
        <w:t>厂区内。本工程生产、生活及消防用水分别接自现有厂区内的生产、生活及消防管网。</w:t>
      </w:r>
    </w:p>
    <w:p w14:paraId="256A0BE0">
      <w:pPr>
        <w:ind w:firstLine="480"/>
        <w:rPr>
          <w:rFonts w:hint="default" w:eastAsiaTheme="minorEastAsia"/>
          <w:color w:val="FF0000"/>
          <w:highlight w:val="none"/>
          <w:lang w:val="en-US" w:eastAsia="zh-CN"/>
        </w:rPr>
      </w:pPr>
      <w:r>
        <w:rPr>
          <w:rFonts w:hint="eastAsia"/>
          <w:color w:val="FF0000"/>
          <w:highlight w:val="none"/>
          <w:lang w:val="en-US" w:eastAsia="zh-CN"/>
        </w:rPr>
        <w:t>本项目已取得取水许可证，取水量</w:t>
      </w:r>
      <w:r>
        <w:rPr>
          <w:rFonts w:hint="default" w:ascii="Times New Roman" w:hAnsi="Times New Roman" w:cs="Times New Roman"/>
          <w:color w:val="FF0000"/>
          <w:highlight w:val="none"/>
          <w:lang w:val="en-US" w:eastAsia="zh-CN"/>
        </w:rPr>
        <w:t>90万m</w:t>
      </w:r>
      <w:r>
        <w:rPr>
          <w:rFonts w:hint="default" w:ascii="Times New Roman" w:hAnsi="Times New Roman" w:cs="Times New Roman"/>
          <w:color w:val="FF0000"/>
          <w:highlight w:val="none"/>
          <w:vertAlign w:val="superscript"/>
          <w:lang w:val="en-US" w:eastAsia="zh-CN"/>
        </w:rPr>
        <w:t>3</w:t>
      </w:r>
      <w:r>
        <w:rPr>
          <w:rFonts w:hint="default" w:ascii="Times New Roman" w:hAnsi="Times New Roman" w:cs="Times New Roman"/>
          <w:color w:val="FF0000"/>
          <w:highlight w:val="none"/>
          <w:lang w:val="en-US" w:eastAsia="zh-CN"/>
        </w:rPr>
        <w:t>/a</w:t>
      </w:r>
      <w:r>
        <w:rPr>
          <w:rFonts w:hint="eastAsia" w:ascii="Times New Roman" w:hAnsi="Times New Roman" w:cs="Times New Roman"/>
          <w:color w:val="FF0000"/>
          <w:highlight w:val="none"/>
          <w:lang w:val="en-US" w:eastAsia="zh-CN"/>
        </w:rPr>
        <w:t>，厂区内现有工程用水量约为100m</w:t>
      </w:r>
      <w:r>
        <w:rPr>
          <w:rFonts w:hint="eastAsia" w:ascii="Times New Roman" w:hAnsi="Times New Roman" w:cs="Times New Roman"/>
          <w:color w:val="FF0000"/>
          <w:highlight w:val="none"/>
          <w:vertAlign w:val="superscript"/>
          <w:lang w:val="en-US" w:eastAsia="zh-CN"/>
        </w:rPr>
        <w:t>3</w:t>
      </w:r>
      <w:r>
        <w:rPr>
          <w:rFonts w:hint="eastAsia" w:ascii="Times New Roman" w:hAnsi="Times New Roman" w:cs="Times New Roman"/>
          <w:color w:val="FF0000"/>
          <w:highlight w:val="none"/>
          <w:lang w:val="en-US" w:eastAsia="zh-CN"/>
        </w:rPr>
        <w:t>t/h，42.5万m</w:t>
      </w:r>
      <w:r>
        <w:rPr>
          <w:rFonts w:hint="eastAsia" w:ascii="Times New Roman" w:hAnsi="Times New Roman" w:cs="Times New Roman"/>
          <w:color w:val="FF0000"/>
          <w:highlight w:val="none"/>
          <w:vertAlign w:val="superscript"/>
          <w:lang w:val="en-US" w:eastAsia="zh-CN"/>
        </w:rPr>
        <w:t>3</w:t>
      </w:r>
      <w:r>
        <w:rPr>
          <w:rFonts w:hint="eastAsia" w:ascii="Times New Roman" w:hAnsi="Times New Roman" w:cs="Times New Roman"/>
          <w:color w:val="FF0000"/>
          <w:highlight w:val="none"/>
          <w:lang w:val="en-US" w:eastAsia="zh-CN"/>
        </w:rPr>
        <w:t>/a。</w:t>
      </w:r>
    </w:p>
    <w:p w14:paraId="6AD9AEBC">
      <w:pPr>
        <w:ind w:firstLine="480"/>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lang w:eastAsia="zh-CN"/>
        </w:rPr>
        <w:t>（</w:t>
      </w:r>
      <w:r>
        <w:rPr>
          <w:rFonts w:hint="default" w:ascii="Times New Roman" w:hAnsi="Times New Roman" w:eastAsia="宋体" w:cs="Times New Roman"/>
          <w:color w:val="FF0000"/>
          <w:highlight w:val="none"/>
        </w:rPr>
        <w:t>2）给水</w:t>
      </w:r>
    </w:p>
    <w:p w14:paraId="61C79FBB">
      <w:pPr>
        <w:ind w:firstLine="480"/>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给水系统包括：</w:t>
      </w:r>
      <w:r>
        <w:rPr>
          <w:rFonts w:hint="default" w:ascii="Times New Roman" w:hAnsi="Times New Roman" w:eastAsia="宋体" w:cs="Times New Roman"/>
          <w:color w:val="FF0000"/>
          <w:highlight w:val="none"/>
          <w:lang w:eastAsia="zh-CN"/>
        </w:rPr>
        <w:t>热网</w:t>
      </w:r>
      <w:r>
        <w:rPr>
          <w:rFonts w:hint="default" w:ascii="Times New Roman" w:hAnsi="Times New Roman" w:eastAsia="宋体" w:cs="Times New Roman"/>
          <w:color w:val="FF0000"/>
          <w:highlight w:val="none"/>
        </w:rPr>
        <w:t>补</w:t>
      </w:r>
      <w:r>
        <w:rPr>
          <w:rFonts w:hint="default" w:ascii="Times New Roman" w:hAnsi="Times New Roman" w:eastAsia="宋体" w:cs="Times New Roman"/>
          <w:color w:val="FF0000"/>
          <w:highlight w:val="none"/>
          <w:lang w:eastAsia="zh-CN"/>
        </w:rPr>
        <w:t>给</w:t>
      </w:r>
      <w:r>
        <w:rPr>
          <w:rFonts w:hint="default" w:ascii="Times New Roman" w:hAnsi="Times New Roman" w:eastAsia="宋体" w:cs="Times New Roman"/>
          <w:color w:val="FF0000"/>
          <w:highlight w:val="none"/>
        </w:rPr>
        <w:t>水</w:t>
      </w:r>
      <w:r>
        <w:rPr>
          <w:rFonts w:hint="eastAsia" w:ascii="Times New Roman" w:hAnsi="Times New Roman" w:eastAsia="宋体" w:cs="Times New Roman"/>
          <w:color w:val="FF0000"/>
          <w:highlight w:val="none"/>
          <w:lang w:eastAsia="zh-CN"/>
        </w:rPr>
        <w:t>、</w:t>
      </w:r>
      <w:r>
        <w:rPr>
          <w:rFonts w:hint="default" w:ascii="Times New Roman" w:hAnsi="Times New Roman" w:eastAsia="宋体" w:cs="Times New Roman"/>
          <w:color w:val="FF0000"/>
          <w:highlight w:val="none"/>
        </w:rPr>
        <w:t>锅炉补水、</w:t>
      </w:r>
      <w:r>
        <w:rPr>
          <w:rFonts w:hint="default" w:ascii="Times New Roman" w:hAnsi="Times New Roman" w:eastAsia="宋体" w:cs="Times New Roman"/>
          <w:color w:val="FF0000"/>
          <w:highlight w:val="none"/>
          <w:lang w:val="en-US" w:eastAsia="zh-CN"/>
        </w:rPr>
        <w:t>化学用水补充水</w:t>
      </w:r>
      <w:r>
        <w:rPr>
          <w:rFonts w:hint="eastAsia" w:ascii="Times New Roman" w:hAnsi="Times New Roman" w:eastAsia="宋体" w:cs="Times New Roman"/>
          <w:color w:val="FF0000"/>
          <w:highlight w:val="none"/>
          <w:lang w:val="en-US" w:eastAsia="zh-CN"/>
        </w:rPr>
        <w:t>、</w:t>
      </w:r>
      <w:r>
        <w:rPr>
          <w:rFonts w:hint="default" w:ascii="Times New Roman" w:hAnsi="Times New Roman" w:eastAsia="宋体" w:cs="Times New Roman"/>
          <w:color w:val="FF0000"/>
          <w:highlight w:val="none"/>
        </w:rPr>
        <w:t>脱硫用水、脱硝用水、</w:t>
      </w:r>
      <w:r>
        <w:rPr>
          <w:rFonts w:hint="default" w:ascii="Times New Roman" w:hAnsi="Times New Roman" w:eastAsia="宋体" w:cs="Times New Roman"/>
          <w:color w:val="FF0000"/>
          <w:highlight w:val="none"/>
          <w:lang w:eastAsia="zh-CN"/>
        </w:rPr>
        <w:t>输煤系统除尘</w:t>
      </w:r>
      <w:r>
        <w:rPr>
          <w:rFonts w:hint="eastAsia" w:ascii="Times New Roman" w:hAnsi="Times New Roman" w:eastAsia="宋体" w:cs="Times New Roman"/>
          <w:color w:val="FF0000"/>
          <w:highlight w:val="none"/>
          <w:lang w:val="en-US" w:eastAsia="zh-CN"/>
        </w:rPr>
        <w:t>用水</w:t>
      </w:r>
      <w:r>
        <w:rPr>
          <w:rFonts w:hint="default" w:ascii="Times New Roman" w:hAnsi="Times New Roman" w:eastAsia="宋体" w:cs="Times New Roman"/>
          <w:color w:val="FF0000"/>
          <w:highlight w:val="none"/>
          <w:lang w:eastAsia="zh-CN"/>
        </w:rPr>
        <w:t>、</w:t>
      </w:r>
      <w:r>
        <w:rPr>
          <w:rFonts w:hint="eastAsia" w:ascii="Times New Roman" w:hAnsi="Times New Roman" w:eastAsia="宋体" w:cs="Times New Roman"/>
          <w:color w:val="FF0000"/>
          <w:highlight w:val="none"/>
          <w:lang w:val="en-US" w:eastAsia="zh-CN"/>
        </w:rPr>
        <w:t>冷</w:t>
      </w:r>
      <w:r>
        <w:rPr>
          <w:rFonts w:hint="default" w:ascii="Times New Roman" w:hAnsi="Times New Roman" w:eastAsia="宋体" w:cs="Times New Roman"/>
          <w:color w:val="FF0000"/>
          <w:highlight w:val="none"/>
          <w:lang w:eastAsia="zh-CN"/>
        </w:rPr>
        <w:t>渣机用水、</w:t>
      </w:r>
      <w:r>
        <w:rPr>
          <w:rFonts w:hint="default" w:ascii="Times New Roman" w:hAnsi="Times New Roman" w:eastAsia="宋体" w:cs="Times New Roman"/>
          <w:color w:val="FF0000"/>
          <w:highlight w:val="none"/>
        </w:rPr>
        <w:t>生活用水</w:t>
      </w:r>
      <w:r>
        <w:rPr>
          <w:rFonts w:hint="default" w:ascii="Times New Roman" w:hAnsi="Times New Roman" w:eastAsia="宋体" w:cs="Times New Roman"/>
          <w:color w:val="FF0000"/>
          <w:highlight w:val="none"/>
          <w:lang w:eastAsia="zh-CN"/>
        </w:rPr>
        <w:t>、</w:t>
      </w:r>
      <w:r>
        <w:rPr>
          <w:rFonts w:hint="default" w:ascii="Times New Roman" w:hAnsi="Times New Roman" w:eastAsia="宋体" w:cs="Times New Roman"/>
          <w:color w:val="FF0000"/>
          <w:highlight w:val="none"/>
          <w:lang w:val="en-US" w:eastAsia="zh-CN"/>
        </w:rPr>
        <w:t>地面冲洗用水、渣库降尘</w:t>
      </w:r>
      <w:r>
        <w:rPr>
          <w:rFonts w:hint="eastAsia" w:ascii="Times New Roman" w:hAnsi="Times New Roman" w:eastAsia="宋体" w:cs="Times New Roman"/>
          <w:color w:val="FF0000"/>
          <w:highlight w:val="none"/>
          <w:lang w:val="en-US" w:eastAsia="zh-CN"/>
        </w:rPr>
        <w:t>用水</w:t>
      </w:r>
      <w:r>
        <w:rPr>
          <w:rFonts w:hint="default" w:ascii="Times New Roman" w:hAnsi="Times New Roman" w:eastAsia="宋体" w:cs="Times New Roman"/>
          <w:color w:val="FF0000"/>
          <w:highlight w:val="none"/>
        </w:rPr>
        <w:t>等部分组成。</w:t>
      </w:r>
    </w:p>
    <w:p w14:paraId="74575D23">
      <w:pPr>
        <w:ind w:firstLine="480"/>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highlight w:val="none"/>
        </w:rPr>
        <w:t>①</w:t>
      </w:r>
      <w:r>
        <w:rPr>
          <w:rFonts w:hint="eastAsia" w:ascii="Times New Roman" w:hAnsi="Times New Roman" w:eastAsia="宋体" w:cs="Times New Roman"/>
          <w:color w:val="FF0000"/>
          <w:highlight w:val="none"/>
          <w:lang w:val="en-US" w:eastAsia="zh-CN"/>
        </w:rPr>
        <w:t>锅炉补水：根据建设单位提供设计资料，锅炉排污水为5m</w:t>
      </w:r>
      <w:r>
        <w:rPr>
          <w:rFonts w:hint="eastAsia" w:ascii="Times New Roman" w:hAnsi="Times New Roman" w:eastAsia="宋体" w:cs="Times New Roman"/>
          <w:color w:val="FF0000"/>
          <w:highlight w:val="none"/>
          <w:vertAlign w:val="superscript"/>
          <w:lang w:val="en-US" w:eastAsia="zh-CN"/>
        </w:rPr>
        <w:t>3</w:t>
      </w:r>
      <w:r>
        <w:rPr>
          <w:rFonts w:hint="eastAsia" w:ascii="Times New Roman" w:hAnsi="Times New Roman" w:eastAsia="宋体" w:cs="Times New Roman"/>
          <w:color w:val="FF0000"/>
          <w:highlight w:val="none"/>
          <w:lang w:val="en-US" w:eastAsia="zh-CN"/>
        </w:rPr>
        <w:t>/h。</w:t>
      </w:r>
    </w:p>
    <w:p w14:paraId="5DC21932">
      <w:pPr>
        <w:ind w:firstLine="480"/>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②</w:t>
      </w:r>
      <w:r>
        <w:rPr>
          <w:rFonts w:hint="eastAsia" w:ascii="Times New Roman" w:hAnsi="Times New Roman" w:eastAsia="宋体" w:cs="Times New Roman"/>
          <w:color w:val="FF0000"/>
          <w:highlight w:val="none"/>
          <w:lang w:eastAsia="zh-CN"/>
        </w:rPr>
        <w:t>热网</w:t>
      </w:r>
      <w:r>
        <w:rPr>
          <w:rFonts w:hint="default" w:ascii="Times New Roman" w:hAnsi="Times New Roman" w:eastAsia="宋体" w:cs="Times New Roman"/>
          <w:color w:val="FF0000"/>
          <w:highlight w:val="none"/>
        </w:rPr>
        <w:t>补</w:t>
      </w:r>
      <w:r>
        <w:rPr>
          <w:rFonts w:hint="eastAsia" w:ascii="Times New Roman" w:hAnsi="Times New Roman" w:eastAsia="宋体" w:cs="Times New Roman"/>
          <w:color w:val="FF0000"/>
          <w:highlight w:val="none"/>
          <w:lang w:eastAsia="zh-CN"/>
        </w:rPr>
        <w:t>给</w:t>
      </w:r>
      <w:r>
        <w:rPr>
          <w:rFonts w:hint="default" w:ascii="Times New Roman" w:hAnsi="Times New Roman" w:eastAsia="宋体" w:cs="Times New Roman"/>
          <w:color w:val="FF0000"/>
          <w:highlight w:val="none"/>
        </w:rPr>
        <w:t>水：根据</w:t>
      </w:r>
      <w:r>
        <w:rPr>
          <w:rFonts w:hint="eastAsia" w:ascii="Times New Roman" w:hAnsi="Times New Roman" w:eastAsia="宋体" w:cs="Times New Roman"/>
          <w:color w:val="FF0000"/>
          <w:highlight w:val="none"/>
          <w:lang w:eastAsia="zh-CN"/>
        </w:rPr>
        <w:t>建设单位提供设计</w:t>
      </w:r>
      <w:r>
        <w:rPr>
          <w:rFonts w:hint="default" w:ascii="Times New Roman" w:hAnsi="Times New Roman" w:eastAsia="宋体" w:cs="Times New Roman"/>
          <w:color w:val="FF0000"/>
          <w:highlight w:val="none"/>
        </w:rPr>
        <w:t>资料，热网</w:t>
      </w:r>
      <w:r>
        <w:rPr>
          <w:rFonts w:hint="eastAsia" w:ascii="Times New Roman" w:hAnsi="Times New Roman" w:eastAsia="宋体" w:cs="Times New Roman"/>
          <w:color w:val="FF0000"/>
          <w:highlight w:val="none"/>
          <w:lang w:eastAsia="zh-CN"/>
        </w:rPr>
        <w:t>补给</w:t>
      </w:r>
      <w:r>
        <w:rPr>
          <w:rFonts w:hint="default" w:ascii="Times New Roman" w:hAnsi="Times New Roman" w:eastAsia="宋体" w:cs="Times New Roman"/>
          <w:color w:val="FF0000"/>
          <w:highlight w:val="none"/>
        </w:rPr>
        <w:t>水量</w:t>
      </w:r>
      <w:r>
        <w:rPr>
          <w:rFonts w:hint="eastAsia" w:ascii="Times New Roman" w:hAnsi="Times New Roman" w:eastAsia="宋体" w:cs="Times New Roman"/>
          <w:color w:val="FF0000"/>
          <w:highlight w:val="none"/>
          <w:lang w:eastAsia="zh-CN"/>
        </w:rPr>
        <w:t>约</w:t>
      </w:r>
      <w:r>
        <w:rPr>
          <w:rFonts w:hint="default" w:ascii="Times New Roman" w:hAnsi="Times New Roman" w:eastAsia="宋体" w:cs="Times New Roman"/>
          <w:color w:val="FF0000"/>
          <w:highlight w:val="none"/>
        </w:rPr>
        <w:t>为</w:t>
      </w:r>
      <w:r>
        <w:rPr>
          <w:rFonts w:hint="eastAsia" w:ascii="Times New Roman" w:hAnsi="Times New Roman" w:eastAsia="宋体" w:cs="Times New Roman"/>
          <w:color w:val="FF0000"/>
          <w:highlight w:val="none"/>
          <w:lang w:val="en-US" w:eastAsia="zh-CN"/>
        </w:rPr>
        <w:t>1</w:t>
      </w:r>
      <w:r>
        <w:rPr>
          <w:rFonts w:hint="default" w:ascii="Times New Roman" w:hAnsi="Times New Roman" w:eastAsia="宋体" w:cs="Times New Roman"/>
          <w:color w:val="FF0000"/>
          <w:highlight w:val="none"/>
        </w:rPr>
        <w:t>m</w:t>
      </w:r>
      <w:r>
        <w:rPr>
          <w:rFonts w:hint="default" w:ascii="Times New Roman" w:hAnsi="Times New Roman" w:eastAsia="宋体" w:cs="Times New Roman"/>
          <w:color w:val="FF0000"/>
          <w:highlight w:val="none"/>
          <w:vertAlign w:val="superscript"/>
        </w:rPr>
        <w:t>3</w:t>
      </w:r>
      <w:r>
        <w:rPr>
          <w:rFonts w:hint="default" w:ascii="Times New Roman" w:hAnsi="Times New Roman" w:eastAsia="宋体" w:cs="Times New Roman"/>
          <w:color w:val="FF0000"/>
          <w:highlight w:val="none"/>
        </w:rPr>
        <w:t>/h。</w:t>
      </w:r>
    </w:p>
    <w:p w14:paraId="00C375FE">
      <w:pPr>
        <w:ind w:firstLine="480"/>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③脱硝用水量：根据建设单位提供的设计资料，本项目脱硝系统用水量为</w:t>
      </w:r>
      <w:r>
        <w:rPr>
          <w:rFonts w:hint="eastAsia" w:ascii="Times New Roman" w:hAnsi="Times New Roman" w:eastAsia="宋体" w:cs="Times New Roman"/>
          <w:color w:val="FF0000"/>
          <w:highlight w:val="none"/>
          <w:lang w:val="en-US" w:eastAsia="zh-CN"/>
        </w:rPr>
        <w:t>0.1</w:t>
      </w:r>
      <w:r>
        <w:rPr>
          <w:rFonts w:hint="default" w:ascii="Times New Roman" w:hAnsi="Times New Roman" w:eastAsia="宋体" w:cs="Times New Roman"/>
          <w:color w:val="FF0000"/>
          <w:highlight w:val="none"/>
        </w:rPr>
        <w:t>m</w:t>
      </w:r>
      <w:r>
        <w:rPr>
          <w:rFonts w:hint="default" w:ascii="Times New Roman" w:hAnsi="Times New Roman" w:eastAsia="宋体" w:cs="Times New Roman"/>
          <w:color w:val="FF0000"/>
          <w:highlight w:val="none"/>
          <w:vertAlign w:val="superscript"/>
        </w:rPr>
        <w:t>3</w:t>
      </w:r>
      <w:r>
        <w:rPr>
          <w:rFonts w:hint="default" w:ascii="Times New Roman" w:hAnsi="Times New Roman" w:eastAsia="宋体" w:cs="Times New Roman"/>
          <w:color w:val="FF0000"/>
          <w:highlight w:val="none"/>
        </w:rPr>
        <w:t>/h。</w:t>
      </w:r>
    </w:p>
    <w:p w14:paraId="000C0080">
      <w:pPr>
        <w:ind w:firstLine="480"/>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④脱硫用水</w:t>
      </w:r>
      <w:r>
        <w:rPr>
          <w:rFonts w:hint="eastAsia" w:ascii="Times New Roman" w:hAnsi="Times New Roman" w:eastAsia="宋体" w:cs="Times New Roman"/>
          <w:color w:val="FF0000"/>
          <w:highlight w:val="none"/>
          <w:lang w:eastAsia="zh-CN"/>
        </w:rPr>
        <w:t>量</w:t>
      </w:r>
      <w:r>
        <w:rPr>
          <w:rFonts w:hint="default" w:ascii="Times New Roman" w:hAnsi="Times New Roman" w:eastAsia="宋体" w:cs="Times New Roman"/>
          <w:color w:val="FF0000"/>
          <w:highlight w:val="none"/>
        </w:rPr>
        <w:t>：根据建设单位提供的设计资料，脱硫系统用水量为</w:t>
      </w:r>
      <w:r>
        <w:rPr>
          <w:rFonts w:hint="eastAsia" w:ascii="Times New Roman" w:hAnsi="Times New Roman" w:eastAsia="宋体" w:cs="Times New Roman"/>
          <w:color w:val="FF0000"/>
          <w:highlight w:val="none"/>
          <w:lang w:val="en-US" w:eastAsia="zh-CN"/>
        </w:rPr>
        <w:t>2</w:t>
      </w:r>
      <w:r>
        <w:rPr>
          <w:rFonts w:hint="default" w:ascii="Times New Roman" w:hAnsi="Times New Roman" w:eastAsia="宋体" w:cs="Times New Roman"/>
          <w:color w:val="FF0000"/>
          <w:highlight w:val="none"/>
        </w:rPr>
        <w:t>m</w:t>
      </w:r>
      <w:r>
        <w:rPr>
          <w:rFonts w:hint="default" w:ascii="Times New Roman" w:hAnsi="Times New Roman" w:eastAsia="宋体" w:cs="Times New Roman"/>
          <w:color w:val="FF0000"/>
          <w:highlight w:val="none"/>
          <w:vertAlign w:val="superscript"/>
        </w:rPr>
        <w:t>3</w:t>
      </w:r>
      <w:r>
        <w:rPr>
          <w:rFonts w:hint="default" w:ascii="Times New Roman" w:hAnsi="Times New Roman" w:eastAsia="宋体" w:cs="Times New Roman"/>
          <w:color w:val="FF0000"/>
          <w:highlight w:val="none"/>
        </w:rPr>
        <w:t>/h。</w:t>
      </w:r>
    </w:p>
    <w:p w14:paraId="193F172F">
      <w:pPr>
        <w:ind w:firstLine="480"/>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highlight w:val="none"/>
          <w:lang w:eastAsia="zh-CN"/>
        </w:rPr>
        <w:t>⑤</w:t>
      </w:r>
      <w:r>
        <w:rPr>
          <w:rFonts w:hint="eastAsia" w:ascii="Times New Roman" w:hAnsi="Times New Roman" w:eastAsia="宋体" w:cs="Times New Roman"/>
          <w:color w:val="FF0000"/>
          <w:highlight w:val="none"/>
          <w:lang w:val="en-US" w:eastAsia="zh-CN"/>
        </w:rPr>
        <w:t>化学软化水</w:t>
      </w:r>
      <w:r>
        <w:rPr>
          <w:rFonts w:hint="default" w:ascii="Times New Roman" w:hAnsi="Times New Roman" w:eastAsia="宋体" w:cs="Times New Roman"/>
          <w:color w:val="FF0000"/>
          <w:highlight w:val="none"/>
          <w:lang w:val="en-US" w:eastAsia="zh-CN"/>
        </w:rPr>
        <w:t>：主要供给锅炉补充水、脱硝系统用水，</w:t>
      </w:r>
      <w:r>
        <w:rPr>
          <w:rFonts w:hint="eastAsia" w:ascii="Times New Roman" w:hAnsi="Times New Roman" w:eastAsia="宋体" w:cs="Times New Roman"/>
          <w:color w:val="FF0000"/>
          <w:highlight w:val="none"/>
          <w:lang w:val="en-US" w:eastAsia="zh-CN"/>
        </w:rPr>
        <w:t>使用软化水</w:t>
      </w:r>
      <w:r>
        <w:rPr>
          <w:rFonts w:hint="default" w:ascii="Times New Roman" w:hAnsi="Times New Roman" w:eastAsia="宋体" w:cs="Times New Roman"/>
          <w:color w:val="FF0000"/>
          <w:highlight w:val="none"/>
          <w:lang w:val="en-US" w:eastAsia="zh-CN"/>
        </w:rPr>
        <w:t>，补充水量约为</w:t>
      </w:r>
      <w:r>
        <w:rPr>
          <w:rFonts w:hint="eastAsia" w:ascii="Times New Roman" w:hAnsi="Times New Roman" w:eastAsia="宋体" w:cs="Times New Roman"/>
          <w:color w:val="FF0000"/>
          <w:highlight w:val="none"/>
          <w:lang w:val="en-US" w:eastAsia="zh-CN"/>
        </w:rPr>
        <w:t>6.67</w:t>
      </w:r>
      <w:r>
        <w:rPr>
          <w:rFonts w:hint="default" w:ascii="Times New Roman" w:hAnsi="Times New Roman" w:eastAsia="宋体" w:cs="Times New Roman"/>
          <w:color w:val="FF0000"/>
          <w:highlight w:val="none"/>
          <w:lang w:val="en-US" w:eastAsia="zh-CN"/>
        </w:rPr>
        <w:t>m</w:t>
      </w:r>
      <w:r>
        <w:rPr>
          <w:rFonts w:hint="default" w:ascii="Times New Roman" w:hAnsi="Times New Roman" w:eastAsia="宋体" w:cs="Times New Roman"/>
          <w:color w:val="FF0000"/>
          <w:highlight w:val="none"/>
          <w:vertAlign w:val="superscript"/>
          <w:lang w:val="en-US" w:eastAsia="zh-CN"/>
        </w:rPr>
        <w:t>3</w:t>
      </w:r>
      <w:r>
        <w:rPr>
          <w:rFonts w:hint="default" w:ascii="Times New Roman" w:hAnsi="Times New Roman" w:eastAsia="宋体" w:cs="Times New Roman"/>
          <w:color w:val="FF0000"/>
          <w:highlight w:val="none"/>
          <w:lang w:val="en-US" w:eastAsia="zh-CN"/>
        </w:rPr>
        <w:t>/h。本项目化学软化水系统，利用</w:t>
      </w:r>
      <w:r>
        <w:rPr>
          <w:rFonts w:hint="eastAsia" w:ascii="Times New Roman" w:hAnsi="Times New Roman" w:eastAsia="宋体" w:cs="Times New Roman"/>
          <w:color w:val="FF0000"/>
          <w:highlight w:val="none"/>
          <w:lang w:val="en-US" w:eastAsia="zh-CN"/>
        </w:rPr>
        <w:t>佳木斯中恒热电有限公司</w:t>
      </w:r>
      <w:r>
        <w:rPr>
          <w:rFonts w:hint="default" w:ascii="Times New Roman" w:hAnsi="Times New Roman" w:eastAsia="宋体" w:cs="Times New Roman"/>
          <w:color w:val="FF0000"/>
          <w:highlight w:val="none"/>
          <w:lang w:val="en-US" w:eastAsia="zh-CN"/>
        </w:rPr>
        <w:t>主热源现有制、补水系统，不再另建新系统。</w:t>
      </w:r>
      <w:r>
        <w:rPr>
          <w:rFonts w:hint="eastAsia" w:ascii="Times New Roman" w:hAnsi="Times New Roman" w:eastAsia="宋体" w:cs="Times New Roman"/>
          <w:color w:val="FF0000"/>
          <w:highlight w:val="none"/>
          <w:lang w:val="en-US" w:eastAsia="zh-CN"/>
        </w:rPr>
        <w:t>现有工程软化水制备工艺：锰砂过滤器—高效纤维过滤器—纤维球过滤器—软化器—软化水池，制备能力为120</w:t>
      </w:r>
      <w:r>
        <w:rPr>
          <w:rFonts w:hint="default" w:ascii="Times New Roman" w:hAnsi="Times New Roman" w:eastAsia="宋体" w:cs="Times New Roman"/>
          <w:color w:val="FF0000"/>
          <w:highlight w:val="none"/>
        </w:rPr>
        <w:t>m</w:t>
      </w:r>
      <w:r>
        <w:rPr>
          <w:rFonts w:hint="default" w:ascii="Times New Roman" w:hAnsi="Times New Roman" w:eastAsia="宋体" w:cs="Times New Roman"/>
          <w:color w:val="FF0000"/>
          <w:highlight w:val="none"/>
          <w:vertAlign w:val="superscript"/>
        </w:rPr>
        <w:t>3</w:t>
      </w:r>
      <w:r>
        <w:rPr>
          <w:rFonts w:hint="default" w:ascii="Times New Roman" w:hAnsi="Times New Roman" w:eastAsia="宋体" w:cs="Times New Roman"/>
          <w:color w:val="FF0000"/>
          <w:highlight w:val="none"/>
        </w:rPr>
        <w:t>/h</w:t>
      </w:r>
      <w:r>
        <w:rPr>
          <w:rFonts w:hint="eastAsia" w:ascii="Times New Roman" w:hAnsi="Times New Roman" w:eastAsia="宋体" w:cs="Times New Roman"/>
          <w:color w:val="FF0000"/>
          <w:highlight w:val="none"/>
          <w:lang w:val="en-US" w:eastAsia="zh-CN"/>
        </w:rPr>
        <w:t>。现有工程软化水用量为77.5</w:t>
      </w:r>
      <w:r>
        <w:rPr>
          <w:rFonts w:hint="default" w:ascii="Times New Roman" w:hAnsi="Times New Roman" w:eastAsia="宋体" w:cs="Times New Roman"/>
          <w:color w:val="FF0000"/>
          <w:highlight w:val="none"/>
        </w:rPr>
        <w:t>m</w:t>
      </w:r>
      <w:r>
        <w:rPr>
          <w:rFonts w:hint="default" w:ascii="Times New Roman" w:hAnsi="Times New Roman" w:eastAsia="宋体" w:cs="Times New Roman"/>
          <w:color w:val="FF0000"/>
          <w:highlight w:val="none"/>
          <w:vertAlign w:val="superscript"/>
        </w:rPr>
        <w:t>3</w:t>
      </w:r>
      <w:r>
        <w:rPr>
          <w:rFonts w:hint="default" w:ascii="Times New Roman" w:hAnsi="Times New Roman" w:eastAsia="宋体" w:cs="Times New Roman"/>
          <w:color w:val="FF0000"/>
          <w:highlight w:val="none"/>
        </w:rPr>
        <w:t>/h</w:t>
      </w:r>
      <w:r>
        <w:rPr>
          <w:rFonts w:hint="eastAsia" w:ascii="Times New Roman" w:hAnsi="Times New Roman" w:eastAsia="宋体" w:cs="Times New Roman"/>
          <w:color w:val="FF0000"/>
          <w:highlight w:val="none"/>
          <w:lang w:eastAsia="zh-CN"/>
        </w:rPr>
        <w:t>，</w:t>
      </w:r>
      <w:r>
        <w:rPr>
          <w:rFonts w:hint="eastAsia" w:ascii="Times New Roman" w:hAnsi="Times New Roman" w:eastAsia="宋体" w:cs="Times New Roman"/>
          <w:color w:val="FF0000"/>
          <w:highlight w:val="none"/>
          <w:lang w:val="en-US" w:eastAsia="zh-CN"/>
        </w:rPr>
        <w:t>本项目软化水用量为6.67m</w:t>
      </w:r>
      <w:r>
        <w:rPr>
          <w:rFonts w:hint="eastAsia" w:ascii="Times New Roman" w:hAnsi="Times New Roman" w:eastAsia="宋体" w:cs="Times New Roman"/>
          <w:color w:val="FF0000"/>
          <w:highlight w:val="none"/>
          <w:vertAlign w:val="superscript"/>
          <w:lang w:val="en-US" w:eastAsia="zh-CN"/>
        </w:rPr>
        <w:t>3</w:t>
      </w:r>
      <w:r>
        <w:rPr>
          <w:rFonts w:hint="eastAsia" w:ascii="Times New Roman" w:hAnsi="Times New Roman" w:eastAsia="宋体" w:cs="Times New Roman"/>
          <w:color w:val="FF0000"/>
          <w:highlight w:val="none"/>
          <w:lang w:val="en-US" w:eastAsia="zh-CN"/>
        </w:rPr>
        <w:t>/h，全厂软化水用量84.17</w:t>
      </w:r>
      <w:r>
        <w:rPr>
          <w:rFonts w:hint="default" w:ascii="Times New Roman" w:hAnsi="Times New Roman" w:eastAsia="宋体" w:cs="Times New Roman"/>
          <w:color w:val="FF0000"/>
          <w:highlight w:val="none"/>
        </w:rPr>
        <w:t>m</w:t>
      </w:r>
      <w:r>
        <w:rPr>
          <w:rFonts w:hint="default" w:ascii="Times New Roman" w:hAnsi="Times New Roman" w:eastAsia="宋体" w:cs="Times New Roman"/>
          <w:color w:val="FF0000"/>
          <w:highlight w:val="none"/>
          <w:vertAlign w:val="superscript"/>
        </w:rPr>
        <w:t>3</w:t>
      </w:r>
      <w:r>
        <w:rPr>
          <w:rFonts w:hint="default" w:ascii="Times New Roman" w:hAnsi="Times New Roman" w:eastAsia="宋体" w:cs="Times New Roman"/>
          <w:color w:val="FF0000"/>
          <w:highlight w:val="none"/>
        </w:rPr>
        <w:t>/h</w:t>
      </w:r>
      <w:r>
        <w:rPr>
          <w:rFonts w:hint="eastAsia" w:ascii="Times New Roman" w:hAnsi="Times New Roman" w:eastAsia="宋体" w:cs="Times New Roman"/>
          <w:color w:val="FF0000"/>
          <w:highlight w:val="none"/>
          <w:lang w:eastAsia="zh-CN"/>
        </w:rPr>
        <w:t>。</w:t>
      </w:r>
      <w:r>
        <w:rPr>
          <w:rFonts w:hint="eastAsia" w:ascii="Times New Roman" w:hAnsi="Times New Roman" w:eastAsia="宋体" w:cs="Times New Roman"/>
          <w:color w:val="FF0000"/>
          <w:highlight w:val="none"/>
          <w:lang w:val="en-US" w:eastAsia="zh-CN"/>
        </w:rPr>
        <w:t>本项目建成后软化水用量小于软化水制备设施的单位小时制备能力，因此，本项目软化水制备依托厂区内现有软化水制备系统可行。</w:t>
      </w:r>
    </w:p>
    <w:p w14:paraId="67B953FE">
      <w:pPr>
        <w:ind w:firstLine="480"/>
        <w:rPr>
          <w:rFonts w:hint="eastAsia"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highlight w:val="none"/>
          <w:lang w:val="en-US" w:eastAsia="zh-CN"/>
        </w:rPr>
        <w:t>⑥输煤栈桥冲洗用水</w:t>
      </w:r>
      <w:r>
        <w:rPr>
          <w:rFonts w:hint="eastAsia" w:ascii="Times New Roman" w:hAnsi="Times New Roman" w:eastAsia="宋体" w:cs="Times New Roman"/>
          <w:color w:val="FF0000"/>
          <w:highlight w:val="none"/>
          <w:lang w:val="en-US" w:eastAsia="zh-CN"/>
        </w:rPr>
        <w:t>、除尘、除灰渣用水</w:t>
      </w:r>
    </w:p>
    <w:p w14:paraId="053A6322">
      <w:pPr>
        <w:ind w:firstLine="480"/>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highlight w:val="none"/>
          <w:lang w:val="en-US" w:eastAsia="zh-CN"/>
        </w:rPr>
        <w:t>输煤栈桥冲洗用水</w:t>
      </w:r>
      <w:r>
        <w:rPr>
          <w:rFonts w:hint="eastAsia" w:ascii="Times New Roman" w:hAnsi="Times New Roman" w:eastAsia="宋体" w:cs="Times New Roman"/>
          <w:color w:val="FF0000"/>
          <w:highlight w:val="none"/>
          <w:lang w:val="en-US" w:eastAsia="zh-CN"/>
        </w:rPr>
        <w:t>、除尘、除灰渣用水主要利用软化水排水、脱硫排水、锅炉排水，用水量为6.52m</w:t>
      </w:r>
      <w:r>
        <w:rPr>
          <w:rFonts w:hint="eastAsia" w:ascii="Times New Roman" w:hAnsi="Times New Roman" w:eastAsia="宋体" w:cs="Times New Roman"/>
          <w:color w:val="FF0000"/>
          <w:highlight w:val="none"/>
          <w:vertAlign w:val="superscript"/>
          <w:lang w:val="en-US" w:eastAsia="zh-CN"/>
        </w:rPr>
        <w:t>3</w:t>
      </w:r>
      <w:r>
        <w:rPr>
          <w:rFonts w:hint="eastAsia" w:ascii="Times New Roman" w:hAnsi="Times New Roman" w:eastAsia="宋体" w:cs="Times New Roman"/>
          <w:color w:val="FF0000"/>
          <w:highlight w:val="none"/>
          <w:lang w:val="en-US" w:eastAsia="zh-CN"/>
        </w:rPr>
        <w:t>/h。</w:t>
      </w:r>
    </w:p>
    <w:p w14:paraId="00C4D1BB">
      <w:pPr>
        <w:ind w:firstLine="480"/>
        <w:rPr>
          <w:rFonts w:hint="eastAsia" w:ascii="Times New Roman" w:hAnsi="Times New Roman" w:eastAsia="宋体" w:cs="Times New Roman"/>
          <w:color w:val="FF0000"/>
          <w:highlight w:val="none"/>
          <w:lang w:eastAsia="zh-CN"/>
        </w:rPr>
      </w:pPr>
      <w:r>
        <w:rPr>
          <w:rFonts w:hint="default" w:ascii="Times New Roman" w:hAnsi="Times New Roman" w:eastAsia="宋体" w:cs="Times New Roman"/>
          <w:color w:val="FF0000"/>
          <w:highlight w:val="none"/>
          <w:lang w:val="en-US" w:eastAsia="zh-CN"/>
        </w:rPr>
        <w:t>⑦</w:t>
      </w:r>
      <w:r>
        <w:rPr>
          <w:rFonts w:hint="eastAsia" w:ascii="Times New Roman" w:hAnsi="Times New Roman" w:eastAsia="宋体" w:cs="Times New Roman"/>
          <w:color w:val="FF0000"/>
          <w:highlight w:val="none"/>
          <w:lang w:val="en-US" w:eastAsia="zh-CN"/>
        </w:rPr>
        <w:t>生活用水：本项目不新增员工，不新增生活用水。</w:t>
      </w:r>
    </w:p>
    <w:p w14:paraId="74008654">
      <w:pPr>
        <w:ind w:firstLine="480"/>
        <w:rPr>
          <w:rFonts w:hint="eastAsia"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highlight w:val="none"/>
          <w:lang w:val="en-US" w:eastAsia="zh-CN"/>
        </w:rPr>
        <w:t>⑧</w:t>
      </w:r>
      <w:r>
        <w:rPr>
          <w:rFonts w:hint="eastAsia" w:ascii="Times New Roman" w:hAnsi="Times New Roman" w:eastAsia="宋体" w:cs="Times New Roman"/>
          <w:color w:val="FF0000"/>
          <w:highlight w:val="none"/>
          <w:lang w:eastAsia="zh-CN"/>
        </w:rPr>
        <w:t>初期雨水</w:t>
      </w:r>
      <w:r>
        <w:rPr>
          <w:rFonts w:hint="default" w:ascii="Times New Roman" w:hAnsi="Times New Roman" w:eastAsia="宋体" w:cs="Times New Roman"/>
          <w:color w:val="FF0000"/>
          <w:highlight w:val="none"/>
          <w:lang w:eastAsia="zh-CN"/>
        </w:rPr>
        <w:t>：</w:t>
      </w:r>
      <w:r>
        <w:rPr>
          <w:rFonts w:hint="default" w:ascii="Times New Roman" w:hAnsi="Times New Roman" w:eastAsia="宋体" w:cs="Times New Roman"/>
          <w:bCs/>
          <w:color w:val="FF0000"/>
          <w:kern w:val="2"/>
          <w:sz w:val="24"/>
          <w:szCs w:val="24"/>
          <w:highlight w:val="none"/>
          <w:lang w:val="en-US" w:eastAsia="zh-CN" w:bidi="ar-SA"/>
        </w:rPr>
        <w:t>本项目</w:t>
      </w:r>
      <w:r>
        <w:rPr>
          <w:rFonts w:hint="eastAsia" w:ascii="Times New Roman" w:hAnsi="Times New Roman" w:eastAsia="宋体" w:cs="Times New Roman"/>
          <w:bCs/>
          <w:color w:val="FF0000"/>
          <w:kern w:val="2"/>
          <w:sz w:val="24"/>
          <w:szCs w:val="24"/>
          <w:highlight w:val="none"/>
          <w:lang w:val="en-US" w:eastAsia="zh-CN" w:bidi="ar-SA"/>
        </w:rPr>
        <w:t>不新增占地，不新增初期雨水。</w:t>
      </w:r>
    </w:p>
    <w:p w14:paraId="5981B5F8">
      <w:pPr>
        <w:pStyle w:val="6"/>
        <w:numPr>
          <w:ilvl w:val="2"/>
          <w:numId w:val="3"/>
        </w:numPr>
        <w:bidi w:val="0"/>
        <w:ind w:left="709" w:leftChars="0" w:hanging="709" w:firstLineChars="0"/>
        <w:rPr>
          <w:rFonts w:hint="default" w:ascii="Times New Roman" w:hAnsi="Times New Roman" w:eastAsia="宋体" w:cs="Times New Roman"/>
          <w:color w:val="FF0000"/>
          <w:highlight w:val="none"/>
        </w:rPr>
      </w:pPr>
      <w:bookmarkStart w:id="267" w:name="_Toc24832"/>
      <w:bookmarkStart w:id="268" w:name="_Toc13"/>
      <w:bookmarkStart w:id="269" w:name="_Toc27556"/>
      <w:r>
        <w:rPr>
          <w:rFonts w:hint="default" w:ascii="Times New Roman" w:hAnsi="Times New Roman" w:eastAsia="宋体" w:cs="Times New Roman"/>
          <w:color w:val="FF0000"/>
          <w:highlight w:val="none"/>
        </w:rPr>
        <w:t>排水</w:t>
      </w:r>
      <w:bookmarkEnd w:id="267"/>
      <w:bookmarkEnd w:id="268"/>
      <w:bookmarkEnd w:id="269"/>
      <w:r>
        <w:rPr>
          <w:rFonts w:hint="eastAsia" w:ascii="Times New Roman" w:hAnsi="Times New Roman" w:cs="Times New Roman"/>
          <w:color w:val="FF0000"/>
          <w:highlight w:val="none"/>
          <w:lang w:eastAsia="zh-CN"/>
        </w:rPr>
        <w:t>系统</w:t>
      </w:r>
    </w:p>
    <w:p w14:paraId="0E5DB411">
      <w:pPr>
        <w:keepNext w:val="0"/>
        <w:keepLines w:val="0"/>
        <w:pageBreakBefore w:val="0"/>
        <w:widowControl w:val="0"/>
        <w:kinsoku/>
        <w:wordWrap/>
        <w:overflowPunct/>
        <w:topLinePunct w:val="0"/>
        <w:bidi w:val="0"/>
        <w:snapToGrid/>
        <w:spacing w:line="360" w:lineRule="auto"/>
        <w:ind w:firstLine="480"/>
        <w:textAlignment w:val="auto"/>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本项目排水依托现有排水系统。</w:t>
      </w:r>
    </w:p>
    <w:p w14:paraId="106A4108">
      <w:pPr>
        <w:keepNext w:val="0"/>
        <w:keepLines w:val="0"/>
        <w:pageBreakBefore w:val="0"/>
        <w:widowControl w:val="0"/>
        <w:kinsoku/>
        <w:wordWrap/>
        <w:overflowPunct/>
        <w:topLinePunct w:val="0"/>
        <w:bidi w:val="0"/>
        <w:snapToGrid/>
        <w:spacing w:line="360" w:lineRule="auto"/>
        <w:textAlignment w:val="auto"/>
        <w:rPr>
          <w:rFonts w:hint="default" w:ascii="Times New Roman" w:hAnsi="Times New Roman" w:eastAsia="宋体" w:cs="Times New Roman"/>
          <w:color w:val="FF0000"/>
          <w:highlight w:val="none"/>
          <w:lang w:val="en-US" w:eastAsia="zh-CN"/>
        </w:rPr>
      </w:pPr>
      <w:r>
        <w:rPr>
          <w:rFonts w:hint="eastAsia" w:ascii="Times New Roman" w:hAnsi="Times New Roman" w:eastAsia="宋体" w:cs="Times New Roman"/>
          <w:color w:val="FF0000"/>
          <w:highlight w:val="none"/>
          <w:lang w:val="en-US" w:eastAsia="zh-CN"/>
        </w:rPr>
        <w:t>（1）</w:t>
      </w:r>
      <w:r>
        <w:rPr>
          <w:rFonts w:hint="default" w:ascii="Times New Roman" w:hAnsi="Times New Roman" w:eastAsia="宋体" w:cs="Times New Roman"/>
          <w:color w:val="FF0000"/>
          <w:highlight w:val="none"/>
          <w:lang w:val="en-US" w:eastAsia="zh-CN"/>
        </w:rPr>
        <w:t>生活污水</w:t>
      </w:r>
    </w:p>
    <w:p w14:paraId="60F8A410">
      <w:pPr>
        <w:ind w:firstLine="480"/>
        <w:rPr>
          <w:rFonts w:hint="default" w:ascii="Times New Roman" w:hAnsi="Times New Roman" w:eastAsia="宋体" w:cs="Times New Roman"/>
          <w:color w:val="FF0000"/>
          <w:highlight w:val="none"/>
        </w:rPr>
      </w:pPr>
      <w:r>
        <w:rPr>
          <w:rFonts w:hint="eastAsia" w:ascii="Times New Roman" w:hAnsi="Times New Roman" w:eastAsia="宋体" w:cs="Times New Roman"/>
          <w:color w:val="FF0000"/>
          <w:highlight w:val="none"/>
          <w:lang w:eastAsia="zh-CN"/>
        </w:rPr>
        <w:t>本项目不新增工作人员，工作人员由厂区人员内部调配</w:t>
      </w:r>
      <w:r>
        <w:rPr>
          <w:rFonts w:hint="default" w:ascii="Times New Roman" w:hAnsi="Times New Roman" w:eastAsia="宋体" w:cs="Times New Roman"/>
          <w:color w:val="FF0000"/>
          <w:highlight w:val="none"/>
        </w:rPr>
        <w:t>。锅炉房生产部门按三班运行，部分生产部门和管理部门按一班生产配置定员。</w:t>
      </w:r>
    </w:p>
    <w:p w14:paraId="04B6F116">
      <w:pPr>
        <w:keepNext w:val="0"/>
        <w:keepLines w:val="0"/>
        <w:widowControl/>
        <w:suppressLineNumbers w:val="0"/>
        <w:jc w:val="left"/>
        <w:rPr>
          <w:rFonts w:hint="default" w:ascii="Times New Roman" w:hAnsi="Times New Roman" w:eastAsia="宋体" w:cs="Times New Roman"/>
          <w:color w:val="FF0000"/>
          <w:spacing w:val="0"/>
          <w:sz w:val="24"/>
          <w:szCs w:val="24"/>
          <w:highlight w:val="none"/>
        </w:rPr>
      </w:pPr>
      <w:r>
        <w:rPr>
          <w:rFonts w:hint="default" w:ascii="Times New Roman" w:hAnsi="Times New Roman" w:eastAsia="宋体" w:cs="Times New Roman"/>
          <w:b w:val="0"/>
          <w:bCs w:val="0"/>
          <w:color w:val="FF0000"/>
          <w:spacing w:val="0"/>
          <w:w w:val="100"/>
          <w:sz w:val="24"/>
          <w:szCs w:val="24"/>
          <w:highlight w:val="none"/>
          <w:lang w:val="en-US" w:eastAsia="zh-CN"/>
        </w:rPr>
        <w:t>厂区</w:t>
      </w:r>
      <w:r>
        <w:rPr>
          <w:rFonts w:hint="eastAsia" w:eastAsia="宋体" w:cs="Times New Roman"/>
          <w:b w:val="0"/>
          <w:bCs w:val="0"/>
          <w:color w:val="FF0000"/>
          <w:spacing w:val="0"/>
          <w:w w:val="100"/>
          <w:sz w:val="24"/>
          <w:szCs w:val="24"/>
          <w:highlight w:val="none"/>
          <w:lang w:val="en-US" w:eastAsia="zh-CN"/>
        </w:rPr>
        <w:t>现有</w:t>
      </w:r>
      <w:r>
        <w:rPr>
          <w:rFonts w:hint="default" w:ascii="Times New Roman" w:hAnsi="Times New Roman" w:eastAsia="宋体" w:cs="Times New Roman"/>
          <w:b w:val="0"/>
          <w:bCs w:val="0"/>
          <w:color w:val="FF0000"/>
          <w:spacing w:val="0"/>
          <w:w w:val="100"/>
          <w:sz w:val="24"/>
          <w:szCs w:val="24"/>
          <w:highlight w:val="none"/>
          <w:lang w:val="en-US" w:eastAsia="zh-CN"/>
        </w:rPr>
        <w:t>生活污水经市政污水管网排入</w:t>
      </w:r>
      <w:r>
        <w:rPr>
          <w:rFonts w:hint="eastAsia" w:eastAsia="宋体" w:cs="Times New Roman"/>
          <w:b w:val="0"/>
          <w:bCs w:val="0"/>
          <w:color w:val="FF0000"/>
          <w:spacing w:val="0"/>
          <w:w w:val="100"/>
          <w:sz w:val="24"/>
          <w:szCs w:val="24"/>
          <w:highlight w:val="none"/>
          <w:lang w:val="en-US" w:eastAsia="zh-CN"/>
        </w:rPr>
        <w:t>佳木斯西区污水处理厂</w:t>
      </w:r>
      <w:r>
        <w:rPr>
          <w:rFonts w:hint="default" w:ascii="Times New Roman" w:hAnsi="Times New Roman" w:eastAsia="宋体" w:cs="Times New Roman"/>
          <w:b w:val="0"/>
          <w:bCs w:val="0"/>
          <w:color w:val="FF0000"/>
          <w:spacing w:val="0"/>
          <w:w w:val="100"/>
          <w:sz w:val="24"/>
          <w:szCs w:val="24"/>
          <w:highlight w:val="none"/>
          <w:lang w:val="en-US" w:eastAsia="zh-CN"/>
        </w:rPr>
        <w:t>处理</w:t>
      </w:r>
      <w:r>
        <w:rPr>
          <w:rFonts w:hint="eastAsia" w:eastAsia="宋体" w:cs="Times New Roman"/>
          <w:b w:val="0"/>
          <w:bCs w:val="0"/>
          <w:color w:val="FF0000"/>
          <w:spacing w:val="0"/>
          <w:w w:val="100"/>
          <w:sz w:val="24"/>
          <w:szCs w:val="24"/>
          <w:highlight w:val="none"/>
          <w:lang w:val="en-US" w:eastAsia="zh-CN"/>
        </w:rPr>
        <w:t>达</w:t>
      </w:r>
      <w:r>
        <w:rPr>
          <w:rFonts w:hint="eastAsia" w:ascii="宋体" w:hAnsi="宋体" w:eastAsia="宋体" w:cs="宋体"/>
          <w:color w:val="FF0000"/>
          <w:kern w:val="0"/>
          <w:sz w:val="24"/>
          <w:szCs w:val="24"/>
          <w:highlight w:val="none"/>
          <w:lang w:val="en-US" w:eastAsia="zh-CN" w:bidi="ar"/>
        </w:rPr>
        <w:t>到《城镇污水处理厂污染物排放标准》（</w:t>
      </w:r>
      <w:r>
        <w:rPr>
          <w:rFonts w:hint="default" w:ascii="Times New Roman" w:hAnsi="Times New Roman" w:eastAsia="宋体" w:cs="Times New Roman"/>
          <w:color w:val="FF0000"/>
          <w:kern w:val="0"/>
          <w:sz w:val="24"/>
          <w:szCs w:val="24"/>
          <w:highlight w:val="none"/>
          <w:lang w:val="en-US" w:eastAsia="zh-CN" w:bidi="ar"/>
        </w:rPr>
        <w:t>GB18918-2002</w:t>
      </w:r>
      <w:r>
        <w:rPr>
          <w:rFonts w:hint="eastAsia" w:ascii="宋体" w:hAnsi="宋体" w:eastAsia="宋体" w:cs="宋体"/>
          <w:color w:val="FF0000"/>
          <w:kern w:val="0"/>
          <w:sz w:val="24"/>
          <w:szCs w:val="24"/>
          <w:highlight w:val="none"/>
          <w:lang w:val="en-US" w:eastAsia="zh-CN" w:bidi="ar"/>
        </w:rPr>
        <w:t xml:space="preserve">）一级 </w:t>
      </w:r>
      <w:r>
        <w:rPr>
          <w:rFonts w:hint="default" w:ascii="Times New Roman" w:hAnsi="Times New Roman" w:eastAsia="宋体" w:cs="Times New Roman"/>
          <w:color w:val="FF0000"/>
          <w:kern w:val="0"/>
          <w:sz w:val="24"/>
          <w:szCs w:val="24"/>
          <w:highlight w:val="none"/>
          <w:lang w:val="en-US" w:eastAsia="zh-CN" w:bidi="ar"/>
        </w:rPr>
        <w:t xml:space="preserve">A </w:t>
      </w:r>
      <w:r>
        <w:rPr>
          <w:rFonts w:hint="eastAsia" w:ascii="宋体" w:hAnsi="宋体" w:eastAsia="宋体" w:cs="宋体"/>
          <w:color w:val="FF0000"/>
          <w:kern w:val="0"/>
          <w:sz w:val="24"/>
          <w:szCs w:val="24"/>
          <w:highlight w:val="none"/>
          <w:lang w:val="en-US" w:eastAsia="zh-CN" w:bidi="ar"/>
        </w:rPr>
        <w:t>标准</w:t>
      </w:r>
      <w:r>
        <w:rPr>
          <w:rFonts w:hint="eastAsia" w:eastAsia="宋体" w:cs="Times New Roman"/>
          <w:b w:val="0"/>
          <w:bCs w:val="0"/>
          <w:color w:val="FF0000"/>
          <w:spacing w:val="0"/>
          <w:w w:val="100"/>
          <w:sz w:val="24"/>
          <w:szCs w:val="24"/>
          <w:highlight w:val="none"/>
          <w:lang w:val="en-US" w:eastAsia="zh-CN"/>
        </w:rPr>
        <w:t>后排放至松花江</w:t>
      </w:r>
      <w:r>
        <w:rPr>
          <w:rFonts w:hint="default" w:ascii="Times New Roman" w:hAnsi="Times New Roman" w:eastAsia="宋体" w:cs="Times New Roman"/>
          <w:b w:val="0"/>
          <w:bCs w:val="0"/>
          <w:color w:val="FF0000"/>
          <w:spacing w:val="0"/>
          <w:w w:val="100"/>
          <w:sz w:val="24"/>
          <w:szCs w:val="24"/>
          <w:highlight w:val="none"/>
          <w:lang w:val="en-US" w:eastAsia="zh-CN"/>
        </w:rPr>
        <w:t>。</w:t>
      </w:r>
    </w:p>
    <w:p w14:paraId="3642DFC6">
      <w:pPr>
        <w:keepNext w:val="0"/>
        <w:keepLines w:val="0"/>
        <w:pageBreakBefore w:val="0"/>
        <w:widowControl w:val="0"/>
        <w:kinsoku/>
        <w:wordWrap/>
        <w:overflowPunct/>
        <w:topLinePunct w:val="0"/>
        <w:autoSpaceDE/>
        <w:autoSpaceDN/>
        <w:bidi w:val="0"/>
        <w:snapToGrid/>
        <w:spacing w:line="360" w:lineRule="auto"/>
        <w:ind w:firstLine="480" w:firstLineChars="200"/>
        <w:jc w:val="both"/>
        <w:textAlignment w:val="auto"/>
        <w:rPr>
          <w:rFonts w:hint="default" w:ascii="Times New Roman" w:hAnsi="Times New Roman" w:eastAsia="宋体" w:cs="Times New Roman"/>
          <w:color w:val="FF0000"/>
          <w:sz w:val="24"/>
          <w:szCs w:val="24"/>
          <w:highlight w:val="none"/>
          <w:lang w:val="en-US" w:eastAsia="zh-CN"/>
        </w:rPr>
      </w:pPr>
      <w:r>
        <w:rPr>
          <w:rFonts w:hint="eastAsia" w:ascii="Times New Roman" w:hAnsi="Times New Roman" w:eastAsia="宋体" w:cs="Times New Roman"/>
          <w:color w:val="FF0000"/>
          <w:sz w:val="24"/>
          <w:szCs w:val="24"/>
          <w:highlight w:val="none"/>
          <w:lang w:val="en-US" w:eastAsia="zh-CN"/>
        </w:rPr>
        <w:t>（2）</w:t>
      </w:r>
      <w:r>
        <w:rPr>
          <w:rFonts w:hint="default" w:ascii="Times New Roman" w:hAnsi="Times New Roman" w:eastAsia="宋体" w:cs="Times New Roman"/>
          <w:color w:val="FF0000"/>
          <w:sz w:val="24"/>
          <w:szCs w:val="24"/>
          <w:highlight w:val="none"/>
          <w:lang w:val="en-US" w:eastAsia="zh-CN"/>
        </w:rPr>
        <w:t>生产废水</w:t>
      </w:r>
    </w:p>
    <w:p w14:paraId="360B2BE9">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val="en-US" w:eastAsia="zh-CN"/>
        </w:rPr>
        <w:t>本项目产生的生产废水全部回用，</w:t>
      </w:r>
      <w:r>
        <w:rPr>
          <w:rFonts w:hint="eastAsia" w:ascii="Times New Roman" w:hAnsi="Times New Roman" w:eastAsia="宋体" w:cs="Times New Roman"/>
          <w:color w:val="FF0000"/>
          <w:sz w:val="24"/>
          <w:szCs w:val="24"/>
          <w:highlight w:val="none"/>
          <w:lang w:val="en-US" w:eastAsia="zh-CN"/>
        </w:rPr>
        <w:t>不外排。脱硫废水经曝气、沉淀后用于输煤系统除尘、除渣用水，脱硫废水处理能力为2t/h。含煤废水经厂区内现有污水处理间处理，处理工艺为过滤+沉淀+气浮，处理后的废水进入地下水池回用。</w:t>
      </w:r>
      <w:r>
        <w:rPr>
          <w:rFonts w:hint="default" w:ascii="Times New Roman" w:hAnsi="Times New Roman" w:eastAsia="宋体" w:cs="Times New Roman"/>
          <w:color w:val="FF0000"/>
          <w:sz w:val="24"/>
          <w:szCs w:val="24"/>
          <w:highlight w:val="none"/>
          <w:lang w:val="en-US" w:eastAsia="zh-CN"/>
        </w:rPr>
        <w:t>软化水处理废水、</w:t>
      </w:r>
      <w:r>
        <w:rPr>
          <w:rFonts w:hint="eastAsia" w:ascii="Times New Roman" w:hAnsi="Times New Roman" w:eastAsia="宋体" w:cs="Times New Roman"/>
          <w:color w:val="FF0000"/>
          <w:sz w:val="24"/>
          <w:szCs w:val="24"/>
          <w:highlight w:val="none"/>
          <w:lang w:val="en-US" w:eastAsia="zh-CN"/>
        </w:rPr>
        <w:t>处理后的</w:t>
      </w:r>
      <w:r>
        <w:rPr>
          <w:rFonts w:hint="default" w:ascii="Times New Roman" w:hAnsi="Times New Roman" w:eastAsia="宋体" w:cs="Times New Roman"/>
          <w:color w:val="FF0000"/>
          <w:sz w:val="24"/>
          <w:szCs w:val="24"/>
          <w:highlight w:val="none"/>
          <w:lang w:val="en-US" w:eastAsia="zh-CN"/>
        </w:rPr>
        <w:t>脱硫废水、锅炉排污水</w:t>
      </w:r>
      <w:r>
        <w:rPr>
          <w:rFonts w:hint="eastAsia" w:ascii="Times New Roman" w:hAnsi="Times New Roman" w:eastAsia="宋体" w:cs="Times New Roman"/>
          <w:color w:val="FF0000"/>
          <w:sz w:val="24"/>
          <w:szCs w:val="24"/>
          <w:highlight w:val="none"/>
          <w:lang w:val="en-US" w:eastAsia="zh-CN"/>
        </w:rPr>
        <w:t>用于脱硫、脱硝、输煤系统除尘水、渣库降尘等工序。</w:t>
      </w:r>
    </w:p>
    <w:p w14:paraId="12F6DBBE">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default" w:ascii="Times New Roman" w:hAnsi="Times New Roman" w:eastAsia="宋体" w:cs="Times New Roman"/>
          <w:iCs/>
          <w:color w:val="FF0000"/>
          <w:sz w:val="24"/>
          <w:highlight w:val="none"/>
          <w:lang w:val="en-US" w:eastAsia="zh-CN"/>
        </w:rPr>
      </w:pPr>
      <w:r>
        <w:rPr>
          <w:rFonts w:hint="default" w:ascii="Times New Roman" w:hAnsi="Times New Roman" w:eastAsia="宋体" w:cs="Times New Roman"/>
          <w:color w:val="FF0000"/>
          <w:sz w:val="24"/>
          <w:highlight w:val="none"/>
        </w:rPr>
        <w:t>本</w:t>
      </w:r>
      <w:r>
        <w:rPr>
          <w:rFonts w:hint="default" w:ascii="Times New Roman" w:hAnsi="Times New Roman" w:eastAsia="宋体" w:cs="Times New Roman"/>
          <w:color w:val="FF0000"/>
          <w:sz w:val="24"/>
          <w:highlight w:val="none"/>
          <w:lang w:val="en-US" w:eastAsia="zh-CN"/>
        </w:rPr>
        <w:t>项目</w:t>
      </w:r>
      <w:r>
        <w:rPr>
          <w:rFonts w:hint="eastAsia" w:ascii="Times New Roman" w:hAnsi="Times New Roman" w:eastAsia="宋体" w:cs="Times New Roman"/>
          <w:color w:val="FF0000"/>
          <w:sz w:val="24"/>
          <w:highlight w:val="none"/>
          <w:lang w:val="en-US" w:eastAsia="zh-CN"/>
        </w:rPr>
        <w:t>投产后</w:t>
      </w:r>
      <w:r>
        <w:rPr>
          <w:rFonts w:hint="eastAsia" w:ascii="Times New Roman" w:hAnsi="Times New Roman" w:eastAsia="宋体" w:cs="Times New Roman"/>
          <w:color w:val="FF0000"/>
          <w:sz w:val="24"/>
          <w:highlight w:val="none"/>
          <w:lang w:eastAsia="zh-CN"/>
        </w:rPr>
        <w:t>水量</w:t>
      </w:r>
      <w:r>
        <w:rPr>
          <w:rFonts w:hint="default" w:ascii="Times New Roman" w:hAnsi="Times New Roman" w:eastAsia="宋体" w:cs="Times New Roman"/>
          <w:color w:val="FF0000"/>
          <w:sz w:val="24"/>
          <w:highlight w:val="none"/>
        </w:rPr>
        <w:t>见下表</w:t>
      </w:r>
      <w:r>
        <w:rPr>
          <w:rFonts w:hint="default" w:ascii="Times New Roman" w:hAnsi="Times New Roman" w:eastAsia="宋体" w:cs="Times New Roman"/>
          <w:color w:val="FF0000"/>
          <w:sz w:val="24"/>
          <w:highlight w:val="none"/>
          <w:lang w:val="en-US" w:eastAsia="zh-CN"/>
        </w:rPr>
        <w:t>3.7-1，水平衡图见图3.7-1。</w:t>
      </w:r>
    </w:p>
    <w:p w14:paraId="07B70840">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default" w:ascii="Times New Roman" w:hAnsi="Times New Roman" w:eastAsia="宋体" w:cs="Times New Roman"/>
          <w:iCs/>
          <w:color w:val="FF0000"/>
          <w:sz w:val="24"/>
          <w:highlight w:val="none"/>
        </w:rPr>
      </w:pPr>
      <w:r>
        <w:rPr>
          <w:rFonts w:hint="default" w:ascii="Times New Roman" w:hAnsi="Times New Roman" w:eastAsia="宋体" w:cs="Times New Roman"/>
          <w:iCs/>
          <w:color w:val="FF0000"/>
          <w:sz w:val="24"/>
          <w:highlight w:val="none"/>
          <w:lang w:val="en-US" w:eastAsia="zh-CN"/>
        </w:rPr>
        <w:t>表3.7-1</w:t>
      </w:r>
      <w:r>
        <w:rPr>
          <w:rFonts w:hint="default" w:ascii="Times New Roman" w:hAnsi="Times New Roman" w:eastAsia="宋体" w:cs="Times New Roman"/>
          <w:iCs/>
          <w:color w:val="FF0000"/>
          <w:sz w:val="24"/>
          <w:highlight w:val="none"/>
        </w:rPr>
        <w:t xml:space="preserve">  </w:t>
      </w:r>
      <w:r>
        <w:rPr>
          <w:rFonts w:hint="eastAsia" w:ascii="Times New Roman" w:hAnsi="Times New Roman" w:eastAsia="宋体" w:cs="Times New Roman"/>
          <w:iCs/>
          <w:color w:val="FF0000"/>
          <w:sz w:val="24"/>
          <w:highlight w:val="none"/>
          <w:lang w:val="en-US" w:eastAsia="zh-CN"/>
        </w:rPr>
        <w:t>给排</w:t>
      </w:r>
      <w:r>
        <w:rPr>
          <w:rFonts w:hint="default" w:ascii="Times New Roman" w:hAnsi="Times New Roman" w:eastAsia="宋体" w:cs="Times New Roman"/>
          <w:iCs/>
          <w:color w:val="FF0000"/>
          <w:sz w:val="24"/>
          <w:highlight w:val="none"/>
        </w:rPr>
        <w:t>水</w:t>
      </w:r>
      <w:r>
        <w:rPr>
          <w:rFonts w:hint="eastAsia" w:ascii="Times New Roman" w:hAnsi="Times New Roman" w:eastAsia="宋体" w:cs="Times New Roman"/>
          <w:iCs/>
          <w:color w:val="FF0000"/>
          <w:sz w:val="24"/>
          <w:highlight w:val="none"/>
          <w:lang w:eastAsia="zh-CN"/>
        </w:rPr>
        <w:t>用</w:t>
      </w:r>
      <w:r>
        <w:rPr>
          <w:rFonts w:hint="default" w:ascii="Times New Roman" w:hAnsi="Times New Roman" w:eastAsia="宋体" w:cs="Times New Roman"/>
          <w:iCs/>
          <w:color w:val="FF0000"/>
          <w:sz w:val="24"/>
          <w:highlight w:val="none"/>
        </w:rPr>
        <w:t>量</w:t>
      </w:r>
      <w:r>
        <w:rPr>
          <w:rFonts w:hint="eastAsia" w:ascii="Times New Roman" w:hAnsi="Times New Roman" w:eastAsia="宋体" w:cs="Times New Roman"/>
          <w:iCs/>
          <w:color w:val="FF0000"/>
          <w:sz w:val="24"/>
          <w:highlight w:val="none"/>
          <w:lang w:eastAsia="zh-CN"/>
        </w:rPr>
        <w:t>一览</w:t>
      </w:r>
      <w:r>
        <w:rPr>
          <w:rFonts w:hint="default" w:ascii="Times New Roman" w:hAnsi="Times New Roman" w:eastAsia="宋体" w:cs="Times New Roman"/>
          <w:iCs/>
          <w:color w:val="FF0000"/>
          <w:sz w:val="24"/>
          <w:highlight w:val="none"/>
        </w:rPr>
        <w:t>表   单位：m</w:t>
      </w:r>
      <w:r>
        <w:rPr>
          <w:rFonts w:hint="default" w:ascii="Times New Roman" w:hAnsi="Times New Roman" w:eastAsia="宋体" w:cs="Times New Roman"/>
          <w:iCs/>
          <w:color w:val="FF0000"/>
          <w:sz w:val="24"/>
          <w:highlight w:val="none"/>
          <w:vertAlign w:val="superscript"/>
        </w:rPr>
        <w:t>3</w:t>
      </w:r>
      <w:r>
        <w:rPr>
          <w:rFonts w:hint="default" w:ascii="Times New Roman" w:hAnsi="Times New Roman" w:eastAsia="宋体" w:cs="Times New Roman"/>
          <w:iCs/>
          <w:color w:val="FF0000"/>
          <w:sz w:val="24"/>
          <w:highlight w:val="none"/>
        </w:rPr>
        <w:t>/h</w:t>
      </w:r>
    </w:p>
    <w:tbl>
      <w:tblPr>
        <w:tblStyle w:val="37"/>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750"/>
        <w:gridCol w:w="2034"/>
        <w:gridCol w:w="1852"/>
        <w:gridCol w:w="1435"/>
        <w:gridCol w:w="2451"/>
      </w:tblGrid>
      <w:tr w14:paraId="006B0FC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50" w:type="dxa"/>
            <w:tcBorders>
              <w:tl2br w:val="nil"/>
              <w:tr2bl w:val="nil"/>
            </w:tcBorders>
            <w:noWrap w:val="0"/>
            <w:vAlign w:val="center"/>
          </w:tcPr>
          <w:p w14:paraId="39C59F84">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序号</w:t>
            </w:r>
          </w:p>
        </w:tc>
        <w:tc>
          <w:tcPr>
            <w:tcW w:w="2034" w:type="dxa"/>
            <w:tcBorders>
              <w:tl2br w:val="nil"/>
              <w:tr2bl w:val="nil"/>
            </w:tcBorders>
            <w:noWrap w:val="0"/>
            <w:vAlign w:val="center"/>
          </w:tcPr>
          <w:p w14:paraId="4BEAF2D3">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用水项目</w:t>
            </w:r>
          </w:p>
        </w:tc>
        <w:tc>
          <w:tcPr>
            <w:tcW w:w="1852" w:type="dxa"/>
            <w:tcBorders>
              <w:tl2br w:val="nil"/>
              <w:tr2bl w:val="nil"/>
            </w:tcBorders>
            <w:noWrap w:val="0"/>
            <w:vAlign w:val="center"/>
          </w:tcPr>
          <w:p w14:paraId="47C54CEF">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用水量（m</w:t>
            </w:r>
            <w:r>
              <w:rPr>
                <w:rFonts w:hint="default" w:ascii="Times New Roman" w:hAnsi="Times New Roman" w:eastAsia="宋体" w:cs="Times New Roman"/>
                <w:color w:val="FF0000"/>
                <w:sz w:val="21"/>
                <w:szCs w:val="21"/>
                <w:highlight w:val="none"/>
                <w:vertAlign w:val="superscript"/>
              </w:rPr>
              <w:t>3</w:t>
            </w:r>
            <w:r>
              <w:rPr>
                <w:rFonts w:hint="default" w:ascii="Times New Roman" w:hAnsi="Times New Roman" w:eastAsia="宋体" w:cs="Times New Roman"/>
                <w:color w:val="FF0000"/>
                <w:sz w:val="21"/>
                <w:szCs w:val="21"/>
                <w:highlight w:val="none"/>
              </w:rPr>
              <w:t>/h）</w:t>
            </w:r>
          </w:p>
        </w:tc>
        <w:tc>
          <w:tcPr>
            <w:tcW w:w="1435" w:type="dxa"/>
            <w:tcBorders>
              <w:tl2br w:val="nil"/>
              <w:tr2bl w:val="nil"/>
            </w:tcBorders>
            <w:noWrap w:val="0"/>
            <w:vAlign w:val="center"/>
          </w:tcPr>
          <w:p w14:paraId="0EBC0D44">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排污量（m</w:t>
            </w:r>
            <w:r>
              <w:rPr>
                <w:rFonts w:hint="default" w:ascii="Times New Roman" w:hAnsi="Times New Roman" w:eastAsia="宋体" w:cs="Times New Roman"/>
                <w:color w:val="FF0000"/>
                <w:sz w:val="21"/>
                <w:szCs w:val="21"/>
                <w:highlight w:val="none"/>
                <w:vertAlign w:val="superscript"/>
              </w:rPr>
              <w:t>3</w:t>
            </w:r>
            <w:r>
              <w:rPr>
                <w:rFonts w:hint="default" w:ascii="Times New Roman" w:hAnsi="Times New Roman" w:eastAsia="宋体" w:cs="Times New Roman"/>
                <w:color w:val="FF0000"/>
                <w:sz w:val="21"/>
                <w:szCs w:val="21"/>
                <w:highlight w:val="none"/>
              </w:rPr>
              <w:t>/h）</w:t>
            </w:r>
          </w:p>
        </w:tc>
        <w:tc>
          <w:tcPr>
            <w:tcW w:w="2451" w:type="dxa"/>
            <w:tcBorders>
              <w:tl2br w:val="nil"/>
              <w:tr2bl w:val="nil"/>
            </w:tcBorders>
            <w:noWrap w:val="0"/>
            <w:vAlign w:val="center"/>
          </w:tcPr>
          <w:p w14:paraId="36B1AB8F">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备 注</w:t>
            </w:r>
          </w:p>
        </w:tc>
      </w:tr>
      <w:tr w14:paraId="2694378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50" w:type="dxa"/>
            <w:tcBorders>
              <w:tl2br w:val="nil"/>
              <w:tr2bl w:val="nil"/>
            </w:tcBorders>
            <w:noWrap w:val="0"/>
            <w:vAlign w:val="center"/>
          </w:tcPr>
          <w:p w14:paraId="29C3F435">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1</w:t>
            </w:r>
          </w:p>
        </w:tc>
        <w:tc>
          <w:tcPr>
            <w:tcW w:w="2034" w:type="dxa"/>
            <w:tcBorders>
              <w:tl2br w:val="nil"/>
              <w:tr2bl w:val="nil"/>
            </w:tcBorders>
            <w:noWrap w:val="0"/>
            <w:vAlign w:val="center"/>
          </w:tcPr>
          <w:p w14:paraId="2AD013F5">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eastAsia"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化学水</w:t>
            </w:r>
            <w:r>
              <w:rPr>
                <w:rFonts w:hint="eastAsia" w:hAnsi="Times New Roman" w:cs="Times New Roman"/>
                <w:color w:val="FF0000"/>
                <w:sz w:val="21"/>
                <w:szCs w:val="21"/>
                <w:highlight w:val="none"/>
                <w:lang w:eastAsia="zh-CN"/>
              </w:rPr>
              <w:t>系统用水</w:t>
            </w:r>
          </w:p>
        </w:tc>
        <w:tc>
          <w:tcPr>
            <w:tcW w:w="1852" w:type="dxa"/>
            <w:tcBorders>
              <w:tl2br w:val="nil"/>
              <w:tr2bl w:val="nil"/>
            </w:tcBorders>
            <w:noWrap w:val="0"/>
            <w:vAlign w:val="center"/>
          </w:tcPr>
          <w:p w14:paraId="5FEC0769">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eastAsia" w:hAnsi="Times New Roman" w:cs="Times New Roman"/>
                <w:color w:val="FF0000"/>
                <w:sz w:val="21"/>
                <w:szCs w:val="21"/>
                <w:highlight w:val="none"/>
                <w:lang w:val="en-US" w:eastAsia="zh-CN"/>
              </w:rPr>
              <w:t>6.67</w:t>
            </w:r>
          </w:p>
        </w:tc>
        <w:tc>
          <w:tcPr>
            <w:tcW w:w="1435" w:type="dxa"/>
            <w:tcBorders>
              <w:tl2br w:val="nil"/>
              <w:tr2bl w:val="nil"/>
            </w:tcBorders>
            <w:noWrap w:val="0"/>
            <w:vAlign w:val="center"/>
          </w:tcPr>
          <w:p w14:paraId="22C091B2">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eastAsia" w:hAnsi="Times New Roman" w:cs="Times New Roman"/>
                <w:color w:val="FF0000"/>
                <w:sz w:val="21"/>
                <w:szCs w:val="21"/>
                <w:highlight w:val="none"/>
                <w:lang w:val="en-US" w:eastAsia="zh-CN"/>
              </w:rPr>
              <w:t>0.67</w:t>
            </w:r>
          </w:p>
        </w:tc>
        <w:tc>
          <w:tcPr>
            <w:tcW w:w="2451" w:type="dxa"/>
            <w:tcBorders>
              <w:tl2br w:val="nil"/>
              <w:tr2bl w:val="nil"/>
            </w:tcBorders>
            <w:noWrap w:val="0"/>
            <w:vAlign w:val="center"/>
          </w:tcPr>
          <w:p w14:paraId="1A98B1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kern w:val="2"/>
                <w:sz w:val="21"/>
                <w:szCs w:val="21"/>
                <w:highlight w:val="none"/>
                <w:lang w:val="en-US" w:eastAsia="zh-CN" w:bidi="ar-SA"/>
              </w:rPr>
              <w:t>利用</w:t>
            </w:r>
            <w:r>
              <w:rPr>
                <w:rFonts w:hint="eastAsia" w:ascii="Times New Roman" w:hAnsi="Times New Roman" w:eastAsia="宋体" w:cs="Times New Roman"/>
                <w:color w:val="FF0000"/>
                <w:kern w:val="2"/>
                <w:sz w:val="21"/>
                <w:szCs w:val="21"/>
                <w:highlight w:val="none"/>
                <w:lang w:val="en-US" w:eastAsia="zh-CN" w:bidi="ar-SA"/>
              </w:rPr>
              <w:t>佳木斯中恒热电有限公司</w:t>
            </w:r>
            <w:r>
              <w:rPr>
                <w:rFonts w:hint="default" w:ascii="Times New Roman" w:hAnsi="Times New Roman" w:eastAsia="宋体" w:cs="Times New Roman"/>
                <w:color w:val="FF0000"/>
                <w:kern w:val="2"/>
                <w:sz w:val="21"/>
                <w:szCs w:val="21"/>
                <w:highlight w:val="none"/>
                <w:lang w:val="en-US" w:eastAsia="zh-CN" w:bidi="ar-SA"/>
              </w:rPr>
              <w:t>主热源现有制、补水系统</w:t>
            </w:r>
          </w:p>
        </w:tc>
      </w:tr>
      <w:tr w14:paraId="7F2B8D6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50" w:type="dxa"/>
            <w:tcBorders>
              <w:tl2br w:val="nil"/>
              <w:tr2bl w:val="nil"/>
            </w:tcBorders>
            <w:shd w:val="clear" w:color="auto" w:fill="auto"/>
            <w:noWrap w:val="0"/>
            <w:vAlign w:val="center"/>
          </w:tcPr>
          <w:p w14:paraId="1C2B9334">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eastAsia" w:hAnsi="Times New Roman" w:cs="Times New Roman"/>
                <w:color w:val="FF0000"/>
                <w:sz w:val="21"/>
                <w:szCs w:val="21"/>
                <w:highlight w:val="none"/>
                <w:lang w:val="en-US" w:eastAsia="zh-CN"/>
              </w:rPr>
              <w:t>2</w:t>
            </w:r>
          </w:p>
        </w:tc>
        <w:tc>
          <w:tcPr>
            <w:tcW w:w="2034" w:type="dxa"/>
            <w:tcBorders>
              <w:tl2br w:val="nil"/>
              <w:tr2bl w:val="nil"/>
            </w:tcBorders>
            <w:noWrap w:val="0"/>
            <w:vAlign w:val="center"/>
          </w:tcPr>
          <w:p w14:paraId="2BCBD7B0">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eastAsia" w:ascii="Times New Roman" w:hAnsi="Times New Roman" w:eastAsia="宋体" w:cs="Times New Roman"/>
                <w:color w:val="FF0000"/>
                <w:sz w:val="21"/>
                <w:szCs w:val="21"/>
                <w:highlight w:val="none"/>
                <w:lang w:val="en-US" w:eastAsia="zh-CN"/>
              </w:rPr>
            </w:pPr>
            <w:r>
              <w:rPr>
                <w:rFonts w:hint="eastAsia" w:hAnsi="Times New Roman" w:cs="Times New Roman"/>
                <w:color w:val="FF0000"/>
                <w:sz w:val="21"/>
                <w:szCs w:val="21"/>
                <w:highlight w:val="none"/>
                <w:lang w:val="en-US" w:eastAsia="zh-CN"/>
              </w:rPr>
              <w:t>锅炉补水</w:t>
            </w:r>
          </w:p>
        </w:tc>
        <w:tc>
          <w:tcPr>
            <w:tcW w:w="1852" w:type="dxa"/>
            <w:tcBorders>
              <w:tl2br w:val="nil"/>
              <w:tr2bl w:val="nil"/>
            </w:tcBorders>
            <w:noWrap w:val="0"/>
            <w:vAlign w:val="center"/>
          </w:tcPr>
          <w:p w14:paraId="32784052">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default" w:hAnsi="Times New Roman" w:cs="Times New Roman"/>
                <w:color w:val="FF0000"/>
                <w:sz w:val="21"/>
                <w:szCs w:val="21"/>
                <w:highlight w:val="none"/>
                <w:lang w:val="en-US" w:eastAsia="zh-CN"/>
              </w:rPr>
            </w:pPr>
            <w:r>
              <w:rPr>
                <w:rFonts w:hint="eastAsia" w:hAnsi="Times New Roman" w:cs="Times New Roman"/>
                <w:color w:val="FF0000"/>
                <w:sz w:val="21"/>
                <w:szCs w:val="21"/>
                <w:highlight w:val="none"/>
                <w:lang w:val="en-US" w:eastAsia="zh-CN"/>
              </w:rPr>
              <w:t>5</w:t>
            </w:r>
          </w:p>
        </w:tc>
        <w:tc>
          <w:tcPr>
            <w:tcW w:w="1435" w:type="dxa"/>
            <w:tcBorders>
              <w:tl2br w:val="nil"/>
              <w:tr2bl w:val="nil"/>
            </w:tcBorders>
            <w:noWrap w:val="0"/>
            <w:vAlign w:val="center"/>
          </w:tcPr>
          <w:p w14:paraId="164957A6">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color w:val="FF0000"/>
                <w:highlight w:val="none"/>
              </w:rPr>
            </w:pPr>
            <w:r>
              <w:rPr>
                <w:rFonts w:hint="eastAsia" w:hAnsi="Times New Roman" w:cs="Times New Roman"/>
                <w:color w:val="FF0000"/>
                <w:sz w:val="21"/>
                <w:szCs w:val="21"/>
                <w:highlight w:val="none"/>
                <w:lang w:val="en-US" w:eastAsia="zh-CN"/>
              </w:rPr>
              <w:t>5</w:t>
            </w:r>
          </w:p>
        </w:tc>
        <w:tc>
          <w:tcPr>
            <w:tcW w:w="2451" w:type="dxa"/>
            <w:tcBorders>
              <w:tl2br w:val="nil"/>
              <w:tr2bl w:val="nil"/>
            </w:tcBorders>
            <w:noWrap w:val="0"/>
            <w:vAlign w:val="center"/>
          </w:tcPr>
          <w:p w14:paraId="4DB98B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来自软化后的新鲜水</w:t>
            </w:r>
          </w:p>
        </w:tc>
      </w:tr>
      <w:tr w14:paraId="0A0B096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50" w:type="dxa"/>
            <w:tcBorders>
              <w:tl2br w:val="nil"/>
              <w:tr2bl w:val="nil"/>
            </w:tcBorders>
            <w:shd w:val="clear" w:color="auto" w:fill="auto"/>
            <w:noWrap w:val="0"/>
            <w:vAlign w:val="center"/>
          </w:tcPr>
          <w:p w14:paraId="29EFEEED">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eastAsia" w:hAnsi="Times New Roman" w:cs="Times New Roman"/>
                <w:color w:val="FF0000"/>
                <w:sz w:val="21"/>
                <w:szCs w:val="21"/>
                <w:highlight w:val="none"/>
                <w:lang w:val="en-US" w:eastAsia="zh-CN"/>
              </w:rPr>
              <w:t>3</w:t>
            </w:r>
          </w:p>
        </w:tc>
        <w:tc>
          <w:tcPr>
            <w:tcW w:w="2034" w:type="dxa"/>
            <w:tcBorders>
              <w:tl2br w:val="nil"/>
              <w:tr2bl w:val="nil"/>
            </w:tcBorders>
            <w:noWrap w:val="0"/>
            <w:vAlign w:val="center"/>
          </w:tcPr>
          <w:p w14:paraId="70087494">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eastAsia" w:hAnsi="Times New Roman" w:cs="Times New Roman"/>
                <w:color w:val="FF0000"/>
                <w:sz w:val="21"/>
                <w:szCs w:val="21"/>
                <w:highlight w:val="none"/>
                <w:lang w:val="en-US" w:eastAsia="zh-CN"/>
              </w:rPr>
              <w:t>热网</w:t>
            </w:r>
            <w:r>
              <w:rPr>
                <w:rFonts w:hint="default" w:ascii="Times New Roman" w:hAnsi="Times New Roman" w:eastAsia="宋体" w:cs="Times New Roman"/>
                <w:color w:val="FF0000"/>
                <w:sz w:val="21"/>
                <w:szCs w:val="21"/>
                <w:highlight w:val="none"/>
              </w:rPr>
              <w:t>补水</w:t>
            </w:r>
          </w:p>
        </w:tc>
        <w:tc>
          <w:tcPr>
            <w:tcW w:w="1852" w:type="dxa"/>
            <w:tcBorders>
              <w:tl2br w:val="nil"/>
              <w:tr2bl w:val="nil"/>
            </w:tcBorders>
            <w:noWrap w:val="0"/>
            <w:vAlign w:val="center"/>
          </w:tcPr>
          <w:p w14:paraId="5364CB67">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eastAsia" w:hAnsi="Times New Roman" w:cs="Times New Roman"/>
                <w:color w:val="FF0000"/>
                <w:kern w:val="2"/>
                <w:sz w:val="21"/>
                <w:szCs w:val="21"/>
                <w:highlight w:val="none"/>
                <w:lang w:val="en-US" w:eastAsia="zh-CN" w:bidi="ar-SA"/>
              </w:rPr>
              <w:t>1</w:t>
            </w:r>
          </w:p>
        </w:tc>
        <w:tc>
          <w:tcPr>
            <w:tcW w:w="1435" w:type="dxa"/>
            <w:tcBorders>
              <w:tl2br w:val="nil"/>
              <w:tr2bl w:val="nil"/>
            </w:tcBorders>
            <w:noWrap w:val="0"/>
            <w:vAlign w:val="center"/>
          </w:tcPr>
          <w:p w14:paraId="07698734">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eastAsia" w:hAnsi="Times New Roman" w:cs="Times New Roman"/>
                <w:color w:val="FF0000"/>
                <w:kern w:val="2"/>
                <w:sz w:val="21"/>
                <w:szCs w:val="21"/>
                <w:highlight w:val="none"/>
                <w:lang w:val="en-US" w:eastAsia="zh-CN" w:bidi="ar-SA"/>
              </w:rPr>
              <w:t>0</w:t>
            </w:r>
          </w:p>
        </w:tc>
        <w:tc>
          <w:tcPr>
            <w:tcW w:w="2451" w:type="dxa"/>
            <w:tcBorders>
              <w:tl2br w:val="nil"/>
              <w:tr2bl w:val="nil"/>
            </w:tcBorders>
            <w:noWrap w:val="0"/>
            <w:vAlign w:val="center"/>
          </w:tcPr>
          <w:p w14:paraId="500E038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来自软化后的新鲜水</w:t>
            </w:r>
          </w:p>
        </w:tc>
      </w:tr>
      <w:tr w14:paraId="4CD454A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50" w:type="dxa"/>
            <w:tcBorders>
              <w:tl2br w:val="nil"/>
              <w:tr2bl w:val="nil"/>
            </w:tcBorders>
            <w:shd w:val="clear" w:color="auto" w:fill="auto"/>
            <w:noWrap w:val="0"/>
            <w:vAlign w:val="center"/>
          </w:tcPr>
          <w:p w14:paraId="59754F56">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eastAsia" w:hAnsi="Times New Roman" w:cs="Times New Roman"/>
                <w:color w:val="FF0000"/>
                <w:sz w:val="21"/>
                <w:szCs w:val="21"/>
                <w:highlight w:val="none"/>
                <w:lang w:val="en-US" w:eastAsia="zh-CN"/>
              </w:rPr>
              <w:t>4</w:t>
            </w:r>
          </w:p>
        </w:tc>
        <w:tc>
          <w:tcPr>
            <w:tcW w:w="2034" w:type="dxa"/>
            <w:tcBorders>
              <w:tl2br w:val="nil"/>
              <w:tr2bl w:val="nil"/>
            </w:tcBorders>
            <w:noWrap w:val="0"/>
            <w:vAlign w:val="center"/>
          </w:tcPr>
          <w:p w14:paraId="674F3638">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kern w:val="2"/>
                <w:sz w:val="21"/>
                <w:szCs w:val="21"/>
                <w:highlight w:val="none"/>
                <w:lang w:val="en-US" w:eastAsia="zh-CN" w:bidi="ar-SA"/>
              </w:rPr>
              <w:t>输煤栈桥冲洗用水</w:t>
            </w:r>
          </w:p>
        </w:tc>
        <w:tc>
          <w:tcPr>
            <w:tcW w:w="1852" w:type="dxa"/>
            <w:tcBorders>
              <w:tl2br w:val="nil"/>
              <w:tr2bl w:val="nil"/>
            </w:tcBorders>
            <w:noWrap w:val="0"/>
            <w:vAlign w:val="center"/>
          </w:tcPr>
          <w:p w14:paraId="56F86CF7">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eastAsia" w:hAnsi="Times New Roman" w:cs="Times New Roman"/>
                <w:color w:val="FF0000"/>
                <w:sz w:val="21"/>
                <w:szCs w:val="21"/>
                <w:highlight w:val="none"/>
                <w:lang w:val="en-US" w:eastAsia="zh-CN"/>
              </w:rPr>
              <w:t>2</w:t>
            </w:r>
          </w:p>
        </w:tc>
        <w:tc>
          <w:tcPr>
            <w:tcW w:w="1435" w:type="dxa"/>
            <w:tcBorders>
              <w:tl2br w:val="nil"/>
              <w:tr2bl w:val="nil"/>
            </w:tcBorders>
            <w:noWrap w:val="0"/>
            <w:vAlign w:val="center"/>
          </w:tcPr>
          <w:p w14:paraId="7AB1D085">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eastAsia" w:ascii="Times New Roman" w:hAnsi="Times New Roman" w:eastAsia="宋体" w:cs="Times New Roman"/>
                <w:color w:val="FF0000"/>
                <w:kern w:val="2"/>
                <w:sz w:val="21"/>
                <w:szCs w:val="21"/>
                <w:highlight w:val="none"/>
                <w:lang w:val="en-US" w:eastAsia="zh-CN" w:bidi="ar-SA"/>
              </w:rPr>
            </w:pPr>
            <w:r>
              <w:rPr>
                <w:rFonts w:hint="eastAsia" w:hAnsi="Times New Roman" w:cs="Times New Roman"/>
                <w:color w:val="FF0000"/>
                <w:sz w:val="21"/>
                <w:szCs w:val="21"/>
                <w:highlight w:val="none"/>
                <w:lang w:val="en-US" w:eastAsia="zh-CN"/>
              </w:rPr>
              <w:t>1</w:t>
            </w:r>
          </w:p>
        </w:tc>
        <w:tc>
          <w:tcPr>
            <w:tcW w:w="2451" w:type="dxa"/>
            <w:vMerge w:val="restart"/>
            <w:tcBorders>
              <w:tl2br w:val="nil"/>
              <w:tr2bl w:val="nil"/>
            </w:tcBorders>
            <w:noWrap w:val="0"/>
            <w:vAlign w:val="center"/>
          </w:tcPr>
          <w:p w14:paraId="0777B0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来自</w:t>
            </w:r>
            <w:r>
              <w:rPr>
                <w:rFonts w:hint="default" w:ascii="Times New Roman" w:hAnsi="Times New Roman" w:eastAsia="宋体" w:cs="Times New Roman"/>
                <w:color w:val="FF0000"/>
                <w:kern w:val="2"/>
                <w:sz w:val="21"/>
                <w:szCs w:val="21"/>
                <w:highlight w:val="none"/>
                <w:lang w:val="en-US" w:eastAsia="zh-CN" w:bidi="ar-SA"/>
              </w:rPr>
              <w:t>软化水处理废水、脱硫废水、</w:t>
            </w:r>
            <w:r>
              <w:rPr>
                <w:rFonts w:hint="eastAsia" w:ascii="Times New Roman" w:hAnsi="Times New Roman" w:eastAsia="宋体" w:cs="Times New Roman"/>
                <w:color w:val="FF0000"/>
                <w:kern w:val="2"/>
                <w:sz w:val="21"/>
                <w:szCs w:val="21"/>
                <w:highlight w:val="none"/>
                <w:lang w:val="en-US" w:eastAsia="zh-CN" w:bidi="ar-SA"/>
              </w:rPr>
              <w:t>锅炉排污水、含煤废水</w:t>
            </w:r>
          </w:p>
        </w:tc>
      </w:tr>
      <w:tr w14:paraId="612556C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50" w:type="dxa"/>
            <w:tcBorders>
              <w:tl2br w:val="nil"/>
              <w:tr2bl w:val="nil"/>
            </w:tcBorders>
            <w:shd w:val="clear" w:color="auto" w:fill="auto"/>
            <w:noWrap w:val="0"/>
            <w:vAlign w:val="center"/>
          </w:tcPr>
          <w:p w14:paraId="645B8D01">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eastAsia" w:ascii="Times New Roman" w:hAnsi="Times New Roman" w:eastAsia="宋体" w:cs="Times New Roman"/>
                <w:color w:val="FF0000"/>
                <w:kern w:val="2"/>
                <w:sz w:val="21"/>
                <w:szCs w:val="21"/>
                <w:highlight w:val="none"/>
                <w:lang w:val="en-US" w:eastAsia="zh-CN" w:bidi="ar-SA"/>
              </w:rPr>
            </w:pPr>
            <w:r>
              <w:rPr>
                <w:rFonts w:hint="eastAsia" w:hAnsi="Times New Roman" w:cs="Times New Roman"/>
                <w:color w:val="FF0000"/>
                <w:sz w:val="21"/>
                <w:szCs w:val="21"/>
                <w:highlight w:val="none"/>
                <w:lang w:val="en-US" w:eastAsia="zh-CN"/>
              </w:rPr>
              <w:t>5</w:t>
            </w:r>
          </w:p>
        </w:tc>
        <w:tc>
          <w:tcPr>
            <w:tcW w:w="2034" w:type="dxa"/>
            <w:tcBorders>
              <w:tl2br w:val="nil"/>
              <w:tr2bl w:val="nil"/>
            </w:tcBorders>
            <w:noWrap w:val="0"/>
            <w:vAlign w:val="center"/>
          </w:tcPr>
          <w:p w14:paraId="32D4EBA0">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kern w:val="2"/>
                <w:sz w:val="21"/>
                <w:szCs w:val="21"/>
                <w:highlight w:val="none"/>
                <w:lang w:val="en-US" w:eastAsia="zh-CN" w:bidi="ar-SA"/>
              </w:rPr>
              <w:t>输煤系统除尘</w:t>
            </w:r>
            <w:r>
              <w:rPr>
                <w:rFonts w:hint="eastAsia" w:hAnsi="Times New Roman" w:cs="Times New Roman"/>
                <w:color w:val="FF0000"/>
                <w:kern w:val="2"/>
                <w:sz w:val="21"/>
                <w:szCs w:val="21"/>
                <w:highlight w:val="none"/>
                <w:lang w:val="en-US" w:eastAsia="zh-CN" w:bidi="ar-SA"/>
              </w:rPr>
              <w:t>、除渣</w:t>
            </w:r>
            <w:r>
              <w:rPr>
                <w:rFonts w:hint="default" w:ascii="Times New Roman" w:hAnsi="Times New Roman" w:eastAsia="宋体" w:cs="Times New Roman"/>
                <w:color w:val="FF0000"/>
                <w:kern w:val="2"/>
                <w:sz w:val="21"/>
                <w:szCs w:val="21"/>
                <w:highlight w:val="none"/>
                <w:lang w:val="en-US" w:eastAsia="zh-CN" w:bidi="ar-SA"/>
              </w:rPr>
              <w:t>用水</w:t>
            </w:r>
          </w:p>
        </w:tc>
        <w:tc>
          <w:tcPr>
            <w:tcW w:w="1852" w:type="dxa"/>
            <w:tcBorders>
              <w:tl2br w:val="nil"/>
              <w:tr2bl w:val="nil"/>
            </w:tcBorders>
            <w:noWrap w:val="0"/>
            <w:vAlign w:val="center"/>
          </w:tcPr>
          <w:p w14:paraId="5FB6D314">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default" w:hAnsi="Times New Roman" w:cs="Times New Roman"/>
                <w:color w:val="FF0000"/>
                <w:sz w:val="21"/>
                <w:szCs w:val="21"/>
                <w:highlight w:val="none"/>
                <w:lang w:val="en-US" w:eastAsia="zh-CN"/>
              </w:rPr>
            </w:pPr>
            <w:r>
              <w:rPr>
                <w:rFonts w:hint="eastAsia" w:hAnsi="Times New Roman" w:cs="Times New Roman"/>
                <w:color w:val="FF0000"/>
                <w:sz w:val="21"/>
                <w:szCs w:val="21"/>
                <w:highlight w:val="none"/>
                <w:lang w:val="en-US" w:eastAsia="zh-CN"/>
              </w:rPr>
              <w:t>4.52</w:t>
            </w:r>
          </w:p>
        </w:tc>
        <w:tc>
          <w:tcPr>
            <w:tcW w:w="1435" w:type="dxa"/>
            <w:tcBorders>
              <w:tl2br w:val="nil"/>
              <w:tr2bl w:val="nil"/>
            </w:tcBorders>
            <w:noWrap w:val="0"/>
            <w:vAlign w:val="center"/>
          </w:tcPr>
          <w:p w14:paraId="7BD53AA7">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eastAsia" w:ascii="Times New Roman" w:hAnsi="Times New Roman" w:eastAsia="宋体" w:cs="Times New Roman"/>
                <w:color w:val="FF0000"/>
                <w:sz w:val="21"/>
                <w:szCs w:val="21"/>
                <w:highlight w:val="none"/>
                <w:lang w:val="en-US" w:eastAsia="zh-CN"/>
              </w:rPr>
            </w:pPr>
            <w:r>
              <w:rPr>
                <w:rFonts w:hint="eastAsia" w:hAnsi="Times New Roman" w:cs="Times New Roman"/>
                <w:color w:val="FF0000"/>
                <w:sz w:val="21"/>
                <w:szCs w:val="21"/>
                <w:highlight w:val="none"/>
                <w:lang w:val="en-US" w:eastAsia="zh-CN"/>
              </w:rPr>
              <w:t>0</w:t>
            </w:r>
          </w:p>
        </w:tc>
        <w:tc>
          <w:tcPr>
            <w:tcW w:w="2451" w:type="dxa"/>
            <w:vMerge w:val="continue"/>
            <w:tcBorders>
              <w:tl2br w:val="nil"/>
              <w:tr2bl w:val="nil"/>
            </w:tcBorders>
            <w:noWrap w:val="0"/>
            <w:vAlign w:val="center"/>
          </w:tcPr>
          <w:p w14:paraId="1BB0FE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p>
        </w:tc>
      </w:tr>
      <w:tr w14:paraId="1B9A292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50" w:type="dxa"/>
            <w:tcBorders>
              <w:tl2br w:val="nil"/>
              <w:tr2bl w:val="nil"/>
            </w:tcBorders>
            <w:shd w:val="clear" w:color="auto" w:fill="auto"/>
            <w:noWrap w:val="0"/>
            <w:vAlign w:val="center"/>
          </w:tcPr>
          <w:p w14:paraId="3017650F">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eastAsia" w:hAnsi="Times New Roman" w:cs="Times New Roman"/>
                <w:color w:val="FF0000"/>
                <w:sz w:val="21"/>
                <w:szCs w:val="21"/>
                <w:highlight w:val="none"/>
                <w:lang w:val="en-US" w:eastAsia="zh-CN"/>
              </w:rPr>
              <w:t>6</w:t>
            </w:r>
          </w:p>
        </w:tc>
        <w:tc>
          <w:tcPr>
            <w:tcW w:w="2034" w:type="dxa"/>
            <w:tcBorders>
              <w:tl2br w:val="nil"/>
              <w:tr2bl w:val="nil"/>
            </w:tcBorders>
            <w:noWrap w:val="0"/>
            <w:vAlign w:val="center"/>
          </w:tcPr>
          <w:p w14:paraId="3DFE94AD">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脱硫系统</w:t>
            </w:r>
          </w:p>
        </w:tc>
        <w:tc>
          <w:tcPr>
            <w:tcW w:w="1852" w:type="dxa"/>
            <w:tcBorders>
              <w:tl2br w:val="nil"/>
              <w:tr2bl w:val="nil"/>
            </w:tcBorders>
            <w:noWrap w:val="0"/>
            <w:vAlign w:val="center"/>
          </w:tcPr>
          <w:p w14:paraId="371F6782">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eastAsia" w:ascii="Times New Roman" w:hAnsi="Times New Roman" w:eastAsia="宋体" w:cs="Times New Roman"/>
                <w:color w:val="FF0000"/>
                <w:kern w:val="2"/>
                <w:sz w:val="21"/>
                <w:szCs w:val="21"/>
                <w:highlight w:val="none"/>
                <w:lang w:val="en-US" w:eastAsia="zh-CN" w:bidi="ar-SA"/>
              </w:rPr>
            </w:pPr>
            <w:r>
              <w:rPr>
                <w:rFonts w:hint="eastAsia" w:hAnsi="Times New Roman" w:cs="Times New Roman"/>
                <w:color w:val="FF0000"/>
                <w:sz w:val="21"/>
                <w:szCs w:val="21"/>
                <w:highlight w:val="none"/>
                <w:lang w:val="en-US" w:eastAsia="zh-CN"/>
              </w:rPr>
              <w:t>2</w:t>
            </w:r>
          </w:p>
        </w:tc>
        <w:tc>
          <w:tcPr>
            <w:tcW w:w="1435" w:type="dxa"/>
            <w:tcBorders>
              <w:tl2br w:val="nil"/>
              <w:tr2bl w:val="nil"/>
            </w:tcBorders>
            <w:noWrap w:val="0"/>
            <w:vAlign w:val="center"/>
          </w:tcPr>
          <w:p w14:paraId="23422EBB">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eastAsia" w:hAnsi="Times New Roman" w:cs="Times New Roman"/>
                <w:color w:val="FF0000"/>
                <w:sz w:val="21"/>
                <w:szCs w:val="21"/>
                <w:highlight w:val="none"/>
                <w:lang w:val="en-US" w:eastAsia="zh-CN"/>
              </w:rPr>
              <w:t>0.15</w:t>
            </w:r>
          </w:p>
        </w:tc>
        <w:tc>
          <w:tcPr>
            <w:tcW w:w="2451" w:type="dxa"/>
            <w:vMerge w:val="continue"/>
            <w:tcBorders>
              <w:tl2br w:val="nil"/>
              <w:tr2bl w:val="nil"/>
            </w:tcBorders>
            <w:noWrap w:val="0"/>
            <w:vAlign w:val="center"/>
          </w:tcPr>
          <w:p w14:paraId="6CF31D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p>
        </w:tc>
      </w:tr>
      <w:tr w14:paraId="19C4F6A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50" w:type="dxa"/>
            <w:tcBorders>
              <w:tl2br w:val="nil"/>
              <w:tr2bl w:val="nil"/>
            </w:tcBorders>
            <w:shd w:val="clear" w:color="auto" w:fill="auto"/>
            <w:noWrap w:val="0"/>
            <w:vAlign w:val="center"/>
          </w:tcPr>
          <w:p w14:paraId="0ACA1349">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eastAsia" w:hAnsi="Times New Roman" w:cs="Times New Roman"/>
                <w:color w:val="FF0000"/>
                <w:sz w:val="21"/>
                <w:szCs w:val="21"/>
                <w:highlight w:val="none"/>
                <w:lang w:val="en-US" w:eastAsia="zh-CN"/>
              </w:rPr>
              <w:t>7</w:t>
            </w:r>
          </w:p>
        </w:tc>
        <w:tc>
          <w:tcPr>
            <w:tcW w:w="2034" w:type="dxa"/>
            <w:tcBorders>
              <w:tl2br w:val="nil"/>
              <w:tr2bl w:val="nil"/>
            </w:tcBorders>
            <w:noWrap w:val="0"/>
            <w:vAlign w:val="center"/>
          </w:tcPr>
          <w:p w14:paraId="205978A5">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脱硝系统</w:t>
            </w:r>
          </w:p>
        </w:tc>
        <w:tc>
          <w:tcPr>
            <w:tcW w:w="1852" w:type="dxa"/>
            <w:tcBorders>
              <w:tl2br w:val="nil"/>
              <w:tr2bl w:val="nil"/>
            </w:tcBorders>
            <w:noWrap w:val="0"/>
            <w:vAlign w:val="center"/>
          </w:tcPr>
          <w:p w14:paraId="400268C4">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eastAsia" w:hAnsi="Times New Roman" w:cs="Times New Roman"/>
                <w:color w:val="FF0000"/>
                <w:sz w:val="21"/>
                <w:szCs w:val="21"/>
                <w:highlight w:val="none"/>
                <w:lang w:val="en-US" w:eastAsia="zh-CN"/>
              </w:rPr>
              <w:t>0.1</w:t>
            </w:r>
          </w:p>
        </w:tc>
        <w:tc>
          <w:tcPr>
            <w:tcW w:w="1435" w:type="dxa"/>
            <w:tcBorders>
              <w:tl2br w:val="nil"/>
              <w:tr2bl w:val="nil"/>
            </w:tcBorders>
            <w:noWrap w:val="0"/>
            <w:vAlign w:val="center"/>
          </w:tcPr>
          <w:p w14:paraId="6B93219E">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0</w:t>
            </w:r>
          </w:p>
        </w:tc>
        <w:tc>
          <w:tcPr>
            <w:tcW w:w="2451" w:type="dxa"/>
            <w:vMerge w:val="continue"/>
            <w:tcBorders>
              <w:tl2br w:val="nil"/>
              <w:tr2bl w:val="nil"/>
            </w:tcBorders>
            <w:noWrap w:val="0"/>
            <w:vAlign w:val="center"/>
          </w:tcPr>
          <w:p w14:paraId="5ED70E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p>
        </w:tc>
      </w:tr>
    </w:tbl>
    <w:p w14:paraId="4CFABA5A">
      <w:pPr>
        <w:pStyle w:val="6"/>
        <w:numPr>
          <w:ilvl w:val="0"/>
          <w:numId w:val="0"/>
        </w:numPr>
        <w:bidi w:val="0"/>
        <w:ind w:leftChars="0"/>
        <w:jc w:val="center"/>
        <w:rPr>
          <w:rFonts w:hint="default" w:ascii="Times New Roman" w:hAnsi="Times New Roman" w:eastAsia="宋体" w:cs="Times New Roman"/>
          <w:b w:val="0"/>
          <w:bCs w:val="0"/>
          <w:color w:val="FF0000"/>
          <w:sz w:val="24"/>
          <w:szCs w:val="24"/>
          <w:highlight w:val="none"/>
          <w:lang w:val="en-US" w:eastAsia="zh-CN"/>
        </w:rPr>
      </w:pPr>
      <w:bookmarkStart w:id="270" w:name="_Toc16583"/>
      <w:bookmarkStart w:id="271" w:name="_Toc277"/>
      <w:bookmarkStart w:id="272" w:name="_Toc4512"/>
      <w:r>
        <w:rPr>
          <w:rFonts w:hint="default" w:ascii="Times New Roman" w:hAnsi="Times New Roman" w:eastAsia="宋体" w:cs="Times New Roman"/>
          <w:b w:val="0"/>
          <w:bCs w:val="0"/>
          <w:color w:val="FF0000"/>
          <w:sz w:val="24"/>
          <w:szCs w:val="24"/>
          <w:highlight w:val="none"/>
          <w:lang w:val="en-US" w:eastAsia="zh-CN"/>
        </w:rPr>
        <w:object>
          <v:shape id="_x0000_i1027" o:spt="75" type="#_x0000_t75" style="height:147.3pt;width:450.25pt;" o:ole="t" filled="f" o:preferrelative="t" stroked="f" coordsize="21600,21600">
            <v:path/>
            <v:fill on="f" focussize="0,0"/>
            <v:stroke on="f"/>
            <v:imagedata r:id="rId36" o:title=""/>
            <o:lock v:ext="edit" aspectratio="t"/>
            <w10:wrap type="none"/>
            <w10:anchorlock/>
          </v:shape>
          <o:OLEObject Type="Embed" ProgID="Visio.Drawing.11" ShapeID="_x0000_i1027" DrawAspect="Content" ObjectID="_1468075727" r:id="rId35">
            <o:LockedField>false</o:LockedField>
          </o:OLEObject>
        </w:object>
      </w:r>
      <w:r>
        <w:rPr>
          <w:rFonts w:hint="eastAsia" w:ascii="Times New Roman" w:hAnsi="Times New Roman" w:cs="Times New Roman"/>
          <w:b w:val="0"/>
          <w:bCs w:val="0"/>
          <w:color w:val="FF0000"/>
          <w:sz w:val="24"/>
          <w:szCs w:val="24"/>
          <w:highlight w:val="none"/>
          <w:lang w:val="en-US" w:eastAsia="zh-CN"/>
        </w:rPr>
        <w:t>图3.8-1  本项目水平衡</w:t>
      </w:r>
    </w:p>
    <w:p w14:paraId="7703965A">
      <w:pPr>
        <w:pStyle w:val="6"/>
        <w:numPr>
          <w:ilvl w:val="2"/>
          <w:numId w:val="3"/>
        </w:numPr>
        <w:bidi w:val="0"/>
        <w:ind w:left="709" w:leftChars="0" w:hanging="709" w:firstLineChars="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供电</w:t>
      </w:r>
      <w:r>
        <w:rPr>
          <w:rFonts w:hint="default" w:ascii="Times New Roman" w:hAnsi="Times New Roman" w:eastAsia="宋体" w:cs="Times New Roman"/>
          <w:color w:val="auto"/>
          <w:highlight w:val="none"/>
          <w:lang w:val="en-US" w:eastAsia="zh-CN"/>
        </w:rPr>
        <w:t>系统</w:t>
      </w:r>
      <w:bookmarkEnd w:id="270"/>
      <w:bookmarkEnd w:id="271"/>
      <w:bookmarkEnd w:id="272"/>
    </w:p>
    <w:p w14:paraId="75CA049E">
      <w:pPr>
        <w:ind w:firstLine="480"/>
        <w:rPr>
          <w:rFonts w:ascii="Times New Roman" w:hAnsi="Times New Roman" w:eastAsia="宋体" w:cs="Times New Roman"/>
          <w:iCs/>
          <w:color w:val="auto"/>
          <w:highlight w:val="none"/>
        </w:rPr>
      </w:pPr>
      <w:bookmarkStart w:id="273" w:name="_Toc105659896"/>
      <w:bookmarkStart w:id="274" w:name="_Toc18551"/>
      <w:bookmarkStart w:id="275" w:name="_Toc27317"/>
      <w:bookmarkStart w:id="276" w:name="_Toc107238113"/>
      <w:r>
        <w:rPr>
          <w:rFonts w:ascii="Times New Roman" w:hAnsi="Times New Roman" w:eastAsia="宋体" w:cs="Times New Roman"/>
          <w:iCs/>
          <w:color w:val="auto"/>
          <w:highlight w:val="none"/>
        </w:rPr>
        <w:t>用电负荷</w:t>
      </w:r>
      <w:r>
        <w:rPr>
          <w:rFonts w:hint="eastAsia" w:ascii="Times New Roman" w:hAnsi="Times New Roman" w:eastAsia="宋体" w:cs="Times New Roman"/>
          <w:iCs/>
          <w:color w:val="auto"/>
          <w:highlight w:val="none"/>
          <w:lang w:eastAsia="zh-CN"/>
        </w:rPr>
        <w:t>属于</w:t>
      </w:r>
      <w:r>
        <w:rPr>
          <w:rFonts w:ascii="Times New Roman" w:hAnsi="Times New Roman" w:eastAsia="宋体" w:cs="Times New Roman"/>
          <w:iCs/>
          <w:color w:val="auto"/>
          <w:highlight w:val="none"/>
        </w:rPr>
        <w:t>二级用电负荷，采用双回路供电，供电电压为10kV，电源由市政电网引至厂区附近终端杆，两路电源一路工作，一路备用。</w:t>
      </w:r>
    </w:p>
    <w:p w14:paraId="4DA73AA6">
      <w:pPr>
        <w:ind w:firstLine="480"/>
        <w:rPr>
          <w:rFonts w:hint="eastAsia" w:ascii="Times New Roman" w:hAnsi="Times New Roman" w:eastAsia="宋体" w:cs="Times New Roman"/>
          <w:iCs/>
          <w:color w:val="auto"/>
          <w:highlight w:val="none"/>
          <w:lang w:eastAsia="zh-CN"/>
        </w:rPr>
      </w:pPr>
      <w:r>
        <w:rPr>
          <w:rFonts w:ascii="Times New Roman" w:hAnsi="Times New Roman" w:eastAsia="宋体" w:cs="Times New Roman"/>
          <w:iCs/>
          <w:color w:val="auto"/>
          <w:highlight w:val="none"/>
        </w:rPr>
        <w:t>锅炉房10kV配电装置采用单母线的接线方式，电源进线采用双回路10kV供电，互为备用。10kV电源进线设置两个专用计量柜，电力部门计费关口表设在</w:t>
      </w:r>
      <w:r>
        <w:rPr>
          <w:rFonts w:hint="eastAsia" w:ascii="Times New Roman" w:hAnsi="Times New Roman" w:eastAsia="宋体" w:cs="Times New Roman"/>
          <w:iCs/>
          <w:color w:val="auto"/>
          <w:highlight w:val="none"/>
        </w:rPr>
        <w:t>西山变</w:t>
      </w:r>
      <w:r>
        <w:rPr>
          <w:rFonts w:ascii="Times New Roman" w:hAnsi="Times New Roman" w:eastAsia="宋体" w:cs="Times New Roman"/>
          <w:iCs/>
          <w:color w:val="auto"/>
          <w:highlight w:val="none"/>
        </w:rPr>
        <w:t>10kV专用计量柜内。锅炉房的10kV母线段为</w:t>
      </w:r>
      <w:r>
        <w:rPr>
          <w:rFonts w:hint="eastAsia" w:ascii="Times New Roman" w:hAnsi="Times New Roman" w:eastAsia="宋体" w:cs="Times New Roman"/>
          <w:iCs/>
          <w:color w:val="auto"/>
          <w:highlight w:val="none"/>
        </w:rPr>
        <w:t>高压电机及</w:t>
      </w:r>
      <w:r>
        <w:rPr>
          <w:rFonts w:ascii="Times New Roman" w:hAnsi="Times New Roman" w:eastAsia="宋体" w:cs="Times New Roman"/>
          <w:iCs/>
          <w:color w:val="auto"/>
          <w:highlight w:val="none"/>
        </w:rPr>
        <w:t>厂用变压器提供电源，设低压厂用变</w:t>
      </w:r>
      <w:r>
        <w:rPr>
          <w:rFonts w:hint="eastAsia" w:ascii="Times New Roman" w:hAnsi="Times New Roman" w:eastAsia="宋体" w:cs="Times New Roman"/>
          <w:iCs/>
          <w:color w:val="auto"/>
          <w:highlight w:val="none"/>
        </w:rPr>
        <w:t>5</w:t>
      </w:r>
      <w:r>
        <w:rPr>
          <w:rFonts w:ascii="Times New Roman" w:hAnsi="Times New Roman" w:eastAsia="宋体" w:cs="Times New Roman"/>
          <w:iCs/>
          <w:color w:val="auto"/>
          <w:highlight w:val="none"/>
        </w:rPr>
        <w:t>台，互为备用，为1#/2#</w:t>
      </w:r>
      <w:r>
        <w:rPr>
          <w:rFonts w:hint="eastAsia" w:ascii="Times New Roman" w:hAnsi="Times New Roman" w:eastAsia="宋体" w:cs="Times New Roman"/>
          <w:iCs/>
          <w:color w:val="auto"/>
          <w:highlight w:val="none"/>
        </w:rPr>
        <w:t>/3#</w:t>
      </w:r>
      <w:r>
        <w:rPr>
          <w:rFonts w:ascii="Times New Roman" w:hAnsi="Times New Roman" w:eastAsia="宋体" w:cs="Times New Roman"/>
          <w:iCs/>
          <w:color w:val="auto"/>
          <w:highlight w:val="none"/>
        </w:rPr>
        <w:t>锅炉的低压负荷配电。考虑到采暖锅炉房冬季运行、夏季检修的特点，在变电所另设一台小容量变压器，专供锅炉房夏季照明及检修用电。这样可以在夏季报停</w:t>
      </w:r>
      <w:r>
        <w:rPr>
          <w:rFonts w:hint="eastAsia" w:ascii="Times New Roman" w:hAnsi="Times New Roman" w:eastAsia="宋体" w:cs="Times New Roman"/>
          <w:iCs/>
          <w:color w:val="auto"/>
          <w:highlight w:val="none"/>
        </w:rPr>
        <w:t>五</w:t>
      </w:r>
      <w:r>
        <w:rPr>
          <w:rFonts w:ascii="Times New Roman" w:hAnsi="Times New Roman" w:eastAsia="宋体" w:cs="Times New Roman"/>
          <w:iCs/>
          <w:color w:val="auto"/>
          <w:highlight w:val="none"/>
        </w:rPr>
        <w:t>台</w:t>
      </w:r>
      <w:r>
        <w:rPr>
          <w:rFonts w:hint="eastAsia" w:ascii="Times New Roman" w:hAnsi="Times New Roman" w:eastAsia="宋体" w:cs="Times New Roman"/>
          <w:iCs/>
          <w:color w:val="auto"/>
          <w:highlight w:val="none"/>
        </w:rPr>
        <w:t>厂用</w:t>
      </w:r>
      <w:r>
        <w:rPr>
          <w:rFonts w:ascii="Times New Roman" w:hAnsi="Times New Roman" w:eastAsia="宋体" w:cs="Times New Roman"/>
          <w:iCs/>
          <w:color w:val="auto"/>
          <w:highlight w:val="none"/>
        </w:rPr>
        <w:t>变压器</w:t>
      </w:r>
      <w:r>
        <w:rPr>
          <w:rFonts w:hint="eastAsia" w:ascii="Times New Roman" w:hAnsi="Times New Roman" w:eastAsia="宋体" w:cs="Times New Roman"/>
          <w:iCs/>
          <w:color w:val="auto"/>
          <w:highlight w:val="none"/>
        </w:rPr>
        <w:t>及高压电机</w:t>
      </w:r>
      <w:r>
        <w:rPr>
          <w:rFonts w:ascii="Times New Roman" w:hAnsi="Times New Roman" w:eastAsia="宋体" w:cs="Times New Roman"/>
          <w:iCs/>
          <w:color w:val="auto"/>
          <w:highlight w:val="none"/>
        </w:rPr>
        <w:t>，以减少基本电价的支出</w:t>
      </w:r>
      <w:r>
        <w:rPr>
          <w:rFonts w:hint="eastAsia" w:ascii="Times New Roman" w:hAnsi="Times New Roman" w:eastAsia="宋体" w:cs="Times New Roman"/>
          <w:iCs/>
          <w:color w:val="auto"/>
          <w:highlight w:val="none"/>
          <w:lang w:eastAsia="zh-CN"/>
        </w:rPr>
        <w:t>。</w:t>
      </w:r>
    </w:p>
    <w:p w14:paraId="2DD4251E">
      <w:pPr>
        <w:pStyle w:val="4"/>
        <w:numPr>
          <w:ilvl w:val="1"/>
          <w:numId w:val="3"/>
        </w:numPr>
        <w:bidi w:val="0"/>
        <w:ind w:left="567" w:leftChars="0" w:hanging="567" w:firstLineChars="0"/>
        <w:rPr>
          <w:rFonts w:hint="default" w:ascii="Times New Roman" w:hAnsi="Times New Roman" w:eastAsia="宋体" w:cs="Times New Roman"/>
          <w:b/>
          <w:bCs/>
          <w:color w:val="auto"/>
          <w:highlight w:val="none"/>
        </w:rPr>
      </w:pPr>
      <w:bookmarkStart w:id="277" w:name="_Toc11649"/>
      <w:r>
        <w:rPr>
          <w:rFonts w:hint="default" w:ascii="Times New Roman" w:hAnsi="Times New Roman" w:eastAsia="宋体" w:cs="Times New Roman"/>
          <w:b/>
          <w:bCs/>
          <w:color w:val="auto"/>
          <w:highlight w:val="none"/>
        </w:rPr>
        <w:t>平面布置</w:t>
      </w:r>
      <w:bookmarkEnd w:id="273"/>
      <w:bookmarkEnd w:id="274"/>
      <w:bookmarkEnd w:id="275"/>
      <w:bookmarkEnd w:id="276"/>
      <w:bookmarkEnd w:id="277"/>
    </w:p>
    <w:p w14:paraId="25BBE9E2">
      <w:pPr>
        <w:pStyle w:val="6"/>
        <w:numPr>
          <w:ilvl w:val="2"/>
          <w:numId w:val="3"/>
        </w:numPr>
        <w:bidi w:val="0"/>
        <w:ind w:left="709" w:leftChars="0" w:hanging="709" w:firstLineChars="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总平面布置原则</w:t>
      </w:r>
    </w:p>
    <w:p w14:paraId="3665D3BB">
      <w:pPr>
        <w:ind w:firstLine="480"/>
        <w:rPr>
          <w:rFonts w:hint="default" w:ascii="Times New Roman" w:hAnsi="Times New Roman" w:eastAsia="宋体" w:cs="Times New Roman"/>
          <w:color w:val="auto"/>
          <w:sz w:val="24"/>
          <w:szCs w:val="24"/>
          <w:highlight w:val="none"/>
          <w:lang w:eastAsia="zh-CN"/>
        </w:rPr>
      </w:pPr>
      <w:bookmarkStart w:id="278" w:name="_Toc107238114"/>
      <w:bookmarkStart w:id="279" w:name="_Toc105659897"/>
      <w:bookmarkStart w:id="280" w:name="_Toc16868"/>
      <w:bookmarkStart w:id="281" w:name="_Toc25923"/>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eastAsia="zh-CN"/>
        </w:rPr>
        <w:t>1）满足总体规划以及生产性质、防火、安全、卫生、施工规范等要求；</w:t>
      </w:r>
    </w:p>
    <w:p w14:paraId="36AC386A">
      <w:pPr>
        <w:ind w:firstLine="480"/>
        <w:rPr>
          <w:rFonts w:hint="default"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eastAsia="zh-CN"/>
        </w:rPr>
        <w:t>2）建、构筑物的平面和空间组合，应做到分区明确、合理紧凑、有利生产、造型协调、整体性好。在</w:t>
      </w:r>
      <w:r>
        <w:rPr>
          <w:rFonts w:hint="eastAsia" w:ascii="Times New Roman" w:hAnsi="Times New Roman" w:eastAsia="宋体" w:cs="Times New Roman"/>
          <w:color w:val="auto"/>
          <w:sz w:val="24"/>
          <w:szCs w:val="24"/>
          <w:highlight w:val="none"/>
          <w:lang w:eastAsia="zh-CN"/>
        </w:rPr>
        <w:t>符合</w:t>
      </w:r>
      <w:r>
        <w:rPr>
          <w:rFonts w:hint="default" w:ascii="Times New Roman" w:hAnsi="Times New Roman" w:eastAsia="宋体" w:cs="Times New Roman"/>
          <w:color w:val="auto"/>
          <w:sz w:val="24"/>
          <w:szCs w:val="24"/>
          <w:highlight w:val="none"/>
          <w:lang w:eastAsia="zh-CN"/>
        </w:rPr>
        <w:t>生产流程、操作要求和使用功能的前提下，建、构筑物等设施应联合多层布置。</w:t>
      </w:r>
    </w:p>
    <w:p w14:paraId="456ABA0F">
      <w:pPr>
        <w:ind w:firstLine="480"/>
        <w:rPr>
          <w:rFonts w:hint="default"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eastAsia="zh-CN"/>
        </w:rPr>
        <w:t>3）总平面布置应以主厂房为中心，以工艺流程合理为原则，应注意厂区地形、设备特点和施工条件的影响，合理安排、因地制宜地进行布置。</w:t>
      </w:r>
    </w:p>
    <w:p w14:paraId="747DD38F">
      <w:pPr>
        <w:pStyle w:val="6"/>
        <w:numPr>
          <w:ilvl w:val="2"/>
          <w:numId w:val="3"/>
        </w:numPr>
        <w:bidi w:val="0"/>
        <w:ind w:left="709" w:leftChars="0" w:hanging="709" w:firstLineChars="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总平面布置</w:t>
      </w:r>
    </w:p>
    <w:p w14:paraId="505943C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根据以上设计原则，本项目根据锅炉房的使用性质、规模及使用方式等多方面要求，综合考虑自然条件、交通运输、环境质量及发展前景等因素，进行规划设计。集体布置作如下安排：</w:t>
      </w:r>
    </w:p>
    <w:p w14:paraId="27FCF63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 xml:space="preserve">（1）主体建筑锅炉房建设在规划用地居中的位置，使得锅炉房有良好的朝向。 </w:t>
      </w:r>
    </w:p>
    <w:p w14:paraId="0B5A6F5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（2）主体建筑出入口前设计为硬质铺装场地，场地与厂区内主要道路结合，更好地突出建筑主体，并考虑足够空间，满足消防车辆运行、人员出行、公共停留、集散等多方面功能。</w:t>
      </w:r>
    </w:p>
    <w:p w14:paraId="64333B7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3）锅炉房及配套设施周边选用地产树种做绿化布置，并且在锅炉房及配套设施和厂区内主要道路两侧设有集中绿化，考虑林业局风向问题，因此把煤场、渣场设立在较为理想位置，使厂区周边获得良好的环境。</w:t>
      </w:r>
    </w:p>
    <w:p w14:paraId="046994FA">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厂区周围设防护绿化带，以乔木和灌木间混栽植，一显厂区的绿色轮廓，二阻风沙侵袭；厂区主要道路两侧，布置带状绿化用地，种植柳树、杨树和松树等；间隙空地用草坪、花卉等自然布置，在厂区内功能分区间广植</w:t>
      </w:r>
      <w:r>
        <w:rPr>
          <w:rFonts w:hint="eastAsia" w:ascii="Times New Roman" w:hAnsi="Times New Roman" w:eastAsia="宋体" w:cs="Times New Roman"/>
          <w:color w:val="auto"/>
          <w:sz w:val="24"/>
          <w:szCs w:val="24"/>
          <w:highlight w:val="none"/>
          <w:lang w:eastAsia="zh-CN"/>
        </w:rPr>
        <w:t>常绿</w:t>
      </w:r>
      <w:r>
        <w:rPr>
          <w:rFonts w:hint="default" w:ascii="Times New Roman" w:hAnsi="Times New Roman" w:eastAsia="宋体" w:cs="Times New Roman"/>
          <w:color w:val="auto"/>
          <w:sz w:val="24"/>
          <w:szCs w:val="24"/>
          <w:highlight w:val="none"/>
          <w:lang w:eastAsia="zh-CN"/>
        </w:rPr>
        <w:t>乔木及草坪</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eastAsia="zh-CN"/>
        </w:rPr>
        <w:t>在主厂房前及输煤栈桥、蓄水池一带种植花坛及草坪等。</w:t>
      </w:r>
    </w:p>
    <w:p w14:paraId="0284C1E1">
      <w:pPr>
        <w:pStyle w:val="6"/>
        <w:numPr>
          <w:ilvl w:val="2"/>
          <w:numId w:val="3"/>
        </w:numPr>
        <w:bidi w:val="0"/>
        <w:ind w:left="709" w:leftChars="0" w:hanging="709" w:firstLineChars="0"/>
        <w:rPr>
          <w:rFonts w:hint="default" w:ascii="Times New Roman" w:hAnsi="Times New Roman" w:eastAsia="宋体" w:cs="Times New Roman"/>
          <w:color w:val="auto"/>
          <w:highlight w:val="none"/>
          <w:lang w:eastAsia="zh-CN"/>
        </w:rPr>
      </w:pPr>
      <w:bookmarkStart w:id="282" w:name="_Toc319948146"/>
      <w:bookmarkStart w:id="283" w:name="_Toc319948361"/>
      <w:bookmarkStart w:id="284" w:name="_Toc319948230"/>
      <w:r>
        <w:rPr>
          <w:rFonts w:hint="default" w:ascii="Times New Roman" w:hAnsi="Times New Roman" w:eastAsia="宋体" w:cs="Times New Roman"/>
          <w:color w:val="auto"/>
          <w:highlight w:val="none"/>
          <w:lang w:eastAsia="zh-CN"/>
        </w:rPr>
        <w:t>竖向设计</w:t>
      </w:r>
      <w:bookmarkEnd w:id="282"/>
      <w:bookmarkEnd w:id="283"/>
      <w:bookmarkEnd w:id="284"/>
    </w:p>
    <w:p w14:paraId="73EAAF6A">
      <w:pPr>
        <w:ind w:firstLine="48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该场地比较平坦</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eastAsia="zh-CN"/>
        </w:rPr>
        <w:t>竖向设计采用连续式整平方式。为满足场地雨水</w:t>
      </w:r>
      <w:r>
        <w:rPr>
          <w:rFonts w:hint="eastAsia" w:ascii="Times New Roman" w:hAnsi="Times New Roman" w:eastAsia="宋体" w:cs="Times New Roman"/>
          <w:color w:val="auto"/>
          <w:sz w:val="24"/>
          <w:szCs w:val="24"/>
          <w:highlight w:val="none"/>
          <w:lang w:eastAsia="zh-CN"/>
        </w:rPr>
        <w:t>排出</w:t>
      </w:r>
      <w:r>
        <w:rPr>
          <w:rFonts w:hint="default" w:ascii="Times New Roman" w:hAnsi="Times New Roman" w:eastAsia="宋体" w:cs="Times New Roman"/>
          <w:color w:val="auto"/>
          <w:sz w:val="24"/>
          <w:szCs w:val="24"/>
          <w:highlight w:val="none"/>
          <w:lang w:eastAsia="zh-CN"/>
        </w:rPr>
        <w:t>、道路交通、建筑物布置及尽量减少土石方工程量等要求，根据场地原有情况，场地均采用平坡式布置。</w:t>
      </w:r>
    </w:p>
    <w:p w14:paraId="1D5B0435">
      <w:pPr>
        <w:ind w:firstLine="48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场区雨水排除：场区内地面雨水排除采用自然排放系统，排水方向与场址内整平坡度方向一致，由厂区出入口汇集，再顺道路排入市政排水管道，排水坡度约为3‰。</w:t>
      </w:r>
    </w:p>
    <w:p w14:paraId="29AF88EB">
      <w:pPr>
        <w:pStyle w:val="6"/>
        <w:numPr>
          <w:ilvl w:val="2"/>
          <w:numId w:val="3"/>
        </w:numPr>
        <w:bidi w:val="0"/>
        <w:ind w:left="709" w:leftChars="0" w:hanging="709" w:firstLineChars="0"/>
        <w:rPr>
          <w:rFonts w:hint="default" w:ascii="Times New Roman" w:hAnsi="Times New Roman" w:eastAsia="宋体" w:cs="Times New Roman"/>
          <w:color w:val="auto"/>
          <w:highlight w:val="none"/>
          <w:lang w:eastAsia="zh-CN"/>
        </w:rPr>
      </w:pPr>
      <w:bookmarkStart w:id="285" w:name="_Toc319948362"/>
      <w:bookmarkStart w:id="286" w:name="_Toc319948147"/>
      <w:bookmarkStart w:id="287" w:name="_Toc319948231"/>
      <w:r>
        <w:rPr>
          <w:rFonts w:hint="default" w:ascii="Times New Roman" w:hAnsi="Times New Roman" w:eastAsia="宋体" w:cs="Times New Roman"/>
          <w:color w:val="auto"/>
          <w:highlight w:val="none"/>
          <w:lang w:eastAsia="zh-CN"/>
        </w:rPr>
        <w:t>交通组织</w:t>
      </w:r>
      <w:bookmarkEnd w:id="285"/>
      <w:bookmarkEnd w:id="286"/>
      <w:bookmarkEnd w:id="287"/>
    </w:p>
    <w:p w14:paraId="124E2B11">
      <w:pPr>
        <w:ind w:firstLine="48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新建锅炉房布置于厂区中心，煤场布置在厂区的东北部，最大限度</w:t>
      </w:r>
      <w:r>
        <w:rPr>
          <w:rFonts w:hint="eastAsia" w:ascii="Times New Roman" w:hAnsi="Times New Roman" w:eastAsia="宋体" w:cs="Times New Roman"/>
          <w:color w:val="auto"/>
          <w:sz w:val="24"/>
          <w:szCs w:val="24"/>
          <w:highlight w:val="none"/>
          <w:lang w:eastAsia="zh-CN"/>
        </w:rPr>
        <w:t>地</w:t>
      </w:r>
      <w:r>
        <w:rPr>
          <w:rFonts w:hint="default" w:ascii="Times New Roman" w:hAnsi="Times New Roman" w:eastAsia="宋体" w:cs="Times New Roman"/>
          <w:color w:val="auto"/>
          <w:sz w:val="24"/>
          <w:szCs w:val="24"/>
          <w:highlight w:val="none"/>
          <w:lang w:eastAsia="zh-CN"/>
        </w:rPr>
        <w:t>避免与生产区的货物及人员的交叉；厂区内道路以环状布置形式与场外道路相接，小区内道路宽度为4m，转弯半径6m，结构形式为城市型水泥混凝土道路。</w:t>
      </w:r>
    </w:p>
    <w:p w14:paraId="49D70B48">
      <w:pPr>
        <w:ind w:firstLine="48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场区都设有1个出入口，出入口位于厂区的北侧，紧邻规划北路，出入口能够满足人流、车流和消防等要求。</w:t>
      </w:r>
    </w:p>
    <w:p w14:paraId="10C35985">
      <w:pPr>
        <w:ind w:firstLine="48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道路排水：厂区地势北高南低，西低东高，道路排水以自然地势沿道路排放。</w:t>
      </w:r>
    </w:p>
    <w:p w14:paraId="24C826FF">
      <w:pPr>
        <w:pStyle w:val="6"/>
        <w:numPr>
          <w:ilvl w:val="2"/>
          <w:numId w:val="3"/>
        </w:numPr>
        <w:bidi w:val="0"/>
        <w:ind w:left="709" w:leftChars="0" w:hanging="709" w:firstLineChars="0"/>
        <w:rPr>
          <w:rFonts w:hint="default" w:ascii="Times New Roman" w:hAnsi="Times New Roman" w:eastAsia="宋体" w:cs="Times New Roman"/>
          <w:color w:val="auto"/>
          <w:highlight w:val="none"/>
          <w:lang w:eastAsia="zh-CN"/>
        </w:rPr>
      </w:pPr>
      <w:bookmarkStart w:id="288" w:name="_Toc319948363"/>
      <w:bookmarkStart w:id="289" w:name="_Toc319948232"/>
      <w:bookmarkStart w:id="290" w:name="_Toc319948148"/>
      <w:r>
        <w:rPr>
          <w:rFonts w:hint="default" w:ascii="Times New Roman" w:hAnsi="Times New Roman" w:eastAsia="宋体" w:cs="Times New Roman"/>
          <w:color w:val="auto"/>
          <w:highlight w:val="none"/>
          <w:lang w:eastAsia="zh-CN"/>
        </w:rPr>
        <w:t>绿化</w:t>
      </w:r>
      <w:bookmarkEnd w:id="288"/>
      <w:bookmarkEnd w:id="289"/>
      <w:bookmarkEnd w:id="290"/>
    </w:p>
    <w:p w14:paraId="142EF88F">
      <w:pPr>
        <w:ind w:firstLine="48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厂区周围栽植乔、灌木，道路两侧</w:t>
      </w:r>
      <w:r>
        <w:rPr>
          <w:rFonts w:hint="eastAsia" w:ascii="Times New Roman" w:hAnsi="Times New Roman" w:eastAsia="宋体" w:cs="Times New Roman"/>
          <w:color w:val="auto"/>
          <w:sz w:val="24"/>
          <w:szCs w:val="24"/>
          <w:highlight w:val="none"/>
          <w:lang w:eastAsia="zh-CN"/>
        </w:rPr>
        <w:t>种植</w:t>
      </w:r>
      <w:r>
        <w:rPr>
          <w:rFonts w:hint="default" w:ascii="Times New Roman" w:hAnsi="Times New Roman" w:eastAsia="宋体" w:cs="Times New Roman"/>
          <w:color w:val="auto"/>
          <w:sz w:val="24"/>
          <w:szCs w:val="24"/>
          <w:highlight w:val="none"/>
          <w:lang w:eastAsia="zh-CN"/>
        </w:rPr>
        <w:t>行道树，设矮灌木绿化</w:t>
      </w:r>
      <w:r>
        <w:rPr>
          <w:rFonts w:hint="eastAsia" w:ascii="Times New Roman" w:hAnsi="Times New Roman" w:eastAsia="宋体" w:cs="Times New Roman"/>
          <w:color w:val="auto"/>
          <w:sz w:val="24"/>
          <w:szCs w:val="24"/>
          <w:highlight w:val="none"/>
          <w:lang w:eastAsia="zh-CN"/>
        </w:rPr>
        <w:t>以及</w:t>
      </w:r>
      <w:r>
        <w:rPr>
          <w:rFonts w:hint="default" w:ascii="Times New Roman" w:hAnsi="Times New Roman" w:eastAsia="宋体" w:cs="Times New Roman"/>
          <w:color w:val="auto"/>
          <w:sz w:val="24"/>
          <w:szCs w:val="24"/>
          <w:highlight w:val="none"/>
          <w:lang w:eastAsia="zh-CN"/>
        </w:rPr>
        <w:t>绿篱绿化带，厂区以绿化、绿地等将锅炉房和煤场隔离开来，使各功能分区等合理分隔，互不交叉干涉。起到了整洁绿化、防尘、防噪声，提高环境质量，美化环境的目的，空置地上均种植花草；形成点、线、面相结合的绿地系统。</w:t>
      </w:r>
    </w:p>
    <w:p w14:paraId="4F8F68B7">
      <w:pPr>
        <w:pStyle w:val="4"/>
        <w:numPr>
          <w:ilvl w:val="1"/>
          <w:numId w:val="3"/>
        </w:numPr>
        <w:bidi w:val="0"/>
        <w:ind w:left="567" w:leftChars="0" w:hanging="567" w:firstLineChars="0"/>
        <w:rPr>
          <w:rFonts w:hint="default" w:ascii="Times New Roman" w:hAnsi="Times New Roman" w:eastAsia="宋体" w:cs="Times New Roman"/>
          <w:b/>
          <w:bCs/>
          <w:color w:val="auto"/>
          <w:highlight w:val="none"/>
        </w:rPr>
      </w:pPr>
      <w:bookmarkStart w:id="291" w:name="_Toc30855"/>
      <w:r>
        <w:rPr>
          <w:rFonts w:hint="eastAsia" w:ascii="Times New Roman" w:hAnsi="Times New Roman" w:cs="Times New Roman"/>
          <w:b/>
          <w:bCs/>
          <w:color w:val="auto"/>
          <w:highlight w:val="none"/>
          <w:lang w:eastAsia="zh-CN"/>
        </w:rPr>
        <w:t>劳动定员</w:t>
      </w:r>
      <w:r>
        <w:rPr>
          <w:rFonts w:hint="default" w:ascii="Times New Roman" w:hAnsi="Times New Roman" w:eastAsia="宋体" w:cs="Times New Roman"/>
          <w:b/>
          <w:bCs/>
          <w:color w:val="auto"/>
          <w:highlight w:val="none"/>
        </w:rPr>
        <w:t>及工作制度</w:t>
      </w:r>
      <w:bookmarkEnd w:id="278"/>
      <w:bookmarkEnd w:id="279"/>
      <w:bookmarkEnd w:id="280"/>
      <w:bookmarkEnd w:id="281"/>
      <w:bookmarkEnd w:id="291"/>
    </w:p>
    <w:p w14:paraId="7B359FBC">
      <w:pPr>
        <w:ind w:firstLine="48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本项目不新增工作人员，工作人员由厂区人员内部调配</w:t>
      </w:r>
      <w:r>
        <w:rPr>
          <w:rFonts w:hint="default" w:ascii="Times New Roman" w:hAnsi="Times New Roman" w:eastAsia="宋体" w:cs="Times New Roman"/>
          <w:color w:val="auto"/>
          <w:highlight w:val="none"/>
        </w:rPr>
        <w:t>。锅炉房生产部门按三班运行，部分生产部门和管理部门按一班生产配置定员。</w:t>
      </w:r>
      <w:r>
        <w:rPr>
          <w:rFonts w:hint="eastAsia" w:ascii="Times New Roman" w:hAnsi="Times New Roman" w:eastAsia="宋体" w:cs="Times New Roman"/>
          <w:color w:val="auto"/>
          <w:highlight w:val="none"/>
          <w:lang w:eastAsia="zh-CN"/>
        </w:rPr>
        <w:t>锅炉为调峰锅炉，采暖期</w:t>
      </w:r>
      <w:r>
        <w:rPr>
          <w:rFonts w:hint="default" w:ascii="Times New Roman" w:hAnsi="Times New Roman" w:eastAsia="宋体" w:cs="Times New Roman"/>
          <w:color w:val="auto"/>
          <w:highlight w:val="none"/>
        </w:rPr>
        <w:t>工作</w:t>
      </w:r>
      <w:r>
        <w:rPr>
          <w:rFonts w:hint="eastAsia" w:ascii="Times New Roman" w:hAnsi="Times New Roman" w:eastAsia="宋体" w:cs="Times New Roman"/>
          <w:color w:val="auto"/>
          <w:highlight w:val="none"/>
          <w:lang w:val="en-US" w:eastAsia="zh-CN"/>
        </w:rPr>
        <w:t>45</w:t>
      </w:r>
      <w:r>
        <w:rPr>
          <w:rFonts w:hint="default" w:ascii="Times New Roman" w:hAnsi="Times New Roman" w:eastAsia="宋体" w:cs="Times New Roman"/>
          <w:color w:val="auto"/>
          <w:highlight w:val="none"/>
        </w:rPr>
        <w:t>天，</w:t>
      </w:r>
      <w:r>
        <w:rPr>
          <w:rFonts w:hint="eastAsia" w:ascii="Times New Roman" w:hAnsi="Times New Roman" w:eastAsia="宋体" w:cs="Times New Roman"/>
          <w:color w:val="auto"/>
          <w:highlight w:val="none"/>
          <w:lang w:eastAsia="zh-CN"/>
        </w:rPr>
        <w:t>日满负荷运行</w:t>
      </w:r>
      <w:r>
        <w:rPr>
          <w:rFonts w:hint="eastAsia" w:ascii="Times New Roman" w:hAnsi="Times New Roman" w:eastAsia="宋体" w:cs="Times New Roman"/>
          <w:color w:val="auto"/>
          <w:highlight w:val="none"/>
          <w:lang w:val="en-US" w:eastAsia="zh-CN"/>
        </w:rPr>
        <w:t>24小时，</w:t>
      </w:r>
      <w:r>
        <w:rPr>
          <w:rFonts w:hint="default" w:ascii="Times New Roman" w:hAnsi="Times New Roman" w:eastAsia="宋体" w:cs="Times New Roman"/>
          <w:color w:val="auto"/>
          <w:highlight w:val="none"/>
        </w:rPr>
        <w:t>锅炉年</w:t>
      </w:r>
      <w:r>
        <w:rPr>
          <w:rFonts w:hint="eastAsia" w:ascii="Times New Roman" w:hAnsi="Times New Roman" w:eastAsia="宋体" w:cs="Times New Roman"/>
          <w:color w:val="auto"/>
          <w:highlight w:val="none"/>
          <w:lang w:eastAsia="zh-CN"/>
        </w:rPr>
        <w:t>满负荷运行</w:t>
      </w:r>
      <w:r>
        <w:rPr>
          <w:rFonts w:hint="default" w:ascii="Times New Roman" w:hAnsi="Times New Roman" w:eastAsia="宋体" w:cs="Times New Roman"/>
          <w:color w:val="auto"/>
          <w:highlight w:val="none"/>
        </w:rPr>
        <w:t>小时数为</w:t>
      </w:r>
      <w:r>
        <w:rPr>
          <w:rFonts w:hint="eastAsia" w:ascii="Times New Roman" w:hAnsi="Times New Roman" w:eastAsia="宋体" w:cs="Times New Roman"/>
          <w:color w:val="auto"/>
          <w:highlight w:val="none"/>
          <w:lang w:val="en-US" w:eastAsia="zh-CN"/>
        </w:rPr>
        <w:t>1083</w:t>
      </w:r>
      <w:r>
        <w:rPr>
          <w:rFonts w:hint="default" w:ascii="Times New Roman" w:hAnsi="Times New Roman" w:eastAsia="宋体" w:cs="Times New Roman"/>
          <w:color w:val="auto"/>
          <w:highlight w:val="none"/>
        </w:rPr>
        <w:t>h。</w:t>
      </w:r>
    </w:p>
    <w:p w14:paraId="690A69EA">
      <w:pPr>
        <w:pStyle w:val="4"/>
        <w:numPr>
          <w:ilvl w:val="1"/>
          <w:numId w:val="3"/>
        </w:numPr>
        <w:bidi w:val="0"/>
        <w:ind w:left="567" w:leftChars="0" w:hanging="567" w:firstLineChars="0"/>
        <w:rPr>
          <w:rFonts w:hint="default" w:ascii="Times New Roman" w:hAnsi="Times New Roman" w:eastAsia="宋体" w:cs="Times New Roman"/>
          <w:b/>
          <w:bCs/>
          <w:color w:val="auto"/>
          <w:highlight w:val="none"/>
        </w:rPr>
      </w:pPr>
      <w:bookmarkStart w:id="292" w:name="_Toc21394"/>
      <w:bookmarkStart w:id="293" w:name="_Toc105659898"/>
      <w:bookmarkStart w:id="294" w:name="_Toc31117"/>
      <w:bookmarkStart w:id="295" w:name="_Toc26360"/>
      <w:bookmarkStart w:id="296" w:name="_Toc107238115"/>
      <w:r>
        <w:rPr>
          <w:rFonts w:hint="default" w:ascii="Times New Roman" w:hAnsi="Times New Roman" w:eastAsia="宋体" w:cs="Times New Roman"/>
          <w:b/>
          <w:bCs/>
          <w:color w:val="auto"/>
          <w:highlight w:val="none"/>
        </w:rPr>
        <w:t>建设周期</w:t>
      </w:r>
      <w:bookmarkEnd w:id="292"/>
      <w:bookmarkEnd w:id="293"/>
      <w:bookmarkEnd w:id="294"/>
      <w:bookmarkEnd w:id="295"/>
      <w:bookmarkEnd w:id="296"/>
    </w:p>
    <w:p w14:paraId="5A5B5948">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eastAsia="zh-CN"/>
        </w:rPr>
        <w:t>预计</w:t>
      </w:r>
      <w:r>
        <w:rPr>
          <w:rFonts w:hint="default" w:ascii="Times New Roman" w:hAnsi="Times New Roman" w:eastAsia="宋体" w:cs="Times New Roman"/>
          <w:color w:val="auto"/>
          <w:highlight w:val="none"/>
        </w:rPr>
        <w:t>202</w:t>
      </w:r>
      <w:r>
        <w:rPr>
          <w:rFonts w:hint="eastAsia" w:ascii="Times New Roman" w:hAnsi="Times New Roman" w:eastAsia="宋体" w:cs="Times New Roman"/>
          <w:color w:val="auto"/>
          <w:highlight w:val="none"/>
          <w:lang w:val="en-US" w:eastAsia="zh-CN"/>
        </w:rPr>
        <w:t>6</w:t>
      </w:r>
      <w:r>
        <w:rPr>
          <w:rFonts w:hint="default" w:ascii="Times New Roman" w:hAnsi="Times New Roman" w:eastAsia="宋体" w:cs="Times New Roman"/>
          <w:color w:val="auto"/>
          <w:highlight w:val="none"/>
        </w:rPr>
        <w:t>年</w:t>
      </w:r>
      <w:r>
        <w:rPr>
          <w:rFonts w:hint="eastAsia"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月</w:t>
      </w:r>
      <w:r>
        <w:rPr>
          <w:rFonts w:hint="default" w:ascii="Times New Roman" w:hAnsi="Times New Roman" w:eastAsia="宋体" w:cs="Times New Roman"/>
          <w:color w:val="auto"/>
          <w:highlight w:val="none"/>
          <w:lang w:eastAsia="zh-CN"/>
        </w:rPr>
        <w:t>开工建设</w:t>
      </w:r>
      <w:r>
        <w:rPr>
          <w:rFonts w:hint="default" w:ascii="Times New Roman" w:hAnsi="Times New Roman" w:eastAsia="宋体" w:cs="Times New Roman"/>
          <w:color w:val="auto"/>
          <w:highlight w:val="none"/>
        </w:rPr>
        <w:t>，预计202</w:t>
      </w:r>
      <w:r>
        <w:rPr>
          <w:rFonts w:hint="eastAsia" w:ascii="Times New Roman" w:hAnsi="Times New Roman" w:eastAsia="宋体" w:cs="Times New Roman"/>
          <w:color w:val="auto"/>
          <w:highlight w:val="none"/>
          <w:lang w:val="en-US" w:eastAsia="zh-CN"/>
        </w:rPr>
        <w:t>6</w:t>
      </w:r>
      <w:r>
        <w:rPr>
          <w:rFonts w:hint="default" w:ascii="Times New Roman" w:hAnsi="Times New Roman" w:eastAsia="宋体" w:cs="Times New Roman"/>
          <w:color w:val="auto"/>
          <w:highlight w:val="none"/>
        </w:rPr>
        <w:t>年</w:t>
      </w:r>
      <w:r>
        <w:rPr>
          <w:rFonts w:hint="eastAsia" w:ascii="Times New Roman" w:hAnsi="Times New Roman" w:eastAsia="宋体" w:cs="Times New Roman"/>
          <w:color w:val="auto"/>
          <w:highlight w:val="none"/>
          <w:lang w:val="en-US" w:eastAsia="zh-CN"/>
        </w:rPr>
        <w:t>6</w:t>
      </w:r>
      <w:r>
        <w:rPr>
          <w:rFonts w:hint="default" w:ascii="Times New Roman" w:hAnsi="Times New Roman" w:eastAsia="宋体" w:cs="Times New Roman"/>
          <w:color w:val="auto"/>
          <w:highlight w:val="none"/>
        </w:rPr>
        <w:t>月投产。</w:t>
      </w:r>
    </w:p>
    <w:p w14:paraId="6728487B">
      <w:pPr>
        <w:pStyle w:val="4"/>
        <w:numPr>
          <w:ilvl w:val="1"/>
          <w:numId w:val="3"/>
        </w:numPr>
        <w:bidi w:val="0"/>
        <w:ind w:left="567" w:leftChars="0" w:hanging="567" w:firstLineChars="0"/>
        <w:outlineLvl w:val="1"/>
        <w:rPr>
          <w:rFonts w:hint="default" w:ascii="Times New Roman" w:hAnsi="Times New Roman" w:eastAsia="宋体" w:cs="Times New Roman"/>
          <w:b/>
          <w:bCs/>
          <w:color w:val="auto"/>
          <w:highlight w:val="none"/>
        </w:rPr>
      </w:pPr>
      <w:bookmarkStart w:id="297" w:name="_Toc105659899"/>
      <w:bookmarkStart w:id="298" w:name="_Toc28991"/>
      <w:bookmarkStart w:id="299" w:name="_Toc17614"/>
      <w:bookmarkStart w:id="300" w:name="_Toc107238116"/>
      <w:bookmarkStart w:id="301" w:name="_Toc7830"/>
      <w:r>
        <w:rPr>
          <w:rFonts w:hint="default" w:ascii="Times New Roman" w:hAnsi="Times New Roman" w:eastAsia="宋体" w:cs="Times New Roman"/>
          <w:b/>
          <w:bCs/>
          <w:color w:val="auto"/>
          <w:highlight w:val="none"/>
        </w:rPr>
        <w:t>项目投资估算</w:t>
      </w:r>
      <w:bookmarkEnd w:id="297"/>
      <w:bookmarkEnd w:id="298"/>
      <w:bookmarkEnd w:id="299"/>
      <w:bookmarkEnd w:id="300"/>
      <w:bookmarkEnd w:id="301"/>
    </w:p>
    <w:p w14:paraId="32554272">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本项目总投资</w:t>
      </w:r>
      <w:r>
        <w:rPr>
          <w:rFonts w:hint="eastAsia" w:ascii="Times New Roman" w:hAnsi="Times New Roman" w:eastAsia="宋体" w:cs="Times New Roman"/>
          <w:color w:val="auto"/>
          <w:highlight w:val="none"/>
          <w:lang w:val="en-US" w:eastAsia="zh-CN"/>
        </w:rPr>
        <w:t>2100</w:t>
      </w:r>
      <w:r>
        <w:rPr>
          <w:rFonts w:hint="default" w:ascii="Times New Roman" w:hAnsi="Times New Roman" w:eastAsia="宋体" w:cs="Times New Roman"/>
          <w:color w:val="auto"/>
          <w:highlight w:val="none"/>
        </w:rPr>
        <w:t>万元</w:t>
      </w:r>
      <w:r>
        <w:rPr>
          <w:rFonts w:hint="eastAsia" w:ascii="Times New Roman" w:hAnsi="Times New Roman" w:eastAsia="宋体" w:cs="Times New Roman"/>
          <w:color w:val="auto"/>
          <w:highlight w:val="none"/>
          <w:lang w:eastAsia="zh-CN"/>
        </w:rPr>
        <w:t>，其中环保投资</w:t>
      </w:r>
      <w:r>
        <w:rPr>
          <w:rFonts w:hint="eastAsia" w:ascii="Times New Roman" w:hAnsi="Times New Roman" w:eastAsia="宋体" w:cs="Times New Roman"/>
          <w:color w:val="auto"/>
          <w:highlight w:val="none"/>
          <w:lang w:val="en-US" w:eastAsia="zh-CN"/>
        </w:rPr>
        <w:t>1014.3万元，环保投资比例48.3%</w:t>
      </w:r>
      <w:r>
        <w:rPr>
          <w:rFonts w:hint="default" w:ascii="Times New Roman" w:hAnsi="Times New Roman" w:eastAsia="宋体" w:cs="Times New Roman"/>
          <w:color w:val="auto"/>
          <w:highlight w:val="none"/>
        </w:rPr>
        <w:t>。</w:t>
      </w:r>
    </w:p>
    <w:p w14:paraId="276072F2">
      <w:pP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br w:type="page"/>
      </w:r>
    </w:p>
    <w:p w14:paraId="3E5EE278">
      <w:pPr>
        <w:pStyle w:val="3"/>
        <w:numPr>
          <w:ilvl w:val="0"/>
          <w:numId w:val="3"/>
        </w:numPr>
        <w:bidi w:val="0"/>
        <w:ind w:left="425" w:leftChars="0" w:hanging="425" w:firstLineChars="0"/>
        <w:rPr>
          <w:rFonts w:hint="default" w:ascii="Times New Roman" w:hAnsi="Times New Roman" w:eastAsia="宋体" w:cs="Times New Roman"/>
          <w:color w:val="auto"/>
          <w:highlight w:val="none"/>
        </w:rPr>
      </w:pPr>
      <w:bookmarkStart w:id="302" w:name="_Toc3982"/>
      <w:bookmarkStart w:id="303" w:name="_Toc10429"/>
      <w:r>
        <w:rPr>
          <w:rFonts w:hint="default" w:ascii="Times New Roman" w:hAnsi="Times New Roman" w:eastAsia="宋体" w:cs="Times New Roman"/>
          <w:color w:val="auto"/>
          <w:highlight w:val="none"/>
        </w:rPr>
        <w:t>工程分析</w:t>
      </w:r>
      <w:bookmarkEnd w:id="302"/>
      <w:bookmarkEnd w:id="303"/>
    </w:p>
    <w:p w14:paraId="6AD22F9C">
      <w:pPr>
        <w:pStyle w:val="4"/>
        <w:numPr>
          <w:ilvl w:val="1"/>
          <w:numId w:val="3"/>
        </w:numPr>
        <w:bidi w:val="0"/>
        <w:ind w:left="567" w:leftChars="0" w:hanging="567" w:firstLineChars="0"/>
        <w:rPr>
          <w:rFonts w:hint="default" w:ascii="Times New Roman" w:hAnsi="Times New Roman" w:eastAsia="宋体" w:cs="Times New Roman"/>
          <w:b/>
          <w:bCs/>
          <w:color w:val="auto"/>
          <w:highlight w:val="none"/>
        </w:rPr>
      </w:pPr>
      <w:bookmarkStart w:id="304" w:name="_Toc4109"/>
      <w:bookmarkStart w:id="305" w:name="_Toc22981"/>
      <w:r>
        <w:rPr>
          <w:rFonts w:hint="default" w:ascii="Times New Roman" w:hAnsi="Times New Roman" w:eastAsia="宋体" w:cs="Times New Roman"/>
          <w:b/>
          <w:bCs/>
          <w:color w:val="auto"/>
          <w:highlight w:val="none"/>
        </w:rPr>
        <w:t>工艺流程简述</w:t>
      </w:r>
      <w:bookmarkEnd w:id="304"/>
      <w:bookmarkEnd w:id="305"/>
    </w:p>
    <w:p w14:paraId="175A59B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拟建</w:t>
      </w:r>
      <w:r>
        <w:rPr>
          <w:rFonts w:hint="eastAsia" w:ascii="Times New Roman" w:hAnsi="Times New Roman" w:eastAsia="宋体" w:cs="Times New Roman"/>
          <w:color w:val="auto"/>
          <w:sz w:val="24"/>
          <w:szCs w:val="24"/>
          <w:highlight w:val="none"/>
          <w:lang w:val="en-US" w:eastAsia="zh-CN"/>
        </w:rPr>
        <w:t>1台58MW往复炉排热水锅炉</w:t>
      </w:r>
      <w:r>
        <w:rPr>
          <w:rFonts w:hint="default" w:ascii="Times New Roman" w:hAnsi="Times New Roman" w:eastAsia="宋体" w:cs="Times New Roman"/>
          <w:color w:val="auto"/>
          <w:sz w:val="24"/>
          <w:szCs w:val="24"/>
          <w:highlight w:val="none"/>
        </w:rPr>
        <w:t>运行的主要生产工艺流程是燃煤进厂后在厂区的</w:t>
      </w:r>
      <w:r>
        <w:rPr>
          <w:rFonts w:hint="eastAsia" w:ascii="Times New Roman" w:hAnsi="Times New Roman" w:eastAsia="宋体" w:cs="Times New Roman"/>
          <w:color w:val="auto"/>
          <w:sz w:val="24"/>
          <w:szCs w:val="24"/>
          <w:highlight w:val="none"/>
          <w:lang w:val="en-US" w:eastAsia="zh-CN"/>
        </w:rPr>
        <w:t>储煤场</w:t>
      </w:r>
      <w:r>
        <w:rPr>
          <w:rFonts w:hint="default" w:ascii="Times New Roman" w:hAnsi="Times New Roman" w:eastAsia="宋体" w:cs="Times New Roman"/>
          <w:color w:val="auto"/>
          <w:sz w:val="24"/>
          <w:szCs w:val="24"/>
          <w:highlight w:val="none"/>
        </w:rPr>
        <w:t>贮存，</w:t>
      </w:r>
      <w:r>
        <w:rPr>
          <w:rFonts w:hint="eastAsia" w:ascii="Times New Roman" w:hAnsi="Times New Roman" w:eastAsia="宋体" w:cs="Times New Roman"/>
          <w:color w:val="auto"/>
          <w:sz w:val="24"/>
          <w:szCs w:val="24"/>
          <w:highlight w:val="none"/>
          <w:lang w:val="en-US" w:eastAsia="zh-CN"/>
        </w:rPr>
        <w:t>储煤场内的原煤经碎煤机破碎后，通过密闭输煤栈桥皮带输送至锅炉煤仓间。锅炉煤仓间内原煤经溜煤管进入炉膛燃烧。炉膛采用负压燃烧，平衡通风，冷风从锅炉底部进入冷风道。燃料在锅炉内充分燃烧，将水加热成高温热水用于供热。</w:t>
      </w:r>
    </w:p>
    <w:p w14:paraId="0CFBEA79">
      <w:pPr>
        <w:ind w:firstLine="480"/>
        <w:rPr>
          <w:rFonts w:hint="default" w:ascii="Times New Roman" w:hAnsi="Times New Roman" w:eastAsia="宋体" w:cs="Times New Roman"/>
          <w:color w:val="auto"/>
          <w:spacing w:val="0"/>
          <w:sz w:val="24"/>
          <w:szCs w:val="24"/>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ascii="Times New Roman" w:hAnsi="Times New Roman" w:eastAsia="宋体" w:cs="Times New Roman"/>
          <w:color w:val="auto"/>
          <w:spacing w:val="0"/>
          <w:sz w:val="24"/>
          <w:szCs w:val="24"/>
          <w:highlight w:val="none"/>
        </w:rPr>
        <w:t>燃煤锅炉生产工艺过程及主要污染环节</w:t>
      </w:r>
      <w:r>
        <w:rPr>
          <w:rFonts w:hint="default" w:ascii="Times New Roman" w:hAnsi="Times New Roman" w:eastAsia="宋体" w:cs="Times New Roman"/>
          <w:color w:val="auto"/>
          <w:spacing w:val="0"/>
          <w:sz w:val="24"/>
          <w:szCs w:val="24"/>
          <w:highlight w:val="none"/>
          <w:lang w:eastAsia="zh-CN"/>
        </w:rPr>
        <w:t>示意</w:t>
      </w:r>
      <w:r>
        <w:rPr>
          <w:rFonts w:hint="default" w:ascii="Times New Roman" w:hAnsi="Times New Roman" w:eastAsia="宋体" w:cs="Times New Roman"/>
          <w:color w:val="auto"/>
          <w:spacing w:val="0"/>
          <w:sz w:val="24"/>
          <w:szCs w:val="24"/>
          <w:highlight w:val="none"/>
        </w:rPr>
        <w:t>图</w:t>
      </w:r>
      <w:r>
        <w:rPr>
          <w:rFonts w:hint="default" w:ascii="Times New Roman" w:hAnsi="Times New Roman" w:eastAsia="宋体" w:cs="Times New Roman"/>
          <w:color w:val="auto"/>
          <w:spacing w:val="0"/>
          <w:sz w:val="24"/>
          <w:szCs w:val="24"/>
          <w:highlight w:val="none"/>
          <w:lang w:val="en-US" w:eastAsia="zh-CN"/>
        </w:rPr>
        <w:t>4.1-1。</w:t>
      </w:r>
    </w:p>
    <w:p w14:paraId="365AD6C9">
      <w:pPr>
        <w:pStyle w:val="31"/>
        <w:ind w:left="0" w:leftChars="0" w:firstLine="0" w:firstLineChars="0"/>
        <w:jc w:val="center"/>
        <w:rPr>
          <w:rFonts w:hint="default" w:ascii="Times New Roman" w:hAnsi="Times New Roman" w:eastAsia="宋体" w:cs="Times New Roman"/>
          <w:color w:val="auto"/>
          <w:highlight w:val="none"/>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ascii="Times New Roman" w:hAnsi="Times New Roman" w:eastAsia="宋体" w:cs="Times New Roman"/>
          <w:color w:val="auto"/>
          <w:highlight w:val="none"/>
        </w:rPr>
        <w:drawing>
          <wp:inline distT="0" distB="0" distL="114300" distR="114300">
            <wp:extent cx="8854440" cy="4563745"/>
            <wp:effectExtent l="0" t="0" r="3810" b="8255"/>
            <wp:docPr id="158"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44"/>
                    <pic:cNvPicPr>
                      <a:picLocks noChangeAspect="1"/>
                    </pic:cNvPicPr>
                  </pic:nvPicPr>
                  <pic:blipFill>
                    <a:blip r:embed="rId37"/>
                    <a:stretch>
                      <a:fillRect/>
                    </a:stretch>
                  </pic:blipFill>
                  <pic:spPr>
                    <a:xfrm>
                      <a:off x="0" y="0"/>
                      <a:ext cx="8854440" cy="4563745"/>
                    </a:xfrm>
                    <a:prstGeom prst="rect">
                      <a:avLst/>
                    </a:prstGeom>
                    <a:noFill/>
                    <a:ln>
                      <a:noFill/>
                    </a:ln>
                  </pic:spPr>
                </pic:pic>
              </a:graphicData>
            </a:graphic>
          </wp:inline>
        </w:drawing>
      </w:r>
      <w:r>
        <w:rPr>
          <w:rFonts w:hint="default" w:ascii="Times New Roman" w:hAnsi="Times New Roman" w:eastAsia="宋体" w:cs="Times New Roman"/>
          <w:color w:val="FF0000"/>
          <w:highlight w:val="none"/>
        </w:rPr>
        <w:t>图4</w:t>
      </w:r>
      <w:r>
        <w:rPr>
          <w:rFonts w:hint="default" w:ascii="Times New Roman" w:hAnsi="Times New Roman" w:eastAsia="宋体" w:cs="Times New Roman"/>
          <w:color w:val="FF0000"/>
          <w:highlight w:val="none"/>
          <w:lang w:val="en-US" w:eastAsia="zh-CN"/>
        </w:rPr>
        <w:t>.</w:t>
      </w:r>
      <w:r>
        <w:rPr>
          <w:rFonts w:hint="default" w:ascii="Times New Roman" w:hAnsi="Times New Roman" w:eastAsia="宋体" w:cs="Times New Roman"/>
          <w:color w:val="FF0000"/>
          <w:highlight w:val="none"/>
        </w:rPr>
        <w:t>1-1 本项目锅炉生产工艺流程图</w:t>
      </w:r>
    </w:p>
    <w:p w14:paraId="71105AFA">
      <w:pPr>
        <w:pStyle w:val="4"/>
        <w:numPr>
          <w:ilvl w:val="1"/>
          <w:numId w:val="3"/>
        </w:numPr>
        <w:bidi w:val="0"/>
        <w:ind w:left="567" w:leftChars="0" w:hanging="567" w:firstLineChars="0"/>
        <w:rPr>
          <w:rFonts w:hint="default" w:ascii="Times New Roman" w:hAnsi="Times New Roman" w:eastAsia="宋体" w:cs="Times New Roman"/>
          <w:b/>
          <w:bCs/>
          <w:color w:val="auto"/>
          <w:highlight w:val="none"/>
        </w:rPr>
      </w:pPr>
      <w:bookmarkStart w:id="306" w:name="_Toc6261"/>
      <w:bookmarkStart w:id="307" w:name="_Toc28829"/>
      <w:r>
        <w:rPr>
          <w:rFonts w:hint="default" w:ascii="Times New Roman" w:hAnsi="Times New Roman" w:eastAsia="宋体" w:cs="Times New Roman"/>
          <w:b/>
          <w:bCs/>
          <w:color w:val="auto"/>
          <w:highlight w:val="none"/>
        </w:rPr>
        <w:t>主要污染环节及污染物分析</w:t>
      </w:r>
      <w:bookmarkEnd w:id="306"/>
      <w:bookmarkEnd w:id="307"/>
    </w:p>
    <w:p w14:paraId="7DE93107">
      <w:pPr>
        <w:bidi w:val="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根据</w:t>
      </w:r>
      <w:r>
        <w:rPr>
          <w:rFonts w:hint="default" w:ascii="Times New Roman" w:hAnsi="Times New Roman" w:eastAsia="宋体" w:cs="Times New Roman"/>
          <w:color w:val="auto"/>
          <w:highlight w:val="none"/>
        </w:rPr>
        <w:t>本项目生产工艺过程分析可知</w:t>
      </w:r>
      <w:r>
        <w:rPr>
          <w:rFonts w:hint="default" w:ascii="Times New Roman" w:hAnsi="Times New Roman" w:eastAsia="宋体" w:cs="Times New Roman"/>
          <w:color w:val="auto"/>
          <w:highlight w:val="none"/>
          <w:lang w:val="en-US" w:eastAsia="zh-CN"/>
        </w:rPr>
        <w:t>燃煤锅炉运行时主要</w:t>
      </w:r>
      <w:r>
        <w:rPr>
          <w:rFonts w:hint="default" w:ascii="Times New Roman" w:hAnsi="Times New Roman" w:eastAsia="宋体" w:cs="Times New Roman"/>
          <w:color w:val="auto"/>
          <w:highlight w:val="none"/>
        </w:rPr>
        <w:t>污染物产生环节如下：</w:t>
      </w:r>
    </w:p>
    <w:p w14:paraId="1D38A137">
      <w:pPr>
        <w:bidi w:val="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1.</w:t>
      </w:r>
      <w:r>
        <w:rPr>
          <w:rFonts w:hint="default" w:ascii="Times New Roman" w:hAnsi="Times New Roman" w:eastAsia="宋体" w:cs="Times New Roman"/>
          <w:color w:val="auto"/>
          <w:highlight w:val="none"/>
        </w:rPr>
        <w:t>燃</w:t>
      </w:r>
      <w:r>
        <w:rPr>
          <w:rFonts w:hint="default" w:ascii="Times New Roman" w:hAnsi="Times New Roman" w:eastAsia="宋体" w:cs="Times New Roman"/>
          <w:color w:val="auto"/>
          <w:highlight w:val="none"/>
          <w:lang w:val="en-US" w:eastAsia="zh-CN"/>
        </w:rPr>
        <w:t>煤</w:t>
      </w:r>
      <w:r>
        <w:rPr>
          <w:rFonts w:hint="default" w:ascii="Times New Roman" w:hAnsi="Times New Roman" w:eastAsia="宋体" w:cs="Times New Roman"/>
          <w:color w:val="auto"/>
          <w:highlight w:val="none"/>
        </w:rPr>
        <w:t>贮存、装卸、输送过程</w:t>
      </w:r>
    </w:p>
    <w:p w14:paraId="1AEE7046">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燃煤贮存、装卸及输送时会产生</w:t>
      </w:r>
      <w:r>
        <w:rPr>
          <w:rFonts w:hint="default" w:ascii="Times New Roman" w:hAnsi="Times New Roman" w:eastAsia="宋体" w:cs="Times New Roman"/>
          <w:color w:val="auto"/>
          <w:highlight w:val="none"/>
          <w:lang w:val="en-US" w:eastAsia="zh-CN"/>
        </w:rPr>
        <w:t>颗粒物</w:t>
      </w:r>
      <w:r>
        <w:rPr>
          <w:rFonts w:hint="default" w:ascii="Times New Roman" w:hAnsi="Times New Roman" w:eastAsia="宋体" w:cs="Times New Roman"/>
          <w:color w:val="auto"/>
          <w:highlight w:val="none"/>
        </w:rPr>
        <w:t>；燃煤装卸</w:t>
      </w:r>
      <w:r>
        <w:rPr>
          <w:rFonts w:hint="default" w:ascii="Times New Roman" w:hAnsi="Times New Roman" w:eastAsia="宋体" w:cs="Times New Roman"/>
          <w:color w:val="auto"/>
          <w:highlight w:val="none"/>
          <w:lang w:val="en-US" w:eastAsia="zh-CN"/>
        </w:rPr>
        <w:t>及</w:t>
      </w:r>
      <w:r>
        <w:rPr>
          <w:rFonts w:hint="default" w:ascii="Times New Roman" w:hAnsi="Times New Roman" w:eastAsia="宋体" w:cs="Times New Roman"/>
          <w:color w:val="auto"/>
          <w:highlight w:val="none"/>
        </w:rPr>
        <w:t>运输时会产生噪声。</w:t>
      </w:r>
    </w:p>
    <w:p w14:paraId="29C3ED85">
      <w:pPr>
        <w:bidi w:val="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2.</w:t>
      </w:r>
      <w:r>
        <w:rPr>
          <w:rFonts w:hint="default" w:ascii="Times New Roman" w:hAnsi="Times New Roman" w:eastAsia="宋体" w:cs="Times New Roman"/>
          <w:color w:val="auto"/>
          <w:highlight w:val="none"/>
        </w:rPr>
        <w:t>燃</w:t>
      </w:r>
      <w:r>
        <w:rPr>
          <w:rFonts w:hint="default" w:ascii="Times New Roman" w:hAnsi="Times New Roman" w:eastAsia="宋体" w:cs="Times New Roman"/>
          <w:color w:val="auto"/>
          <w:highlight w:val="none"/>
          <w:lang w:val="en-US" w:eastAsia="zh-CN"/>
        </w:rPr>
        <w:t>煤</w:t>
      </w:r>
      <w:r>
        <w:rPr>
          <w:rFonts w:hint="default" w:ascii="Times New Roman" w:hAnsi="Times New Roman" w:eastAsia="宋体" w:cs="Times New Roman"/>
          <w:color w:val="auto"/>
          <w:highlight w:val="none"/>
        </w:rPr>
        <w:t>燃烧过程</w:t>
      </w:r>
    </w:p>
    <w:p w14:paraId="73622347">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燃煤锅炉正常运行燃烧过程主要包括燃煤的粉碎</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燃煤在锅炉内的燃烧以及燃烧后产生的烟气经除尘器、烟道、烟囱排入环境空气</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燃煤粉碎过程中会产生颗粒物和噪声；燃煤燃烧</w:t>
      </w:r>
      <w:r>
        <w:rPr>
          <w:rFonts w:hint="default" w:ascii="Times New Roman" w:hAnsi="Times New Roman" w:eastAsia="宋体" w:cs="Times New Roman"/>
          <w:color w:val="auto"/>
          <w:highlight w:val="none"/>
        </w:rPr>
        <w:t>过程中会产生烟气污染物烟尘、SO</w:t>
      </w:r>
      <w:r>
        <w:rPr>
          <w:rFonts w:hint="default" w:ascii="Times New Roman" w:hAnsi="Times New Roman" w:eastAsia="宋体" w:cs="Times New Roman"/>
          <w:color w:val="auto"/>
          <w:highlight w:val="none"/>
          <w:vertAlign w:val="subscript"/>
        </w:rPr>
        <w:t>2</w:t>
      </w:r>
      <w:r>
        <w:rPr>
          <w:rFonts w:hint="default" w:ascii="Times New Roman" w:hAnsi="Times New Roman" w:eastAsia="宋体" w:cs="Times New Roman"/>
          <w:color w:val="auto"/>
          <w:highlight w:val="none"/>
        </w:rPr>
        <w:t>、NOx、</w:t>
      </w:r>
      <w:r>
        <w:rPr>
          <w:rFonts w:hint="default" w:ascii="Times New Roman" w:hAnsi="Times New Roman" w:eastAsia="宋体" w:cs="Times New Roman"/>
          <w:color w:val="auto"/>
          <w:highlight w:val="none"/>
          <w:lang w:eastAsia="zh-CN"/>
        </w:rPr>
        <w:t>汞及其化合物，</w:t>
      </w:r>
      <w:r>
        <w:rPr>
          <w:rFonts w:hint="default" w:ascii="Times New Roman" w:hAnsi="Times New Roman" w:eastAsia="宋体" w:cs="Times New Roman"/>
          <w:color w:val="auto"/>
          <w:highlight w:val="none"/>
          <w:lang w:val="en-US" w:eastAsia="zh-CN"/>
        </w:rPr>
        <w:t>工业</w:t>
      </w:r>
      <w:r>
        <w:rPr>
          <w:rFonts w:hint="default" w:ascii="Times New Roman" w:hAnsi="Times New Roman" w:eastAsia="宋体" w:cs="Times New Roman"/>
          <w:color w:val="auto"/>
          <w:highlight w:val="none"/>
        </w:rPr>
        <w:t>废水及锅炉</w:t>
      </w:r>
      <w:r>
        <w:rPr>
          <w:rFonts w:hint="default" w:ascii="Times New Roman" w:hAnsi="Times New Roman" w:eastAsia="宋体" w:cs="Times New Roman"/>
          <w:color w:val="auto"/>
          <w:highlight w:val="none"/>
          <w:lang w:val="en-US" w:eastAsia="zh-CN"/>
        </w:rPr>
        <w:t>飞灰、炉渣</w:t>
      </w:r>
      <w:r>
        <w:rPr>
          <w:rFonts w:hint="default"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eastAsia="zh-CN"/>
        </w:rPr>
        <w:t>机械传动</w:t>
      </w:r>
      <w:r>
        <w:rPr>
          <w:rFonts w:hint="default" w:ascii="Times New Roman" w:hAnsi="Times New Roman" w:eastAsia="宋体" w:cs="Times New Roman"/>
          <w:color w:val="auto"/>
          <w:highlight w:val="none"/>
        </w:rPr>
        <w:t>设备如碎煤机、风机等可能产生噪声</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锅炉启动时可能产生噪声。</w:t>
      </w:r>
    </w:p>
    <w:p w14:paraId="0C6C2A21">
      <w:pPr>
        <w:bidi w:val="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除灰渣过程</w:t>
      </w:r>
    </w:p>
    <w:p w14:paraId="662A608F">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除灰渣过程中将产生锅炉飞灰和炉渣；灰渣贮存及装卸运输过程中，若管理不当或在不利气象条件下，可能产生扬尘。</w:t>
      </w:r>
    </w:p>
    <w:p w14:paraId="4F8BD62E">
      <w:pPr>
        <w:bidi w:val="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脱硫过程</w:t>
      </w:r>
    </w:p>
    <w:p w14:paraId="40E9B596">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脱硫系统风机、运行过程中会产生设备噪声</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脱硫废水</w:t>
      </w:r>
      <w:r>
        <w:rPr>
          <w:rFonts w:hint="default" w:ascii="Times New Roman" w:hAnsi="Times New Roman" w:eastAsia="宋体" w:cs="Times New Roman"/>
          <w:color w:val="auto"/>
          <w:highlight w:val="none"/>
        </w:rPr>
        <w:t>。</w:t>
      </w:r>
    </w:p>
    <w:p w14:paraId="2975CB40">
      <w:pPr>
        <w:bidi w:val="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rPr>
        <w:t>脱硝过程</w:t>
      </w:r>
    </w:p>
    <w:p w14:paraId="0C737ACB">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w:t>
      </w:r>
      <w:r>
        <w:rPr>
          <w:rFonts w:hint="default" w:ascii="Times New Roman" w:hAnsi="Times New Roman" w:eastAsia="宋体" w:cs="Times New Roman"/>
          <w:color w:val="auto"/>
          <w:highlight w:val="none"/>
          <w:lang w:val="en-US" w:eastAsia="zh-CN"/>
        </w:rPr>
        <w:t>脱硝过程</w:t>
      </w:r>
      <w:r>
        <w:rPr>
          <w:rFonts w:hint="default" w:ascii="Times New Roman" w:hAnsi="Times New Roman" w:eastAsia="宋体" w:cs="Times New Roman"/>
          <w:color w:val="auto"/>
          <w:highlight w:val="none"/>
        </w:rPr>
        <w:t>会产生NH</w:t>
      </w:r>
      <w:r>
        <w:rPr>
          <w:rFonts w:hint="default" w:ascii="Times New Roman" w:hAnsi="Times New Roman" w:eastAsia="宋体" w:cs="Times New Roman"/>
          <w:color w:val="auto"/>
          <w:highlight w:val="none"/>
          <w:vertAlign w:val="subscript"/>
        </w:rPr>
        <w:t>3</w:t>
      </w:r>
      <w:r>
        <w:rPr>
          <w:rFonts w:hint="eastAsia" w:ascii="Times New Roman" w:hAnsi="Times New Roman" w:eastAsia="宋体" w:cs="Times New Roman"/>
          <w:color w:val="auto"/>
          <w:highlight w:val="none"/>
          <w:vertAlign w:val="baseline"/>
          <w:lang w:eastAsia="zh-CN"/>
        </w:rPr>
        <w:t>和废脱硝催化剂</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设备运行会产生设备噪声</w:t>
      </w:r>
      <w:r>
        <w:rPr>
          <w:rFonts w:hint="default" w:ascii="Times New Roman" w:hAnsi="Times New Roman" w:eastAsia="宋体" w:cs="Times New Roman"/>
          <w:color w:val="auto"/>
          <w:highlight w:val="none"/>
          <w:lang w:eastAsia="zh-CN"/>
        </w:rPr>
        <w:t>。</w:t>
      </w:r>
    </w:p>
    <w:p w14:paraId="26B8D1D3">
      <w:pPr>
        <w:bidi w:val="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w:t>
      </w:r>
      <w:r>
        <w:rPr>
          <w:rFonts w:hint="default" w:ascii="Times New Roman" w:hAnsi="Times New Roman" w:eastAsia="宋体" w:cs="Times New Roman"/>
          <w:color w:val="auto"/>
          <w:highlight w:val="none"/>
          <w:lang w:val="en-US" w:eastAsia="zh-CN"/>
        </w:rPr>
        <w:t>除尘过程</w:t>
      </w:r>
    </w:p>
    <w:p w14:paraId="27484729">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本项目</w:t>
      </w:r>
      <w:r>
        <w:rPr>
          <w:rFonts w:hint="eastAsia"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lang w:val="en-US" w:eastAsia="zh-CN"/>
        </w:rPr>
        <w:t>台</w:t>
      </w:r>
      <w:r>
        <w:rPr>
          <w:rFonts w:hint="eastAsia" w:ascii="Times New Roman" w:hAnsi="Times New Roman" w:eastAsia="宋体" w:cs="Times New Roman"/>
          <w:color w:val="auto"/>
          <w:highlight w:val="none"/>
          <w:lang w:val="en-US" w:eastAsia="zh-CN"/>
        </w:rPr>
        <w:t>58MW往复炉排热水锅炉</w:t>
      </w:r>
      <w:r>
        <w:rPr>
          <w:rFonts w:hint="default" w:ascii="Times New Roman" w:hAnsi="Times New Roman" w:eastAsia="宋体" w:cs="Times New Roman"/>
          <w:color w:val="auto"/>
          <w:highlight w:val="none"/>
          <w:lang w:val="en-US" w:eastAsia="zh-CN"/>
        </w:rPr>
        <w:t>除尘过程中会产生废布袋</w:t>
      </w:r>
      <w:r>
        <w:rPr>
          <w:rFonts w:hint="eastAsia" w:ascii="Times New Roman" w:hAnsi="Times New Roman" w:eastAsia="宋体" w:cs="Times New Roman"/>
          <w:color w:val="auto"/>
          <w:highlight w:val="none"/>
          <w:lang w:val="en-US" w:eastAsia="zh-CN"/>
        </w:rPr>
        <w:t>和</w:t>
      </w:r>
      <w:r>
        <w:rPr>
          <w:rFonts w:hint="default" w:ascii="Times New Roman" w:hAnsi="Times New Roman" w:eastAsia="宋体" w:cs="Times New Roman"/>
          <w:color w:val="auto"/>
          <w:highlight w:val="none"/>
        </w:rPr>
        <w:t>设备噪声</w:t>
      </w:r>
      <w:r>
        <w:rPr>
          <w:rFonts w:hint="default" w:ascii="Times New Roman" w:hAnsi="Times New Roman" w:eastAsia="宋体" w:cs="Times New Roman"/>
          <w:color w:val="auto"/>
          <w:highlight w:val="none"/>
          <w:lang w:eastAsia="zh-CN"/>
        </w:rPr>
        <w:t>。</w:t>
      </w:r>
    </w:p>
    <w:p w14:paraId="04C7C4BF">
      <w:pPr>
        <w:bidi w:val="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w:t>
      </w:r>
      <w:r>
        <w:rPr>
          <w:rFonts w:hint="eastAsia" w:ascii="Times New Roman" w:hAnsi="Times New Roman" w:eastAsia="宋体" w:cs="Times New Roman"/>
          <w:color w:val="auto"/>
          <w:spacing w:val="0"/>
          <w:sz w:val="24"/>
          <w:szCs w:val="24"/>
          <w:highlight w:val="none"/>
          <w:lang w:val="en-US" w:eastAsia="zh-CN"/>
        </w:rPr>
        <w:t>生石灰粉仓</w:t>
      </w:r>
    </w:p>
    <w:p w14:paraId="2809295E">
      <w:pPr>
        <w:bidi w:val="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spacing w:val="0"/>
          <w:sz w:val="24"/>
          <w:szCs w:val="24"/>
          <w:highlight w:val="none"/>
          <w:lang w:val="en-US" w:eastAsia="zh-CN"/>
        </w:rPr>
        <w:t>生石灰粉仓</w:t>
      </w:r>
      <w:r>
        <w:rPr>
          <w:rFonts w:hint="default" w:ascii="Times New Roman" w:hAnsi="Times New Roman" w:eastAsia="宋体" w:cs="Times New Roman"/>
          <w:color w:val="auto"/>
          <w:spacing w:val="0"/>
          <w:sz w:val="24"/>
          <w:szCs w:val="24"/>
          <w:highlight w:val="none"/>
          <w:lang w:eastAsia="zh-CN"/>
        </w:rPr>
        <w:t>仓顶设置1台脉冲布袋除尘器</w:t>
      </w:r>
      <w:r>
        <w:rPr>
          <w:rFonts w:hint="default" w:ascii="Times New Roman" w:hAnsi="Times New Roman" w:eastAsia="宋体" w:cs="Times New Roman"/>
          <w:color w:val="auto"/>
          <w:spacing w:val="0"/>
          <w:sz w:val="24"/>
          <w:szCs w:val="24"/>
          <w:highlight w:val="none"/>
          <w:lang w:val="en-US" w:eastAsia="zh-CN"/>
        </w:rPr>
        <w:t>用于除尘，收集的粉尘暂存于仓内外售。</w:t>
      </w:r>
    </w:p>
    <w:p w14:paraId="19D2EDF7">
      <w:pPr>
        <w:bidi w:val="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highlight w:val="none"/>
        </w:rPr>
        <w:t>本项目运营期主要污染环节和污染物排放情况见表4</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-1。</w:t>
      </w:r>
    </w:p>
    <w:p w14:paraId="215D0537">
      <w:pPr>
        <w:spacing w:line="480" w:lineRule="exact"/>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表4</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-1  本项目运营期主要污染环节和污染物一览表</w:t>
      </w:r>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534"/>
        <w:gridCol w:w="1902"/>
        <w:gridCol w:w="1799"/>
        <w:gridCol w:w="1110"/>
        <w:gridCol w:w="3075"/>
      </w:tblGrid>
      <w:tr w14:paraId="677CA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17" w:type="pct"/>
            <w:tcBorders>
              <w:top w:val="single" w:color="auto" w:sz="12" w:space="0"/>
              <w:left w:val="nil"/>
            </w:tcBorders>
            <w:noWrap w:val="0"/>
            <w:vAlign w:val="center"/>
          </w:tcPr>
          <w:p w14:paraId="28739D1C">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1129" w:type="pct"/>
            <w:tcBorders>
              <w:top w:val="single" w:color="auto" w:sz="12" w:space="0"/>
            </w:tcBorders>
            <w:noWrap w:val="0"/>
            <w:vAlign w:val="center"/>
          </w:tcPr>
          <w:p w14:paraId="6AD06634">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生产过程</w:t>
            </w:r>
          </w:p>
        </w:tc>
        <w:tc>
          <w:tcPr>
            <w:tcW w:w="1068" w:type="pct"/>
            <w:tcBorders>
              <w:top w:val="single" w:color="auto" w:sz="12" w:space="0"/>
            </w:tcBorders>
            <w:noWrap w:val="0"/>
            <w:vAlign w:val="center"/>
          </w:tcPr>
          <w:p w14:paraId="61ED3C5C">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产污环节</w:t>
            </w:r>
          </w:p>
        </w:tc>
        <w:tc>
          <w:tcPr>
            <w:tcW w:w="659" w:type="pct"/>
            <w:tcBorders>
              <w:top w:val="single" w:color="auto" w:sz="12" w:space="0"/>
            </w:tcBorders>
            <w:noWrap w:val="0"/>
            <w:vAlign w:val="center"/>
          </w:tcPr>
          <w:p w14:paraId="513133DE">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污染因素</w:t>
            </w:r>
          </w:p>
        </w:tc>
        <w:tc>
          <w:tcPr>
            <w:tcW w:w="1825" w:type="pct"/>
            <w:tcBorders>
              <w:top w:val="single" w:color="auto" w:sz="12" w:space="0"/>
              <w:right w:val="nil"/>
            </w:tcBorders>
            <w:noWrap w:val="0"/>
            <w:vAlign w:val="center"/>
          </w:tcPr>
          <w:p w14:paraId="5E9EEF04">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主要污染物</w:t>
            </w:r>
          </w:p>
        </w:tc>
      </w:tr>
      <w:tr w14:paraId="66858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17" w:type="pct"/>
            <w:vMerge w:val="restart"/>
            <w:tcBorders>
              <w:left w:val="nil"/>
            </w:tcBorders>
            <w:noWrap w:val="0"/>
            <w:vAlign w:val="center"/>
          </w:tcPr>
          <w:p w14:paraId="6A50BF6D">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129" w:type="pct"/>
            <w:vMerge w:val="restart"/>
            <w:noWrap w:val="0"/>
            <w:vAlign w:val="center"/>
          </w:tcPr>
          <w:p w14:paraId="6717617C">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燃</w:t>
            </w:r>
            <w:r>
              <w:rPr>
                <w:rFonts w:hint="default" w:ascii="Times New Roman" w:hAnsi="Times New Roman" w:eastAsia="宋体" w:cs="Times New Roman"/>
                <w:color w:val="auto"/>
                <w:sz w:val="21"/>
                <w:szCs w:val="21"/>
                <w:highlight w:val="none"/>
                <w:lang w:val="en-US" w:eastAsia="zh-CN"/>
              </w:rPr>
              <w:t>煤</w:t>
            </w:r>
            <w:r>
              <w:rPr>
                <w:rFonts w:hint="default" w:ascii="Times New Roman" w:hAnsi="Times New Roman" w:eastAsia="宋体" w:cs="Times New Roman"/>
                <w:color w:val="auto"/>
                <w:sz w:val="21"/>
                <w:szCs w:val="21"/>
                <w:highlight w:val="none"/>
              </w:rPr>
              <w:t>贮存、装卸</w:t>
            </w:r>
          </w:p>
          <w:p w14:paraId="522FB93C">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及输送过程</w:t>
            </w:r>
          </w:p>
        </w:tc>
        <w:tc>
          <w:tcPr>
            <w:tcW w:w="1068" w:type="pct"/>
            <w:noWrap w:val="0"/>
            <w:vAlign w:val="center"/>
          </w:tcPr>
          <w:p w14:paraId="4FF6EDBD">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贮存、</w:t>
            </w:r>
            <w:r>
              <w:rPr>
                <w:rFonts w:hint="default" w:ascii="Times New Roman" w:hAnsi="Times New Roman" w:eastAsia="宋体" w:cs="Times New Roman"/>
                <w:color w:val="auto"/>
                <w:sz w:val="21"/>
                <w:szCs w:val="21"/>
                <w:highlight w:val="none"/>
                <w:lang w:eastAsia="zh-CN"/>
              </w:rPr>
              <w:t>装卸、</w:t>
            </w:r>
            <w:r>
              <w:rPr>
                <w:rFonts w:hint="default" w:ascii="Times New Roman" w:hAnsi="Times New Roman" w:eastAsia="宋体" w:cs="Times New Roman"/>
                <w:color w:val="auto"/>
                <w:sz w:val="21"/>
                <w:szCs w:val="21"/>
                <w:highlight w:val="none"/>
              </w:rPr>
              <w:t>输送</w:t>
            </w:r>
          </w:p>
        </w:tc>
        <w:tc>
          <w:tcPr>
            <w:tcW w:w="659" w:type="pct"/>
            <w:noWrap w:val="0"/>
            <w:vAlign w:val="center"/>
          </w:tcPr>
          <w:p w14:paraId="3D08D53E">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废气</w:t>
            </w:r>
          </w:p>
        </w:tc>
        <w:tc>
          <w:tcPr>
            <w:tcW w:w="1825" w:type="pct"/>
            <w:tcBorders>
              <w:right w:val="nil"/>
            </w:tcBorders>
            <w:noWrap w:val="0"/>
            <w:vAlign w:val="center"/>
          </w:tcPr>
          <w:p w14:paraId="719392E3">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颗粒物</w:t>
            </w:r>
          </w:p>
        </w:tc>
      </w:tr>
      <w:tr w14:paraId="7BECE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17" w:type="pct"/>
            <w:vMerge w:val="continue"/>
            <w:tcBorders>
              <w:left w:val="nil"/>
            </w:tcBorders>
            <w:noWrap w:val="0"/>
            <w:vAlign w:val="center"/>
          </w:tcPr>
          <w:p w14:paraId="7A2D8634">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129" w:type="pct"/>
            <w:vMerge w:val="continue"/>
            <w:noWrap w:val="0"/>
            <w:vAlign w:val="center"/>
          </w:tcPr>
          <w:p w14:paraId="39EDDAE0">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068" w:type="pct"/>
            <w:noWrap w:val="0"/>
            <w:vAlign w:val="center"/>
          </w:tcPr>
          <w:p w14:paraId="33DE052D">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装卸及</w:t>
            </w:r>
            <w:r>
              <w:rPr>
                <w:rFonts w:hint="default" w:ascii="Times New Roman" w:hAnsi="Times New Roman" w:eastAsia="宋体" w:cs="Times New Roman"/>
                <w:color w:val="auto"/>
                <w:sz w:val="21"/>
                <w:szCs w:val="21"/>
                <w:highlight w:val="none"/>
                <w:lang w:eastAsia="zh-CN"/>
              </w:rPr>
              <w:t>运输</w:t>
            </w:r>
            <w:r>
              <w:rPr>
                <w:rFonts w:hint="default" w:ascii="Times New Roman" w:hAnsi="Times New Roman" w:eastAsia="宋体" w:cs="Times New Roman"/>
                <w:color w:val="auto"/>
                <w:sz w:val="21"/>
                <w:szCs w:val="21"/>
                <w:highlight w:val="none"/>
              </w:rPr>
              <w:t>系统</w:t>
            </w:r>
          </w:p>
        </w:tc>
        <w:tc>
          <w:tcPr>
            <w:tcW w:w="659" w:type="pct"/>
            <w:noWrap w:val="0"/>
            <w:vAlign w:val="center"/>
          </w:tcPr>
          <w:p w14:paraId="79EF76ED">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废气、噪声</w:t>
            </w:r>
          </w:p>
        </w:tc>
        <w:tc>
          <w:tcPr>
            <w:tcW w:w="1825" w:type="pct"/>
            <w:tcBorders>
              <w:right w:val="nil"/>
            </w:tcBorders>
            <w:noWrap w:val="0"/>
            <w:vAlign w:val="center"/>
          </w:tcPr>
          <w:p w14:paraId="731E4FF3">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颗粒物</w:t>
            </w:r>
            <w:r>
              <w:rPr>
                <w:rFonts w:hint="default" w:ascii="Times New Roman" w:hAnsi="Times New Roman" w:eastAsia="宋体" w:cs="Times New Roman"/>
                <w:color w:val="auto"/>
                <w:sz w:val="21"/>
                <w:szCs w:val="21"/>
                <w:highlight w:val="none"/>
              </w:rPr>
              <w:t>、噪声</w:t>
            </w:r>
          </w:p>
        </w:tc>
      </w:tr>
      <w:tr w14:paraId="6CE38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17" w:type="pct"/>
            <w:vMerge w:val="continue"/>
            <w:tcBorders>
              <w:left w:val="nil"/>
            </w:tcBorders>
            <w:noWrap w:val="0"/>
            <w:vAlign w:val="center"/>
          </w:tcPr>
          <w:p w14:paraId="715813D8">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129" w:type="pct"/>
            <w:vMerge w:val="continue"/>
            <w:noWrap w:val="0"/>
            <w:vAlign w:val="center"/>
          </w:tcPr>
          <w:p w14:paraId="2C351256">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068" w:type="pct"/>
            <w:noWrap w:val="0"/>
            <w:vAlign w:val="center"/>
          </w:tcPr>
          <w:p w14:paraId="2CC1463F">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输送</w:t>
            </w:r>
          </w:p>
        </w:tc>
        <w:tc>
          <w:tcPr>
            <w:tcW w:w="659" w:type="pct"/>
            <w:noWrap w:val="0"/>
            <w:vAlign w:val="center"/>
          </w:tcPr>
          <w:p w14:paraId="6810AC63">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废水</w:t>
            </w:r>
          </w:p>
        </w:tc>
        <w:tc>
          <w:tcPr>
            <w:tcW w:w="1825" w:type="pct"/>
            <w:tcBorders>
              <w:right w:val="nil"/>
            </w:tcBorders>
            <w:noWrap w:val="0"/>
            <w:vAlign w:val="center"/>
          </w:tcPr>
          <w:p w14:paraId="5305096C">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SS、溶解性总固体</w:t>
            </w:r>
          </w:p>
        </w:tc>
      </w:tr>
      <w:tr w14:paraId="20796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17" w:type="pct"/>
            <w:vMerge w:val="restart"/>
            <w:tcBorders>
              <w:left w:val="nil"/>
            </w:tcBorders>
            <w:noWrap w:val="0"/>
            <w:vAlign w:val="center"/>
          </w:tcPr>
          <w:p w14:paraId="7CAE9517">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1129" w:type="pct"/>
            <w:vMerge w:val="restart"/>
            <w:noWrap w:val="0"/>
            <w:vAlign w:val="center"/>
          </w:tcPr>
          <w:p w14:paraId="4253598A">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燃煤</w:t>
            </w:r>
            <w:r>
              <w:rPr>
                <w:rFonts w:hint="default" w:ascii="Times New Roman" w:hAnsi="Times New Roman" w:eastAsia="宋体" w:cs="Times New Roman"/>
                <w:color w:val="auto"/>
                <w:sz w:val="21"/>
                <w:szCs w:val="21"/>
                <w:highlight w:val="none"/>
              </w:rPr>
              <w:t>燃烧过程</w:t>
            </w:r>
          </w:p>
        </w:tc>
        <w:tc>
          <w:tcPr>
            <w:tcW w:w="1068" w:type="pct"/>
            <w:noWrap w:val="0"/>
            <w:vAlign w:val="center"/>
          </w:tcPr>
          <w:p w14:paraId="0D29CB5B">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燃</w:t>
            </w:r>
            <w:r>
              <w:rPr>
                <w:rFonts w:hint="default" w:ascii="Times New Roman" w:hAnsi="Times New Roman" w:eastAsia="宋体" w:cs="Times New Roman"/>
                <w:color w:val="auto"/>
                <w:sz w:val="21"/>
                <w:szCs w:val="21"/>
                <w:highlight w:val="none"/>
                <w:lang w:val="en-US" w:eastAsia="zh-CN"/>
              </w:rPr>
              <w:t>煤</w:t>
            </w:r>
            <w:r>
              <w:rPr>
                <w:rFonts w:hint="default" w:ascii="Times New Roman" w:hAnsi="Times New Roman" w:eastAsia="宋体" w:cs="Times New Roman"/>
                <w:color w:val="auto"/>
                <w:sz w:val="21"/>
                <w:szCs w:val="21"/>
                <w:highlight w:val="none"/>
              </w:rPr>
              <w:t>粉碎</w:t>
            </w:r>
          </w:p>
        </w:tc>
        <w:tc>
          <w:tcPr>
            <w:tcW w:w="659" w:type="pct"/>
            <w:noWrap w:val="0"/>
            <w:vAlign w:val="center"/>
          </w:tcPr>
          <w:p w14:paraId="53976F82">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废气、噪声</w:t>
            </w:r>
          </w:p>
        </w:tc>
        <w:tc>
          <w:tcPr>
            <w:tcW w:w="1825" w:type="pct"/>
            <w:tcBorders>
              <w:right w:val="nil"/>
            </w:tcBorders>
            <w:noWrap w:val="0"/>
            <w:vAlign w:val="center"/>
          </w:tcPr>
          <w:p w14:paraId="7EDA56CA">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颗粒物</w:t>
            </w:r>
            <w:r>
              <w:rPr>
                <w:rFonts w:hint="default" w:ascii="Times New Roman" w:hAnsi="Times New Roman" w:eastAsia="宋体" w:cs="Times New Roman"/>
                <w:color w:val="auto"/>
                <w:sz w:val="21"/>
                <w:szCs w:val="21"/>
                <w:highlight w:val="none"/>
              </w:rPr>
              <w:t>、噪声</w:t>
            </w:r>
          </w:p>
        </w:tc>
      </w:tr>
      <w:tr w14:paraId="3DDEA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17" w:type="pct"/>
            <w:vMerge w:val="continue"/>
            <w:tcBorders>
              <w:left w:val="nil"/>
            </w:tcBorders>
            <w:noWrap w:val="0"/>
            <w:vAlign w:val="center"/>
          </w:tcPr>
          <w:p w14:paraId="32179D40">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129" w:type="pct"/>
            <w:vMerge w:val="continue"/>
            <w:noWrap w:val="0"/>
            <w:vAlign w:val="center"/>
          </w:tcPr>
          <w:p w14:paraId="18051B31">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068" w:type="pct"/>
            <w:vMerge w:val="restart"/>
            <w:noWrap w:val="0"/>
            <w:vAlign w:val="center"/>
          </w:tcPr>
          <w:p w14:paraId="711053BC">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锅炉</w:t>
            </w:r>
            <w:r>
              <w:rPr>
                <w:rFonts w:hint="default" w:ascii="Times New Roman" w:hAnsi="Times New Roman" w:eastAsia="宋体" w:cs="Times New Roman"/>
                <w:color w:val="auto"/>
                <w:sz w:val="21"/>
                <w:szCs w:val="21"/>
                <w:highlight w:val="none"/>
                <w:lang w:val="en-US" w:eastAsia="zh-CN"/>
              </w:rPr>
              <w:t>内</w:t>
            </w:r>
            <w:r>
              <w:rPr>
                <w:rFonts w:hint="default" w:ascii="Times New Roman" w:hAnsi="Times New Roman" w:eastAsia="宋体" w:cs="Times New Roman"/>
                <w:color w:val="auto"/>
                <w:sz w:val="21"/>
                <w:szCs w:val="21"/>
                <w:highlight w:val="none"/>
              </w:rPr>
              <w:t>燃烧</w:t>
            </w:r>
          </w:p>
        </w:tc>
        <w:tc>
          <w:tcPr>
            <w:tcW w:w="659" w:type="pct"/>
            <w:noWrap w:val="0"/>
            <w:vAlign w:val="center"/>
          </w:tcPr>
          <w:p w14:paraId="501A80A9">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烟气</w:t>
            </w:r>
          </w:p>
        </w:tc>
        <w:tc>
          <w:tcPr>
            <w:tcW w:w="1825" w:type="pct"/>
            <w:tcBorders>
              <w:right w:val="nil"/>
            </w:tcBorders>
            <w:noWrap w:val="0"/>
            <w:vAlign w:val="center"/>
          </w:tcPr>
          <w:p w14:paraId="5956F526">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烟尘、SO</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、NOx、汞</w:t>
            </w:r>
            <w:r>
              <w:rPr>
                <w:rFonts w:hint="default" w:ascii="Times New Roman" w:hAnsi="Times New Roman" w:eastAsia="宋体" w:cs="Times New Roman"/>
                <w:color w:val="auto"/>
                <w:sz w:val="21"/>
                <w:szCs w:val="21"/>
                <w:highlight w:val="none"/>
                <w:lang w:eastAsia="zh-CN"/>
              </w:rPr>
              <w:t>及其化合物、</w:t>
            </w:r>
            <w:r>
              <w:rPr>
                <w:rFonts w:hint="default" w:ascii="Times New Roman" w:hAnsi="Times New Roman" w:eastAsia="宋体" w:cs="Times New Roman"/>
                <w:color w:val="auto"/>
                <w:sz w:val="21"/>
                <w:szCs w:val="21"/>
                <w:highlight w:val="none"/>
                <w:lang w:val="en-US" w:eastAsia="zh-CN"/>
              </w:rPr>
              <w:t>NH</w:t>
            </w:r>
            <w:r>
              <w:rPr>
                <w:rFonts w:hint="default" w:ascii="Times New Roman" w:hAnsi="Times New Roman" w:eastAsia="宋体" w:cs="Times New Roman"/>
                <w:color w:val="auto"/>
                <w:sz w:val="21"/>
                <w:szCs w:val="21"/>
                <w:highlight w:val="none"/>
                <w:vertAlign w:val="subscript"/>
                <w:lang w:val="en-US" w:eastAsia="zh-CN"/>
              </w:rPr>
              <w:t>3</w:t>
            </w:r>
          </w:p>
        </w:tc>
      </w:tr>
      <w:tr w14:paraId="377F2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17" w:type="pct"/>
            <w:vMerge w:val="continue"/>
            <w:tcBorders>
              <w:left w:val="nil"/>
            </w:tcBorders>
            <w:noWrap w:val="0"/>
            <w:vAlign w:val="center"/>
          </w:tcPr>
          <w:p w14:paraId="6DBBC251">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129" w:type="pct"/>
            <w:vMerge w:val="continue"/>
            <w:noWrap w:val="0"/>
            <w:vAlign w:val="center"/>
          </w:tcPr>
          <w:p w14:paraId="2899E6FA">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068" w:type="pct"/>
            <w:vMerge w:val="continue"/>
            <w:noWrap w:val="0"/>
            <w:vAlign w:val="center"/>
          </w:tcPr>
          <w:p w14:paraId="5B36AC1F">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659" w:type="pct"/>
            <w:noWrap w:val="0"/>
            <w:vAlign w:val="center"/>
          </w:tcPr>
          <w:p w14:paraId="41B7A7C4">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固体废物</w:t>
            </w:r>
          </w:p>
        </w:tc>
        <w:tc>
          <w:tcPr>
            <w:tcW w:w="1825" w:type="pct"/>
            <w:tcBorders>
              <w:right w:val="nil"/>
            </w:tcBorders>
            <w:noWrap w:val="0"/>
            <w:vAlign w:val="center"/>
          </w:tcPr>
          <w:p w14:paraId="6E9AF56B">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飞</w:t>
            </w:r>
            <w:r>
              <w:rPr>
                <w:rFonts w:hint="default" w:ascii="Times New Roman" w:hAnsi="Times New Roman" w:eastAsia="宋体" w:cs="Times New Roman"/>
                <w:color w:val="auto"/>
                <w:sz w:val="21"/>
                <w:szCs w:val="21"/>
                <w:highlight w:val="none"/>
              </w:rPr>
              <w:t>灰、</w:t>
            </w:r>
            <w:r>
              <w:rPr>
                <w:rFonts w:hint="default" w:ascii="Times New Roman" w:hAnsi="Times New Roman" w:eastAsia="宋体" w:cs="Times New Roman"/>
                <w:color w:val="auto"/>
                <w:sz w:val="21"/>
                <w:szCs w:val="21"/>
                <w:highlight w:val="none"/>
                <w:lang w:val="en-US" w:eastAsia="zh-CN"/>
              </w:rPr>
              <w:t>炉渣</w:t>
            </w:r>
          </w:p>
        </w:tc>
      </w:tr>
      <w:tr w14:paraId="748B4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17" w:type="pct"/>
            <w:vMerge w:val="continue"/>
            <w:tcBorders>
              <w:left w:val="nil"/>
            </w:tcBorders>
            <w:noWrap w:val="0"/>
            <w:vAlign w:val="center"/>
          </w:tcPr>
          <w:p w14:paraId="1E0E68BA">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129" w:type="pct"/>
            <w:vMerge w:val="continue"/>
            <w:noWrap w:val="0"/>
            <w:vAlign w:val="center"/>
          </w:tcPr>
          <w:p w14:paraId="37E547D3">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068" w:type="pct"/>
            <w:noWrap w:val="0"/>
            <w:vAlign w:val="center"/>
          </w:tcPr>
          <w:p w14:paraId="7D9E37D6">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锅炉排污</w:t>
            </w:r>
          </w:p>
        </w:tc>
        <w:tc>
          <w:tcPr>
            <w:tcW w:w="659" w:type="pct"/>
            <w:noWrap w:val="0"/>
            <w:vAlign w:val="center"/>
          </w:tcPr>
          <w:p w14:paraId="347C6C54">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w:t>
            </w:r>
          </w:p>
        </w:tc>
        <w:tc>
          <w:tcPr>
            <w:tcW w:w="1825" w:type="pct"/>
            <w:tcBorders>
              <w:right w:val="nil"/>
            </w:tcBorders>
            <w:noWrap w:val="0"/>
            <w:vAlign w:val="center"/>
          </w:tcPr>
          <w:p w14:paraId="2E333886">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pH、化学需氧量、溶解性总固体</w:t>
            </w:r>
          </w:p>
        </w:tc>
      </w:tr>
      <w:tr w14:paraId="15FB7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4" w:hRule="atLeast"/>
          <w:jc w:val="center"/>
        </w:trPr>
        <w:tc>
          <w:tcPr>
            <w:tcW w:w="317" w:type="pct"/>
            <w:vMerge w:val="restart"/>
            <w:tcBorders>
              <w:left w:val="nil"/>
            </w:tcBorders>
            <w:noWrap w:val="0"/>
            <w:vAlign w:val="center"/>
          </w:tcPr>
          <w:p w14:paraId="0CE8223D">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val="en-US" w:eastAsia="zh-CN"/>
              </w:rPr>
              <w:t>3</w:t>
            </w:r>
          </w:p>
        </w:tc>
        <w:tc>
          <w:tcPr>
            <w:tcW w:w="1129" w:type="pct"/>
            <w:vMerge w:val="restart"/>
            <w:noWrap w:val="0"/>
            <w:vAlign w:val="center"/>
          </w:tcPr>
          <w:p w14:paraId="03C294BC">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脱硫过程</w:t>
            </w:r>
          </w:p>
        </w:tc>
        <w:tc>
          <w:tcPr>
            <w:tcW w:w="1068" w:type="pct"/>
            <w:vMerge w:val="restart"/>
            <w:noWrap w:val="0"/>
            <w:vAlign w:val="center"/>
          </w:tcPr>
          <w:p w14:paraId="4593E1C7">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脱硫系统</w:t>
            </w:r>
          </w:p>
        </w:tc>
        <w:tc>
          <w:tcPr>
            <w:tcW w:w="659" w:type="pct"/>
            <w:noWrap w:val="0"/>
            <w:vAlign w:val="center"/>
          </w:tcPr>
          <w:p w14:paraId="07AEBFFD">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设备噪声</w:t>
            </w:r>
          </w:p>
        </w:tc>
        <w:tc>
          <w:tcPr>
            <w:tcW w:w="1825" w:type="pct"/>
            <w:tcBorders>
              <w:right w:val="nil"/>
            </w:tcBorders>
            <w:noWrap w:val="0"/>
            <w:vAlign w:val="center"/>
          </w:tcPr>
          <w:p w14:paraId="3385AF0C">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噪声</w:t>
            </w:r>
          </w:p>
        </w:tc>
      </w:tr>
      <w:tr w14:paraId="42E92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0" w:hRule="atLeast"/>
          <w:jc w:val="center"/>
        </w:trPr>
        <w:tc>
          <w:tcPr>
            <w:tcW w:w="317" w:type="pct"/>
            <w:vMerge w:val="continue"/>
            <w:tcBorders>
              <w:left w:val="nil"/>
            </w:tcBorders>
            <w:noWrap w:val="0"/>
            <w:vAlign w:val="center"/>
          </w:tcPr>
          <w:p w14:paraId="7F37E3AE">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eastAsia" w:ascii="Times New Roman" w:hAnsi="Times New Roman" w:eastAsia="宋体" w:cs="Times New Roman"/>
                <w:color w:val="auto"/>
                <w:sz w:val="21"/>
                <w:szCs w:val="21"/>
                <w:highlight w:val="none"/>
                <w:lang w:val="en-US" w:eastAsia="zh-CN"/>
              </w:rPr>
            </w:pPr>
          </w:p>
        </w:tc>
        <w:tc>
          <w:tcPr>
            <w:tcW w:w="1129" w:type="pct"/>
            <w:vMerge w:val="continue"/>
            <w:noWrap w:val="0"/>
            <w:vAlign w:val="center"/>
          </w:tcPr>
          <w:p w14:paraId="03236DA8">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068" w:type="pct"/>
            <w:vMerge w:val="continue"/>
            <w:noWrap w:val="0"/>
            <w:vAlign w:val="center"/>
          </w:tcPr>
          <w:p w14:paraId="704278BB">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659" w:type="pct"/>
            <w:noWrap w:val="0"/>
            <w:vAlign w:val="center"/>
          </w:tcPr>
          <w:p w14:paraId="610F812E">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脱硫废水</w:t>
            </w:r>
          </w:p>
        </w:tc>
        <w:tc>
          <w:tcPr>
            <w:tcW w:w="1825" w:type="pct"/>
            <w:tcBorders>
              <w:right w:val="nil"/>
            </w:tcBorders>
            <w:noWrap w:val="0"/>
            <w:vAlign w:val="center"/>
          </w:tcPr>
          <w:p w14:paraId="41735E60">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eastAsia="zh-CN"/>
              </w:rPr>
              <w:t>pH值、总砷、总铅、总汞</w:t>
            </w:r>
            <w:r>
              <w:rPr>
                <w:rFonts w:hint="eastAsia" w:eastAsia="宋体" w:cs="Times New Roman"/>
                <w:color w:val="auto"/>
                <w:sz w:val="21"/>
                <w:szCs w:val="21"/>
                <w:highlight w:val="none"/>
                <w:lang w:eastAsia="zh-CN"/>
              </w:rPr>
              <w:t>、</w:t>
            </w:r>
            <w:r>
              <w:rPr>
                <w:rFonts w:hint="eastAsia" w:eastAsia="宋体" w:cs="Times New Roman"/>
                <w:color w:val="auto"/>
                <w:sz w:val="21"/>
                <w:szCs w:val="21"/>
                <w:highlight w:val="none"/>
                <w:lang w:val="en-US" w:eastAsia="zh-CN"/>
              </w:rPr>
              <w:t>总镉</w:t>
            </w:r>
          </w:p>
        </w:tc>
      </w:tr>
      <w:tr w14:paraId="7DA4A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17" w:type="pct"/>
            <w:vMerge w:val="restart"/>
            <w:tcBorders>
              <w:left w:val="nil"/>
            </w:tcBorders>
            <w:noWrap w:val="0"/>
            <w:vAlign w:val="center"/>
          </w:tcPr>
          <w:p w14:paraId="427D62A0">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w:t>
            </w:r>
          </w:p>
        </w:tc>
        <w:tc>
          <w:tcPr>
            <w:tcW w:w="1129" w:type="pct"/>
            <w:vMerge w:val="restart"/>
            <w:noWrap w:val="0"/>
            <w:vAlign w:val="center"/>
          </w:tcPr>
          <w:p w14:paraId="3A98AA44">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脱硝过程</w:t>
            </w:r>
          </w:p>
        </w:tc>
        <w:tc>
          <w:tcPr>
            <w:tcW w:w="1068" w:type="pct"/>
            <w:vMerge w:val="restart"/>
            <w:noWrap w:val="0"/>
            <w:vAlign w:val="center"/>
          </w:tcPr>
          <w:p w14:paraId="2809559E">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脱硝装置</w:t>
            </w:r>
          </w:p>
        </w:tc>
        <w:tc>
          <w:tcPr>
            <w:tcW w:w="659" w:type="pct"/>
            <w:noWrap w:val="0"/>
            <w:vAlign w:val="center"/>
          </w:tcPr>
          <w:p w14:paraId="71303620">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废气</w:t>
            </w:r>
          </w:p>
        </w:tc>
        <w:tc>
          <w:tcPr>
            <w:tcW w:w="1825" w:type="pct"/>
            <w:tcBorders>
              <w:right w:val="nil"/>
            </w:tcBorders>
            <w:noWrap w:val="0"/>
            <w:vAlign w:val="center"/>
          </w:tcPr>
          <w:p w14:paraId="1106A11E">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NH</w:t>
            </w:r>
            <w:r>
              <w:rPr>
                <w:rFonts w:hint="default" w:ascii="Times New Roman" w:hAnsi="Times New Roman" w:eastAsia="宋体" w:cs="Times New Roman"/>
                <w:color w:val="auto"/>
                <w:sz w:val="21"/>
                <w:szCs w:val="21"/>
                <w:highlight w:val="none"/>
                <w:vertAlign w:val="subscript"/>
              </w:rPr>
              <w:t>3</w:t>
            </w:r>
          </w:p>
        </w:tc>
      </w:tr>
      <w:tr w14:paraId="7121F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40" w:hRule="atLeast"/>
          <w:jc w:val="center"/>
        </w:trPr>
        <w:tc>
          <w:tcPr>
            <w:tcW w:w="317" w:type="pct"/>
            <w:vMerge w:val="continue"/>
            <w:tcBorders>
              <w:left w:val="nil"/>
            </w:tcBorders>
            <w:noWrap w:val="0"/>
            <w:vAlign w:val="center"/>
          </w:tcPr>
          <w:p w14:paraId="3C648C93">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129" w:type="pct"/>
            <w:vMerge w:val="continue"/>
            <w:noWrap w:val="0"/>
            <w:vAlign w:val="center"/>
          </w:tcPr>
          <w:p w14:paraId="68880FAC">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068" w:type="pct"/>
            <w:vMerge w:val="continue"/>
            <w:noWrap w:val="0"/>
            <w:vAlign w:val="center"/>
          </w:tcPr>
          <w:p w14:paraId="1ECF0C16">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659" w:type="pct"/>
            <w:noWrap w:val="0"/>
            <w:vAlign w:val="center"/>
          </w:tcPr>
          <w:p w14:paraId="583A07B9">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设备噪声</w:t>
            </w:r>
          </w:p>
        </w:tc>
        <w:tc>
          <w:tcPr>
            <w:tcW w:w="1825" w:type="pct"/>
            <w:tcBorders>
              <w:right w:val="nil"/>
            </w:tcBorders>
            <w:noWrap w:val="0"/>
            <w:vAlign w:val="center"/>
          </w:tcPr>
          <w:p w14:paraId="66A2067D">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噪声</w:t>
            </w:r>
          </w:p>
        </w:tc>
      </w:tr>
      <w:tr w14:paraId="23F58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17" w:type="pct"/>
            <w:tcBorders>
              <w:left w:val="nil"/>
            </w:tcBorders>
            <w:noWrap w:val="0"/>
            <w:vAlign w:val="center"/>
          </w:tcPr>
          <w:p w14:paraId="6A815B45">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w:t>
            </w:r>
          </w:p>
        </w:tc>
        <w:tc>
          <w:tcPr>
            <w:tcW w:w="1129" w:type="pct"/>
            <w:noWrap w:val="0"/>
            <w:vAlign w:val="center"/>
          </w:tcPr>
          <w:p w14:paraId="03694A03">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除尘过程</w:t>
            </w:r>
          </w:p>
        </w:tc>
        <w:tc>
          <w:tcPr>
            <w:tcW w:w="1068" w:type="pct"/>
            <w:noWrap w:val="0"/>
            <w:vAlign w:val="center"/>
          </w:tcPr>
          <w:p w14:paraId="4F6447B3">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布袋除尘器</w:t>
            </w:r>
          </w:p>
        </w:tc>
        <w:tc>
          <w:tcPr>
            <w:tcW w:w="659" w:type="pct"/>
            <w:noWrap w:val="0"/>
            <w:vAlign w:val="center"/>
          </w:tcPr>
          <w:p w14:paraId="2BF25583">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固体废物</w:t>
            </w:r>
          </w:p>
        </w:tc>
        <w:tc>
          <w:tcPr>
            <w:tcW w:w="1825" w:type="pct"/>
            <w:tcBorders>
              <w:right w:val="nil"/>
            </w:tcBorders>
            <w:noWrap w:val="0"/>
            <w:vAlign w:val="center"/>
          </w:tcPr>
          <w:p w14:paraId="7FCC4293">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eastAsia" w:ascii="Times New Roman" w:hAnsi="Times New Roman" w:cs="Times New Roman" w:eastAsiaTheme="minorEastAsia"/>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废布袋</w:t>
            </w:r>
            <w:r>
              <w:rPr>
                <w:rFonts w:hint="eastAsia" w:ascii="Times New Roman" w:hAnsi="Times New Roman" w:eastAsia="宋体" w:cs="Times New Roman"/>
                <w:color w:val="auto"/>
                <w:sz w:val="21"/>
                <w:szCs w:val="21"/>
                <w:highlight w:val="none"/>
                <w:lang w:eastAsia="zh-CN"/>
              </w:rPr>
              <w:t>、布袋除尘器收尘</w:t>
            </w:r>
          </w:p>
        </w:tc>
      </w:tr>
      <w:tr w14:paraId="126C1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317" w:type="pct"/>
            <w:tcBorders>
              <w:left w:val="nil"/>
            </w:tcBorders>
            <w:noWrap w:val="0"/>
            <w:vAlign w:val="center"/>
          </w:tcPr>
          <w:p w14:paraId="6A216F59">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w:t>
            </w:r>
          </w:p>
        </w:tc>
        <w:tc>
          <w:tcPr>
            <w:tcW w:w="1129" w:type="pct"/>
            <w:noWrap w:val="0"/>
            <w:vAlign w:val="center"/>
          </w:tcPr>
          <w:p w14:paraId="15872227">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除灰渣及贮灰过程</w:t>
            </w:r>
          </w:p>
        </w:tc>
        <w:tc>
          <w:tcPr>
            <w:tcW w:w="1068" w:type="pct"/>
            <w:noWrap w:val="0"/>
            <w:vAlign w:val="center"/>
          </w:tcPr>
          <w:p w14:paraId="684E3E0F">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灰渣装车运输</w:t>
            </w:r>
          </w:p>
        </w:tc>
        <w:tc>
          <w:tcPr>
            <w:tcW w:w="659" w:type="pct"/>
            <w:noWrap w:val="0"/>
            <w:vAlign w:val="center"/>
          </w:tcPr>
          <w:p w14:paraId="654A0EE8">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废气</w:t>
            </w:r>
          </w:p>
        </w:tc>
        <w:tc>
          <w:tcPr>
            <w:tcW w:w="1825" w:type="pct"/>
            <w:tcBorders>
              <w:right w:val="nil"/>
            </w:tcBorders>
            <w:noWrap w:val="0"/>
            <w:vAlign w:val="center"/>
          </w:tcPr>
          <w:p w14:paraId="6E6C589B">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颗粒物</w:t>
            </w:r>
          </w:p>
        </w:tc>
      </w:tr>
      <w:tr w14:paraId="21600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317" w:type="pct"/>
            <w:vMerge w:val="restart"/>
            <w:tcBorders>
              <w:left w:val="nil"/>
            </w:tcBorders>
            <w:noWrap w:val="0"/>
            <w:vAlign w:val="center"/>
          </w:tcPr>
          <w:p w14:paraId="67FBD9AA">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bookmarkStart w:id="308" w:name="_Toc12075"/>
            <w:r>
              <w:rPr>
                <w:rFonts w:hint="eastAsia" w:ascii="Times New Roman" w:hAnsi="Times New Roman" w:eastAsia="宋体" w:cs="Times New Roman"/>
                <w:color w:val="auto"/>
                <w:sz w:val="21"/>
                <w:szCs w:val="21"/>
                <w:highlight w:val="none"/>
                <w:lang w:val="en-US" w:eastAsia="zh-CN"/>
              </w:rPr>
              <w:t>7</w:t>
            </w:r>
          </w:p>
        </w:tc>
        <w:tc>
          <w:tcPr>
            <w:tcW w:w="1129" w:type="pct"/>
            <w:vMerge w:val="restart"/>
            <w:noWrap w:val="0"/>
            <w:vAlign w:val="center"/>
          </w:tcPr>
          <w:p w14:paraId="54E5DF9E">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生石灰粉仓</w:t>
            </w:r>
          </w:p>
        </w:tc>
        <w:tc>
          <w:tcPr>
            <w:tcW w:w="1068" w:type="pct"/>
            <w:vMerge w:val="restart"/>
            <w:noWrap w:val="0"/>
            <w:vAlign w:val="center"/>
          </w:tcPr>
          <w:p w14:paraId="70639B34">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储存</w:t>
            </w:r>
          </w:p>
        </w:tc>
        <w:tc>
          <w:tcPr>
            <w:tcW w:w="659" w:type="pct"/>
            <w:noWrap w:val="0"/>
            <w:vAlign w:val="center"/>
          </w:tcPr>
          <w:p w14:paraId="6A3A397A">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废气</w:t>
            </w:r>
          </w:p>
        </w:tc>
        <w:tc>
          <w:tcPr>
            <w:tcW w:w="1825" w:type="pct"/>
            <w:tcBorders>
              <w:right w:val="nil"/>
            </w:tcBorders>
            <w:noWrap w:val="0"/>
            <w:vAlign w:val="center"/>
          </w:tcPr>
          <w:p w14:paraId="11D6FA6F">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颗粒物</w:t>
            </w:r>
          </w:p>
        </w:tc>
      </w:tr>
      <w:tr w14:paraId="535F0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317" w:type="pct"/>
            <w:vMerge w:val="continue"/>
            <w:tcBorders>
              <w:left w:val="nil"/>
            </w:tcBorders>
            <w:noWrap w:val="0"/>
            <w:vAlign w:val="center"/>
          </w:tcPr>
          <w:p w14:paraId="770C832D">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p>
        </w:tc>
        <w:tc>
          <w:tcPr>
            <w:tcW w:w="1129" w:type="pct"/>
            <w:vMerge w:val="continue"/>
            <w:noWrap w:val="0"/>
            <w:vAlign w:val="center"/>
          </w:tcPr>
          <w:p w14:paraId="7B99BAD0">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p>
        </w:tc>
        <w:tc>
          <w:tcPr>
            <w:tcW w:w="1068" w:type="pct"/>
            <w:vMerge w:val="continue"/>
            <w:noWrap w:val="0"/>
            <w:vAlign w:val="center"/>
          </w:tcPr>
          <w:p w14:paraId="184A3D97">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p>
        </w:tc>
        <w:tc>
          <w:tcPr>
            <w:tcW w:w="659" w:type="pct"/>
            <w:noWrap w:val="0"/>
            <w:vAlign w:val="center"/>
          </w:tcPr>
          <w:p w14:paraId="4DDAB6D1">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固体废物</w:t>
            </w:r>
          </w:p>
        </w:tc>
        <w:tc>
          <w:tcPr>
            <w:tcW w:w="1825" w:type="pct"/>
            <w:tcBorders>
              <w:right w:val="nil"/>
            </w:tcBorders>
            <w:noWrap w:val="0"/>
            <w:vAlign w:val="center"/>
          </w:tcPr>
          <w:p w14:paraId="21CA3468">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布袋</w:t>
            </w:r>
            <w:r>
              <w:rPr>
                <w:rFonts w:hint="eastAsia" w:eastAsia="宋体" w:cs="Times New Roman"/>
                <w:color w:val="auto"/>
                <w:sz w:val="21"/>
                <w:szCs w:val="21"/>
                <w:highlight w:val="none"/>
                <w:lang w:val="en-US" w:eastAsia="zh-CN"/>
              </w:rPr>
              <w:t>收尘</w:t>
            </w:r>
          </w:p>
        </w:tc>
      </w:tr>
      <w:tr w14:paraId="4E2DC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317" w:type="pct"/>
            <w:tcBorders>
              <w:left w:val="nil"/>
              <w:bottom w:val="single" w:color="auto" w:sz="12" w:space="0"/>
            </w:tcBorders>
            <w:noWrap w:val="0"/>
            <w:vAlign w:val="center"/>
          </w:tcPr>
          <w:p w14:paraId="6CAE59BE">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bookmarkStart w:id="309" w:name="_Toc11510"/>
            <w:r>
              <w:rPr>
                <w:rFonts w:hint="eastAsia" w:eastAsia="宋体" w:cs="Times New Roman"/>
                <w:color w:val="auto"/>
                <w:sz w:val="21"/>
                <w:szCs w:val="21"/>
                <w:highlight w:val="none"/>
                <w:lang w:val="en-US" w:eastAsia="zh-CN"/>
              </w:rPr>
              <w:t>8</w:t>
            </w:r>
          </w:p>
        </w:tc>
        <w:tc>
          <w:tcPr>
            <w:tcW w:w="1129" w:type="pct"/>
            <w:tcBorders>
              <w:bottom w:val="single" w:color="auto" w:sz="12" w:space="0"/>
            </w:tcBorders>
            <w:noWrap w:val="0"/>
            <w:vAlign w:val="center"/>
          </w:tcPr>
          <w:p w14:paraId="776263FB">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设备检修</w:t>
            </w:r>
          </w:p>
        </w:tc>
        <w:tc>
          <w:tcPr>
            <w:tcW w:w="1068" w:type="pct"/>
            <w:tcBorders>
              <w:bottom w:val="single" w:color="auto" w:sz="12" w:space="0"/>
            </w:tcBorders>
            <w:noWrap w:val="0"/>
            <w:vAlign w:val="center"/>
          </w:tcPr>
          <w:p w14:paraId="236ED977">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设备检修</w:t>
            </w:r>
          </w:p>
        </w:tc>
        <w:tc>
          <w:tcPr>
            <w:tcW w:w="659" w:type="pct"/>
            <w:tcBorders>
              <w:bottom w:val="single" w:color="auto" w:sz="12" w:space="0"/>
            </w:tcBorders>
            <w:noWrap w:val="0"/>
            <w:vAlign w:val="center"/>
          </w:tcPr>
          <w:p w14:paraId="4CF26536">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固体废物</w:t>
            </w:r>
          </w:p>
        </w:tc>
        <w:tc>
          <w:tcPr>
            <w:tcW w:w="1825" w:type="pct"/>
            <w:tcBorders>
              <w:bottom w:val="single" w:color="auto" w:sz="12" w:space="0"/>
              <w:right w:val="nil"/>
            </w:tcBorders>
            <w:noWrap w:val="0"/>
            <w:vAlign w:val="center"/>
          </w:tcPr>
          <w:p w14:paraId="3A463090">
            <w:pPr>
              <w:pStyle w:val="15"/>
              <w:keepNext w:val="0"/>
              <w:keepLines w:val="0"/>
              <w:pageBreakBefore w:val="0"/>
              <w:widowControl w:val="0"/>
              <w:kinsoku/>
              <w:wordWrap/>
              <w:overflowPunct/>
              <w:topLinePunct w:val="0"/>
              <w:autoSpaceDE/>
              <w:autoSpaceDN/>
              <w:bidi w:val="0"/>
              <w:adjustRightInd/>
              <w:snapToGrid/>
              <w:spacing w:after="0" w:line="240" w:lineRule="auto"/>
              <w:ind w:lef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废矿物油</w:t>
            </w:r>
          </w:p>
        </w:tc>
      </w:tr>
    </w:tbl>
    <w:p w14:paraId="4E069BB0">
      <w:pPr>
        <w:pStyle w:val="4"/>
        <w:numPr>
          <w:ilvl w:val="1"/>
          <w:numId w:val="3"/>
        </w:numPr>
        <w:bidi w:val="0"/>
        <w:ind w:left="567" w:leftChars="0" w:hanging="567" w:firstLineChars="0"/>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运营期污染物源强分析</w:t>
      </w:r>
      <w:bookmarkEnd w:id="308"/>
      <w:bookmarkEnd w:id="309"/>
    </w:p>
    <w:p w14:paraId="01637BEE">
      <w:pPr>
        <w:pStyle w:val="6"/>
        <w:numPr>
          <w:ilvl w:val="2"/>
          <w:numId w:val="3"/>
        </w:numPr>
        <w:bidi w:val="0"/>
        <w:ind w:left="709" w:leftChars="0" w:hanging="709" w:firstLineChars="0"/>
        <w:rPr>
          <w:rFonts w:hint="default" w:ascii="Times New Roman" w:hAnsi="Times New Roman" w:eastAsia="宋体" w:cs="Times New Roman"/>
          <w:color w:val="FF0000"/>
          <w:highlight w:val="none"/>
          <w:lang w:eastAsia="zh-CN"/>
        </w:rPr>
      </w:pPr>
      <w:bookmarkStart w:id="310" w:name="_Toc12623"/>
      <w:bookmarkStart w:id="311" w:name="_Toc16330"/>
      <w:bookmarkStart w:id="312" w:name="_Toc31141"/>
      <w:r>
        <w:rPr>
          <w:rFonts w:hint="default" w:ascii="Times New Roman" w:hAnsi="Times New Roman" w:eastAsia="宋体" w:cs="Times New Roman"/>
          <w:color w:val="FF0000"/>
          <w:highlight w:val="none"/>
        </w:rPr>
        <w:t>废气</w:t>
      </w:r>
      <w:r>
        <w:rPr>
          <w:rFonts w:hint="default" w:ascii="Times New Roman" w:hAnsi="Times New Roman" w:eastAsia="宋体" w:cs="Times New Roman"/>
          <w:color w:val="FF0000"/>
          <w:highlight w:val="none"/>
          <w:lang w:eastAsia="zh-CN"/>
        </w:rPr>
        <w:t>污染物源强</w:t>
      </w:r>
      <w:bookmarkEnd w:id="310"/>
      <w:bookmarkEnd w:id="311"/>
      <w:bookmarkEnd w:id="312"/>
    </w:p>
    <w:p w14:paraId="346EC1B9">
      <w:pPr>
        <w:bidi w:val="0"/>
        <w:rPr>
          <w:rFonts w:hint="default" w:ascii="Times New Roman" w:hAnsi="Times New Roman" w:eastAsia="宋体" w:cs="Times New Roman"/>
          <w:color w:val="FF0000"/>
          <w:highlight w:val="none"/>
          <w:lang w:eastAsia="zh-CN"/>
        </w:rPr>
      </w:pPr>
      <w:r>
        <w:rPr>
          <w:rFonts w:hint="default" w:ascii="Times New Roman" w:hAnsi="Times New Roman" w:eastAsia="宋体" w:cs="Times New Roman"/>
          <w:color w:val="FF0000"/>
          <w:highlight w:val="none"/>
          <w:lang w:val="en-US" w:eastAsia="zh-CN"/>
        </w:rPr>
        <w:t>本项目建设的</w:t>
      </w:r>
      <w:r>
        <w:rPr>
          <w:rFonts w:hint="eastAsia" w:ascii="Times New Roman" w:hAnsi="Times New Roman" w:eastAsia="宋体" w:cs="Times New Roman"/>
          <w:color w:val="FF0000"/>
          <w:highlight w:val="none"/>
          <w:lang w:val="en-US" w:eastAsia="zh-CN"/>
        </w:rPr>
        <w:t>5#锅炉</w:t>
      </w:r>
      <w:r>
        <w:rPr>
          <w:rFonts w:hint="default" w:ascii="Times New Roman" w:hAnsi="Times New Roman" w:eastAsia="宋体" w:cs="Times New Roman"/>
          <w:color w:val="FF0000"/>
          <w:highlight w:val="none"/>
          <w:lang w:val="en-US" w:eastAsia="zh-CN"/>
        </w:rPr>
        <w:t>执行《</w:t>
      </w:r>
      <w:r>
        <w:rPr>
          <w:rFonts w:hint="default" w:ascii="Times New Roman" w:hAnsi="Times New Roman" w:eastAsia="宋体" w:cs="Times New Roman"/>
          <w:color w:val="FF0000"/>
          <w:highlight w:val="none"/>
        </w:rPr>
        <w:t>关于印发</w:t>
      </w:r>
      <w:r>
        <w:rPr>
          <w:rFonts w:hint="eastAsia" w:ascii="Times New Roman" w:hAnsi="Times New Roman" w:eastAsia="宋体" w:cs="Times New Roman"/>
          <w:color w:val="FF0000"/>
          <w:highlight w:val="none"/>
          <w:lang w:eastAsia="zh-CN"/>
        </w:rPr>
        <w:t>〈</w:t>
      </w:r>
      <w:r>
        <w:rPr>
          <w:rFonts w:hint="default" w:ascii="Times New Roman" w:hAnsi="Times New Roman" w:eastAsia="宋体" w:cs="Times New Roman"/>
          <w:color w:val="FF0000"/>
          <w:highlight w:val="none"/>
        </w:rPr>
        <w:t>全面实施燃煤电厂超低排放和节能改造工作方案</w:t>
      </w:r>
      <w:r>
        <w:rPr>
          <w:rFonts w:hint="eastAsia" w:ascii="Times New Roman" w:hAnsi="Times New Roman" w:eastAsia="宋体" w:cs="Times New Roman"/>
          <w:color w:val="FF0000"/>
          <w:highlight w:val="none"/>
          <w:lang w:eastAsia="zh-CN"/>
        </w:rPr>
        <w:t>〉的通知》</w:t>
      </w:r>
      <w:r>
        <w:rPr>
          <w:rFonts w:hint="default" w:ascii="Times New Roman" w:hAnsi="Times New Roman" w:eastAsia="宋体" w:cs="Times New Roman"/>
          <w:color w:val="FF0000"/>
          <w:highlight w:val="none"/>
        </w:rPr>
        <w:t>（环发</w:t>
      </w:r>
      <w:r>
        <w:rPr>
          <w:rFonts w:hint="eastAsia" w:ascii="Times New Roman" w:hAnsi="Times New Roman" w:eastAsia="宋体" w:cs="Times New Roman"/>
          <w:color w:val="FF0000"/>
          <w:highlight w:val="none"/>
          <w:lang w:eastAsia="zh-CN"/>
        </w:rPr>
        <w:t>〔</w:t>
      </w:r>
      <w:r>
        <w:rPr>
          <w:rFonts w:hint="default" w:ascii="Times New Roman" w:hAnsi="Times New Roman" w:eastAsia="宋体" w:cs="Times New Roman"/>
          <w:color w:val="FF0000"/>
          <w:highlight w:val="none"/>
        </w:rPr>
        <w:t>2015</w:t>
      </w:r>
      <w:r>
        <w:rPr>
          <w:rFonts w:hint="eastAsia" w:ascii="Times New Roman" w:hAnsi="Times New Roman" w:eastAsia="宋体" w:cs="Times New Roman"/>
          <w:color w:val="FF0000"/>
          <w:highlight w:val="none"/>
          <w:lang w:eastAsia="zh-CN"/>
        </w:rPr>
        <w:t>〕</w:t>
      </w:r>
      <w:r>
        <w:rPr>
          <w:rFonts w:hint="default" w:ascii="Times New Roman" w:hAnsi="Times New Roman" w:eastAsia="宋体" w:cs="Times New Roman"/>
          <w:color w:val="FF0000"/>
          <w:highlight w:val="none"/>
        </w:rPr>
        <w:t>164号）要求，达到超低排放</w:t>
      </w:r>
      <w:r>
        <w:rPr>
          <w:rFonts w:hint="default" w:ascii="Times New Roman" w:hAnsi="Times New Roman" w:eastAsia="宋体" w:cs="Times New Roman"/>
          <w:color w:val="FF0000"/>
          <w:highlight w:val="none"/>
          <w:lang w:val="en-US" w:eastAsia="zh-CN"/>
        </w:rPr>
        <w:t>限值</w:t>
      </w:r>
      <w:r>
        <w:rPr>
          <w:rFonts w:hint="default" w:ascii="Times New Roman" w:hAnsi="Times New Roman" w:eastAsia="宋体" w:cs="Times New Roman"/>
          <w:color w:val="FF0000"/>
          <w:highlight w:val="none"/>
        </w:rPr>
        <w:t>（在基准氧含量6%条件下，烟尘、SO</w:t>
      </w:r>
      <w:r>
        <w:rPr>
          <w:rFonts w:hint="default" w:ascii="Times New Roman" w:hAnsi="Times New Roman" w:eastAsia="宋体" w:cs="Times New Roman"/>
          <w:color w:val="FF0000"/>
          <w:highlight w:val="none"/>
          <w:vertAlign w:val="subscript"/>
        </w:rPr>
        <w:t>2</w:t>
      </w:r>
      <w:r>
        <w:rPr>
          <w:rFonts w:hint="default" w:ascii="Times New Roman" w:hAnsi="Times New Roman" w:eastAsia="宋体" w:cs="Times New Roman"/>
          <w:color w:val="FF0000"/>
          <w:highlight w:val="none"/>
        </w:rPr>
        <w:t>、NO</w:t>
      </w:r>
      <w:r>
        <w:rPr>
          <w:rFonts w:hint="default" w:ascii="Times New Roman" w:hAnsi="Times New Roman" w:eastAsia="宋体" w:cs="Times New Roman"/>
          <w:color w:val="FF0000"/>
          <w:highlight w:val="none"/>
          <w:vertAlign w:val="subscript"/>
        </w:rPr>
        <w:t>X</w:t>
      </w:r>
      <w:r>
        <w:rPr>
          <w:rFonts w:hint="default" w:ascii="Times New Roman" w:hAnsi="Times New Roman" w:eastAsia="宋体" w:cs="Times New Roman"/>
          <w:color w:val="FF0000"/>
          <w:highlight w:val="none"/>
        </w:rPr>
        <w:t>排放浓度分别不高于10mg/m</w:t>
      </w:r>
      <w:r>
        <w:rPr>
          <w:rFonts w:hint="default" w:ascii="Times New Roman" w:hAnsi="Times New Roman" w:eastAsia="宋体" w:cs="Times New Roman"/>
          <w:color w:val="FF0000"/>
          <w:highlight w:val="none"/>
          <w:vertAlign w:val="superscript"/>
        </w:rPr>
        <w:t>3</w:t>
      </w:r>
      <w:r>
        <w:rPr>
          <w:rFonts w:hint="default" w:ascii="Times New Roman" w:hAnsi="Times New Roman" w:eastAsia="宋体" w:cs="Times New Roman"/>
          <w:color w:val="FF0000"/>
          <w:highlight w:val="none"/>
        </w:rPr>
        <w:t>、35mg/m</w:t>
      </w:r>
      <w:r>
        <w:rPr>
          <w:rFonts w:hint="default" w:ascii="Times New Roman" w:hAnsi="Times New Roman" w:eastAsia="宋体" w:cs="Times New Roman"/>
          <w:color w:val="FF0000"/>
          <w:highlight w:val="none"/>
          <w:vertAlign w:val="superscript"/>
        </w:rPr>
        <w:t>3</w:t>
      </w:r>
      <w:r>
        <w:rPr>
          <w:rFonts w:hint="default" w:ascii="Times New Roman" w:hAnsi="Times New Roman" w:eastAsia="宋体" w:cs="Times New Roman"/>
          <w:color w:val="FF0000"/>
          <w:highlight w:val="none"/>
        </w:rPr>
        <w:t>、50mg/m</w:t>
      </w:r>
      <w:r>
        <w:rPr>
          <w:rFonts w:hint="default" w:ascii="Times New Roman" w:hAnsi="Times New Roman" w:eastAsia="宋体" w:cs="Times New Roman"/>
          <w:color w:val="FF0000"/>
          <w:highlight w:val="none"/>
          <w:vertAlign w:val="superscript"/>
        </w:rPr>
        <w:t>3</w:t>
      </w:r>
      <w:r>
        <w:rPr>
          <w:rFonts w:hint="default" w:ascii="Times New Roman" w:hAnsi="Times New Roman" w:eastAsia="宋体" w:cs="Times New Roman"/>
          <w:color w:val="FF0000"/>
          <w:highlight w:val="none"/>
        </w:rPr>
        <w:t>）</w:t>
      </w:r>
      <w:r>
        <w:rPr>
          <w:rFonts w:hint="default" w:ascii="Times New Roman" w:hAnsi="Times New Roman" w:eastAsia="宋体" w:cs="Times New Roman"/>
          <w:color w:val="FF0000"/>
          <w:highlight w:val="none"/>
          <w:lang w:val="en-US" w:eastAsia="zh-CN"/>
        </w:rPr>
        <w:t>要求，由于超低排放限值的基准含氧量为6%，本次评价建设</w:t>
      </w:r>
      <w:r>
        <w:rPr>
          <w:rFonts w:hint="default" w:ascii="Times New Roman" w:hAnsi="Times New Roman" w:eastAsia="宋体" w:cs="Times New Roman"/>
          <w:color w:val="FF0000"/>
          <w:highlight w:val="none"/>
          <w:lang w:eastAsia="zh-CN"/>
        </w:rPr>
        <w:t>的</w:t>
      </w:r>
      <w:r>
        <w:rPr>
          <w:rFonts w:hint="eastAsia" w:ascii="Times New Roman" w:hAnsi="Times New Roman" w:eastAsia="宋体" w:cs="Times New Roman"/>
          <w:color w:val="FF0000"/>
          <w:highlight w:val="none"/>
          <w:lang w:val="en-US" w:eastAsia="zh-CN"/>
        </w:rPr>
        <w:t>1</w:t>
      </w:r>
      <w:r>
        <w:rPr>
          <w:rFonts w:hint="default" w:ascii="Times New Roman" w:hAnsi="Times New Roman" w:eastAsia="宋体" w:cs="Times New Roman"/>
          <w:color w:val="FF0000"/>
          <w:highlight w:val="none"/>
          <w:lang w:val="en-US" w:eastAsia="zh-CN"/>
        </w:rPr>
        <w:t>台</w:t>
      </w:r>
      <w:r>
        <w:rPr>
          <w:rFonts w:hint="eastAsia" w:ascii="Times New Roman" w:hAnsi="Times New Roman" w:eastAsia="宋体" w:cs="Times New Roman"/>
          <w:color w:val="FF0000"/>
          <w:highlight w:val="none"/>
          <w:lang w:val="en-US" w:eastAsia="zh-CN"/>
        </w:rPr>
        <w:t>58</w:t>
      </w:r>
      <w:r>
        <w:rPr>
          <w:rFonts w:hint="default" w:ascii="Times New Roman" w:hAnsi="Times New Roman" w:eastAsia="宋体" w:cs="Times New Roman"/>
          <w:color w:val="FF0000"/>
          <w:highlight w:val="none"/>
          <w:lang w:val="en-US" w:eastAsia="zh-CN"/>
        </w:rPr>
        <w:t>MW</w:t>
      </w:r>
      <w:r>
        <w:rPr>
          <w:rFonts w:hint="eastAsia" w:ascii="Times New Roman" w:hAnsi="Times New Roman" w:eastAsia="宋体" w:cs="Times New Roman"/>
          <w:color w:val="FF0000"/>
          <w:highlight w:val="none"/>
          <w:lang w:val="en-US" w:eastAsia="zh-CN"/>
        </w:rPr>
        <w:t>斜推往复</w:t>
      </w:r>
      <w:r>
        <w:rPr>
          <w:rFonts w:hint="default" w:ascii="Times New Roman" w:hAnsi="Times New Roman" w:eastAsia="宋体" w:cs="Times New Roman"/>
          <w:color w:val="FF0000"/>
          <w:highlight w:val="none"/>
          <w:lang w:val="en-US" w:eastAsia="zh-CN"/>
        </w:rPr>
        <w:t>燃煤锅炉根据</w:t>
      </w:r>
      <w:r>
        <w:rPr>
          <w:rFonts w:hint="default" w:ascii="Times New Roman" w:hAnsi="Times New Roman" w:eastAsia="宋体" w:cs="Times New Roman"/>
          <w:color w:val="FF0000"/>
          <w:highlight w:val="none"/>
        </w:rPr>
        <w:t xml:space="preserve">《污染物源强核算技术指南 </w:t>
      </w:r>
      <w:r>
        <w:rPr>
          <w:rFonts w:hint="default" w:ascii="Times New Roman" w:hAnsi="Times New Roman" w:eastAsia="宋体" w:cs="Times New Roman"/>
          <w:color w:val="FF0000"/>
          <w:highlight w:val="none"/>
          <w:lang w:val="en-US" w:eastAsia="zh-CN"/>
        </w:rPr>
        <w:t>锅炉</w:t>
      </w:r>
      <w:r>
        <w:rPr>
          <w:rFonts w:hint="default" w:ascii="Times New Roman" w:hAnsi="Times New Roman" w:eastAsia="宋体" w:cs="Times New Roman"/>
          <w:color w:val="FF0000"/>
          <w:highlight w:val="none"/>
        </w:rPr>
        <w:t>》（HJ</w:t>
      </w:r>
      <w:r>
        <w:rPr>
          <w:rFonts w:hint="default" w:ascii="Times New Roman" w:hAnsi="Times New Roman" w:eastAsia="宋体" w:cs="Times New Roman"/>
          <w:color w:val="FF0000"/>
          <w:highlight w:val="none"/>
          <w:lang w:val="en-US" w:eastAsia="zh-CN"/>
        </w:rPr>
        <w:t>991</w:t>
      </w:r>
      <w:r>
        <w:rPr>
          <w:rFonts w:hint="default" w:ascii="Times New Roman" w:hAnsi="Times New Roman" w:eastAsia="宋体" w:cs="Times New Roman"/>
          <w:color w:val="FF0000"/>
          <w:highlight w:val="none"/>
        </w:rPr>
        <w:t>-2018）</w:t>
      </w:r>
      <w:r>
        <w:rPr>
          <w:rFonts w:hint="default" w:ascii="Times New Roman" w:hAnsi="Times New Roman" w:eastAsia="宋体" w:cs="Times New Roman"/>
          <w:color w:val="FF0000"/>
          <w:highlight w:val="none"/>
          <w:lang w:val="en-US" w:eastAsia="zh-CN"/>
        </w:rPr>
        <w:t>中“附录C烟气量的计算”核算烟气量，过量空气系数</w:t>
      </w:r>
      <w:r>
        <w:rPr>
          <w:rFonts w:hint="default" w:ascii="Times New Roman" w:hAnsi="Times New Roman" w:eastAsia="宋体" w:cs="Times New Roman"/>
          <w:color w:val="FF0000"/>
          <w:highlight w:val="none"/>
        </w:rPr>
        <w:t>α</w:t>
      </w:r>
      <w:r>
        <w:rPr>
          <w:rFonts w:hint="default" w:ascii="Times New Roman" w:hAnsi="Times New Roman" w:eastAsia="宋体" w:cs="Times New Roman"/>
          <w:color w:val="FF0000"/>
          <w:highlight w:val="none"/>
          <w:lang w:val="en-US" w:eastAsia="zh-CN"/>
        </w:rPr>
        <w:t>取值1.4；根据</w:t>
      </w:r>
      <w:r>
        <w:rPr>
          <w:rFonts w:hint="default" w:ascii="Times New Roman" w:hAnsi="Times New Roman" w:eastAsia="宋体" w:cs="Times New Roman"/>
          <w:color w:val="FF0000"/>
          <w:highlight w:val="none"/>
        </w:rPr>
        <w:t xml:space="preserve">《污染物源强核算技术指南 </w:t>
      </w:r>
      <w:r>
        <w:rPr>
          <w:rFonts w:hint="default" w:ascii="Times New Roman" w:hAnsi="Times New Roman" w:eastAsia="宋体" w:cs="Times New Roman"/>
          <w:color w:val="FF0000"/>
          <w:highlight w:val="none"/>
          <w:lang w:val="en-US" w:eastAsia="zh-CN"/>
        </w:rPr>
        <w:t>锅炉</w:t>
      </w:r>
      <w:r>
        <w:rPr>
          <w:rFonts w:hint="default" w:ascii="Times New Roman" w:hAnsi="Times New Roman" w:eastAsia="宋体" w:cs="Times New Roman"/>
          <w:color w:val="FF0000"/>
          <w:highlight w:val="none"/>
        </w:rPr>
        <w:t>》（HJ</w:t>
      </w:r>
      <w:r>
        <w:rPr>
          <w:rFonts w:hint="default" w:ascii="Times New Roman" w:hAnsi="Times New Roman" w:eastAsia="宋体" w:cs="Times New Roman"/>
          <w:color w:val="FF0000"/>
          <w:highlight w:val="none"/>
          <w:lang w:val="en-US" w:eastAsia="zh-CN"/>
        </w:rPr>
        <w:t>991</w:t>
      </w:r>
      <w:r>
        <w:rPr>
          <w:rFonts w:hint="default" w:ascii="Times New Roman" w:hAnsi="Times New Roman" w:eastAsia="宋体" w:cs="Times New Roman"/>
          <w:color w:val="FF0000"/>
          <w:highlight w:val="none"/>
        </w:rPr>
        <w:t>-2018）</w:t>
      </w:r>
      <w:r>
        <w:rPr>
          <w:rFonts w:hint="default" w:ascii="Times New Roman" w:hAnsi="Times New Roman" w:eastAsia="宋体" w:cs="Times New Roman"/>
          <w:color w:val="FF0000"/>
          <w:highlight w:val="none"/>
          <w:lang w:val="en-US" w:eastAsia="zh-CN"/>
        </w:rPr>
        <w:t>中“5废气污染源源强核算方法5.1物料衡算法”核算颗粒物</w:t>
      </w:r>
      <w:r>
        <w:rPr>
          <w:rFonts w:hint="default" w:ascii="Times New Roman" w:hAnsi="Times New Roman" w:eastAsia="宋体" w:cs="Times New Roman"/>
          <w:color w:val="FF0000"/>
          <w:highlight w:val="none"/>
        </w:rPr>
        <w:t>、SO</w:t>
      </w:r>
      <w:r>
        <w:rPr>
          <w:rFonts w:hint="default" w:ascii="Times New Roman" w:hAnsi="Times New Roman" w:eastAsia="宋体" w:cs="Times New Roman"/>
          <w:color w:val="FF0000"/>
          <w:highlight w:val="none"/>
          <w:vertAlign w:val="subscript"/>
        </w:rPr>
        <w:t>2</w:t>
      </w:r>
      <w:r>
        <w:rPr>
          <w:rFonts w:hint="default" w:ascii="Times New Roman" w:hAnsi="Times New Roman" w:eastAsia="宋体" w:cs="Times New Roman"/>
          <w:color w:val="FF0000"/>
          <w:highlight w:val="none"/>
        </w:rPr>
        <w:t>、NOx、汞</w:t>
      </w:r>
      <w:r>
        <w:rPr>
          <w:rFonts w:hint="default" w:ascii="Times New Roman" w:hAnsi="Times New Roman" w:eastAsia="宋体" w:cs="Times New Roman"/>
          <w:color w:val="FF0000"/>
          <w:highlight w:val="none"/>
          <w:lang w:val="en-US" w:eastAsia="zh-CN"/>
        </w:rPr>
        <w:t>及其化合物</w:t>
      </w:r>
      <w:r>
        <w:rPr>
          <w:rFonts w:hint="default" w:ascii="Times New Roman" w:hAnsi="Times New Roman" w:eastAsia="宋体" w:cs="Times New Roman"/>
          <w:color w:val="FF0000"/>
          <w:highlight w:val="none"/>
          <w:lang w:eastAsia="zh-CN"/>
        </w:rPr>
        <w:t>的</w:t>
      </w:r>
      <w:r>
        <w:rPr>
          <w:rFonts w:hint="default" w:ascii="Times New Roman" w:hAnsi="Times New Roman" w:eastAsia="宋体" w:cs="Times New Roman"/>
          <w:color w:val="FF0000"/>
          <w:highlight w:val="none"/>
        </w:rPr>
        <w:t>源强</w:t>
      </w:r>
      <w:r>
        <w:rPr>
          <w:rFonts w:hint="default" w:ascii="Times New Roman" w:hAnsi="Times New Roman" w:eastAsia="宋体" w:cs="Times New Roman"/>
          <w:color w:val="FF0000"/>
          <w:highlight w:val="none"/>
          <w:lang w:eastAsia="zh-CN"/>
        </w:rPr>
        <w:t>，</w:t>
      </w:r>
      <w:r>
        <w:rPr>
          <w:rFonts w:hint="default" w:ascii="Times New Roman" w:hAnsi="Times New Roman" w:eastAsia="宋体" w:cs="Times New Roman"/>
          <w:color w:val="FF0000"/>
          <w:highlight w:val="none"/>
        </w:rPr>
        <w:t>细颗粒物PM</w:t>
      </w:r>
      <w:r>
        <w:rPr>
          <w:rFonts w:hint="default" w:ascii="Times New Roman" w:hAnsi="Times New Roman" w:eastAsia="宋体" w:cs="Times New Roman"/>
          <w:color w:val="FF0000"/>
          <w:highlight w:val="none"/>
          <w:vertAlign w:val="subscript"/>
        </w:rPr>
        <w:t>2.5</w:t>
      </w:r>
      <w:r>
        <w:rPr>
          <w:rFonts w:hint="default" w:ascii="Times New Roman" w:hAnsi="Times New Roman" w:eastAsia="宋体" w:cs="Times New Roman"/>
          <w:color w:val="FF0000"/>
          <w:highlight w:val="none"/>
        </w:rPr>
        <w:t>源强核算</w:t>
      </w:r>
      <w:r>
        <w:rPr>
          <w:rFonts w:hint="default" w:ascii="Times New Roman" w:hAnsi="Times New Roman" w:eastAsia="宋体" w:cs="Times New Roman"/>
          <w:color w:val="FF0000"/>
          <w:highlight w:val="none"/>
          <w:lang w:eastAsia="zh-CN"/>
        </w:rPr>
        <w:t>参考《燃煤锅炉烟气中细颗粒物的排放特征和控制现状》（环境工程技术学报</w:t>
      </w:r>
      <w:r>
        <w:rPr>
          <w:rFonts w:hint="default" w:ascii="Times New Roman" w:hAnsi="Times New Roman" w:eastAsia="宋体" w:cs="Times New Roman"/>
          <w:color w:val="FF0000"/>
          <w:highlight w:val="none"/>
          <w:lang w:val="en-US" w:eastAsia="zh-CN"/>
        </w:rPr>
        <w:t>2017.05</w:t>
      </w:r>
      <w:r>
        <w:rPr>
          <w:rFonts w:hint="default" w:ascii="Times New Roman" w:hAnsi="Times New Roman" w:eastAsia="宋体" w:cs="Times New Roman"/>
          <w:color w:val="FF0000"/>
          <w:highlight w:val="none"/>
          <w:lang w:eastAsia="zh-CN"/>
        </w:rPr>
        <w:t>）中参数</w:t>
      </w:r>
      <w:r>
        <w:rPr>
          <w:rFonts w:hint="default" w:ascii="Times New Roman" w:hAnsi="Times New Roman" w:eastAsia="宋体" w:cs="Times New Roman"/>
          <w:color w:val="FF0000"/>
          <w:highlight w:val="none"/>
          <w:lang w:val="en-US" w:eastAsia="zh-CN"/>
        </w:rPr>
        <w:t>核算</w:t>
      </w:r>
      <w:r>
        <w:rPr>
          <w:rFonts w:hint="default" w:ascii="Times New Roman" w:hAnsi="Times New Roman" w:eastAsia="宋体" w:cs="Times New Roman"/>
          <w:color w:val="FF0000"/>
          <w:highlight w:val="none"/>
          <w:lang w:eastAsia="zh-CN"/>
        </w:rPr>
        <w:t>。</w:t>
      </w:r>
    </w:p>
    <w:p w14:paraId="2F2A5D08">
      <w:pPr>
        <w:bidi w:val="0"/>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本项目拟采取的锅炉烟气防治措施如下：</w:t>
      </w:r>
    </w:p>
    <w:p w14:paraId="614D9A19">
      <w:pPr>
        <w:bidi w:val="0"/>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除尘：</w:t>
      </w:r>
      <w:r>
        <w:rPr>
          <w:rFonts w:hint="default" w:ascii="Times New Roman" w:hAnsi="Times New Roman" w:eastAsia="宋体" w:cs="Times New Roman"/>
          <w:color w:val="FF0000"/>
          <w:highlight w:val="none"/>
          <w:lang w:val="en-US" w:eastAsia="zh-CN"/>
        </w:rPr>
        <w:t>布袋</w:t>
      </w:r>
      <w:r>
        <w:rPr>
          <w:rFonts w:hint="default" w:ascii="Times New Roman" w:hAnsi="Times New Roman" w:eastAsia="宋体" w:cs="Times New Roman"/>
          <w:color w:val="FF0000"/>
          <w:highlight w:val="none"/>
        </w:rPr>
        <w:t>除尘器，</w:t>
      </w:r>
      <w:r>
        <w:rPr>
          <w:rFonts w:hint="default" w:ascii="Times New Roman" w:hAnsi="Times New Roman" w:eastAsia="宋体" w:cs="Times New Roman"/>
          <w:color w:val="FF0000"/>
          <w:highlight w:val="none"/>
          <w:lang w:val="de-DE"/>
        </w:rPr>
        <w:t>除尘效率为</w:t>
      </w:r>
      <w:r>
        <w:rPr>
          <w:rFonts w:hint="default" w:ascii="Times New Roman" w:hAnsi="Times New Roman" w:eastAsia="宋体" w:cs="Times New Roman"/>
          <w:color w:val="FF0000"/>
          <w:highlight w:val="none"/>
          <w:lang w:val="en-US" w:eastAsia="zh-CN"/>
        </w:rPr>
        <w:t>99.9</w:t>
      </w:r>
      <w:r>
        <w:rPr>
          <w:rFonts w:hint="default" w:ascii="Times New Roman" w:hAnsi="Times New Roman" w:eastAsia="宋体" w:cs="Times New Roman"/>
          <w:color w:val="FF0000"/>
          <w:highlight w:val="none"/>
          <w:lang w:val="de-DE"/>
        </w:rPr>
        <w:t>%</w:t>
      </w:r>
      <w:r>
        <w:rPr>
          <w:rFonts w:hint="eastAsia" w:ascii="Times New Roman" w:hAnsi="Times New Roman" w:eastAsia="宋体" w:cs="Times New Roman"/>
          <w:color w:val="FF0000"/>
          <w:highlight w:val="none"/>
          <w:lang w:val="de-DE" w:eastAsia="zh-CN"/>
        </w:rPr>
        <w:t>，湿法脱硫协同除尘效率</w:t>
      </w:r>
      <w:r>
        <w:rPr>
          <w:rFonts w:hint="eastAsia" w:ascii="Times New Roman" w:hAnsi="Times New Roman" w:eastAsia="宋体" w:cs="Times New Roman"/>
          <w:color w:val="FF0000"/>
          <w:highlight w:val="none"/>
          <w:lang w:val="en-US" w:eastAsia="zh-CN"/>
        </w:rPr>
        <w:t>50%，综合除尘效率可达99.95%</w:t>
      </w:r>
      <w:r>
        <w:rPr>
          <w:rFonts w:hint="default" w:ascii="Times New Roman" w:hAnsi="Times New Roman" w:eastAsia="宋体" w:cs="Times New Roman"/>
          <w:color w:val="FF0000"/>
          <w:highlight w:val="none"/>
          <w:lang w:val="de-DE" w:eastAsia="zh-CN"/>
        </w:rPr>
        <w:t>。</w:t>
      </w:r>
    </w:p>
    <w:p w14:paraId="30846682">
      <w:pPr>
        <w:bidi w:val="0"/>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脱硫：</w:t>
      </w:r>
      <w:r>
        <w:rPr>
          <w:rFonts w:hint="eastAsia" w:ascii="Times New Roman" w:hAnsi="Times New Roman" w:eastAsia="宋体" w:cs="Times New Roman"/>
          <w:color w:val="FF0000"/>
          <w:highlight w:val="none"/>
          <w:lang w:val="en-US" w:eastAsia="zh-CN"/>
        </w:rPr>
        <w:t>炉内喷钙+氨法脱硫，</w:t>
      </w:r>
      <w:r>
        <w:rPr>
          <w:rFonts w:hint="default" w:ascii="Times New Roman" w:hAnsi="Times New Roman" w:eastAsia="宋体" w:cs="Times New Roman"/>
          <w:color w:val="FF0000"/>
          <w:highlight w:val="none"/>
          <w:lang w:val="en-US" w:eastAsia="zh-CN"/>
        </w:rPr>
        <w:t>脱硫效率</w:t>
      </w:r>
      <w:r>
        <w:rPr>
          <w:rFonts w:hint="eastAsia" w:ascii="Times New Roman" w:hAnsi="Times New Roman" w:eastAsia="宋体" w:cs="Times New Roman"/>
          <w:color w:val="FF0000"/>
          <w:highlight w:val="none"/>
          <w:lang w:val="en-US" w:eastAsia="zh-CN"/>
        </w:rPr>
        <w:t>可达95</w:t>
      </w:r>
      <w:r>
        <w:rPr>
          <w:rFonts w:hint="default" w:ascii="Times New Roman" w:hAnsi="Times New Roman" w:eastAsia="宋体" w:cs="Times New Roman"/>
          <w:color w:val="FF0000"/>
          <w:highlight w:val="none"/>
          <w:lang w:val="en-US" w:eastAsia="zh-CN"/>
        </w:rPr>
        <w:t>%</w:t>
      </w:r>
      <w:r>
        <w:rPr>
          <w:rFonts w:hint="default" w:ascii="Times New Roman" w:hAnsi="Times New Roman" w:eastAsia="宋体" w:cs="Times New Roman"/>
          <w:color w:val="FF0000"/>
          <w:highlight w:val="none"/>
        </w:rPr>
        <w:t>。</w:t>
      </w:r>
    </w:p>
    <w:p w14:paraId="1726629F">
      <w:pPr>
        <w:bidi w:val="0"/>
        <w:rPr>
          <w:rFonts w:hint="default" w:ascii="Times New Roman" w:hAnsi="Times New Roman" w:eastAsia="宋体" w:cs="Times New Roman"/>
          <w:color w:val="FF0000"/>
          <w:highlight w:val="none"/>
          <w:lang w:eastAsia="zh-CN"/>
        </w:rPr>
      </w:pPr>
      <w:r>
        <w:rPr>
          <w:rFonts w:hint="default" w:ascii="Times New Roman" w:hAnsi="Times New Roman" w:eastAsia="宋体" w:cs="Times New Roman"/>
          <w:color w:val="FF0000"/>
          <w:highlight w:val="none"/>
        </w:rPr>
        <w:t>脱硝：</w:t>
      </w:r>
      <w:r>
        <w:rPr>
          <w:rFonts w:hint="default" w:ascii="Times New Roman" w:hAnsi="Times New Roman" w:eastAsia="宋体" w:cs="Times New Roman"/>
          <w:color w:val="FF0000"/>
          <w:highlight w:val="none"/>
          <w:lang w:val="en-US" w:eastAsia="zh-CN"/>
        </w:rPr>
        <w:t>采用</w:t>
      </w:r>
      <w:r>
        <w:rPr>
          <w:rFonts w:hint="default" w:ascii="Times New Roman" w:hAnsi="Times New Roman" w:eastAsia="宋体" w:cs="Times New Roman"/>
          <w:color w:val="FF0000"/>
          <w:highlight w:val="none"/>
          <w:lang w:eastAsia="zh-CN"/>
        </w:rPr>
        <w:t>S</w:t>
      </w:r>
      <w:r>
        <w:rPr>
          <w:rFonts w:hint="eastAsia" w:ascii="Times New Roman" w:hAnsi="Times New Roman" w:eastAsia="宋体" w:cs="Times New Roman"/>
          <w:color w:val="FF0000"/>
          <w:highlight w:val="none"/>
          <w:lang w:val="en-US" w:eastAsia="zh-CN"/>
        </w:rPr>
        <w:t>N</w:t>
      </w:r>
      <w:r>
        <w:rPr>
          <w:rFonts w:hint="default" w:ascii="Times New Roman" w:hAnsi="Times New Roman" w:eastAsia="宋体" w:cs="Times New Roman"/>
          <w:color w:val="FF0000"/>
          <w:highlight w:val="none"/>
          <w:lang w:eastAsia="zh-CN"/>
        </w:rPr>
        <w:t>CR</w:t>
      </w:r>
      <w:r>
        <w:rPr>
          <w:rFonts w:hint="eastAsia" w:ascii="Times New Roman" w:hAnsi="Times New Roman" w:eastAsia="宋体" w:cs="Times New Roman"/>
          <w:color w:val="FF0000"/>
          <w:highlight w:val="none"/>
          <w:lang w:val="en-US" w:eastAsia="zh-CN"/>
        </w:rPr>
        <w:t>+亚氯酸钠</w:t>
      </w:r>
      <w:r>
        <w:rPr>
          <w:rFonts w:hint="default" w:ascii="Times New Roman" w:hAnsi="Times New Roman" w:eastAsia="宋体" w:cs="Times New Roman"/>
          <w:color w:val="FF0000"/>
          <w:highlight w:val="none"/>
        </w:rPr>
        <w:t>脱硝</w:t>
      </w:r>
      <w:r>
        <w:rPr>
          <w:rFonts w:hint="default" w:ascii="Times New Roman" w:hAnsi="Times New Roman" w:eastAsia="宋体" w:cs="Times New Roman"/>
          <w:color w:val="FF0000"/>
          <w:highlight w:val="none"/>
          <w:lang w:eastAsia="zh-CN"/>
        </w:rPr>
        <w:t>技术，</w:t>
      </w:r>
      <w:r>
        <w:rPr>
          <w:rFonts w:hint="default" w:ascii="Times New Roman" w:hAnsi="Times New Roman" w:eastAsia="宋体" w:cs="Times New Roman"/>
          <w:color w:val="FF0000"/>
          <w:highlight w:val="none"/>
        </w:rPr>
        <w:t>脱硝效率</w:t>
      </w:r>
      <w:r>
        <w:rPr>
          <w:rFonts w:hint="eastAsia" w:ascii="Times New Roman" w:hAnsi="Times New Roman" w:eastAsia="宋体" w:cs="Times New Roman"/>
          <w:color w:val="FF0000"/>
          <w:highlight w:val="none"/>
          <w:lang w:val="en-US" w:eastAsia="zh-CN"/>
        </w:rPr>
        <w:t>88</w:t>
      </w:r>
      <w:r>
        <w:rPr>
          <w:rFonts w:hint="default" w:ascii="Times New Roman" w:hAnsi="Times New Roman" w:eastAsia="宋体" w:cs="Times New Roman"/>
          <w:color w:val="FF0000"/>
          <w:highlight w:val="none"/>
        </w:rPr>
        <w:t>%</w:t>
      </w:r>
      <w:r>
        <w:rPr>
          <w:rFonts w:hint="default" w:ascii="Times New Roman" w:hAnsi="Times New Roman" w:eastAsia="宋体" w:cs="Times New Roman"/>
          <w:color w:val="FF0000"/>
          <w:highlight w:val="none"/>
          <w:lang w:eastAsia="zh-CN"/>
        </w:rPr>
        <w:t>。</w:t>
      </w:r>
    </w:p>
    <w:p w14:paraId="6E505A26">
      <w:pPr>
        <w:bidi w:val="0"/>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汞及其化合物：协同去除效率</w:t>
      </w:r>
      <w:r>
        <w:rPr>
          <w:rFonts w:hint="eastAsia" w:ascii="Times New Roman" w:hAnsi="Times New Roman" w:eastAsia="宋体" w:cs="Times New Roman"/>
          <w:color w:val="FF0000"/>
          <w:highlight w:val="none"/>
          <w:lang w:val="en-US" w:eastAsia="zh-CN"/>
        </w:rPr>
        <w:t>7</w:t>
      </w:r>
      <w:r>
        <w:rPr>
          <w:rFonts w:hint="default" w:ascii="Times New Roman" w:hAnsi="Times New Roman" w:eastAsia="宋体" w:cs="Times New Roman"/>
          <w:color w:val="FF0000"/>
          <w:highlight w:val="none"/>
          <w:lang w:val="en-US" w:eastAsia="zh-CN"/>
        </w:rPr>
        <w:t>0</w:t>
      </w:r>
      <w:r>
        <w:rPr>
          <w:rFonts w:hint="default" w:ascii="Times New Roman" w:hAnsi="Times New Roman" w:eastAsia="宋体" w:cs="Times New Roman"/>
          <w:color w:val="FF0000"/>
          <w:highlight w:val="none"/>
        </w:rPr>
        <w:t>%。</w:t>
      </w:r>
    </w:p>
    <w:p w14:paraId="6001CD4A">
      <w:pPr>
        <w:pStyle w:val="7"/>
        <w:numPr>
          <w:ilvl w:val="3"/>
          <w:numId w:val="3"/>
        </w:numPr>
        <w:bidi w:val="0"/>
        <w:ind w:left="850" w:leftChars="0" w:hanging="850" w:firstLineChars="0"/>
        <w:rPr>
          <w:rFonts w:hint="default" w:ascii="Times New Roman" w:hAnsi="Times New Roman" w:eastAsia="宋体" w:cs="Times New Roman"/>
          <w:color w:val="FF0000"/>
          <w:highlight w:val="none"/>
          <w:lang w:val="en-US" w:eastAsia="zh-CN"/>
        </w:rPr>
      </w:pPr>
      <w:r>
        <w:rPr>
          <w:rFonts w:hint="eastAsia" w:ascii="Times New Roman" w:hAnsi="Times New Roman" w:eastAsia="宋体" w:cs="Times New Roman"/>
          <w:color w:val="FF0000"/>
          <w:highlight w:val="none"/>
          <w:lang w:val="en-US" w:eastAsia="zh-CN"/>
        </w:rPr>
        <w:t xml:space="preserve"> </w:t>
      </w:r>
      <w:r>
        <w:rPr>
          <w:rFonts w:hint="eastAsia" w:ascii="Times New Roman" w:hAnsi="Times New Roman" w:cs="Times New Roman"/>
          <w:color w:val="FF0000"/>
          <w:highlight w:val="none"/>
          <w:lang w:val="en-US" w:eastAsia="zh-CN"/>
        </w:rPr>
        <w:t>1</w:t>
      </w:r>
      <w:r>
        <w:rPr>
          <w:rFonts w:hint="default" w:ascii="Times New Roman" w:hAnsi="Times New Roman" w:eastAsia="宋体" w:cs="Times New Roman"/>
          <w:color w:val="FF0000"/>
          <w:highlight w:val="none"/>
          <w:lang w:val="en-US" w:eastAsia="zh-CN"/>
        </w:rPr>
        <w:t>台</w:t>
      </w:r>
      <w:r>
        <w:rPr>
          <w:rFonts w:hint="eastAsia" w:ascii="Times New Roman" w:hAnsi="Times New Roman" w:cs="Times New Roman"/>
          <w:color w:val="FF0000"/>
          <w:highlight w:val="none"/>
          <w:lang w:val="en-US" w:eastAsia="zh-CN"/>
        </w:rPr>
        <w:t>5</w:t>
      </w:r>
      <w:r>
        <w:rPr>
          <w:rFonts w:hint="eastAsia" w:ascii="Times New Roman" w:hAnsi="Times New Roman" w:eastAsia="宋体" w:cs="Times New Roman"/>
          <w:color w:val="FF0000"/>
          <w:highlight w:val="none"/>
          <w:lang w:val="en-US" w:eastAsia="zh-CN"/>
        </w:rPr>
        <w:t>8</w:t>
      </w:r>
      <w:r>
        <w:rPr>
          <w:rFonts w:hint="default" w:ascii="Times New Roman" w:hAnsi="Times New Roman" w:eastAsia="宋体" w:cs="Times New Roman"/>
          <w:color w:val="FF0000"/>
          <w:highlight w:val="none"/>
          <w:lang w:val="en-US" w:eastAsia="zh-CN"/>
        </w:rPr>
        <w:t>MW锅炉正常工况下有组织排放源强分析</w:t>
      </w:r>
    </w:p>
    <w:p w14:paraId="599BEB8E">
      <w:pPr>
        <w:pStyle w:val="69"/>
        <w:ind w:firstLine="480"/>
        <w:rPr>
          <w:rFonts w:hint="default" w:ascii="Times New Roman" w:hAnsi="Times New Roman" w:eastAsia="宋体" w:cs="Times New Roman"/>
          <w:snapToGrid w:val="0"/>
          <w:color w:val="FF0000"/>
          <w:highlight w:val="none"/>
        </w:rPr>
      </w:pPr>
      <w:r>
        <w:rPr>
          <w:rFonts w:hint="default" w:ascii="Times New Roman" w:hAnsi="Times New Roman" w:eastAsia="宋体" w:cs="Times New Roman"/>
          <w:snapToGrid w:val="0"/>
          <w:color w:val="FF0000"/>
          <w:highlight w:val="none"/>
        </w:rPr>
        <w:t>根据《污染源源强核算技术指南 准则》（HJ884-2018）及《污染源源强核算技术指南 锅炉》（HJ 991-2018），</w:t>
      </w:r>
      <w:r>
        <w:rPr>
          <w:rFonts w:hint="eastAsia" w:ascii="Times New Roman" w:hAnsi="Times New Roman" w:cs="Times New Roman"/>
          <w:snapToGrid w:val="0"/>
          <w:color w:val="FF0000"/>
          <w:highlight w:val="none"/>
          <w:lang w:val="en-US" w:eastAsia="zh-CN"/>
        </w:rPr>
        <w:t>新（改、扩）建工程污染源优先采用物料衡算法，因此本项目</w:t>
      </w:r>
      <w:r>
        <w:rPr>
          <w:rFonts w:hint="default" w:ascii="Times New Roman" w:hAnsi="Times New Roman" w:eastAsia="宋体" w:cs="Times New Roman"/>
          <w:snapToGrid w:val="0"/>
          <w:color w:val="FF0000"/>
          <w:highlight w:val="none"/>
        </w:rPr>
        <w:t>采取物料衡算法计算锅炉烟气中污染物排放源强。</w:t>
      </w:r>
    </w:p>
    <w:p w14:paraId="6DEE9A3B">
      <w:pPr>
        <w:pStyle w:val="69"/>
        <w:ind w:firstLine="480"/>
        <w:rPr>
          <w:rFonts w:hint="default" w:ascii="Times New Roman" w:hAnsi="Times New Roman" w:eastAsia="宋体" w:cs="Times New Roman"/>
          <w:color w:val="FF0000"/>
          <w:highlight w:val="none"/>
          <w:lang w:eastAsia="zh-CN"/>
        </w:rPr>
      </w:pPr>
      <w:r>
        <w:rPr>
          <w:rFonts w:hint="default" w:ascii="Times New Roman" w:hAnsi="Times New Roman" w:eastAsia="宋体" w:cs="Times New Roman"/>
          <w:snapToGrid w:val="0"/>
          <w:color w:val="FF0000"/>
          <w:highlight w:val="none"/>
        </w:rPr>
        <w:t>（1）</w:t>
      </w:r>
      <w:r>
        <w:rPr>
          <w:rFonts w:hint="default" w:ascii="Times New Roman" w:hAnsi="Times New Roman" w:eastAsia="宋体" w:cs="Times New Roman"/>
          <w:color w:val="FF0000"/>
          <w:highlight w:val="none"/>
          <w:lang w:eastAsia="zh-CN"/>
        </w:rPr>
        <w:t>烟气量</w:t>
      </w:r>
    </w:p>
    <w:p w14:paraId="22E77F89">
      <w:pPr>
        <w:ind w:firstLine="480" w:firstLineChars="200"/>
        <w:contextualSpacing/>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依据《污染源源强核算技术指南 锅炉》（HJ991-2018），基准烟气量核算方法采用理论公式计算法。单位固体/液体燃料燃烧所需的理论空气量</w:t>
      </w:r>
      <w:r>
        <w:rPr>
          <w:rFonts w:hint="default" w:ascii="Times New Roman" w:hAnsi="Times New Roman" w:eastAsia="宋体" w:cs="Times New Roman"/>
          <w:color w:val="FF0000"/>
          <w:highlight w:val="none"/>
          <w:lang w:eastAsia="zh-CN"/>
        </w:rPr>
        <w:t>、</w:t>
      </w:r>
      <w:r>
        <w:rPr>
          <w:rFonts w:hint="default" w:ascii="Times New Roman" w:hAnsi="Times New Roman" w:eastAsia="宋体" w:cs="Times New Roman"/>
          <w:color w:val="FF0000"/>
          <w:highlight w:val="none"/>
        </w:rPr>
        <w:t>基准烟气量按</w:t>
      </w:r>
      <w:r>
        <w:rPr>
          <w:rFonts w:hint="default" w:ascii="Times New Roman" w:hAnsi="Times New Roman" w:eastAsia="宋体" w:cs="Times New Roman"/>
          <w:color w:val="FF0000"/>
          <w:highlight w:val="none"/>
          <w:lang w:eastAsia="zh-CN"/>
        </w:rPr>
        <w:t>下</w:t>
      </w:r>
      <w:r>
        <w:rPr>
          <w:rFonts w:hint="default" w:ascii="Times New Roman" w:hAnsi="Times New Roman" w:eastAsia="宋体" w:cs="Times New Roman"/>
          <w:color w:val="FF0000"/>
          <w:highlight w:val="none"/>
        </w:rPr>
        <w:t>式计算。</w:t>
      </w:r>
    </w:p>
    <w:p w14:paraId="6C1C752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FF0000"/>
          <w:highlight w:val="none"/>
          <w:lang w:eastAsia="zh-CN"/>
        </w:rPr>
      </w:pPr>
      <w:r>
        <w:rPr>
          <w:rFonts w:hint="default" w:ascii="Times New Roman" w:hAnsi="Times New Roman" w:eastAsia="宋体" w:cs="Times New Roman"/>
          <w:color w:val="FF0000"/>
          <w:position w:val="-12"/>
          <w:highlight w:val="none"/>
          <w:lang w:eastAsia="zh-CN"/>
        </w:rPr>
        <w:object>
          <v:shape id="_x0000_i1028" o:spt="75" type="#_x0000_t75" style="height:18pt;width:247pt;" o:ole="t" filled="f" o:preferrelative="t" stroked="f" coordsize="21600,21600">
            <v:path/>
            <v:fill on="f" focussize="0,0"/>
            <v:stroke on="f"/>
            <v:imagedata r:id="rId39" o:title=""/>
            <o:lock v:ext="edit" aspectratio="t"/>
            <w10:wrap type="none"/>
            <w10:anchorlock/>
          </v:shape>
          <o:OLEObject Type="Embed" ProgID="Equation.KSEE3" ShapeID="_x0000_i1028" DrawAspect="Content" ObjectID="_1468075728" r:id="rId38">
            <o:LockedField>false</o:LockedField>
          </o:OLEObject>
        </w:object>
      </w:r>
    </w:p>
    <w:p w14:paraId="006F33A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FF0000"/>
          <w:highlight w:val="none"/>
          <w:lang w:bidi="zh-CN"/>
        </w:rPr>
      </w:pPr>
      <w:r>
        <w:rPr>
          <w:rFonts w:hint="default" w:ascii="Times New Roman" w:hAnsi="Times New Roman" w:eastAsia="宋体" w:cs="Times New Roman"/>
          <w:color w:val="FF0000"/>
          <w:position w:val="-24"/>
          <w:highlight w:val="none"/>
          <w:lang w:bidi="zh-CN"/>
        </w:rPr>
        <w:object>
          <v:shape id="_x0000_i1029" o:spt="75" type="#_x0000_t75" style="height:31pt;width:201pt;" o:ole="t" filled="f" o:preferrelative="t" stroked="f" coordsize="21600,21600">
            <v:path/>
            <v:fill on="f" focussize="0,0"/>
            <v:stroke on="f"/>
            <v:imagedata r:id="rId41" o:title=""/>
            <o:lock v:ext="edit" aspectratio="t"/>
            <w10:wrap type="none"/>
            <w10:anchorlock/>
          </v:shape>
          <o:OLEObject Type="Embed" ProgID="Equation.KSEE3" ShapeID="_x0000_i1029" DrawAspect="Content" ObjectID="_1468075729" r:id="rId40">
            <o:LockedField>false</o:LockedField>
          </o:OLEObject>
        </w:object>
      </w:r>
    </w:p>
    <w:p w14:paraId="0A1659D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FF0000"/>
          <w:highlight w:val="none"/>
          <w:lang w:bidi="zh-CN"/>
        </w:rPr>
      </w:pPr>
      <w:r>
        <w:rPr>
          <w:rFonts w:hint="default" w:ascii="Times New Roman" w:hAnsi="Times New Roman" w:eastAsia="宋体" w:cs="Times New Roman"/>
          <w:color w:val="FF0000"/>
          <w:position w:val="-24"/>
          <w:highlight w:val="none"/>
          <w:lang w:bidi="zh-CN"/>
        </w:rPr>
        <w:object>
          <v:shape id="_x0000_i1030" o:spt="75" type="#_x0000_t75" style="height:31pt;width:117pt;" o:ole="t" filled="f" o:preferrelative="t" stroked="f" coordsize="21600,21600">
            <v:path/>
            <v:fill on="f" focussize="0,0"/>
            <v:stroke on="f"/>
            <v:imagedata r:id="rId43" o:title=""/>
            <o:lock v:ext="edit" aspectratio="t"/>
            <w10:wrap type="none"/>
            <w10:anchorlock/>
          </v:shape>
          <o:OLEObject Type="Embed" ProgID="Equation.KSEE3" ShapeID="_x0000_i1030" DrawAspect="Content" ObjectID="_1468075730" r:id="rId42">
            <o:LockedField>false</o:LockedField>
          </o:OLEObject>
        </w:object>
      </w:r>
    </w:p>
    <w:p w14:paraId="7D7343F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FF0000"/>
          <w:highlight w:val="none"/>
          <w:lang w:bidi="zh-CN"/>
        </w:rPr>
      </w:pPr>
      <w:r>
        <w:rPr>
          <w:rFonts w:hint="default" w:ascii="Times New Roman" w:hAnsi="Times New Roman" w:eastAsia="宋体" w:cs="Times New Roman"/>
          <w:color w:val="FF0000"/>
          <w:position w:val="-14"/>
          <w:highlight w:val="none"/>
          <w:lang w:bidi="zh-CN"/>
        </w:rPr>
        <w:object>
          <v:shape id="_x0000_i1031" o:spt="75" type="#_x0000_t75" style="height:19pt;width:124pt;" o:ole="t" filled="f" o:preferrelative="t" stroked="f" coordsize="21600,21600">
            <v:path/>
            <v:fill on="f" focussize="0,0"/>
            <v:stroke on="f"/>
            <v:imagedata r:id="rId45" o:title=""/>
            <o:lock v:ext="edit" aspectratio="t"/>
            <w10:wrap type="none"/>
            <w10:anchorlock/>
          </v:shape>
          <o:OLEObject Type="Embed" ProgID="Equation.KSEE3" ShapeID="_x0000_i1031" DrawAspect="Content" ObjectID="_1468075731" r:id="rId44">
            <o:LockedField>false</o:LockedField>
          </o:OLEObject>
        </w:object>
      </w:r>
    </w:p>
    <w:p w14:paraId="49D1241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FF0000"/>
          <w:highlight w:val="none"/>
          <w:lang w:bidi="zh-CN"/>
        </w:rPr>
      </w:pPr>
      <w:r>
        <w:rPr>
          <w:rFonts w:hint="default" w:ascii="Times New Roman" w:hAnsi="Times New Roman" w:eastAsia="宋体" w:cs="Times New Roman"/>
          <w:color w:val="FF0000"/>
          <w:position w:val="-14"/>
          <w:highlight w:val="none"/>
          <w:lang w:bidi="zh-CN"/>
        </w:rPr>
        <w:object>
          <v:shape id="_x0000_i1032" o:spt="75" type="#_x0000_t75" style="height:19pt;width:244pt;" o:ole="t" filled="f" o:preferrelative="t" stroked="f" coordsize="21600,21600">
            <v:path/>
            <v:fill on="f" focussize="0,0"/>
            <v:stroke on="f"/>
            <v:imagedata r:id="rId47" o:title=""/>
            <o:lock v:ext="edit" aspectratio="t"/>
            <w10:wrap type="none"/>
            <w10:anchorlock/>
          </v:shape>
          <o:OLEObject Type="Embed" ProgID="Equation.KSEE3" ShapeID="_x0000_i1032" DrawAspect="Content" ObjectID="_1468075732" r:id="rId46">
            <o:LockedField>false</o:LockedField>
          </o:OLEObject>
        </w:object>
      </w:r>
    </w:p>
    <w:p w14:paraId="0614B5C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color w:val="FF0000"/>
          <w:szCs w:val="24"/>
          <w:highlight w:val="none"/>
        </w:rPr>
      </w:pPr>
      <w:r>
        <w:rPr>
          <w:rFonts w:hint="default" w:ascii="Times New Roman" w:hAnsi="Times New Roman" w:eastAsia="宋体" w:cs="Times New Roman"/>
          <w:color w:val="FF0000"/>
          <w:position w:val="-14"/>
          <w:highlight w:val="none"/>
          <w:lang w:bidi="zh-CN"/>
        </w:rPr>
        <w:object>
          <v:shape id="_x0000_i1033" o:spt="75" type="#_x0000_t75" style="height:19pt;width:161pt;" o:ole="t" filled="f" o:preferrelative="t" stroked="f" coordsize="21600,21600">
            <v:path/>
            <v:fill on="f" focussize="0,0"/>
            <v:stroke on="f"/>
            <v:imagedata r:id="rId49" o:title=""/>
            <o:lock v:ext="edit" aspectratio="t"/>
            <w10:wrap type="none"/>
            <w10:anchorlock/>
          </v:shape>
          <o:OLEObject Type="Embed" ProgID="Equation.KSEE3" ShapeID="_x0000_i1033" DrawAspect="Content" ObjectID="_1468075733" r:id="rId48">
            <o:LockedField>false</o:LockedField>
          </o:OLEObject>
        </w:object>
      </w:r>
    </w:p>
    <w:p w14:paraId="26D25059">
      <w:pPr>
        <w:rPr>
          <w:rFonts w:hint="default" w:ascii="Times New Roman" w:hAnsi="Times New Roman" w:eastAsia="宋体" w:cs="Times New Roman"/>
          <w:color w:val="FF0000"/>
          <w:szCs w:val="24"/>
          <w:highlight w:val="none"/>
        </w:rPr>
      </w:pPr>
      <w:r>
        <w:rPr>
          <w:rFonts w:hint="default" w:ascii="Times New Roman" w:hAnsi="Times New Roman" w:eastAsia="宋体" w:cs="Times New Roman"/>
          <w:color w:val="FF0000"/>
          <w:szCs w:val="24"/>
          <w:highlight w:val="none"/>
        </w:rPr>
        <w:t>式中：V</w:t>
      </w:r>
      <w:r>
        <w:rPr>
          <w:rFonts w:hint="default" w:ascii="Times New Roman" w:hAnsi="Times New Roman" w:eastAsia="宋体" w:cs="Times New Roman"/>
          <w:color w:val="FF0000"/>
          <w:szCs w:val="24"/>
          <w:highlight w:val="none"/>
          <w:vertAlign w:val="subscript"/>
        </w:rPr>
        <w:t>0</w:t>
      </w:r>
      <w:r>
        <w:rPr>
          <w:rFonts w:hint="default" w:ascii="Times New Roman" w:hAnsi="Times New Roman" w:eastAsia="宋体" w:cs="Times New Roman"/>
          <w:color w:val="FF0000"/>
          <w:szCs w:val="24"/>
          <w:highlight w:val="none"/>
        </w:rPr>
        <w:t>—理论空气量，</w:t>
      </w:r>
      <w:r>
        <w:rPr>
          <w:rFonts w:hint="default" w:ascii="Times New Roman" w:hAnsi="Times New Roman" w:eastAsia="宋体" w:cs="Times New Roman"/>
          <w:color w:val="FF0000"/>
          <w:szCs w:val="24"/>
          <w:highlight w:val="none"/>
          <w:lang w:val="en-US" w:eastAsia="zh-CN"/>
        </w:rPr>
        <w:t>m</w:t>
      </w:r>
      <w:r>
        <w:rPr>
          <w:rFonts w:hint="default" w:ascii="Times New Roman" w:hAnsi="Times New Roman" w:eastAsia="宋体" w:cs="Times New Roman"/>
          <w:color w:val="FF0000"/>
          <w:szCs w:val="24"/>
          <w:highlight w:val="none"/>
          <w:vertAlign w:val="superscript"/>
          <w:lang w:val="en-US" w:eastAsia="zh-CN"/>
        </w:rPr>
        <w:t>3</w:t>
      </w:r>
      <w:r>
        <w:rPr>
          <w:rFonts w:hint="default" w:ascii="Times New Roman" w:hAnsi="Times New Roman" w:eastAsia="宋体" w:cs="Times New Roman"/>
          <w:color w:val="FF0000"/>
          <w:szCs w:val="24"/>
          <w:highlight w:val="none"/>
        </w:rPr>
        <w:t>/</w:t>
      </w:r>
      <w:r>
        <w:rPr>
          <w:rFonts w:hint="default" w:ascii="Times New Roman" w:hAnsi="Times New Roman" w:eastAsia="宋体" w:cs="Times New Roman"/>
          <w:color w:val="FF0000"/>
          <w:szCs w:val="24"/>
          <w:highlight w:val="none"/>
          <w:lang w:val="en-US" w:eastAsia="zh-CN"/>
        </w:rPr>
        <w:t>kg</w:t>
      </w:r>
      <w:r>
        <w:rPr>
          <w:rFonts w:hint="default" w:ascii="Times New Roman" w:hAnsi="Times New Roman" w:eastAsia="宋体" w:cs="Times New Roman"/>
          <w:color w:val="FF0000"/>
          <w:szCs w:val="24"/>
          <w:highlight w:val="none"/>
        </w:rPr>
        <w:t>；</w:t>
      </w:r>
    </w:p>
    <w:p w14:paraId="1204B4C4">
      <w:pPr>
        <w:ind w:firstLine="1200" w:firstLineChars="500"/>
        <w:rPr>
          <w:rFonts w:hint="default" w:ascii="Times New Roman" w:hAnsi="Times New Roman" w:eastAsia="宋体" w:cs="Times New Roman"/>
          <w:color w:val="FF0000"/>
          <w:szCs w:val="24"/>
          <w:highlight w:val="none"/>
        </w:rPr>
      </w:pPr>
      <w:r>
        <w:rPr>
          <w:rFonts w:hint="default" w:ascii="Times New Roman" w:hAnsi="Times New Roman" w:eastAsia="宋体" w:cs="Times New Roman"/>
          <w:color w:val="FF0000"/>
          <w:szCs w:val="24"/>
          <w:highlight w:val="none"/>
        </w:rPr>
        <w:t>V</w:t>
      </w:r>
      <w:r>
        <w:rPr>
          <w:rFonts w:hint="default" w:ascii="Times New Roman" w:hAnsi="Times New Roman" w:eastAsia="宋体" w:cs="Times New Roman"/>
          <w:color w:val="FF0000"/>
          <w:szCs w:val="24"/>
          <w:highlight w:val="none"/>
          <w:vertAlign w:val="subscript"/>
        </w:rPr>
        <w:t>g</w:t>
      </w:r>
      <w:r>
        <w:rPr>
          <w:rFonts w:hint="default" w:ascii="Times New Roman" w:hAnsi="Times New Roman" w:eastAsia="宋体" w:cs="Times New Roman"/>
          <w:color w:val="FF0000"/>
          <w:szCs w:val="24"/>
          <w:highlight w:val="none"/>
        </w:rPr>
        <w:t>—</w:t>
      </w:r>
      <w:r>
        <w:rPr>
          <w:rFonts w:hint="default" w:ascii="Times New Roman" w:hAnsi="Times New Roman" w:eastAsia="宋体" w:cs="Times New Roman"/>
          <w:color w:val="FF0000"/>
          <w:szCs w:val="24"/>
          <w:highlight w:val="none"/>
          <w:lang w:val="en-US" w:eastAsia="zh-CN"/>
        </w:rPr>
        <w:t>干烟气排放量</w:t>
      </w:r>
      <w:r>
        <w:rPr>
          <w:rFonts w:hint="default" w:ascii="Times New Roman" w:hAnsi="Times New Roman" w:eastAsia="宋体" w:cs="Times New Roman"/>
          <w:color w:val="FF0000"/>
          <w:szCs w:val="24"/>
          <w:highlight w:val="none"/>
        </w:rPr>
        <w:t>，</w:t>
      </w:r>
      <w:r>
        <w:rPr>
          <w:rFonts w:hint="default" w:ascii="Times New Roman" w:hAnsi="Times New Roman" w:eastAsia="宋体" w:cs="Times New Roman"/>
          <w:color w:val="FF0000"/>
          <w:szCs w:val="24"/>
          <w:highlight w:val="none"/>
          <w:lang w:val="en-US" w:eastAsia="zh-CN"/>
        </w:rPr>
        <w:t>m</w:t>
      </w:r>
      <w:r>
        <w:rPr>
          <w:rFonts w:hint="default" w:ascii="Times New Roman" w:hAnsi="Times New Roman" w:eastAsia="宋体" w:cs="Times New Roman"/>
          <w:color w:val="FF0000"/>
          <w:szCs w:val="24"/>
          <w:highlight w:val="none"/>
          <w:vertAlign w:val="superscript"/>
          <w:lang w:val="en-US" w:eastAsia="zh-CN"/>
        </w:rPr>
        <w:t>3</w:t>
      </w:r>
      <w:r>
        <w:rPr>
          <w:rFonts w:hint="default" w:ascii="Times New Roman" w:hAnsi="Times New Roman" w:eastAsia="宋体" w:cs="Times New Roman"/>
          <w:color w:val="FF0000"/>
          <w:szCs w:val="24"/>
          <w:highlight w:val="none"/>
        </w:rPr>
        <w:t>/</w:t>
      </w:r>
      <w:r>
        <w:rPr>
          <w:rFonts w:hint="default" w:ascii="Times New Roman" w:hAnsi="Times New Roman" w:eastAsia="宋体" w:cs="Times New Roman"/>
          <w:color w:val="FF0000"/>
          <w:szCs w:val="24"/>
          <w:highlight w:val="none"/>
          <w:lang w:val="en-US" w:eastAsia="zh-CN"/>
        </w:rPr>
        <w:t>kg</w:t>
      </w:r>
      <w:r>
        <w:rPr>
          <w:rFonts w:hint="default" w:ascii="Times New Roman" w:hAnsi="Times New Roman" w:eastAsia="宋体" w:cs="Times New Roman"/>
          <w:color w:val="FF0000"/>
          <w:szCs w:val="24"/>
          <w:highlight w:val="none"/>
        </w:rPr>
        <w:t>；</w:t>
      </w:r>
    </w:p>
    <w:p w14:paraId="6A550579">
      <w:pPr>
        <w:ind w:firstLine="1200" w:firstLineChars="500"/>
        <w:rPr>
          <w:rFonts w:hint="default" w:ascii="Times New Roman" w:hAnsi="Times New Roman" w:eastAsia="宋体" w:cs="Times New Roman"/>
          <w:color w:val="FF0000"/>
          <w:szCs w:val="24"/>
          <w:highlight w:val="none"/>
          <w:lang w:val="en-US" w:eastAsia="zh-CN"/>
        </w:rPr>
      </w:pPr>
      <w:r>
        <w:rPr>
          <w:rFonts w:hint="default" w:ascii="Times New Roman" w:hAnsi="Times New Roman" w:eastAsia="宋体" w:cs="Times New Roman"/>
          <w:color w:val="FF0000"/>
          <w:szCs w:val="24"/>
          <w:highlight w:val="none"/>
        </w:rPr>
        <w:t>C</w:t>
      </w:r>
      <w:r>
        <w:rPr>
          <w:rFonts w:hint="default" w:ascii="Times New Roman" w:hAnsi="Times New Roman" w:eastAsia="宋体" w:cs="Times New Roman"/>
          <w:color w:val="FF0000"/>
          <w:szCs w:val="24"/>
          <w:highlight w:val="none"/>
          <w:vertAlign w:val="subscript"/>
        </w:rPr>
        <w:t>ar</w:t>
      </w:r>
      <w:r>
        <w:rPr>
          <w:rFonts w:hint="default" w:ascii="Times New Roman" w:hAnsi="Times New Roman" w:eastAsia="宋体" w:cs="Times New Roman"/>
          <w:color w:val="FF0000"/>
          <w:szCs w:val="24"/>
          <w:highlight w:val="none"/>
        </w:rPr>
        <w:t>—收到基碳含量，</w:t>
      </w:r>
      <w:r>
        <w:rPr>
          <w:rFonts w:hint="eastAsia" w:ascii="Times New Roman" w:hAnsi="Times New Roman" w:eastAsia="宋体" w:cs="Times New Roman"/>
          <w:color w:val="FF0000"/>
          <w:szCs w:val="24"/>
          <w:highlight w:val="none"/>
          <w:lang w:val="en-US" w:eastAsia="zh-CN"/>
        </w:rPr>
        <w:t>46.89</w:t>
      </w:r>
      <w:r>
        <w:rPr>
          <w:rFonts w:hint="default" w:ascii="Times New Roman" w:hAnsi="Times New Roman" w:eastAsia="宋体" w:cs="Times New Roman"/>
          <w:color w:val="FF0000"/>
          <w:szCs w:val="24"/>
          <w:highlight w:val="none"/>
          <w:lang w:val="en-US" w:eastAsia="zh-CN"/>
        </w:rPr>
        <w:t>%</w:t>
      </w:r>
      <w:r>
        <w:rPr>
          <w:rFonts w:hint="default" w:ascii="Times New Roman" w:hAnsi="Times New Roman" w:eastAsia="宋体" w:cs="Times New Roman"/>
          <w:color w:val="FF0000"/>
          <w:szCs w:val="24"/>
          <w:highlight w:val="none"/>
        </w:rPr>
        <w:t>；</w:t>
      </w:r>
    </w:p>
    <w:p w14:paraId="1380A06D">
      <w:pPr>
        <w:ind w:firstLine="1200" w:firstLineChars="500"/>
        <w:rPr>
          <w:rFonts w:hint="default" w:ascii="Times New Roman" w:hAnsi="Times New Roman" w:eastAsia="宋体" w:cs="Times New Roman"/>
          <w:color w:val="FF0000"/>
          <w:szCs w:val="24"/>
          <w:highlight w:val="none"/>
          <w:lang w:eastAsia="zh-CN"/>
        </w:rPr>
      </w:pPr>
      <w:r>
        <w:rPr>
          <w:rFonts w:hint="default" w:ascii="Times New Roman" w:hAnsi="Times New Roman" w:eastAsia="宋体" w:cs="Times New Roman"/>
          <w:color w:val="FF0000"/>
          <w:szCs w:val="24"/>
          <w:highlight w:val="none"/>
        </w:rPr>
        <w:t>S</w:t>
      </w:r>
      <w:r>
        <w:rPr>
          <w:rFonts w:hint="default" w:ascii="Times New Roman" w:hAnsi="Times New Roman" w:eastAsia="宋体" w:cs="Times New Roman"/>
          <w:color w:val="FF0000"/>
          <w:szCs w:val="24"/>
          <w:highlight w:val="none"/>
          <w:vertAlign w:val="subscript"/>
        </w:rPr>
        <w:t>ar</w:t>
      </w:r>
      <w:r>
        <w:rPr>
          <w:rFonts w:hint="default" w:ascii="Times New Roman" w:hAnsi="Times New Roman" w:eastAsia="宋体" w:cs="Times New Roman"/>
          <w:color w:val="FF0000"/>
          <w:szCs w:val="24"/>
          <w:highlight w:val="none"/>
        </w:rPr>
        <w:t>—收到基硫含量，</w:t>
      </w:r>
      <w:r>
        <w:rPr>
          <w:rFonts w:hint="eastAsia" w:ascii="Times New Roman" w:hAnsi="Times New Roman" w:eastAsia="宋体" w:cs="Times New Roman"/>
          <w:color w:val="FF0000"/>
          <w:szCs w:val="24"/>
          <w:highlight w:val="none"/>
          <w:lang w:val="en-US" w:eastAsia="zh-CN"/>
        </w:rPr>
        <w:t>0.23</w:t>
      </w:r>
      <w:r>
        <w:rPr>
          <w:rFonts w:hint="default" w:ascii="Times New Roman" w:hAnsi="Times New Roman" w:eastAsia="宋体" w:cs="Times New Roman"/>
          <w:color w:val="FF0000"/>
          <w:szCs w:val="24"/>
          <w:highlight w:val="none"/>
          <w:lang w:val="en-US" w:eastAsia="zh-CN"/>
        </w:rPr>
        <w:t>%</w:t>
      </w:r>
      <w:r>
        <w:rPr>
          <w:rFonts w:hint="default" w:ascii="Times New Roman" w:hAnsi="Times New Roman" w:eastAsia="宋体" w:cs="Times New Roman"/>
          <w:color w:val="FF0000"/>
          <w:szCs w:val="24"/>
          <w:highlight w:val="none"/>
        </w:rPr>
        <w:t>；</w:t>
      </w:r>
    </w:p>
    <w:p w14:paraId="03E06215">
      <w:pPr>
        <w:ind w:firstLine="1200" w:firstLineChars="500"/>
        <w:rPr>
          <w:rFonts w:hint="default" w:ascii="Times New Roman" w:hAnsi="Times New Roman" w:eastAsia="宋体" w:cs="Times New Roman"/>
          <w:color w:val="FF0000"/>
          <w:szCs w:val="24"/>
          <w:highlight w:val="none"/>
          <w:lang w:val="en-US" w:eastAsia="zh-CN"/>
        </w:rPr>
      </w:pPr>
      <w:r>
        <w:rPr>
          <w:rFonts w:hint="default" w:ascii="Times New Roman" w:hAnsi="Times New Roman" w:eastAsia="宋体" w:cs="Times New Roman"/>
          <w:color w:val="FF0000"/>
          <w:szCs w:val="24"/>
          <w:highlight w:val="none"/>
        </w:rPr>
        <w:t>N</w:t>
      </w:r>
      <w:r>
        <w:rPr>
          <w:rFonts w:hint="default" w:ascii="Times New Roman" w:hAnsi="Times New Roman" w:eastAsia="宋体" w:cs="Times New Roman"/>
          <w:color w:val="FF0000"/>
          <w:szCs w:val="24"/>
          <w:highlight w:val="none"/>
          <w:vertAlign w:val="subscript"/>
        </w:rPr>
        <w:t>ar</w:t>
      </w:r>
      <w:r>
        <w:rPr>
          <w:rFonts w:hint="default" w:ascii="Times New Roman" w:hAnsi="Times New Roman" w:eastAsia="宋体" w:cs="Times New Roman"/>
          <w:color w:val="FF0000"/>
          <w:szCs w:val="24"/>
          <w:highlight w:val="none"/>
        </w:rPr>
        <w:t>—收到基氮含量，</w:t>
      </w:r>
      <w:r>
        <w:rPr>
          <w:rFonts w:hint="eastAsia" w:ascii="Times New Roman" w:hAnsi="Times New Roman" w:eastAsia="宋体" w:cs="Times New Roman"/>
          <w:color w:val="FF0000"/>
          <w:szCs w:val="24"/>
          <w:highlight w:val="none"/>
          <w:lang w:val="en-US" w:eastAsia="zh-CN"/>
        </w:rPr>
        <w:t>0.48</w:t>
      </w:r>
      <w:r>
        <w:rPr>
          <w:rFonts w:hint="default" w:ascii="Times New Roman" w:hAnsi="Times New Roman" w:eastAsia="宋体" w:cs="Times New Roman"/>
          <w:color w:val="FF0000"/>
          <w:szCs w:val="24"/>
          <w:highlight w:val="none"/>
          <w:lang w:val="en-US" w:eastAsia="zh-CN"/>
        </w:rPr>
        <w:t>%</w:t>
      </w:r>
      <w:r>
        <w:rPr>
          <w:rFonts w:hint="default" w:ascii="Times New Roman" w:hAnsi="Times New Roman" w:eastAsia="宋体" w:cs="Times New Roman"/>
          <w:color w:val="FF0000"/>
          <w:szCs w:val="24"/>
          <w:highlight w:val="none"/>
        </w:rPr>
        <w:t>；</w:t>
      </w:r>
    </w:p>
    <w:p w14:paraId="7D2AC951">
      <w:pPr>
        <w:ind w:firstLine="1200" w:firstLineChars="500"/>
        <w:rPr>
          <w:rFonts w:hint="default" w:ascii="Times New Roman" w:hAnsi="Times New Roman" w:eastAsia="宋体" w:cs="Times New Roman"/>
          <w:color w:val="FF0000"/>
          <w:szCs w:val="24"/>
          <w:highlight w:val="none"/>
          <w:lang w:val="en-US" w:eastAsia="zh-CN"/>
        </w:rPr>
      </w:pPr>
      <w:r>
        <w:rPr>
          <w:rFonts w:hint="default" w:ascii="Times New Roman" w:hAnsi="Times New Roman" w:eastAsia="宋体" w:cs="Times New Roman"/>
          <w:color w:val="FF0000"/>
          <w:szCs w:val="24"/>
          <w:highlight w:val="none"/>
        </w:rPr>
        <w:t>H</w:t>
      </w:r>
      <w:r>
        <w:rPr>
          <w:rFonts w:hint="default" w:ascii="Times New Roman" w:hAnsi="Times New Roman" w:eastAsia="宋体" w:cs="Times New Roman"/>
          <w:color w:val="FF0000"/>
          <w:szCs w:val="24"/>
          <w:highlight w:val="none"/>
          <w:vertAlign w:val="subscript"/>
        </w:rPr>
        <w:t>ar</w:t>
      </w:r>
      <w:r>
        <w:rPr>
          <w:rFonts w:hint="default" w:ascii="Times New Roman" w:hAnsi="Times New Roman" w:eastAsia="宋体" w:cs="Times New Roman"/>
          <w:color w:val="FF0000"/>
          <w:szCs w:val="24"/>
          <w:highlight w:val="none"/>
        </w:rPr>
        <w:t>—收到基氢含量，</w:t>
      </w:r>
      <w:r>
        <w:rPr>
          <w:rFonts w:hint="eastAsia" w:ascii="Times New Roman" w:hAnsi="Times New Roman" w:eastAsia="宋体" w:cs="Times New Roman"/>
          <w:color w:val="FF0000"/>
          <w:szCs w:val="24"/>
          <w:highlight w:val="none"/>
          <w:lang w:val="en-US" w:eastAsia="zh-CN"/>
        </w:rPr>
        <w:t>2.94</w:t>
      </w:r>
      <w:r>
        <w:rPr>
          <w:rFonts w:hint="default" w:ascii="Times New Roman" w:hAnsi="Times New Roman" w:eastAsia="宋体" w:cs="Times New Roman"/>
          <w:color w:val="FF0000"/>
          <w:szCs w:val="24"/>
          <w:highlight w:val="none"/>
          <w:lang w:val="en-US" w:eastAsia="zh-CN"/>
        </w:rPr>
        <w:t>%</w:t>
      </w:r>
      <w:r>
        <w:rPr>
          <w:rFonts w:hint="default" w:ascii="Times New Roman" w:hAnsi="Times New Roman" w:eastAsia="宋体" w:cs="Times New Roman"/>
          <w:color w:val="FF0000"/>
          <w:szCs w:val="24"/>
          <w:highlight w:val="none"/>
        </w:rPr>
        <w:t>；</w:t>
      </w:r>
    </w:p>
    <w:p w14:paraId="1CAAE9DD">
      <w:pPr>
        <w:ind w:firstLine="1200" w:firstLineChars="500"/>
        <w:rPr>
          <w:rFonts w:hint="default" w:ascii="Times New Roman" w:hAnsi="Times New Roman" w:eastAsia="宋体" w:cs="Times New Roman"/>
          <w:color w:val="FF0000"/>
          <w:szCs w:val="24"/>
          <w:highlight w:val="none"/>
          <w:lang w:val="en-US" w:eastAsia="zh-CN"/>
        </w:rPr>
      </w:pPr>
      <w:r>
        <w:rPr>
          <w:rFonts w:hint="default" w:ascii="Times New Roman" w:hAnsi="Times New Roman" w:eastAsia="宋体" w:cs="Times New Roman"/>
          <w:color w:val="FF0000"/>
          <w:szCs w:val="24"/>
          <w:highlight w:val="none"/>
        </w:rPr>
        <w:t>O</w:t>
      </w:r>
      <w:r>
        <w:rPr>
          <w:rFonts w:hint="default" w:ascii="Times New Roman" w:hAnsi="Times New Roman" w:eastAsia="宋体" w:cs="Times New Roman"/>
          <w:color w:val="FF0000"/>
          <w:szCs w:val="24"/>
          <w:highlight w:val="none"/>
          <w:vertAlign w:val="subscript"/>
        </w:rPr>
        <w:t>ar</w:t>
      </w:r>
      <w:r>
        <w:rPr>
          <w:rFonts w:hint="default" w:ascii="Times New Roman" w:hAnsi="Times New Roman" w:eastAsia="宋体" w:cs="Times New Roman"/>
          <w:color w:val="FF0000"/>
          <w:szCs w:val="24"/>
          <w:highlight w:val="none"/>
        </w:rPr>
        <w:t>—收到基氧含量，</w:t>
      </w:r>
      <w:r>
        <w:rPr>
          <w:rFonts w:hint="eastAsia" w:ascii="Times New Roman" w:hAnsi="Times New Roman" w:eastAsia="宋体" w:cs="Times New Roman"/>
          <w:color w:val="FF0000"/>
          <w:szCs w:val="24"/>
          <w:highlight w:val="none"/>
          <w:lang w:val="en-US" w:eastAsia="zh-CN"/>
        </w:rPr>
        <w:t>6.61</w:t>
      </w:r>
      <w:r>
        <w:rPr>
          <w:rFonts w:hint="default" w:ascii="Times New Roman" w:hAnsi="Times New Roman" w:eastAsia="宋体" w:cs="Times New Roman"/>
          <w:color w:val="FF0000"/>
          <w:szCs w:val="24"/>
          <w:highlight w:val="none"/>
          <w:lang w:val="en-US" w:eastAsia="zh-CN"/>
        </w:rPr>
        <w:t>%</w:t>
      </w:r>
      <w:r>
        <w:rPr>
          <w:rFonts w:hint="default" w:ascii="Times New Roman" w:hAnsi="Times New Roman" w:eastAsia="宋体" w:cs="Times New Roman"/>
          <w:color w:val="FF0000"/>
          <w:szCs w:val="24"/>
          <w:highlight w:val="none"/>
        </w:rPr>
        <w:t>；</w:t>
      </w:r>
    </w:p>
    <w:p w14:paraId="2FC3EDDE">
      <w:pPr>
        <w:pStyle w:val="69"/>
        <w:ind w:firstLine="1200" w:firstLineChars="500"/>
        <w:rPr>
          <w:rFonts w:hint="default" w:ascii="Times New Roman" w:hAnsi="Times New Roman" w:eastAsia="宋体" w:cs="Times New Roman"/>
          <w:color w:val="FF0000"/>
          <w:szCs w:val="24"/>
          <w:highlight w:val="none"/>
          <w:lang w:eastAsia="zh-CN"/>
        </w:rPr>
      </w:pPr>
      <w:r>
        <w:rPr>
          <w:rFonts w:hint="default" w:ascii="Times New Roman" w:hAnsi="Times New Roman" w:eastAsia="宋体" w:cs="Times New Roman"/>
          <w:color w:val="FF0000"/>
          <w:szCs w:val="24"/>
          <w:highlight w:val="none"/>
        </w:rPr>
        <w:t>α—过量空气系数，燃料燃烧时实际空气供给量与理论空气需要量之比值，燃煤锅炉的过量空气系数为</w:t>
      </w:r>
      <w:r>
        <w:rPr>
          <w:rFonts w:hint="default" w:ascii="Times New Roman" w:hAnsi="Times New Roman" w:eastAsia="宋体" w:cs="Times New Roman"/>
          <w:color w:val="FF0000"/>
          <w:szCs w:val="24"/>
          <w:highlight w:val="none"/>
          <w:lang w:val="en-US" w:eastAsia="zh-CN"/>
        </w:rPr>
        <w:t>1.</w:t>
      </w:r>
      <w:r>
        <w:rPr>
          <w:rFonts w:hint="eastAsia" w:ascii="Times New Roman" w:hAnsi="Times New Roman" w:cs="Times New Roman"/>
          <w:color w:val="FF0000"/>
          <w:szCs w:val="24"/>
          <w:highlight w:val="none"/>
          <w:lang w:val="en-US" w:eastAsia="zh-CN"/>
        </w:rPr>
        <w:t>4</w:t>
      </w:r>
      <w:r>
        <w:rPr>
          <w:rFonts w:hint="default" w:ascii="Times New Roman" w:hAnsi="Times New Roman" w:eastAsia="宋体" w:cs="Times New Roman"/>
          <w:color w:val="FF0000"/>
          <w:szCs w:val="24"/>
          <w:highlight w:val="none"/>
        </w:rPr>
        <w:t>，对应基准氧含量为</w:t>
      </w:r>
      <w:r>
        <w:rPr>
          <w:rFonts w:hint="default" w:ascii="Times New Roman" w:hAnsi="Times New Roman" w:eastAsia="宋体" w:cs="Times New Roman"/>
          <w:color w:val="FF0000"/>
          <w:szCs w:val="24"/>
          <w:highlight w:val="none"/>
          <w:lang w:val="en-US" w:eastAsia="zh-CN"/>
        </w:rPr>
        <w:t>6</w:t>
      </w:r>
      <w:r>
        <w:rPr>
          <w:rFonts w:hint="default" w:ascii="Times New Roman" w:hAnsi="Times New Roman" w:eastAsia="宋体" w:cs="Times New Roman"/>
          <w:color w:val="FF0000"/>
          <w:szCs w:val="24"/>
          <w:highlight w:val="none"/>
        </w:rPr>
        <w:t>%</w:t>
      </w:r>
      <w:r>
        <w:rPr>
          <w:rFonts w:hint="default" w:ascii="Times New Roman" w:hAnsi="Times New Roman" w:eastAsia="宋体" w:cs="Times New Roman"/>
          <w:color w:val="FF0000"/>
          <w:szCs w:val="24"/>
          <w:highlight w:val="none"/>
          <w:lang w:eastAsia="zh-CN"/>
        </w:rPr>
        <w:t>；</w:t>
      </w:r>
    </w:p>
    <w:p w14:paraId="38AB439E">
      <w:pPr>
        <w:pStyle w:val="69"/>
        <w:ind w:firstLine="1200" w:firstLineChars="500"/>
        <w:rPr>
          <w:rFonts w:hint="default" w:ascii="Times New Roman" w:hAnsi="Times New Roman" w:eastAsia="宋体" w:cs="Times New Roman"/>
          <w:color w:val="FF0000"/>
          <w:szCs w:val="24"/>
          <w:highlight w:val="none"/>
          <w:lang w:eastAsia="zh-CN"/>
        </w:rPr>
      </w:pPr>
      <w:r>
        <w:rPr>
          <w:rFonts w:hint="default" w:ascii="Times New Roman" w:hAnsi="Times New Roman" w:eastAsia="宋体" w:cs="Times New Roman"/>
          <w:color w:val="FF0000"/>
          <w:szCs w:val="24"/>
          <w:highlight w:val="none"/>
          <w:lang w:eastAsia="zh-CN"/>
        </w:rPr>
        <w:t>Mar─收到基水分含量</w:t>
      </w:r>
      <w:r>
        <w:rPr>
          <w:rFonts w:hint="eastAsia" w:ascii="Times New Roman" w:hAnsi="Times New Roman" w:cs="Times New Roman"/>
          <w:color w:val="FF0000"/>
          <w:szCs w:val="24"/>
          <w:highlight w:val="none"/>
          <w:lang w:val="en-US" w:eastAsia="zh-CN"/>
        </w:rPr>
        <w:t>7.3%</w:t>
      </w:r>
      <w:r>
        <w:rPr>
          <w:rFonts w:hint="default" w:ascii="Times New Roman" w:hAnsi="Times New Roman" w:eastAsia="宋体" w:cs="Times New Roman"/>
          <w:color w:val="FF0000"/>
          <w:szCs w:val="24"/>
          <w:highlight w:val="none"/>
          <w:lang w:eastAsia="zh-CN"/>
        </w:rPr>
        <w:t>；</w:t>
      </w:r>
    </w:p>
    <w:p w14:paraId="2EA24C40">
      <w:pPr>
        <w:pStyle w:val="69"/>
        <w:ind w:firstLine="1200" w:firstLineChars="500"/>
        <w:rPr>
          <w:rFonts w:hint="default" w:ascii="Times New Roman" w:hAnsi="Times New Roman" w:eastAsia="宋体" w:cs="Times New Roman"/>
          <w:color w:val="FF0000"/>
          <w:szCs w:val="24"/>
          <w:highlight w:val="none"/>
        </w:rPr>
      </w:pPr>
      <w:r>
        <w:rPr>
          <w:rFonts w:hint="default" w:ascii="Times New Roman" w:hAnsi="Times New Roman" w:eastAsia="宋体" w:cs="Times New Roman"/>
          <w:color w:val="FF0000"/>
          <w:szCs w:val="24"/>
          <w:highlight w:val="none"/>
          <w:lang w:val="en-US" w:eastAsia="zh-CN"/>
        </w:rPr>
        <w:t>Vs</w:t>
      </w:r>
      <w:r>
        <w:rPr>
          <w:rFonts w:hint="default" w:ascii="Times New Roman" w:hAnsi="Times New Roman" w:eastAsia="宋体" w:cs="Times New Roman"/>
          <w:color w:val="FF0000"/>
          <w:szCs w:val="24"/>
          <w:highlight w:val="none"/>
        </w:rPr>
        <w:t>—</w:t>
      </w:r>
      <w:r>
        <w:rPr>
          <w:rFonts w:hint="default" w:ascii="Times New Roman" w:hAnsi="Times New Roman" w:eastAsia="宋体" w:cs="Times New Roman"/>
          <w:color w:val="FF0000"/>
          <w:szCs w:val="24"/>
          <w:highlight w:val="none"/>
          <w:lang w:val="en-US" w:eastAsia="zh-CN"/>
        </w:rPr>
        <w:t>湿烟气排放量</w:t>
      </w:r>
      <w:r>
        <w:rPr>
          <w:rFonts w:hint="default" w:ascii="Times New Roman" w:hAnsi="Times New Roman" w:eastAsia="宋体" w:cs="Times New Roman"/>
          <w:color w:val="FF0000"/>
          <w:szCs w:val="24"/>
          <w:highlight w:val="none"/>
        </w:rPr>
        <w:t>，</w:t>
      </w:r>
      <w:r>
        <w:rPr>
          <w:rFonts w:hint="default" w:ascii="Times New Roman" w:hAnsi="Times New Roman" w:eastAsia="宋体" w:cs="Times New Roman"/>
          <w:color w:val="FF0000"/>
          <w:szCs w:val="24"/>
          <w:highlight w:val="none"/>
          <w:lang w:val="en-US" w:eastAsia="zh-CN"/>
        </w:rPr>
        <w:t>m</w:t>
      </w:r>
      <w:r>
        <w:rPr>
          <w:rFonts w:hint="default" w:ascii="Times New Roman" w:hAnsi="Times New Roman" w:eastAsia="宋体" w:cs="Times New Roman"/>
          <w:color w:val="FF0000"/>
          <w:szCs w:val="24"/>
          <w:highlight w:val="none"/>
          <w:vertAlign w:val="superscript"/>
          <w:lang w:val="en-US" w:eastAsia="zh-CN"/>
        </w:rPr>
        <w:t>3</w:t>
      </w:r>
      <w:r>
        <w:rPr>
          <w:rFonts w:hint="default" w:ascii="Times New Roman" w:hAnsi="Times New Roman" w:eastAsia="宋体" w:cs="Times New Roman"/>
          <w:color w:val="FF0000"/>
          <w:szCs w:val="24"/>
          <w:highlight w:val="none"/>
        </w:rPr>
        <w:t>/</w:t>
      </w:r>
      <w:r>
        <w:rPr>
          <w:rFonts w:hint="default" w:ascii="Times New Roman" w:hAnsi="Times New Roman" w:eastAsia="宋体" w:cs="Times New Roman"/>
          <w:color w:val="FF0000"/>
          <w:szCs w:val="24"/>
          <w:highlight w:val="none"/>
          <w:lang w:val="en-US" w:eastAsia="zh-CN"/>
        </w:rPr>
        <w:t>kg</w:t>
      </w:r>
      <w:r>
        <w:rPr>
          <w:rFonts w:hint="default" w:ascii="Times New Roman" w:hAnsi="Times New Roman" w:eastAsia="宋体" w:cs="Times New Roman"/>
          <w:color w:val="FF0000"/>
          <w:szCs w:val="24"/>
          <w:highlight w:val="none"/>
        </w:rPr>
        <w:t>；</w:t>
      </w:r>
    </w:p>
    <w:p w14:paraId="37448F8E">
      <w:pPr>
        <w:pStyle w:val="69"/>
        <w:ind w:firstLine="1200" w:firstLineChars="500"/>
        <w:rPr>
          <w:rFonts w:hint="default" w:ascii="Times New Roman" w:hAnsi="Times New Roman" w:eastAsia="宋体" w:cs="Times New Roman"/>
          <w:color w:val="FF0000"/>
          <w:szCs w:val="24"/>
          <w:highlight w:val="none"/>
        </w:rPr>
      </w:pPr>
      <w:r>
        <w:rPr>
          <w:rFonts w:hint="default" w:ascii="Times New Roman" w:hAnsi="Times New Roman" w:eastAsia="宋体" w:cs="Times New Roman"/>
          <w:color w:val="FF0000"/>
          <w:szCs w:val="24"/>
          <w:highlight w:val="none"/>
        </w:rPr>
        <w:t>V</w:t>
      </w:r>
      <w:r>
        <w:rPr>
          <w:rFonts w:hint="default" w:ascii="Times New Roman" w:hAnsi="Times New Roman" w:eastAsia="宋体" w:cs="Times New Roman"/>
          <w:color w:val="FF0000"/>
          <w:szCs w:val="24"/>
          <w:highlight w:val="none"/>
          <w:vertAlign w:val="subscript"/>
        </w:rPr>
        <w:t>H2O</w:t>
      </w:r>
      <w:r>
        <w:rPr>
          <w:rFonts w:hint="default" w:ascii="Times New Roman" w:hAnsi="Times New Roman" w:eastAsia="宋体" w:cs="Times New Roman"/>
          <w:color w:val="FF0000"/>
          <w:szCs w:val="24"/>
          <w:highlight w:val="none"/>
        </w:rPr>
        <w:t>——烟气中水蒸气量，m</w:t>
      </w:r>
      <w:r>
        <w:rPr>
          <w:rFonts w:hint="default" w:ascii="Times New Roman" w:hAnsi="Times New Roman" w:eastAsia="宋体" w:cs="Times New Roman"/>
          <w:color w:val="FF0000"/>
          <w:szCs w:val="24"/>
          <w:highlight w:val="none"/>
          <w:vertAlign w:val="superscript"/>
        </w:rPr>
        <w:t>3</w:t>
      </w:r>
      <w:r>
        <w:rPr>
          <w:rFonts w:hint="default" w:ascii="Times New Roman" w:hAnsi="Times New Roman" w:eastAsia="宋体" w:cs="Times New Roman"/>
          <w:color w:val="FF0000"/>
          <w:szCs w:val="24"/>
          <w:highlight w:val="none"/>
        </w:rPr>
        <w:t>/kg；</w:t>
      </w:r>
    </w:p>
    <w:p w14:paraId="4C46DED4">
      <w:pPr>
        <w:pStyle w:val="69"/>
        <w:ind w:firstLine="1200" w:firstLineChars="500"/>
        <w:rPr>
          <w:rFonts w:hint="default" w:ascii="Times New Roman" w:hAnsi="Times New Roman" w:eastAsia="宋体" w:cs="Times New Roman"/>
          <w:color w:val="FF0000"/>
          <w:szCs w:val="24"/>
          <w:highlight w:val="none"/>
          <w:lang w:val="en-US" w:eastAsia="zh-CN"/>
        </w:rPr>
      </w:pPr>
      <w:r>
        <w:rPr>
          <w:rFonts w:hint="default" w:ascii="Times New Roman" w:hAnsi="Times New Roman" w:eastAsia="宋体" w:cs="Times New Roman"/>
          <w:color w:val="FF0000"/>
          <w:szCs w:val="24"/>
          <w:highlight w:val="none"/>
        </w:rPr>
        <w:t>G</w:t>
      </w:r>
      <w:r>
        <w:rPr>
          <w:rFonts w:hint="default" w:ascii="Times New Roman" w:hAnsi="Times New Roman" w:eastAsia="宋体" w:cs="Times New Roman"/>
          <w:color w:val="FF0000"/>
          <w:szCs w:val="24"/>
          <w:highlight w:val="none"/>
          <w:vertAlign w:val="subscript"/>
        </w:rPr>
        <w:t>wh</w:t>
      </w:r>
      <w:r>
        <w:rPr>
          <w:rFonts w:hint="default" w:ascii="Times New Roman" w:hAnsi="Times New Roman" w:eastAsia="宋体" w:cs="Times New Roman"/>
          <w:color w:val="FF0000"/>
          <w:szCs w:val="24"/>
          <w:highlight w:val="none"/>
        </w:rPr>
        <w:t>─雾化燃油时消耗的蒸汽量，kg/kg，本次评价取0；</w:t>
      </w:r>
    </w:p>
    <w:p w14:paraId="2C43358E">
      <w:pPr>
        <w:ind w:firstLine="480" w:firstLineChars="200"/>
        <w:rPr>
          <w:rFonts w:hint="default" w:ascii="Times New Roman" w:hAnsi="Times New Roman" w:eastAsia="宋体" w:cs="Times New Roman"/>
          <w:color w:val="FF0000"/>
          <w:szCs w:val="24"/>
          <w:highlight w:val="none"/>
          <w:lang w:eastAsia="zh-CN"/>
        </w:rPr>
      </w:pPr>
      <w:r>
        <w:rPr>
          <w:rFonts w:hint="default" w:ascii="Times New Roman" w:hAnsi="Times New Roman" w:eastAsia="宋体" w:cs="Times New Roman"/>
          <w:color w:val="FF0000"/>
          <w:szCs w:val="24"/>
          <w:highlight w:val="none"/>
        </w:rPr>
        <w:t>本项目锅炉为燃煤锅炉，</w:t>
      </w:r>
      <w:r>
        <w:rPr>
          <w:rFonts w:hint="default" w:ascii="Times New Roman" w:hAnsi="Times New Roman" w:eastAsia="宋体" w:cs="Times New Roman"/>
          <w:color w:val="FF0000"/>
          <w:spacing w:val="0"/>
          <w:sz w:val="24"/>
          <w:szCs w:val="24"/>
          <w:highlight w:val="none"/>
          <w:lang w:eastAsia="zh-CN"/>
        </w:rPr>
        <w:t>则</w:t>
      </w:r>
      <w:r>
        <w:rPr>
          <w:rFonts w:hint="default" w:ascii="Times New Roman" w:hAnsi="Times New Roman" w:eastAsia="宋体" w:cs="Times New Roman"/>
          <w:color w:val="FF0000"/>
          <w:spacing w:val="0"/>
          <w:sz w:val="24"/>
          <w:szCs w:val="24"/>
          <w:highlight w:val="none"/>
        </w:rPr>
        <w:t>V</w:t>
      </w:r>
      <w:r>
        <w:rPr>
          <w:rFonts w:hint="default" w:ascii="Times New Roman" w:hAnsi="Times New Roman" w:eastAsia="宋体" w:cs="Times New Roman"/>
          <w:color w:val="FF0000"/>
          <w:spacing w:val="0"/>
          <w:sz w:val="24"/>
          <w:szCs w:val="24"/>
          <w:highlight w:val="none"/>
          <w:vertAlign w:val="subscript"/>
        </w:rPr>
        <w:t>0</w:t>
      </w:r>
      <w:r>
        <w:rPr>
          <w:rFonts w:hint="default" w:ascii="Times New Roman" w:hAnsi="Times New Roman" w:eastAsia="宋体" w:cs="Times New Roman"/>
          <w:color w:val="FF0000"/>
          <w:spacing w:val="0"/>
          <w:sz w:val="24"/>
          <w:szCs w:val="24"/>
          <w:highlight w:val="none"/>
          <w:lang w:eastAsia="zh-CN"/>
        </w:rPr>
        <w:t>为</w:t>
      </w:r>
      <w:r>
        <w:rPr>
          <w:rFonts w:hint="eastAsia" w:ascii="Times New Roman" w:hAnsi="Times New Roman" w:eastAsia="宋体" w:cs="Times New Roman"/>
          <w:color w:val="FF0000"/>
          <w:spacing w:val="0"/>
          <w:sz w:val="24"/>
          <w:szCs w:val="24"/>
          <w:highlight w:val="none"/>
          <w:lang w:val="en-US" w:eastAsia="zh-CN"/>
        </w:rPr>
        <w:t>4.73</w:t>
      </w:r>
      <w:r>
        <w:rPr>
          <w:rFonts w:hint="default" w:ascii="Times New Roman" w:hAnsi="Times New Roman" w:eastAsia="宋体" w:cs="Times New Roman"/>
          <w:color w:val="FF0000"/>
          <w:spacing w:val="0"/>
          <w:sz w:val="24"/>
          <w:szCs w:val="24"/>
          <w:highlight w:val="none"/>
        </w:rPr>
        <w:t>m</w:t>
      </w:r>
      <w:r>
        <w:rPr>
          <w:rFonts w:hint="default" w:ascii="Times New Roman" w:hAnsi="Times New Roman" w:eastAsia="宋体" w:cs="Times New Roman"/>
          <w:color w:val="FF0000"/>
          <w:spacing w:val="0"/>
          <w:sz w:val="24"/>
          <w:szCs w:val="24"/>
          <w:highlight w:val="none"/>
          <w:vertAlign w:val="superscript"/>
        </w:rPr>
        <w:t>3</w:t>
      </w:r>
      <w:r>
        <w:rPr>
          <w:rFonts w:hint="default" w:ascii="Times New Roman" w:hAnsi="Times New Roman" w:eastAsia="宋体" w:cs="Times New Roman"/>
          <w:color w:val="FF0000"/>
          <w:spacing w:val="0"/>
          <w:sz w:val="24"/>
          <w:szCs w:val="24"/>
          <w:highlight w:val="none"/>
        </w:rPr>
        <w:t>/kg</w:t>
      </w:r>
      <w:r>
        <w:rPr>
          <w:rFonts w:hint="default" w:ascii="Times New Roman" w:hAnsi="Times New Roman" w:eastAsia="宋体" w:cs="Times New Roman"/>
          <w:color w:val="FF0000"/>
          <w:spacing w:val="0"/>
          <w:sz w:val="24"/>
          <w:szCs w:val="24"/>
          <w:highlight w:val="none"/>
          <w:lang w:val="en-US" w:eastAsia="zh-CN"/>
        </w:rPr>
        <w:t>，</w:t>
      </w:r>
      <w:r>
        <w:rPr>
          <w:rFonts w:hint="default" w:ascii="Times New Roman" w:hAnsi="Times New Roman" w:eastAsia="宋体" w:cs="Times New Roman"/>
          <w:color w:val="FF0000"/>
          <w:spacing w:val="0"/>
          <w:sz w:val="24"/>
          <w:szCs w:val="24"/>
          <w:highlight w:val="none"/>
        </w:rPr>
        <w:t>V</w:t>
      </w:r>
      <w:r>
        <w:rPr>
          <w:rFonts w:hint="default" w:ascii="Times New Roman" w:hAnsi="Times New Roman" w:eastAsia="宋体" w:cs="Times New Roman"/>
          <w:color w:val="FF0000"/>
          <w:spacing w:val="0"/>
          <w:sz w:val="24"/>
          <w:szCs w:val="24"/>
          <w:highlight w:val="none"/>
          <w:vertAlign w:val="subscript"/>
        </w:rPr>
        <w:t>g</w:t>
      </w:r>
      <w:r>
        <w:rPr>
          <w:rFonts w:hint="default" w:ascii="Times New Roman" w:hAnsi="Times New Roman" w:eastAsia="宋体" w:cs="Times New Roman"/>
          <w:color w:val="FF0000"/>
          <w:spacing w:val="0"/>
          <w:sz w:val="24"/>
          <w:szCs w:val="24"/>
          <w:highlight w:val="none"/>
          <w:lang w:eastAsia="zh-CN"/>
        </w:rPr>
        <w:t>为</w:t>
      </w:r>
      <w:r>
        <w:rPr>
          <w:rFonts w:hint="eastAsia" w:ascii="Times New Roman" w:hAnsi="Times New Roman" w:eastAsia="宋体" w:cs="Times New Roman"/>
          <w:color w:val="FF0000"/>
          <w:spacing w:val="0"/>
          <w:sz w:val="24"/>
          <w:szCs w:val="24"/>
          <w:highlight w:val="none"/>
          <w:lang w:val="en-US" w:eastAsia="zh-CN"/>
        </w:rPr>
        <w:t>6.51</w:t>
      </w:r>
      <w:r>
        <w:rPr>
          <w:rFonts w:hint="default" w:ascii="Times New Roman" w:hAnsi="Times New Roman" w:eastAsia="宋体" w:cs="Times New Roman"/>
          <w:color w:val="FF0000"/>
          <w:spacing w:val="0"/>
          <w:sz w:val="24"/>
          <w:szCs w:val="24"/>
          <w:highlight w:val="none"/>
        </w:rPr>
        <w:t>m</w:t>
      </w:r>
      <w:r>
        <w:rPr>
          <w:rFonts w:hint="default" w:ascii="Times New Roman" w:hAnsi="Times New Roman" w:eastAsia="宋体" w:cs="Times New Roman"/>
          <w:color w:val="FF0000"/>
          <w:spacing w:val="0"/>
          <w:sz w:val="24"/>
          <w:szCs w:val="24"/>
          <w:highlight w:val="none"/>
          <w:vertAlign w:val="superscript"/>
        </w:rPr>
        <w:t>3</w:t>
      </w:r>
      <w:r>
        <w:rPr>
          <w:rFonts w:hint="default" w:ascii="Times New Roman" w:hAnsi="Times New Roman" w:eastAsia="宋体" w:cs="Times New Roman"/>
          <w:color w:val="FF0000"/>
          <w:spacing w:val="0"/>
          <w:sz w:val="24"/>
          <w:szCs w:val="24"/>
          <w:highlight w:val="none"/>
        </w:rPr>
        <w:t>/kg</w:t>
      </w:r>
      <w:r>
        <w:rPr>
          <w:rFonts w:hint="default" w:ascii="Times New Roman" w:hAnsi="Times New Roman" w:eastAsia="宋体" w:cs="Times New Roman"/>
          <w:color w:val="FF0000"/>
          <w:spacing w:val="0"/>
          <w:sz w:val="24"/>
          <w:szCs w:val="24"/>
          <w:highlight w:val="none"/>
          <w:lang w:eastAsia="zh-CN"/>
        </w:rPr>
        <w:t>，</w:t>
      </w:r>
      <w:r>
        <w:rPr>
          <w:rFonts w:hint="default" w:ascii="Times New Roman" w:hAnsi="Times New Roman" w:eastAsia="宋体" w:cs="Times New Roman"/>
          <w:color w:val="FF0000"/>
          <w:spacing w:val="0"/>
          <w:sz w:val="24"/>
          <w:szCs w:val="24"/>
          <w:highlight w:val="none"/>
          <w:lang w:val="en-US" w:eastAsia="zh-CN"/>
        </w:rPr>
        <w:t>Vs为</w:t>
      </w:r>
      <w:r>
        <w:rPr>
          <w:rFonts w:hint="eastAsia" w:ascii="Times New Roman" w:hAnsi="Times New Roman" w:eastAsia="宋体" w:cs="Times New Roman"/>
          <w:color w:val="FF0000"/>
          <w:spacing w:val="0"/>
          <w:sz w:val="24"/>
          <w:szCs w:val="24"/>
          <w:highlight w:val="none"/>
          <w:lang w:val="en-US" w:eastAsia="zh-CN"/>
        </w:rPr>
        <w:t>7.03</w:t>
      </w:r>
      <w:r>
        <w:rPr>
          <w:rFonts w:hint="default" w:ascii="Times New Roman" w:hAnsi="Times New Roman" w:eastAsia="宋体" w:cs="Times New Roman"/>
          <w:color w:val="FF0000"/>
          <w:spacing w:val="0"/>
          <w:sz w:val="24"/>
          <w:szCs w:val="24"/>
          <w:highlight w:val="none"/>
        </w:rPr>
        <w:t>m</w:t>
      </w:r>
      <w:r>
        <w:rPr>
          <w:rFonts w:hint="default" w:ascii="Times New Roman" w:hAnsi="Times New Roman" w:eastAsia="宋体" w:cs="Times New Roman"/>
          <w:color w:val="FF0000"/>
          <w:spacing w:val="0"/>
          <w:sz w:val="24"/>
          <w:szCs w:val="24"/>
          <w:highlight w:val="none"/>
          <w:vertAlign w:val="superscript"/>
        </w:rPr>
        <w:t>3</w:t>
      </w:r>
      <w:r>
        <w:rPr>
          <w:rFonts w:hint="default" w:ascii="Times New Roman" w:hAnsi="Times New Roman" w:eastAsia="宋体" w:cs="Times New Roman"/>
          <w:color w:val="FF0000"/>
          <w:spacing w:val="0"/>
          <w:sz w:val="24"/>
          <w:szCs w:val="24"/>
          <w:highlight w:val="none"/>
        </w:rPr>
        <w:t>/kg</w:t>
      </w:r>
      <w:r>
        <w:rPr>
          <w:rFonts w:hint="default" w:ascii="Times New Roman" w:hAnsi="Times New Roman" w:eastAsia="宋体" w:cs="Times New Roman"/>
          <w:color w:val="FF0000"/>
          <w:spacing w:val="0"/>
          <w:sz w:val="24"/>
          <w:szCs w:val="24"/>
          <w:highlight w:val="none"/>
          <w:lang w:eastAsia="zh-CN"/>
        </w:rPr>
        <w:t>。</w:t>
      </w:r>
    </w:p>
    <w:p w14:paraId="581F1D86">
      <w:pPr>
        <w:pStyle w:val="69"/>
        <w:ind w:firstLine="480"/>
        <w:rPr>
          <w:rFonts w:hint="default" w:ascii="Times New Roman" w:hAnsi="Times New Roman" w:eastAsia="宋体" w:cs="Times New Roman"/>
          <w:color w:val="FF0000"/>
          <w:highlight w:val="none"/>
          <w:lang w:eastAsia="zh-CN"/>
        </w:rPr>
      </w:pPr>
      <w:r>
        <w:rPr>
          <w:rFonts w:hint="default" w:ascii="Times New Roman" w:hAnsi="Times New Roman" w:eastAsia="宋体" w:cs="Times New Roman"/>
          <w:color w:val="FF0000"/>
          <w:szCs w:val="24"/>
          <w:highlight w:val="none"/>
          <w:lang w:eastAsia="zh-CN"/>
        </w:rPr>
        <w:t>本项目燃煤量为</w:t>
      </w:r>
      <w:r>
        <w:rPr>
          <w:rFonts w:hint="eastAsia" w:ascii="Times New Roman" w:hAnsi="Times New Roman" w:cs="Times New Roman"/>
          <w:color w:val="FF0000"/>
          <w:szCs w:val="24"/>
          <w:highlight w:val="none"/>
          <w:lang w:val="en-US" w:eastAsia="zh-CN"/>
        </w:rPr>
        <w:t>14.42</w:t>
      </w:r>
      <w:r>
        <w:rPr>
          <w:rFonts w:hint="default" w:ascii="Times New Roman" w:hAnsi="Times New Roman" w:eastAsia="宋体" w:cs="Times New Roman"/>
          <w:color w:val="FF0000"/>
          <w:szCs w:val="24"/>
          <w:highlight w:val="none"/>
          <w:lang w:eastAsia="zh-CN"/>
        </w:rPr>
        <w:t>t/h，则</w:t>
      </w:r>
      <w:r>
        <w:rPr>
          <w:rFonts w:hint="default" w:ascii="Times New Roman" w:hAnsi="Times New Roman" w:eastAsia="宋体" w:cs="Times New Roman"/>
          <w:color w:val="FF0000"/>
          <w:szCs w:val="24"/>
          <w:highlight w:val="none"/>
          <w:lang w:val="en-US" w:eastAsia="zh-CN"/>
        </w:rPr>
        <w:t>干</w:t>
      </w:r>
      <w:r>
        <w:rPr>
          <w:rFonts w:hint="default" w:ascii="Times New Roman" w:hAnsi="Times New Roman" w:eastAsia="宋体" w:cs="Times New Roman"/>
          <w:color w:val="FF0000"/>
          <w:szCs w:val="24"/>
          <w:highlight w:val="none"/>
          <w:lang w:eastAsia="zh-CN"/>
        </w:rPr>
        <w:t>烟气量为</w:t>
      </w:r>
      <w:r>
        <w:rPr>
          <w:rFonts w:hint="eastAsia" w:ascii="Times New Roman" w:hAnsi="Times New Roman" w:cs="Times New Roman"/>
          <w:color w:val="FF0000"/>
          <w:szCs w:val="24"/>
          <w:highlight w:val="none"/>
          <w:lang w:val="en-US" w:eastAsia="zh-CN"/>
        </w:rPr>
        <w:t>93818.70</w:t>
      </w:r>
      <w:r>
        <w:rPr>
          <w:rFonts w:hint="default" w:ascii="Times New Roman" w:hAnsi="Times New Roman" w:eastAsia="宋体" w:cs="Times New Roman"/>
          <w:color w:val="FF0000"/>
          <w:szCs w:val="24"/>
          <w:highlight w:val="none"/>
        </w:rPr>
        <w:t>m</w:t>
      </w:r>
      <w:r>
        <w:rPr>
          <w:rFonts w:hint="default" w:ascii="Times New Roman" w:hAnsi="Times New Roman" w:eastAsia="宋体" w:cs="Times New Roman"/>
          <w:color w:val="FF0000"/>
          <w:szCs w:val="24"/>
          <w:highlight w:val="none"/>
          <w:vertAlign w:val="superscript"/>
        </w:rPr>
        <w:t>3</w:t>
      </w:r>
      <w:r>
        <w:rPr>
          <w:rFonts w:hint="default" w:ascii="Times New Roman" w:hAnsi="Times New Roman" w:eastAsia="宋体" w:cs="Times New Roman"/>
          <w:color w:val="FF0000"/>
          <w:szCs w:val="24"/>
          <w:highlight w:val="none"/>
        </w:rPr>
        <w:t>/h</w:t>
      </w:r>
      <w:r>
        <w:rPr>
          <w:rFonts w:hint="default" w:ascii="Times New Roman" w:hAnsi="Times New Roman" w:eastAsia="宋体" w:cs="Times New Roman"/>
          <w:color w:val="FF0000"/>
          <w:szCs w:val="24"/>
          <w:highlight w:val="none"/>
          <w:lang w:eastAsia="zh-CN"/>
        </w:rPr>
        <w:t>，</w:t>
      </w:r>
      <w:r>
        <w:rPr>
          <w:rFonts w:hint="eastAsia" w:ascii="Times New Roman" w:hAnsi="Times New Roman" w:cs="Times New Roman"/>
          <w:color w:val="FF0000"/>
          <w:szCs w:val="24"/>
          <w:highlight w:val="none"/>
          <w:lang w:val="en-US" w:eastAsia="zh-CN"/>
        </w:rPr>
        <w:t>101605654.7</w:t>
      </w:r>
      <w:r>
        <w:rPr>
          <w:rFonts w:hint="default" w:ascii="Times New Roman" w:hAnsi="Times New Roman" w:eastAsia="宋体" w:cs="Times New Roman"/>
          <w:color w:val="FF0000"/>
          <w:szCs w:val="24"/>
          <w:highlight w:val="none"/>
          <w:lang w:val="en-US" w:eastAsia="zh-CN"/>
        </w:rPr>
        <w:t>m</w:t>
      </w:r>
      <w:r>
        <w:rPr>
          <w:rFonts w:hint="default" w:ascii="Times New Roman" w:hAnsi="Times New Roman" w:eastAsia="宋体" w:cs="Times New Roman"/>
          <w:color w:val="FF0000"/>
          <w:szCs w:val="24"/>
          <w:highlight w:val="none"/>
          <w:vertAlign w:val="superscript"/>
          <w:lang w:val="en-US" w:eastAsia="zh-CN"/>
        </w:rPr>
        <w:t>3</w:t>
      </w:r>
      <w:r>
        <w:rPr>
          <w:rFonts w:hint="default" w:ascii="Times New Roman" w:hAnsi="Times New Roman" w:eastAsia="宋体" w:cs="Times New Roman"/>
          <w:color w:val="FF0000"/>
          <w:szCs w:val="24"/>
          <w:highlight w:val="none"/>
          <w:lang w:val="en-US" w:eastAsia="zh-CN"/>
        </w:rPr>
        <w:t>/</w:t>
      </w:r>
      <w:r>
        <w:rPr>
          <w:rFonts w:hint="eastAsia" w:ascii="Times New Roman" w:hAnsi="Times New Roman" w:cs="Times New Roman"/>
          <w:color w:val="FF0000"/>
          <w:szCs w:val="24"/>
          <w:highlight w:val="none"/>
          <w:lang w:val="en-US" w:eastAsia="zh-CN"/>
        </w:rPr>
        <w:t>a</w:t>
      </w:r>
      <w:r>
        <w:rPr>
          <w:rFonts w:hint="default" w:ascii="Times New Roman" w:hAnsi="Times New Roman" w:eastAsia="宋体" w:cs="Times New Roman"/>
          <w:color w:val="FF0000"/>
          <w:szCs w:val="24"/>
          <w:highlight w:val="none"/>
          <w:lang w:eastAsia="zh-CN"/>
        </w:rPr>
        <w:t>。</w:t>
      </w:r>
    </w:p>
    <w:p w14:paraId="06406A83">
      <w:pPr>
        <w:ind w:firstLine="480" w:firstLineChars="200"/>
        <w:contextualSpacing/>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根据《污染源源强核算技术指南 锅炉》（HJ991-2018），污染物排放情况计算过程如下：</w:t>
      </w:r>
    </w:p>
    <w:p w14:paraId="080F4F14">
      <w:pPr>
        <w:ind w:firstLine="480" w:firstLineChars="200"/>
        <w:contextualSpacing/>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（2）颗粒物</w:t>
      </w:r>
      <w:r>
        <w:rPr>
          <w:rFonts w:hint="eastAsia" w:ascii="Times New Roman" w:hAnsi="Times New Roman" w:eastAsia="宋体" w:cs="Times New Roman"/>
          <w:color w:val="FF0000"/>
          <w:highlight w:val="none"/>
          <w:lang w:eastAsia="zh-CN"/>
        </w:rPr>
        <w:t>（</w:t>
      </w:r>
      <w:r>
        <w:rPr>
          <w:rFonts w:hint="eastAsia" w:ascii="Times New Roman" w:hAnsi="Times New Roman" w:eastAsia="宋体" w:cs="Times New Roman"/>
          <w:color w:val="FF0000"/>
          <w:highlight w:val="none"/>
          <w:lang w:val="en-US" w:eastAsia="zh-CN"/>
        </w:rPr>
        <w:t>PM</w:t>
      </w:r>
      <w:r>
        <w:rPr>
          <w:rFonts w:hint="eastAsia" w:ascii="Times New Roman" w:hAnsi="Times New Roman" w:eastAsia="宋体" w:cs="Times New Roman"/>
          <w:color w:val="FF0000"/>
          <w:highlight w:val="none"/>
          <w:vertAlign w:val="subscript"/>
          <w:lang w:val="en-US" w:eastAsia="zh-CN"/>
        </w:rPr>
        <w:t>10</w:t>
      </w:r>
      <w:r>
        <w:rPr>
          <w:rFonts w:hint="eastAsia" w:ascii="Times New Roman" w:hAnsi="Times New Roman" w:eastAsia="宋体" w:cs="Times New Roman"/>
          <w:color w:val="FF0000"/>
          <w:highlight w:val="none"/>
          <w:lang w:eastAsia="zh-CN"/>
        </w:rPr>
        <w:t>）</w:t>
      </w:r>
      <w:r>
        <w:rPr>
          <w:rFonts w:hint="default" w:ascii="Times New Roman" w:hAnsi="Times New Roman" w:eastAsia="宋体" w:cs="Times New Roman"/>
          <w:color w:val="FF0000"/>
          <w:highlight w:val="none"/>
        </w:rPr>
        <w:t>排放量计算：</w:t>
      </w:r>
    </w:p>
    <w:p w14:paraId="447E74CE">
      <w:pPr>
        <w:ind w:firstLine="480" w:firstLineChars="200"/>
        <w:contextualSpacing/>
        <w:jc w:val="center"/>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position w:val="-56"/>
          <w:highlight w:val="none"/>
          <w:lang w:bidi="zh-CN"/>
        </w:rPr>
        <w:object>
          <v:shape id="_x0000_i1034" o:spt="75" type="#_x0000_t75" style="height:67.35pt;width:148.95pt;" o:ole="t" filled="f" o:preferrelative="t" stroked="f" coordsize="21600,21600">
            <v:path/>
            <v:fill on="f" focussize="0,0"/>
            <v:stroke on="f"/>
            <v:imagedata r:id="rId51" o:title=""/>
            <o:lock v:ext="edit" aspectratio="t"/>
            <w10:wrap type="none"/>
            <w10:anchorlock/>
          </v:shape>
          <o:OLEObject Type="Embed" ProgID="Equation.KSEE3" ShapeID="_x0000_i1034" DrawAspect="Content" ObjectID="_1468075734" r:id="rId50">
            <o:LockedField>false</o:LockedField>
          </o:OLEObject>
        </w:object>
      </w:r>
    </w:p>
    <w:p w14:paraId="3AED2434">
      <w:pPr>
        <w:ind w:firstLine="480" w:firstLineChars="200"/>
        <w:contextualSpacing/>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式中：E</w:t>
      </w:r>
      <w:r>
        <w:rPr>
          <w:rFonts w:hint="default" w:ascii="Times New Roman" w:hAnsi="Times New Roman" w:eastAsia="宋体" w:cs="Times New Roman"/>
          <w:color w:val="FF0000"/>
          <w:highlight w:val="none"/>
          <w:vertAlign w:val="subscript"/>
        </w:rPr>
        <w:t>A</w:t>
      </w:r>
      <w:r>
        <w:rPr>
          <w:rFonts w:hint="default" w:ascii="Times New Roman" w:hAnsi="Times New Roman" w:eastAsia="宋体" w:cs="Times New Roman"/>
          <w:color w:val="FF0000"/>
          <w:highlight w:val="none"/>
        </w:rPr>
        <w:t>——核算时段内颗粒物（烟尘）排放量，t；</w:t>
      </w:r>
    </w:p>
    <w:p w14:paraId="3149366F">
      <w:pPr>
        <w:ind w:firstLine="1200" w:firstLineChars="500"/>
        <w:contextualSpacing/>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R——核算时段内燃料耗量，</w:t>
      </w:r>
      <w:r>
        <w:rPr>
          <w:rFonts w:hint="eastAsia" w:ascii="Times New Roman" w:hAnsi="Times New Roman" w:eastAsia="宋体" w:cs="Times New Roman"/>
          <w:color w:val="FF0000"/>
          <w:szCs w:val="24"/>
          <w:highlight w:val="none"/>
          <w:lang w:val="en-US" w:eastAsia="zh-CN"/>
        </w:rPr>
        <w:t>14.42</w:t>
      </w:r>
      <w:r>
        <w:rPr>
          <w:rFonts w:hint="default" w:ascii="Times New Roman" w:hAnsi="Times New Roman" w:eastAsia="宋体" w:cs="Times New Roman"/>
          <w:color w:val="FF0000"/>
          <w:szCs w:val="24"/>
          <w:highlight w:val="none"/>
          <w:lang w:eastAsia="zh-CN"/>
        </w:rPr>
        <w:t>t/h</w:t>
      </w:r>
      <w:r>
        <w:rPr>
          <w:rFonts w:hint="default" w:ascii="Times New Roman" w:hAnsi="Times New Roman" w:eastAsia="宋体" w:cs="Times New Roman"/>
          <w:color w:val="FF0000"/>
          <w:highlight w:val="none"/>
        </w:rPr>
        <w:t>；</w:t>
      </w:r>
    </w:p>
    <w:p w14:paraId="6E675595">
      <w:pPr>
        <w:ind w:firstLine="1200" w:firstLineChars="500"/>
        <w:contextualSpacing/>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A</w:t>
      </w:r>
      <w:r>
        <w:rPr>
          <w:rFonts w:hint="default" w:ascii="Times New Roman" w:hAnsi="Times New Roman" w:eastAsia="宋体" w:cs="Times New Roman"/>
          <w:color w:val="FF0000"/>
          <w:highlight w:val="none"/>
          <w:vertAlign w:val="subscript"/>
        </w:rPr>
        <w:t>ar</w:t>
      </w:r>
      <w:r>
        <w:rPr>
          <w:rFonts w:hint="default" w:ascii="Times New Roman" w:hAnsi="Times New Roman" w:eastAsia="宋体" w:cs="Times New Roman"/>
          <w:color w:val="FF0000"/>
          <w:highlight w:val="none"/>
        </w:rPr>
        <w:t>——收到基灰分质量分数，</w:t>
      </w:r>
      <w:r>
        <w:rPr>
          <w:rFonts w:hint="eastAsia" w:ascii="Times New Roman" w:hAnsi="Times New Roman" w:eastAsia="宋体" w:cs="Times New Roman"/>
          <w:color w:val="FF0000"/>
          <w:highlight w:val="none"/>
          <w:lang w:val="en-US" w:eastAsia="zh-CN"/>
        </w:rPr>
        <w:t>35.55</w:t>
      </w:r>
      <w:r>
        <w:rPr>
          <w:rFonts w:hint="default" w:ascii="Times New Roman" w:hAnsi="Times New Roman" w:eastAsia="宋体" w:cs="Times New Roman"/>
          <w:color w:val="FF0000"/>
          <w:highlight w:val="none"/>
        </w:rPr>
        <w:t>%；</w:t>
      </w:r>
    </w:p>
    <w:p w14:paraId="051F8344">
      <w:pPr>
        <w:ind w:firstLine="1200" w:firstLineChars="500"/>
        <w:contextualSpacing/>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d</w:t>
      </w:r>
      <w:r>
        <w:rPr>
          <w:rFonts w:hint="default" w:ascii="Times New Roman" w:hAnsi="Times New Roman" w:eastAsia="宋体" w:cs="Times New Roman"/>
          <w:color w:val="FF0000"/>
          <w:highlight w:val="none"/>
          <w:vertAlign w:val="subscript"/>
        </w:rPr>
        <w:t>fh</w:t>
      </w:r>
      <w:r>
        <w:rPr>
          <w:rFonts w:hint="default" w:ascii="Times New Roman" w:hAnsi="Times New Roman" w:eastAsia="宋体" w:cs="Times New Roman"/>
          <w:color w:val="FF0000"/>
          <w:highlight w:val="none"/>
        </w:rPr>
        <w:t>——锅炉烟气带出的灰分份额，%；</w:t>
      </w:r>
      <w:r>
        <w:rPr>
          <w:rFonts w:hint="eastAsia" w:ascii="Times New Roman" w:hAnsi="Times New Roman" w:eastAsia="宋体" w:cs="Times New Roman"/>
          <w:color w:val="FF0000"/>
          <w:highlight w:val="none"/>
          <w:lang w:eastAsia="zh-CN"/>
        </w:rPr>
        <w:t>往复</w:t>
      </w:r>
      <w:r>
        <w:rPr>
          <w:rFonts w:hint="default" w:ascii="Times New Roman" w:hAnsi="Times New Roman" w:eastAsia="宋体" w:cs="Times New Roman"/>
          <w:color w:val="FF0000"/>
          <w:highlight w:val="none"/>
        </w:rPr>
        <w:t>炉</w:t>
      </w:r>
      <w:r>
        <w:rPr>
          <w:rFonts w:hint="eastAsia" w:ascii="Times New Roman" w:hAnsi="Times New Roman" w:eastAsia="宋体" w:cs="Times New Roman"/>
          <w:color w:val="FF0000"/>
          <w:highlight w:val="none"/>
          <w:lang w:eastAsia="zh-CN"/>
        </w:rPr>
        <w:t>排炉</w:t>
      </w:r>
      <w:r>
        <w:rPr>
          <w:rFonts w:hint="default" w:ascii="Times New Roman" w:hAnsi="Times New Roman" w:eastAsia="宋体" w:cs="Times New Roman"/>
          <w:color w:val="FF0000"/>
          <w:highlight w:val="none"/>
        </w:rPr>
        <w:t>取</w:t>
      </w:r>
      <w:r>
        <w:rPr>
          <w:rFonts w:hint="eastAsia" w:ascii="Times New Roman" w:hAnsi="Times New Roman" w:eastAsia="宋体" w:cs="Times New Roman"/>
          <w:color w:val="FF0000"/>
          <w:highlight w:val="none"/>
          <w:lang w:val="en-US" w:eastAsia="zh-CN"/>
        </w:rPr>
        <w:t>20</w:t>
      </w:r>
      <w:r>
        <w:rPr>
          <w:rFonts w:hint="default" w:ascii="Times New Roman" w:hAnsi="Times New Roman" w:eastAsia="宋体" w:cs="Times New Roman"/>
          <w:color w:val="FF0000"/>
          <w:highlight w:val="none"/>
        </w:rPr>
        <w:t>%</w:t>
      </w:r>
    </w:p>
    <w:p w14:paraId="65D23CFB">
      <w:pPr>
        <w:keepNext w:val="0"/>
        <w:keepLines w:val="0"/>
        <w:pageBreakBefore w:val="0"/>
        <w:widowControl w:val="0"/>
        <w:kinsoku/>
        <w:wordWrap/>
        <w:overflowPunct/>
        <w:topLinePunct w:val="0"/>
        <w:autoSpaceDE/>
        <w:autoSpaceDN/>
        <w:bidi w:val="0"/>
        <w:adjustRightInd/>
        <w:snapToGrid/>
        <w:ind w:firstLine="1200" w:firstLineChars="500"/>
        <w:contextualSpacing/>
        <w:textAlignment w:val="auto"/>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η</w:t>
      </w:r>
      <w:r>
        <w:rPr>
          <w:rFonts w:hint="default" w:ascii="Times New Roman" w:hAnsi="Times New Roman" w:eastAsia="宋体" w:cs="Times New Roman"/>
          <w:color w:val="FF0000"/>
          <w:highlight w:val="none"/>
          <w:lang w:val="en-US" w:eastAsia="zh-CN"/>
        </w:rPr>
        <w:t>c</w:t>
      </w:r>
      <w:r>
        <w:rPr>
          <w:rFonts w:hint="default" w:ascii="Times New Roman" w:hAnsi="Times New Roman" w:eastAsia="宋体" w:cs="Times New Roman"/>
          <w:color w:val="FF0000"/>
          <w:highlight w:val="none"/>
        </w:rPr>
        <w:t>——综合除尘效率，%；取99.9</w:t>
      </w:r>
      <w:r>
        <w:rPr>
          <w:rFonts w:hint="eastAsia" w:ascii="Times New Roman" w:hAnsi="Times New Roman" w:eastAsia="宋体" w:cs="Times New Roman"/>
          <w:color w:val="FF0000"/>
          <w:highlight w:val="none"/>
          <w:lang w:val="en-US" w:eastAsia="zh-CN"/>
        </w:rPr>
        <w:t>5</w:t>
      </w:r>
      <w:r>
        <w:rPr>
          <w:rFonts w:hint="default" w:ascii="Times New Roman" w:hAnsi="Times New Roman" w:eastAsia="宋体" w:cs="Times New Roman"/>
          <w:color w:val="FF0000"/>
          <w:highlight w:val="none"/>
        </w:rPr>
        <w:t>%</w:t>
      </w:r>
    </w:p>
    <w:p w14:paraId="50218A94">
      <w:pPr>
        <w:ind w:firstLine="1155" w:firstLineChars="550"/>
        <w:contextualSpacing/>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sz w:val="21"/>
          <w:highlight w:val="none"/>
        </w:rPr>
        <w:t>C</w:t>
      </w:r>
      <w:r>
        <w:rPr>
          <w:rFonts w:hint="default" w:ascii="Times New Roman" w:hAnsi="Times New Roman" w:eastAsia="宋体" w:cs="Times New Roman"/>
          <w:color w:val="FF0000"/>
          <w:sz w:val="21"/>
          <w:highlight w:val="none"/>
          <w:vertAlign w:val="subscript"/>
        </w:rPr>
        <w:t>fh</w:t>
      </w:r>
      <w:r>
        <w:rPr>
          <w:rFonts w:hint="default" w:ascii="Times New Roman" w:hAnsi="Times New Roman" w:eastAsia="宋体" w:cs="Times New Roman"/>
          <w:color w:val="FF0000"/>
          <w:highlight w:val="none"/>
        </w:rPr>
        <w:t>——飞灰中的可燃物含量，%；取</w:t>
      </w:r>
      <w:r>
        <w:rPr>
          <w:rFonts w:hint="eastAsia" w:ascii="Times New Roman" w:hAnsi="Times New Roman" w:eastAsia="宋体" w:cs="Times New Roman"/>
          <w:color w:val="FF0000"/>
          <w:highlight w:val="none"/>
          <w:lang w:val="en-US" w:eastAsia="zh-CN"/>
        </w:rPr>
        <w:t>13</w:t>
      </w:r>
      <w:r>
        <w:rPr>
          <w:rFonts w:hint="default" w:ascii="Times New Roman" w:hAnsi="Times New Roman" w:eastAsia="宋体" w:cs="Times New Roman"/>
          <w:color w:val="FF0000"/>
          <w:highlight w:val="none"/>
        </w:rPr>
        <w:t>。</w:t>
      </w:r>
    </w:p>
    <w:p w14:paraId="22DF64F7">
      <w:pPr>
        <w:ind w:firstLine="600" w:firstLineChars="250"/>
        <w:contextualSpacing/>
        <w:rPr>
          <w:rFonts w:hint="default"/>
          <w:color w:val="FF0000"/>
          <w:sz w:val="24"/>
          <w:szCs w:val="24"/>
          <w:highlight w:val="none"/>
          <w:vertAlign w:val="baseline"/>
          <w:lang w:val="en-US" w:eastAsia="zh-CN"/>
        </w:rPr>
      </w:pPr>
      <w:r>
        <w:rPr>
          <w:rFonts w:hint="eastAsia" w:ascii="Times New Roman" w:hAnsi="Times New Roman" w:eastAsia="宋体" w:cs="Times New Roman"/>
          <w:color w:val="FF0000"/>
          <w:sz w:val="24"/>
          <w:szCs w:val="24"/>
          <w:highlight w:val="none"/>
          <w:lang w:eastAsia="zh-CN"/>
        </w:rPr>
        <w:t>计算得出</w:t>
      </w:r>
      <w:r>
        <w:rPr>
          <w:rFonts w:hint="eastAsia" w:ascii="Times New Roman" w:hAnsi="Times New Roman" w:eastAsia="宋体" w:cs="Times New Roman"/>
          <w:color w:val="FF0000"/>
          <w:sz w:val="24"/>
          <w:szCs w:val="24"/>
          <w:highlight w:val="none"/>
          <w:vertAlign w:val="baseline"/>
          <w:lang w:val="en-US" w:eastAsia="zh-CN"/>
        </w:rPr>
        <w:t>颗粒物</w:t>
      </w:r>
      <w:r>
        <w:rPr>
          <w:rFonts w:hint="eastAsia" w:ascii="Times New Roman" w:hAnsi="Times New Roman" w:eastAsia="宋体" w:cs="Times New Roman"/>
          <w:color w:val="FF0000"/>
          <w:sz w:val="24"/>
          <w:szCs w:val="24"/>
          <w:highlight w:val="none"/>
          <w:lang w:eastAsia="zh-CN"/>
        </w:rPr>
        <w:t>排放量为</w:t>
      </w:r>
      <w:r>
        <w:rPr>
          <w:rFonts w:hint="eastAsia" w:ascii="Times New Roman" w:hAnsi="Times New Roman" w:eastAsia="宋体" w:cs="Times New Roman"/>
          <w:color w:val="FF0000"/>
          <w:sz w:val="24"/>
          <w:szCs w:val="24"/>
          <w:highlight w:val="none"/>
          <w:lang w:val="en-US" w:eastAsia="zh-CN"/>
        </w:rPr>
        <w:t>0.59t/a，0.79kg/h，排放浓度为6.28mg/m</w:t>
      </w:r>
      <w:r>
        <w:rPr>
          <w:rFonts w:hint="eastAsia" w:ascii="Times New Roman" w:hAnsi="Times New Roman" w:eastAsia="宋体" w:cs="Times New Roman"/>
          <w:color w:val="FF0000"/>
          <w:sz w:val="24"/>
          <w:szCs w:val="24"/>
          <w:highlight w:val="none"/>
          <w:vertAlign w:val="superscript"/>
          <w:lang w:val="en-US" w:eastAsia="zh-CN"/>
        </w:rPr>
        <w:t>3</w:t>
      </w:r>
      <w:r>
        <w:rPr>
          <w:rFonts w:hint="eastAsia" w:ascii="Times New Roman" w:hAnsi="Times New Roman" w:eastAsia="宋体" w:cs="Times New Roman"/>
          <w:color w:val="FF0000"/>
          <w:sz w:val="24"/>
          <w:szCs w:val="24"/>
          <w:highlight w:val="none"/>
          <w:vertAlign w:val="baseline"/>
          <w:lang w:val="en-US" w:eastAsia="zh-CN"/>
        </w:rPr>
        <w:t>；颗粒物产生量为1276.27t/a，1178.46kg/h，产生浓度为12561.06</w:t>
      </w:r>
      <w:r>
        <w:rPr>
          <w:rFonts w:hint="eastAsia" w:ascii="Times New Roman" w:hAnsi="Times New Roman" w:eastAsia="宋体" w:cs="Times New Roman"/>
          <w:color w:val="FF0000"/>
          <w:sz w:val="24"/>
          <w:szCs w:val="24"/>
          <w:highlight w:val="none"/>
          <w:lang w:val="en-US" w:eastAsia="zh-CN"/>
        </w:rPr>
        <w:t>mg/m</w:t>
      </w:r>
      <w:r>
        <w:rPr>
          <w:rFonts w:hint="eastAsia" w:ascii="Times New Roman" w:hAnsi="Times New Roman" w:eastAsia="宋体" w:cs="Times New Roman"/>
          <w:color w:val="FF0000"/>
          <w:sz w:val="24"/>
          <w:szCs w:val="24"/>
          <w:highlight w:val="none"/>
          <w:vertAlign w:val="superscript"/>
          <w:lang w:val="en-US" w:eastAsia="zh-CN"/>
        </w:rPr>
        <w:t>3</w:t>
      </w:r>
      <w:r>
        <w:rPr>
          <w:rFonts w:hint="eastAsia" w:ascii="Times New Roman" w:hAnsi="Times New Roman" w:eastAsia="宋体" w:cs="Times New Roman"/>
          <w:color w:val="FF0000"/>
          <w:sz w:val="24"/>
          <w:szCs w:val="24"/>
          <w:highlight w:val="none"/>
          <w:vertAlign w:val="baseline"/>
          <w:lang w:val="en-US" w:eastAsia="zh-CN"/>
        </w:rPr>
        <w:t>。</w:t>
      </w:r>
    </w:p>
    <w:p w14:paraId="3A57E88A">
      <w:pPr>
        <w:ind w:firstLine="525" w:firstLineChars="250"/>
        <w:contextualSpacing/>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sz w:val="21"/>
          <w:highlight w:val="none"/>
        </w:rPr>
        <w:t>（3）</w:t>
      </w:r>
      <w:r>
        <w:rPr>
          <w:rFonts w:hint="default" w:ascii="Times New Roman" w:hAnsi="Times New Roman" w:eastAsia="宋体" w:cs="Times New Roman"/>
          <w:color w:val="FF0000"/>
          <w:highlight w:val="none"/>
        </w:rPr>
        <w:t>SO</w:t>
      </w:r>
      <w:r>
        <w:rPr>
          <w:rFonts w:hint="default" w:ascii="Times New Roman" w:hAnsi="Times New Roman" w:eastAsia="宋体" w:cs="Times New Roman"/>
          <w:color w:val="FF0000"/>
          <w:highlight w:val="none"/>
          <w:vertAlign w:val="subscript"/>
        </w:rPr>
        <w:t>2</w:t>
      </w:r>
      <w:r>
        <w:rPr>
          <w:rFonts w:hint="default" w:ascii="Times New Roman" w:hAnsi="Times New Roman" w:eastAsia="宋体" w:cs="Times New Roman"/>
          <w:color w:val="FF0000"/>
          <w:highlight w:val="none"/>
        </w:rPr>
        <w:t>排放量计算：</w:t>
      </w:r>
    </w:p>
    <w:p w14:paraId="5FF2E61E">
      <w:pPr>
        <w:ind w:firstLine="600" w:firstLineChars="250"/>
        <w:contextualSpacing/>
        <w:jc w:val="center"/>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position w:val="-28"/>
          <w:highlight w:val="none"/>
          <w:lang w:bidi="zh-CN"/>
        </w:rPr>
        <w:object>
          <v:shape id="_x0000_i1035" o:spt="75" type="#_x0000_t75" style="height:37.4pt;width:208.1pt;" o:ole="t" filled="f" o:preferrelative="t" stroked="f" coordsize="21600,21600">
            <v:path/>
            <v:fill on="f" focussize="0,0"/>
            <v:stroke on="f"/>
            <v:imagedata r:id="rId53" o:title=""/>
            <o:lock v:ext="edit" aspectratio="t"/>
            <w10:wrap type="none"/>
            <w10:anchorlock/>
          </v:shape>
          <o:OLEObject Type="Embed" ProgID="Equation.KSEE3" ShapeID="_x0000_i1035" DrawAspect="Content" ObjectID="_1468075735" r:id="rId52">
            <o:LockedField>false</o:LockedField>
          </o:OLEObject>
        </w:object>
      </w:r>
    </w:p>
    <w:p w14:paraId="3E85EF2B">
      <w:pPr>
        <w:ind w:firstLine="480" w:firstLineChars="200"/>
        <w:contextualSpacing/>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式中：E</w:t>
      </w:r>
      <w:r>
        <w:rPr>
          <w:rFonts w:hint="default" w:ascii="Times New Roman" w:hAnsi="Times New Roman" w:eastAsia="宋体" w:cs="Times New Roman"/>
          <w:color w:val="FF0000"/>
          <w:highlight w:val="none"/>
          <w:vertAlign w:val="subscript"/>
        </w:rPr>
        <w:t>SO2</w:t>
      </w:r>
      <w:r>
        <w:rPr>
          <w:rFonts w:hint="default" w:ascii="Times New Roman" w:hAnsi="Times New Roman" w:eastAsia="宋体" w:cs="Times New Roman"/>
          <w:color w:val="FF0000"/>
          <w:highlight w:val="none"/>
        </w:rPr>
        <w:t>——核算时段内二氧化硫排放量，t；</w:t>
      </w:r>
    </w:p>
    <w:p w14:paraId="44F40D1E">
      <w:pPr>
        <w:ind w:firstLine="1200" w:firstLineChars="500"/>
        <w:contextualSpacing/>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highlight w:val="none"/>
        </w:rPr>
        <w:t>R——核算时段内燃料耗量，</w:t>
      </w:r>
      <w:r>
        <w:rPr>
          <w:rFonts w:hint="eastAsia" w:ascii="Times New Roman" w:hAnsi="Times New Roman" w:eastAsia="宋体" w:cs="Times New Roman"/>
          <w:color w:val="FF0000"/>
          <w:szCs w:val="24"/>
          <w:highlight w:val="none"/>
          <w:lang w:val="en-US" w:eastAsia="zh-CN"/>
        </w:rPr>
        <w:t>14.42</w:t>
      </w:r>
      <w:r>
        <w:rPr>
          <w:rFonts w:hint="default" w:ascii="Times New Roman" w:hAnsi="Times New Roman" w:eastAsia="宋体" w:cs="Times New Roman"/>
          <w:color w:val="FF0000"/>
          <w:szCs w:val="24"/>
          <w:highlight w:val="none"/>
          <w:lang w:eastAsia="zh-CN"/>
        </w:rPr>
        <w:t>t/h；</w:t>
      </w:r>
      <w:bookmarkStart w:id="716" w:name="_GoBack"/>
      <w:bookmarkEnd w:id="716"/>
    </w:p>
    <w:p w14:paraId="1F83F269">
      <w:pPr>
        <w:ind w:firstLine="1200" w:firstLineChars="500"/>
        <w:contextualSpacing/>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S</w:t>
      </w:r>
      <w:r>
        <w:rPr>
          <w:rFonts w:hint="default" w:ascii="Times New Roman" w:hAnsi="Times New Roman" w:eastAsia="宋体" w:cs="Times New Roman"/>
          <w:color w:val="FF0000"/>
          <w:highlight w:val="none"/>
          <w:vertAlign w:val="subscript"/>
        </w:rPr>
        <w:t>ar</w:t>
      </w:r>
      <w:r>
        <w:rPr>
          <w:rFonts w:hint="default" w:ascii="Times New Roman" w:hAnsi="Times New Roman" w:eastAsia="宋体" w:cs="Times New Roman"/>
          <w:color w:val="FF0000"/>
          <w:highlight w:val="none"/>
        </w:rPr>
        <w:t>——收到基硫质量分数，</w:t>
      </w:r>
      <w:r>
        <w:rPr>
          <w:rFonts w:hint="eastAsia" w:ascii="Times New Roman" w:hAnsi="Times New Roman" w:eastAsia="宋体" w:cs="Times New Roman"/>
          <w:color w:val="FF0000"/>
          <w:highlight w:val="none"/>
          <w:lang w:val="en-US" w:eastAsia="zh-CN"/>
        </w:rPr>
        <w:t>0.23</w:t>
      </w:r>
      <w:r>
        <w:rPr>
          <w:rFonts w:hint="default" w:ascii="Times New Roman" w:hAnsi="Times New Roman" w:eastAsia="宋体" w:cs="Times New Roman"/>
          <w:color w:val="FF0000"/>
          <w:highlight w:val="none"/>
        </w:rPr>
        <w:t>%；</w:t>
      </w:r>
    </w:p>
    <w:p w14:paraId="74E90225">
      <w:pPr>
        <w:ind w:firstLine="1200" w:firstLineChars="500"/>
        <w:contextualSpacing/>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highlight w:val="none"/>
        </w:rPr>
        <w:t>q</w:t>
      </w:r>
      <w:r>
        <w:rPr>
          <w:rFonts w:hint="default" w:ascii="Times New Roman" w:hAnsi="Times New Roman" w:eastAsia="宋体" w:cs="Times New Roman"/>
          <w:color w:val="FF0000"/>
          <w:highlight w:val="none"/>
          <w:vertAlign w:val="subscript"/>
        </w:rPr>
        <w:t>4</w:t>
      </w:r>
      <w:r>
        <w:rPr>
          <w:rFonts w:hint="default" w:ascii="Times New Roman" w:hAnsi="Times New Roman" w:eastAsia="宋体" w:cs="Times New Roman"/>
          <w:color w:val="FF0000"/>
          <w:highlight w:val="none"/>
        </w:rPr>
        <w:t>——锅炉机械不完全燃烧热损失，%；燃煤</w:t>
      </w:r>
      <w:r>
        <w:rPr>
          <w:rFonts w:hint="eastAsia" w:ascii="Times New Roman" w:hAnsi="Times New Roman" w:eastAsia="宋体" w:cs="Times New Roman"/>
          <w:color w:val="FF0000"/>
          <w:highlight w:val="none"/>
          <w:lang w:eastAsia="zh-CN"/>
        </w:rPr>
        <w:t>往复炉排炉</w:t>
      </w:r>
      <w:r>
        <w:rPr>
          <w:rFonts w:hint="default" w:ascii="Times New Roman" w:hAnsi="Times New Roman" w:eastAsia="宋体" w:cs="Times New Roman"/>
          <w:color w:val="FF0000"/>
          <w:highlight w:val="none"/>
        </w:rPr>
        <w:t>取</w:t>
      </w:r>
      <w:r>
        <w:rPr>
          <w:rFonts w:hint="eastAsia" w:ascii="Times New Roman" w:hAnsi="Times New Roman" w:eastAsia="宋体" w:cs="Times New Roman"/>
          <w:color w:val="FF0000"/>
          <w:highlight w:val="none"/>
          <w:lang w:val="en-US" w:eastAsia="zh-CN"/>
        </w:rPr>
        <w:t>12</w:t>
      </w:r>
    </w:p>
    <w:p w14:paraId="0B20516C">
      <w:pPr>
        <w:keepNext w:val="0"/>
        <w:keepLines w:val="0"/>
        <w:pageBreakBefore w:val="0"/>
        <w:widowControl w:val="0"/>
        <w:kinsoku/>
        <w:wordWrap/>
        <w:overflowPunct/>
        <w:topLinePunct w:val="0"/>
        <w:autoSpaceDE/>
        <w:autoSpaceDN/>
        <w:bidi w:val="0"/>
        <w:adjustRightInd/>
        <w:snapToGrid/>
        <w:ind w:firstLine="1200" w:firstLineChars="500"/>
        <w:contextualSpacing/>
        <w:textAlignment w:val="auto"/>
        <w:rPr>
          <w:rFonts w:hint="default" w:ascii="Times New Roman" w:hAnsi="Times New Roman" w:eastAsia="宋体" w:cs="Times New Roman"/>
          <w:color w:val="FF0000"/>
          <w:highlight w:val="none"/>
          <w:lang w:eastAsia="zh-CN"/>
        </w:rPr>
      </w:pPr>
      <w:r>
        <w:rPr>
          <w:rFonts w:hint="default" w:ascii="Times New Roman" w:hAnsi="Times New Roman" w:eastAsia="宋体" w:cs="Times New Roman"/>
          <w:color w:val="FF0000"/>
          <w:highlight w:val="none"/>
        </w:rPr>
        <w:t>η</w:t>
      </w:r>
      <w:r>
        <w:rPr>
          <w:rFonts w:hint="default" w:ascii="Times New Roman" w:hAnsi="Times New Roman" w:eastAsia="宋体" w:cs="Times New Roman"/>
          <w:color w:val="FF0000"/>
          <w:highlight w:val="none"/>
          <w:lang w:val="en-US" w:eastAsia="zh-CN"/>
        </w:rPr>
        <w:t>c</w:t>
      </w:r>
      <w:r>
        <w:rPr>
          <w:rFonts w:hint="default" w:ascii="Times New Roman" w:hAnsi="Times New Roman" w:eastAsia="宋体" w:cs="Times New Roman"/>
          <w:color w:val="FF0000"/>
          <w:highlight w:val="none"/>
        </w:rPr>
        <w:t>——脱硫效率，</w:t>
      </w:r>
      <w:r>
        <w:rPr>
          <w:rFonts w:hint="eastAsia" w:ascii="Times New Roman" w:hAnsi="Times New Roman" w:eastAsia="宋体" w:cs="Times New Roman"/>
          <w:color w:val="FF0000"/>
          <w:highlight w:val="none"/>
          <w:lang w:val="en-US" w:eastAsia="zh-CN"/>
        </w:rPr>
        <w:t>95</w:t>
      </w:r>
      <w:r>
        <w:rPr>
          <w:rFonts w:hint="default" w:ascii="Times New Roman" w:hAnsi="Times New Roman" w:eastAsia="宋体" w:cs="Times New Roman"/>
          <w:color w:val="FF0000"/>
          <w:highlight w:val="none"/>
        </w:rPr>
        <w:t>%</w:t>
      </w:r>
      <w:r>
        <w:rPr>
          <w:rFonts w:hint="default" w:ascii="Times New Roman" w:hAnsi="Times New Roman" w:eastAsia="宋体" w:cs="Times New Roman"/>
          <w:color w:val="FF0000"/>
          <w:highlight w:val="none"/>
          <w:lang w:eastAsia="zh-CN"/>
        </w:rPr>
        <w:t>；</w:t>
      </w:r>
    </w:p>
    <w:p w14:paraId="3028DF20">
      <w:pPr>
        <w:keepNext w:val="0"/>
        <w:keepLines w:val="0"/>
        <w:pageBreakBefore w:val="0"/>
        <w:widowControl w:val="0"/>
        <w:kinsoku/>
        <w:wordWrap/>
        <w:overflowPunct/>
        <w:topLinePunct w:val="0"/>
        <w:autoSpaceDE/>
        <w:autoSpaceDN/>
        <w:bidi w:val="0"/>
        <w:adjustRightInd/>
        <w:snapToGrid/>
        <w:ind w:firstLine="1155" w:firstLineChars="550"/>
        <w:contextualSpacing/>
        <w:textAlignment w:val="auto"/>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sz w:val="21"/>
          <w:highlight w:val="none"/>
        </w:rPr>
        <w:t>K</w:t>
      </w:r>
      <w:r>
        <w:rPr>
          <w:rFonts w:hint="default" w:ascii="Times New Roman" w:hAnsi="Times New Roman" w:eastAsia="宋体" w:cs="Times New Roman"/>
          <w:color w:val="FF0000"/>
          <w:highlight w:val="none"/>
        </w:rPr>
        <w:t>——燃料中的硫燃烧后氧化成二氧化硫的份额，量纲一的量；</w:t>
      </w:r>
      <w:r>
        <w:rPr>
          <w:rFonts w:hint="eastAsia" w:ascii="Times New Roman" w:hAnsi="Times New Roman" w:eastAsia="宋体" w:cs="Times New Roman"/>
          <w:color w:val="FF0000"/>
          <w:highlight w:val="none"/>
          <w:lang w:eastAsia="zh-CN"/>
        </w:rPr>
        <w:t>往复炉排炉按层燃</w:t>
      </w:r>
      <w:r>
        <w:rPr>
          <w:rFonts w:hint="default" w:ascii="Times New Roman" w:hAnsi="Times New Roman" w:eastAsia="宋体" w:cs="Times New Roman"/>
          <w:color w:val="FF0000"/>
          <w:highlight w:val="none"/>
        </w:rPr>
        <w:t>炉取0.8</w:t>
      </w:r>
      <w:r>
        <w:rPr>
          <w:rFonts w:hint="eastAsia" w:ascii="Times New Roman" w:hAnsi="Times New Roman" w:eastAsia="宋体" w:cs="Times New Roman"/>
          <w:color w:val="FF0000"/>
          <w:highlight w:val="none"/>
          <w:lang w:val="en-US" w:eastAsia="zh-CN"/>
        </w:rPr>
        <w:t>5</w:t>
      </w:r>
      <w:r>
        <w:rPr>
          <w:rFonts w:hint="default" w:ascii="Times New Roman" w:hAnsi="Times New Roman" w:eastAsia="宋体" w:cs="Times New Roman"/>
          <w:color w:val="FF0000"/>
          <w:highlight w:val="none"/>
        </w:rPr>
        <w:t>。</w:t>
      </w:r>
    </w:p>
    <w:p w14:paraId="3CBCA051">
      <w:pPr>
        <w:ind w:firstLine="600" w:firstLineChars="250"/>
        <w:contextualSpacing/>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计算得出二氧化硫排放量为</w:t>
      </w:r>
      <w:r>
        <w:rPr>
          <w:rFonts w:hint="eastAsia" w:ascii="Times New Roman" w:hAnsi="Times New Roman" w:eastAsia="宋体" w:cs="Times New Roman"/>
          <w:color w:val="FF0000"/>
          <w:highlight w:val="none"/>
          <w:lang w:val="en-US" w:eastAsia="zh-CN"/>
        </w:rPr>
        <w:t>2.69t/a，2.48</w:t>
      </w:r>
      <w:r>
        <w:rPr>
          <w:rFonts w:hint="default" w:ascii="Times New Roman" w:hAnsi="Times New Roman" w:eastAsia="宋体" w:cs="Times New Roman"/>
          <w:color w:val="FF0000"/>
          <w:highlight w:val="none"/>
          <w:lang w:val="en-US" w:eastAsia="zh-CN"/>
        </w:rPr>
        <w:t>kg/h</w:t>
      </w:r>
      <w:r>
        <w:rPr>
          <w:rFonts w:hint="default" w:ascii="Times New Roman" w:hAnsi="Times New Roman" w:eastAsia="宋体" w:cs="Times New Roman"/>
          <w:color w:val="FF0000"/>
          <w:highlight w:val="none"/>
        </w:rPr>
        <w:t>，排放浓度为</w:t>
      </w:r>
      <w:r>
        <w:rPr>
          <w:rFonts w:hint="eastAsia" w:ascii="Times New Roman" w:hAnsi="Times New Roman" w:eastAsia="宋体" w:cs="Times New Roman"/>
          <w:color w:val="FF0000"/>
          <w:highlight w:val="none"/>
          <w:lang w:val="en-US" w:eastAsia="zh-CN"/>
        </w:rPr>
        <w:t>26.44</w:t>
      </w:r>
      <w:r>
        <w:rPr>
          <w:rFonts w:hint="default" w:ascii="Times New Roman" w:hAnsi="Times New Roman" w:eastAsia="宋体" w:cs="Times New Roman"/>
          <w:color w:val="FF0000"/>
          <w:highlight w:val="none"/>
        </w:rPr>
        <w:t>mg/m</w:t>
      </w:r>
      <w:r>
        <w:rPr>
          <w:rFonts w:hint="default" w:ascii="Times New Roman" w:hAnsi="Times New Roman" w:eastAsia="宋体" w:cs="Times New Roman"/>
          <w:color w:val="FF0000"/>
          <w:highlight w:val="none"/>
          <w:vertAlign w:val="superscript"/>
        </w:rPr>
        <w:t>3</w:t>
      </w:r>
      <w:r>
        <w:rPr>
          <w:rFonts w:hint="default" w:ascii="Times New Roman" w:hAnsi="Times New Roman" w:eastAsia="宋体" w:cs="Times New Roman"/>
          <w:color w:val="FF0000"/>
          <w:highlight w:val="none"/>
          <w:lang w:eastAsia="zh-CN"/>
        </w:rPr>
        <w:t>；</w:t>
      </w:r>
      <w:r>
        <w:rPr>
          <w:rFonts w:hint="default" w:ascii="Times New Roman" w:hAnsi="Times New Roman" w:eastAsia="宋体" w:cs="Times New Roman"/>
          <w:color w:val="FF0000"/>
          <w:highlight w:val="none"/>
        </w:rPr>
        <w:t>二氧化硫产生量为</w:t>
      </w:r>
      <w:r>
        <w:rPr>
          <w:rFonts w:hint="eastAsia" w:ascii="Times New Roman" w:hAnsi="Times New Roman" w:eastAsia="宋体" w:cs="Times New Roman"/>
          <w:color w:val="FF0000"/>
          <w:highlight w:val="none"/>
          <w:lang w:val="en-US" w:eastAsia="zh-CN"/>
        </w:rPr>
        <w:t>53.73t/a，49.62</w:t>
      </w:r>
      <w:r>
        <w:rPr>
          <w:rFonts w:hint="default" w:ascii="Times New Roman" w:hAnsi="Times New Roman" w:eastAsia="宋体" w:cs="Times New Roman"/>
          <w:color w:val="FF0000"/>
          <w:highlight w:val="none"/>
          <w:lang w:val="en-US" w:eastAsia="zh-CN"/>
        </w:rPr>
        <w:t>kg/h</w:t>
      </w:r>
      <w:r>
        <w:rPr>
          <w:rFonts w:hint="default" w:ascii="Times New Roman" w:hAnsi="Times New Roman" w:eastAsia="宋体" w:cs="Times New Roman"/>
          <w:color w:val="FF0000"/>
          <w:highlight w:val="none"/>
        </w:rPr>
        <w:t>，产生浓度为</w:t>
      </w:r>
      <w:r>
        <w:rPr>
          <w:rFonts w:hint="eastAsia" w:ascii="Times New Roman" w:hAnsi="Times New Roman" w:eastAsia="宋体" w:cs="Times New Roman"/>
          <w:color w:val="FF0000"/>
          <w:highlight w:val="none"/>
          <w:lang w:val="en-US" w:eastAsia="zh-CN"/>
        </w:rPr>
        <w:t>528.85</w:t>
      </w:r>
      <w:r>
        <w:rPr>
          <w:rFonts w:hint="default" w:ascii="Times New Roman" w:hAnsi="Times New Roman" w:eastAsia="宋体" w:cs="Times New Roman"/>
          <w:color w:val="FF0000"/>
          <w:highlight w:val="none"/>
        </w:rPr>
        <w:t>mg/m</w:t>
      </w:r>
      <w:r>
        <w:rPr>
          <w:rFonts w:hint="default" w:ascii="Times New Roman" w:hAnsi="Times New Roman" w:eastAsia="宋体" w:cs="Times New Roman"/>
          <w:color w:val="FF0000"/>
          <w:highlight w:val="none"/>
          <w:vertAlign w:val="superscript"/>
        </w:rPr>
        <w:t>3</w:t>
      </w:r>
      <w:r>
        <w:rPr>
          <w:rFonts w:hint="default" w:ascii="Times New Roman" w:hAnsi="Times New Roman" w:eastAsia="宋体" w:cs="Times New Roman"/>
          <w:color w:val="FF0000"/>
          <w:highlight w:val="none"/>
        </w:rPr>
        <w:t>。</w:t>
      </w:r>
    </w:p>
    <w:p w14:paraId="6A755A1B">
      <w:pPr>
        <w:ind w:firstLine="600" w:firstLineChars="250"/>
        <w:contextualSpacing/>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（4）NO</w:t>
      </w:r>
      <w:r>
        <w:rPr>
          <w:rFonts w:hint="default" w:ascii="Times New Roman" w:hAnsi="Times New Roman" w:eastAsia="宋体" w:cs="Times New Roman"/>
          <w:color w:val="FF0000"/>
          <w:highlight w:val="none"/>
          <w:vertAlign w:val="subscript"/>
        </w:rPr>
        <w:t>X</w:t>
      </w:r>
      <w:r>
        <w:rPr>
          <w:rFonts w:hint="default" w:ascii="Times New Roman" w:hAnsi="Times New Roman" w:eastAsia="宋体" w:cs="Times New Roman"/>
          <w:color w:val="FF0000"/>
          <w:highlight w:val="none"/>
        </w:rPr>
        <w:t>排放量计算：</w:t>
      </w:r>
    </w:p>
    <w:p w14:paraId="0310D06F">
      <w:pPr>
        <w:ind w:firstLine="600" w:firstLineChars="250"/>
        <w:contextualSpacing/>
        <w:jc w:val="center"/>
        <w:rPr>
          <w:rFonts w:hint="default" w:ascii="Times New Roman" w:hAnsi="Times New Roman" w:eastAsia="宋体" w:cs="Times New Roman"/>
          <w:color w:val="FF0000"/>
          <w:sz w:val="21"/>
          <w:highlight w:val="none"/>
        </w:rPr>
      </w:pPr>
      <w:r>
        <w:rPr>
          <w:rFonts w:hint="default" w:ascii="Times New Roman" w:hAnsi="Times New Roman" w:eastAsia="宋体" w:cs="Times New Roman"/>
          <w:color w:val="FF0000"/>
          <w:position w:val="-32"/>
          <w:highlight w:val="none"/>
          <w:lang w:bidi="zh-CN"/>
        </w:rPr>
        <w:object>
          <v:shape id="_x0000_i1036" o:spt="75" type="#_x0000_t75" style="height:34.8pt;width:166.75pt;" o:ole="t" filled="f" o:preferrelative="t" stroked="f" coordsize="21600,21600">
            <v:path/>
            <v:fill on="f" focussize="0,0"/>
            <v:stroke on="f"/>
            <v:imagedata r:id="rId55" o:title=""/>
            <o:lock v:ext="edit" aspectratio="t"/>
            <w10:wrap type="none"/>
            <w10:anchorlock/>
          </v:shape>
          <o:OLEObject Type="Embed" ProgID="Equation.KSEE3" ShapeID="_x0000_i1036" DrawAspect="Content" ObjectID="_1468075736" r:id="rId54">
            <o:LockedField>false</o:LockedField>
          </o:OLEObject>
        </w:object>
      </w:r>
    </w:p>
    <w:p w14:paraId="4A7BB1AC">
      <w:pPr>
        <w:ind w:firstLine="480" w:firstLineChars="200"/>
        <w:contextualSpacing/>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式中：E</w:t>
      </w:r>
      <w:r>
        <w:rPr>
          <w:rFonts w:hint="default" w:ascii="Times New Roman" w:hAnsi="Times New Roman" w:eastAsia="宋体" w:cs="Times New Roman"/>
          <w:color w:val="FF0000"/>
          <w:highlight w:val="none"/>
          <w:vertAlign w:val="subscript"/>
        </w:rPr>
        <w:t>NOx</w:t>
      </w:r>
      <w:r>
        <w:rPr>
          <w:rFonts w:hint="default" w:ascii="Times New Roman" w:hAnsi="Times New Roman" w:eastAsia="宋体" w:cs="Times New Roman"/>
          <w:color w:val="FF0000"/>
          <w:highlight w:val="none"/>
        </w:rPr>
        <w:t>——核算时段内氮氧化物排放量，t；</w:t>
      </w:r>
    </w:p>
    <w:p w14:paraId="06ED7EB8">
      <w:pPr>
        <w:ind w:firstLine="1200" w:firstLineChars="500"/>
        <w:contextualSpacing/>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highlight w:val="none"/>
        </w:rPr>
        <w:t>ρ</w:t>
      </w:r>
      <w:r>
        <w:rPr>
          <w:rFonts w:hint="default" w:ascii="Times New Roman" w:hAnsi="Times New Roman" w:eastAsia="宋体" w:cs="Times New Roman"/>
          <w:color w:val="FF0000"/>
          <w:highlight w:val="none"/>
          <w:vertAlign w:val="subscript"/>
        </w:rPr>
        <w:t>NOx</w:t>
      </w:r>
      <w:r>
        <w:rPr>
          <w:rFonts w:hint="default" w:ascii="Times New Roman" w:hAnsi="Times New Roman" w:eastAsia="宋体" w:cs="Times New Roman"/>
          <w:color w:val="FF0000"/>
          <w:highlight w:val="none"/>
        </w:rPr>
        <w:t>——锅炉炉膛出口氮氧化物质量浓度，mg/m</w:t>
      </w:r>
      <w:r>
        <w:rPr>
          <w:rFonts w:hint="default" w:ascii="Times New Roman" w:hAnsi="Times New Roman" w:eastAsia="宋体" w:cs="Times New Roman"/>
          <w:color w:val="FF0000"/>
          <w:highlight w:val="none"/>
          <w:vertAlign w:val="superscript"/>
        </w:rPr>
        <w:t>3</w:t>
      </w:r>
      <w:r>
        <w:rPr>
          <w:rFonts w:hint="default" w:ascii="Times New Roman" w:hAnsi="Times New Roman" w:eastAsia="宋体" w:cs="Times New Roman"/>
          <w:color w:val="FF0000"/>
          <w:highlight w:val="none"/>
          <w:lang w:eastAsia="zh-CN"/>
        </w:rPr>
        <w:t>；根据设计</w:t>
      </w:r>
      <w:r>
        <w:rPr>
          <w:rFonts w:hint="default" w:ascii="Times New Roman" w:hAnsi="Times New Roman" w:eastAsia="宋体" w:cs="Times New Roman"/>
          <w:color w:val="FF0000"/>
          <w:highlight w:val="none"/>
          <w:lang w:val="en-US" w:eastAsia="zh-CN"/>
        </w:rPr>
        <w:t>可知，本项目锅炉炉膛出口NOx浓度范围</w:t>
      </w:r>
      <w:r>
        <w:rPr>
          <w:rFonts w:hint="eastAsia" w:ascii="Times New Roman" w:hAnsi="Times New Roman" w:eastAsia="宋体" w:cs="Times New Roman"/>
          <w:color w:val="FF0000"/>
          <w:highlight w:val="none"/>
          <w:lang w:val="en-US" w:eastAsia="zh-CN"/>
        </w:rPr>
        <w:t>取350</w:t>
      </w:r>
      <w:r>
        <w:rPr>
          <w:rFonts w:hint="default" w:ascii="Times New Roman" w:hAnsi="Times New Roman" w:eastAsia="宋体" w:cs="Times New Roman"/>
          <w:color w:val="FF0000"/>
          <w:highlight w:val="none"/>
          <w:lang w:val="en-US" w:eastAsia="zh-CN"/>
        </w:rPr>
        <w:t>mg/m</w:t>
      </w:r>
      <w:r>
        <w:rPr>
          <w:rFonts w:hint="default" w:ascii="Times New Roman" w:hAnsi="Times New Roman" w:eastAsia="宋体" w:cs="Times New Roman"/>
          <w:color w:val="FF0000"/>
          <w:highlight w:val="none"/>
          <w:vertAlign w:val="superscript"/>
          <w:lang w:val="en-US" w:eastAsia="zh-CN"/>
        </w:rPr>
        <w:t>3</w:t>
      </w:r>
    </w:p>
    <w:p w14:paraId="278E2E06">
      <w:pPr>
        <w:ind w:firstLine="1200" w:firstLineChars="500"/>
        <w:contextualSpacing/>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Q——核算时段内标态干烟气排放量</w:t>
      </w:r>
    </w:p>
    <w:p w14:paraId="2D16D52D">
      <w:pPr>
        <w:keepNext w:val="0"/>
        <w:keepLines w:val="0"/>
        <w:pageBreakBefore w:val="0"/>
        <w:widowControl w:val="0"/>
        <w:kinsoku/>
        <w:wordWrap/>
        <w:overflowPunct/>
        <w:topLinePunct w:val="0"/>
        <w:autoSpaceDE/>
        <w:autoSpaceDN/>
        <w:bidi w:val="0"/>
        <w:adjustRightInd/>
        <w:snapToGrid/>
        <w:ind w:firstLine="1200" w:firstLineChars="500"/>
        <w:contextualSpacing/>
        <w:textAlignment w:val="auto"/>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η</w:t>
      </w:r>
      <w:r>
        <w:rPr>
          <w:rFonts w:hint="default" w:ascii="Times New Roman" w:hAnsi="Times New Roman" w:eastAsia="宋体" w:cs="Times New Roman"/>
          <w:color w:val="FF0000"/>
          <w:highlight w:val="none"/>
          <w:vertAlign w:val="subscript"/>
          <w:lang w:val="en-US" w:eastAsia="zh-CN"/>
        </w:rPr>
        <w:t>NOx</w:t>
      </w:r>
      <w:r>
        <w:rPr>
          <w:rFonts w:hint="default" w:ascii="Times New Roman" w:hAnsi="Times New Roman" w:eastAsia="宋体" w:cs="Times New Roman"/>
          <w:color w:val="FF0000"/>
          <w:highlight w:val="none"/>
        </w:rPr>
        <w:t>——脱硝效率，%；取</w:t>
      </w:r>
      <w:r>
        <w:rPr>
          <w:rFonts w:hint="eastAsia" w:ascii="Times New Roman" w:hAnsi="Times New Roman" w:eastAsia="宋体" w:cs="Times New Roman"/>
          <w:color w:val="FF0000"/>
          <w:highlight w:val="none"/>
          <w:lang w:val="en-US" w:eastAsia="zh-CN"/>
        </w:rPr>
        <w:t>88</w:t>
      </w:r>
      <w:r>
        <w:rPr>
          <w:rFonts w:hint="default" w:ascii="Times New Roman" w:hAnsi="Times New Roman" w:eastAsia="宋体" w:cs="Times New Roman"/>
          <w:color w:val="FF0000"/>
          <w:highlight w:val="none"/>
        </w:rPr>
        <w:t>%</w:t>
      </w:r>
    </w:p>
    <w:p w14:paraId="2896DFB0">
      <w:pPr>
        <w:pStyle w:val="69"/>
        <w:ind w:firstLine="480"/>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highlight w:val="none"/>
          <w:lang w:val="en-US" w:eastAsia="zh-CN"/>
        </w:rPr>
        <w:t>计算得出氮氧化物排放量为</w:t>
      </w:r>
      <w:r>
        <w:rPr>
          <w:rFonts w:hint="eastAsia" w:ascii="Times New Roman" w:hAnsi="Times New Roman" w:cs="Times New Roman"/>
          <w:color w:val="FF0000"/>
          <w:highlight w:val="none"/>
          <w:lang w:val="en-US" w:eastAsia="zh-CN"/>
        </w:rPr>
        <w:t>4.27t/a，3.94</w:t>
      </w:r>
      <w:r>
        <w:rPr>
          <w:rFonts w:hint="default" w:ascii="Times New Roman" w:hAnsi="Times New Roman" w:eastAsia="宋体" w:cs="Times New Roman"/>
          <w:color w:val="FF0000"/>
          <w:highlight w:val="none"/>
          <w:lang w:val="en-US" w:eastAsia="zh-CN"/>
        </w:rPr>
        <w:t>kg/h，排放浓度为</w:t>
      </w:r>
      <w:r>
        <w:rPr>
          <w:rFonts w:hint="eastAsia" w:ascii="Times New Roman" w:hAnsi="Times New Roman" w:cs="Times New Roman"/>
          <w:color w:val="FF0000"/>
          <w:highlight w:val="none"/>
          <w:lang w:val="en-US" w:eastAsia="zh-CN"/>
        </w:rPr>
        <w:t>42</w:t>
      </w:r>
      <w:r>
        <w:rPr>
          <w:rFonts w:hint="default" w:ascii="Times New Roman" w:hAnsi="Times New Roman" w:eastAsia="宋体" w:cs="Times New Roman"/>
          <w:color w:val="FF0000"/>
          <w:highlight w:val="none"/>
          <w:lang w:val="en-US" w:eastAsia="zh-CN"/>
        </w:rPr>
        <w:t>mg/m</w:t>
      </w:r>
      <w:r>
        <w:rPr>
          <w:rFonts w:hint="default" w:ascii="Times New Roman" w:hAnsi="Times New Roman" w:eastAsia="宋体" w:cs="Times New Roman"/>
          <w:color w:val="FF0000"/>
          <w:highlight w:val="none"/>
          <w:vertAlign w:val="superscript"/>
          <w:lang w:val="en-US" w:eastAsia="zh-CN"/>
        </w:rPr>
        <w:t>3</w:t>
      </w:r>
      <w:r>
        <w:rPr>
          <w:rFonts w:hint="default" w:ascii="Times New Roman" w:hAnsi="Times New Roman" w:eastAsia="宋体" w:cs="Times New Roman"/>
          <w:color w:val="FF0000"/>
          <w:highlight w:val="none"/>
          <w:lang w:val="en-US" w:eastAsia="zh-CN"/>
        </w:rPr>
        <w:t>；氮氧化物产生量为</w:t>
      </w:r>
      <w:r>
        <w:rPr>
          <w:rFonts w:hint="eastAsia" w:ascii="Times New Roman" w:hAnsi="Times New Roman" w:cs="Times New Roman"/>
          <w:color w:val="FF0000"/>
          <w:highlight w:val="none"/>
          <w:lang w:val="en-US" w:eastAsia="zh-CN"/>
        </w:rPr>
        <w:t>35.56</w:t>
      </w:r>
      <w:r>
        <w:rPr>
          <w:rFonts w:hint="default" w:ascii="Times New Roman" w:hAnsi="Times New Roman" w:eastAsia="宋体" w:cs="Times New Roman"/>
          <w:color w:val="FF0000"/>
          <w:highlight w:val="none"/>
          <w:lang w:val="en-US" w:eastAsia="zh-CN"/>
        </w:rPr>
        <w:t>t/a，</w:t>
      </w:r>
      <w:r>
        <w:rPr>
          <w:rFonts w:hint="eastAsia" w:ascii="Times New Roman" w:hAnsi="Times New Roman" w:cs="Times New Roman"/>
          <w:color w:val="FF0000"/>
          <w:highlight w:val="none"/>
          <w:lang w:val="en-US" w:eastAsia="zh-CN"/>
        </w:rPr>
        <w:t>32.84kg/h，</w:t>
      </w:r>
      <w:r>
        <w:rPr>
          <w:rFonts w:hint="default" w:ascii="Times New Roman" w:hAnsi="Times New Roman" w:eastAsia="宋体" w:cs="Times New Roman"/>
          <w:color w:val="FF0000"/>
          <w:highlight w:val="none"/>
          <w:lang w:val="en-US" w:eastAsia="zh-CN"/>
        </w:rPr>
        <w:t>产生浓度为</w:t>
      </w:r>
      <w:r>
        <w:rPr>
          <w:rFonts w:hint="eastAsia" w:ascii="Times New Roman" w:hAnsi="Times New Roman" w:cs="Times New Roman"/>
          <w:color w:val="FF0000"/>
          <w:highlight w:val="none"/>
          <w:lang w:val="en-US" w:eastAsia="zh-CN"/>
        </w:rPr>
        <w:t>350</w:t>
      </w:r>
      <w:r>
        <w:rPr>
          <w:rFonts w:hint="default" w:ascii="Times New Roman" w:hAnsi="Times New Roman" w:eastAsia="宋体" w:cs="Times New Roman"/>
          <w:color w:val="FF0000"/>
          <w:highlight w:val="none"/>
          <w:lang w:val="en-US" w:eastAsia="zh-CN"/>
        </w:rPr>
        <w:t>mg/m</w:t>
      </w:r>
      <w:r>
        <w:rPr>
          <w:rFonts w:hint="default" w:ascii="Times New Roman" w:hAnsi="Times New Roman" w:eastAsia="宋体" w:cs="Times New Roman"/>
          <w:color w:val="FF0000"/>
          <w:highlight w:val="none"/>
          <w:vertAlign w:val="superscript"/>
          <w:lang w:val="en-US" w:eastAsia="zh-CN"/>
        </w:rPr>
        <w:t>3</w:t>
      </w:r>
      <w:r>
        <w:rPr>
          <w:rFonts w:hint="default" w:ascii="Times New Roman" w:hAnsi="Times New Roman" w:eastAsia="宋体" w:cs="Times New Roman"/>
          <w:color w:val="FF0000"/>
          <w:highlight w:val="none"/>
          <w:lang w:val="en-US" w:eastAsia="zh-CN"/>
        </w:rPr>
        <w:t>。</w:t>
      </w:r>
    </w:p>
    <w:p w14:paraId="1134B2B2">
      <w:pPr>
        <w:pStyle w:val="69"/>
        <w:ind w:firstLine="480"/>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highlight w:val="none"/>
          <w:lang w:val="en-US" w:eastAsia="zh-CN"/>
        </w:rPr>
        <w:t>（5）汞及其化合物</w:t>
      </w:r>
    </w:p>
    <w:p w14:paraId="398A66A4">
      <w:pPr>
        <w:jc w:val="center"/>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position w:val="-32"/>
          <w:highlight w:val="none"/>
          <w:lang w:val="en-US" w:eastAsia="zh-CN"/>
        </w:rPr>
        <w:object>
          <v:shape id="_x0000_i1037" o:spt="75" type="#_x0000_t75" style="height:38pt;width:159pt;" o:ole="t" filled="f" o:preferrelative="t" stroked="f" coordsize="21600,21600">
            <v:path/>
            <v:fill on="f" focussize="0,0"/>
            <v:stroke on="f"/>
            <v:imagedata r:id="rId57" o:title=""/>
            <o:lock v:ext="edit" aspectratio="t"/>
            <w10:wrap type="none"/>
            <w10:anchorlock/>
          </v:shape>
          <o:OLEObject Type="Embed" ProgID="Equation.KSEE3" ShapeID="_x0000_i1037" DrawAspect="Content" ObjectID="_1468075737" r:id="rId56">
            <o:LockedField>false</o:LockedField>
          </o:OLEObject>
        </w:object>
      </w:r>
    </w:p>
    <w:p w14:paraId="40A241BD">
      <w:pPr>
        <w:ind w:firstLine="480" w:firstLineChars="200"/>
        <w:rPr>
          <w:rFonts w:hint="default" w:ascii="Times New Roman" w:hAnsi="Times New Roman" w:eastAsia="宋体" w:cs="Times New Roman"/>
          <w:color w:val="FF0000"/>
          <w:highlight w:val="none"/>
          <w:lang w:bidi="zh-CN"/>
        </w:rPr>
      </w:pPr>
      <w:r>
        <w:rPr>
          <w:rFonts w:hint="default" w:ascii="Times New Roman" w:hAnsi="Times New Roman" w:eastAsia="宋体" w:cs="Times New Roman"/>
          <w:color w:val="FF0000"/>
          <w:highlight w:val="none"/>
          <w:lang w:bidi="zh-CN"/>
        </w:rPr>
        <w:t>式中：</w:t>
      </w:r>
      <w:r>
        <w:rPr>
          <w:rFonts w:hint="default" w:ascii="Times New Roman" w:hAnsi="Times New Roman" w:eastAsia="宋体" w:cs="Times New Roman"/>
          <w:color w:val="FF0000"/>
          <w:highlight w:val="none"/>
          <w:lang w:val="en-US" w:bidi="zh-CN"/>
        </w:rPr>
        <w:t>E</w:t>
      </w:r>
      <w:r>
        <w:rPr>
          <w:rFonts w:hint="default" w:ascii="Times New Roman" w:hAnsi="Times New Roman" w:eastAsia="宋体" w:cs="Times New Roman"/>
          <w:color w:val="FF0000"/>
          <w:highlight w:val="none"/>
          <w:vertAlign w:val="subscript"/>
          <w:lang w:val="en-US" w:bidi="zh-CN"/>
        </w:rPr>
        <w:t>Hg</w:t>
      </w:r>
      <w:r>
        <w:rPr>
          <w:rFonts w:hint="default" w:ascii="Times New Roman" w:hAnsi="Times New Roman" w:eastAsia="宋体" w:cs="Times New Roman"/>
          <w:color w:val="FF0000"/>
          <w:highlight w:val="none"/>
          <w:lang w:bidi="zh-CN"/>
        </w:rPr>
        <w:t>─汞及其化合物排放量（以汞计），t；</w:t>
      </w:r>
    </w:p>
    <w:p w14:paraId="2B2FADBB">
      <w:pPr>
        <w:ind w:firstLine="1200" w:firstLineChars="500"/>
        <w:rPr>
          <w:rFonts w:hint="default" w:ascii="Times New Roman" w:hAnsi="Times New Roman" w:eastAsia="宋体" w:cs="Times New Roman"/>
          <w:color w:val="FF0000"/>
          <w:highlight w:val="none"/>
          <w:lang w:bidi="zh-CN"/>
        </w:rPr>
      </w:pPr>
      <w:r>
        <w:rPr>
          <w:rFonts w:hint="default" w:ascii="Times New Roman" w:hAnsi="Times New Roman" w:eastAsia="宋体" w:cs="Times New Roman"/>
          <w:color w:val="FF0000"/>
          <w:highlight w:val="none"/>
          <w:lang w:val="en-US" w:bidi="zh-CN"/>
        </w:rPr>
        <w:t>R</w:t>
      </w:r>
      <w:r>
        <w:rPr>
          <w:rFonts w:hint="default" w:ascii="Times New Roman" w:hAnsi="Times New Roman" w:eastAsia="宋体" w:cs="Times New Roman"/>
          <w:color w:val="FF0000"/>
          <w:highlight w:val="none"/>
          <w:lang w:bidi="zh-CN"/>
        </w:rPr>
        <w:t>─锅炉燃料耗量，</w:t>
      </w:r>
      <w:r>
        <w:rPr>
          <w:rFonts w:hint="eastAsia" w:ascii="Times New Roman" w:hAnsi="Times New Roman" w:eastAsia="宋体" w:cs="Times New Roman"/>
          <w:color w:val="FF0000"/>
          <w:szCs w:val="24"/>
          <w:highlight w:val="none"/>
          <w:lang w:val="en-US" w:eastAsia="zh-CN"/>
        </w:rPr>
        <w:t>14.42</w:t>
      </w:r>
      <w:r>
        <w:rPr>
          <w:rFonts w:hint="default" w:ascii="Times New Roman" w:hAnsi="Times New Roman" w:eastAsia="宋体" w:cs="Times New Roman"/>
          <w:color w:val="FF0000"/>
          <w:szCs w:val="24"/>
          <w:highlight w:val="none"/>
          <w:lang w:eastAsia="zh-CN"/>
        </w:rPr>
        <w:t>t/h</w:t>
      </w:r>
      <w:r>
        <w:rPr>
          <w:rFonts w:hint="default" w:ascii="Times New Roman" w:hAnsi="Times New Roman" w:eastAsia="宋体" w:cs="Times New Roman"/>
          <w:color w:val="FF0000"/>
          <w:highlight w:val="none"/>
          <w:lang w:bidi="zh-CN"/>
        </w:rPr>
        <w:t>；</w:t>
      </w:r>
    </w:p>
    <w:p w14:paraId="588CE1C0">
      <w:pPr>
        <w:ind w:firstLine="1200" w:firstLineChars="500"/>
        <w:rPr>
          <w:rFonts w:hint="default" w:ascii="Times New Roman" w:hAnsi="Times New Roman" w:eastAsia="宋体" w:cs="Times New Roman"/>
          <w:color w:val="FF0000"/>
          <w:highlight w:val="none"/>
          <w:lang w:bidi="zh-CN"/>
        </w:rPr>
      </w:pPr>
      <w:r>
        <w:rPr>
          <w:rFonts w:hint="default" w:ascii="Times New Roman" w:hAnsi="Times New Roman" w:eastAsia="宋体" w:cs="Times New Roman"/>
          <w:color w:val="FF0000"/>
          <w:highlight w:val="none"/>
          <w:lang w:val="en-US" w:eastAsia="zh-CN"/>
        </w:rPr>
        <w:t>m</w:t>
      </w:r>
      <w:r>
        <w:rPr>
          <w:rFonts w:hint="default" w:ascii="Times New Roman" w:hAnsi="Times New Roman" w:eastAsia="宋体" w:cs="Times New Roman"/>
          <w:color w:val="FF0000"/>
          <w:highlight w:val="none"/>
          <w:vertAlign w:val="subscript"/>
          <w:lang w:val="en-US" w:bidi="zh-CN"/>
        </w:rPr>
        <w:t>Hgar</w:t>
      </w:r>
      <w:r>
        <w:rPr>
          <w:rFonts w:hint="default" w:ascii="Times New Roman" w:hAnsi="Times New Roman" w:eastAsia="宋体" w:cs="Times New Roman"/>
          <w:color w:val="FF0000"/>
          <w:highlight w:val="none"/>
          <w:lang w:bidi="zh-CN"/>
        </w:rPr>
        <w:t>─收到基汞含量，</w:t>
      </w:r>
      <w:r>
        <w:rPr>
          <w:rFonts w:hint="eastAsia" w:ascii="Times New Roman" w:hAnsi="Times New Roman" w:eastAsia="宋体" w:cs="Times New Roman"/>
          <w:color w:val="FF0000"/>
          <w:highlight w:val="none"/>
          <w:lang w:val="en-US" w:bidi="zh-CN"/>
        </w:rPr>
        <w:t>0.136</w:t>
      </w:r>
      <w:r>
        <w:rPr>
          <w:rFonts w:hint="default" w:ascii="Times New Roman" w:hAnsi="Times New Roman" w:eastAsia="宋体" w:cs="Times New Roman"/>
          <w:color w:val="FF0000"/>
          <w:highlight w:val="none"/>
          <w:lang w:bidi="zh-CN"/>
        </w:rPr>
        <w:t>μ</w:t>
      </w:r>
      <w:r>
        <w:rPr>
          <w:rFonts w:hint="default" w:ascii="Times New Roman" w:hAnsi="Times New Roman" w:eastAsia="宋体" w:cs="Times New Roman"/>
          <w:color w:val="FF0000"/>
          <w:highlight w:val="none"/>
          <w:lang w:val="en-US" w:bidi="zh-CN"/>
        </w:rPr>
        <w:t>g/g</w:t>
      </w:r>
      <w:r>
        <w:rPr>
          <w:rFonts w:hint="default" w:ascii="Times New Roman" w:hAnsi="Times New Roman" w:eastAsia="宋体" w:cs="Times New Roman"/>
          <w:color w:val="FF0000"/>
          <w:highlight w:val="none"/>
          <w:lang w:bidi="zh-CN"/>
        </w:rPr>
        <w:t>；</w:t>
      </w:r>
    </w:p>
    <w:p w14:paraId="08DA4ACD">
      <w:pPr>
        <w:pStyle w:val="69"/>
        <w:ind w:firstLine="1200" w:firstLineChars="500"/>
        <w:rPr>
          <w:rFonts w:hint="eastAsia" w:ascii="Times New Roman" w:hAnsi="Times New Roman" w:eastAsia="宋体" w:cs="Times New Roman"/>
          <w:b/>
          <w:bCs/>
          <w:color w:val="FF0000"/>
          <w:highlight w:val="none"/>
          <w:lang w:eastAsia="zh-CN"/>
        </w:rPr>
      </w:pPr>
      <w:r>
        <w:rPr>
          <w:rFonts w:hint="default" w:ascii="Times New Roman" w:hAnsi="Times New Roman" w:eastAsia="宋体" w:cs="Times New Roman"/>
          <w:color w:val="FF0000"/>
          <w:highlight w:val="none"/>
        </w:rPr>
        <w:t>η</w:t>
      </w:r>
      <w:r>
        <w:rPr>
          <w:rFonts w:hint="default" w:ascii="Times New Roman" w:hAnsi="Times New Roman" w:eastAsia="宋体" w:cs="Times New Roman"/>
          <w:color w:val="FF0000"/>
          <w:highlight w:val="none"/>
          <w:vertAlign w:val="subscript"/>
          <w:lang w:val="en-US" w:eastAsia="zh-CN"/>
        </w:rPr>
        <w:t>Hg</w:t>
      </w:r>
      <w:r>
        <w:rPr>
          <w:rFonts w:hint="default" w:ascii="Times New Roman" w:hAnsi="Times New Roman" w:eastAsia="宋体" w:cs="Times New Roman"/>
          <w:color w:val="FF0000"/>
          <w:highlight w:val="none"/>
          <w:lang w:bidi="zh-CN"/>
        </w:rPr>
        <w:t>─汞的协同脱除效率，</w:t>
      </w:r>
      <w:r>
        <w:rPr>
          <w:rFonts w:hint="eastAsia" w:ascii="Times New Roman" w:hAnsi="Times New Roman" w:cs="Times New Roman"/>
          <w:color w:val="FF0000"/>
          <w:highlight w:val="none"/>
          <w:lang w:val="en-US" w:bidi="zh-CN"/>
        </w:rPr>
        <w:t>7</w:t>
      </w:r>
      <w:r>
        <w:rPr>
          <w:rFonts w:hint="default" w:ascii="Times New Roman" w:hAnsi="Times New Roman" w:eastAsia="宋体" w:cs="Times New Roman"/>
          <w:color w:val="FF0000"/>
          <w:highlight w:val="none"/>
          <w:lang w:val="en-US" w:bidi="zh-CN"/>
        </w:rPr>
        <w:t>0</w:t>
      </w:r>
      <w:r>
        <w:rPr>
          <w:rFonts w:hint="default" w:ascii="Times New Roman" w:hAnsi="Times New Roman" w:eastAsia="宋体" w:cs="Times New Roman"/>
          <w:color w:val="FF0000"/>
          <w:highlight w:val="none"/>
          <w:lang w:bidi="zh-CN"/>
        </w:rPr>
        <w:t>%；</w:t>
      </w:r>
    </w:p>
    <w:p w14:paraId="3287321E">
      <w:pPr>
        <w:pStyle w:val="69"/>
        <w:ind w:firstLine="480"/>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highlight w:val="none"/>
          <w:lang w:val="en-US"/>
        </w:rPr>
        <w:t>计算得出汞</w:t>
      </w:r>
      <w:r>
        <w:rPr>
          <w:rFonts w:hint="default" w:ascii="Times New Roman" w:hAnsi="Times New Roman" w:eastAsia="宋体" w:cs="Times New Roman"/>
          <w:color w:val="FF0000"/>
          <w:highlight w:val="none"/>
          <w:lang w:eastAsia="zh-CN"/>
        </w:rPr>
        <w:t>排放</w:t>
      </w:r>
      <w:r>
        <w:rPr>
          <w:rFonts w:hint="default" w:ascii="Times New Roman" w:hAnsi="Times New Roman" w:eastAsia="宋体" w:cs="Times New Roman"/>
          <w:color w:val="FF0000"/>
          <w:highlight w:val="none"/>
          <w:lang w:val="en-US"/>
        </w:rPr>
        <w:t>量为</w:t>
      </w:r>
      <w:r>
        <w:rPr>
          <w:rFonts w:hint="eastAsia" w:ascii="Times New Roman" w:hAnsi="Times New Roman" w:cs="Times New Roman"/>
          <w:color w:val="FF0000"/>
          <w:highlight w:val="none"/>
          <w:lang w:val="en-US" w:eastAsia="zh-CN"/>
        </w:rPr>
        <w:t>0.0006t</w:t>
      </w:r>
      <w:r>
        <w:rPr>
          <w:rFonts w:hint="default" w:ascii="Times New Roman" w:hAnsi="Times New Roman" w:eastAsia="宋体" w:cs="Times New Roman"/>
          <w:color w:val="FF0000"/>
          <w:highlight w:val="none"/>
          <w:lang w:val="en-US" w:eastAsia="zh-CN"/>
        </w:rPr>
        <w:t>/</w:t>
      </w:r>
      <w:r>
        <w:rPr>
          <w:rFonts w:hint="eastAsia" w:ascii="Times New Roman" w:hAnsi="Times New Roman" w:cs="Times New Roman"/>
          <w:color w:val="FF0000"/>
          <w:highlight w:val="none"/>
          <w:lang w:val="en-US" w:eastAsia="zh-CN"/>
        </w:rPr>
        <w:t>a</w:t>
      </w:r>
      <w:r>
        <w:rPr>
          <w:rFonts w:hint="default" w:ascii="Times New Roman" w:hAnsi="Times New Roman" w:eastAsia="宋体" w:cs="Times New Roman"/>
          <w:color w:val="FF0000"/>
          <w:highlight w:val="none"/>
          <w:lang w:val="en-US"/>
        </w:rPr>
        <w:t>，浓度为</w:t>
      </w:r>
      <w:r>
        <w:rPr>
          <w:rFonts w:hint="eastAsia" w:ascii="Times New Roman" w:hAnsi="Times New Roman" w:cs="Times New Roman"/>
          <w:color w:val="FF0000"/>
          <w:highlight w:val="none"/>
          <w:lang w:val="en-US" w:eastAsia="zh-CN"/>
        </w:rPr>
        <w:t>0.006</w:t>
      </w:r>
      <w:r>
        <w:rPr>
          <w:rFonts w:hint="default" w:ascii="Times New Roman" w:hAnsi="Times New Roman" w:eastAsia="宋体" w:cs="Times New Roman"/>
          <w:color w:val="FF0000"/>
          <w:highlight w:val="none"/>
          <w:lang w:val="en-US"/>
        </w:rPr>
        <w:t>mg/m</w:t>
      </w:r>
      <w:r>
        <w:rPr>
          <w:rFonts w:hint="default" w:ascii="Times New Roman" w:hAnsi="Times New Roman" w:eastAsia="宋体" w:cs="Times New Roman"/>
          <w:color w:val="FF0000"/>
          <w:highlight w:val="none"/>
          <w:vertAlign w:val="superscript"/>
          <w:lang w:val="en-US"/>
        </w:rPr>
        <w:t>3</w:t>
      </w:r>
      <w:r>
        <w:rPr>
          <w:rFonts w:hint="default" w:ascii="Times New Roman" w:hAnsi="Times New Roman" w:eastAsia="宋体" w:cs="Times New Roman"/>
          <w:color w:val="FF0000"/>
          <w:highlight w:val="none"/>
          <w:vertAlign w:val="baseline"/>
          <w:lang w:val="en-US" w:eastAsia="zh-CN"/>
        </w:rPr>
        <w:t>；</w:t>
      </w:r>
      <w:r>
        <w:rPr>
          <w:rFonts w:hint="default" w:ascii="Times New Roman" w:hAnsi="Times New Roman" w:eastAsia="宋体" w:cs="Times New Roman"/>
          <w:color w:val="FF0000"/>
          <w:highlight w:val="none"/>
          <w:lang w:eastAsia="zh-CN"/>
        </w:rPr>
        <w:t>汞</w:t>
      </w:r>
      <w:r>
        <w:rPr>
          <w:rFonts w:hint="default" w:ascii="Times New Roman" w:hAnsi="Times New Roman" w:eastAsia="宋体" w:cs="Times New Roman"/>
          <w:color w:val="FF0000"/>
          <w:highlight w:val="none"/>
          <w:lang w:val="en-US"/>
        </w:rPr>
        <w:t>产生量为</w:t>
      </w:r>
      <w:r>
        <w:rPr>
          <w:rFonts w:hint="eastAsia" w:ascii="Times New Roman" w:hAnsi="Times New Roman" w:cs="Times New Roman"/>
          <w:color w:val="FF0000"/>
          <w:highlight w:val="none"/>
          <w:lang w:val="en-US" w:eastAsia="zh-CN"/>
        </w:rPr>
        <w:t>0.0021t</w:t>
      </w:r>
      <w:r>
        <w:rPr>
          <w:rFonts w:hint="default" w:ascii="Times New Roman" w:hAnsi="Times New Roman" w:eastAsia="宋体" w:cs="Times New Roman"/>
          <w:color w:val="FF0000"/>
          <w:highlight w:val="none"/>
          <w:lang w:val="en-US" w:eastAsia="zh-CN"/>
        </w:rPr>
        <w:t>/</w:t>
      </w:r>
      <w:r>
        <w:rPr>
          <w:rFonts w:hint="eastAsia" w:ascii="Times New Roman" w:hAnsi="Times New Roman" w:cs="Times New Roman"/>
          <w:color w:val="FF0000"/>
          <w:highlight w:val="none"/>
          <w:lang w:val="en-US" w:eastAsia="zh-CN"/>
        </w:rPr>
        <w:t>a</w:t>
      </w:r>
      <w:r>
        <w:rPr>
          <w:rFonts w:hint="default" w:ascii="Times New Roman" w:hAnsi="Times New Roman" w:eastAsia="宋体" w:cs="Times New Roman"/>
          <w:color w:val="FF0000"/>
          <w:highlight w:val="none"/>
          <w:lang w:val="en-US"/>
        </w:rPr>
        <w:t>，浓度为</w:t>
      </w:r>
      <w:r>
        <w:rPr>
          <w:rFonts w:hint="default" w:ascii="Times New Roman" w:hAnsi="Times New Roman" w:eastAsia="宋体" w:cs="Times New Roman"/>
          <w:color w:val="FF0000"/>
          <w:highlight w:val="none"/>
          <w:lang w:val="en-US" w:eastAsia="zh-CN"/>
        </w:rPr>
        <w:t>0.0</w:t>
      </w:r>
      <w:r>
        <w:rPr>
          <w:rFonts w:hint="eastAsia" w:ascii="Times New Roman" w:hAnsi="Times New Roman" w:cs="Times New Roman"/>
          <w:color w:val="FF0000"/>
          <w:highlight w:val="none"/>
          <w:lang w:val="en-US" w:eastAsia="zh-CN"/>
        </w:rPr>
        <w:t>2</w:t>
      </w:r>
      <w:r>
        <w:rPr>
          <w:rFonts w:hint="default" w:ascii="Times New Roman" w:hAnsi="Times New Roman" w:eastAsia="宋体" w:cs="Times New Roman"/>
          <w:color w:val="FF0000"/>
          <w:highlight w:val="none"/>
          <w:lang w:val="en-US"/>
        </w:rPr>
        <w:t>mg/m</w:t>
      </w:r>
      <w:r>
        <w:rPr>
          <w:rFonts w:hint="default" w:ascii="Times New Roman" w:hAnsi="Times New Roman" w:eastAsia="宋体" w:cs="Times New Roman"/>
          <w:color w:val="FF0000"/>
          <w:highlight w:val="none"/>
          <w:vertAlign w:val="superscript"/>
          <w:lang w:val="en-US"/>
        </w:rPr>
        <w:t>3</w:t>
      </w:r>
      <w:r>
        <w:rPr>
          <w:rFonts w:hint="default" w:ascii="Times New Roman" w:hAnsi="Times New Roman" w:eastAsia="宋体" w:cs="Times New Roman"/>
          <w:color w:val="FF0000"/>
          <w:highlight w:val="none"/>
        </w:rPr>
        <w:t>。</w:t>
      </w:r>
    </w:p>
    <w:p w14:paraId="20E04A73">
      <w:pPr>
        <w:autoSpaceDE w:val="0"/>
        <w:autoSpaceDN w:val="0"/>
        <w:adjustRightInd w:val="0"/>
        <w:spacing w:before="78" w:beforeLines="25" w:after="78" w:afterLines="25"/>
        <w:ind w:firstLine="480" w:firstLineChars="200"/>
        <w:rPr>
          <w:rFonts w:hint="default" w:ascii="Times New Roman" w:hAnsi="Times New Roman" w:eastAsia="宋体" w:cs="Times New Roman"/>
          <w:color w:val="FF0000"/>
          <w:kern w:val="0"/>
          <w:highlight w:val="none"/>
        </w:rPr>
      </w:pPr>
      <w:r>
        <w:rPr>
          <w:rFonts w:hint="default" w:ascii="Times New Roman" w:hAnsi="Times New Roman" w:eastAsia="宋体" w:cs="Times New Roman"/>
          <w:color w:val="FF0000"/>
          <w:highlight w:val="none"/>
        </w:rPr>
        <w:t>（6）</w:t>
      </w:r>
      <w:r>
        <w:rPr>
          <w:rFonts w:hint="default" w:ascii="Times New Roman" w:hAnsi="Times New Roman" w:eastAsia="宋体" w:cs="Times New Roman"/>
          <w:color w:val="FF0000"/>
          <w:kern w:val="0"/>
          <w:highlight w:val="none"/>
        </w:rPr>
        <w:t>细颗粒物PM</w:t>
      </w:r>
      <w:r>
        <w:rPr>
          <w:rFonts w:hint="default" w:ascii="Times New Roman" w:hAnsi="Times New Roman" w:eastAsia="宋体" w:cs="Times New Roman"/>
          <w:color w:val="FF0000"/>
          <w:kern w:val="0"/>
          <w:highlight w:val="none"/>
          <w:vertAlign w:val="subscript"/>
        </w:rPr>
        <w:t>2.5</w:t>
      </w:r>
      <w:r>
        <w:rPr>
          <w:rFonts w:hint="default" w:ascii="Times New Roman" w:hAnsi="Times New Roman" w:eastAsia="宋体" w:cs="Times New Roman"/>
          <w:color w:val="FF0000"/>
          <w:kern w:val="0"/>
          <w:highlight w:val="none"/>
        </w:rPr>
        <w:t>源强核算</w:t>
      </w:r>
    </w:p>
    <w:p w14:paraId="0AEC5CB4">
      <w:pPr>
        <w:pStyle w:val="69"/>
        <w:ind w:firstLine="480"/>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highlight w:val="none"/>
          <w:lang w:val="en-US" w:eastAsia="zh-CN"/>
        </w:rPr>
        <w:t>根据《燃煤锅炉烟气中细颗粒物的排放特征和控制现状》（环境工程技术学报2017.05），PM</w:t>
      </w:r>
      <w:r>
        <w:rPr>
          <w:rFonts w:hint="default" w:ascii="Times New Roman" w:hAnsi="Times New Roman" w:eastAsia="宋体" w:cs="Times New Roman"/>
          <w:color w:val="FF0000"/>
          <w:highlight w:val="none"/>
          <w:vertAlign w:val="subscript"/>
          <w:lang w:val="en-US" w:eastAsia="zh-CN"/>
        </w:rPr>
        <w:t>2.5</w:t>
      </w:r>
      <w:r>
        <w:rPr>
          <w:rFonts w:hint="default" w:ascii="Times New Roman" w:hAnsi="Times New Roman" w:eastAsia="宋体" w:cs="Times New Roman"/>
          <w:color w:val="FF0000"/>
          <w:highlight w:val="none"/>
          <w:lang w:val="en-US" w:eastAsia="zh-CN"/>
        </w:rPr>
        <w:t>占颗粒物排放量的64.1%。本次评价PM</w:t>
      </w:r>
      <w:r>
        <w:rPr>
          <w:rFonts w:hint="default" w:ascii="Times New Roman" w:hAnsi="Times New Roman" w:eastAsia="宋体" w:cs="Times New Roman"/>
          <w:color w:val="FF0000"/>
          <w:highlight w:val="none"/>
          <w:vertAlign w:val="subscript"/>
          <w:lang w:val="en-US" w:eastAsia="zh-CN"/>
        </w:rPr>
        <w:t>2.5</w:t>
      </w:r>
      <w:r>
        <w:rPr>
          <w:rFonts w:hint="default" w:ascii="Times New Roman" w:hAnsi="Times New Roman" w:eastAsia="宋体" w:cs="Times New Roman"/>
          <w:color w:val="FF0000"/>
          <w:highlight w:val="none"/>
          <w:lang w:val="en-US" w:eastAsia="zh-CN"/>
        </w:rPr>
        <w:t>的排放量</w:t>
      </w:r>
      <w:r>
        <w:rPr>
          <w:rFonts w:hint="eastAsia" w:ascii="Times New Roman" w:hAnsi="Times New Roman" w:cs="Times New Roman"/>
          <w:color w:val="FF0000"/>
          <w:highlight w:val="none"/>
          <w:lang w:val="en-US" w:eastAsia="zh-CN"/>
        </w:rPr>
        <w:t>参照</w:t>
      </w:r>
      <w:r>
        <w:rPr>
          <w:rFonts w:hint="default" w:ascii="Times New Roman" w:hAnsi="Times New Roman" w:eastAsia="宋体" w:cs="Times New Roman"/>
          <w:color w:val="FF0000"/>
          <w:highlight w:val="none"/>
          <w:lang w:val="en-US" w:eastAsia="zh-CN"/>
        </w:rPr>
        <w:t>PM</w:t>
      </w:r>
      <w:r>
        <w:rPr>
          <w:rFonts w:hint="default" w:ascii="Times New Roman" w:hAnsi="Times New Roman" w:eastAsia="宋体" w:cs="Times New Roman"/>
          <w:color w:val="FF0000"/>
          <w:highlight w:val="none"/>
          <w:vertAlign w:val="subscript"/>
          <w:lang w:val="en-US" w:eastAsia="zh-CN"/>
        </w:rPr>
        <w:t>10</w:t>
      </w:r>
      <w:r>
        <w:rPr>
          <w:rFonts w:hint="default" w:ascii="Times New Roman" w:hAnsi="Times New Roman" w:eastAsia="宋体" w:cs="Times New Roman"/>
          <w:color w:val="FF0000"/>
          <w:highlight w:val="none"/>
          <w:lang w:val="en-US" w:eastAsia="zh-CN"/>
        </w:rPr>
        <w:t>排放量的65%计算。</w:t>
      </w:r>
    </w:p>
    <w:p w14:paraId="21F003FA">
      <w:pPr>
        <w:pStyle w:val="69"/>
        <w:ind w:firstLine="480"/>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highlight w:val="none"/>
          <w:lang w:val="en-US" w:eastAsia="zh-CN"/>
        </w:rPr>
        <w:t>计算过程：PM</w:t>
      </w:r>
      <w:r>
        <w:rPr>
          <w:rFonts w:hint="default" w:ascii="Times New Roman" w:hAnsi="Times New Roman" w:eastAsia="宋体" w:cs="Times New Roman"/>
          <w:color w:val="FF0000"/>
          <w:highlight w:val="none"/>
          <w:vertAlign w:val="subscript"/>
          <w:lang w:val="en-US" w:eastAsia="zh-CN"/>
        </w:rPr>
        <w:t>10</w:t>
      </w:r>
      <w:r>
        <w:rPr>
          <w:rFonts w:hint="default" w:ascii="Times New Roman" w:hAnsi="Times New Roman" w:eastAsia="宋体" w:cs="Times New Roman"/>
          <w:color w:val="FF0000"/>
          <w:highlight w:val="none"/>
          <w:lang w:val="en-US" w:eastAsia="zh-CN"/>
        </w:rPr>
        <w:t>排放量为</w:t>
      </w:r>
      <w:r>
        <w:rPr>
          <w:rFonts w:hint="eastAsia" w:ascii="Times New Roman" w:hAnsi="Times New Roman" w:cs="Times New Roman"/>
          <w:color w:val="FF0000"/>
          <w:highlight w:val="none"/>
          <w:lang w:val="en-US" w:eastAsia="zh-CN"/>
        </w:rPr>
        <w:t>0.59kg/h</w:t>
      </w:r>
      <w:r>
        <w:rPr>
          <w:rFonts w:hint="default" w:ascii="Times New Roman" w:hAnsi="Times New Roman" w:eastAsia="宋体" w:cs="Times New Roman"/>
          <w:color w:val="FF0000"/>
          <w:highlight w:val="none"/>
          <w:lang w:val="en-US" w:eastAsia="zh-CN"/>
        </w:rPr>
        <w:t>，经计算PM</w:t>
      </w:r>
      <w:r>
        <w:rPr>
          <w:rFonts w:hint="default" w:ascii="Times New Roman" w:hAnsi="Times New Roman" w:eastAsia="宋体" w:cs="Times New Roman"/>
          <w:color w:val="FF0000"/>
          <w:highlight w:val="none"/>
          <w:vertAlign w:val="subscript"/>
          <w:lang w:val="en-US" w:eastAsia="zh-CN"/>
        </w:rPr>
        <w:t>2.5</w:t>
      </w:r>
      <w:r>
        <w:rPr>
          <w:rFonts w:hint="default" w:ascii="Times New Roman" w:hAnsi="Times New Roman" w:eastAsia="宋体" w:cs="Times New Roman"/>
          <w:color w:val="FF0000"/>
          <w:highlight w:val="none"/>
          <w:lang w:val="en-US" w:eastAsia="zh-CN"/>
        </w:rPr>
        <w:t>排放量为</w:t>
      </w:r>
      <w:r>
        <w:rPr>
          <w:rFonts w:hint="eastAsia" w:ascii="Times New Roman" w:hAnsi="Times New Roman" w:cs="Times New Roman"/>
          <w:color w:val="FF0000"/>
          <w:highlight w:val="none"/>
          <w:lang w:val="en-US" w:eastAsia="zh-CN"/>
        </w:rPr>
        <w:t>0.38</w:t>
      </w:r>
      <w:r>
        <w:rPr>
          <w:rFonts w:hint="default" w:ascii="Times New Roman" w:hAnsi="Times New Roman" w:eastAsia="宋体" w:cs="Times New Roman"/>
          <w:color w:val="FF0000"/>
          <w:highlight w:val="none"/>
          <w:lang w:val="en-US" w:eastAsia="zh-CN"/>
        </w:rPr>
        <w:t>kg/h、排放浓度为</w:t>
      </w:r>
      <w:r>
        <w:rPr>
          <w:rFonts w:hint="eastAsia" w:ascii="Times New Roman" w:hAnsi="Times New Roman" w:cs="Times New Roman"/>
          <w:color w:val="FF0000"/>
          <w:highlight w:val="none"/>
          <w:lang w:val="en-US" w:eastAsia="zh-CN"/>
        </w:rPr>
        <w:t>4.08</w:t>
      </w:r>
      <w:r>
        <w:rPr>
          <w:rFonts w:hint="default" w:ascii="Times New Roman" w:hAnsi="Times New Roman" w:eastAsia="宋体" w:cs="Times New Roman"/>
          <w:color w:val="FF0000"/>
          <w:highlight w:val="none"/>
          <w:lang w:val="en-US" w:eastAsia="zh-CN"/>
        </w:rPr>
        <w:t>mg/m</w:t>
      </w:r>
      <w:r>
        <w:rPr>
          <w:rFonts w:hint="default" w:ascii="Times New Roman" w:hAnsi="Times New Roman" w:eastAsia="宋体" w:cs="Times New Roman"/>
          <w:color w:val="FF0000"/>
          <w:highlight w:val="none"/>
          <w:vertAlign w:val="superscript"/>
          <w:lang w:val="en-US" w:eastAsia="zh-CN"/>
        </w:rPr>
        <w:t>3</w:t>
      </w:r>
      <w:r>
        <w:rPr>
          <w:rFonts w:hint="default" w:ascii="Times New Roman" w:hAnsi="Times New Roman" w:eastAsia="宋体" w:cs="Times New Roman"/>
          <w:color w:val="FF0000"/>
          <w:highlight w:val="none"/>
          <w:lang w:val="en-US" w:eastAsia="zh-CN"/>
        </w:rPr>
        <w:t>。</w:t>
      </w:r>
    </w:p>
    <w:p w14:paraId="7475B971">
      <w:pPr>
        <w:pStyle w:val="69"/>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lang w:val="en-US" w:eastAsia="zh-CN"/>
        </w:rPr>
        <w:t>（7）</w:t>
      </w:r>
      <w:r>
        <w:rPr>
          <w:rFonts w:hint="default" w:ascii="Times New Roman" w:hAnsi="Times New Roman" w:eastAsia="宋体" w:cs="Times New Roman"/>
          <w:color w:val="FF0000"/>
          <w:highlight w:val="none"/>
        </w:rPr>
        <w:t>氨逃逸</w:t>
      </w:r>
    </w:p>
    <w:p w14:paraId="62008964">
      <w:pPr>
        <w:pStyle w:val="14"/>
        <w:keepNext w:val="0"/>
        <w:keepLines w:val="0"/>
        <w:pageBreakBefore w:val="0"/>
        <w:widowControl w:val="0"/>
        <w:kinsoku/>
        <w:wordWrap/>
        <w:overflowPunct/>
        <w:topLinePunct w:val="0"/>
        <w:autoSpaceDE/>
        <w:autoSpaceDN/>
        <w:bidi w:val="0"/>
        <w:adjustRightInd/>
        <w:snapToGrid/>
        <w:spacing w:after="0"/>
        <w:ind w:firstLine="480"/>
        <w:textAlignment w:val="auto"/>
        <w:rPr>
          <w:rFonts w:hint="default"/>
          <w:color w:val="FF0000"/>
          <w:highlight w:val="none"/>
        </w:rPr>
      </w:pPr>
      <w:r>
        <w:rPr>
          <w:rFonts w:hint="default" w:ascii="Times New Roman" w:hAnsi="Times New Roman" w:eastAsia="宋体" w:cs="Times New Roman"/>
          <w:color w:val="FF0000"/>
          <w:sz w:val="24"/>
          <w:szCs w:val="24"/>
          <w:highlight w:val="none"/>
          <w:lang w:val="en-US" w:eastAsia="zh-CN"/>
        </w:rPr>
        <w:t>参照</w:t>
      </w:r>
      <w:r>
        <w:rPr>
          <w:rFonts w:hint="default" w:ascii="Times New Roman" w:hAnsi="Times New Roman" w:eastAsia="宋体" w:cs="Times New Roman"/>
          <w:color w:val="FF0000"/>
          <w:sz w:val="24"/>
          <w:szCs w:val="24"/>
          <w:highlight w:val="none"/>
        </w:rPr>
        <w:t xml:space="preserve">《火电厂烟气脱硝工程技术规范 </w:t>
      </w:r>
      <w:r>
        <w:rPr>
          <w:rFonts w:hint="eastAsia" w:ascii="Times New Roman" w:hAnsi="Times New Roman" w:eastAsia="宋体" w:cs="Times New Roman"/>
          <w:color w:val="FF0000"/>
          <w:sz w:val="24"/>
          <w:szCs w:val="24"/>
          <w:highlight w:val="none"/>
          <w:lang w:eastAsia="zh-CN"/>
        </w:rPr>
        <w:t>选择性非催化还原法</w:t>
      </w:r>
      <w:r>
        <w:rPr>
          <w:rFonts w:hint="default" w:ascii="Times New Roman" w:hAnsi="Times New Roman" w:eastAsia="宋体" w:cs="Times New Roman"/>
          <w:color w:val="FF0000"/>
          <w:sz w:val="24"/>
          <w:szCs w:val="24"/>
          <w:highlight w:val="none"/>
        </w:rPr>
        <w:t>》要求脱硝系统氨逃逸浓度应控制在</w:t>
      </w:r>
      <w:r>
        <w:rPr>
          <w:rFonts w:hint="eastAsia" w:ascii="Times New Roman" w:hAnsi="Times New Roman" w:eastAsia="宋体" w:cs="Times New Roman"/>
          <w:color w:val="FF0000"/>
          <w:sz w:val="24"/>
          <w:szCs w:val="24"/>
          <w:highlight w:val="none"/>
          <w:lang w:val="en-US" w:eastAsia="zh-CN"/>
        </w:rPr>
        <w:t>8</w:t>
      </w:r>
      <w:r>
        <w:rPr>
          <w:rFonts w:hint="default" w:ascii="Times New Roman" w:hAnsi="Times New Roman" w:eastAsia="宋体" w:cs="Times New Roman"/>
          <w:color w:val="FF0000"/>
          <w:sz w:val="24"/>
          <w:szCs w:val="24"/>
          <w:highlight w:val="none"/>
        </w:rPr>
        <w:t>mg/m</w:t>
      </w:r>
      <w:r>
        <w:rPr>
          <w:rFonts w:hint="default" w:ascii="Times New Roman" w:hAnsi="Times New Roman" w:eastAsia="宋体" w:cs="Times New Roman"/>
          <w:color w:val="FF0000"/>
          <w:sz w:val="24"/>
          <w:szCs w:val="24"/>
          <w:highlight w:val="none"/>
          <w:vertAlign w:val="superscript"/>
        </w:rPr>
        <w:t>3</w:t>
      </w:r>
      <w:r>
        <w:rPr>
          <w:rFonts w:hint="default" w:ascii="Times New Roman" w:hAnsi="Times New Roman" w:eastAsia="宋体" w:cs="Times New Roman"/>
          <w:color w:val="FF0000"/>
          <w:sz w:val="24"/>
          <w:szCs w:val="24"/>
          <w:highlight w:val="none"/>
        </w:rPr>
        <w:t>以下，本次</w:t>
      </w:r>
      <w:r>
        <w:rPr>
          <w:rFonts w:hint="eastAsia" w:ascii="Times New Roman" w:hAnsi="Times New Roman" w:eastAsia="宋体" w:cs="Times New Roman"/>
          <w:color w:val="FF0000"/>
          <w:sz w:val="24"/>
          <w:szCs w:val="24"/>
          <w:highlight w:val="none"/>
          <w:lang w:eastAsia="zh-CN"/>
        </w:rPr>
        <w:t>计算</w:t>
      </w:r>
      <w:r>
        <w:rPr>
          <w:rFonts w:hint="default" w:ascii="Times New Roman" w:hAnsi="Times New Roman" w:eastAsia="宋体" w:cs="Times New Roman"/>
          <w:color w:val="FF0000"/>
          <w:sz w:val="24"/>
          <w:szCs w:val="24"/>
          <w:highlight w:val="none"/>
        </w:rPr>
        <w:t>氨逃逸质量浓度为</w:t>
      </w:r>
      <w:r>
        <w:rPr>
          <w:rFonts w:hint="eastAsia" w:ascii="Times New Roman" w:hAnsi="Times New Roman" w:eastAsia="宋体" w:cs="Times New Roman"/>
          <w:color w:val="FF0000"/>
          <w:sz w:val="24"/>
          <w:szCs w:val="24"/>
          <w:highlight w:val="none"/>
          <w:lang w:val="en-US" w:eastAsia="zh-CN"/>
        </w:rPr>
        <w:t>8</w:t>
      </w:r>
      <w:r>
        <w:rPr>
          <w:rFonts w:hint="default" w:ascii="Times New Roman" w:hAnsi="Times New Roman" w:eastAsia="宋体" w:cs="Times New Roman"/>
          <w:color w:val="FF0000"/>
          <w:sz w:val="24"/>
          <w:szCs w:val="24"/>
          <w:highlight w:val="none"/>
        </w:rPr>
        <w:t>mg/m</w:t>
      </w:r>
      <w:r>
        <w:rPr>
          <w:rFonts w:hint="default" w:ascii="Times New Roman" w:hAnsi="Times New Roman" w:eastAsia="宋体" w:cs="Times New Roman"/>
          <w:color w:val="FF0000"/>
          <w:sz w:val="24"/>
          <w:szCs w:val="24"/>
          <w:highlight w:val="none"/>
          <w:vertAlign w:val="superscript"/>
        </w:rPr>
        <w:t>3</w:t>
      </w:r>
      <w:r>
        <w:rPr>
          <w:rFonts w:hint="default" w:ascii="Times New Roman" w:hAnsi="Times New Roman" w:eastAsia="宋体" w:cs="Times New Roman"/>
          <w:color w:val="FF0000"/>
          <w:sz w:val="24"/>
          <w:szCs w:val="24"/>
          <w:highlight w:val="none"/>
        </w:rPr>
        <w:t>，排放强度小于</w:t>
      </w:r>
      <w:r>
        <w:rPr>
          <w:rFonts w:hint="eastAsia" w:ascii="Times New Roman" w:hAnsi="Times New Roman" w:eastAsia="宋体" w:cs="Times New Roman"/>
          <w:color w:val="FF0000"/>
          <w:sz w:val="24"/>
          <w:szCs w:val="24"/>
          <w:highlight w:val="none"/>
          <w:lang w:val="en-US" w:eastAsia="zh-CN"/>
        </w:rPr>
        <w:t>0.75</w:t>
      </w:r>
      <w:r>
        <w:rPr>
          <w:rFonts w:hint="default" w:ascii="Times New Roman" w:hAnsi="Times New Roman" w:eastAsia="宋体" w:cs="Times New Roman"/>
          <w:color w:val="FF0000"/>
          <w:sz w:val="24"/>
          <w:szCs w:val="24"/>
          <w:highlight w:val="none"/>
        </w:rPr>
        <w:t>kg/h</w:t>
      </w:r>
      <w:r>
        <w:rPr>
          <w:rFonts w:hint="eastAsia" w:ascii="Times New Roman" w:hAnsi="Times New Roman" w:eastAsia="宋体" w:cs="Times New Roman"/>
          <w:color w:val="FF0000"/>
          <w:sz w:val="24"/>
          <w:szCs w:val="24"/>
          <w:highlight w:val="none"/>
          <w:lang w:val="en-US" w:eastAsia="zh-CN"/>
        </w:rPr>
        <w:t>，0.81t/a</w:t>
      </w:r>
      <w:r>
        <w:rPr>
          <w:rFonts w:hint="default" w:ascii="Times New Roman" w:hAnsi="Times New Roman" w:eastAsia="宋体" w:cs="Times New Roman"/>
          <w:color w:val="FF0000"/>
          <w:sz w:val="24"/>
          <w:szCs w:val="24"/>
          <w:highlight w:val="none"/>
          <w:lang w:eastAsia="zh-CN"/>
        </w:rPr>
        <w:t>。</w:t>
      </w:r>
    </w:p>
    <w:p w14:paraId="0110148D">
      <w:pPr>
        <w:pStyle w:val="7"/>
        <w:numPr>
          <w:ilvl w:val="3"/>
          <w:numId w:val="3"/>
        </w:numPr>
        <w:bidi w:val="0"/>
        <w:ind w:left="850" w:leftChars="0" w:hanging="850" w:firstLineChars="0"/>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灰库</w:t>
      </w:r>
      <w:r>
        <w:rPr>
          <w:rFonts w:hint="default" w:ascii="Times New Roman" w:hAnsi="Times New Roman" w:eastAsia="宋体" w:cs="Times New Roman"/>
          <w:color w:val="auto"/>
          <w:highlight w:val="none"/>
          <w:lang w:val="en-US" w:eastAsia="zh-CN"/>
        </w:rPr>
        <w:t>、</w:t>
      </w:r>
      <w:r>
        <w:rPr>
          <w:rFonts w:hint="eastAsia" w:ascii="Times New Roman" w:hAnsi="Times New Roman" w:cs="Times New Roman"/>
          <w:color w:val="auto"/>
          <w:highlight w:val="none"/>
          <w:lang w:val="en-US" w:eastAsia="zh-CN"/>
        </w:rPr>
        <w:t>生石灰粉仓</w:t>
      </w:r>
      <w:r>
        <w:rPr>
          <w:rFonts w:hint="default" w:ascii="Times New Roman" w:hAnsi="Times New Roman" w:eastAsia="宋体" w:cs="Times New Roman"/>
          <w:color w:val="auto"/>
          <w:highlight w:val="none"/>
          <w:lang w:val="en-US" w:eastAsia="zh-CN"/>
        </w:rPr>
        <w:t>、除渣间、碎煤机室、</w:t>
      </w:r>
      <w:r>
        <w:rPr>
          <w:rFonts w:hint="eastAsia" w:ascii="Times New Roman" w:hAnsi="Times New Roman" w:cs="Times New Roman"/>
          <w:color w:val="auto"/>
          <w:highlight w:val="none"/>
          <w:lang w:val="en-US" w:eastAsia="zh-CN"/>
        </w:rPr>
        <w:t>储煤场</w:t>
      </w:r>
      <w:r>
        <w:rPr>
          <w:rFonts w:hint="default" w:ascii="Times New Roman" w:hAnsi="Times New Roman" w:eastAsia="宋体" w:cs="Times New Roman"/>
          <w:color w:val="auto"/>
          <w:highlight w:val="none"/>
          <w:lang w:val="en-US" w:eastAsia="zh-CN"/>
        </w:rPr>
        <w:t>排污分析</w:t>
      </w:r>
    </w:p>
    <w:p w14:paraId="6FFFB8A7">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eastAsia="zh-CN"/>
        </w:rPr>
        <w:t>灰库</w:t>
      </w:r>
      <w:r>
        <w:rPr>
          <w:rFonts w:hint="default" w:ascii="Times New Roman" w:hAnsi="Times New Roman" w:eastAsia="宋体" w:cs="Times New Roman"/>
          <w:color w:val="auto"/>
          <w:highlight w:val="none"/>
        </w:rPr>
        <w:t>储存</w:t>
      </w:r>
      <w:r>
        <w:rPr>
          <w:rFonts w:hint="default" w:ascii="Times New Roman" w:hAnsi="Times New Roman" w:eastAsia="宋体" w:cs="Times New Roman"/>
          <w:color w:val="auto"/>
          <w:highlight w:val="none"/>
          <w:lang w:val="en-US" w:eastAsia="zh-CN"/>
        </w:rPr>
        <w:t>锅</w:t>
      </w:r>
      <w:r>
        <w:rPr>
          <w:rFonts w:hint="default" w:ascii="Times New Roman" w:hAnsi="Times New Roman" w:eastAsia="宋体" w:cs="Times New Roman"/>
          <w:color w:val="auto"/>
          <w:highlight w:val="none"/>
        </w:rPr>
        <w:t>炉</w:t>
      </w:r>
      <w:r>
        <w:rPr>
          <w:rFonts w:hint="default" w:ascii="Times New Roman" w:hAnsi="Times New Roman" w:eastAsia="宋体" w:cs="Times New Roman"/>
          <w:color w:val="auto"/>
          <w:highlight w:val="none"/>
          <w:lang w:val="en-US" w:eastAsia="zh-CN"/>
        </w:rPr>
        <w:t>飞</w:t>
      </w:r>
      <w:r>
        <w:rPr>
          <w:rFonts w:hint="default" w:ascii="Times New Roman" w:hAnsi="Times New Roman" w:eastAsia="宋体" w:cs="Times New Roman"/>
          <w:color w:val="auto"/>
          <w:highlight w:val="none"/>
        </w:rPr>
        <w:t>灰过程中产生的粉尘</w:t>
      </w:r>
    </w:p>
    <w:p w14:paraId="6813D7B8">
      <w:pPr>
        <w:widowControl w:val="0"/>
        <w:adjustRightInd w:val="0"/>
        <w:spacing w:line="360" w:lineRule="auto"/>
        <w:ind w:firstLine="480" w:firstLineChars="200"/>
        <w:jc w:val="both"/>
        <w:textAlignment w:val="baseline"/>
        <w:rPr>
          <w:rFonts w:hint="default" w:ascii="Times New Roman" w:hAnsi="Times New Roman" w:eastAsia="宋体" w:cs="Times New Roman"/>
          <w:color w:val="auto"/>
          <w:sz w:val="24"/>
          <w:highlight w:val="none"/>
          <w:lang w:val="en-US" w:eastAsia="zh-CN" w:bidi="ar-SA"/>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与现有工程共用1座全封闭贮灰库</w:t>
      </w:r>
      <w:r>
        <w:rPr>
          <w:rFonts w:hint="default"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lang w:val="en-US" w:eastAsia="zh-CN"/>
        </w:rPr>
        <w:t>采用脉冲除尘，</w:t>
      </w:r>
      <w:r>
        <w:rPr>
          <w:rFonts w:hint="eastAsia" w:ascii="Times New Roman" w:hAnsi="Times New Roman" w:eastAsia="宋体" w:cs="Times New Roman"/>
          <w:color w:val="auto"/>
          <w:highlight w:val="none"/>
          <w:lang w:eastAsia="zh-CN"/>
        </w:rPr>
        <w:t>除尘效率为</w:t>
      </w:r>
      <w:r>
        <w:rPr>
          <w:rFonts w:hint="eastAsia" w:ascii="Times New Roman" w:hAnsi="Times New Roman" w:eastAsia="宋体" w:cs="Times New Roman"/>
          <w:color w:val="auto"/>
          <w:highlight w:val="none"/>
          <w:lang w:val="en-US" w:eastAsia="zh-CN"/>
        </w:rPr>
        <w:t>95%，灰库</w:t>
      </w:r>
      <w:r>
        <w:rPr>
          <w:rFonts w:hint="default" w:ascii="Times New Roman" w:hAnsi="Times New Roman" w:eastAsia="宋体" w:cs="Times New Roman"/>
          <w:color w:val="auto"/>
          <w:highlight w:val="none"/>
          <w:lang w:val="en-US" w:eastAsia="zh-CN"/>
        </w:rPr>
        <w:t>有效</w:t>
      </w:r>
      <w:r>
        <w:rPr>
          <w:rFonts w:hint="default" w:ascii="Times New Roman" w:hAnsi="Times New Roman" w:eastAsia="宋体" w:cs="Times New Roman"/>
          <w:color w:val="auto"/>
          <w:highlight w:val="none"/>
        </w:rPr>
        <w:t>容积</w:t>
      </w:r>
      <w:r>
        <w:rPr>
          <w:rFonts w:hint="default" w:ascii="Times New Roman" w:hAnsi="Times New Roman" w:eastAsia="宋体" w:cs="Times New Roman"/>
          <w:color w:val="auto"/>
          <w:highlight w:val="none"/>
          <w:lang w:val="en-US" w:eastAsia="zh-CN"/>
        </w:rPr>
        <w:t>为</w:t>
      </w:r>
      <w:r>
        <w:rPr>
          <w:rFonts w:hint="eastAsia" w:ascii="Times New Roman" w:hAnsi="Times New Roman" w:eastAsia="宋体" w:cs="Times New Roman"/>
          <w:color w:val="auto"/>
          <w:highlight w:val="none"/>
          <w:lang w:val="en-US" w:eastAsia="zh-CN"/>
        </w:rPr>
        <w:t>35000</w:t>
      </w:r>
      <w:r>
        <w:rPr>
          <w:rFonts w:hint="default" w:ascii="Times New Roman" w:hAnsi="Times New Roman" w:eastAsia="宋体" w:cs="Times New Roman"/>
          <w:color w:val="auto"/>
          <w:highlight w:val="none"/>
        </w:rPr>
        <w:t>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。除尘器收集的除尘灰气力输送至</w:t>
      </w:r>
      <w:r>
        <w:rPr>
          <w:rFonts w:hint="eastAsia" w:ascii="Times New Roman" w:hAnsi="Times New Roman" w:eastAsia="宋体" w:cs="Times New Roman"/>
          <w:color w:val="auto"/>
          <w:highlight w:val="none"/>
          <w:lang w:eastAsia="zh-CN"/>
        </w:rPr>
        <w:t>灰库</w:t>
      </w:r>
      <w:r>
        <w:rPr>
          <w:rFonts w:hint="default" w:ascii="Times New Roman" w:hAnsi="Times New Roman" w:eastAsia="宋体" w:cs="Times New Roman"/>
          <w:color w:val="auto"/>
          <w:highlight w:val="none"/>
        </w:rPr>
        <w:t>，输灰过程及装车卸灰过程中可能会产生粉尘，</w:t>
      </w:r>
      <w:r>
        <w:rPr>
          <w:rFonts w:hint="default" w:ascii="Times New Roman" w:hAnsi="Times New Roman" w:eastAsia="宋体" w:cs="Times New Roman"/>
          <w:color w:val="auto"/>
          <w:highlight w:val="none"/>
          <w:lang w:val="en-US" w:eastAsia="zh-CN"/>
        </w:rPr>
        <w:t>处理后废气通过</w:t>
      </w:r>
      <w:r>
        <w:rPr>
          <w:rFonts w:hint="eastAsia" w:ascii="Times New Roman" w:hAnsi="Times New Roman" w:eastAsia="宋体" w:cs="Times New Roman"/>
          <w:color w:val="auto"/>
          <w:highlight w:val="none"/>
          <w:lang w:val="en-US" w:eastAsia="zh-CN"/>
        </w:rPr>
        <w:t>库顶</w:t>
      </w:r>
      <w:r>
        <w:rPr>
          <w:rFonts w:hint="default" w:ascii="Times New Roman" w:hAnsi="Times New Roman" w:eastAsia="宋体" w:cs="Times New Roman"/>
          <w:color w:val="auto"/>
          <w:highlight w:val="none"/>
          <w:lang w:val="en-US" w:eastAsia="zh-CN"/>
        </w:rPr>
        <w:t>排放（按有组织排放源</w:t>
      </w:r>
      <w:r>
        <w:rPr>
          <w:rFonts w:hint="eastAsia" w:ascii="Times New Roman" w:hAnsi="Times New Roman" w:eastAsia="宋体" w:cs="Times New Roman"/>
          <w:color w:val="auto"/>
          <w:highlight w:val="none"/>
          <w:lang w:val="en-US" w:eastAsia="zh-CN"/>
        </w:rPr>
        <w:t>计</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eastAsia="zh-CN"/>
        </w:rPr>
        <w:t>灰库</w:t>
      </w:r>
      <w:r>
        <w:rPr>
          <w:rFonts w:hint="default" w:ascii="Times New Roman" w:hAnsi="Times New Roman" w:eastAsia="宋体" w:cs="Times New Roman"/>
          <w:color w:val="auto"/>
          <w:highlight w:val="none"/>
        </w:rPr>
        <w:t>颗粒物产生量</w:t>
      </w:r>
      <w:r>
        <w:rPr>
          <w:rFonts w:hint="default" w:ascii="Times New Roman" w:hAnsi="Times New Roman" w:eastAsia="宋体" w:cs="Times New Roman"/>
          <w:color w:val="auto"/>
          <w:highlight w:val="none"/>
          <w:lang w:eastAsia="zh-CN"/>
        </w:rPr>
        <w:t>根据《逸散性工业粉尘控制技术》中物料输送过程产尘系数</w:t>
      </w:r>
      <w:r>
        <w:rPr>
          <w:rFonts w:hint="default" w:ascii="Times New Roman" w:hAnsi="Times New Roman" w:eastAsia="宋体" w:cs="Times New Roman"/>
          <w:color w:val="auto"/>
          <w:highlight w:val="none"/>
          <w:lang w:val="en-US" w:eastAsia="zh-CN"/>
        </w:rPr>
        <w:t>0.3kg/t计算</w:t>
      </w: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eastAsia="zh-CN"/>
        </w:rPr>
        <w:t>灰库</w:t>
      </w:r>
      <w:r>
        <w:rPr>
          <w:rFonts w:hint="default" w:ascii="Times New Roman" w:hAnsi="Times New Roman" w:eastAsia="宋体" w:cs="Times New Roman"/>
          <w:color w:val="auto"/>
          <w:highlight w:val="none"/>
          <w:lang w:val="en-US" w:eastAsia="zh-CN"/>
        </w:rPr>
        <w:t>飞灰</w:t>
      </w:r>
      <w:r>
        <w:rPr>
          <w:rFonts w:hint="default" w:ascii="Times New Roman" w:hAnsi="Times New Roman" w:eastAsia="宋体" w:cs="Times New Roman"/>
          <w:color w:val="auto"/>
          <w:highlight w:val="none"/>
          <w:lang w:eastAsia="zh-CN"/>
        </w:rPr>
        <w:t>产生量为</w:t>
      </w:r>
      <w:r>
        <w:rPr>
          <w:rFonts w:hint="eastAsia" w:ascii="Times New Roman" w:hAnsi="Times New Roman" w:eastAsia="宋体" w:cs="Times New Roman"/>
          <w:color w:val="auto"/>
          <w:highlight w:val="none"/>
          <w:lang w:val="en-US" w:eastAsia="zh-CN"/>
        </w:rPr>
        <w:t>1227.19t</w:t>
      </w:r>
      <w:r>
        <w:rPr>
          <w:rFonts w:hint="default"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lang w:val="en-US" w:eastAsia="zh-CN"/>
        </w:rPr>
        <w:t>a</w:t>
      </w:r>
      <w:r>
        <w:rPr>
          <w:rFonts w:hint="default" w:ascii="Times New Roman" w:hAnsi="Times New Roman" w:eastAsia="宋体" w:cs="Times New Roman"/>
          <w:color w:val="auto"/>
          <w:highlight w:val="none"/>
          <w:lang w:eastAsia="zh-CN"/>
        </w:rPr>
        <w:t>，颗粒物的产生量</w:t>
      </w:r>
      <w:r>
        <w:rPr>
          <w:rFonts w:hint="eastAsia" w:ascii="Times New Roman" w:hAnsi="Times New Roman" w:eastAsia="宋体" w:cs="Times New Roman"/>
          <w:color w:val="auto"/>
          <w:highlight w:val="none"/>
          <w:lang w:val="en-US" w:eastAsia="zh-CN"/>
        </w:rPr>
        <w:t>0.37t/a，产生速率为0.34</w:t>
      </w:r>
      <w:r>
        <w:rPr>
          <w:rFonts w:hint="default" w:ascii="Times New Roman" w:hAnsi="Times New Roman" w:eastAsia="宋体" w:cs="Times New Roman"/>
          <w:color w:val="auto"/>
          <w:highlight w:val="none"/>
          <w:lang w:val="en-US" w:eastAsia="zh-CN"/>
        </w:rPr>
        <w:t>kg/h，</w:t>
      </w:r>
      <w:r>
        <w:rPr>
          <w:rFonts w:hint="eastAsia" w:ascii="Times New Roman" w:hAnsi="Times New Roman" w:eastAsia="宋体" w:cs="Times New Roman"/>
          <w:color w:val="auto"/>
          <w:highlight w:val="none"/>
          <w:lang w:eastAsia="zh-CN"/>
        </w:rPr>
        <w:t>灰库</w:t>
      </w:r>
      <w:r>
        <w:rPr>
          <w:rFonts w:hint="default" w:ascii="Times New Roman" w:hAnsi="Times New Roman" w:eastAsia="宋体" w:cs="Times New Roman"/>
          <w:color w:val="auto"/>
          <w:highlight w:val="none"/>
          <w:lang w:val="en-US" w:eastAsia="zh-CN"/>
        </w:rPr>
        <w:t>颗粒物的排放量</w:t>
      </w:r>
      <w:r>
        <w:rPr>
          <w:rFonts w:hint="eastAsia" w:ascii="Times New Roman" w:hAnsi="Times New Roman" w:eastAsia="宋体" w:cs="Times New Roman"/>
          <w:color w:val="auto"/>
          <w:highlight w:val="none"/>
          <w:lang w:val="en-US" w:eastAsia="zh-CN"/>
        </w:rPr>
        <w:t>为0.018t/a，排放速率为0.017kg/h</w:t>
      </w:r>
      <w:r>
        <w:rPr>
          <w:rFonts w:hint="default" w:ascii="Times New Roman" w:hAnsi="Times New Roman" w:eastAsia="宋体" w:cs="Times New Roman"/>
          <w:color w:val="auto"/>
          <w:highlight w:val="none"/>
          <w:lang w:val="en-US" w:eastAsia="zh-CN"/>
        </w:rPr>
        <w:t>。</w:t>
      </w:r>
    </w:p>
    <w:p w14:paraId="183C2D03">
      <w:pPr>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生石灰粉仓</w:t>
      </w:r>
      <w:r>
        <w:rPr>
          <w:rFonts w:hint="default" w:ascii="Times New Roman" w:hAnsi="Times New Roman" w:eastAsia="宋体" w:cs="Times New Roman"/>
          <w:color w:val="auto"/>
          <w:highlight w:val="none"/>
          <w:lang w:val="en-US" w:eastAsia="zh-CN"/>
        </w:rPr>
        <w:t>产生的粉尘</w:t>
      </w:r>
    </w:p>
    <w:p w14:paraId="63A4D615">
      <w:pPr>
        <w:bidi w:val="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生石灰</w:t>
      </w:r>
      <w:r>
        <w:rPr>
          <w:rFonts w:hint="default" w:ascii="Times New Roman" w:hAnsi="Times New Roman" w:eastAsia="宋体" w:cs="Times New Roman"/>
          <w:color w:val="auto"/>
          <w:highlight w:val="none"/>
        </w:rPr>
        <w:t>上料过程中会产生一定量的含尘废气，</w:t>
      </w:r>
      <w:r>
        <w:rPr>
          <w:rFonts w:hint="eastAsia" w:ascii="Times New Roman" w:hAnsi="Times New Roman" w:eastAsia="宋体" w:cs="Times New Roman"/>
          <w:color w:val="auto"/>
          <w:highlight w:val="none"/>
          <w:lang w:eastAsia="zh-CN"/>
        </w:rPr>
        <w:t>生石灰粉仓</w:t>
      </w:r>
      <w:r>
        <w:rPr>
          <w:rFonts w:hint="default" w:ascii="Times New Roman" w:hAnsi="Times New Roman" w:eastAsia="宋体" w:cs="Times New Roman"/>
          <w:color w:val="auto"/>
          <w:highlight w:val="none"/>
        </w:rPr>
        <w:t>设置一套脉冲布袋除尘器（除尘效率</w:t>
      </w:r>
      <w:r>
        <w:rPr>
          <w:rFonts w:hint="eastAsia" w:ascii="Times New Roman" w:hAnsi="Times New Roman" w:eastAsia="宋体" w:cs="Times New Roman"/>
          <w:color w:val="auto"/>
          <w:highlight w:val="none"/>
          <w:lang w:val="en-US" w:eastAsia="zh-CN"/>
        </w:rPr>
        <w:t>95</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处理后废气通过仓顶排放（按有组织排放源计）</w:t>
      </w:r>
      <w:r>
        <w:rPr>
          <w:rFonts w:hint="default" w:ascii="Times New Roman" w:hAnsi="Times New Roman" w:eastAsia="宋体" w:cs="Times New Roman"/>
          <w:color w:val="auto"/>
          <w:highlight w:val="none"/>
        </w:rPr>
        <w:t>。</w:t>
      </w:r>
    </w:p>
    <w:p w14:paraId="588F13C7">
      <w:pPr>
        <w:pStyle w:val="69"/>
        <w:ind w:firstLine="480"/>
        <w:rPr>
          <w:rFonts w:hint="default" w:ascii="Times New Roman" w:hAnsi="Times New Roman" w:eastAsia="宋体" w:cs="Times New Roman"/>
          <w:color w:val="auto"/>
          <w:sz w:val="24"/>
          <w:highlight w:val="none"/>
          <w:lang w:val="en-US" w:eastAsia="zh-CN" w:bidi="ar-SA"/>
        </w:rPr>
      </w:pPr>
      <w:r>
        <w:rPr>
          <w:rFonts w:hint="default" w:ascii="Times New Roman" w:hAnsi="Times New Roman" w:eastAsia="宋体" w:cs="Times New Roman"/>
          <w:color w:val="auto"/>
          <w:highlight w:val="none"/>
          <w:lang w:val="en-US" w:eastAsia="zh-CN"/>
        </w:rPr>
        <w:t>本项目</w:t>
      </w:r>
      <w:r>
        <w:rPr>
          <w:rFonts w:hint="eastAsia" w:ascii="Times New Roman" w:hAnsi="Times New Roman" w:cs="Times New Roman"/>
          <w:color w:val="auto"/>
          <w:highlight w:val="none"/>
          <w:lang w:val="en-US" w:eastAsia="zh-CN"/>
        </w:rPr>
        <w:t>生石灰</w:t>
      </w:r>
      <w:r>
        <w:rPr>
          <w:rFonts w:hint="default" w:ascii="Times New Roman" w:hAnsi="Times New Roman" w:eastAsia="宋体" w:cs="Times New Roman"/>
          <w:color w:val="auto"/>
          <w:highlight w:val="none"/>
          <w:lang w:val="en-US" w:eastAsia="zh-CN"/>
        </w:rPr>
        <w:t>粉仓采用钢结构全封闭结构，粉尘产生量参考《逸散性工业粉尘控制技术</w:t>
      </w:r>
      <w:r>
        <w:rPr>
          <w:rFonts w:hint="eastAsia" w:ascii="Times New Roman" w:hAnsi="Times New Roman" w:cs="Times New Roman"/>
          <w:color w:val="auto"/>
          <w:highlight w:val="none"/>
          <w:lang w:val="en-US" w:eastAsia="zh-CN"/>
        </w:rPr>
        <w:t>》《</w:t>
      </w:r>
      <w:r>
        <w:rPr>
          <w:rFonts w:hint="default" w:ascii="Times New Roman" w:hAnsi="Times New Roman" w:eastAsia="宋体" w:cs="Times New Roman"/>
          <w:color w:val="auto"/>
          <w:highlight w:val="none"/>
          <w:lang w:val="en-US" w:eastAsia="zh-CN"/>
        </w:rPr>
        <w:t>工业污染核算》等书，确定粉尘产生系数为1kg/t，则</w:t>
      </w:r>
      <w:r>
        <w:rPr>
          <w:rFonts w:hint="eastAsia" w:ascii="Times New Roman" w:hAnsi="Times New Roman" w:cs="Times New Roman"/>
          <w:color w:val="auto"/>
          <w:highlight w:val="none"/>
          <w:lang w:eastAsia="zh-CN"/>
        </w:rPr>
        <w:t>生石灰</w:t>
      </w:r>
      <w:r>
        <w:rPr>
          <w:rFonts w:hint="eastAsia" w:ascii="Times New Roman" w:hAnsi="Times New Roman" w:eastAsia="宋体" w:cs="Times New Roman"/>
          <w:color w:val="auto"/>
          <w:highlight w:val="none"/>
          <w:lang w:eastAsia="zh-CN"/>
        </w:rPr>
        <w:t>粉仓</w:t>
      </w:r>
      <w:r>
        <w:rPr>
          <w:rFonts w:hint="default" w:ascii="Times New Roman" w:hAnsi="Times New Roman" w:eastAsia="宋体" w:cs="Times New Roman"/>
          <w:color w:val="auto"/>
          <w:highlight w:val="none"/>
        </w:rPr>
        <w:t>颗粒物</w:t>
      </w:r>
      <w:r>
        <w:rPr>
          <w:rFonts w:hint="default" w:ascii="Times New Roman" w:hAnsi="Times New Roman" w:eastAsia="宋体" w:cs="Times New Roman"/>
          <w:color w:val="auto"/>
          <w:highlight w:val="none"/>
          <w:lang w:eastAsia="zh-CN"/>
        </w:rPr>
        <w:t>产生量为</w:t>
      </w:r>
      <w:r>
        <w:rPr>
          <w:rFonts w:hint="eastAsia" w:ascii="Times New Roman" w:hAnsi="Times New Roman" w:cs="Times New Roman"/>
          <w:color w:val="auto"/>
          <w:highlight w:val="none"/>
          <w:lang w:val="en-US" w:eastAsia="zh-CN"/>
        </w:rPr>
        <w:t>0.047t/a，产生速率为0.043</w:t>
      </w:r>
      <w:r>
        <w:rPr>
          <w:rFonts w:hint="default" w:ascii="Times New Roman" w:hAnsi="Times New Roman" w:eastAsia="宋体" w:cs="Times New Roman"/>
          <w:color w:val="auto"/>
          <w:highlight w:val="none"/>
          <w:lang w:val="en-US" w:eastAsia="zh-CN"/>
        </w:rPr>
        <w:t>kg/h，排放量为</w:t>
      </w:r>
      <w:r>
        <w:rPr>
          <w:rFonts w:hint="eastAsia" w:ascii="Times New Roman" w:hAnsi="Times New Roman" w:cs="Times New Roman"/>
          <w:color w:val="auto"/>
          <w:highlight w:val="none"/>
          <w:lang w:val="en-US" w:eastAsia="zh-CN"/>
        </w:rPr>
        <w:t>0.002t/a，排放速率为0.002</w:t>
      </w:r>
      <w:r>
        <w:rPr>
          <w:rFonts w:hint="default" w:ascii="Times New Roman" w:hAnsi="Times New Roman" w:eastAsia="宋体" w:cs="Times New Roman"/>
          <w:color w:val="auto"/>
          <w:highlight w:val="none"/>
          <w:lang w:val="en-US" w:eastAsia="zh-CN"/>
        </w:rPr>
        <w:t>kg/h。</w:t>
      </w:r>
    </w:p>
    <w:p w14:paraId="2ADABAE6">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炉渣储存过程中产生的粉尘</w:t>
      </w:r>
    </w:p>
    <w:p w14:paraId="5831F0CA">
      <w:pPr>
        <w:widowControl w:val="0"/>
        <w:adjustRightInd w:val="0"/>
        <w:spacing w:line="360" w:lineRule="auto"/>
        <w:ind w:firstLine="480" w:firstLineChars="200"/>
        <w:jc w:val="both"/>
        <w:textAlignment w:val="baseline"/>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本项目</w:t>
      </w:r>
      <w:r>
        <w:rPr>
          <w:rFonts w:hint="eastAsia" w:ascii="Times New Roman" w:hAnsi="Times New Roman" w:eastAsia="宋体" w:cs="Times New Roman"/>
          <w:color w:val="auto"/>
          <w:highlight w:val="none"/>
          <w:lang w:val="en-US" w:eastAsia="zh-CN"/>
        </w:rPr>
        <w:t>炉渣利用厂区内现有渣仓进行储存，渣仓</w:t>
      </w:r>
      <w:r>
        <w:rPr>
          <w:rFonts w:hint="default" w:ascii="Times New Roman" w:hAnsi="Times New Roman" w:eastAsia="宋体" w:cs="Times New Roman"/>
          <w:color w:val="auto"/>
          <w:highlight w:val="none"/>
          <w:lang w:val="en-US" w:eastAsia="zh-CN"/>
        </w:rPr>
        <w:t>有效容积为</w:t>
      </w:r>
      <w:r>
        <w:rPr>
          <w:rFonts w:hint="eastAsia" w:ascii="Times New Roman" w:hAnsi="Times New Roman" w:eastAsia="宋体" w:cs="Times New Roman"/>
          <w:color w:val="auto"/>
          <w:highlight w:val="none"/>
          <w:lang w:val="en-US" w:eastAsia="zh-CN"/>
        </w:rPr>
        <w:t>10000</w:t>
      </w:r>
      <w:r>
        <w:rPr>
          <w:rFonts w:hint="default" w:ascii="Times New Roman" w:hAnsi="Times New Roman" w:eastAsia="宋体" w:cs="Times New Roman"/>
          <w:color w:val="auto"/>
          <w:highlight w:val="none"/>
          <w:lang w:val="en-US" w:eastAsia="zh-CN"/>
        </w:rPr>
        <w:t>m</w:t>
      </w:r>
      <w:r>
        <w:rPr>
          <w:rFonts w:hint="default" w:ascii="Times New Roman" w:hAnsi="Times New Roman" w:eastAsia="宋体" w:cs="Times New Roman"/>
          <w:color w:val="auto"/>
          <w:highlight w:val="none"/>
          <w:vertAlign w:val="superscript"/>
          <w:lang w:val="en-US" w:eastAsia="zh-CN"/>
        </w:rPr>
        <w:t>3</w:t>
      </w:r>
      <w:r>
        <w:rPr>
          <w:rFonts w:hint="default" w:ascii="Times New Roman" w:hAnsi="Times New Roman" w:eastAsia="宋体" w:cs="Times New Roman"/>
          <w:color w:val="auto"/>
          <w:highlight w:val="none"/>
          <w:lang w:val="en-US" w:eastAsia="zh-CN"/>
        </w:rPr>
        <w:t>，除渣系统采用干式机械除渣系统，出渣口下配置冷渣机，锅炉排出的高温炉渣经冷却器冷却后，温度降到＜100℃后刮板输送机和斗式提升机转运，除渣过程中车间密闭，可有效</w:t>
      </w:r>
      <w:r>
        <w:rPr>
          <w:rFonts w:hint="eastAsia" w:ascii="Times New Roman" w:hAnsi="Times New Roman" w:eastAsia="宋体" w:cs="Times New Roman"/>
          <w:color w:val="auto"/>
          <w:highlight w:val="none"/>
          <w:lang w:val="en-US" w:eastAsia="zh-CN"/>
        </w:rPr>
        <w:t>控制</w:t>
      </w:r>
      <w:r>
        <w:rPr>
          <w:rFonts w:hint="default" w:ascii="Times New Roman" w:hAnsi="Times New Roman" w:eastAsia="宋体" w:cs="Times New Roman"/>
          <w:color w:val="auto"/>
          <w:highlight w:val="none"/>
          <w:lang w:val="en-US" w:eastAsia="zh-CN"/>
        </w:rPr>
        <w:t>90%的粉尘逸散，</w:t>
      </w:r>
      <w:r>
        <w:rPr>
          <w:rFonts w:hint="default" w:ascii="Times New Roman" w:hAnsi="Times New Roman" w:eastAsia="宋体" w:cs="Times New Roman"/>
          <w:color w:val="auto"/>
          <w:highlight w:val="none"/>
        </w:rPr>
        <w:t>颗粒物产生量</w:t>
      </w:r>
      <w:r>
        <w:rPr>
          <w:rFonts w:hint="default" w:ascii="Times New Roman" w:hAnsi="Times New Roman" w:eastAsia="宋体" w:cs="Times New Roman"/>
          <w:color w:val="auto"/>
          <w:highlight w:val="none"/>
          <w:lang w:eastAsia="zh-CN"/>
        </w:rPr>
        <w:t>根据《逸散性工业粉尘控制技术》中物料输送过程产尘系数</w:t>
      </w:r>
      <w:r>
        <w:rPr>
          <w:rFonts w:hint="default" w:ascii="Times New Roman" w:hAnsi="Times New Roman" w:eastAsia="宋体" w:cs="Times New Roman"/>
          <w:color w:val="auto"/>
          <w:highlight w:val="none"/>
          <w:lang w:val="en-US" w:eastAsia="zh-CN"/>
        </w:rPr>
        <w:t>0.3kg/t计算</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炉渣</w:t>
      </w:r>
      <w:r>
        <w:rPr>
          <w:rFonts w:hint="default" w:ascii="Times New Roman" w:hAnsi="Times New Roman" w:eastAsia="宋体" w:cs="Times New Roman"/>
          <w:color w:val="auto"/>
          <w:highlight w:val="none"/>
          <w:lang w:eastAsia="zh-CN"/>
        </w:rPr>
        <w:t>产生量为</w:t>
      </w:r>
      <w:r>
        <w:rPr>
          <w:rFonts w:hint="eastAsia" w:ascii="Times New Roman" w:hAnsi="Times New Roman" w:eastAsia="宋体" w:cs="Times New Roman"/>
          <w:color w:val="auto"/>
          <w:highlight w:val="none"/>
          <w:lang w:val="en-US" w:eastAsia="zh-CN"/>
        </w:rPr>
        <w:t>4.53</w:t>
      </w:r>
      <w:r>
        <w:rPr>
          <w:rFonts w:hint="default" w:ascii="Times New Roman" w:hAnsi="Times New Roman" w:eastAsia="宋体" w:cs="Times New Roman"/>
          <w:color w:val="auto"/>
          <w:highlight w:val="none"/>
          <w:lang w:val="en-US" w:eastAsia="zh-CN"/>
        </w:rPr>
        <w:t>t/h，</w:t>
      </w:r>
      <w:r>
        <w:rPr>
          <w:rFonts w:hint="eastAsia" w:ascii="Times New Roman" w:hAnsi="Times New Roman" w:eastAsia="宋体" w:cs="Times New Roman"/>
          <w:color w:val="auto"/>
          <w:highlight w:val="none"/>
          <w:lang w:val="en-US" w:eastAsia="zh-CN"/>
        </w:rPr>
        <w:t>4908.76t/a，</w:t>
      </w:r>
      <w:r>
        <w:rPr>
          <w:rFonts w:hint="default" w:ascii="Times New Roman" w:hAnsi="Times New Roman" w:eastAsia="宋体" w:cs="Times New Roman"/>
          <w:color w:val="auto"/>
          <w:highlight w:val="none"/>
          <w:lang w:eastAsia="zh-CN"/>
        </w:rPr>
        <w:t>颗粒物的产生量为</w:t>
      </w:r>
      <w:r>
        <w:rPr>
          <w:rFonts w:hint="eastAsia" w:ascii="Times New Roman" w:hAnsi="Times New Roman" w:eastAsia="宋体" w:cs="Times New Roman"/>
          <w:color w:val="auto"/>
          <w:highlight w:val="none"/>
          <w:lang w:val="en-US" w:eastAsia="zh-CN"/>
        </w:rPr>
        <w:t>1.36</w:t>
      </w:r>
      <w:r>
        <w:rPr>
          <w:rFonts w:hint="default" w:ascii="Times New Roman" w:hAnsi="Times New Roman" w:eastAsia="宋体" w:cs="Times New Roman"/>
          <w:color w:val="auto"/>
          <w:highlight w:val="none"/>
          <w:lang w:val="en-US" w:eastAsia="zh-CN"/>
        </w:rPr>
        <w:t>kg/h，排放量为</w:t>
      </w:r>
      <w:r>
        <w:rPr>
          <w:rFonts w:hint="eastAsia" w:ascii="Times New Roman" w:hAnsi="Times New Roman" w:eastAsia="宋体" w:cs="Times New Roman"/>
          <w:color w:val="auto"/>
          <w:highlight w:val="none"/>
          <w:lang w:val="en-US" w:eastAsia="zh-CN"/>
        </w:rPr>
        <w:t>0.15t/a，排放速率为0.14</w:t>
      </w:r>
      <w:r>
        <w:rPr>
          <w:rFonts w:hint="default" w:ascii="Times New Roman" w:hAnsi="Times New Roman" w:eastAsia="宋体" w:cs="Times New Roman"/>
          <w:color w:val="auto"/>
          <w:highlight w:val="none"/>
          <w:lang w:val="en-US" w:eastAsia="zh-CN"/>
        </w:rPr>
        <w:t>kg/h</w:t>
      </w:r>
      <w:r>
        <w:rPr>
          <w:rFonts w:hint="default" w:ascii="Times New Roman" w:hAnsi="Times New Roman" w:eastAsia="宋体" w:cs="Times New Roman"/>
          <w:color w:val="auto"/>
          <w:highlight w:val="none"/>
        </w:rPr>
        <w:t>。</w:t>
      </w:r>
    </w:p>
    <w:p w14:paraId="28655DD4">
      <w:pPr>
        <w:bidi w:val="0"/>
        <w:rPr>
          <w:rFonts w:hint="eastAsia"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碎煤机室的产生煤尘扬尘</w:t>
      </w:r>
    </w:p>
    <w:p w14:paraId="12B35F24">
      <w:pPr>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碎煤机室的各落煤点会产生煤尘扬尘，企业全封闭管控，碎煤机为全封闭式，</w:t>
      </w:r>
      <w:r>
        <w:rPr>
          <w:rFonts w:hint="eastAsia" w:ascii="Times New Roman" w:hAnsi="Times New Roman" w:eastAsia="宋体" w:cs="Times New Roman"/>
          <w:color w:val="auto"/>
          <w:highlight w:val="none"/>
          <w:lang w:eastAsia="zh-CN"/>
        </w:rPr>
        <w:t>采取密闭和负压系统，</w:t>
      </w:r>
      <w:r>
        <w:rPr>
          <w:rFonts w:hint="eastAsia" w:ascii="Times New Roman" w:hAnsi="Times New Roman" w:eastAsia="宋体" w:cs="Times New Roman"/>
          <w:color w:val="auto"/>
          <w:highlight w:val="none"/>
          <w:lang w:val="en-US" w:eastAsia="zh-CN"/>
        </w:rPr>
        <w:t>粉尘经布袋除尘器（</w:t>
      </w:r>
      <w:r>
        <w:rPr>
          <w:rFonts w:hint="default" w:ascii="Times New Roman" w:hAnsi="Times New Roman" w:eastAsia="宋体" w:cs="Times New Roman"/>
          <w:color w:val="auto"/>
          <w:highlight w:val="none"/>
        </w:rPr>
        <w:t>除尘效率9</w:t>
      </w:r>
      <w:r>
        <w:rPr>
          <w:rFonts w:hint="eastAsia" w:ascii="Times New Roman" w:hAnsi="Times New Roman" w:eastAsia="宋体" w:cs="Times New Roman"/>
          <w:color w:val="auto"/>
          <w:highlight w:val="none"/>
          <w:lang w:val="en-US" w:eastAsia="zh-CN"/>
        </w:rPr>
        <w:t>9</w:t>
      </w: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）处理后车间内无组织排放</w:t>
      </w:r>
      <w:r>
        <w:rPr>
          <w:rFonts w:hint="default" w:ascii="Times New Roman" w:hAnsi="Times New Roman" w:eastAsia="宋体" w:cs="Times New Roman"/>
          <w:color w:val="auto"/>
          <w:highlight w:val="none"/>
          <w:lang w:eastAsia="zh-CN"/>
        </w:rPr>
        <w:t>。</w:t>
      </w:r>
    </w:p>
    <w:p w14:paraId="271CB994">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碎煤机室</w:t>
      </w:r>
      <w:r>
        <w:rPr>
          <w:rFonts w:hint="default" w:ascii="Times New Roman" w:hAnsi="Times New Roman" w:eastAsia="宋体" w:cs="Times New Roman"/>
          <w:color w:val="auto"/>
          <w:highlight w:val="none"/>
        </w:rPr>
        <w:t>颗粒物产生量</w:t>
      </w:r>
      <w:r>
        <w:rPr>
          <w:rFonts w:hint="default" w:ascii="Times New Roman" w:hAnsi="Times New Roman" w:eastAsia="宋体" w:cs="Times New Roman"/>
          <w:color w:val="auto"/>
          <w:highlight w:val="none"/>
          <w:lang w:val="en-US" w:eastAsia="zh-CN"/>
        </w:rPr>
        <w:t>根据</w:t>
      </w:r>
      <w:r>
        <w:rPr>
          <w:rFonts w:hint="default" w:ascii="Times New Roman" w:hAnsi="Times New Roman" w:eastAsia="宋体" w:cs="Times New Roman"/>
          <w:color w:val="auto"/>
          <w:highlight w:val="none"/>
        </w:rPr>
        <w:t>《逸散性工业粉尘控制技术》细碎粉尘产生</w:t>
      </w:r>
      <w:r>
        <w:rPr>
          <w:rFonts w:hint="default" w:ascii="Times New Roman" w:hAnsi="Times New Roman" w:eastAsia="宋体" w:cs="Times New Roman"/>
          <w:color w:val="auto"/>
          <w:highlight w:val="none"/>
          <w:lang w:eastAsia="zh-CN"/>
        </w:rPr>
        <w:t>系数</w:t>
      </w:r>
      <w:r>
        <w:rPr>
          <w:rFonts w:hint="default" w:ascii="Times New Roman" w:hAnsi="Times New Roman" w:eastAsia="宋体" w:cs="Times New Roman"/>
          <w:color w:val="auto"/>
          <w:highlight w:val="none"/>
        </w:rPr>
        <w:t>0.15kg/</w:t>
      </w:r>
      <w:r>
        <w:rPr>
          <w:rFonts w:hint="default" w:ascii="Times New Roman" w:hAnsi="Times New Roman" w:eastAsia="宋体" w:cs="Times New Roman"/>
          <w:color w:val="auto"/>
          <w:highlight w:val="none"/>
          <w:lang w:val="en-US" w:eastAsia="zh-CN"/>
        </w:rPr>
        <w:t>t</w:t>
      </w:r>
      <w:r>
        <w:rPr>
          <w:rFonts w:hint="default" w:ascii="Times New Roman" w:hAnsi="Times New Roman" w:eastAsia="宋体" w:cs="Times New Roman"/>
          <w:color w:val="auto"/>
          <w:highlight w:val="none"/>
          <w:lang w:eastAsia="zh-CN"/>
        </w:rPr>
        <w:t>计算</w:t>
      </w: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eastAsia="zh-CN"/>
        </w:rPr>
        <w:t>本项目碎煤量</w:t>
      </w:r>
      <w:r>
        <w:rPr>
          <w:rFonts w:hint="eastAsia" w:ascii="Times New Roman" w:hAnsi="Times New Roman" w:eastAsia="宋体" w:cs="Times New Roman"/>
          <w:color w:val="auto"/>
          <w:highlight w:val="none"/>
          <w:lang w:val="en-US" w:eastAsia="zh-CN"/>
        </w:rPr>
        <w:t>15616.86t/a，</w:t>
      </w:r>
      <w:r>
        <w:rPr>
          <w:rFonts w:hint="default" w:ascii="Times New Roman" w:hAnsi="Times New Roman" w:eastAsia="宋体" w:cs="Times New Roman"/>
          <w:color w:val="auto"/>
          <w:highlight w:val="none"/>
          <w:lang w:eastAsia="zh-CN"/>
        </w:rPr>
        <w:t>颗粒物的产生量为</w:t>
      </w:r>
      <w:r>
        <w:rPr>
          <w:rFonts w:hint="eastAsia" w:ascii="Times New Roman" w:hAnsi="Times New Roman" w:eastAsia="宋体" w:cs="Times New Roman"/>
          <w:color w:val="auto"/>
          <w:highlight w:val="none"/>
          <w:lang w:val="en-US" w:eastAsia="zh-CN"/>
        </w:rPr>
        <w:t>2.34t/a，产生速率为2.16</w:t>
      </w:r>
      <w:r>
        <w:rPr>
          <w:rFonts w:hint="default" w:ascii="Times New Roman" w:hAnsi="Times New Roman" w:eastAsia="宋体" w:cs="Times New Roman"/>
          <w:color w:val="auto"/>
          <w:highlight w:val="none"/>
          <w:lang w:val="en-US" w:eastAsia="zh-CN"/>
        </w:rPr>
        <w:t>kg/h，碎煤机室</w:t>
      </w:r>
      <w:r>
        <w:rPr>
          <w:rFonts w:hint="default" w:ascii="Times New Roman" w:hAnsi="Times New Roman" w:eastAsia="宋体" w:cs="Times New Roman"/>
          <w:color w:val="auto"/>
          <w:highlight w:val="none"/>
        </w:rPr>
        <w:t>颗粒物</w:t>
      </w:r>
      <w:r>
        <w:rPr>
          <w:rFonts w:hint="default" w:ascii="Times New Roman" w:hAnsi="Times New Roman" w:eastAsia="宋体" w:cs="Times New Roman"/>
          <w:color w:val="auto"/>
          <w:highlight w:val="none"/>
          <w:lang w:val="en-US" w:eastAsia="zh-CN"/>
        </w:rPr>
        <w:t>的排放量为</w:t>
      </w:r>
      <w:r>
        <w:rPr>
          <w:rFonts w:hint="eastAsia" w:ascii="Times New Roman" w:hAnsi="Times New Roman" w:eastAsia="宋体" w:cs="Times New Roman"/>
          <w:color w:val="auto"/>
          <w:highlight w:val="none"/>
          <w:lang w:val="en-US" w:eastAsia="zh-CN"/>
        </w:rPr>
        <w:t>0.02t/a，排放速率为0.02</w:t>
      </w:r>
      <w:r>
        <w:rPr>
          <w:rFonts w:hint="default" w:ascii="Times New Roman" w:hAnsi="Times New Roman" w:eastAsia="宋体" w:cs="Times New Roman"/>
          <w:color w:val="auto"/>
          <w:highlight w:val="none"/>
          <w:lang w:val="en-US" w:eastAsia="zh-CN"/>
        </w:rPr>
        <w:t>kg/h</w:t>
      </w:r>
      <w:r>
        <w:rPr>
          <w:rFonts w:hint="default" w:ascii="Times New Roman" w:hAnsi="Times New Roman" w:eastAsia="宋体" w:cs="Times New Roman"/>
          <w:color w:val="auto"/>
          <w:highlight w:val="none"/>
          <w:lang w:eastAsia="zh-CN"/>
        </w:rPr>
        <w:t>。</w:t>
      </w:r>
    </w:p>
    <w:p w14:paraId="4107EE5A">
      <w:pPr>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lang w:val="en-US" w:eastAsia="zh-CN"/>
        </w:rPr>
        <w:t>）储煤</w:t>
      </w:r>
      <w:r>
        <w:rPr>
          <w:rFonts w:hint="eastAsia" w:ascii="Times New Roman" w:hAnsi="Times New Roman" w:eastAsia="宋体" w:cs="Times New Roman"/>
          <w:color w:val="auto"/>
          <w:highlight w:val="none"/>
          <w:lang w:val="en-US" w:eastAsia="zh-CN"/>
        </w:rPr>
        <w:t>场</w:t>
      </w:r>
      <w:r>
        <w:rPr>
          <w:rFonts w:hint="default" w:ascii="Times New Roman" w:hAnsi="Times New Roman" w:eastAsia="宋体" w:cs="Times New Roman"/>
          <w:color w:val="auto"/>
          <w:highlight w:val="none"/>
          <w:lang w:val="en-US" w:eastAsia="zh-CN"/>
        </w:rPr>
        <w:t>产生的扬尘</w:t>
      </w:r>
    </w:p>
    <w:p w14:paraId="4F6758EA">
      <w:pPr>
        <w:spacing w:line="500" w:lineRule="exact"/>
        <w:ind w:firstLine="533"/>
        <w:rPr>
          <w:rFonts w:hint="default" w:ascii="Times New Roman" w:hAnsi="Times New Roman" w:eastAsia="宋体" w:cs="Times New Roman"/>
          <w:color w:val="auto"/>
          <w:sz w:val="28"/>
          <w:szCs w:val="24"/>
          <w:highlight w:val="none"/>
        </w:rPr>
      </w:pPr>
      <w:r>
        <w:rPr>
          <w:rFonts w:hint="eastAsia" w:ascii="Times New Roman" w:hAnsi="Times New Roman" w:eastAsia="宋体" w:cs="Times New Roman"/>
          <w:color w:val="auto"/>
          <w:highlight w:val="none"/>
          <w:lang w:val="en-US" w:eastAsia="zh-CN"/>
        </w:rPr>
        <w:t>本项目与现有工程共用储煤场，贮煤场15320m</w:t>
      </w:r>
      <w:r>
        <w:rPr>
          <w:rFonts w:hint="eastAsia" w:ascii="Times New Roman" w:hAnsi="Times New Roman" w:eastAsia="宋体" w:cs="Times New Roman"/>
          <w:color w:val="auto"/>
          <w:highlight w:val="none"/>
          <w:vertAlign w:val="superscript"/>
          <w:lang w:val="en-US" w:eastAsia="zh-CN"/>
        </w:rPr>
        <w:t>2</w:t>
      </w:r>
      <w:r>
        <w:rPr>
          <w:rFonts w:hint="eastAsia" w:ascii="Times New Roman" w:hAnsi="Times New Roman" w:eastAsia="宋体" w:cs="Times New Roman"/>
          <w:color w:val="auto"/>
          <w:highlight w:val="none"/>
          <w:vertAlign w:val="baseline"/>
          <w:lang w:val="en-US" w:eastAsia="zh-CN"/>
        </w:rPr>
        <w:t>，堆高10m</w:t>
      </w:r>
      <w:r>
        <w:rPr>
          <w:rFonts w:hint="default"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lang w:val="en-US" w:eastAsia="zh-CN"/>
        </w:rPr>
        <w:t>煤场四周设高于煤堆的防风抑尘网，定期喷水降尘，除尘效率60%。</w:t>
      </w:r>
      <w:r>
        <w:rPr>
          <w:rFonts w:hint="default" w:ascii="Times New Roman" w:hAnsi="Times New Roman" w:eastAsia="宋体" w:cs="Times New Roman"/>
          <w:color w:val="auto"/>
          <w:kern w:val="2"/>
          <w:sz w:val="24"/>
          <w:szCs w:val="22"/>
          <w:highlight w:val="none"/>
          <w:lang w:val="en-US" w:eastAsia="zh-CN"/>
        </w:rPr>
        <w:t>依据《扬尘源颗粒物排放清单编制技术指南》，计算堆场装卸扬尘。</w:t>
      </w:r>
    </w:p>
    <w:p w14:paraId="24A86096">
      <w:pPr>
        <w:pStyle w:val="5"/>
        <w:adjustRightInd w:val="0"/>
        <w:snapToGrid w:val="0"/>
        <w:spacing w:line="360" w:lineRule="auto"/>
        <w:ind w:firstLine="0" w:firstLineChars="0"/>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8"/>
          <w:szCs w:val="24"/>
          <w:highlight w:val="none"/>
        </w:rPr>
        <w:t xml:space="preserve">         </w:t>
      </w:r>
      <w:r>
        <w:rPr>
          <w:rFonts w:hint="default" w:ascii="Times New Roman" w:hAnsi="Times New Roman" w:eastAsia="宋体" w:cs="Times New Roman"/>
          <w:color w:val="auto"/>
          <w:sz w:val="28"/>
          <w:szCs w:val="24"/>
          <w:highlight w:val="none"/>
        </w:rPr>
        <w:drawing>
          <wp:inline distT="0" distB="0" distL="114300" distR="114300">
            <wp:extent cx="5013325" cy="650875"/>
            <wp:effectExtent l="0" t="0" r="15875" b="1587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8" cstate="print"/>
                    <a:stretch>
                      <a:fillRect/>
                    </a:stretch>
                  </pic:blipFill>
                  <pic:spPr>
                    <a:xfrm>
                      <a:off x="0" y="0"/>
                      <a:ext cx="5013325" cy="650875"/>
                    </a:xfrm>
                    <a:prstGeom prst="rect">
                      <a:avLst/>
                    </a:prstGeom>
                    <a:noFill/>
                    <a:ln>
                      <a:noFill/>
                    </a:ln>
                  </pic:spPr>
                </pic:pic>
              </a:graphicData>
            </a:graphic>
          </wp:inline>
        </w:drawing>
      </w:r>
    </w:p>
    <w:p w14:paraId="3A158535">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式中：W</w:t>
      </w:r>
      <w:r>
        <w:rPr>
          <w:rFonts w:hint="default" w:ascii="Times New Roman" w:hAnsi="Times New Roman" w:eastAsia="宋体" w:cs="Times New Roman"/>
          <w:color w:val="auto"/>
          <w:highlight w:val="none"/>
          <w:vertAlign w:val="subscript"/>
        </w:rPr>
        <w:t>Y</w:t>
      </w:r>
      <w:r>
        <w:rPr>
          <w:rFonts w:hint="default" w:ascii="Times New Roman" w:hAnsi="Times New Roman" w:eastAsia="宋体" w:cs="Times New Roman"/>
          <w:color w:val="auto"/>
          <w:highlight w:val="none"/>
        </w:rPr>
        <w:t>为堆场扬尘源中颗粒物总排放量，t/a。</w:t>
      </w:r>
    </w:p>
    <w:p w14:paraId="2DF15362">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E</w:t>
      </w:r>
      <w:r>
        <w:rPr>
          <w:rFonts w:hint="default" w:ascii="Times New Roman" w:hAnsi="Times New Roman" w:eastAsia="宋体" w:cs="Times New Roman"/>
          <w:color w:val="auto"/>
          <w:highlight w:val="none"/>
          <w:vertAlign w:val="subscript"/>
        </w:rPr>
        <w:t>h</w:t>
      </w:r>
      <w:r>
        <w:rPr>
          <w:rFonts w:hint="default" w:ascii="Times New Roman" w:hAnsi="Times New Roman" w:eastAsia="宋体" w:cs="Times New Roman"/>
          <w:color w:val="auto"/>
          <w:highlight w:val="none"/>
        </w:rPr>
        <w:t>为堆场装卸运输过程的扬尘颗粒物排放系数，kg/t，其估算公式见②。</w:t>
      </w:r>
    </w:p>
    <w:p w14:paraId="50C04937">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m为每年料堆物料装卸总次数，取</w:t>
      </w:r>
      <w:r>
        <w:rPr>
          <w:rFonts w:hint="eastAsia" w:ascii="Times New Roman" w:hAnsi="Times New Roman" w:cs="Times New Roman"/>
          <w:color w:val="auto"/>
          <w:highlight w:val="none"/>
          <w:lang w:val="en-US" w:eastAsia="zh-CN"/>
        </w:rPr>
        <w:t>30</w:t>
      </w:r>
      <w:r>
        <w:rPr>
          <w:rFonts w:hint="default" w:ascii="Times New Roman" w:hAnsi="Times New Roman" w:eastAsia="宋体" w:cs="Times New Roman"/>
          <w:color w:val="auto"/>
          <w:highlight w:val="none"/>
        </w:rPr>
        <w:t>次。</w:t>
      </w:r>
    </w:p>
    <w:p w14:paraId="3AEAEB2E">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G</w:t>
      </w:r>
      <w:r>
        <w:rPr>
          <w:rFonts w:hint="default" w:ascii="Times New Roman" w:hAnsi="Times New Roman" w:eastAsia="宋体" w:cs="Times New Roman"/>
          <w:color w:val="auto"/>
          <w:highlight w:val="none"/>
          <w:vertAlign w:val="subscript"/>
        </w:rPr>
        <w:t>Yi</w:t>
      </w:r>
      <w:r>
        <w:rPr>
          <w:rFonts w:hint="default" w:ascii="Times New Roman" w:hAnsi="Times New Roman" w:eastAsia="宋体" w:cs="Times New Roman"/>
          <w:color w:val="auto"/>
          <w:highlight w:val="none"/>
        </w:rPr>
        <w:t>为第i次装卸过程的物料装卸量，t，取</w:t>
      </w:r>
      <w:r>
        <w:rPr>
          <w:rFonts w:hint="eastAsia" w:ascii="Times New Roman" w:hAnsi="Times New Roman" w:cs="Times New Roman"/>
          <w:color w:val="auto"/>
          <w:highlight w:val="none"/>
          <w:lang w:val="en-US" w:eastAsia="zh-CN"/>
        </w:rPr>
        <w:t>521</w:t>
      </w:r>
      <w:r>
        <w:rPr>
          <w:rFonts w:hint="default" w:ascii="Times New Roman" w:hAnsi="Times New Roman" w:eastAsia="宋体" w:cs="Times New Roman"/>
          <w:color w:val="auto"/>
          <w:highlight w:val="none"/>
        </w:rPr>
        <w:t>t。</w:t>
      </w:r>
    </w:p>
    <w:p w14:paraId="3E5AE898">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E</w:t>
      </w:r>
      <w:r>
        <w:rPr>
          <w:rFonts w:hint="default" w:ascii="Times New Roman" w:hAnsi="Times New Roman" w:eastAsia="宋体" w:cs="Times New Roman"/>
          <w:color w:val="auto"/>
          <w:highlight w:val="none"/>
          <w:vertAlign w:val="subscript"/>
        </w:rPr>
        <w:t>w</w:t>
      </w:r>
      <w:r>
        <w:rPr>
          <w:rFonts w:hint="default" w:ascii="Times New Roman" w:hAnsi="Times New Roman" w:eastAsia="宋体" w:cs="Times New Roman"/>
          <w:color w:val="auto"/>
          <w:highlight w:val="none"/>
        </w:rPr>
        <w:t>为料堆受到风蚀作用的颗粒物排放系数，kg/m</w:t>
      </w:r>
      <w:r>
        <w:rPr>
          <w:rFonts w:hint="default" w:ascii="Times New Roman" w:hAnsi="Times New Roman" w:eastAsia="宋体" w:cs="Times New Roman"/>
          <w:color w:val="auto"/>
          <w:highlight w:val="none"/>
          <w:vertAlign w:val="superscript"/>
        </w:rPr>
        <w:t>2</w:t>
      </w:r>
      <w:r>
        <w:rPr>
          <w:rFonts w:hint="default" w:ascii="Times New Roman" w:hAnsi="Times New Roman" w:eastAsia="宋体" w:cs="Times New Roman"/>
          <w:color w:val="auto"/>
          <w:highlight w:val="none"/>
        </w:rPr>
        <w:t>。</w:t>
      </w:r>
    </w:p>
    <w:p w14:paraId="5D55A192">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A</w:t>
      </w:r>
      <w:r>
        <w:rPr>
          <w:rFonts w:hint="default" w:ascii="Times New Roman" w:hAnsi="Times New Roman" w:eastAsia="宋体" w:cs="Times New Roman"/>
          <w:color w:val="auto"/>
          <w:highlight w:val="none"/>
          <w:vertAlign w:val="subscript"/>
        </w:rPr>
        <w:t>Y</w:t>
      </w:r>
      <w:r>
        <w:rPr>
          <w:rFonts w:hint="default" w:ascii="Times New Roman" w:hAnsi="Times New Roman" w:eastAsia="宋体" w:cs="Times New Roman"/>
          <w:color w:val="auto"/>
          <w:highlight w:val="none"/>
        </w:rPr>
        <w:t>为料堆表面积，m</w:t>
      </w:r>
      <w:r>
        <w:rPr>
          <w:rFonts w:hint="default" w:ascii="Times New Roman" w:hAnsi="Times New Roman" w:eastAsia="宋体" w:cs="Times New Roman"/>
          <w:color w:val="auto"/>
          <w:highlight w:val="none"/>
          <w:vertAlign w:val="superscript"/>
        </w:rPr>
        <w:t>2</w:t>
      </w:r>
      <w:r>
        <w:rPr>
          <w:rFonts w:hint="default" w:ascii="Times New Roman" w:hAnsi="Times New Roman" w:eastAsia="宋体" w:cs="Times New Roman"/>
          <w:color w:val="auto"/>
          <w:highlight w:val="none"/>
        </w:rPr>
        <w:t>，取</w:t>
      </w:r>
      <w:r>
        <w:rPr>
          <w:rFonts w:hint="eastAsia" w:ascii="Times New Roman" w:hAnsi="Times New Roman" w:eastAsia="宋体" w:cs="Times New Roman"/>
          <w:color w:val="auto"/>
          <w:highlight w:val="none"/>
          <w:lang w:val="en-US" w:eastAsia="zh-CN"/>
        </w:rPr>
        <w:t>1146</w:t>
      </w:r>
      <w:r>
        <w:rPr>
          <w:rFonts w:hint="default" w:ascii="Times New Roman" w:hAnsi="Times New Roman" w:eastAsia="宋体" w:cs="Times New Roman"/>
          <w:color w:val="auto"/>
          <w:highlight w:val="none"/>
        </w:rPr>
        <w:t>m</w:t>
      </w:r>
      <w:r>
        <w:rPr>
          <w:rFonts w:hint="default" w:ascii="Times New Roman" w:hAnsi="Times New Roman" w:eastAsia="宋体" w:cs="Times New Roman"/>
          <w:color w:val="auto"/>
          <w:highlight w:val="none"/>
          <w:vertAlign w:val="superscript"/>
        </w:rPr>
        <w:t>2</w:t>
      </w:r>
      <w:r>
        <w:rPr>
          <w:rFonts w:hint="default" w:ascii="Times New Roman" w:hAnsi="Times New Roman" w:eastAsia="宋体" w:cs="Times New Roman"/>
          <w:color w:val="auto"/>
          <w:highlight w:val="none"/>
        </w:rPr>
        <w:t>。</w:t>
      </w:r>
    </w:p>
    <w:p w14:paraId="5108B643">
      <w:pPr>
        <w:pStyle w:val="5"/>
        <w:spacing w:line="360" w:lineRule="auto"/>
        <w:ind w:firstLine="0" w:firstLineChars="0"/>
        <w:rPr>
          <w:rFonts w:hint="default" w:ascii="Times New Roman" w:hAnsi="Times New Roman" w:eastAsia="宋体" w:cs="Times New Roman"/>
          <w:color w:val="auto"/>
          <w:highlight w:val="none"/>
        </w:rPr>
      </w:pPr>
    </w:p>
    <w:p w14:paraId="55B5679D">
      <w:pPr>
        <w:pStyle w:val="5"/>
        <w:spacing w:line="36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drawing>
          <wp:anchor distT="0" distB="0" distL="114300" distR="114300" simplePos="0" relativeHeight="251663360" behindDoc="0" locked="0" layoutInCell="1" allowOverlap="1">
            <wp:simplePos x="0" y="0"/>
            <wp:positionH relativeFrom="column">
              <wp:posOffset>251460</wp:posOffset>
            </wp:positionH>
            <wp:positionV relativeFrom="paragraph">
              <wp:posOffset>-89535</wp:posOffset>
            </wp:positionV>
            <wp:extent cx="3473450" cy="647065"/>
            <wp:effectExtent l="0" t="0" r="12700" b="635"/>
            <wp:wrapNone/>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59" cstate="print"/>
                    <a:stretch>
                      <a:fillRect/>
                    </a:stretch>
                  </pic:blipFill>
                  <pic:spPr>
                    <a:xfrm>
                      <a:off x="0" y="0"/>
                      <a:ext cx="3506646" cy="653125"/>
                    </a:xfrm>
                    <a:prstGeom prst="rect">
                      <a:avLst/>
                    </a:prstGeom>
                    <a:noFill/>
                    <a:ln>
                      <a:noFill/>
                    </a:ln>
                  </pic:spPr>
                </pic:pic>
              </a:graphicData>
            </a:graphic>
          </wp:anchor>
        </w:drawing>
      </w:r>
    </w:p>
    <w:p w14:paraId="67B32A06">
      <w:pPr>
        <w:ind w:firstLine="480"/>
        <w:rPr>
          <w:rFonts w:hint="default" w:ascii="Times New Roman" w:hAnsi="Times New Roman" w:eastAsia="宋体" w:cs="Times New Roman"/>
          <w:color w:val="auto"/>
          <w:highlight w:val="none"/>
        </w:rPr>
      </w:pPr>
    </w:p>
    <w:p w14:paraId="5445E4D5">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式中：E</w:t>
      </w:r>
      <w:r>
        <w:rPr>
          <w:rFonts w:hint="default" w:ascii="Times New Roman" w:hAnsi="Times New Roman" w:eastAsia="宋体" w:cs="Times New Roman"/>
          <w:color w:val="auto"/>
          <w:highlight w:val="none"/>
          <w:vertAlign w:val="subscript"/>
        </w:rPr>
        <w:t xml:space="preserve"> h</w:t>
      </w:r>
      <w:r>
        <w:rPr>
          <w:rFonts w:hint="default" w:ascii="Times New Roman" w:hAnsi="Times New Roman" w:eastAsia="宋体" w:cs="Times New Roman"/>
          <w:color w:val="auto"/>
          <w:highlight w:val="none"/>
        </w:rPr>
        <w:t>为堆场装卸扬尘的排放系数，kg/t。</w:t>
      </w:r>
    </w:p>
    <w:p w14:paraId="6510CAC0">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k</w:t>
      </w:r>
      <w:r>
        <w:rPr>
          <w:rFonts w:hint="default" w:ascii="Times New Roman" w:hAnsi="Times New Roman" w:eastAsia="宋体" w:cs="Times New Roman"/>
          <w:color w:val="auto"/>
          <w:highlight w:val="none"/>
          <w:vertAlign w:val="subscript"/>
        </w:rPr>
        <w:t>i</w:t>
      </w:r>
      <w:r>
        <w:rPr>
          <w:rFonts w:hint="default" w:ascii="Times New Roman" w:hAnsi="Times New Roman" w:eastAsia="宋体" w:cs="Times New Roman"/>
          <w:color w:val="auto"/>
          <w:highlight w:val="none"/>
        </w:rPr>
        <w:t>为物料的粒度乘数，</w:t>
      </w:r>
      <w:r>
        <w:rPr>
          <w:rFonts w:hint="eastAsia" w:ascii="Times New Roman" w:hAnsi="Times New Roman" w:eastAsia="宋体" w:cs="Times New Roman"/>
          <w:color w:val="auto"/>
          <w:highlight w:val="none"/>
          <w:lang w:val="en-US" w:eastAsia="zh-CN"/>
        </w:rPr>
        <w:t>TSP</w:t>
      </w:r>
      <w:r>
        <w:rPr>
          <w:rFonts w:hint="default" w:ascii="Times New Roman" w:hAnsi="Times New Roman" w:eastAsia="宋体" w:cs="Times New Roman"/>
          <w:color w:val="auto"/>
          <w:highlight w:val="none"/>
        </w:rPr>
        <w:t>取0.74。</w:t>
      </w:r>
    </w:p>
    <w:p w14:paraId="75C719B3">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u为地面平均风速，m/s，取</w:t>
      </w:r>
      <w:r>
        <w:rPr>
          <w:rFonts w:hint="eastAsia" w:ascii="Times New Roman" w:hAnsi="Times New Roman" w:eastAsia="宋体" w:cs="Times New Roman"/>
          <w:color w:val="auto"/>
          <w:highlight w:val="none"/>
          <w:lang w:val="en-US" w:eastAsia="zh-CN"/>
        </w:rPr>
        <w:t>2.52</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rPr>
        <w:tab/>
      </w:r>
    </w:p>
    <w:p w14:paraId="573A2B1E">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M为物料含水率，%，取6.9%。</w:t>
      </w:r>
    </w:p>
    <w:p w14:paraId="301D9289">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η为污染控制技术对扬尘的去除效率，%，本项目</w:t>
      </w:r>
      <w:r>
        <w:rPr>
          <w:rFonts w:hint="default" w:ascii="Times New Roman" w:hAnsi="Times New Roman" w:cs="Times New Roman"/>
          <w:color w:val="auto"/>
          <w:highlight w:val="none"/>
          <w:lang w:eastAsia="zh-CN"/>
        </w:rPr>
        <w:t>去除</w:t>
      </w:r>
      <w:r>
        <w:rPr>
          <w:rFonts w:hint="default" w:ascii="Times New Roman" w:hAnsi="Times New Roman" w:eastAsia="宋体" w:cs="Times New Roman"/>
          <w:color w:val="auto"/>
          <w:highlight w:val="none"/>
        </w:rPr>
        <w:t>效率取</w:t>
      </w:r>
      <w:r>
        <w:rPr>
          <w:rFonts w:hint="default" w:ascii="Times New Roman" w:hAnsi="Times New Roman" w:cs="Times New Roman"/>
          <w:color w:val="auto"/>
          <w:highlight w:val="none"/>
          <w:lang w:val="en-US" w:eastAsia="zh-CN"/>
        </w:rPr>
        <w:t>6</w:t>
      </w:r>
      <w:r>
        <w:rPr>
          <w:rFonts w:hint="default" w:ascii="Times New Roman" w:hAnsi="Times New Roman" w:eastAsia="宋体" w:cs="Times New Roman"/>
          <w:color w:val="auto"/>
          <w:highlight w:val="none"/>
        </w:rPr>
        <w:t>0%。</w:t>
      </w:r>
    </w:p>
    <w:p w14:paraId="2B4EAC6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堆场风蚀扬尘排放系数的计算方法：</w:t>
      </w:r>
    </w:p>
    <w:p w14:paraId="1A0D70A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料堆表面遭受风扰动后引起颗粒物排放的排放系数可以</w:t>
      </w:r>
      <w:r>
        <w:rPr>
          <w:rFonts w:hint="eastAsia" w:ascii="Times New Roman" w:hAnsi="Times New Roman" w:eastAsia="宋体" w:cs="Times New Roman"/>
          <w:color w:val="auto"/>
          <w:kern w:val="0"/>
          <w:sz w:val="24"/>
          <w:szCs w:val="24"/>
          <w:highlight w:val="none"/>
          <w:lang w:eastAsia="zh-CN"/>
        </w:rPr>
        <w:t>用以</w:t>
      </w:r>
      <w:r>
        <w:rPr>
          <w:rFonts w:hint="default" w:ascii="Times New Roman" w:hAnsi="Times New Roman" w:eastAsia="宋体" w:cs="Times New Roman"/>
          <w:color w:val="auto"/>
          <w:kern w:val="0"/>
          <w:sz w:val="24"/>
          <w:szCs w:val="24"/>
          <w:highlight w:val="none"/>
        </w:rPr>
        <w:t>下公式：</w:t>
      </w:r>
    </w:p>
    <w:p w14:paraId="0F89DA6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宋体" w:cs="Times New Roman"/>
          <w:color w:val="auto"/>
          <w:kern w:val="0"/>
          <w:szCs w:val="20"/>
          <w:highlight w:val="none"/>
        </w:rPr>
      </w:pPr>
      <w:r>
        <w:rPr>
          <w:rFonts w:hint="default" w:ascii="Times New Roman" w:hAnsi="Times New Roman" w:eastAsia="宋体" w:cs="Times New Roman"/>
          <w:color w:val="auto"/>
          <w:kern w:val="0"/>
          <w:szCs w:val="20"/>
          <w:highlight w:val="none"/>
        </w:rPr>
        <w:object>
          <v:shape id="_x0000_i1038" o:spt="75" type="#_x0000_t75" style="height:53.1pt;width:170.35pt;" o:ole="t" filled="f" o:preferrelative="t" stroked="f" coordsize="21600,21600">
            <v:path/>
            <v:fill on="f" focussize="0,0"/>
            <v:stroke on="f"/>
            <v:imagedata r:id="rId61" o:title=""/>
            <o:lock v:ext="edit" aspectratio="f"/>
            <w10:wrap type="none"/>
            <w10:anchorlock/>
          </v:shape>
          <o:OLEObject Type="Embed" ProgID="" ShapeID="_x0000_i1038" DrawAspect="Content" ObjectID="_1468075738" r:id="rId60">
            <o:LockedField>false</o:LockedField>
          </o:OLEObject>
        </w:object>
      </w:r>
      <w:r>
        <w:rPr>
          <w:rFonts w:hint="default" w:ascii="Times New Roman" w:hAnsi="Times New Roman" w:eastAsia="宋体" w:cs="Times New Roman"/>
          <w:color w:val="auto"/>
          <w:kern w:val="0"/>
          <w:szCs w:val="20"/>
          <w:highlight w:val="none"/>
        </w:rPr>
        <w:drawing>
          <wp:inline distT="0" distB="0" distL="114300" distR="114300">
            <wp:extent cx="4725035" cy="1092835"/>
            <wp:effectExtent l="0" t="0" r="18415" b="12065"/>
            <wp:docPr id="11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21"/>
                    <pic:cNvPicPr>
                      <a:picLocks noChangeAspect="1"/>
                    </pic:cNvPicPr>
                  </pic:nvPicPr>
                  <pic:blipFill>
                    <a:blip r:embed="rId62"/>
                    <a:stretch>
                      <a:fillRect/>
                    </a:stretch>
                  </pic:blipFill>
                  <pic:spPr>
                    <a:xfrm>
                      <a:off x="0" y="0"/>
                      <a:ext cx="4725035" cy="1092835"/>
                    </a:xfrm>
                    <a:prstGeom prst="rect">
                      <a:avLst/>
                    </a:prstGeom>
                    <a:noFill/>
                    <a:ln>
                      <a:noFill/>
                    </a:ln>
                  </pic:spPr>
                </pic:pic>
              </a:graphicData>
            </a:graphic>
          </wp:inline>
        </w:drawing>
      </w:r>
    </w:p>
    <w:p w14:paraId="4F660FF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式中：Ew—堆场风蚀扬尘的排放系数，kg/m</w:t>
      </w:r>
      <w:r>
        <w:rPr>
          <w:rFonts w:hint="default" w:ascii="Times New Roman" w:hAnsi="Times New Roman" w:eastAsia="宋体" w:cs="Times New Roman"/>
          <w:color w:val="auto"/>
          <w:kern w:val="0"/>
          <w:sz w:val="24"/>
          <w:szCs w:val="24"/>
          <w:highlight w:val="none"/>
          <w:vertAlign w:val="superscript"/>
        </w:rPr>
        <w:t>2</w:t>
      </w:r>
      <w:r>
        <w:rPr>
          <w:rFonts w:hint="default" w:ascii="Times New Roman" w:hAnsi="Times New Roman" w:eastAsia="宋体" w:cs="Times New Roman"/>
          <w:color w:val="auto"/>
          <w:kern w:val="0"/>
          <w:sz w:val="24"/>
          <w:szCs w:val="24"/>
          <w:highlight w:val="none"/>
        </w:rPr>
        <w:t>；</w:t>
      </w:r>
    </w:p>
    <w:p w14:paraId="1F834E94">
      <w:pPr>
        <w:keepNext w:val="0"/>
        <w:keepLines w:val="0"/>
        <w:pageBreakBefore w:val="0"/>
        <w:widowControl w:val="0"/>
        <w:kinsoku/>
        <w:wordWrap/>
        <w:overflowPunct/>
        <w:topLinePunct w:val="0"/>
        <w:autoSpaceDE/>
        <w:autoSpaceDN/>
        <w:bidi w:val="0"/>
        <w:adjustRightInd/>
        <w:snapToGrid/>
        <w:spacing w:line="360" w:lineRule="auto"/>
        <w:ind w:firstLine="1200" w:firstLineChars="500"/>
        <w:jc w:val="both"/>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Ki—物料的粒度乘数，取1；</w:t>
      </w:r>
    </w:p>
    <w:p w14:paraId="153B2255">
      <w:pPr>
        <w:keepNext w:val="0"/>
        <w:keepLines w:val="0"/>
        <w:pageBreakBefore w:val="0"/>
        <w:widowControl w:val="0"/>
        <w:kinsoku/>
        <w:wordWrap/>
        <w:overflowPunct/>
        <w:topLinePunct w:val="0"/>
        <w:autoSpaceDE/>
        <w:autoSpaceDN/>
        <w:bidi w:val="0"/>
        <w:adjustRightInd/>
        <w:snapToGrid/>
        <w:spacing w:line="360" w:lineRule="auto"/>
        <w:ind w:firstLine="1200" w:firstLineChars="500"/>
        <w:jc w:val="both"/>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n—料堆每年受扰动的次数，取</w:t>
      </w:r>
      <w:r>
        <w:rPr>
          <w:rFonts w:hint="eastAsia" w:ascii="Times New Roman" w:hAnsi="Times New Roman" w:eastAsia="宋体" w:cs="Times New Roman"/>
          <w:color w:val="auto"/>
          <w:kern w:val="0"/>
          <w:sz w:val="24"/>
          <w:szCs w:val="24"/>
          <w:highlight w:val="none"/>
          <w:lang w:val="en-US" w:eastAsia="zh-CN"/>
        </w:rPr>
        <w:t>30</w:t>
      </w:r>
      <w:r>
        <w:rPr>
          <w:rFonts w:hint="default" w:ascii="Times New Roman" w:hAnsi="Times New Roman" w:eastAsia="宋体" w:cs="Times New Roman"/>
          <w:color w:val="auto"/>
          <w:kern w:val="0"/>
          <w:sz w:val="24"/>
          <w:szCs w:val="24"/>
          <w:highlight w:val="none"/>
        </w:rPr>
        <w:t>次；</w:t>
      </w:r>
    </w:p>
    <w:p w14:paraId="53EF89CA">
      <w:pPr>
        <w:keepNext w:val="0"/>
        <w:keepLines w:val="0"/>
        <w:pageBreakBefore w:val="0"/>
        <w:widowControl w:val="0"/>
        <w:kinsoku/>
        <w:wordWrap/>
        <w:overflowPunct/>
        <w:topLinePunct w:val="0"/>
        <w:autoSpaceDE/>
        <w:autoSpaceDN/>
        <w:bidi w:val="0"/>
        <w:adjustRightInd/>
        <w:snapToGrid/>
        <w:spacing w:line="360" w:lineRule="auto"/>
        <w:ind w:firstLine="1200" w:firstLineChars="500"/>
        <w:jc w:val="both"/>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Pi—第i次扰动中观测的最大风速的风蚀潜势，g/m</w:t>
      </w:r>
      <w:r>
        <w:rPr>
          <w:rFonts w:hint="default" w:ascii="Times New Roman" w:hAnsi="Times New Roman" w:eastAsia="宋体" w:cs="Times New Roman"/>
          <w:color w:val="auto"/>
          <w:kern w:val="0"/>
          <w:sz w:val="24"/>
          <w:szCs w:val="24"/>
          <w:highlight w:val="none"/>
          <w:vertAlign w:val="superscript"/>
        </w:rPr>
        <w:t>2</w:t>
      </w:r>
      <w:r>
        <w:rPr>
          <w:rFonts w:hint="default" w:ascii="Times New Roman" w:hAnsi="Times New Roman" w:eastAsia="宋体" w:cs="Times New Roman"/>
          <w:color w:val="auto"/>
          <w:kern w:val="0"/>
          <w:sz w:val="24"/>
          <w:szCs w:val="24"/>
          <w:highlight w:val="none"/>
        </w:rPr>
        <w:t>，通过公式求得；</w:t>
      </w:r>
    </w:p>
    <w:p w14:paraId="5FCF8FD0">
      <w:pPr>
        <w:keepNext w:val="0"/>
        <w:keepLines w:val="0"/>
        <w:pageBreakBefore w:val="0"/>
        <w:widowControl w:val="0"/>
        <w:kinsoku/>
        <w:wordWrap/>
        <w:overflowPunct/>
        <w:topLinePunct w:val="0"/>
        <w:autoSpaceDE/>
        <w:autoSpaceDN/>
        <w:bidi w:val="0"/>
        <w:adjustRightInd/>
        <w:snapToGrid/>
        <w:spacing w:line="360" w:lineRule="auto"/>
        <w:ind w:firstLine="1200" w:firstLineChars="500"/>
        <w:jc w:val="both"/>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η—污染控制技术对扬尘的去除效率</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加设围挡、定期洒水，控制效率6</w:t>
      </w:r>
      <w:r>
        <w:rPr>
          <w:rFonts w:hint="eastAsia" w:ascii="Times New Roman" w:hAnsi="Times New Roman" w:eastAsia="宋体" w:cs="Times New Roman"/>
          <w:color w:val="auto"/>
          <w:kern w:val="0"/>
          <w:sz w:val="24"/>
          <w:szCs w:val="24"/>
          <w:highlight w:val="none"/>
          <w:lang w:val="en-US" w:eastAsia="zh-CN"/>
        </w:rPr>
        <w:t>0</w:t>
      </w:r>
      <w:r>
        <w:rPr>
          <w:rFonts w:hint="default"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rPr>
        <w:t>；</w:t>
      </w:r>
    </w:p>
    <w:p w14:paraId="7DAC8546">
      <w:pPr>
        <w:keepNext w:val="0"/>
        <w:keepLines w:val="0"/>
        <w:pageBreakBefore w:val="0"/>
        <w:widowControl w:val="0"/>
        <w:kinsoku/>
        <w:wordWrap/>
        <w:overflowPunct/>
        <w:topLinePunct w:val="0"/>
        <w:autoSpaceDE/>
        <w:autoSpaceDN/>
        <w:bidi w:val="0"/>
        <w:adjustRightInd/>
        <w:snapToGrid/>
        <w:spacing w:line="360" w:lineRule="auto"/>
        <w:ind w:firstLine="1200" w:firstLineChars="500"/>
        <w:jc w:val="both"/>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u*—摩擦风速，m/s。计算方法见公式；</w:t>
      </w:r>
    </w:p>
    <w:p w14:paraId="3324F1CE">
      <w:pPr>
        <w:keepNext w:val="0"/>
        <w:keepLines w:val="0"/>
        <w:pageBreakBefore w:val="0"/>
        <w:widowControl w:val="0"/>
        <w:kinsoku/>
        <w:wordWrap/>
        <w:overflowPunct/>
        <w:topLinePunct w:val="0"/>
        <w:autoSpaceDE/>
        <w:autoSpaceDN/>
        <w:bidi w:val="0"/>
        <w:adjustRightInd/>
        <w:snapToGrid/>
        <w:spacing w:line="360" w:lineRule="auto"/>
        <w:ind w:firstLine="1200" w:firstLineChars="5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rPr>
        <w:t>ut*—阈值摩擦风速，取1.</w:t>
      </w:r>
      <w:r>
        <w:rPr>
          <w:rFonts w:hint="default" w:ascii="Times New Roman" w:hAnsi="Times New Roman" w:eastAsia="宋体" w:cs="Times New Roman"/>
          <w:color w:val="auto"/>
          <w:kern w:val="0"/>
          <w:sz w:val="24"/>
          <w:szCs w:val="24"/>
          <w:highlight w:val="none"/>
          <w:lang w:val="en-US" w:eastAsia="zh-CN"/>
        </w:rPr>
        <w:t>12</w:t>
      </w:r>
      <w:r>
        <w:rPr>
          <w:rFonts w:hint="default" w:ascii="Times New Roman" w:hAnsi="Times New Roman" w:eastAsia="宋体" w:cs="Times New Roman"/>
          <w:color w:val="auto"/>
          <w:kern w:val="0"/>
          <w:sz w:val="24"/>
          <w:szCs w:val="24"/>
          <w:highlight w:val="none"/>
        </w:rPr>
        <w:t>m/s</w:t>
      </w:r>
      <w:r>
        <w:rPr>
          <w:rFonts w:hint="default" w:ascii="Times New Roman" w:hAnsi="Times New Roman" w:eastAsia="宋体" w:cs="Times New Roman"/>
          <w:color w:val="auto"/>
          <w:kern w:val="0"/>
          <w:sz w:val="24"/>
          <w:szCs w:val="24"/>
          <w:highlight w:val="none"/>
          <w:lang w:eastAsia="zh-CN"/>
        </w:rPr>
        <w:t>。</w:t>
      </w:r>
    </w:p>
    <w:p w14:paraId="781F69AB">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经计算</w:t>
      </w:r>
      <w:r>
        <w:rPr>
          <w:rFonts w:hint="default" w:ascii="Times New Roman" w:hAnsi="Times New Roman" w:eastAsia="宋体" w:cs="Times New Roman"/>
          <w:color w:val="auto"/>
          <w:kern w:val="0"/>
          <w:sz w:val="24"/>
          <w:szCs w:val="24"/>
          <w:highlight w:val="none"/>
        </w:rPr>
        <w:t>ut*</w:t>
      </w:r>
      <w:r>
        <w:rPr>
          <w:rFonts w:hint="eastAsia" w:ascii="Times New Roman" w:hAnsi="Times New Roman" w:eastAsia="宋体" w:cs="Times New Roman"/>
          <w:color w:val="auto"/>
          <w:kern w:val="0"/>
          <w:sz w:val="24"/>
          <w:szCs w:val="24"/>
          <w:highlight w:val="none"/>
          <w:lang w:val="en-US" w:eastAsia="zh-CN"/>
        </w:rPr>
        <w:t>=0.92m/s＜1.12m/s，Pi=0</w:t>
      </w:r>
    </w:p>
    <w:p w14:paraId="3335FB3B">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堆场E</w:t>
      </w:r>
      <w:r>
        <w:rPr>
          <w:rFonts w:hint="default" w:ascii="Times New Roman" w:hAnsi="Times New Roman" w:eastAsia="宋体" w:cs="Times New Roman"/>
          <w:color w:val="auto"/>
          <w:highlight w:val="none"/>
          <w:vertAlign w:val="subscript"/>
        </w:rPr>
        <w:t xml:space="preserve"> h</w:t>
      </w: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9.22×10</w:t>
      </w:r>
      <w:r>
        <w:rPr>
          <w:rFonts w:hint="eastAsia" w:ascii="Times New Roman" w:hAnsi="Times New Roman" w:eastAsia="宋体" w:cs="Times New Roman"/>
          <w:color w:val="auto"/>
          <w:highlight w:val="none"/>
          <w:vertAlign w:val="superscript"/>
          <w:lang w:val="en-US" w:eastAsia="zh-CN"/>
        </w:rPr>
        <w:t>-5</w:t>
      </w:r>
      <w:r>
        <w:rPr>
          <w:rFonts w:hint="default" w:ascii="Times New Roman" w:hAnsi="Times New Roman" w:eastAsia="宋体" w:cs="Times New Roman"/>
          <w:color w:val="auto"/>
          <w:highlight w:val="none"/>
        </w:rPr>
        <w:t>kg/t。</w:t>
      </w:r>
    </w:p>
    <w:p w14:paraId="7AAE6125">
      <w:pPr>
        <w:keepNext w:val="0"/>
        <w:keepLines w:val="0"/>
        <w:widowControl/>
        <w:suppressLineNumbers w:val="0"/>
        <w:jc w:val="left"/>
        <w:rPr>
          <w:rFonts w:hint="default" w:ascii="Times New Roman" w:hAnsi="Times New Roman"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本项目储煤库扬尘为装卸扬尘。经计算，本项目储煤</w:t>
      </w:r>
      <w:r>
        <w:rPr>
          <w:rFonts w:hint="eastAsia" w:ascii="Times New Roman" w:hAnsi="Times New Roman" w:eastAsia="宋体" w:cs="Times New Roman"/>
          <w:color w:val="auto"/>
          <w:kern w:val="0"/>
          <w:sz w:val="24"/>
          <w:szCs w:val="24"/>
          <w:highlight w:val="none"/>
          <w:lang w:val="en-US" w:eastAsia="zh-CN" w:bidi="ar"/>
        </w:rPr>
        <w:t>场</w:t>
      </w:r>
      <w:r>
        <w:rPr>
          <w:rFonts w:hint="default" w:ascii="Times New Roman" w:hAnsi="Times New Roman" w:eastAsia="宋体" w:cs="Times New Roman"/>
          <w:color w:val="auto"/>
          <w:kern w:val="0"/>
          <w:sz w:val="24"/>
          <w:szCs w:val="24"/>
          <w:highlight w:val="none"/>
          <w:lang w:val="en-US" w:eastAsia="zh-CN" w:bidi="ar"/>
        </w:rPr>
        <w:t>扬尘经计算排放量为0.0</w:t>
      </w:r>
      <w:r>
        <w:rPr>
          <w:rFonts w:hint="eastAsia" w:ascii="Times New Roman" w:hAnsi="Times New Roman" w:eastAsia="宋体" w:cs="Times New Roman"/>
          <w:color w:val="auto"/>
          <w:kern w:val="0"/>
          <w:sz w:val="24"/>
          <w:szCs w:val="24"/>
          <w:highlight w:val="none"/>
          <w:lang w:val="en-US" w:eastAsia="zh-CN" w:bidi="ar"/>
        </w:rPr>
        <w:t>0</w:t>
      </w:r>
      <w:r>
        <w:rPr>
          <w:rFonts w:hint="eastAsia" w:ascii="Times New Roman" w:hAnsi="Times New Roman" w:cs="Times New Roman"/>
          <w:color w:val="auto"/>
          <w:kern w:val="0"/>
          <w:sz w:val="24"/>
          <w:szCs w:val="24"/>
          <w:highlight w:val="none"/>
          <w:lang w:val="en-US" w:eastAsia="zh-CN" w:bidi="ar"/>
        </w:rPr>
        <w:t>1t</w:t>
      </w:r>
      <w:r>
        <w:rPr>
          <w:rFonts w:hint="default" w:ascii="Times New Roman" w:hAnsi="Times New Roman" w:eastAsia="宋体" w:cs="Times New Roman"/>
          <w:color w:val="auto"/>
          <w:kern w:val="0"/>
          <w:sz w:val="24"/>
          <w:szCs w:val="24"/>
          <w:highlight w:val="none"/>
          <w:lang w:val="en-US" w:eastAsia="zh-CN" w:bidi="ar"/>
        </w:rPr>
        <w:t>/a（</w:t>
      </w:r>
      <w:r>
        <w:rPr>
          <w:rFonts w:hint="eastAsia" w:ascii="Times New Roman" w:hAnsi="Times New Roman" w:eastAsia="宋体" w:cs="Times New Roman"/>
          <w:color w:val="auto"/>
          <w:kern w:val="0"/>
          <w:sz w:val="24"/>
          <w:szCs w:val="24"/>
          <w:highlight w:val="none"/>
          <w:lang w:val="en-US" w:eastAsia="zh-CN" w:bidi="ar"/>
        </w:rPr>
        <w:t>0.0031</w:t>
      </w:r>
      <w:r>
        <w:rPr>
          <w:rFonts w:hint="default" w:ascii="Times New Roman" w:hAnsi="Times New Roman" w:eastAsia="宋体" w:cs="Times New Roman"/>
          <w:color w:val="auto"/>
          <w:kern w:val="0"/>
          <w:sz w:val="24"/>
          <w:szCs w:val="24"/>
          <w:highlight w:val="none"/>
          <w:lang w:val="en-US" w:eastAsia="zh-CN" w:bidi="ar"/>
        </w:rPr>
        <w:t>kg/h）。</w:t>
      </w:r>
    </w:p>
    <w:p w14:paraId="29686C5D">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（6）输煤栈桥</w:t>
      </w:r>
    </w:p>
    <w:p w14:paraId="2E4F3377">
      <w:pPr>
        <w:bidi w:val="0"/>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rPr>
        <w:t>输煤栈桥采用钢栈桥</w:t>
      </w:r>
      <w:r>
        <w:rPr>
          <w:rFonts w:hint="default" w:ascii="Times New Roman" w:hAnsi="Times New Roman" w:eastAsia="宋体" w:cs="Times New Roman"/>
          <w:bCs/>
          <w:color w:val="auto"/>
          <w:sz w:val="24"/>
          <w:szCs w:val="24"/>
          <w:highlight w:val="none"/>
          <w:lang w:eastAsia="zh-CN"/>
        </w:rPr>
        <w:t>，</w:t>
      </w:r>
      <w:r>
        <w:rPr>
          <w:rFonts w:hint="default" w:ascii="Times New Roman" w:hAnsi="Times New Roman" w:eastAsia="宋体" w:cs="Times New Roman"/>
          <w:bCs/>
          <w:color w:val="auto"/>
          <w:sz w:val="24"/>
          <w:szCs w:val="24"/>
          <w:highlight w:val="none"/>
          <w:lang w:val="en-US" w:eastAsia="zh-CN"/>
        </w:rPr>
        <w:t>为密闭形式，</w:t>
      </w:r>
      <w:r>
        <w:rPr>
          <w:rFonts w:hint="default" w:ascii="Times New Roman" w:hAnsi="Times New Roman" w:eastAsia="宋体" w:cs="Times New Roman"/>
          <w:bCs/>
          <w:color w:val="auto"/>
          <w:sz w:val="24"/>
          <w:szCs w:val="24"/>
          <w:highlight w:val="none"/>
        </w:rPr>
        <w:t>皮带上方设有喷淋水管用于燃料干燥时的加湿</w:t>
      </w:r>
      <w:r>
        <w:rPr>
          <w:rFonts w:hint="default" w:ascii="Times New Roman" w:hAnsi="Times New Roman" w:eastAsia="宋体" w:cs="Times New Roman"/>
          <w:bCs/>
          <w:color w:val="auto"/>
          <w:sz w:val="24"/>
          <w:szCs w:val="24"/>
          <w:highlight w:val="none"/>
          <w:lang w:eastAsia="zh-CN"/>
        </w:rPr>
        <w:t>，</w:t>
      </w:r>
      <w:r>
        <w:rPr>
          <w:rFonts w:hint="default" w:ascii="Times New Roman" w:hAnsi="Times New Roman" w:eastAsia="宋体" w:cs="Times New Roman"/>
          <w:bCs/>
          <w:color w:val="auto"/>
          <w:sz w:val="24"/>
          <w:szCs w:val="24"/>
          <w:highlight w:val="none"/>
          <w:lang w:val="en-US" w:eastAsia="zh-CN"/>
        </w:rPr>
        <w:t>因此，此环节无废气产生。</w:t>
      </w:r>
    </w:p>
    <w:p w14:paraId="7ECEF06F">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锅炉非正常工况下排污分析</w:t>
      </w:r>
    </w:p>
    <w:p w14:paraId="475C145D">
      <w:pPr>
        <w:adjustRightInd w:val="0"/>
        <w:snapToGrid w:val="0"/>
        <w:spacing w:line="480" w:lineRule="exact"/>
        <w:ind w:firstLine="480" w:firstLineChars="200"/>
        <w:rPr>
          <w:rFonts w:hint="default" w:ascii="Times New Roman" w:hAnsi="Times New Roman" w:eastAsia="宋体" w:cs="Times New Roman"/>
          <w:b w:val="0"/>
          <w:bCs w:val="0"/>
          <w:color w:val="FF0000"/>
          <w:sz w:val="24"/>
          <w:szCs w:val="24"/>
          <w:highlight w:val="none"/>
          <w:lang w:val="en-US" w:eastAsia="zh-CN"/>
        </w:rPr>
      </w:pPr>
      <w:r>
        <w:rPr>
          <w:rFonts w:hint="default" w:ascii="Times New Roman" w:hAnsi="Times New Roman" w:eastAsia="宋体" w:cs="Times New Roman"/>
          <w:b w:val="0"/>
          <w:bCs w:val="0"/>
          <w:color w:val="FF0000"/>
          <w:sz w:val="24"/>
          <w:szCs w:val="24"/>
          <w:highlight w:val="none"/>
          <w:lang w:eastAsia="zh-CN"/>
        </w:rPr>
        <w:t>（</w:t>
      </w:r>
      <w:r>
        <w:rPr>
          <w:rFonts w:hint="default" w:ascii="Times New Roman" w:hAnsi="Times New Roman" w:eastAsia="宋体" w:cs="Times New Roman"/>
          <w:b w:val="0"/>
          <w:bCs w:val="0"/>
          <w:color w:val="FF0000"/>
          <w:sz w:val="24"/>
          <w:szCs w:val="24"/>
          <w:highlight w:val="none"/>
          <w:lang w:val="en-US" w:eastAsia="zh-CN"/>
        </w:rPr>
        <w:t>1</w:t>
      </w:r>
      <w:r>
        <w:rPr>
          <w:rFonts w:hint="default" w:ascii="Times New Roman" w:hAnsi="Times New Roman" w:eastAsia="宋体" w:cs="Times New Roman"/>
          <w:b w:val="0"/>
          <w:bCs w:val="0"/>
          <w:color w:val="FF0000"/>
          <w:sz w:val="24"/>
          <w:szCs w:val="24"/>
          <w:highlight w:val="none"/>
          <w:lang w:eastAsia="zh-CN"/>
        </w:rPr>
        <w:t>）</w:t>
      </w:r>
      <w:r>
        <w:rPr>
          <w:rFonts w:hint="default" w:ascii="Times New Roman" w:hAnsi="Times New Roman" w:eastAsia="宋体" w:cs="Times New Roman"/>
          <w:b w:val="0"/>
          <w:bCs w:val="0"/>
          <w:color w:val="FF0000"/>
          <w:sz w:val="24"/>
          <w:szCs w:val="24"/>
          <w:highlight w:val="none"/>
          <w:lang w:val="en-US" w:eastAsia="zh-CN"/>
        </w:rPr>
        <w:t>非正常工况</w:t>
      </w:r>
      <w:r>
        <w:rPr>
          <w:rFonts w:hint="eastAsia" w:ascii="Times New Roman" w:hAnsi="Times New Roman" w:eastAsia="宋体" w:cs="Times New Roman"/>
          <w:b w:val="0"/>
          <w:bCs w:val="0"/>
          <w:color w:val="FF0000"/>
          <w:sz w:val="24"/>
          <w:szCs w:val="24"/>
          <w:highlight w:val="none"/>
          <w:lang w:val="en-US" w:eastAsia="zh-CN"/>
        </w:rPr>
        <w:t>颗粒物（PM</w:t>
      </w:r>
      <w:r>
        <w:rPr>
          <w:rFonts w:hint="eastAsia" w:ascii="Times New Roman" w:hAnsi="Times New Roman" w:eastAsia="宋体" w:cs="Times New Roman"/>
          <w:b w:val="0"/>
          <w:bCs w:val="0"/>
          <w:color w:val="FF0000"/>
          <w:sz w:val="24"/>
          <w:szCs w:val="24"/>
          <w:highlight w:val="none"/>
          <w:vertAlign w:val="subscript"/>
          <w:lang w:val="en-US" w:eastAsia="zh-CN"/>
        </w:rPr>
        <w:t>10</w:t>
      </w:r>
      <w:r>
        <w:rPr>
          <w:rFonts w:hint="eastAsia" w:ascii="Times New Roman" w:hAnsi="Times New Roman" w:eastAsia="宋体" w:cs="Times New Roman"/>
          <w:b w:val="0"/>
          <w:bCs w:val="0"/>
          <w:color w:val="FF0000"/>
          <w:sz w:val="24"/>
          <w:szCs w:val="24"/>
          <w:highlight w:val="none"/>
          <w:lang w:val="en-US" w:eastAsia="zh-CN"/>
        </w:rPr>
        <w:t>）</w:t>
      </w:r>
      <w:r>
        <w:rPr>
          <w:rFonts w:hint="default" w:ascii="Times New Roman" w:hAnsi="Times New Roman" w:eastAsia="宋体" w:cs="Times New Roman"/>
          <w:b w:val="0"/>
          <w:bCs w:val="0"/>
          <w:color w:val="FF0000"/>
          <w:sz w:val="24"/>
          <w:szCs w:val="24"/>
          <w:highlight w:val="none"/>
          <w:lang w:val="en-US" w:eastAsia="zh-CN"/>
        </w:rPr>
        <w:t>分析</w:t>
      </w:r>
    </w:p>
    <w:p w14:paraId="4EB9F82C">
      <w:pPr>
        <w:adjustRightInd w:val="0"/>
        <w:snapToGrid w:val="0"/>
        <w:spacing w:line="480" w:lineRule="exact"/>
        <w:ind w:firstLine="480" w:firstLineChars="200"/>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lang w:eastAsia="zh-CN"/>
        </w:rPr>
        <w:t>非正常工况下</w:t>
      </w:r>
      <w:r>
        <w:rPr>
          <w:rFonts w:hint="default" w:ascii="Times New Roman" w:hAnsi="Times New Roman" w:eastAsia="宋体" w:cs="Times New Roman"/>
          <w:color w:val="FF0000"/>
          <w:sz w:val="24"/>
          <w:szCs w:val="24"/>
          <w:highlight w:val="none"/>
        </w:rPr>
        <w:t>指除尘器设备故障造成停运或者除尘器滤袋破损后，除尘效率降低，本次评价将从除尘器滤袋破损方面来分析</w:t>
      </w:r>
      <w:r>
        <w:rPr>
          <w:rFonts w:hint="eastAsia" w:ascii="Times New Roman" w:hAnsi="Times New Roman" w:eastAsia="宋体" w:cs="Times New Roman"/>
          <w:color w:val="FF0000"/>
          <w:sz w:val="24"/>
          <w:szCs w:val="24"/>
          <w:highlight w:val="none"/>
          <w:lang w:eastAsia="zh-CN"/>
        </w:rPr>
        <w:t>颗粒物</w:t>
      </w:r>
      <w:r>
        <w:rPr>
          <w:rFonts w:hint="eastAsia" w:ascii="Times New Roman" w:hAnsi="Times New Roman" w:eastAsia="宋体" w:cs="Times New Roman"/>
          <w:b w:val="0"/>
          <w:bCs w:val="0"/>
          <w:color w:val="FF0000"/>
          <w:sz w:val="24"/>
          <w:szCs w:val="24"/>
          <w:highlight w:val="none"/>
          <w:lang w:val="en-US" w:eastAsia="zh-CN"/>
        </w:rPr>
        <w:t>（PM</w:t>
      </w:r>
      <w:r>
        <w:rPr>
          <w:rFonts w:hint="eastAsia" w:ascii="Times New Roman" w:hAnsi="Times New Roman" w:eastAsia="宋体" w:cs="Times New Roman"/>
          <w:b w:val="0"/>
          <w:bCs w:val="0"/>
          <w:color w:val="FF0000"/>
          <w:sz w:val="24"/>
          <w:szCs w:val="24"/>
          <w:highlight w:val="none"/>
          <w:vertAlign w:val="subscript"/>
          <w:lang w:val="en-US" w:eastAsia="zh-CN"/>
        </w:rPr>
        <w:t>10</w:t>
      </w:r>
      <w:r>
        <w:rPr>
          <w:rFonts w:hint="eastAsia" w:ascii="Times New Roman" w:hAnsi="Times New Roman" w:eastAsia="宋体" w:cs="Times New Roman"/>
          <w:b w:val="0"/>
          <w:bCs w:val="0"/>
          <w:color w:val="FF0000"/>
          <w:sz w:val="24"/>
          <w:szCs w:val="24"/>
          <w:highlight w:val="none"/>
          <w:lang w:val="en-US" w:eastAsia="zh-CN"/>
        </w:rPr>
        <w:t>）</w:t>
      </w:r>
      <w:r>
        <w:rPr>
          <w:rFonts w:hint="default" w:ascii="Times New Roman" w:hAnsi="Times New Roman" w:eastAsia="宋体" w:cs="Times New Roman"/>
          <w:color w:val="FF0000"/>
          <w:sz w:val="24"/>
          <w:szCs w:val="24"/>
          <w:highlight w:val="none"/>
          <w:lang w:eastAsia="zh-CN"/>
        </w:rPr>
        <w:t>在非正常工况下的</w:t>
      </w:r>
      <w:r>
        <w:rPr>
          <w:rFonts w:hint="default" w:ascii="Times New Roman" w:hAnsi="Times New Roman" w:eastAsia="宋体" w:cs="Times New Roman"/>
          <w:color w:val="FF0000"/>
          <w:sz w:val="24"/>
          <w:szCs w:val="24"/>
          <w:highlight w:val="none"/>
        </w:rPr>
        <w:t>排污情况：</w:t>
      </w:r>
    </w:p>
    <w:p w14:paraId="110A350A">
      <w:pPr>
        <w:adjustRightInd w:val="0"/>
        <w:snapToGrid w:val="0"/>
        <w:spacing w:line="480" w:lineRule="exact"/>
        <w:ind w:firstLine="480" w:firstLineChars="200"/>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烟尘排放量增加量计算依据：</w:t>
      </w:r>
      <w:r>
        <w:rPr>
          <w:rFonts w:hint="default" w:ascii="Times New Roman" w:hAnsi="Times New Roman" w:eastAsia="宋体" w:cs="Times New Roman"/>
          <w:snapToGrid w:val="0"/>
          <w:color w:val="FF0000"/>
          <w:kern w:val="0"/>
          <w:position w:val="-6"/>
          <w:sz w:val="24"/>
          <w:szCs w:val="24"/>
          <w:highlight w:val="none"/>
        </w:rPr>
        <w:object>
          <v:shape id="_x0000_i1039" o:spt="75" type="#_x0000_t75" style="height:14.15pt;width:93pt;" o:ole="t" filled="f" o:preferrelative="t" stroked="f" coordsize="21600,21600">
            <v:path/>
            <v:fill on="f" focussize="0,0"/>
            <v:stroke on="f"/>
            <v:imagedata r:id="rId64" o:title=""/>
            <o:lock v:ext="edit" aspectratio="t"/>
            <w10:wrap type="none"/>
            <w10:anchorlock/>
          </v:shape>
          <o:OLEObject Type="Embed" ProgID="Equation.3" ShapeID="_x0000_i1039" DrawAspect="Content" ObjectID="_1468075739" r:id="rId63">
            <o:LockedField>false</o:LockedField>
          </o:OLEObject>
        </w:object>
      </w:r>
    </w:p>
    <w:p w14:paraId="3E6E0AC8">
      <w:pPr>
        <w:adjustRightInd w:val="0"/>
        <w:snapToGrid w:val="0"/>
        <w:spacing w:line="480" w:lineRule="exact"/>
        <w:textAlignment w:val="center"/>
        <w:rPr>
          <w:rFonts w:hint="default" w:ascii="Times New Roman" w:hAnsi="Times New Roman" w:eastAsia="宋体" w:cs="Times New Roman"/>
          <w:color w:val="FF0000"/>
          <w:position w:val="-10"/>
          <w:sz w:val="24"/>
          <w:szCs w:val="24"/>
          <w:highlight w:val="none"/>
        </w:rPr>
      </w:pPr>
      <w:r>
        <w:rPr>
          <w:rFonts w:hint="default" w:ascii="Times New Roman" w:hAnsi="Times New Roman" w:eastAsia="宋体" w:cs="Times New Roman"/>
          <w:color w:val="FF0000"/>
          <w:position w:val="-10"/>
          <w:sz w:val="24"/>
          <w:szCs w:val="24"/>
          <w:highlight w:val="none"/>
        </w:rPr>
        <w:t>式中：</w:t>
      </w:r>
      <w:r>
        <w:rPr>
          <w:rFonts w:hint="default" w:ascii="Times New Roman" w:hAnsi="Times New Roman" w:eastAsia="宋体" w:cs="Times New Roman"/>
          <w:color w:val="FF0000"/>
          <w:position w:val="-10"/>
          <w:sz w:val="24"/>
          <w:szCs w:val="24"/>
          <w:highlight w:val="none"/>
        </w:rPr>
        <w:object>
          <v:shape id="_x0000_i1040" o:spt="75" type="#_x0000_t75" style="height:12.75pt;width:21pt;" o:ole="t" filled="f" o:preferrelative="t" stroked="f" coordsize="21600,21600">
            <v:path/>
            <v:fill on="f" focussize="0,0"/>
            <v:stroke on="f"/>
            <v:imagedata r:id="rId66" o:title=""/>
            <o:lock v:ext="edit" aspectratio="t"/>
            <w10:wrap type="none"/>
            <w10:anchorlock/>
          </v:shape>
          <o:OLEObject Type="Embed" ProgID="Equation.3" ShapeID="_x0000_i1040" DrawAspect="Content" ObjectID="_1468075740" r:id="rId65">
            <o:LockedField>false</o:LockedField>
          </o:OLEObject>
        </w:object>
      </w:r>
      <w:r>
        <w:rPr>
          <w:rFonts w:hint="default" w:ascii="Times New Roman" w:hAnsi="Times New Roman" w:eastAsia="宋体" w:cs="Times New Roman"/>
          <w:color w:val="FF0000"/>
          <w:position w:val="-10"/>
          <w:sz w:val="24"/>
          <w:szCs w:val="24"/>
          <w:highlight w:val="none"/>
        </w:rPr>
        <w:t>—滤袋破损后增加的烟尘排放量，g/s；</w:t>
      </w:r>
    </w:p>
    <w:p w14:paraId="7F110222">
      <w:pPr>
        <w:adjustRightInd w:val="0"/>
        <w:snapToGrid w:val="0"/>
        <w:spacing w:line="480" w:lineRule="exact"/>
        <w:ind w:firstLine="1200" w:firstLineChars="500"/>
        <w:textAlignment w:val="center"/>
        <w:rPr>
          <w:rFonts w:hint="default" w:ascii="Times New Roman" w:hAnsi="Times New Roman" w:eastAsia="宋体" w:cs="Times New Roman"/>
          <w:i/>
          <w:color w:val="FF0000"/>
          <w:position w:val="-10"/>
          <w:sz w:val="24"/>
          <w:szCs w:val="24"/>
          <w:highlight w:val="none"/>
        </w:rPr>
      </w:pPr>
      <w:r>
        <w:rPr>
          <w:rFonts w:hint="default" w:ascii="Times New Roman" w:hAnsi="Times New Roman" w:eastAsia="宋体" w:cs="Times New Roman"/>
          <w:color w:val="FF0000"/>
          <w:position w:val="-10"/>
          <w:sz w:val="24"/>
          <w:szCs w:val="24"/>
          <w:highlight w:val="none"/>
        </w:rPr>
        <w:object>
          <v:shape id="_x0000_i1041" o:spt="75" type="#_x0000_t75" style="height:14.25pt;width:15.75pt;" o:ole="t" filled="f" o:preferrelative="t" stroked="f" coordsize="21600,21600">
            <v:path/>
            <v:fill on="f" focussize="0,0"/>
            <v:stroke on="f"/>
            <v:imagedata r:id="rId68" o:title=""/>
            <o:lock v:ext="edit" aspectratio="t"/>
            <w10:wrap type="none"/>
            <w10:anchorlock/>
          </v:shape>
          <o:OLEObject Type="Embed" ProgID="Equation.3" ShapeID="_x0000_i1041" DrawAspect="Content" ObjectID="_1468075741" r:id="rId67">
            <o:LockedField>false</o:LockedField>
          </o:OLEObject>
        </w:object>
      </w:r>
      <w:r>
        <w:rPr>
          <w:rFonts w:hint="default" w:ascii="Times New Roman" w:hAnsi="Times New Roman" w:eastAsia="宋体" w:cs="Times New Roman"/>
          <w:color w:val="FF0000"/>
          <w:position w:val="-10"/>
          <w:sz w:val="24"/>
          <w:szCs w:val="24"/>
          <w:highlight w:val="none"/>
        </w:rPr>
        <w:t>—原烟气含尘浓度，g/m</w:t>
      </w:r>
      <w:r>
        <w:rPr>
          <w:rFonts w:hint="default" w:ascii="Times New Roman" w:hAnsi="Times New Roman" w:eastAsia="宋体" w:cs="Times New Roman"/>
          <w:color w:val="FF0000"/>
          <w:position w:val="-10"/>
          <w:sz w:val="24"/>
          <w:szCs w:val="24"/>
          <w:highlight w:val="none"/>
          <w:vertAlign w:val="superscript"/>
        </w:rPr>
        <w:t>3</w:t>
      </w:r>
      <w:r>
        <w:rPr>
          <w:rFonts w:hint="default" w:ascii="Times New Roman" w:hAnsi="Times New Roman" w:eastAsia="宋体" w:cs="Times New Roman"/>
          <w:color w:val="FF0000"/>
          <w:position w:val="-10"/>
          <w:sz w:val="24"/>
          <w:szCs w:val="24"/>
          <w:highlight w:val="none"/>
        </w:rPr>
        <w:t>；</w:t>
      </w:r>
    </w:p>
    <w:p w14:paraId="26DD266D">
      <w:pPr>
        <w:adjustRightInd w:val="0"/>
        <w:snapToGrid w:val="0"/>
        <w:spacing w:line="480" w:lineRule="exact"/>
        <w:ind w:firstLine="1200" w:firstLineChars="500"/>
        <w:textAlignment w:val="center"/>
        <w:rPr>
          <w:rFonts w:hint="default" w:ascii="Times New Roman" w:hAnsi="Times New Roman" w:eastAsia="宋体" w:cs="Times New Roman"/>
          <w:color w:val="FF0000"/>
          <w:position w:val="-10"/>
          <w:sz w:val="24"/>
          <w:szCs w:val="24"/>
          <w:highlight w:val="none"/>
        </w:rPr>
      </w:pPr>
      <w:r>
        <w:rPr>
          <w:rFonts w:hint="default" w:ascii="Times New Roman" w:hAnsi="Times New Roman" w:eastAsia="宋体" w:cs="Times New Roman"/>
          <w:i/>
          <w:color w:val="FF0000"/>
          <w:position w:val="-10"/>
          <w:sz w:val="24"/>
          <w:szCs w:val="24"/>
          <w:highlight w:val="none"/>
        </w:rPr>
        <w:object>
          <v:shape id="_x0000_i1042" o:spt="75" type="#_x0000_t75" style="height:12.75pt;width:9pt;" o:ole="t" filled="f" o:preferrelative="t" stroked="f" coordsize="21600,21600">
            <v:path/>
            <v:fill on="f" focussize="0,0"/>
            <v:stroke on="f"/>
            <v:imagedata r:id="rId70" o:title=""/>
            <o:lock v:ext="edit" aspectratio="t"/>
            <w10:wrap type="none"/>
            <w10:anchorlock/>
          </v:shape>
          <o:OLEObject Type="Embed" ProgID="Equation.3" ShapeID="_x0000_i1042" DrawAspect="Content" ObjectID="_1468075742" r:id="rId69">
            <o:LockedField>false</o:LockedField>
          </o:OLEObject>
        </w:object>
      </w:r>
      <w:r>
        <w:rPr>
          <w:rFonts w:hint="default" w:ascii="Times New Roman" w:hAnsi="Times New Roman" w:eastAsia="宋体" w:cs="Times New Roman"/>
          <w:color w:val="FF0000"/>
          <w:position w:val="-10"/>
          <w:sz w:val="24"/>
          <w:szCs w:val="24"/>
          <w:highlight w:val="none"/>
        </w:rPr>
        <w:t>—滤袋破口面积，m</w:t>
      </w:r>
      <w:r>
        <w:rPr>
          <w:rFonts w:hint="default" w:ascii="Times New Roman" w:hAnsi="Times New Roman" w:eastAsia="宋体" w:cs="Times New Roman"/>
          <w:color w:val="FF0000"/>
          <w:position w:val="-10"/>
          <w:sz w:val="24"/>
          <w:szCs w:val="24"/>
          <w:highlight w:val="none"/>
          <w:vertAlign w:val="superscript"/>
        </w:rPr>
        <w:t>2</w:t>
      </w:r>
      <w:r>
        <w:rPr>
          <w:rFonts w:hint="default" w:ascii="Times New Roman" w:hAnsi="Times New Roman" w:eastAsia="宋体" w:cs="Times New Roman"/>
          <w:color w:val="FF0000"/>
          <w:position w:val="-10"/>
          <w:sz w:val="24"/>
          <w:szCs w:val="24"/>
          <w:highlight w:val="none"/>
        </w:rPr>
        <w:t>，破裂口直径0.</w:t>
      </w:r>
      <w:r>
        <w:rPr>
          <w:rFonts w:hint="eastAsia" w:ascii="Times New Roman" w:hAnsi="Times New Roman" w:eastAsia="宋体" w:cs="Times New Roman"/>
          <w:color w:val="FF0000"/>
          <w:position w:val="-10"/>
          <w:sz w:val="24"/>
          <w:szCs w:val="24"/>
          <w:highlight w:val="none"/>
          <w:lang w:val="en-US" w:eastAsia="zh-CN"/>
        </w:rPr>
        <w:t>2</w:t>
      </w:r>
      <w:r>
        <w:rPr>
          <w:rFonts w:hint="default" w:ascii="Times New Roman" w:hAnsi="Times New Roman" w:eastAsia="宋体" w:cs="Times New Roman"/>
          <w:color w:val="FF0000"/>
          <w:position w:val="-10"/>
          <w:sz w:val="24"/>
          <w:szCs w:val="24"/>
          <w:highlight w:val="none"/>
        </w:rPr>
        <w:t>m（厂家提供经验值），破口面积0.0</w:t>
      </w:r>
      <w:r>
        <w:rPr>
          <w:rFonts w:hint="eastAsia" w:ascii="Times New Roman" w:hAnsi="Times New Roman" w:eastAsia="宋体" w:cs="Times New Roman"/>
          <w:color w:val="FF0000"/>
          <w:position w:val="-10"/>
          <w:sz w:val="24"/>
          <w:szCs w:val="24"/>
          <w:highlight w:val="none"/>
          <w:lang w:val="en-US" w:eastAsia="zh-CN"/>
        </w:rPr>
        <w:t>314</w:t>
      </w:r>
      <w:r>
        <w:rPr>
          <w:rFonts w:hint="default" w:ascii="Times New Roman" w:hAnsi="Times New Roman" w:eastAsia="宋体" w:cs="Times New Roman"/>
          <w:color w:val="FF0000"/>
          <w:position w:val="-10"/>
          <w:sz w:val="24"/>
          <w:szCs w:val="24"/>
          <w:highlight w:val="none"/>
        </w:rPr>
        <w:t>m</w:t>
      </w:r>
      <w:r>
        <w:rPr>
          <w:rFonts w:hint="default" w:ascii="Times New Roman" w:hAnsi="Times New Roman" w:eastAsia="宋体" w:cs="Times New Roman"/>
          <w:color w:val="FF0000"/>
          <w:position w:val="-10"/>
          <w:sz w:val="24"/>
          <w:szCs w:val="24"/>
          <w:highlight w:val="none"/>
          <w:vertAlign w:val="superscript"/>
        </w:rPr>
        <w:t>2</w:t>
      </w:r>
      <w:r>
        <w:rPr>
          <w:rFonts w:hint="default" w:ascii="Times New Roman" w:hAnsi="Times New Roman" w:eastAsia="宋体" w:cs="Times New Roman"/>
          <w:color w:val="FF0000"/>
          <w:position w:val="-10"/>
          <w:sz w:val="24"/>
          <w:szCs w:val="24"/>
          <w:highlight w:val="none"/>
        </w:rPr>
        <w:t>；</w:t>
      </w:r>
    </w:p>
    <w:p w14:paraId="778A1AC6">
      <w:pPr>
        <w:adjustRightInd w:val="0"/>
        <w:snapToGrid w:val="0"/>
        <w:spacing w:line="480" w:lineRule="exact"/>
        <w:ind w:firstLine="1200" w:firstLineChars="500"/>
        <w:textAlignment w:val="center"/>
        <w:rPr>
          <w:rFonts w:hint="default" w:ascii="Times New Roman" w:hAnsi="Times New Roman" w:eastAsia="宋体" w:cs="Times New Roman"/>
          <w:color w:val="FF0000"/>
          <w:position w:val="-10"/>
          <w:sz w:val="24"/>
          <w:szCs w:val="24"/>
          <w:highlight w:val="none"/>
        </w:rPr>
      </w:pPr>
      <w:r>
        <w:rPr>
          <w:rFonts w:hint="default" w:ascii="Times New Roman" w:hAnsi="Times New Roman" w:eastAsia="宋体" w:cs="Times New Roman"/>
          <w:color w:val="FF0000"/>
          <w:position w:val="-10"/>
          <w:sz w:val="24"/>
          <w:szCs w:val="24"/>
          <w:highlight w:val="none"/>
        </w:rPr>
        <w:object>
          <v:shape id="_x0000_i1043" o:spt="75" type="#_x0000_t75" style="height:11.25pt;width:9.75pt;" o:ole="t" filled="f" o:preferrelative="t" stroked="f" coordsize="21600,21600">
            <v:path/>
            <v:fill on="f" focussize="0,0"/>
            <v:stroke on="f"/>
            <v:imagedata r:id="rId72" o:title=""/>
            <o:lock v:ext="edit" aspectratio="t"/>
            <w10:wrap type="none"/>
            <w10:anchorlock/>
          </v:shape>
          <o:OLEObject Type="Embed" ProgID="Equation.3" ShapeID="_x0000_i1043" DrawAspect="Content" ObjectID="_1468075743" r:id="rId71">
            <o:LockedField>false</o:LockedField>
          </o:OLEObject>
        </w:object>
      </w:r>
      <w:r>
        <w:rPr>
          <w:rFonts w:hint="default" w:ascii="Times New Roman" w:hAnsi="Times New Roman" w:eastAsia="宋体" w:cs="Times New Roman"/>
          <w:color w:val="FF0000"/>
          <w:position w:val="-10"/>
          <w:sz w:val="24"/>
          <w:szCs w:val="24"/>
          <w:highlight w:val="none"/>
        </w:rPr>
        <w:t>—滤袋破洞处烟气流速，m/s，一般为20</w:t>
      </w:r>
      <w:r>
        <w:rPr>
          <w:rFonts w:hint="eastAsia" w:ascii="Times New Roman" w:hAnsi="Times New Roman" w:eastAsia="宋体" w:cs="Times New Roman"/>
          <w:color w:val="FF0000"/>
          <w:position w:val="-10"/>
          <w:sz w:val="24"/>
          <w:szCs w:val="24"/>
          <w:highlight w:val="none"/>
          <w:lang w:eastAsia="zh-CN"/>
        </w:rPr>
        <w:t>～</w:t>
      </w:r>
      <w:r>
        <w:rPr>
          <w:rFonts w:hint="default" w:ascii="Times New Roman" w:hAnsi="Times New Roman" w:eastAsia="宋体" w:cs="Times New Roman"/>
          <w:color w:val="FF0000"/>
          <w:position w:val="-10"/>
          <w:sz w:val="24"/>
          <w:szCs w:val="24"/>
          <w:highlight w:val="none"/>
        </w:rPr>
        <w:t>30m/s。</w:t>
      </w:r>
    </w:p>
    <w:p w14:paraId="002C6A29">
      <w:pPr>
        <w:adjustRightInd w:val="0"/>
        <w:snapToGrid w:val="0"/>
        <w:spacing w:line="480" w:lineRule="exact"/>
        <w:ind w:firstLine="480" w:firstLineChars="200"/>
        <w:rPr>
          <w:rFonts w:hint="default" w:ascii="Times New Roman" w:hAnsi="Times New Roman" w:eastAsia="宋体" w:cs="Times New Roman"/>
          <w:color w:val="FF0000"/>
          <w:sz w:val="24"/>
          <w:highlight w:val="none"/>
        </w:rPr>
      </w:pPr>
      <w:r>
        <w:rPr>
          <w:rFonts w:hint="default" w:ascii="Times New Roman" w:hAnsi="Times New Roman" w:eastAsia="宋体" w:cs="Times New Roman"/>
          <w:color w:val="FF0000"/>
          <w:sz w:val="24"/>
          <w:szCs w:val="24"/>
          <w:highlight w:val="none"/>
        </w:rPr>
        <w:t>本项目烟气含尘浓度</w:t>
      </w:r>
      <w:r>
        <w:rPr>
          <w:rFonts w:hint="eastAsia" w:ascii="Times New Roman" w:hAnsi="Times New Roman" w:eastAsia="宋体" w:cs="Times New Roman"/>
          <w:color w:val="FF0000"/>
          <w:sz w:val="24"/>
          <w:szCs w:val="24"/>
          <w:highlight w:val="none"/>
          <w:lang w:val="en-US" w:eastAsia="zh-CN"/>
        </w:rPr>
        <w:t>12.56</w:t>
      </w:r>
      <w:r>
        <w:rPr>
          <w:rFonts w:hint="default" w:ascii="Times New Roman" w:hAnsi="Times New Roman" w:eastAsia="宋体" w:cs="Times New Roman"/>
          <w:color w:val="FF0000"/>
          <w:sz w:val="24"/>
          <w:szCs w:val="24"/>
          <w:highlight w:val="none"/>
        </w:rPr>
        <w:t>g/m</w:t>
      </w:r>
      <w:r>
        <w:rPr>
          <w:rFonts w:hint="default" w:ascii="Times New Roman" w:hAnsi="Times New Roman" w:eastAsia="宋体" w:cs="Times New Roman"/>
          <w:color w:val="FF0000"/>
          <w:sz w:val="24"/>
          <w:szCs w:val="24"/>
          <w:highlight w:val="none"/>
          <w:vertAlign w:val="superscript"/>
        </w:rPr>
        <w:t>3</w:t>
      </w:r>
      <w:r>
        <w:rPr>
          <w:rFonts w:hint="default" w:ascii="Times New Roman" w:hAnsi="Times New Roman" w:eastAsia="宋体" w:cs="Times New Roman"/>
          <w:color w:val="FF0000"/>
          <w:sz w:val="24"/>
          <w:szCs w:val="24"/>
          <w:highlight w:val="none"/>
        </w:rPr>
        <w:t>，烟气流速为</w:t>
      </w:r>
      <w:r>
        <w:rPr>
          <w:rFonts w:hint="eastAsia" w:ascii="Times New Roman" w:hAnsi="Times New Roman" w:eastAsia="宋体" w:cs="Times New Roman"/>
          <w:color w:val="FF0000"/>
          <w:sz w:val="24"/>
          <w:szCs w:val="24"/>
          <w:highlight w:val="none"/>
          <w:lang w:val="en-US" w:eastAsia="zh-CN"/>
        </w:rPr>
        <w:t>2</w:t>
      </w:r>
      <w:r>
        <w:rPr>
          <w:rFonts w:hint="default" w:ascii="Times New Roman" w:hAnsi="Times New Roman" w:eastAsia="宋体" w:cs="Times New Roman"/>
          <w:color w:val="FF0000"/>
          <w:sz w:val="24"/>
          <w:szCs w:val="24"/>
          <w:highlight w:val="none"/>
        </w:rPr>
        <w:t>0m/s，则滤袋破损后</w:t>
      </w:r>
      <w:r>
        <w:rPr>
          <w:rFonts w:hint="eastAsia" w:ascii="Times New Roman" w:hAnsi="Times New Roman" w:eastAsia="宋体" w:cs="Times New Roman"/>
          <w:b w:val="0"/>
          <w:bCs w:val="0"/>
          <w:color w:val="FF0000"/>
          <w:sz w:val="24"/>
          <w:szCs w:val="24"/>
          <w:highlight w:val="none"/>
          <w:lang w:val="en-US" w:eastAsia="zh-CN"/>
        </w:rPr>
        <w:t>颗粒物（PM</w:t>
      </w:r>
      <w:r>
        <w:rPr>
          <w:rFonts w:hint="eastAsia" w:ascii="Times New Roman" w:hAnsi="Times New Roman" w:eastAsia="宋体" w:cs="Times New Roman"/>
          <w:b w:val="0"/>
          <w:bCs w:val="0"/>
          <w:color w:val="FF0000"/>
          <w:sz w:val="24"/>
          <w:szCs w:val="24"/>
          <w:highlight w:val="none"/>
          <w:vertAlign w:val="subscript"/>
          <w:lang w:val="en-US" w:eastAsia="zh-CN"/>
        </w:rPr>
        <w:t>10</w:t>
      </w:r>
      <w:r>
        <w:rPr>
          <w:rFonts w:hint="eastAsia" w:ascii="Times New Roman" w:hAnsi="Times New Roman" w:eastAsia="宋体" w:cs="Times New Roman"/>
          <w:b w:val="0"/>
          <w:bCs w:val="0"/>
          <w:color w:val="FF0000"/>
          <w:sz w:val="24"/>
          <w:szCs w:val="24"/>
          <w:highlight w:val="none"/>
          <w:lang w:val="en-US" w:eastAsia="zh-CN"/>
        </w:rPr>
        <w:t>）</w:t>
      </w:r>
      <w:r>
        <w:rPr>
          <w:rFonts w:hint="default" w:ascii="Times New Roman" w:hAnsi="Times New Roman" w:eastAsia="宋体" w:cs="Times New Roman"/>
          <w:color w:val="FF0000"/>
          <w:sz w:val="24"/>
          <w:szCs w:val="24"/>
          <w:highlight w:val="none"/>
        </w:rPr>
        <w:t>排放增加量为</w:t>
      </w:r>
      <w:r>
        <w:rPr>
          <w:rFonts w:hint="eastAsia" w:ascii="Times New Roman" w:hAnsi="Times New Roman" w:eastAsia="宋体" w:cs="Times New Roman"/>
          <w:color w:val="FF0000"/>
          <w:sz w:val="24"/>
          <w:szCs w:val="24"/>
          <w:highlight w:val="none"/>
          <w:lang w:val="en-US" w:eastAsia="zh-CN"/>
        </w:rPr>
        <w:t>7.89</w:t>
      </w:r>
      <w:r>
        <w:rPr>
          <w:rFonts w:hint="default" w:ascii="Times New Roman" w:hAnsi="Times New Roman" w:eastAsia="宋体" w:cs="Times New Roman"/>
          <w:color w:val="FF0000"/>
          <w:sz w:val="24"/>
          <w:szCs w:val="24"/>
          <w:highlight w:val="none"/>
          <w:lang w:val="en-US" w:eastAsia="zh-CN"/>
        </w:rPr>
        <w:t>g/s（</w:t>
      </w:r>
      <w:r>
        <w:rPr>
          <w:rFonts w:hint="eastAsia" w:ascii="Times New Roman" w:hAnsi="Times New Roman" w:eastAsia="宋体" w:cs="Times New Roman"/>
          <w:color w:val="FF0000"/>
          <w:sz w:val="24"/>
          <w:szCs w:val="24"/>
          <w:highlight w:val="none"/>
          <w:lang w:val="en-US" w:eastAsia="zh-CN"/>
        </w:rPr>
        <w:t>28.40</w:t>
      </w:r>
      <w:r>
        <w:rPr>
          <w:rFonts w:hint="default" w:ascii="Times New Roman" w:hAnsi="Times New Roman" w:eastAsia="宋体" w:cs="Times New Roman"/>
          <w:color w:val="FF0000"/>
          <w:sz w:val="24"/>
          <w:szCs w:val="24"/>
          <w:highlight w:val="none"/>
          <w:lang w:val="en-US" w:eastAsia="zh-CN"/>
        </w:rPr>
        <w:t>kg/h），</w:t>
      </w:r>
      <w:r>
        <w:rPr>
          <w:rFonts w:hint="default" w:ascii="Times New Roman" w:hAnsi="Times New Roman" w:eastAsia="宋体" w:cs="Times New Roman"/>
          <w:color w:val="FF0000"/>
          <w:sz w:val="24"/>
          <w:highlight w:val="none"/>
        </w:rPr>
        <w:t>除尘器正常运行情况下</w:t>
      </w:r>
      <w:r>
        <w:rPr>
          <w:rFonts w:hint="eastAsia" w:ascii="Times New Roman" w:hAnsi="Times New Roman" w:eastAsia="宋体" w:cs="Times New Roman"/>
          <w:b w:val="0"/>
          <w:bCs w:val="0"/>
          <w:color w:val="FF0000"/>
          <w:sz w:val="24"/>
          <w:szCs w:val="24"/>
          <w:highlight w:val="none"/>
          <w:lang w:val="en-US" w:eastAsia="zh-CN"/>
        </w:rPr>
        <w:t>颗粒物（PM</w:t>
      </w:r>
      <w:r>
        <w:rPr>
          <w:rFonts w:hint="eastAsia" w:ascii="Times New Roman" w:hAnsi="Times New Roman" w:eastAsia="宋体" w:cs="Times New Roman"/>
          <w:b w:val="0"/>
          <w:bCs w:val="0"/>
          <w:color w:val="FF0000"/>
          <w:sz w:val="24"/>
          <w:szCs w:val="24"/>
          <w:highlight w:val="none"/>
          <w:vertAlign w:val="subscript"/>
          <w:lang w:val="en-US" w:eastAsia="zh-CN"/>
        </w:rPr>
        <w:t>10</w:t>
      </w:r>
      <w:r>
        <w:rPr>
          <w:rFonts w:hint="eastAsia" w:ascii="Times New Roman" w:hAnsi="Times New Roman" w:eastAsia="宋体" w:cs="Times New Roman"/>
          <w:b w:val="0"/>
          <w:bCs w:val="0"/>
          <w:color w:val="FF0000"/>
          <w:sz w:val="24"/>
          <w:szCs w:val="24"/>
          <w:highlight w:val="none"/>
          <w:lang w:val="en-US" w:eastAsia="zh-CN"/>
        </w:rPr>
        <w:t>）</w:t>
      </w:r>
      <w:r>
        <w:rPr>
          <w:rFonts w:hint="default" w:ascii="Times New Roman" w:hAnsi="Times New Roman" w:eastAsia="宋体" w:cs="Times New Roman"/>
          <w:color w:val="FF0000"/>
          <w:sz w:val="24"/>
          <w:highlight w:val="none"/>
        </w:rPr>
        <w:t>排放量为</w:t>
      </w:r>
      <w:r>
        <w:rPr>
          <w:rFonts w:hint="eastAsia" w:ascii="Times New Roman" w:hAnsi="Times New Roman" w:eastAsia="宋体" w:cs="Times New Roman"/>
          <w:color w:val="FF0000"/>
          <w:sz w:val="24"/>
          <w:highlight w:val="none"/>
          <w:lang w:val="en-US" w:eastAsia="zh-CN"/>
        </w:rPr>
        <w:t>0.589</w:t>
      </w:r>
      <w:r>
        <w:rPr>
          <w:rFonts w:hint="default" w:ascii="Times New Roman" w:hAnsi="Times New Roman" w:eastAsia="宋体" w:cs="Times New Roman"/>
          <w:color w:val="FF0000"/>
          <w:sz w:val="24"/>
          <w:highlight w:val="none"/>
        </w:rPr>
        <w:t>kg/h，</w:t>
      </w:r>
      <w:r>
        <w:rPr>
          <w:rFonts w:hint="default" w:ascii="Times New Roman" w:hAnsi="Times New Roman" w:eastAsia="宋体" w:cs="Times New Roman"/>
          <w:color w:val="FF0000"/>
          <w:sz w:val="24"/>
          <w:highlight w:val="none"/>
          <w:lang w:eastAsia="zh-CN"/>
        </w:rPr>
        <w:t>非正常工况下</w:t>
      </w:r>
      <w:r>
        <w:rPr>
          <w:rFonts w:hint="default" w:ascii="Times New Roman" w:hAnsi="Times New Roman" w:eastAsia="宋体" w:cs="Times New Roman"/>
          <w:color w:val="FF0000"/>
          <w:sz w:val="24"/>
          <w:highlight w:val="none"/>
        </w:rPr>
        <w:t>滤袋破损后</w:t>
      </w:r>
      <w:r>
        <w:rPr>
          <w:rFonts w:hint="eastAsia" w:ascii="Times New Roman" w:hAnsi="Times New Roman" w:eastAsia="宋体" w:cs="Times New Roman"/>
          <w:b w:val="0"/>
          <w:bCs w:val="0"/>
          <w:color w:val="FF0000"/>
          <w:sz w:val="24"/>
          <w:szCs w:val="24"/>
          <w:highlight w:val="none"/>
          <w:lang w:val="en-US" w:eastAsia="zh-CN"/>
        </w:rPr>
        <w:t>颗粒物（PM</w:t>
      </w:r>
      <w:r>
        <w:rPr>
          <w:rFonts w:hint="eastAsia" w:ascii="Times New Roman" w:hAnsi="Times New Roman" w:eastAsia="宋体" w:cs="Times New Roman"/>
          <w:b w:val="0"/>
          <w:bCs w:val="0"/>
          <w:color w:val="FF0000"/>
          <w:sz w:val="24"/>
          <w:szCs w:val="24"/>
          <w:highlight w:val="none"/>
          <w:vertAlign w:val="subscript"/>
          <w:lang w:val="en-US" w:eastAsia="zh-CN"/>
        </w:rPr>
        <w:t>10</w:t>
      </w:r>
      <w:r>
        <w:rPr>
          <w:rFonts w:hint="eastAsia" w:ascii="Times New Roman" w:hAnsi="Times New Roman" w:eastAsia="宋体" w:cs="Times New Roman"/>
          <w:b w:val="0"/>
          <w:bCs w:val="0"/>
          <w:color w:val="FF0000"/>
          <w:sz w:val="24"/>
          <w:szCs w:val="24"/>
          <w:highlight w:val="none"/>
          <w:lang w:val="en-US" w:eastAsia="zh-CN"/>
        </w:rPr>
        <w:t>）</w:t>
      </w:r>
      <w:r>
        <w:rPr>
          <w:rFonts w:hint="default" w:ascii="Times New Roman" w:hAnsi="Times New Roman" w:eastAsia="宋体" w:cs="Times New Roman"/>
          <w:color w:val="FF0000"/>
          <w:sz w:val="24"/>
          <w:highlight w:val="none"/>
        </w:rPr>
        <w:t>排放量为</w:t>
      </w:r>
      <w:r>
        <w:rPr>
          <w:rFonts w:hint="eastAsia" w:ascii="Times New Roman" w:hAnsi="Times New Roman" w:eastAsia="宋体" w:cs="Times New Roman"/>
          <w:color w:val="FF0000"/>
          <w:sz w:val="24"/>
          <w:highlight w:val="none"/>
          <w:lang w:val="en-US" w:eastAsia="zh-CN"/>
        </w:rPr>
        <w:t>28.99</w:t>
      </w:r>
      <w:r>
        <w:rPr>
          <w:rFonts w:hint="default" w:ascii="Times New Roman" w:hAnsi="Times New Roman" w:eastAsia="宋体" w:cs="Times New Roman"/>
          <w:color w:val="FF0000"/>
          <w:sz w:val="24"/>
          <w:highlight w:val="none"/>
        </w:rPr>
        <w:t>kg/h，</w:t>
      </w:r>
      <w:r>
        <w:rPr>
          <w:rFonts w:hint="eastAsia" w:ascii="Times New Roman" w:hAnsi="Times New Roman" w:eastAsia="宋体" w:cs="Times New Roman"/>
          <w:color w:val="FF0000"/>
          <w:sz w:val="24"/>
          <w:highlight w:val="none"/>
          <w:lang w:eastAsia="zh-CN"/>
        </w:rPr>
        <w:t>排放浓度</w:t>
      </w:r>
      <w:r>
        <w:rPr>
          <w:rFonts w:hint="eastAsia" w:ascii="Times New Roman" w:hAnsi="Times New Roman" w:eastAsia="宋体" w:cs="Times New Roman"/>
          <w:color w:val="FF0000"/>
          <w:sz w:val="24"/>
          <w:highlight w:val="none"/>
          <w:lang w:val="en-US" w:eastAsia="zh-CN"/>
        </w:rPr>
        <w:t>308.97</w:t>
      </w:r>
      <w:r>
        <w:rPr>
          <w:rFonts w:hint="default" w:ascii="Times New Roman" w:hAnsi="Times New Roman" w:eastAsia="宋体" w:cs="Times New Roman"/>
          <w:color w:val="FF0000"/>
          <w:sz w:val="24"/>
          <w:szCs w:val="24"/>
          <w:highlight w:val="none"/>
        </w:rPr>
        <w:t>mg/m</w:t>
      </w:r>
      <w:r>
        <w:rPr>
          <w:rFonts w:hint="default" w:ascii="Times New Roman" w:hAnsi="Times New Roman" w:eastAsia="宋体" w:cs="Times New Roman"/>
          <w:color w:val="FF0000"/>
          <w:sz w:val="24"/>
          <w:szCs w:val="24"/>
          <w:highlight w:val="none"/>
          <w:vertAlign w:val="superscript"/>
        </w:rPr>
        <w:t>3</w:t>
      </w:r>
      <w:r>
        <w:rPr>
          <w:rFonts w:hint="eastAsia" w:ascii="Times New Roman" w:hAnsi="Times New Roman" w:eastAsia="宋体" w:cs="Times New Roman"/>
          <w:color w:val="FF0000"/>
          <w:sz w:val="24"/>
          <w:szCs w:val="24"/>
          <w:highlight w:val="none"/>
          <w:vertAlign w:val="baseline"/>
          <w:lang w:val="en-US" w:eastAsia="zh-CN"/>
        </w:rPr>
        <w:t>，</w:t>
      </w:r>
      <w:r>
        <w:rPr>
          <w:rFonts w:hint="default" w:ascii="Times New Roman" w:hAnsi="Times New Roman" w:eastAsia="宋体" w:cs="Times New Roman"/>
          <w:color w:val="FF0000"/>
          <w:sz w:val="24"/>
          <w:highlight w:val="none"/>
          <w:lang w:eastAsia="zh-CN"/>
        </w:rPr>
        <w:t>非正常工况下除尘器</w:t>
      </w:r>
      <w:r>
        <w:rPr>
          <w:rFonts w:hint="default" w:ascii="Times New Roman" w:hAnsi="Times New Roman" w:eastAsia="宋体" w:cs="Times New Roman"/>
          <w:color w:val="FF0000"/>
          <w:sz w:val="24"/>
          <w:highlight w:val="none"/>
        </w:rPr>
        <w:t>除尘效率为</w:t>
      </w:r>
      <w:r>
        <w:rPr>
          <w:rFonts w:hint="eastAsia" w:ascii="Times New Roman" w:hAnsi="Times New Roman" w:eastAsia="宋体" w:cs="Times New Roman"/>
          <w:color w:val="FF0000"/>
          <w:sz w:val="24"/>
          <w:highlight w:val="none"/>
          <w:lang w:val="en-US" w:eastAsia="zh-CN"/>
        </w:rPr>
        <w:t>97.59</w:t>
      </w:r>
      <w:r>
        <w:rPr>
          <w:rFonts w:hint="default" w:ascii="Times New Roman" w:hAnsi="Times New Roman" w:eastAsia="宋体" w:cs="Times New Roman"/>
          <w:color w:val="FF0000"/>
          <w:sz w:val="24"/>
          <w:highlight w:val="none"/>
        </w:rPr>
        <w:t>%。</w:t>
      </w:r>
    </w:p>
    <w:p w14:paraId="386E174A">
      <w:pPr>
        <w:adjustRightInd w:val="0"/>
        <w:snapToGrid w:val="0"/>
        <w:spacing w:line="480" w:lineRule="exact"/>
        <w:ind w:firstLine="480" w:firstLineChars="200"/>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lang w:val="en-US" w:eastAsia="zh-CN"/>
        </w:rPr>
        <w:t>2</w:t>
      </w: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rPr>
        <w:t>非正常工况下SO</w:t>
      </w:r>
      <w:r>
        <w:rPr>
          <w:rFonts w:hint="default" w:ascii="Times New Roman" w:hAnsi="Times New Roman" w:eastAsia="宋体" w:cs="Times New Roman"/>
          <w:color w:val="FF0000"/>
          <w:sz w:val="24"/>
          <w:szCs w:val="24"/>
          <w:highlight w:val="none"/>
          <w:vertAlign w:val="subscript"/>
        </w:rPr>
        <w:t>2</w:t>
      </w:r>
      <w:r>
        <w:rPr>
          <w:rFonts w:hint="default" w:ascii="Times New Roman" w:hAnsi="Times New Roman" w:eastAsia="宋体" w:cs="Times New Roman"/>
          <w:color w:val="FF0000"/>
          <w:sz w:val="24"/>
          <w:szCs w:val="24"/>
          <w:highlight w:val="none"/>
        </w:rPr>
        <w:t>排放分析</w:t>
      </w:r>
    </w:p>
    <w:p w14:paraId="487485A4">
      <w:pPr>
        <w:keepNext w:val="0"/>
        <w:keepLines w:val="0"/>
        <w:widowControl/>
        <w:suppressLineNumbers w:val="0"/>
        <w:jc w:val="left"/>
        <w:rPr>
          <w:rFonts w:hint="default"/>
          <w:color w:val="FF0000"/>
          <w:highlight w:val="none"/>
          <w:lang w:val="en-US" w:eastAsia="zh-CN"/>
        </w:rPr>
      </w:pPr>
      <w:r>
        <w:rPr>
          <w:rFonts w:hint="eastAsia" w:ascii="宋体" w:hAnsi="宋体" w:eastAsia="宋体" w:cs="宋体"/>
          <w:color w:val="FF0000"/>
          <w:kern w:val="0"/>
          <w:sz w:val="24"/>
          <w:szCs w:val="24"/>
          <w:highlight w:val="none"/>
          <w:lang w:val="en-US" w:eastAsia="zh-CN" w:bidi="ar"/>
        </w:rPr>
        <w:t>非正常工况主要脱硫设备故障造成脱硫效率降低，</w:t>
      </w:r>
      <w:r>
        <w:rPr>
          <w:rFonts w:hint="default" w:ascii="Times New Roman" w:hAnsi="Times New Roman" w:eastAsia="宋体" w:cs="Times New Roman"/>
          <w:color w:val="FF0000"/>
          <w:sz w:val="24"/>
          <w:szCs w:val="24"/>
          <w:highlight w:val="none"/>
        </w:rPr>
        <w:t>脱硫效率</w:t>
      </w:r>
      <w:r>
        <w:rPr>
          <w:rFonts w:hint="default" w:ascii="Times New Roman" w:hAnsi="Times New Roman" w:eastAsia="宋体" w:cs="Times New Roman"/>
          <w:color w:val="FF0000"/>
          <w:highlight w:val="none"/>
        </w:rPr>
        <w:t>为</w:t>
      </w:r>
      <w:r>
        <w:rPr>
          <w:rFonts w:hint="eastAsia" w:ascii="Times New Roman" w:hAnsi="Times New Roman" w:eastAsia="宋体" w:cs="Times New Roman"/>
          <w:color w:val="FF0000"/>
          <w:highlight w:val="none"/>
          <w:lang w:val="en-US" w:eastAsia="zh-CN"/>
        </w:rPr>
        <w:t>30</w:t>
      </w:r>
      <w:r>
        <w:rPr>
          <w:rFonts w:hint="default" w:ascii="Times New Roman" w:hAnsi="Times New Roman" w:eastAsia="宋体" w:cs="Times New Roman"/>
          <w:color w:val="FF0000"/>
          <w:highlight w:val="none"/>
        </w:rPr>
        <w:t>%</w:t>
      </w:r>
      <w:r>
        <w:rPr>
          <w:rFonts w:hint="default" w:ascii="Times New Roman" w:hAnsi="Times New Roman" w:eastAsia="宋体" w:cs="Times New Roman"/>
          <w:color w:val="FF0000"/>
          <w:sz w:val="24"/>
          <w:szCs w:val="24"/>
          <w:highlight w:val="none"/>
        </w:rPr>
        <w:t>。</w:t>
      </w:r>
      <w:r>
        <w:rPr>
          <w:rFonts w:hint="default" w:ascii="Times New Roman" w:hAnsi="Times New Roman" w:eastAsia="宋体" w:cs="Times New Roman"/>
          <w:color w:val="FF0000"/>
          <w:sz w:val="24"/>
          <w:szCs w:val="24"/>
          <w:highlight w:val="none"/>
          <w:lang w:val="en-US" w:eastAsia="zh-CN"/>
        </w:rPr>
        <w:t>经计算，</w:t>
      </w:r>
      <w:r>
        <w:rPr>
          <w:rFonts w:hint="default" w:ascii="Times New Roman" w:hAnsi="Times New Roman" w:eastAsia="宋体" w:cs="Times New Roman"/>
          <w:color w:val="FF0000"/>
          <w:sz w:val="24"/>
          <w:szCs w:val="24"/>
          <w:highlight w:val="none"/>
        </w:rPr>
        <w:t>非正常工况下SO</w:t>
      </w:r>
      <w:r>
        <w:rPr>
          <w:rFonts w:hint="default" w:ascii="Times New Roman" w:hAnsi="Times New Roman" w:eastAsia="宋体" w:cs="Times New Roman"/>
          <w:color w:val="FF0000"/>
          <w:sz w:val="24"/>
          <w:szCs w:val="24"/>
          <w:highlight w:val="none"/>
          <w:vertAlign w:val="subscript"/>
        </w:rPr>
        <w:t>2</w:t>
      </w:r>
      <w:r>
        <w:rPr>
          <w:rFonts w:hint="default" w:ascii="Times New Roman" w:hAnsi="Times New Roman" w:eastAsia="宋体" w:cs="Times New Roman"/>
          <w:color w:val="FF0000"/>
          <w:sz w:val="24"/>
          <w:szCs w:val="24"/>
          <w:highlight w:val="none"/>
        </w:rPr>
        <w:t>排放量</w:t>
      </w:r>
      <w:r>
        <w:rPr>
          <w:rFonts w:hint="eastAsia" w:ascii="Times New Roman" w:hAnsi="Times New Roman" w:eastAsia="宋体" w:cs="Times New Roman"/>
          <w:color w:val="FF0000"/>
          <w:sz w:val="24"/>
          <w:szCs w:val="24"/>
          <w:highlight w:val="none"/>
          <w:lang w:val="en-US" w:eastAsia="zh-CN"/>
        </w:rPr>
        <w:t>34.73</w:t>
      </w:r>
      <w:r>
        <w:rPr>
          <w:rFonts w:hint="default" w:ascii="Times New Roman" w:hAnsi="Times New Roman" w:eastAsia="宋体" w:cs="Times New Roman"/>
          <w:color w:val="FF0000"/>
          <w:sz w:val="24"/>
          <w:szCs w:val="24"/>
          <w:highlight w:val="none"/>
        </w:rPr>
        <w:t>kg/h</w:t>
      </w:r>
      <w:r>
        <w:rPr>
          <w:rFonts w:hint="default" w:ascii="Times New Roman" w:hAnsi="Times New Roman" w:eastAsia="宋体" w:cs="Times New Roman"/>
          <w:color w:val="FF0000"/>
          <w:sz w:val="24"/>
          <w:szCs w:val="24"/>
          <w:highlight w:val="none"/>
          <w:lang w:eastAsia="zh-CN"/>
        </w:rPr>
        <w:t>，排放浓度为</w:t>
      </w:r>
      <w:r>
        <w:rPr>
          <w:rFonts w:hint="eastAsia" w:ascii="Times New Roman" w:hAnsi="Times New Roman" w:eastAsia="宋体" w:cs="Times New Roman"/>
          <w:color w:val="FF0000"/>
          <w:highlight w:val="none"/>
          <w:lang w:val="en-US" w:eastAsia="zh-CN"/>
        </w:rPr>
        <w:t>370.20</w:t>
      </w:r>
      <w:r>
        <w:rPr>
          <w:rFonts w:hint="default" w:ascii="Times New Roman" w:hAnsi="Times New Roman" w:eastAsia="宋体" w:cs="Times New Roman"/>
          <w:color w:val="FF0000"/>
          <w:sz w:val="24"/>
          <w:szCs w:val="24"/>
          <w:highlight w:val="none"/>
        </w:rPr>
        <w:t>mg/m</w:t>
      </w:r>
      <w:r>
        <w:rPr>
          <w:rFonts w:hint="default" w:ascii="Times New Roman" w:hAnsi="Times New Roman" w:eastAsia="宋体" w:cs="Times New Roman"/>
          <w:color w:val="FF0000"/>
          <w:sz w:val="24"/>
          <w:szCs w:val="24"/>
          <w:highlight w:val="none"/>
          <w:vertAlign w:val="superscript"/>
        </w:rPr>
        <w:t>3</w:t>
      </w:r>
      <w:r>
        <w:rPr>
          <w:rFonts w:hint="default" w:ascii="Times New Roman" w:hAnsi="Times New Roman" w:eastAsia="宋体" w:cs="Times New Roman"/>
          <w:color w:val="FF0000"/>
          <w:sz w:val="24"/>
          <w:szCs w:val="24"/>
          <w:highlight w:val="none"/>
          <w:lang w:val="en-US" w:eastAsia="zh-CN"/>
        </w:rPr>
        <w:t>。</w:t>
      </w:r>
    </w:p>
    <w:p w14:paraId="488DB57D">
      <w:pPr>
        <w:keepNext w:val="0"/>
        <w:keepLines w:val="0"/>
        <w:pageBreakBefore w:val="0"/>
        <w:widowControl w:val="0"/>
        <w:kinsoku/>
        <w:wordWrap/>
        <w:overflowPunct/>
        <w:topLinePunct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lang w:val="en-US" w:eastAsia="zh-CN"/>
        </w:rPr>
        <w:t>3</w:t>
      </w: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rPr>
        <w:t>非正常工况下NO</w:t>
      </w:r>
      <w:r>
        <w:rPr>
          <w:rFonts w:hint="default" w:ascii="Times New Roman" w:hAnsi="Times New Roman" w:eastAsia="宋体" w:cs="Times New Roman"/>
          <w:color w:val="FF0000"/>
          <w:sz w:val="24"/>
          <w:szCs w:val="24"/>
          <w:highlight w:val="none"/>
          <w:vertAlign w:val="subscript"/>
        </w:rPr>
        <w:t>x</w:t>
      </w:r>
      <w:r>
        <w:rPr>
          <w:rFonts w:hint="default" w:ascii="Times New Roman" w:hAnsi="Times New Roman" w:eastAsia="宋体" w:cs="Times New Roman"/>
          <w:color w:val="FF0000"/>
          <w:sz w:val="24"/>
          <w:szCs w:val="24"/>
          <w:highlight w:val="none"/>
        </w:rPr>
        <w:t>排放分析</w:t>
      </w:r>
    </w:p>
    <w:p w14:paraId="4F2C70DA">
      <w:pPr>
        <w:keepNext w:val="0"/>
        <w:keepLines w:val="0"/>
        <w:widowControl/>
        <w:suppressLineNumbers w:val="0"/>
        <w:ind w:firstLine="720" w:firstLineChars="300"/>
        <w:jc w:val="left"/>
        <w:rPr>
          <w:rFonts w:hint="default" w:ascii="Times New Roman" w:hAnsi="Times New Roman" w:eastAsia="宋体" w:cs="Times New Roman"/>
          <w:color w:val="FF0000"/>
          <w:kern w:val="0"/>
          <w:sz w:val="24"/>
          <w:szCs w:val="24"/>
          <w:highlight w:val="none"/>
          <w:lang w:val="en-US" w:eastAsia="zh-CN" w:bidi="ar"/>
        </w:rPr>
      </w:pPr>
      <w:r>
        <w:rPr>
          <w:rFonts w:hint="default" w:ascii="Times New Roman" w:hAnsi="Times New Roman" w:eastAsia="宋体" w:cs="Times New Roman"/>
          <w:b w:val="0"/>
          <w:bCs/>
          <w:color w:val="FF0000"/>
          <w:sz w:val="24"/>
          <w:szCs w:val="24"/>
          <w:highlight w:val="none"/>
        </w:rPr>
        <w:t>锅炉</w:t>
      </w:r>
      <w:r>
        <w:rPr>
          <w:rFonts w:hint="default" w:ascii="Times New Roman" w:hAnsi="Times New Roman" w:eastAsia="宋体" w:cs="Times New Roman"/>
          <w:b w:val="0"/>
          <w:bCs/>
          <w:color w:val="FF0000"/>
          <w:sz w:val="24"/>
          <w:szCs w:val="24"/>
          <w:highlight w:val="none"/>
          <w:lang w:eastAsia="zh-CN"/>
        </w:rPr>
        <w:t>调试期间</w:t>
      </w:r>
      <w:r>
        <w:rPr>
          <w:rFonts w:hint="default" w:ascii="Times New Roman" w:hAnsi="Times New Roman" w:eastAsia="宋体" w:cs="Times New Roman"/>
          <w:b w:val="0"/>
          <w:bCs/>
          <w:color w:val="FF0000"/>
          <w:sz w:val="24"/>
          <w:szCs w:val="24"/>
          <w:highlight w:val="none"/>
        </w:rPr>
        <w:t>点火启动、停炉熄火会导致脱硝系统的脱硝效率为0%，NO</w:t>
      </w:r>
      <w:r>
        <w:rPr>
          <w:rFonts w:hint="default" w:ascii="Times New Roman" w:hAnsi="Times New Roman" w:eastAsia="宋体" w:cs="Times New Roman"/>
          <w:b w:val="0"/>
          <w:bCs/>
          <w:color w:val="FF0000"/>
          <w:sz w:val="24"/>
          <w:szCs w:val="24"/>
          <w:highlight w:val="none"/>
          <w:vertAlign w:val="subscript"/>
        </w:rPr>
        <w:t xml:space="preserve">x </w:t>
      </w:r>
      <w:r>
        <w:rPr>
          <w:rFonts w:hint="default" w:ascii="Times New Roman" w:hAnsi="Times New Roman" w:eastAsia="宋体" w:cs="Times New Roman"/>
          <w:b w:val="0"/>
          <w:bCs/>
          <w:color w:val="FF0000"/>
          <w:sz w:val="24"/>
          <w:szCs w:val="24"/>
          <w:highlight w:val="none"/>
        </w:rPr>
        <w:t>可参考锅炉生产商设计参数（本项目按</w:t>
      </w:r>
      <w:r>
        <w:rPr>
          <w:rFonts w:hint="eastAsia" w:ascii="Times New Roman" w:hAnsi="Times New Roman" w:eastAsia="宋体" w:cs="Times New Roman"/>
          <w:b w:val="0"/>
          <w:bCs/>
          <w:color w:val="FF0000"/>
          <w:sz w:val="24"/>
          <w:szCs w:val="24"/>
          <w:highlight w:val="none"/>
          <w:lang w:val="en-US" w:eastAsia="zh-CN"/>
        </w:rPr>
        <w:t>350</w:t>
      </w:r>
      <w:r>
        <w:rPr>
          <w:rFonts w:hint="default" w:ascii="Times New Roman" w:hAnsi="Times New Roman" w:eastAsia="宋体" w:cs="Times New Roman"/>
          <w:b w:val="0"/>
          <w:bCs/>
          <w:color w:val="FF0000"/>
          <w:sz w:val="24"/>
          <w:szCs w:val="24"/>
          <w:highlight w:val="none"/>
        </w:rPr>
        <w:t>mg/m</w:t>
      </w:r>
      <w:r>
        <w:rPr>
          <w:rFonts w:hint="default" w:ascii="Times New Roman" w:hAnsi="Times New Roman" w:eastAsia="宋体" w:cs="Times New Roman"/>
          <w:b w:val="0"/>
          <w:bCs/>
          <w:color w:val="FF0000"/>
          <w:sz w:val="24"/>
          <w:szCs w:val="24"/>
          <w:highlight w:val="none"/>
          <w:vertAlign w:val="superscript"/>
        </w:rPr>
        <w:t>3</w:t>
      </w:r>
      <w:r>
        <w:rPr>
          <w:rFonts w:hint="default" w:ascii="Times New Roman" w:hAnsi="Times New Roman" w:eastAsia="宋体" w:cs="Times New Roman"/>
          <w:b w:val="0"/>
          <w:bCs/>
          <w:color w:val="FF0000"/>
          <w:sz w:val="24"/>
          <w:szCs w:val="24"/>
          <w:highlight w:val="none"/>
        </w:rPr>
        <w:t>）计算</w:t>
      </w:r>
      <w:r>
        <w:rPr>
          <w:rFonts w:hint="default" w:ascii="Times New Roman" w:hAnsi="Times New Roman" w:eastAsia="宋体" w:cs="Times New Roman"/>
          <w:b w:val="0"/>
          <w:bCs/>
          <w:color w:val="FF0000"/>
          <w:sz w:val="24"/>
          <w:szCs w:val="24"/>
          <w:highlight w:val="none"/>
          <w:lang w:eastAsia="zh-CN"/>
        </w:rPr>
        <w:t>。经计算</w:t>
      </w:r>
      <w:r>
        <w:rPr>
          <w:rFonts w:hint="default" w:ascii="Times New Roman" w:hAnsi="Times New Roman" w:eastAsia="宋体" w:cs="Times New Roman"/>
          <w:b w:val="0"/>
          <w:bCs/>
          <w:color w:val="FF0000"/>
          <w:sz w:val="24"/>
          <w:szCs w:val="24"/>
          <w:highlight w:val="none"/>
        </w:rPr>
        <w:t>非正常工况下NO</w:t>
      </w:r>
      <w:r>
        <w:rPr>
          <w:rFonts w:hint="default" w:ascii="Times New Roman" w:hAnsi="Times New Roman" w:eastAsia="宋体" w:cs="Times New Roman"/>
          <w:b w:val="0"/>
          <w:bCs/>
          <w:color w:val="FF0000"/>
          <w:sz w:val="24"/>
          <w:szCs w:val="24"/>
          <w:highlight w:val="none"/>
          <w:vertAlign w:val="subscript"/>
        </w:rPr>
        <w:t xml:space="preserve">x </w:t>
      </w:r>
      <w:r>
        <w:rPr>
          <w:rFonts w:hint="default" w:ascii="Times New Roman" w:hAnsi="Times New Roman" w:eastAsia="宋体" w:cs="Times New Roman"/>
          <w:b w:val="0"/>
          <w:bCs/>
          <w:color w:val="FF0000"/>
          <w:sz w:val="24"/>
          <w:szCs w:val="24"/>
          <w:highlight w:val="none"/>
        </w:rPr>
        <w:t>排放量</w:t>
      </w:r>
      <w:r>
        <w:rPr>
          <w:rFonts w:hint="eastAsia" w:ascii="Times New Roman" w:hAnsi="Times New Roman" w:eastAsia="宋体" w:cs="Times New Roman"/>
          <w:b w:val="0"/>
          <w:bCs/>
          <w:color w:val="FF0000"/>
          <w:sz w:val="24"/>
          <w:szCs w:val="24"/>
          <w:highlight w:val="none"/>
          <w:lang w:val="en-US" w:eastAsia="zh-CN"/>
        </w:rPr>
        <w:t>32.84</w:t>
      </w:r>
      <w:r>
        <w:rPr>
          <w:rFonts w:hint="default" w:ascii="Times New Roman" w:hAnsi="Times New Roman" w:eastAsia="宋体" w:cs="Times New Roman"/>
          <w:b w:val="0"/>
          <w:bCs/>
          <w:color w:val="FF0000"/>
          <w:sz w:val="24"/>
          <w:szCs w:val="24"/>
          <w:highlight w:val="none"/>
        </w:rPr>
        <w:t>kg/h</w:t>
      </w:r>
      <w:r>
        <w:rPr>
          <w:rFonts w:hint="default" w:ascii="Times New Roman" w:hAnsi="Times New Roman" w:eastAsia="宋体" w:cs="Times New Roman"/>
          <w:b w:val="0"/>
          <w:bCs/>
          <w:color w:val="FF0000"/>
          <w:sz w:val="24"/>
          <w:szCs w:val="24"/>
          <w:highlight w:val="none"/>
          <w:lang w:eastAsia="zh-CN"/>
        </w:rPr>
        <w:t>，排放浓度为</w:t>
      </w:r>
      <w:r>
        <w:rPr>
          <w:rFonts w:hint="eastAsia" w:ascii="Times New Roman" w:hAnsi="Times New Roman" w:eastAsia="宋体" w:cs="Times New Roman"/>
          <w:b w:val="0"/>
          <w:bCs/>
          <w:color w:val="FF0000"/>
          <w:sz w:val="24"/>
          <w:szCs w:val="24"/>
          <w:highlight w:val="none"/>
          <w:lang w:val="en-US" w:eastAsia="zh-CN"/>
        </w:rPr>
        <w:t>350</w:t>
      </w:r>
      <w:r>
        <w:rPr>
          <w:rFonts w:hint="default" w:ascii="Times New Roman" w:hAnsi="Times New Roman" w:eastAsia="宋体" w:cs="Times New Roman"/>
          <w:b w:val="0"/>
          <w:bCs/>
          <w:color w:val="FF0000"/>
          <w:sz w:val="24"/>
          <w:szCs w:val="24"/>
          <w:highlight w:val="none"/>
        </w:rPr>
        <w:t>mg/m</w:t>
      </w:r>
      <w:r>
        <w:rPr>
          <w:rFonts w:hint="default" w:ascii="Times New Roman" w:hAnsi="Times New Roman" w:eastAsia="宋体" w:cs="Times New Roman"/>
          <w:b w:val="0"/>
          <w:bCs/>
          <w:color w:val="FF0000"/>
          <w:sz w:val="24"/>
          <w:szCs w:val="24"/>
          <w:highlight w:val="none"/>
          <w:vertAlign w:val="superscript"/>
        </w:rPr>
        <w:t>3</w:t>
      </w:r>
      <w:r>
        <w:rPr>
          <w:rFonts w:hint="default" w:ascii="Times New Roman" w:hAnsi="Times New Roman" w:eastAsia="宋体" w:cs="Times New Roman"/>
          <w:color w:val="FF0000"/>
          <w:kern w:val="0"/>
          <w:sz w:val="24"/>
          <w:szCs w:val="24"/>
          <w:highlight w:val="none"/>
          <w:lang w:val="en-US" w:eastAsia="zh-CN" w:bidi="ar"/>
        </w:rPr>
        <w:t>。</w:t>
      </w:r>
    </w:p>
    <w:p w14:paraId="27B2708C">
      <w:pPr>
        <w:pStyle w:val="7"/>
        <w:numPr>
          <w:ilvl w:val="3"/>
          <w:numId w:val="3"/>
        </w:numPr>
        <w:bidi w:val="0"/>
        <w:ind w:left="850" w:leftChars="0" w:hanging="850" w:firstLineChars="0"/>
        <w:rPr>
          <w:rFonts w:hint="default"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交通运输移动源废气</w:t>
      </w:r>
      <w:r>
        <w:rPr>
          <w:rFonts w:hint="default" w:ascii="Times New Roman" w:hAnsi="Times New Roman" w:eastAsia="宋体" w:cs="Times New Roman"/>
          <w:color w:val="auto"/>
          <w:highlight w:val="none"/>
        </w:rPr>
        <w:t>分析</w:t>
      </w:r>
    </w:p>
    <w:p w14:paraId="35A4BD71">
      <w:pPr>
        <w:keepNext w:val="0"/>
        <w:keepLines w:val="0"/>
        <w:widowControl/>
        <w:suppressLineNumbers w:val="0"/>
        <w:jc w:val="left"/>
        <w:rPr>
          <w:color w:val="auto"/>
          <w:highlight w:val="none"/>
        </w:rPr>
      </w:pPr>
      <w:r>
        <w:rPr>
          <w:rFonts w:hint="eastAsia" w:ascii="宋体" w:hAnsi="宋体" w:eastAsia="宋体" w:cs="宋体"/>
          <w:color w:val="auto"/>
          <w:kern w:val="0"/>
          <w:sz w:val="24"/>
          <w:szCs w:val="24"/>
          <w:highlight w:val="none"/>
          <w:lang w:val="en-US" w:eastAsia="zh-CN" w:bidi="ar"/>
        </w:rPr>
        <w:t xml:space="preserve">本项目燃煤、飞灰、炉渣采用汽车运输方式，燃料煤运输量 </w:t>
      </w:r>
      <w:r>
        <w:rPr>
          <w:rFonts w:hint="eastAsia" w:ascii="Times New Roman" w:hAnsi="Times New Roman" w:eastAsia="宋体" w:cs="Times New Roman"/>
          <w:color w:val="auto"/>
          <w:kern w:val="0"/>
          <w:sz w:val="24"/>
          <w:szCs w:val="24"/>
          <w:highlight w:val="none"/>
          <w:lang w:val="en-US" w:eastAsia="zh-CN" w:bidi="ar"/>
        </w:rPr>
        <w:t>15616.86t/a，</w:t>
      </w:r>
      <w:r>
        <w:rPr>
          <w:rFonts w:hint="eastAsia" w:ascii="宋体" w:hAnsi="宋体" w:eastAsia="宋体" w:cs="宋体"/>
          <w:color w:val="auto"/>
          <w:kern w:val="0"/>
          <w:sz w:val="24"/>
          <w:szCs w:val="24"/>
          <w:highlight w:val="none"/>
          <w:lang w:val="en-US" w:eastAsia="zh-CN" w:bidi="ar"/>
        </w:rPr>
        <w:t xml:space="preserve">飞灰运输量为 </w:t>
      </w:r>
      <w:r>
        <w:rPr>
          <w:rFonts w:hint="eastAsia" w:ascii="Times New Roman" w:hAnsi="Times New Roman" w:eastAsia="宋体" w:cs="Times New Roman"/>
          <w:color w:val="auto"/>
          <w:kern w:val="0"/>
          <w:sz w:val="24"/>
          <w:szCs w:val="24"/>
          <w:highlight w:val="none"/>
          <w:lang w:val="en-US" w:eastAsia="zh-CN" w:bidi="ar"/>
        </w:rPr>
        <w:t>1227.19</w:t>
      </w:r>
      <w:r>
        <w:rPr>
          <w:rFonts w:hint="default" w:ascii="Times New Roman" w:hAnsi="Times New Roman" w:eastAsia="宋体" w:cs="Times New Roman"/>
          <w:color w:val="auto"/>
          <w:kern w:val="0"/>
          <w:sz w:val="24"/>
          <w:szCs w:val="24"/>
          <w:highlight w:val="none"/>
          <w:lang w:val="en-US" w:eastAsia="zh-CN" w:bidi="ar"/>
        </w:rPr>
        <w:t>t/a</w:t>
      </w:r>
      <w:r>
        <w:rPr>
          <w:rFonts w:hint="eastAsia" w:ascii="宋体" w:hAnsi="宋体" w:eastAsia="宋体" w:cs="宋体"/>
          <w:color w:val="auto"/>
          <w:kern w:val="0"/>
          <w:sz w:val="24"/>
          <w:szCs w:val="24"/>
          <w:highlight w:val="none"/>
          <w:lang w:val="en-US" w:eastAsia="zh-CN" w:bidi="ar"/>
        </w:rPr>
        <w:t>、炉渣运输量为</w:t>
      </w:r>
      <w:r>
        <w:rPr>
          <w:rFonts w:hint="eastAsia" w:ascii="Times New Roman" w:hAnsi="Times New Roman" w:eastAsia="宋体" w:cs="Times New Roman"/>
          <w:color w:val="auto"/>
          <w:kern w:val="0"/>
          <w:sz w:val="24"/>
          <w:szCs w:val="24"/>
          <w:highlight w:val="none"/>
          <w:lang w:val="en-US" w:eastAsia="zh-CN" w:bidi="ar"/>
        </w:rPr>
        <w:t>4908.76</w:t>
      </w:r>
      <w:r>
        <w:rPr>
          <w:rFonts w:hint="default" w:ascii="Times New Roman" w:hAnsi="Times New Roman" w:eastAsia="宋体" w:cs="Times New Roman"/>
          <w:color w:val="auto"/>
          <w:kern w:val="0"/>
          <w:sz w:val="24"/>
          <w:szCs w:val="24"/>
          <w:highlight w:val="none"/>
          <w:lang w:val="en-US" w:eastAsia="zh-CN" w:bidi="ar"/>
        </w:rPr>
        <w:t>t/a</w:t>
      </w:r>
      <w:r>
        <w:rPr>
          <w:rFonts w:hint="eastAsia" w:ascii="宋体" w:hAnsi="宋体" w:eastAsia="宋体" w:cs="宋体"/>
          <w:color w:val="auto"/>
          <w:kern w:val="0"/>
          <w:sz w:val="24"/>
          <w:szCs w:val="24"/>
          <w:highlight w:val="none"/>
          <w:lang w:val="en-US" w:eastAsia="zh-CN" w:bidi="ar"/>
        </w:rPr>
        <w:t>。根 据《道路机动车大气污染物排放清单编制技术指南（试行）》中表</w:t>
      </w:r>
      <w:r>
        <w:rPr>
          <w:rFonts w:hint="default" w:ascii="Times New Roman" w:hAnsi="Times New Roman" w:eastAsia="宋体" w:cs="Times New Roman"/>
          <w:color w:val="auto"/>
          <w:kern w:val="0"/>
          <w:sz w:val="24"/>
          <w:szCs w:val="24"/>
          <w:highlight w:val="none"/>
          <w:lang w:val="en-US" w:eastAsia="zh-CN" w:bidi="ar"/>
        </w:rPr>
        <w:t>6</w:t>
      </w:r>
      <w:r>
        <w:rPr>
          <w:rFonts w:hint="eastAsia" w:ascii="宋体" w:hAnsi="宋体" w:eastAsia="宋体" w:cs="宋体"/>
          <w:color w:val="auto"/>
          <w:kern w:val="0"/>
          <w:sz w:val="24"/>
          <w:szCs w:val="24"/>
          <w:highlight w:val="none"/>
          <w:lang w:val="en-US" w:eastAsia="zh-CN" w:bidi="ar"/>
        </w:rPr>
        <w:t xml:space="preserve">柴油车各车型综合基准排放系数，本项目按照中型柴油车，执行国四排放标准计算。其中 </w:t>
      </w:r>
      <w:r>
        <w:rPr>
          <w:rFonts w:hint="default" w:ascii="Times New Roman" w:hAnsi="Times New Roman" w:eastAsia="宋体" w:cs="Times New Roman"/>
          <w:color w:val="auto"/>
          <w:kern w:val="0"/>
          <w:sz w:val="24"/>
          <w:szCs w:val="24"/>
          <w:highlight w:val="none"/>
          <w:lang w:val="en-US" w:eastAsia="zh-CN" w:bidi="ar"/>
        </w:rPr>
        <w:t>CO</w:t>
      </w: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1.65g/km</w:t>
      </w:r>
      <w:r>
        <w:rPr>
          <w:rFonts w:hint="eastAsia" w:ascii="宋体" w:hAnsi="宋体" w:eastAsia="宋体" w:cs="宋体"/>
          <w:color w:val="auto"/>
          <w:kern w:val="0"/>
          <w:sz w:val="24"/>
          <w:szCs w:val="24"/>
          <w:highlight w:val="none"/>
          <w:lang w:val="en-US" w:eastAsia="zh-CN" w:bidi="ar"/>
        </w:rPr>
        <w:t xml:space="preserve">、 </w:t>
      </w:r>
      <w:r>
        <w:rPr>
          <w:rFonts w:hint="default" w:ascii="Times New Roman" w:hAnsi="Times New Roman" w:eastAsia="宋体" w:cs="Times New Roman"/>
          <w:color w:val="auto"/>
          <w:kern w:val="0"/>
          <w:sz w:val="24"/>
          <w:szCs w:val="24"/>
          <w:highlight w:val="none"/>
          <w:lang w:val="en-US" w:eastAsia="zh-CN" w:bidi="ar"/>
        </w:rPr>
        <w:t>THC</w:t>
      </w: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0.103g/km</w:t>
      </w: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NOx</w:t>
      </w: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4.354g/km</w:t>
      </w:r>
      <w:r>
        <w:rPr>
          <w:rFonts w:hint="eastAsia" w:ascii="宋体" w:hAnsi="宋体" w:eastAsia="宋体" w:cs="宋体"/>
          <w:color w:val="auto"/>
          <w:kern w:val="0"/>
          <w:sz w:val="24"/>
          <w:szCs w:val="24"/>
          <w:highlight w:val="none"/>
          <w:lang w:val="en-US" w:eastAsia="zh-CN" w:bidi="ar"/>
        </w:rPr>
        <w:t>。 本项目燃煤运输采用公路运输，运距约为</w:t>
      </w:r>
      <w:r>
        <w:rPr>
          <w:rFonts w:hint="default" w:ascii="Times New Roman" w:hAnsi="Times New Roman" w:eastAsia="宋体" w:cs="Times New Roman"/>
          <w:color w:val="auto"/>
          <w:kern w:val="0"/>
          <w:sz w:val="24"/>
          <w:szCs w:val="24"/>
          <w:highlight w:val="none"/>
          <w:lang w:val="en-US" w:eastAsia="zh-CN" w:bidi="ar"/>
        </w:rPr>
        <w:t>70</w:t>
      </w:r>
      <w:r>
        <w:rPr>
          <w:rFonts w:hint="eastAsia" w:ascii="Times New Roman" w:hAnsi="Times New Roman" w:eastAsia="宋体" w:cs="Times New Roman"/>
          <w:color w:val="auto"/>
          <w:kern w:val="0"/>
          <w:sz w:val="24"/>
          <w:szCs w:val="24"/>
          <w:highlight w:val="none"/>
          <w:lang w:val="en-US" w:eastAsia="zh-CN" w:bidi="ar"/>
        </w:rPr>
        <w:t>km</w:t>
      </w:r>
      <w:r>
        <w:rPr>
          <w:rFonts w:hint="eastAsia" w:ascii="宋体" w:hAnsi="宋体" w:eastAsia="宋体" w:cs="宋体"/>
          <w:color w:val="auto"/>
          <w:kern w:val="0"/>
          <w:sz w:val="24"/>
          <w:szCs w:val="24"/>
          <w:highlight w:val="none"/>
          <w:lang w:val="en-US" w:eastAsia="zh-CN" w:bidi="ar"/>
        </w:rPr>
        <w:t>。本项目锅炉灰渣运输距离</w:t>
      </w:r>
      <w:r>
        <w:rPr>
          <w:rFonts w:hint="eastAsia" w:ascii="Times New Roman" w:hAnsi="Times New Roman" w:eastAsia="宋体" w:cs="Times New Roman"/>
          <w:color w:val="auto"/>
          <w:kern w:val="0"/>
          <w:sz w:val="24"/>
          <w:szCs w:val="24"/>
          <w:highlight w:val="none"/>
          <w:lang w:val="en-US" w:eastAsia="zh-CN" w:bidi="ar"/>
        </w:rPr>
        <w:t>约25</w:t>
      </w:r>
      <w:r>
        <w:rPr>
          <w:rFonts w:hint="default" w:ascii="Times New Roman" w:hAnsi="Times New Roman" w:eastAsia="宋体" w:cs="Times New Roman"/>
          <w:color w:val="auto"/>
          <w:kern w:val="0"/>
          <w:sz w:val="24"/>
          <w:szCs w:val="24"/>
          <w:highlight w:val="none"/>
          <w:lang w:val="en-US" w:eastAsia="zh-CN" w:bidi="ar"/>
        </w:rPr>
        <w:t>km</w:t>
      </w: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CO</w:t>
      </w: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THC</w:t>
      </w: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 xml:space="preserve">NOx </w:t>
      </w:r>
      <w:r>
        <w:rPr>
          <w:rFonts w:hint="eastAsia" w:ascii="宋体" w:hAnsi="宋体" w:eastAsia="宋体" w:cs="宋体"/>
          <w:color w:val="auto"/>
          <w:kern w:val="0"/>
          <w:sz w:val="24"/>
          <w:szCs w:val="24"/>
          <w:highlight w:val="none"/>
          <w:lang w:val="en-US" w:eastAsia="zh-CN" w:bidi="ar"/>
        </w:rPr>
        <w:t xml:space="preserve">年排放量为 </w:t>
      </w:r>
      <w:r>
        <w:rPr>
          <w:rFonts w:hint="eastAsia" w:ascii="Times New Roman" w:hAnsi="Times New Roman" w:eastAsia="宋体" w:cs="Times New Roman"/>
          <w:color w:val="auto"/>
          <w:kern w:val="0"/>
          <w:sz w:val="24"/>
          <w:szCs w:val="24"/>
          <w:highlight w:val="none"/>
          <w:lang w:val="en-US" w:eastAsia="zh-CN" w:bidi="ar"/>
        </w:rPr>
        <w:t>0.16kg</w:t>
      </w:r>
      <w:r>
        <w:rPr>
          <w:rFonts w:hint="default" w:ascii="Times New Roman" w:hAnsi="Times New Roman" w:eastAsia="宋体" w:cs="Times New Roman"/>
          <w:color w:val="auto"/>
          <w:kern w:val="0"/>
          <w:sz w:val="24"/>
          <w:szCs w:val="24"/>
          <w:highlight w:val="none"/>
          <w:lang w:val="en-US" w:eastAsia="zh-CN" w:bidi="ar"/>
        </w:rPr>
        <w:t>/a</w:t>
      </w: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0.0</w:t>
      </w:r>
      <w:r>
        <w:rPr>
          <w:rFonts w:hint="eastAsia" w:ascii="Times New Roman" w:hAnsi="Times New Roman" w:eastAsia="宋体" w:cs="Times New Roman"/>
          <w:color w:val="auto"/>
          <w:kern w:val="0"/>
          <w:sz w:val="24"/>
          <w:szCs w:val="24"/>
          <w:highlight w:val="none"/>
          <w:lang w:val="en-US" w:eastAsia="zh-CN" w:bidi="ar"/>
        </w:rPr>
        <w:t>1kg</w:t>
      </w:r>
      <w:r>
        <w:rPr>
          <w:rFonts w:hint="default" w:ascii="Times New Roman" w:hAnsi="Times New Roman" w:eastAsia="宋体" w:cs="Times New Roman"/>
          <w:color w:val="auto"/>
          <w:kern w:val="0"/>
          <w:sz w:val="24"/>
          <w:szCs w:val="24"/>
          <w:highlight w:val="none"/>
          <w:lang w:val="en-US" w:eastAsia="zh-CN" w:bidi="ar"/>
        </w:rPr>
        <w:t xml:space="preserve">/a </w:t>
      </w:r>
      <w:r>
        <w:rPr>
          <w:rFonts w:hint="eastAsia" w:ascii="宋体" w:hAnsi="宋体" w:eastAsia="宋体" w:cs="宋体"/>
          <w:color w:val="auto"/>
          <w:kern w:val="0"/>
          <w:sz w:val="24"/>
          <w:szCs w:val="24"/>
          <w:highlight w:val="none"/>
          <w:lang w:val="en-US" w:eastAsia="zh-CN" w:bidi="ar"/>
        </w:rPr>
        <w:t>和</w:t>
      </w:r>
      <w:r>
        <w:rPr>
          <w:rFonts w:hint="default" w:ascii="Times New Roman" w:hAnsi="Times New Roman" w:eastAsia="宋体" w:cs="Times New Roman"/>
          <w:color w:val="auto"/>
          <w:kern w:val="0"/>
          <w:sz w:val="24"/>
          <w:szCs w:val="24"/>
          <w:highlight w:val="none"/>
          <w:lang w:val="en-US" w:eastAsia="zh-CN" w:bidi="ar"/>
        </w:rPr>
        <w:t>0.</w:t>
      </w:r>
      <w:r>
        <w:rPr>
          <w:rFonts w:hint="eastAsia" w:ascii="Times New Roman" w:hAnsi="Times New Roman" w:eastAsia="宋体" w:cs="Times New Roman"/>
          <w:color w:val="auto"/>
          <w:kern w:val="0"/>
          <w:sz w:val="24"/>
          <w:szCs w:val="24"/>
          <w:highlight w:val="none"/>
          <w:lang w:val="en-US" w:eastAsia="zh-CN" w:bidi="ar"/>
        </w:rPr>
        <w:t>41kg</w:t>
      </w:r>
      <w:r>
        <w:rPr>
          <w:rFonts w:hint="default" w:ascii="Times New Roman" w:hAnsi="Times New Roman" w:eastAsia="宋体" w:cs="Times New Roman"/>
          <w:color w:val="auto"/>
          <w:kern w:val="0"/>
          <w:sz w:val="24"/>
          <w:szCs w:val="24"/>
          <w:highlight w:val="none"/>
          <w:lang w:val="en-US" w:eastAsia="zh-CN" w:bidi="ar"/>
        </w:rPr>
        <w:t>/a</w:t>
      </w:r>
      <w:r>
        <w:rPr>
          <w:rFonts w:hint="eastAsia" w:ascii="宋体" w:hAnsi="宋体" w:eastAsia="宋体" w:cs="宋体"/>
          <w:color w:val="auto"/>
          <w:kern w:val="0"/>
          <w:sz w:val="24"/>
          <w:szCs w:val="24"/>
          <w:highlight w:val="none"/>
          <w:lang w:val="en-US" w:eastAsia="zh-CN" w:bidi="ar"/>
        </w:rPr>
        <w:t>。</w:t>
      </w:r>
    </w:p>
    <w:p w14:paraId="203C96F8">
      <w:pPr>
        <w:keepNext w:val="0"/>
        <w:keepLines w:val="0"/>
        <w:widowControl/>
        <w:suppressLineNumbers w:val="0"/>
        <w:ind w:firstLine="720" w:firstLineChars="300"/>
        <w:jc w:val="left"/>
        <w:rPr>
          <w:rFonts w:hint="default" w:ascii="Times New Roman" w:hAnsi="Times New Roman" w:eastAsia="宋体" w:cs="Times New Roman"/>
          <w:color w:val="auto"/>
          <w:kern w:val="0"/>
          <w:sz w:val="24"/>
          <w:szCs w:val="24"/>
          <w:highlight w:val="none"/>
          <w:lang w:val="en-US" w:eastAsia="zh-CN" w:bidi="ar"/>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5E8B211D">
      <w:pPr>
        <w:pStyle w:val="103"/>
        <w:keepNext w:val="0"/>
        <w:keepLines w:val="0"/>
        <w:pageBreakBefore w:val="0"/>
        <w:widowControl w:val="0"/>
        <w:kinsoku/>
        <w:wordWrap/>
        <w:overflowPunct/>
        <w:topLinePunct w:val="0"/>
        <w:autoSpaceDE/>
        <w:autoSpaceDN/>
        <w:bidi w:val="0"/>
        <w:adjustRightInd w:val="0"/>
        <w:snapToGrid w:val="0"/>
        <w:spacing w:line="480" w:lineRule="exact"/>
        <w:jc w:val="center"/>
        <w:textAlignment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表4</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w:t>
      </w:r>
      <w:r>
        <w:rPr>
          <w:rFonts w:hint="eastAsia" w:eastAsia="宋体" w:cs="Times New Roman"/>
          <w:color w:val="auto"/>
          <w:highlight w:val="none"/>
          <w:lang w:val="en-US" w:eastAsia="zh-CN"/>
        </w:rPr>
        <w:t>1</w:t>
      </w:r>
      <w:r>
        <w:rPr>
          <w:rFonts w:hint="default" w:ascii="Times New Roman" w:hAnsi="Times New Roman" w:eastAsia="宋体" w:cs="Times New Roman"/>
          <w:color w:val="auto"/>
          <w:highlight w:val="none"/>
        </w:rPr>
        <w:t xml:space="preserve">  本项目废气污染源源强核算表</w:t>
      </w:r>
    </w:p>
    <w:tbl>
      <w:tblPr>
        <w:tblStyle w:val="37"/>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944"/>
        <w:gridCol w:w="944"/>
        <w:gridCol w:w="862"/>
        <w:gridCol w:w="1204"/>
        <w:gridCol w:w="1143"/>
        <w:gridCol w:w="1142"/>
        <w:gridCol w:w="2553"/>
        <w:gridCol w:w="938"/>
        <w:gridCol w:w="1275"/>
        <w:gridCol w:w="1219"/>
        <w:gridCol w:w="1106"/>
        <w:gridCol w:w="844"/>
      </w:tblGrid>
      <w:tr w14:paraId="40FC954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2" w:hRule="atLeast"/>
          <w:jc w:val="center"/>
        </w:trPr>
        <w:tc>
          <w:tcPr>
            <w:tcW w:w="944" w:type="dxa"/>
            <w:vMerge w:val="restart"/>
            <w:tcBorders>
              <w:tl2br w:val="nil"/>
              <w:tr2bl w:val="nil"/>
            </w:tcBorders>
            <w:shd w:val="clear" w:color="auto" w:fill="FFFFFF"/>
            <w:noWrap w:val="0"/>
            <w:vAlign w:val="center"/>
          </w:tcPr>
          <w:p w14:paraId="38A9DD7E">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装置</w:t>
            </w:r>
          </w:p>
        </w:tc>
        <w:tc>
          <w:tcPr>
            <w:tcW w:w="944" w:type="dxa"/>
            <w:vMerge w:val="restart"/>
            <w:tcBorders>
              <w:tl2br w:val="nil"/>
              <w:tr2bl w:val="nil"/>
            </w:tcBorders>
            <w:shd w:val="clear" w:color="auto" w:fill="FFFFFF"/>
            <w:noWrap w:val="0"/>
            <w:vAlign w:val="center"/>
          </w:tcPr>
          <w:p w14:paraId="731AED9B">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污染</w:t>
            </w:r>
          </w:p>
          <w:p w14:paraId="2393333A">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源</w:t>
            </w:r>
          </w:p>
        </w:tc>
        <w:tc>
          <w:tcPr>
            <w:tcW w:w="862" w:type="dxa"/>
            <w:vMerge w:val="restart"/>
            <w:tcBorders>
              <w:tl2br w:val="nil"/>
              <w:tr2bl w:val="nil"/>
            </w:tcBorders>
            <w:shd w:val="clear" w:color="auto" w:fill="FFFFFF"/>
            <w:noWrap w:val="0"/>
            <w:vAlign w:val="center"/>
          </w:tcPr>
          <w:p w14:paraId="3B7C328C">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污染物</w:t>
            </w:r>
          </w:p>
        </w:tc>
        <w:tc>
          <w:tcPr>
            <w:tcW w:w="3489" w:type="dxa"/>
            <w:gridSpan w:val="3"/>
            <w:tcBorders>
              <w:tl2br w:val="nil"/>
              <w:tr2bl w:val="nil"/>
            </w:tcBorders>
            <w:shd w:val="clear" w:color="auto" w:fill="FFFFFF"/>
            <w:noWrap w:val="0"/>
            <w:vAlign w:val="center"/>
          </w:tcPr>
          <w:p w14:paraId="6309C5F4">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污染物产生情况</w:t>
            </w:r>
          </w:p>
        </w:tc>
        <w:tc>
          <w:tcPr>
            <w:tcW w:w="3491" w:type="dxa"/>
            <w:gridSpan w:val="2"/>
            <w:tcBorders>
              <w:tl2br w:val="nil"/>
              <w:tr2bl w:val="nil"/>
            </w:tcBorders>
            <w:shd w:val="clear" w:color="auto" w:fill="FFFFFF"/>
            <w:noWrap w:val="0"/>
            <w:vAlign w:val="center"/>
          </w:tcPr>
          <w:p w14:paraId="26FE2198">
            <w:pPr>
              <w:pStyle w:val="34"/>
              <w:keepNext w:val="0"/>
              <w:keepLines w:val="0"/>
              <w:pageBreakBefore w:val="0"/>
              <w:widowControl w:val="0"/>
              <w:kinsoku/>
              <w:wordWrap/>
              <w:overflowPunct/>
              <w:topLinePunct w:val="0"/>
              <w:autoSpaceDE/>
              <w:autoSpaceDN/>
              <w:bidi w:val="0"/>
              <w:adjustRightInd/>
              <w:snapToGrid/>
              <w:spacing w:beforeAutospacing="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污染防治措施</w:t>
            </w:r>
          </w:p>
        </w:tc>
        <w:tc>
          <w:tcPr>
            <w:tcW w:w="3600" w:type="dxa"/>
            <w:gridSpan w:val="3"/>
            <w:tcBorders>
              <w:tl2br w:val="nil"/>
              <w:tr2bl w:val="nil"/>
            </w:tcBorders>
            <w:shd w:val="clear" w:color="auto" w:fill="FFFFFF"/>
            <w:noWrap w:val="0"/>
            <w:vAlign w:val="center"/>
          </w:tcPr>
          <w:p w14:paraId="7B817127">
            <w:pPr>
              <w:pStyle w:val="34"/>
              <w:keepNext w:val="0"/>
              <w:keepLines w:val="0"/>
              <w:pageBreakBefore w:val="0"/>
              <w:widowControl w:val="0"/>
              <w:kinsoku/>
              <w:wordWrap/>
              <w:overflowPunct/>
              <w:topLinePunct w:val="0"/>
              <w:autoSpaceDE/>
              <w:autoSpaceDN/>
              <w:bidi w:val="0"/>
              <w:adjustRightInd/>
              <w:snapToGrid/>
              <w:spacing w:beforeAutospacing="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污染物排放情况</w:t>
            </w:r>
          </w:p>
        </w:tc>
        <w:tc>
          <w:tcPr>
            <w:tcW w:w="844" w:type="dxa"/>
            <w:vMerge w:val="restart"/>
            <w:tcBorders>
              <w:tl2br w:val="nil"/>
              <w:tr2bl w:val="nil"/>
            </w:tcBorders>
            <w:shd w:val="clear" w:color="auto" w:fill="FFFFFF"/>
            <w:noWrap w:val="0"/>
            <w:vAlign w:val="center"/>
          </w:tcPr>
          <w:p w14:paraId="58137FF5">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标准</w:t>
            </w:r>
          </w:p>
          <w:p w14:paraId="1702EBAE">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mg/m</w:t>
            </w:r>
            <w:r>
              <w:rPr>
                <w:rFonts w:hint="default" w:ascii="Times New Roman" w:hAnsi="Times New Roman" w:eastAsia="宋体" w:cs="Times New Roman"/>
                <w:bCs/>
                <w:color w:val="auto"/>
                <w:sz w:val="21"/>
                <w:szCs w:val="21"/>
                <w:highlight w:val="none"/>
                <w:vertAlign w:val="superscript"/>
              </w:rPr>
              <w:t>3</w:t>
            </w:r>
          </w:p>
        </w:tc>
      </w:tr>
      <w:tr w14:paraId="7662F35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81" w:hRule="atLeast"/>
          <w:jc w:val="center"/>
        </w:trPr>
        <w:tc>
          <w:tcPr>
            <w:tcW w:w="944" w:type="dxa"/>
            <w:vMerge w:val="continue"/>
            <w:tcBorders>
              <w:tl2br w:val="nil"/>
              <w:tr2bl w:val="nil"/>
            </w:tcBorders>
            <w:shd w:val="clear" w:color="auto" w:fill="FFFFFF"/>
            <w:noWrap w:val="0"/>
            <w:vAlign w:val="center"/>
          </w:tcPr>
          <w:p w14:paraId="248D139B">
            <w:pPr>
              <w:keepNext w:val="0"/>
              <w:keepLines w:val="0"/>
              <w:pageBreakBefore w:val="0"/>
              <w:kinsoku/>
              <w:wordWrap/>
              <w:overflowPunct/>
              <w:topLinePunct w:val="0"/>
              <w:autoSpaceDE/>
              <w:autoSpaceDN/>
              <w:bidi w:val="0"/>
              <w:adjustRightInd/>
              <w:snapToGrid/>
              <w:spacing w:beforeAutospacing="0" w:afterAutospacing="0" w:line="300" w:lineRule="exact"/>
              <w:ind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944" w:type="dxa"/>
            <w:vMerge w:val="continue"/>
            <w:tcBorders>
              <w:tl2br w:val="nil"/>
              <w:tr2bl w:val="nil"/>
            </w:tcBorders>
            <w:shd w:val="clear" w:color="auto" w:fill="FFFFFF"/>
            <w:noWrap w:val="0"/>
            <w:vAlign w:val="center"/>
          </w:tcPr>
          <w:p w14:paraId="3DEFE04B">
            <w:pPr>
              <w:keepNext w:val="0"/>
              <w:keepLines w:val="0"/>
              <w:pageBreakBefore w:val="0"/>
              <w:kinsoku/>
              <w:wordWrap/>
              <w:overflowPunct/>
              <w:topLinePunct w:val="0"/>
              <w:autoSpaceDE/>
              <w:autoSpaceDN/>
              <w:bidi w:val="0"/>
              <w:adjustRightInd/>
              <w:snapToGrid/>
              <w:spacing w:beforeAutospacing="0" w:afterAutospacing="0" w:line="300" w:lineRule="exact"/>
              <w:ind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862" w:type="dxa"/>
            <w:vMerge w:val="continue"/>
            <w:tcBorders>
              <w:tl2br w:val="nil"/>
              <w:tr2bl w:val="nil"/>
            </w:tcBorders>
            <w:shd w:val="clear" w:color="auto" w:fill="FFFFFF"/>
            <w:noWrap w:val="0"/>
            <w:vAlign w:val="center"/>
          </w:tcPr>
          <w:p w14:paraId="5870E7D3">
            <w:pPr>
              <w:keepNext w:val="0"/>
              <w:keepLines w:val="0"/>
              <w:pageBreakBefore w:val="0"/>
              <w:kinsoku/>
              <w:wordWrap/>
              <w:overflowPunct/>
              <w:topLinePunct w:val="0"/>
              <w:autoSpaceDE/>
              <w:autoSpaceDN/>
              <w:bidi w:val="0"/>
              <w:adjustRightInd/>
              <w:snapToGrid/>
              <w:spacing w:beforeAutospacing="0" w:afterAutospacing="0" w:line="300" w:lineRule="exact"/>
              <w:ind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204" w:type="dxa"/>
            <w:tcBorders>
              <w:tl2br w:val="nil"/>
              <w:tr2bl w:val="nil"/>
            </w:tcBorders>
            <w:shd w:val="clear" w:color="auto" w:fill="FFFFFF"/>
            <w:noWrap w:val="0"/>
            <w:vAlign w:val="center"/>
          </w:tcPr>
          <w:p w14:paraId="7F6014FD">
            <w:pPr>
              <w:pStyle w:val="34"/>
              <w:keepNext w:val="0"/>
              <w:keepLines w:val="0"/>
              <w:pageBreakBefore w:val="0"/>
              <w:widowControl w:val="0"/>
              <w:kinsoku/>
              <w:wordWrap/>
              <w:overflowPunct/>
              <w:topLinePunct w:val="0"/>
              <w:autoSpaceDE/>
              <w:autoSpaceDN/>
              <w:bidi w:val="0"/>
              <w:adjustRightInd/>
              <w:snapToGrid/>
              <w:spacing w:beforeAutospacing="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lang w:val="en-US" w:eastAsia="zh-CN"/>
              </w:rPr>
              <w:t>干</w:t>
            </w:r>
            <w:r>
              <w:rPr>
                <w:rFonts w:hint="default" w:ascii="Times New Roman" w:hAnsi="Times New Roman" w:eastAsia="宋体" w:cs="Times New Roman"/>
                <w:bCs/>
                <w:color w:val="auto"/>
                <w:sz w:val="21"/>
                <w:szCs w:val="21"/>
                <w:highlight w:val="none"/>
              </w:rPr>
              <w:t>烟气量</w:t>
            </w:r>
          </w:p>
          <w:p w14:paraId="62ECADFA">
            <w:pPr>
              <w:pStyle w:val="34"/>
              <w:keepNext w:val="0"/>
              <w:keepLines w:val="0"/>
              <w:pageBreakBefore w:val="0"/>
              <w:widowControl w:val="0"/>
              <w:kinsoku/>
              <w:wordWrap/>
              <w:overflowPunct/>
              <w:topLinePunct w:val="0"/>
              <w:autoSpaceDE/>
              <w:autoSpaceDN/>
              <w:bidi w:val="0"/>
              <w:adjustRightInd/>
              <w:snapToGrid/>
              <w:spacing w:beforeAutospacing="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rPr>
              <w:t>N</w:t>
            </w:r>
            <w:r>
              <w:rPr>
                <w:rFonts w:hint="default" w:ascii="Times New Roman" w:hAnsi="Times New Roman" w:eastAsia="宋体" w:cs="Times New Roman"/>
                <w:bCs/>
                <w:color w:val="auto"/>
                <w:sz w:val="21"/>
                <w:szCs w:val="21"/>
                <w:highlight w:val="none"/>
              </w:rPr>
              <w:t>m</w:t>
            </w:r>
            <w:r>
              <w:rPr>
                <w:rFonts w:hint="default" w:ascii="Times New Roman" w:hAnsi="Times New Roman" w:eastAsia="宋体" w:cs="Times New Roman"/>
                <w:bCs/>
                <w:color w:val="auto"/>
                <w:sz w:val="21"/>
                <w:szCs w:val="21"/>
                <w:highlight w:val="none"/>
                <w:vertAlign w:val="superscript"/>
              </w:rPr>
              <w:t>3</w:t>
            </w:r>
            <w:r>
              <w:rPr>
                <w:rFonts w:hint="default" w:ascii="Times New Roman" w:hAnsi="Times New Roman" w:eastAsia="宋体" w:cs="Times New Roman"/>
                <w:bCs/>
                <w:color w:val="auto"/>
                <w:sz w:val="21"/>
                <w:szCs w:val="21"/>
                <w:highlight w:val="none"/>
              </w:rPr>
              <w:t>/h</w:t>
            </w:r>
          </w:p>
        </w:tc>
        <w:tc>
          <w:tcPr>
            <w:tcW w:w="1143" w:type="dxa"/>
            <w:tcBorders>
              <w:tl2br w:val="nil"/>
              <w:tr2bl w:val="nil"/>
            </w:tcBorders>
            <w:shd w:val="clear" w:color="auto" w:fill="FFFFFF"/>
            <w:noWrap w:val="0"/>
            <w:vAlign w:val="center"/>
          </w:tcPr>
          <w:p w14:paraId="49CA26E5">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产生量</w:t>
            </w:r>
          </w:p>
          <w:p w14:paraId="5446BD75">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lang w:val="de-DE"/>
              </w:rPr>
              <w:t>kg/h</w:t>
            </w:r>
          </w:p>
        </w:tc>
        <w:tc>
          <w:tcPr>
            <w:tcW w:w="1142" w:type="dxa"/>
            <w:tcBorders>
              <w:tl2br w:val="nil"/>
              <w:tr2bl w:val="nil"/>
            </w:tcBorders>
            <w:shd w:val="clear" w:color="auto" w:fill="FFFFFF"/>
            <w:noWrap w:val="0"/>
            <w:vAlign w:val="center"/>
          </w:tcPr>
          <w:p w14:paraId="2C6337F1">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产生浓度</w:t>
            </w:r>
          </w:p>
          <w:p w14:paraId="4D8A1A72">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mg/m</w:t>
            </w:r>
            <w:r>
              <w:rPr>
                <w:rFonts w:hint="default" w:ascii="Times New Roman" w:hAnsi="Times New Roman" w:eastAsia="宋体" w:cs="Times New Roman"/>
                <w:bCs/>
                <w:color w:val="auto"/>
                <w:sz w:val="21"/>
                <w:szCs w:val="21"/>
                <w:highlight w:val="none"/>
                <w:vertAlign w:val="superscript"/>
              </w:rPr>
              <w:t>3</w:t>
            </w:r>
          </w:p>
        </w:tc>
        <w:tc>
          <w:tcPr>
            <w:tcW w:w="2553" w:type="dxa"/>
            <w:tcBorders>
              <w:tl2br w:val="nil"/>
              <w:tr2bl w:val="nil"/>
            </w:tcBorders>
            <w:shd w:val="clear" w:color="auto" w:fill="FFFFFF"/>
            <w:noWrap w:val="0"/>
            <w:vAlign w:val="center"/>
          </w:tcPr>
          <w:p w14:paraId="40010B95">
            <w:pPr>
              <w:pStyle w:val="34"/>
              <w:keepNext w:val="0"/>
              <w:keepLines w:val="0"/>
              <w:pageBreakBefore w:val="0"/>
              <w:widowControl w:val="0"/>
              <w:kinsoku/>
              <w:wordWrap/>
              <w:overflowPunct/>
              <w:topLinePunct w:val="0"/>
              <w:autoSpaceDE/>
              <w:autoSpaceDN/>
              <w:bidi w:val="0"/>
              <w:adjustRightInd/>
              <w:snapToGrid/>
              <w:spacing w:beforeAutospacing="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工艺</w:t>
            </w:r>
          </w:p>
        </w:tc>
        <w:tc>
          <w:tcPr>
            <w:tcW w:w="938" w:type="dxa"/>
            <w:tcBorders>
              <w:tl2br w:val="nil"/>
              <w:tr2bl w:val="nil"/>
            </w:tcBorders>
            <w:shd w:val="clear" w:color="auto" w:fill="FFFFFF"/>
            <w:noWrap w:val="0"/>
            <w:vAlign w:val="center"/>
          </w:tcPr>
          <w:p w14:paraId="686A6823">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效率%</w:t>
            </w:r>
          </w:p>
        </w:tc>
        <w:tc>
          <w:tcPr>
            <w:tcW w:w="1275" w:type="dxa"/>
            <w:tcBorders>
              <w:tl2br w:val="nil"/>
              <w:tr2bl w:val="nil"/>
            </w:tcBorders>
            <w:shd w:val="clear" w:color="auto" w:fill="FFFFFF"/>
            <w:noWrap w:val="0"/>
            <w:vAlign w:val="center"/>
          </w:tcPr>
          <w:p w14:paraId="2550E52B">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lang w:val="en-US" w:eastAsia="zh-CN"/>
              </w:rPr>
              <w:t>干</w:t>
            </w:r>
            <w:r>
              <w:rPr>
                <w:rFonts w:hint="default" w:ascii="Times New Roman" w:hAnsi="Times New Roman" w:eastAsia="宋体" w:cs="Times New Roman"/>
                <w:bCs/>
                <w:color w:val="auto"/>
                <w:sz w:val="21"/>
                <w:szCs w:val="21"/>
                <w:highlight w:val="none"/>
              </w:rPr>
              <w:t>烟气量</w:t>
            </w:r>
          </w:p>
          <w:p w14:paraId="024D1DDA">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rPr>
              <w:t>N</w:t>
            </w:r>
            <w:r>
              <w:rPr>
                <w:rFonts w:hint="default" w:ascii="Times New Roman" w:hAnsi="Times New Roman" w:eastAsia="宋体" w:cs="Times New Roman"/>
                <w:bCs/>
                <w:color w:val="auto"/>
                <w:sz w:val="21"/>
                <w:szCs w:val="21"/>
                <w:highlight w:val="none"/>
              </w:rPr>
              <w:t>m</w:t>
            </w:r>
            <w:r>
              <w:rPr>
                <w:rFonts w:hint="default" w:ascii="Times New Roman" w:hAnsi="Times New Roman" w:eastAsia="宋体" w:cs="Times New Roman"/>
                <w:bCs/>
                <w:color w:val="auto"/>
                <w:sz w:val="21"/>
                <w:szCs w:val="21"/>
                <w:highlight w:val="none"/>
                <w:vertAlign w:val="superscript"/>
              </w:rPr>
              <w:t>3</w:t>
            </w:r>
            <w:r>
              <w:rPr>
                <w:rFonts w:hint="default" w:ascii="Times New Roman" w:hAnsi="Times New Roman" w:eastAsia="宋体" w:cs="Times New Roman"/>
                <w:bCs/>
                <w:color w:val="auto"/>
                <w:sz w:val="21"/>
                <w:szCs w:val="21"/>
                <w:highlight w:val="none"/>
              </w:rPr>
              <w:t>/h</w:t>
            </w:r>
          </w:p>
        </w:tc>
        <w:tc>
          <w:tcPr>
            <w:tcW w:w="1219" w:type="dxa"/>
            <w:tcBorders>
              <w:tl2br w:val="nil"/>
              <w:tr2bl w:val="nil"/>
            </w:tcBorders>
            <w:shd w:val="clear" w:color="auto" w:fill="FFFFFF"/>
            <w:noWrap w:val="0"/>
            <w:vAlign w:val="center"/>
          </w:tcPr>
          <w:p w14:paraId="14FE499E">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排放量</w:t>
            </w:r>
          </w:p>
          <w:p w14:paraId="159DD800">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lang w:val="de-DE"/>
              </w:rPr>
              <w:t>kg/h</w:t>
            </w:r>
          </w:p>
        </w:tc>
        <w:tc>
          <w:tcPr>
            <w:tcW w:w="1106" w:type="dxa"/>
            <w:tcBorders>
              <w:tl2br w:val="nil"/>
              <w:tr2bl w:val="nil"/>
            </w:tcBorders>
            <w:shd w:val="clear" w:color="auto" w:fill="FFFFFF"/>
            <w:noWrap w:val="0"/>
            <w:vAlign w:val="center"/>
          </w:tcPr>
          <w:p w14:paraId="010323B7">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排放浓度</w:t>
            </w:r>
          </w:p>
          <w:p w14:paraId="4CB66606">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mg/m</w:t>
            </w:r>
            <w:r>
              <w:rPr>
                <w:rFonts w:hint="default" w:ascii="Times New Roman" w:hAnsi="Times New Roman" w:eastAsia="宋体" w:cs="Times New Roman"/>
                <w:bCs/>
                <w:color w:val="auto"/>
                <w:sz w:val="21"/>
                <w:szCs w:val="21"/>
                <w:highlight w:val="none"/>
                <w:vertAlign w:val="superscript"/>
              </w:rPr>
              <w:t>3</w:t>
            </w:r>
          </w:p>
        </w:tc>
        <w:tc>
          <w:tcPr>
            <w:tcW w:w="844" w:type="dxa"/>
            <w:vMerge w:val="continue"/>
            <w:tcBorders>
              <w:tl2br w:val="nil"/>
              <w:tr2bl w:val="nil"/>
            </w:tcBorders>
            <w:shd w:val="clear" w:color="auto" w:fill="FFFFFF"/>
            <w:noWrap w:val="0"/>
            <w:vAlign w:val="center"/>
          </w:tcPr>
          <w:p w14:paraId="161E3E9A">
            <w:pPr>
              <w:keepNext w:val="0"/>
              <w:keepLines w:val="0"/>
              <w:pageBreakBefore w:val="0"/>
              <w:kinsoku/>
              <w:wordWrap/>
              <w:overflowPunct/>
              <w:topLinePunct w:val="0"/>
              <w:autoSpaceDE/>
              <w:autoSpaceDN/>
              <w:bidi w:val="0"/>
              <w:adjustRightInd/>
              <w:snapToGrid/>
              <w:spacing w:beforeAutospacing="0" w:afterAutospacing="0" w:line="300" w:lineRule="exact"/>
              <w:ind w:firstLine="0" w:firstLineChars="0"/>
              <w:jc w:val="center"/>
              <w:textAlignment w:val="auto"/>
              <w:outlineLvl w:val="9"/>
              <w:rPr>
                <w:rFonts w:hint="default" w:ascii="Times New Roman" w:hAnsi="Times New Roman" w:eastAsia="宋体" w:cs="Times New Roman"/>
                <w:color w:val="auto"/>
                <w:sz w:val="21"/>
                <w:szCs w:val="21"/>
                <w:highlight w:val="none"/>
              </w:rPr>
            </w:pPr>
          </w:p>
        </w:tc>
      </w:tr>
      <w:tr w14:paraId="7E83B7B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67" w:hRule="atLeast"/>
          <w:jc w:val="center"/>
        </w:trPr>
        <w:tc>
          <w:tcPr>
            <w:tcW w:w="944" w:type="dxa"/>
            <w:vMerge w:val="restart"/>
            <w:tcBorders>
              <w:tl2br w:val="nil"/>
              <w:tr2bl w:val="nil"/>
            </w:tcBorders>
            <w:shd w:val="clear" w:color="auto" w:fill="FFFFFF"/>
            <w:noWrap w:val="0"/>
            <w:vAlign w:val="center"/>
          </w:tcPr>
          <w:p w14:paraId="4E779E83">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1台58MW往复炉排热水锅炉</w:t>
            </w:r>
          </w:p>
        </w:tc>
        <w:tc>
          <w:tcPr>
            <w:tcW w:w="944" w:type="dxa"/>
            <w:vMerge w:val="restart"/>
            <w:tcBorders>
              <w:tl2br w:val="nil"/>
              <w:tr2bl w:val="nil"/>
            </w:tcBorders>
            <w:shd w:val="clear" w:color="auto" w:fill="FFFFFF"/>
            <w:noWrap w:val="0"/>
            <w:vAlign w:val="center"/>
          </w:tcPr>
          <w:p w14:paraId="1C3F6C64">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烟囱</w:t>
            </w:r>
            <w:r>
              <w:rPr>
                <w:rFonts w:hint="default" w:ascii="Times New Roman" w:hAnsi="Times New Roman" w:eastAsia="宋体" w:cs="Times New Roman"/>
                <w:bCs/>
                <w:color w:val="auto"/>
                <w:sz w:val="21"/>
                <w:szCs w:val="21"/>
                <w:highlight w:val="none"/>
                <w:lang w:eastAsia="zh-CN"/>
              </w:rPr>
              <w:t>（</w:t>
            </w:r>
            <w:r>
              <w:rPr>
                <w:rFonts w:hint="default" w:ascii="Times New Roman" w:hAnsi="Times New Roman" w:eastAsia="宋体" w:cs="Times New Roman"/>
                <w:bCs/>
                <w:color w:val="auto"/>
                <w:sz w:val="21"/>
                <w:szCs w:val="21"/>
                <w:highlight w:val="none"/>
                <w:lang w:val="en-US" w:eastAsia="zh-CN"/>
              </w:rPr>
              <w:t>正常工况</w:t>
            </w:r>
            <w:r>
              <w:rPr>
                <w:rFonts w:hint="default" w:ascii="Times New Roman" w:hAnsi="Times New Roman" w:eastAsia="宋体" w:cs="Times New Roman"/>
                <w:bCs/>
                <w:color w:val="auto"/>
                <w:sz w:val="21"/>
                <w:szCs w:val="21"/>
                <w:highlight w:val="none"/>
                <w:lang w:eastAsia="zh-CN"/>
              </w:rPr>
              <w:t>）</w:t>
            </w:r>
          </w:p>
        </w:tc>
        <w:tc>
          <w:tcPr>
            <w:tcW w:w="862" w:type="dxa"/>
            <w:tcBorders>
              <w:tl2br w:val="nil"/>
              <w:tr2bl w:val="nil"/>
            </w:tcBorders>
            <w:shd w:val="clear" w:color="auto" w:fill="FFFFFF"/>
            <w:noWrap w:val="0"/>
            <w:vAlign w:val="center"/>
          </w:tcPr>
          <w:p w14:paraId="4A332EA9">
            <w:pPr>
              <w:keepNext w:val="0"/>
              <w:keepLines w:val="0"/>
              <w:pageBreakBefore w:val="0"/>
              <w:kinsoku/>
              <w:wordWrap/>
              <w:overflowPunct/>
              <w:topLinePunct w:val="0"/>
              <w:autoSpaceDE/>
              <w:autoSpaceDN/>
              <w:bidi w:val="0"/>
              <w:adjustRightInd/>
              <w:snapToGrid/>
              <w:spacing w:beforeAutospacing="0" w:afterAutospacing="0" w:line="300" w:lineRule="exact"/>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PM</w:t>
            </w:r>
            <w:r>
              <w:rPr>
                <w:rFonts w:hint="default" w:ascii="Times New Roman" w:hAnsi="Times New Roman" w:eastAsia="宋体" w:cs="Times New Roman"/>
                <w:bCs/>
                <w:color w:val="auto"/>
                <w:sz w:val="21"/>
                <w:szCs w:val="21"/>
                <w:highlight w:val="none"/>
                <w:vertAlign w:val="subscript"/>
              </w:rPr>
              <w:t>10</w:t>
            </w:r>
          </w:p>
        </w:tc>
        <w:tc>
          <w:tcPr>
            <w:tcW w:w="1204" w:type="dxa"/>
            <w:vMerge w:val="restart"/>
            <w:tcBorders>
              <w:tl2br w:val="nil"/>
              <w:tr2bl w:val="nil"/>
            </w:tcBorders>
            <w:shd w:val="clear" w:color="auto" w:fill="FFFFFF"/>
            <w:noWrap w:val="0"/>
            <w:vAlign w:val="center"/>
          </w:tcPr>
          <w:p w14:paraId="348A31B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0" w:firstLineChars="0"/>
              <w:jc w:val="center"/>
              <w:textAlignment w:val="center"/>
              <w:rPr>
                <w:rFonts w:hint="default" w:ascii="宋体" w:hAnsi="宋体" w:eastAsia="宋体" w:cs="宋体"/>
                <w:i w:val="0"/>
                <w:iCs w:val="0"/>
                <w:color w:val="auto"/>
                <w:kern w:val="2"/>
                <w:sz w:val="22"/>
                <w:szCs w:val="22"/>
                <w:highlight w:val="none"/>
                <w:u w:val="none"/>
                <w:lang w:val="en-US" w:eastAsia="zh-CN" w:bidi="ar-SA"/>
              </w:rPr>
            </w:pPr>
            <w:r>
              <w:rPr>
                <w:rFonts w:hint="eastAsia" w:ascii="Times New Roman" w:hAnsi="Times New Roman" w:eastAsia="宋体" w:cs="Times New Roman"/>
                <w:i w:val="0"/>
                <w:iCs w:val="0"/>
                <w:color w:val="auto"/>
                <w:kern w:val="2"/>
                <w:sz w:val="22"/>
                <w:szCs w:val="22"/>
                <w:highlight w:val="none"/>
                <w:u w:val="none"/>
                <w:lang w:val="en-US" w:eastAsia="zh-CN" w:bidi="ar-SA"/>
              </w:rPr>
              <w:t>93818.70</w:t>
            </w:r>
          </w:p>
        </w:tc>
        <w:tc>
          <w:tcPr>
            <w:tcW w:w="1143" w:type="dxa"/>
            <w:tcBorders>
              <w:tl2br w:val="nil"/>
              <w:tr2bl w:val="nil"/>
            </w:tcBorders>
            <w:shd w:val="clear" w:color="auto" w:fill="FFFFFF"/>
            <w:noWrap w:val="0"/>
            <w:vAlign w:val="center"/>
          </w:tcPr>
          <w:p w14:paraId="4FA07EE9">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1178.46</w:t>
            </w:r>
          </w:p>
        </w:tc>
        <w:tc>
          <w:tcPr>
            <w:tcW w:w="1142" w:type="dxa"/>
            <w:tcBorders>
              <w:tl2br w:val="nil"/>
              <w:tr2bl w:val="nil"/>
            </w:tcBorders>
            <w:shd w:val="clear" w:color="auto" w:fill="FFFFFF"/>
            <w:noWrap w:val="0"/>
            <w:vAlign w:val="center"/>
          </w:tcPr>
          <w:p w14:paraId="7034DD42">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12561.06</w:t>
            </w:r>
          </w:p>
        </w:tc>
        <w:tc>
          <w:tcPr>
            <w:tcW w:w="2553" w:type="dxa"/>
            <w:vMerge w:val="restart"/>
            <w:tcBorders>
              <w:tl2br w:val="nil"/>
              <w:tr2bl w:val="nil"/>
            </w:tcBorders>
            <w:shd w:val="clear" w:color="auto" w:fill="FFFFFF"/>
            <w:noWrap w:val="0"/>
            <w:vAlign w:val="center"/>
          </w:tcPr>
          <w:p w14:paraId="4699EDC7">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布袋除尘器99.9%，湿法脱硫协同除尘50%，综合除尘效率99.95%</w:t>
            </w:r>
          </w:p>
        </w:tc>
        <w:tc>
          <w:tcPr>
            <w:tcW w:w="938" w:type="dxa"/>
            <w:vMerge w:val="restart"/>
            <w:tcBorders>
              <w:tl2br w:val="nil"/>
              <w:tr2bl w:val="nil"/>
            </w:tcBorders>
            <w:shd w:val="clear" w:color="auto" w:fill="FFFFFF"/>
            <w:noWrap w:val="0"/>
            <w:vAlign w:val="center"/>
          </w:tcPr>
          <w:p w14:paraId="4DD85D68">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99.9</w:t>
            </w:r>
            <w:r>
              <w:rPr>
                <w:rFonts w:hint="eastAsia" w:ascii="Times New Roman" w:hAnsi="Times New Roman" w:cs="Times New Roman"/>
                <w:bCs/>
                <w:color w:val="auto"/>
                <w:sz w:val="21"/>
                <w:szCs w:val="21"/>
                <w:highlight w:val="none"/>
                <w:lang w:val="en-US" w:eastAsia="zh-CN"/>
              </w:rPr>
              <w:t>5</w:t>
            </w:r>
          </w:p>
        </w:tc>
        <w:tc>
          <w:tcPr>
            <w:tcW w:w="1275" w:type="dxa"/>
            <w:vMerge w:val="restart"/>
            <w:tcBorders>
              <w:tl2br w:val="nil"/>
              <w:tr2bl w:val="nil"/>
            </w:tcBorders>
            <w:shd w:val="clear" w:color="auto" w:fill="FFFFFF"/>
            <w:noWrap w:val="0"/>
            <w:vAlign w:val="center"/>
          </w:tcPr>
          <w:p w14:paraId="5530C081">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93818.70</w:t>
            </w:r>
          </w:p>
        </w:tc>
        <w:tc>
          <w:tcPr>
            <w:tcW w:w="1219" w:type="dxa"/>
            <w:tcBorders>
              <w:tl2br w:val="nil"/>
              <w:tr2bl w:val="nil"/>
            </w:tcBorders>
            <w:shd w:val="clear" w:color="auto" w:fill="FFFFFF"/>
            <w:noWrap w:val="0"/>
            <w:vAlign w:val="center"/>
          </w:tcPr>
          <w:p w14:paraId="6033863A">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0.79</w:t>
            </w:r>
          </w:p>
        </w:tc>
        <w:tc>
          <w:tcPr>
            <w:tcW w:w="1106" w:type="dxa"/>
            <w:tcBorders>
              <w:tl2br w:val="nil"/>
              <w:tr2bl w:val="nil"/>
            </w:tcBorders>
            <w:shd w:val="clear" w:color="auto" w:fill="FFFFFF"/>
            <w:noWrap w:val="0"/>
            <w:vAlign w:val="center"/>
          </w:tcPr>
          <w:p w14:paraId="23502B66">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6.28</w:t>
            </w:r>
          </w:p>
        </w:tc>
        <w:tc>
          <w:tcPr>
            <w:tcW w:w="844" w:type="dxa"/>
            <w:vMerge w:val="restart"/>
            <w:tcBorders>
              <w:tl2br w:val="nil"/>
              <w:tr2bl w:val="nil"/>
            </w:tcBorders>
            <w:shd w:val="clear" w:color="auto" w:fill="FFFFFF"/>
            <w:noWrap w:val="0"/>
            <w:vAlign w:val="center"/>
          </w:tcPr>
          <w:p w14:paraId="0F514F47">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10</w:t>
            </w:r>
          </w:p>
        </w:tc>
      </w:tr>
      <w:tr w14:paraId="492129F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44" w:type="dxa"/>
            <w:vMerge w:val="continue"/>
            <w:tcBorders>
              <w:tl2br w:val="nil"/>
              <w:tr2bl w:val="nil"/>
            </w:tcBorders>
            <w:shd w:val="clear" w:color="auto" w:fill="FFFFFF"/>
            <w:noWrap w:val="0"/>
            <w:vAlign w:val="center"/>
          </w:tcPr>
          <w:p w14:paraId="1AB04B2A">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944" w:type="dxa"/>
            <w:vMerge w:val="continue"/>
            <w:tcBorders>
              <w:tl2br w:val="nil"/>
              <w:tr2bl w:val="nil"/>
            </w:tcBorders>
            <w:shd w:val="clear" w:color="auto" w:fill="FFFFFF"/>
            <w:noWrap w:val="0"/>
            <w:vAlign w:val="center"/>
          </w:tcPr>
          <w:p w14:paraId="2275B9CE">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862" w:type="dxa"/>
            <w:tcBorders>
              <w:tl2br w:val="nil"/>
              <w:tr2bl w:val="nil"/>
            </w:tcBorders>
            <w:shd w:val="clear" w:color="auto" w:fill="FFFFFF"/>
            <w:noWrap w:val="0"/>
            <w:vAlign w:val="center"/>
          </w:tcPr>
          <w:p w14:paraId="27BF7470">
            <w:pPr>
              <w:keepNext w:val="0"/>
              <w:keepLines w:val="0"/>
              <w:pageBreakBefore w:val="0"/>
              <w:kinsoku/>
              <w:wordWrap/>
              <w:overflowPunct/>
              <w:topLinePunct w:val="0"/>
              <w:autoSpaceDE/>
              <w:autoSpaceDN/>
              <w:bidi w:val="0"/>
              <w:adjustRightInd/>
              <w:snapToGrid/>
              <w:spacing w:beforeAutospacing="0" w:afterAutospacing="0" w:line="300" w:lineRule="exact"/>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PM</w:t>
            </w:r>
            <w:r>
              <w:rPr>
                <w:rFonts w:hint="default" w:ascii="Times New Roman" w:hAnsi="Times New Roman" w:eastAsia="宋体" w:cs="Times New Roman"/>
                <w:bCs/>
                <w:color w:val="auto"/>
                <w:sz w:val="21"/>
                <w:szCs w:val="21"/>
                <w:highlight w:val="none"/>
                <w:vertAlign w:val="subscript"/>
              </w:rPr>
              <w:t>2.5</w:t>
            </w:r>
          </w:p>
        </w:tc>
        <w:tc>
          <w:tcPr>
            <w:tcW w:w="1204" w:type="dxa"/>
            <w:vMerge w:val="continue"/>
            <w:tcBorders>
              <w:tl2br w:val="nil"/>
              <w:tr2bl w:val="nil"/>
            </w:tcBorders>
            <w:shd w:val="clear" w:color="auto" w:fill="FFFFFF"/>
            <w:noWrap w:val="0"/>
            <w:vAlign w:val="center"/>
          </w:tcPr>
          <w:p w14:paraId="588F8952">
            <w:pPr>
              <w:keepNext w:val="0"/>
              <w:keepLines w:val="0"/>
              <w:pageBreakBefore w:val="0"/>
              <w:kinsoku/>
              <w:wordWrap/>
              <w:overflowPunct/>
              <w:topLinePunct w:val="0"/>
              <w:autoSpaceDE/>
              <w:autoSpaceDN/>
              <w:bidi w:val="0"/>
              <w:adjustRightInd/>
              <w:snapToGrid/>
              <w:spacing w:beforeAutospacing="0" w:afterAutospacing="0" w:line="300" w:lineRule="exact"/>
              <w:ind w:firstLine="0" w:firstLineChars="0"/>
              <w:textAlignment w:val="auto"/>
              <w:outlineLvl w:val="9"/>
              <w:rPr>
                <w:rFonts w:hint="default" w:ascii="Times New Roman" w:hAnsi="Times New Roman" w:eastAsia="宋体" w:cs="Times New Roman"/>
                <w:bCs/>
                <w:color w:val="auto"/>
                <w:sz w:val="21"/>
                <w:szCs w:val="21"/>
                <w:highlight w:val="none"/>
              </w:rPr>
            </w:pPr>
          </w:p>
        </w:tc>
        <w:tc>
          <w:tcPr>
            <w:tcW w:w="1143" w:type="dxa"/>
            <w:tcBorders>
              <w:tl2br w:val="nil"/>
              <w:tr2bl w:val="nil"/>
            </w:tcBorders>
            <w:shd w:val="clear" w:color="auto" w:fill="FFFFFF"/>
            <w:noWrap w:val="0"/>
            <w:vAlign w:val="center"/>
          </w:tcPr>
          <w:p w14:paraId="30DF3A83">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1023.90</w:t>
            </w:r>
          </w:p>
        </w:tc>
        <w:tc>
          <w:tcPr>
            <w:tcW w:w="1142" w:type="dxa"/>
            <w:tcBorders>
              <w:tl2br w:val="nil"/>
              <w:tr2bl w:val="nil"/>
            </w:tcBorders>
            <w:shd w:val="clear" w:color="auto" w:fill="FFFFFF"/>
            <w:noWrap w:val="0"/>
            <w:vAlign w:val="center"/>
          </w:tcPr>
          <w:p w14:paraId="433CBA77">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8164.69</w:t>
            </w:r>
          </w:p>
        </w:tc>
        <w:tc>
          <w:tcPr>
            <w:tcW w:w="2553" w:type="dxa"/>
            <w:vMerge w:val="continue"/>
            <w:tcBorders>
              <w:tl2br w:val="nil"/>
              <w:tr2bl w:val="nil"/>
            </w:tcBorders>
            <w:shd w:val="clear" w:color="auto" w:fill="FFFFFF"/>
            <w:noWrap w:val="0"/>
            <w:vAlign w:val="center"/>
          </w:tcPr>
          <w:p w14:paraId="08F8901E">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p>
        </w:tc>
        <w:tc>
          <w:tcPr>
            <w:tcW w:w="938" w:type="dxa"/>
            <w:vMerge w:val="continue"/>
            <w:tcBorders>
              <w:tl2br w:val="nil"/>
              <w:tr2bl w:val="nil"/>
            </w:tcBorders>
            <w:shd w:val="clear" w:color="auto" w:fill="FFFFFF"/>
            <w:noWrap w:val="0"/>
            <w:vAlign w:val="center"/>
          </w:tcPr>
          <w:p w14:paraId="31564792">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p>
        </w:tc>
        <w:tc>
          <w:tcPr>
            <w:tcW w:w="1275" w:type="dxa"/>
            <w:vMerge w:val="continue"/>
            <w:tcBorders>
              <w:tl2br w:val="nil"/>
              <w:tr2bl w:val="nil"/>
            </w:tcBorders>
            <w:shd w:val="clear" w:color="auto" w:fill="FFFFFF"/>
            <w:noWrap w:val="0"/>
            <w:vAlign w:val="center"/>
          </w:tcPr>
          <w:p w14:paraId="213E48C4">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p>
        </w:tc>
        <w:tc>
          <w:tcPr>
            <w:tcW w:w="1219" w:type="dxa"/>
            <w:tcBorders>
              <w:tl2br w:val="nil"/>
              <w:tr2bl w:val="nil"/>
            </w:tcBorders>
            <w:shd w:val="clear" w:color="auto" w:fill="FFFFFF"/>
            <w:noWrap w:val="0"/>
            <w:vAlign w:val="center"/>
          </w:tcPr>
          <w:p w14:paraId="5DDA0538">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0.51</w:t>
            </w:r>
          </w:p>
        </w:tc>
        <w:tc>
          <w:tcPr>
            <w:tcW w:w="1106" w:type="dxa"/>
            <w:tcBorders>
              <w:tl2br w:val="nil"/>
              <w:tr2bl w:val="nil"/>
            </w:tcBorders>
            <w:shd w:val="clear" w:color="auto" w:fill="FFFFFF"/>
            <w:noWrap w:val="0"/>
            <w:vAlign w:val="center"/>
          </w:tcPr>
          <w:p w14:paraId="10677D66">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4.08</w:t>
            </w:r>
          </w:p>
        </w:tc>
        <w:tc>
          <w:tcPr>
            <w:tcW w:w="844" w:type="dxa"/>
            <w:vMerge w:val="continue"/>
            <w:tcBorders>
              <w:tl2br w:val="nil"/>
              <w:tr2bl w:val="nil"/>
            </w:tcBorders>
            <w:shd w:val="clear" w:color="auto" w:fill="FFFFFF"/>
            <w:noWrap w:val="0"/>
            <w:vAlign w:val="center"/>
          </w:tcPr>
          <w:p w14:paraId="0F59E103">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p>
        </w:tc>
      </w:tr>
      <w:tr w14:paraId="5B8842B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44" w:type="dxa"/>
            <w:vMerge w:val="continue"/>
            <w:tcBorders>
              <w:tl2br w:val="nil"/>
              <w:tr2bl w:val="nil"/>
            </w:tcBorders>
            <w:shd w:val="clear" w:color="auto" w:fill="FFFFFF"/>
            <w:noWrap w:val="0"/>
            <w:vAlign w:val="center"/>
          </w:tcPr>
          <w:p w14:paraId="3A1F4C69">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p>
        </w:tc>
        <w:tc>
          <w:tcPr>
            <w:tcW w:w="944" w:type="dxa"/>
            <w:vMerge w:val="continue"/>
            <w:tcBorders>
              <w:tl2br w:val="nil"/>
              <w:tr2bl w:val="nil"/>
            </w:tcBorders>
            <w:shd w:val="clear" w:color="auto" w:fill="FFFFFF"/>
            <w:noWrap w:val="0"/>
            <w:vAlign w:val="center"/>
          </w:tcPr>
          <w:p w14:paraId="547F166B">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p>
        </w:tc>
        <w:tc>
          <w:tcPr>
            <w:tcW w:w="862" w:type="dxa"/>
            <w:tcBorders>
              <w:tl2br w:val="nil"/>
              <w:tr2bl w:val="nil"/>
            </w:tcBorders>
            <w:shd w:val="clear" w:color="auto" w:fill="FFFFFF"/>
            <w:noWrap w:val="0"/>
            <w:vAlign w:val="center"/>
          </w:tcPr>
          <w:p w14:paraId="62E48960">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SO</w:t>
            </w:r>
            <w:r>
              <w:rPr>
                <w:rFonts w:hint="default" w:ascii="Times New Roman" w:hAnsi="Times New Roman" w:eastAsia="宋体" w:cs="Times New Roman"/>
                <w:bCs/>
                <w:color w:val="auto"/>
                <w:sz w:val="21"/>
                <w:szCs w:val="21"/>
                <w:highlight w:val="none"/>
                <w:vertAlign w:val="subscript"/>
              </w:rPr>
              <w:t>2</w:t>
            </w:r>
          </w:p>
        </w:tc>
        <w:tc>
          <w:tcPr>
            <w:tcW w:w="1204" w:type="dxa"/>
            <w:vMerge w:val="continue"/>
            <w:tcBorders>
              <w:tl2br w:val="nil"/>
              <w:tr2bl w:val="nil"/>
            </w:tcBorders>
            <w:shd w:val="clear" w:color="auto" w:fill="FFFFFF"/>
            <w:noWrap w:val="0"/>
            <w:vAlign w:val="center"/>
          </w:tcPr>
          <w:p w14:paraId="05620C33">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p>
        </w:tc>
        <w:tc>
          <w:tcPr>
            <w:tcW w:w="1143" w:type="dxa"/>
            <w:tcBorders>
              <w:tl2br w:val="nil"/>
              <w:tr2bl w:val="nil"/>
            </w:tcBorders>
            <w:shd w:val="clear" w:color="auto" w:fill="FFFFFF"/>
            <w:noWrap w:val="0"/>
            <w:vAlign w:val="center"/>
          </w:tcPr>
          <w:p w14:paraId="0B1068A7">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49.62</w:t>
            </w:r>
          </w:p>
        </w:tc>
        <w:tc>
          <w:tcPr>
            <w:tcW w:w="1142" w:type="dxa"/>
            <w:tcBorders>
              <w:tl2br w:val="nil"/>
              <w:tr2bl w:val="nil"/>
            </w:tcBorders>
            <w:shd w:val="clear" w:color="auto" w:fill="FFFFFF"/>
            <w:noWrap w:val="0"/>
            <w:vAlign w:val="center"/>
          </w:tcPr>
          <w:p w14:paraId="128E7D41">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528.85</w:t>
            </w:r>
          </w:p>
        </w:tc>
        <w:tc>
          <w:tcPr>
            <w:tcW w:w="2553" w:type="dxa"/>
            <w:tcBorders>
              <w:tl2br w:val="nil"/>
              <w:tr2bl w:val="nil"/>
            </w:tcBorders>
            <w:shd w:val="clear" w:color="auto" w:fill="FFFFFF"/>
            <w:noWrap w:val="0"/>
            <w:vAlign w:val="center"/>
          </w:tcPr>
          <w:p w14:paraId="2C24845A">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炉内喷钙+氨法脱硫</w:t>
            </w:r>
          </w:p>
        </w:tc>
        <w:tc>
          <w:tcPr>
            <w:tcW w:w="938" w:type="dxa"/>
            <w:tcBorders>
              <w:tl2br w:val="nil"/>
              <w:tr2bl w:val="nil"/>
            </w:tcBorders>
            <w:shd w:val="clear" w:color="auto" w:fill="FFFFFF"/>
            <w:noWrap w:val="0"/>
            <w:vAlign w:val="center"/>
          </w:tcPr>
          <w:p w14:paraId="2FB95A4F">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95</w:t>
            </w:r>
          </w:p>
        </w:tc>
        <w:tc>
          <w:tcPr>
            <w:tcW w:w="1275" w:type="dxa"/>
            <w:vMerge w:val="continue"/>
            <w:tcBorders>
              <w:tl2br w:val="nil"/>
              <w:tr2bl w:val="nil"/>
            </w:tcBorders>
            <w:shd w:val="clear" w:color="auto" w:fill="FFFFFF"/>
            <w:noWrap w:val="0"/>
            <w:vAlign w:val="center"/>
          </w:tcPr>
          <w:p w14:paraId="3721E2DB">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p>
        </w:tc>
        <w:tc>
          <w:tcPr>
            <w:tcW w:w="1219" w:type="dxa"/>
            <w:tcBorders>
              <w:tl2br w:val="nil"/>
              <w:tr2bl w:val="nil"/>
            </w:tcBorders>
            <w:shd w:val="clear" w:color="auto" w:fill="FFFFFF"/>
            <w:noWrap w:val="0"/>
            <w:vAlign w:val="center"/>
          </w:tcPr>
          <w:p w14:paraId="289FAFBA">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2.48</w:t>
            </w:r>
          </w:p>
        </w:tc>
        <w:tc>
          <w:tcPr>
            <w:tcW w:w="1106" w:type="dxa"/>
            <w:tcBorders>
              <w:tl2br w:val="nil"/>
              <w:tr2bl w:val="nil"/>
            </w:tcBorders>
            <w:shd w:val="clear" w:color="auto" w:fill="FFFFFF"/>
            <w:noWrap w:val="0"/>
            <w:vAlign w:val="center"/>
          </w:tcPr>
          <w:p w14:paraId="259AF740">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26.44</w:t>
            </w:r>
          </w:p>
        </w:tc>
        <w:tc>
          <w:tcPr>
            <w:tcW w:w="844" w:type="dxa"/>
            <w:tcBorders>
              <w:tl2br w:val="nil"/>
              <w:tr2bl w:val="nil"/>
            </w:tcBorders>
            <w:shd w:val="clear" w:color="auto" w:fill="FFFFFF"/>
            <w:noWrap w:val="0"/>
            <w:vAlign w:val="center"/>
          </w:tcPr>
          <w:p w14:paraId="127930CF">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35</w:t>
            </w:r>
          </w:p>
        </w:tc>
      </w:tr>
      <w:tr w14:paraId="671BFFB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44" w:type="dxa"/>
            <w:vMerge w:val="continue"/>
            <w:tcBorders>
              <w:tl2br w:val="nil"/>
              <w:tr2bl w:val="nil"/>
            </w:tcBorders>
            <w:shd w:val="clear" w:color="auto" w:fill="FFFFFF"/>
            <w:noWrap w:val="0"/>
            <w:vAlign w:val="center"/>
          </w:tcPr>
          <w:p w14:paraId="44C52BFB">
            <w:pPr>
              <w:keepNext w:val="0"/>
              <w:keepLines w:val="0"/>
              <w:pageBreakBefore w:val="0"/>
              <w:kinsoku/>
              <w:wordWrap/>
              <w:overflowPunct/>
              <w:topLinePunct w:val="0"/>
              <w:autoSpaceDE/>
              <w:autoSpaceDN/>
              <w:bidi w:val="0"/>
              <w:adjustRightInd/>
              <w:snapToGrid/>
              <w:spacing w:beforeAutospacing="0" w:afterAutospacing="0" w:line="300" w:lineRule="exact"/>
              <w:ind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944" w:type="dxa"/>
            <w:vMerge w:val="continue"/>
            <w:tcBorders>
              <w:tl2br w:val="nil"/>
              <w:tr2bl w:val="nil"/>
            </w:tcBorders>
            <w:shd w:val="clear" w:color="auto" w:fill="FFFFFF"/>
            <w:noWrap w:val="0"/>
            <w:vAlign w:val="center"/>
          </w:tcPr>
          <w:p w14:paraId="730F05E9">
            <w:pPr>
              <w:keepNext w:val="0"/>
              <w:keepLines w:val="0"/>
              <w:pageBreakBefore w:val="0"/>
              <w:kinsoku/>
              <w:wordWrap/>
              <w:overflowPunct/>
              <w:topLinePunct w:val="0"/>
              <w:autoSpaceDE/>
              <w:autoSpaceDN/>
              <w:bidi w:val="0"/>
              <w:adjustRightInd/>
              <w:snapToGrid/>
              <w:spacing w:beforeAutospacing="0" w:afterAutospacing="0" w:line="300" w:lineRule="exact"/>
              <w:ind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862" w:type="dxa"/>
            <w:tcBorders>
              <w:tl2br w:val="nil"/>
              <w:tr2bl w:val="nil"/>
            </w:tcBorders>
            <w:shd w:val="clear" w:color="auto" w:fill="FFFFFF"/>
            <w:noWrap w:val="0"/>
            <w:vAlign w:val="center"/>
          </w:tcPr>
          <w:p w14:paraId="3C516B82">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NOx</w:t>
            </w:r>
          </w:p>
        </w:tc>
        <w:tc>
          <w:tcPr>
            <w:tcW w:w="1204" w:type="dxa"/>
            <w:vMerge w:val="continue"/>
            <w:tcBorders>
              <w:tl2br w:val="nil"/>
              <w:tr2bl w:val="nil"/>
            </w:tcBorders>
            <w:shd w:val="clear" w:color="auto" w:fill="FFFFFF"/>
            <w:noWrap w:val="0"/>
            <w:vAlign w:val="center"/>
          </w:tcPr>
          <w:p w14:paraId="23C36D60">
            <w:pPr>
              <w:pStyle w:val="34"/>
              <w:keepNext w:val="0"/>
              <w:keepLines w:val="0"/>
              <w:pageBreakBefore w:val="0"/>
              <w:kinsoku/>
              <w:wordWrap/>
              <w:overflowPunct/>
              <w:topLinePunct w:val="0"/>
              <w:autoSpaceDE/>
              <w:autoSpaceDN/>
              <w:bidi w:val="0"/>
              <w:adjustRightInd/>
              <w:snapToGrid/>
              <w:spacing w:beforeAutospacing="0" w:afterAutospacing="0" w:line="300" w:lineRule="exact"/>
              <w:ind w:firstLine="0" w:firstLineChars="0"/>
              <w:textAlignment w:val="auto"/>
              <w:outlineLvl w:val="9"/>
              <w:rPr>
                <w:rFonts w:hint="default" w:ascii="Times New Roman" w:hAnsi="Times New Roman" w:eastAsia="宋体" w:cs="Times New Roman"/>
                <w:color w:val="auto"/>
                <w:sz w:val="21"/>
                <w:szCs w:val="21"/>
                <w:highlight w:val="none"/>
              </w:rPr>
            </w:pPr>
          </w:p>
        </w:tc>
        <w:tc>
          <w:tcPr>
            <w:tcW w:w="1143" w:type="dxa"/>
            <w:tcBorders>
              <w:tl2br w:val="nil"/>
              <w:tr2bl w:val="nil"/>
            </w:tcBorders>
            <w:shd w:val="clear" w:color="auto" w:fill="FFFFFF"/>
            <w:noWrap w:val="0"/>
            <w:vAlign w:val="center"/>
          </w:tcPr>
          <w:p w14:paraId="0CFB6C0B">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32.84</w:t>
            </w:r>
          </w:p>
        </w:tc>
        <w:tc>
          <w:tcPr>
            <w:tcW w:w="1142" w:type="dxa"/>
            <w:tcBorders>
              <w:tl2br w:val="nil"/>
              <w:tr2bl w:val="nil"/>
            </w:tcBorders>
            <w:shd w:val="clear" w:color="auto" w:fill="FFFFFF"/>
            <w:noWrap w:val="0"/>
            <w:vAlign w:val="center"/>
          </w:tcPr>
          <w:p w14:paraId="59DFEE8F">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350</w:t>
            </w:r>
          </w:p>
        </w:tc>
        <w:tc>
          <w:tcPr>
            <w:tcW w:w="2553" w:type="dxa"/>
            <w:tcBorders>
              <w:tl2br w:val="nil"/>
              <w:tr2bl w:val="nil"/>
            </w:tcBorders>
            <w:shd w:val="clear" w:color="auto" w:fill="FFFFFF"/>
            <w:noWrap w:val="0"/>
            <w:vAlign w:val="center"/>
          </w:tcPr>
          <w:p w14:paraId="4C4CD11C">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S</w:t>
            </w:r>
            <w:r>
              <w:rPr>
                <w:rFonts w:hint="eastAsia" w:ascii="Times New Roman" w:hAnsi="Times New Roman" w:cs="Times New Roman"/>
                <w:bCs/>
                <w:color w:val="auto"/>
                <w:sz w:val="21"/>
                <w:szCs w:val="21"/>
                <w:highlight w:val="none"/>
                <w:lang w:val="en-US" w:eastAsia="zh-CN"/>
              </w:rPr>
              <w:t>N</w:t>
            </w:r>
            <w:r>
              <w:rPr>
                <w:rFonts w:hint="default" w:ascii="Times New Roman" w:hAnsi="Times New Roman" w:eastAsia="宋体" w:cs="Times New Roman"/>
                <w:bCs/>
                <w:color w:val="auto"/>
                <w:sz w:val="21"/>
                <w:szCs w:val="21"/>
                <w:highlight w:val="none"/>
                <w:lang w:val="en-US" w:eastAsia="zh-CN"/>
              </w:rPr>
              <w:t>CR</w:t>
            </w:r>
            <w:r>
              <w:rPr>
                <w:rFonts w:hint="eastAsia" w:ascii="Times New Roman" w:hAnsi="Times New Roman" w:cs="Times New Roman"/>
                <w:bCs/>
                <w:color w:val="auto"/>
                <w:sz w:val="21"/>
                <w:szCs w:val="21"/>
                <w:highlight w:val="none"/>
                <w:lang w:val="en-US" w:eastAsia="zh-CN"/>
              </w:rPr>
              <w:t>+亚氯酸钠脱硝</w:t>
            </w:r>
          </w:p>
        </w:tc>
        <w:tc>
          <w:tcPr>
            <w:tcW w:w="938" w:type="dxa"/>
            <w:tcBorders>
              <w:tl2br w:val="nil"/>
              <w:tr2bl w:val="nil"/>
            </w:tcBorders>
            <w:shd w:val="clear" w:color="auto" w:fill="FFFFFF"/>
            <w:noWrap w:val="0"/>
            <w:vAlign w:val="center"/>
          </w:tcPr>
          <w:p w14:paraId="63003426">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88</w:t>
            </w:r>
          </w:p>
        </w:tc>
        <w:tc>
          <w:tcPr>
            <w:tcW w:w="1275" w:type="dxa"/>
            <w:vMerge w:val="continue"/>
            <w:tcBorders>
              <w:tl2br w:val="nil"/>
              <w:tr2bl w:val="nil"/>
            </w:tcBorders>
            <w:shd w:val="clear" w:color="auto" w:fill="FFFFFF"/>
            <w:noWrap w:val="0"/>
            <w:vAlign w:val="center"/>
          </w:tcPr>
          <w:p w14:paraId="49EE363F">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p>
        </w:tc>
        <w:tc>
          <w:tcPr>
            <w:tcW w:w="1219" w:type="dxa"/>
            <w:tcBorders>
              <w:tl2br w:val="nil"/>
              <w:tr2bl w:val="nil"/>
            </w:tcBorders>
            <w:shd w:val="clear" w:color="auto" w:fill="FFFFFF"/>
            <w:noWrap w:val="0"/>
            <w:vAlign w:val="center"/>
          </w:tcPr>
          <w:p w14:paraId="29EEBE40">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3.94</w:t>
            </w:r>
          </w:p>
        </w:tc>
        <w:tc>
          <w:tcPr>
            <w:tcW w:w="1106" w:type="dxa"/>
            <w:tcBorders>
              <w:tl2br w:val="nil"/>
              <w:tr2bl w:val="nil"/>
            </w:tcBorders>
            <w:shd w:val="clear" w:color="auto" w:fill="FFFFFF"/>
            <w:noWrap w:val="0"/>
            <w:vAlign w:val="center"/>
          </w:tcPr>
          <w:p w14:paraId="5CF8E18C">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42</w:t>
            </w:r>
          </w:p>
        </w:tc>
        <w:tc>
          <w:tcPr>
            <w:tcW w:w="844" w:type="dxa"/>
            <w:tcBorders>
              <w:tl2br w:val="nil"/>
              <w:tr2bl w:val="nil"/>
            </w:tcBorders>
            <w:shd w:val="clear" w:color="auto" w:fill="FFFFFF"/>
            <w:noWrap w:val="0"/>
            <w:vAlign w:val="center"/>
          </w:tcPr>
          <w:p w14:paraId="331C8910">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50</w:t>
            </w:r>
          </w:p>
        </w:tc>
      </w:tr>
      <w:tr w14:paraId="70F3B72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44" w:type="dxa"/>
            <w:vMerge w:val="continue"/>
            <w:tcBorders>
              <w:tl2br w:val="nil"/>
              <w:tr2bl w:val="nil"/>
            </w:tcBorders>
            <w:shd w:val="clear" w:color="auto" w:fill="FFFFFF"/>
            <w:noWrap w:val="0"/>
            <w:vAlign w:val="center"/>
          </w:tcPr>
          <w:p w14:paraId="596B4306">
            <w:pPr>
              <w:keepNext w:val="0"/>
              <w:keepLines w:val="0"/>
              <w:pageBreakBefore w:val="0"/>
              <w:kinsoku/>
              <w:wordWrap/>
              <w:overflowPunct/>
              <w:topLinePunct w:val="0"/>
              <w:autoSpaceDE/>
              <w:autoSpaceDN/>
              <w:bidi w:val="0"/>
              <w:adjustRightInd/>
              <w:snapToGrid/>
              <w:spacing w:beforeAutospacing="0" w:afterAutospacing="0" w:line="300" w:lineRule="exact"/>
              <w:ind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944" w:type="dxa"/>
            <w:vMerge w:val="continue"/>
            <w:tcBorders>
              <w:tl2br w:val="nil"/>
              <w:tr2bl w:val="nil"/>
            </w:tcBorders>
            <w:shd w:val="clear" w:color="auto" w:fill="FFFFFF"/>
            <w:noWrap w:val="0"/>
            <w:vAlign w:val="center"/>
          </w:tcPr>
          <w:p w14:paraId="40F1EE9B">
            <w:pPr>
              <w:keepNext w:val="0"/>
              <w:keepLines w:val="0"/>
              <w:pageBreakBefore w:val="0"/>
              <w:kinsoku/>
              <w:wordWrap/>
              <w:overflowPunct/>
              <w:topLinePunct w:val="0"/>
              <w:autoSpaceDE/>
              <w:autoSpaceDN/>
              <w:bidi w:val="0"/>
              <w:adjustRightInd/>
              <w:snapToGrid/>
              <w:spacing w:beforeAutospacing="0" w:afterAutospacing="0" w:line="300" w:lineRule="exact"/>
              <w:ind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862" w:type="dxa"/>
            <w:tcBorders>
              <w:tl2br w:val="nil"/>
              <w:tr2bl w:val="nil"/>
            </w:tcBorders>
            <w:shd w:val="clear" w:color="auto" w:fill="FFFFFF"/>
            <w:noWrap w:val="0"/>
            <w:vAlign w:val="center"/>
          </w:tcPr>
          <w:p w14:paraId="22D99D6A">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rPr>
              <w:t>汞及其化合物</w:t>
            </w:r>
          </w:p>
        </w:tc>
        <w:tc>
          <w:tcPr>
            <w:tcW w:w="1204" w:type="dxa"/>
            <w:vMerge w:val="continue"/>
            <w:tcBorders>
              <w:tl2br w:val="nil"/>
              <w:tr2bl w:val="nil"/>
            </w:tcBorders>
            <w:shd w:val="clear" w:color="auto" w:fill="FFFFFF"/>
            <w:noWrap w:val="0"/>
            <w:vAlign w:val="center"/>
          </w:tcPr>
          <w:p w14:paraId="485083EB">
            <w:pPr>
              <w:keepNext w:val="0"/>
              <w:keepLines w:val="0"/>
              <w:pageBreakBefore w:val="0"/>
              <w:kinsoku/>
              <w:wordWrap/>
              <w:overflowPunct/>
              <w:topLinePunct w:val="0"/>
              <w:autoSpaceDE/>
              <w:autoSpaceDN/>
              <w:bidi w:val="0"/>
              <w:adjustRightInd/>
              <w:snapToGrid/>
              <w:spacing w:beforeAutospacing="0" w:afterAutospacing="0" w:line="300" w:lineRule="exact"/>
              <w:ind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143" w:type="dxa"/>
            <w:tcBorders>
              <w:tl2br w:val="nil"/>
              <w:tr2bl w:val="nil"/>
            </w:tcBorders>
            <w:shd w:val="clear" w:color="auto" w:fill="FFFFFF"/>
            <w:noWrap w:val="0"/>
            <w:vAlign w:val="center"/>
          </w:tcPr>
          <w:p w14:paraId="062A0852">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0.003</w:t>
            </w:r>
          </w:p>
        </w:tc>
        <w:tc>
          <w:tcPr>
            <w:tcW w:w="1142" w:type="dxa"/>
            <w:tcBorders>
              <w:tl2br w:val="nil"/>
              <w:tr2bl w:val="nil"/>
            </w:tcBorders>
            <w:shd w:val="clear" w:color="auto" w:fill="FFFFFF"/>
            <w:noWrap w:val="0"/>
            <w:vAlign w:val="center"/>
          </w:tcPr>
          <w:p w14:paraId="661CEB4F">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0.021</w:t>
            </w:r>
          </w:p>
        </w:tc>
        <w:tc>
          <w:tcPr>
            <w:tcW w:w="2553" w:type="dxa"/>
            <w:tcBorders>
              <w:tl2br w:val="nil"/>
              <w:tr2bl w:val="nil"/>
            </w:tcBorders>
            <w:shd w:val="clear" w:color="auto" w:fill="FFFFFF"/>
            <w:noWrap w:val="0"/>
            <w:vAlign w:val="center"/>
          </w:tcPr>
          <w:p w14:paraId="40D75868">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协同去除</w:t>
            </w:r>
          </w:p>
        </w:tc>
        <w:tc>
          <w:tcPr>
            <w:tcW w:w="938" w:type="dxa"/>
            <w:tcBorders>
              <w:tl2br w:val="nil"/>
              <w:tr2bl w:val="nil"/>
            </w:tcBorders>
            <w:shd w:val="clear" w:color="auto" w:fill="FFFFFF"/>
            <w:noWrap w:val="0"/>
            <w:vAlign w:val="center"/>
          </w:tcPr>
          <w:p w14:paraId="7C185784">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7</w:t>
            </w:r>
            <w:r>
              <w:rPr>
                <w:rFonts w:hint="default" w:ascii="Times New Roman" w:hAnsi="Times New Roman" w:eastAsia="宋体" w:cs="Times New Roman"/>
                <w:bCs/>
                <w:color w:val="auto"/>
                <w:sz w:val="21"/>
                <w:szCs w:val="21"/>
                <w:highlight w:val="none"/>
                <w:lang w:val="en-US" w:eastAsia="zh-CN"/>
              </w:rPr>
              <w:t>0</w:t>
            </w:r>
          </w:p>
        </w:tc>
        <w:tc>
          <w:tcPr>
            <w:tcW w:w="1275" w:type="dxa"/>
            <w:vMerge w:val="continue"/>
            <w:tcBorders>
              <w:tl2br w:val="nil"/>
              <w:tr2bl w:val="nil"/>
            </w:tcBorders>
            <w:shd w:val="clear" w:color="auto" w:fill="FFFFFF"/>
            <w:noWrap w:val="0"/>
            <w:vAlign w:val="center"/>
          </w:tcPr>
          <w:p w14:paraId="5B0BA6D9">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p>
        </w:tc>
        <w:tc>
          <w:tcPr>
            <w:tcW w:w="1219" w:type="dxa"/>
            <w:tcBorders>
              <w:tl2br w:val="nil"/>
              <w:tr2bl w:val="nil"/>
            </w:tcBorders>
            <w:shd w:val="clear" w:color="auto" w:fill="FFFFFF"/>
            <w:noWrap w:val="0"/>
            <w:vAlign w:val="center"/>
          </w:tcPr>
          <w:p w14:paraId="466A0016">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0.0006</w:t>
            </w:r>
          </w:p>
        </w:tc>
        <w:tc>
          <w:tcPr>
            <w:tcW w:w="1106" w:type="dxa"/>
            <w:tcBorders>
              <w:tl2br w:val="nil"/>
              <w:tr2bl w:val="nil"/>
            </w:tcBorders>
            <w:shd w:val="clear" w:color="auto" w:fill="FFFFFF"/>
            <w:noWrap w:val="0"/>
            <w:vAlign w:val="center"/>
          </w:tcPr>
          <w:p w14:paraId="39039A20">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0.006</w:t>
            </w:r>
          </w:p>
        </w:tc>
        <w:tc>
          <w:tcPr>
            <w:tcW w:w="844" w:type="dxa"/>
            <w:tcBorders>
              <w:tl2br w:val="nil"/>
              <w:tr2bl w:val="nil"/>
            </w:tcBorders>
            <w:shd w:val="clear" w:color="auto" w:fill="FFFFFF"/>
            <w:noWrap w:val="0"/>
            <w:vAlign w:val="center"/>
          </w:tcPr>
          <w:p w14:paraId="04D0ABA6">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0.0</w:t>
            </w:r>
            <w:r>
              <w:rPr>
                <w:rFonts w:hint="eastAsia" w:ascii="Times New Roman" w:hAnsi="Times New Roman" w:cs="Times New Roman"/>
                <w:bCs/>
                <w:color w:val="auto"/>
                <w:sz w:val="21"/>
                <w:szCs w:val="21"/>
                <w:highlight w:val="none"/>
                <w:lang w:val="en-US" w:eastAsia="zh-CN"/>
              </w:rPr>
              <w:t>5</w:t>
            </w:r>
          </w:p>
        </w:tc>
      </w:tr>
      <w:tr w14:paraId="2E89A02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44" w:type="dxa"/>
            <w:vMerge w:val="continue"/>
            <w:tcBorders>
              <w:tl2br w:val="nil"/>
              <w:tr2bl w:val="nil"/>
            </w:tcBorders>
            <w:shd w:val="clear" w:color="auto" w:fill="FFFFFF"/>
            <w:noWrap w:val="0"/>
            <w:vAlign w:val="center"/>
          </w:tcPr>
          <w:p w14:paraId="270B10D4">
            <w:pPr>
              <w:keepNext w:val="0"/>
              <w:keepLines w:val="0"/>
              <w:pageBreakBefore w:val="0"/>
              <w:kinsoku/>
              <w:wordWrap/>
              <w:overflowPunct/>
              <w:topLinePunct w:val="0"/>
              <w:autoSpaceDE/>
              <w:autoSpaceDN/>
              <w:bidi w:val="0"/>
              <w:adjustRightInd/>
              <w:snapToGrid/>
              <w:spacing w:beforeAutospacing="0" w:afterAutospacing="0" w:line="300" w:lineRule="exact"/>
              <w:ind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944" w:type="dxa"/>
            <w:vMerge w:val="continue"/>
            <w:tcBorders>
              <w:tl2br w:val="nil"/>
              <w:tr2bl w:val="nil"/>
            </w:tcBorders>
            <w:shd w:val="clear" w:color="auto" w:fill="FFFFFF"/>
            <w:noWrap w:val="0"/>
            <w:vAlign w:val="center"/>
          </w:tcPr>
          <w:p w14:paraId="0ECBC813">
            <w:pPr>
              <w:keepNext w:val="0"/>
              <w:keepLines w:val="0"/>
              <w:pageBreakBefore w:val="0"/>
              <w:kinsoku/>
              <w:wordWrap/>
              <w:overflowPunct/>
              <w:topLinePunct w:val="0"/>
              <w:autoSpaceDE/>
              <w:autoSpaceDN/>
              <w:bidi w:val="0"/>
              <w:adjustRightInd/>
              <w:snapToGrid/>
              <w:spacing w:beforeAutospacing="0" w:afterAutospacing="0" w:line="300" w:lineRule="exact"/>
              <w:ind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862" w:type="dxa"/>
            <w:tcBorders>
              <w:tl2br w:val="nil"/>
              <w:tr2bl w:val="nil"/>
            </w:tcBorders>
            <w:shd w:val="clear" w:color="auto" w:fill="FFFFFF"/>
            <w:noWrap w:val="0"/>
            <w:vAlign w:val="center"/>
          </w:tcPr>
          <w:p w14:paraId="25C0733D">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NH</w:t>
            </w:r>
            <w:r>
              <w:rPr>
                <w:rFonts w:hint="default" w:ascii="Times New Roman" w:hAnsi="Times New Roman" w:eastAsia="宋体" w:cs="Times New Roman"/>
                <w:bCs/>
                <w:color w:val="auto"/>
                <w:sz w:val="21"/>
                <w:szCs w:val="21"/>
                <w:highlight w:val="none"/>
                <w:vertAlign w:val="subscript"/>
                <w:lang w:val="en-US" w:eastAsia="zh-CN"/>
              </w:rPr>
              <w:t>3</w:t>
            </w:r>
          </w:p>
        </w:tc>
        <w:tc>
          <w:tcPr>
            <w:tcW w:w="1204" w:type="dxa"/>
            <w:vMerge w:val="continue"/>
            <w:tcBorders>
              <w:tl2br w:val="nil"/>
              <w:tr2bl w:val="nil"/>
            </w:tcBorders>
            <w:shd w:val="clear" w:color="auto" w:fill="FFFFFF"/>
            <w:noWrap w:val="0"/>
            <w:vAlign w:val="center"/>
          </w:tcPr>
          <w:p w14:paraId="4164C876">
            <w:pPr>
              <w:keepNext w:val="0"/>
              <w:keepLines w:val="0"/>
              <w:pageBreakBefore w:val="0"/>
              <w:kinsoku/>
              <w:wordWrap/>
              <w:overflowPunct/>
              <w:topLinePunct w:val="0"/>
              <w:autoSpaceDE/>
              <w:autoSpaceDN/>
              <w:bidi w:val="0"/>
              <w:adjustRightInd/>
              <w:snapToGrid/>
              <w:spacing w:beforeAutospacing="0" w:afterAutospacing="0" w:line="300" w:lineRule="exact"/>
              <w:ind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143" w:type="dxa"/>
            <w:tcBorders>
              <w:tl2br w:val="nil"/>
              <w:tr2bl w:val="nil"/>
            </w:tcBorders>
            <w:shd w:val="clear" w:color="auto" w:fill="FFFFFF"/>
            <w:noWrap w:val="0"/>
            <w:vAlign w:val="center"/>
          </w:tcPr>
          <w:p w14:paraId="5B322B16">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0.75</w:t>
            </w:r>
          </w:p>
        </w:tc>
        <w:tc>
          <w:tcPr>
            <w:tcW w:w="1142" w:type="dxa"/>
            <w:tcBorders>
              <w:tl2br w:val="nil"/>
              <w:tr2bl w:val="nil"/>
            </w:tcBorders>
            <w:shd w:val="clear" w:color="auto" w:fill="FFFFFF"/>
            <w:noWrap w:val="0"/>
            <w:vAlign w:val="center"/>
          </w:tcPr>
          <w:p w14:paraId="144AF725">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8</w:t>
            </w:r>
          </w:p>
        </w:tc>
        <w:tc>
          <w:tcPr>
            <w:tcW w:w="2553" w:type="dxa"/>
            <w:tcBorders>
              <w:tl2br w:val="nil"/>
              <w:tr2bl w:val="nil"/>
            </w:tcBorders>
            <w:shd w:val="clear" w:color="auto" w:fill="FFFFFF"/>
            <w:noWrap w:val="0"/>
            <w:vAlign w:val="center"/>
          </w:tcPr>
          <w:p w14:paraId="79675C76">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w:t>
            </w:r>
          </w:p>
        </w:tc>
        <w:tc>
          <w:tcPr>
            <w:tcW w:w="938" w:type="dxa"/>
            <w:tcBorders>
              <w:tl2br w:val="nil"/>
              <w:tr2bl w:val="nil"/>
            </w:tcBorders>
            <w:shd w:val="clear" w:color="auto" w:fill="FFFFFF"/>
            <w:noWrap w:val="0"/>
            <w:vAlign w:val="center"/>
          </w:tcPr>
          <w:p w14:paraId="098CA58B">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w:t>
            </w:r>
          </w:p>
        </w:tc>
        <w:tc>
          <w:tcPr>
            <w:tcW w:w="1275" w:type="dxa"/>
            <w:vMerge w:val="continue"/>
            <w:tcBorders>
              <w:tl2br w:val="nil"/>
              <w:tr2bl w:val="nil"/>
            </w:tcBorders>
            <w:shd w:val="clear" w:color="auto" w:fill="FFFFFF"/>
            <w:noWrap w:val="0"/>
            <w:vAlign w:val="center"/>
          </w:tcPr>
          <w:p w14:paraId="321D6555">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p>
        </w:tc>
        <w:tc>
          <w:tcPr>
            <w:tcW w:w="1219" w:type="dxa"/>
            <w:tcBorders>
              <w:tl2br w:val="nil"/>
              <w:tr2bl w:val="nil"/>
            </w:tcBorders>
            <w:shd w:val="clear" w:color="auto" w:fill="FFFFFF"/>
            <w:noWrap w:val="0"/>
            <w:vAlign w:val="center"/>
          </w:tcPr>
          <w:p w14:paraId="46B3F67F">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0.75</w:t>
            </w:r>
          </w:p>
        </w:tc>
        <w:tc>
          <w:tcPr>
            <w:tcW w:w="1106" w:type="dxa"/>
            <w:tcBorders>
              <w:tl2br w:val="nil"/>
              <w:tr2bl w:val="nil"/>
            </w:tcBorders>
            <w:shd w:val="clear" w:color="auto" w:fill="FFFFFF"/>
            <w:noWrap w:val="0"/>
            <w:vAlign w:val="center"/>
          </w:tcPr>
          <w:p w14:paraId="30A837CB">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8</w:t>
            </w:r>
          </w:p>
        </w:tc>
        <w:tc>
          <w:tcPr>
            <w:tcW w:w="844" w:type="dxa"/>
            <w:tcBorders>
              <w:tl2br w:val="nil"/>
              <w:tr2bl w:val="nil"/>
            </w:tcBorders>
            <w:shd w:val="clear" w:color="auto" w:fill="FFFFFF"/>
            <w:noWrap w:val="0"/>
            <w:vAlign w:val="center"/>
          </w:tcPr>
          <w:p w14:paraId="6B50731B">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8</w:t>
            </w:r>
          </w:p>
        </w:tc>
      </w:tr>
      <w:tr w14:paraId="0DBF9C3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44" w:type="dxa"/>
            <w:vMerge w:val="restart"/>
            <w:tcBorders>
              <w:tl2br w:val="nil"/>
              <w:tr2bl w:val="nil"/>
            </w:tcBorders>
            <w:shd w:val="clear" w:color="auto" w:fill="FFFFFF"/>
            <w:noWrap w:val="0"/>
            <w:vAlign w:val="center"/>
          </w:tcPr>
          <w:p w14:paraId="2939F6A0">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1台58MW往复炉排热水锅炉</w:t>
            </w:r>
          </w:p>
        </w:tc>
        <w:tc>
          <w:tcPr>
            <w:tcW w:w="944" w:type="dxa"/>
            <w:vMerge w:val="restart"/>
            <w:tcBorders>
              <w:tl2br w:val="nil"/>
              <w:tr2bl w:val="nil"/>
            </w:tcBorders>
            <w:shd w:val="clear" w:color="auto" w:fill="FFFFFF"/>
            <w:noWrap w:val="0"/>
            <w:vAlign w:val="center"/>
          </w:tcPr>
          <w:p w14:paraId="1B83F180">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lang w:val="en-US" w:eastAsia="zh-CN"/>
              </w:rPr>
              <w:t>烟囱</w:t>
            </w:r>
            <w:r>
              <w:rPr>
                <w:rFonts w:hint="default" w:ascii="Times New Roman" w:hAnsi="Times New Roman" w:eastAsia="宋体" w:cs="Times New Roman"/>
                <w:bCs/>
                <w:color w:val="auto"/>
                <w:sz w:val="21"/>
                <w:szCs w:val="21"/>
                <w:highlight w:val="none"/>
                <w:lang w:eastAsia="zh-CN"/>
              </w:rPr>
              <w:t>（</w:t>
            </w:r>
            <w:r>
              <w:rPr>
                <w:rFonts w:hint="default" w:ascii="Times New Roman" w:hAnsi="Times New Roman" w:eastAsia="宋体" w:cs="Times New Roman"/>
                <w:bCs/>
                <w:color w:val="auto"/>
                <w:sz w:val="21"/>
                <w:szCs w:val="21"/>
                <w:highlight w:val="none"/>
                <w:lang w:val="en-US" w:eastAsia="zh-CN"/>
              </w:rPr>
              <w:t>非正常工况</w:t>
            </w:r>
            <w:r>
              <w:rPr>
                <w:rFonts w:hint="default" w:ascii="Times New Roman" w:hAnsi="Times New Roman" w:eastAsia="宋体" w:cs="Times New Roman"/>
                <w:bCs/>
                <w:color w:val="auto"/>
                <w:sz w:val="21"/>
                <w:szCs w:val="21"/>
                <w:highlight w:val="none"/>
                <w:lang w:eastAsia="zh-CN"/>
              </w:rPr>
              <w:t>）</w:t>
            </w:r>
          </w:p>
        </w:tc>
        <w:tc>
          <w:tcPr>
            <w:tcW w:w="862" w:type="dxa"/>
            <w:tcBorders>
              <w:tl2br w:val="nil"/>
              <w:tr2bl w:val="nil"/>
            </w:tcBorders>
            <w:shd w:val="clear" w:color="auto" w:fill="FFFFFF"/>
            <w:noWrap w:val="0"/>
            <w:vAlign w:val="center"/>
          </w:tcPr>
          <w:p w14:paraId="1D772514">
            <w:pPr>
              <w:pStyle w:val="34"/>
              <w:keepNext w:val="0"/>
              <w:keepLines w:val="0"/>
              <w:pageBreakBefore w:val="0"/>
              <w:widowControl w:val="0"/>
              <w:kinsoku/>
              <w:wordWrap/>
              <w:overflowPunct/>
              <w:topLinePunct w:val="0"/>
              <w:autoSpaceDE/>
              <w:autoSpaceDN/>
              <w:bidi w:val="0"/>
              <w:adjustRightInd/>
              <w:snapToGrid/>
              <w:spacing w:beforeAutospacing="0" w:afterAutospacing="0" w:line="300" w:lineRule="exact"/>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PM</w:t>
            </w:r>
            <w:r>
              <w:rPr>
                <w:rFonts w:hint="default" w:ascii="Times New Roman" w:hAnsi="Times New Roman" w:eastAsia="宋体" w:cs="Times New Roman"/>
                <w:bCs/>
                <w:color w:val="auto"/>
                <w:sz w:val="21"/>
                <w:szCs w:val="21"/>
                <w:highlight w:val="none"/>
                <w:vertAlign w:val="subscript"/>
              </w:rPr>
              <w:t>10</w:t>
            </w:r>
          </w:p>
        </w:tc>
        <w:tc>
          <w:tcPr>
            <w:tcW w:w="1204" w:type="dxa"/>
            <w:vMerge w:val="restart"/>
            <w:tcBorders>
              <w:tl2br w:val="nil"/>
              <w:tr2bl w:val="nil"/>
            </w:tcBorders>
            <w:shd w:val="clear" w:color="auto" w:fill="FFFFFF"/>
            <w:noWrap w:val="0"/>
            <w:vAlign w:val="center"/>
          </w:tcPr>
          <w:p w14:paraId="0C7EB5EC">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kern w:val="0"/>
                <w:sz w:val="21"/>
                <w:szCs w:val="21"/>
                <w:highlight w:val="none"/>
                <w:lang w:val="en-US" w:eastAsia="zh-CN" w:bidi="ar-SA"/>
              </w:rPr>
              <w:t>93818.70</w:t>
            </w:r>
          </w:p>
        </w:tc>
        <w:tc>
          <w:tcPr>
            <w:tcW w:w="1143" w:type="dxa"/>
            <w:tcBorders>
              <w:tl2br w:val="nil"/>
              <w:tr2bl w:val="nil"/>
            </w:tcBorders>
            <w:shd w:val="clear" w:color="auto" w:fill="FFFFFF"/>
            <w:noWrap w:val="0"/>
            <w:vAlign w:val="center"/>
          </w:tcPr>
          <w:p w14:paraId="02BF9C26">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1178.46</w:t>
            </w:r>
          </w:p>
        </w:tc>
        <w:tc>
          <w:tcPr>
            <w:tcW w:w="1142" w:type="dxa"/>
            <w:tcBorders>
              <w:tl2br w:val="nil"/>
              <w:tr2bl w:val="nil"/>
            </w:tcBorders>
            <w:shd w:val="clear" w:color="auto" w:fill="FFFFFF"/>
            <w:noWrap w:val="0"/>
            <w:vAlign w:val="center"/>
          </w:tcPr>
          <w:p w14:paraId="764FA14A">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12561.06</w:t>
            </w:r>
          </w:p>
        </w:tc>
        <w:tc>
          <w:tcPr>
            <w:tcW w:w="2553" w:type="dxa"/>
            <w:tcBorders>
              <w:tl2br w:val="nil"/>
              <w:tr2bl w:val="nil"/>
            </w:tcBorders>
            <w:shd w:val="clear" w:color="auto" w:fill="FFFFFF"/>
            <w:noWrap w:val="0"/>
            <w:vAlign w:val="center"/>
          </w:tcPr>
          <w:p w14:paraId="1C131AA2">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rPr>
              <w:t>除尘器滤袋破损</w:t>
            </w:r>
          </w:p>
        </w:tc>
        <w:tc>
          <w:tcPr>
            <w:tcW w:w="938" w:type="dxa"/>
            <w:tcBorders>
              <w:tl2br w:val="nil"/>
              <w:tr2bl w:val="nil"/>
            </w:tcBorders>
            <w:shd w:val="clear" w:color="auto" w:fill="FFFFFF"/>
            <w:noWrap w:val="0"/>
            <w:vAlign w:val="center"/>
          </w:tcPr>
          <w:p w14:paraId="3DAA56F7">
            <w:pPr>
              <w:keepNext w:val="0"/>
              <w:keepLines w:val="0"/>
              <w:pageBreakBefore w:val="0"/>
              <w:kinsoku/>
              <w:wordWrap/>
              <w:overflowPunct/>
              <w:topLinePunct w:val="0"/>
              <w:autoSpaceDE/>
              <w:autoSpaceDN/>
              <w:bidi w:val="0"/>
              <w:adjustRightInd/>
              <w:snapToGrid/>
              <w:spacing w:beforeAutospacing="0" w:afterAutospacing="0" w:line="300" w:lineRule="exact"/>
              <w:ind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98.20</w:t>
            </w:r>
          </w:p>
        </w:tc>
        <w:tc>
          <w:tcPr>
            <w:tcW w:w="1275" w:type="dxa"/>
            <w:vMerge w:val="restart"/>
            <w:tcBorders>
              <w:tl2br w:val="nil"/>
              <w:tr2bl w:val="nil"/>
            </w:tcBorders>
            <w:shd w:val="clear" w:color="auto" w:fill="FFFFFF"/>
            <w:noWrap w:val="0"/>
            <w:vAlign w:val="center"/>
          </w:tcPr>
          <w:p w14:paraId="636B936A">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rPr>
            </w:pPr>
            <w:r>
              <w:rPr>
                <w:rFonts w:hint="eastAsia" w:ascii="Times New Roman" w:hAnsi="Times New Roman" w:cs="Times New Roman"/>
                <w:bCs/>
                <w:color w:val="auto"/>
                <w:kern w:val="0"/>
                <w:sz w:val="21"/>
                <w:szCs w:val="21"/>
                <w:highlight w:val="none"/>
                <w:lang w:val="en-US" w:eastAsia="zh-CN" w:bidi="ar-SA"/>
              </w:rPr>
              <w:t>93818.70</w:t>
            </w:r>
          </w:p>
        </w:tc>
        <w:tc>
          <w:tcPr>
            <w:tcW w:w="1219" w:type="dxa"/>
            <w:tcBorders>
              <w:tl2br w:val="nil"/>
              <w:tr2bl w:val="nil"/>
            </w:tcBorders>
            <w:shd w:val="clear" w:color="auto" w:fill="FFFFFF"/>
            <w:noWrap w:val="0"/>
            <w:vAlign w:val="center"/>
          </w:tcPr>
          <w:p w14:paraId="32AE571C">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29.19</w:t>
            </w:r>
          </w:p>
        </w:tc>
        <w:tc>
          <w:tcPr>
            <w:tcW w:w="1106" w:type="dxa"/>
            <w:tcBorders>
              <w:tl2br w:val="nil"/>
              <w:tr2bl w:val="nil"/>
            </w:tcBorders>
            <w:shd w:val="clear" w:color="auto" w:fill="FFFFFF"/>
            <w:noWrap w:val="0"/>
            <w:vAlign w:val="center"/>
          </w:tcPr>
          <w:p w14:paraId="6FE31E56">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232.73</w:t>
            </w:r>
          </w:p>
        </w:tc>
        <w:tc>
          <w:tcPr>
            <w:tcW w:w="844" w:type="dxa"/>
            <w:tcBorders>
              <w:tl2br w:val="nil"/>
              <w:tr2bl w:val="nil"/>
            </w:tcBorders>
            <w:shd w:val="clear" w:color="auto" w:fill="FFFFFF"/>
            <w:noWrap w:val="0"/>
            <w:vAlign w:val="center"/>
          </w:tcPr>
          <w:p w14:paraId="3D7B2794">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10</w:t>
            </w:r>
          </w:p>
        </w:tc>
      </w:tr>
      <w:tr w14:paraId="08B825F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944" w:type="dxa"/>
            <w:vMerge w:val="continue"/>
            <w:tcBorders>
              <w:tl2br w:val="nil"/>
              <w:tr2bl w:val="nil"/>
            </w:tcBorders>
            <w:shd w:val="clear" w:color="auto" w:fill="FFFFFF"/>
            <w:noWrap w:val="0"/>
            <w:vAlign w:val="center"/>
          </w:tcPr>
          <w:p w14:paraId="66E5FF43">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p>
        </w:tc>
        <w:tc>
          <w:tcPr>
            <w:tcW w:w="944" w:type="dxa"/>
            <w:vMerge w:val="continue"/>
            <w:tcBorders>
              <w:tl2br w:val="nil"/>
              <w:tr2bl w:val="nil"/>
            </w:tcBorders>
            <w:shd w:val="clear" w:color="auto" w:fill="FFFFFF"/>
            <w:noWrap w:val="0"/>
            <w:vAlign w:val="center"/>
          </w:tcPr>
          <w:p w14:paraId="39919627">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p>
        </w:tc>
        <w:tc>
          <w:tcPr>
            <w:tcW w:w="862" w:type="dxa"/>
            <w:tcBorders>
              <w:tl2br w:val="nil"/>
              <w:tr2bl w:val="nil"/>
            </w:tcBorders>
            <w:shd w:val="clear" w:color="auto" w:fill="FFFFFF"/>
            <w:noWrap w:val="0"/>
            <w:vAlign w:val="center"/>
          </w:tcPr>
          <w:p w14:paraId="4120776E">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SO</w:t>
            </w:r>
            <w:r>
              <w:rPr>
                <w:rFonts w:hint="default" w:ascii="Times New Roman" w:hAnsi="Times New Roman" w:eastAsia="宋体" w:cs="Times New Roman"/>
                <w:bCs/>
                <w:color w:val="auto"/>
                <w:sz w:val="21"/>
                <w:szCs w:val="21"/>
                <w:highlight w:val="none"/>
                <w:vertAlign w:val="subscript"/>
              </w:rPr>
              <w:t>2</w:t>
            </w:r>
          </w:p>
        </w:tc>
        <w:tc>
          <w:tcPr>
            <w:tcW w:w="1204" w:type="dxa"/>
            <w:vMerge w:val="continue"/>
            <w:tcBorders>
              <w:tl2br w:val="nil"/>
              <w:tr2bl w:val="nil"/>
            </w:tcBorders>
            <w:shd w:val="clear" w:color="auto" w:fill="FFFFFF"/>
            <w:noWrap w:val="0"/>
            <w:vAlign w:val="center"/>
          </w:tcPr>
          <w:p w14:paraId="5132FA25">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p>
        </w:tc>
        <w:tc>
          <w:tcPr>
            <w:tcW w:w="1143" w:type="dxa"/>
            <w:tcBorders>
              <w:tl2br w:val="nil"/>
              <w:tr2bl w:val="nil"/>
            </w:tcBorders>
            <w:shd w:val="clear" w:color="auto" w:fill="FFFFFF"/>
            <w:noWrap w:val="0"/>
            <w:vAlign w:val="center"/>
          </w:tcPr>
          <w:p w14:paraId="0BCC8A0D">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49.62</w:t>
            </w:r>
          </w:p>
        </w:tc>
        <w:tc>
          <w:tcPr>
            <w:tcW w:w="1142" w:type="dxa"/>
            <w:tcBorders>
              <w:tl2br w:val="nil"/>
              <w:tr2bl w:val="nil"/>
            </w:tcBorders>
            <w:shd w:val="clear" w:color="auto" w:fill="FFFFFF"/>
            <w:noWrap w:val="0"/>
            <w:vAlign w:val="center"/>
          </w:tcPr>
          <w:p w14:paraId="0E710E37">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528.85</w:t>
            </w:r>
          </w:p>
        </w:tc>
        <w:tc>
          <w:tcPr>
            <w:tcW w:w="2553" w:type="dxa"/>
            <w:tcBorders>
              <w:tl2br w:val="nil"/>
              <w:tr2bl w:val="nil"/>
            </w:tcBorders>
            <w:shd w:val="clear" w:color="auto" w:fill="FFFFFF"/>
            <w:noWrap w:val="0"/>
            <w:vAlign w:val="center"/>
          </w:tcPr>
          <w:p w14:paraId="38E2F28D">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脱硫装置故障</w:t>
            </w:r>
          </w:p>
        </w:tc>
        <w:tc>
          <w:tcPr>
            <w:tcW w:w="938" w:type="dxa"/>
            <w:tcBorders>
              <w:tl2br w:val="nil"/>
              <w:tr2bl w:val="nil"/>
            </w:tcBorders>
            <w:shd w:val="clear" w:color="auto" w:fill="FFFFFF"/>
            <w:noWrap w:val="0"/>
            <w:vAlign w:val="center"/>
          </w:tcPr>
          <w:p w14:paraId="7A71AD53">
            <w:pPr>
              <w:keepNext w:val="0"/>
              <w:keepLines w:val="0"/>
              <w:pageBreakBefore w:val="0"/>
              <w:kinsoku/>
              <w:wordWrap/>
              <w:overflowPunct/>
              <w:topLinePunct w:val="0"/>
              <w:autoSpaceDE/>
              <w:autoSpaceDN/>
              <w:bidi w:val="0"/>
              <w:adjustRightInd/>
              <w:snapToGrid/>
              <w:spacing w:beforeAutospacing="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50</w:t>
            </w:r>
          </w:p>
        </w:tc>
        <w:tc>
          <w:tcPr>
            <w:tcW w:w="1275" w:type="dxa"/>
            <w:vMerge w:val="continue"/>
            <w:tcBorders>
              <w:tl2br w:val="nil"/>
              <w:tr2bl w:val="nil"/>
            </w:tcBorders>
            <w:shd w:val="clear" w:color="auto" w:fill="FFFFFF"/>
            <w:noWrap w:val="0"/>
            <w:vAlign w:val="center"/>
          </w:tcPr>
          <w:p w14:paraId="56515916">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p>
        </w:tc>
        <w:tc>
          <w:tcPr>
            <w:tcW w:w="1219" w:type="dxa"/>
            <w:tcBorders>
              <w:tl2br w:val="nil"/>
              <w:tr2bl w:val="nil"/>
            </w:tcBorders>
            <w:shd w:val="clear" w:color="auto" w:fill="FFFFFF"/>
            <w:noWrap w:val="0"/>
            <w:vAlign w:val="center"/>
          </w:tcPr>
          <w:p w14:paraId="292A7242">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35.05</w:t>
            </w:r>
          </w:p>
        </w:tc>
        <w:tc>
          <w:tcPr>
            <w:tcW w:w="1106" w:type="dxa"/>
            <w:tcBorders>
              <w:tl2br w:val="nil"/>
              <w:tr2bl w:val="nil"/>
            </w:tcBorders>
            <w:shd w:val="clear" w:color="auto" w:fill="FFFFFF"/>
            <w:noWrap w:val="0"/>
            <w:vAlign w:val="center"/>
          </w:tcPr>
          <w:p w14:paraId="490E6A1C">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279.45</w:t>
            </w:r>
          </w:p>
        </w:tc>
        <w:tc>
          <w:tcPr>
            <w:tcW w:w="844" w:type="dxa"/>
            <w:tcBorders>
              <w:tl2br w:val="nil"/>
              <w:tr2bl w:val="nil"/>
            </w:tcBorders>
            <w:shd w:val="clear" w:color="auto" w:fill="FFFFFF"/>
            <w:noWrap w:val="0"/>
            <w:vAlign w:val="center"/>
          </w:tcPr>
          <w:p w14:paraId="32FF1DF6">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35</w:t>
            </w:r>
          </w:p>
        </w:tc>
      </w:tr>
      <w:tr w14:paraId="356482D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3" w:hRule="atLeast"/>
          <w:jc w:val="center"/>
        </w:trPr>
        <w:tc>
          <w:tcPr>
            <w:tcW w:w="944" w:type="dxa"/>
            <w:vMerge w:val="continue"/>
            <w:tcBorders>
              <w:tl2br w:val="nil"/>
              <w:tr2bl w:val="nil"/>
            </w:tcBorders>
            <w:shd w:val="clear" w:color="auto" w:fill="FFFFFF"/>
            <w:noWrap w:val="0"/>
            <w:vAlign w:val="center"/>
          </w:tcPr>
          <w:p w14:paraId="2ED488FD">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p>
        </w:tc>
        <w:tc>
          <w:tcPr>
            <w:tcW w:w="944" w:type="dxa"/>
            <w:vMerge w:val="continue"/>
            <w:tcBorders>
              <w:tl2br w:val="nil"/>
              <w:tr2bl w:val="nil"/>
            </w:tcBorders>
            <w:shd w:val="clear" w:color="auto" w:fill="FFFFFF"/>
            <w:noWrap w:val="0"/>
            <w:vAlign w:val="center"/>
          </w:tcPr>
          <w:p w14:paraId="3420E60B">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p>
        </w:tc>
        <w:tc>
          <w:tcPr>
            <w:tcW w:w="862" w:type="dxa"/>
            <w:tcBorders>
              <w:tl2br w:val="nil"/>
              <w:tr2bl w:val="nil"/>
            </w:tcBorders>
            <w:shd w:val="clear" w:color="auto" w:fill="FFFFFF"/>
            <w:noWrap w:val="0"/>
            <w:vAlign w:val="center"/>
          </w:tcPr>
          <w:p w14:paraId="11731453">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NOx</w:t>
            </w:r>
          </w:p>
        </w:tc>
        <w:tc>
          <w:tcPr>
            <w:tcW w:w="1204" w:type="dxa"/>
            <w:vMerge w:val="continue"/>
            <w:tcBorders>
              <w:tl2br w:val="nil"/>
              <w:tr2bl w:val="nil"/>
            </w:tcBorders>
            <w:shd w:val="clear" w:color="auto" w:fill="FFFFFF"/>
            <w:noWrap w:val="0"/>
            <w:vAlign w:val="center"/>
          </w:tcPr>
          <w:p w14:paraId="101D720C">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p>
        </w:tc>
        <w:tc>
          <w:tcPr>
            <w:tcW w:w="1143" w:type="dxa"/>
            <w:tcBorders>
              <w:tl2br w:val="nil"/>
              <w:tr2bl w:val="nil"/>
            </w:tcBorders>
            <w:shd w:val="clear" w:color="auto" w:fill="FFFFFF"/>
            <w:noWrap w:val="0"/>
            <w:vAlign w:val="center"/>
          </w:tcPr>
          <w:p w14:paraId="131C708A">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32.84</w:t>
            </w:r>
          </w:p>
        </w:tc>
        <w:tc>
          <w:tcPr>
            <w:tcW w:w="1142" w:type="dxa"/>
            <w:tcBorders>
              <w:tl2br w:val="nil"/>
              <w:tr2bl w:val="nil"/>
            </w:tcBorders>
            <w:shd w:val="clear" w:color="auto" w:fill="FFFFFF"/>
            <w:noWrap w:val="0"/>
            <w:vAlign w:val="center"/>
          </w:tcPr>
          <w:p w14:paraId="1F59B771">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350</w:t>
            </w:r>
          </w:p>
        </w:tc>
        <w:tc>
          <w:tcPr>
            <w:tcW w:w="2553" w:type="dxa"/>
            <w:tcBorders>
              <w:tl2br w:val="nil"/>
              <w:tr2bl w:val="nil"/>
            </w:tcBorders>
            <w:shd w:val="clear" w:color="auto" w:fill="FFFFFF"/>
            <w:noWrap w:val="0"/>
            <w:vAlign w:val="center"/>
          </w:tcPr>
          <w:p w14:paraId="7C1925BA">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脱硝系统故障</w:t>
            </w:r>
          </w:p>
        </w:tc>
        <w:tc>
          <w:tcPr>
            <w:tcW w:w="938" w:type="dxa"/>
            <w:tcBorders>
              <w:tl2br w:val="nil"/>
              <w:tr2bl w:val="nil"/>
            </w:tcBorders>
            <w:shd w:val="clear" w:color="auto" w:fill="FFFFFF"/>
            <w:noWrap w:val="0"/>
            <w:vAlign w:val="center"/>
          </w:tcPr>
          <w:p w14:paraId="0E0CD7F8">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w:t>
            </w:r>
          </w:p>
        </w:tc>
        <w:tc>
          <w:tcPr>
            <w:tcW w:w="1275" w:type="dxa"/>
            <w:vMerge w:val="continue"/>
            <w:tcBorders>
              <w:tl2br w:val="nil"/>
              <w:tr2bl w:val="nil"/>
            </w:tcBorders>
            <w:shd w:val="clear" w:color="auto" w:fill="FFFFFF"/>
            <w:noWrap w:val="0"/>
            <w:vAlign w:val="center"/>
          </w:tcPr>
          <w:p w14:paraId="6EE6CF12">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p>
        </w:tc>
        <w:tc>
          <w:tcPr>
            <w:tcW w:w="1219" w:type="dxa"/>
            <w:tcBorders>
              <w:tl2br w:val="nil"/>
              <w:tr2bl w:val="nil"/>
            </w:tcBorders>
            <w:shd w:val="clear" w:color="auto" w:fill="FFFFFF"/>
            <w:noWrap w:val="0"/>
            <w:vAlign w:val="center"/>
          </w:tcPr>
          <w:p w14:paraId="36FBACC8">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32.84</w:t>
            </w:r>
          </w:p>
        </w:tc>
        <w:tc>
          <w:tcPr>
            <w:tcW w:w="1106" w:type="dxa"/>
            <w:tcBorders>
              <w:tl2br w:val="nil"/>
              <w:tr2bl w:val="nil"/>
            </w:tcBorders>
            <w:shd w:val="clear" w:color="auto" w:fill="FFFFFF"/>
            <w:noWrap w:val="0"/>
            <w:vAlign w:val="center"/>
          </w:tcPr>
          <w:p w14:paraId="7149F299">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350</w:t>
            </w:r>
          </w:p>
        </w:tc>
        <w:tc>
          <w:tcPr>
            <w:tcW w:w="844" w:type="dxa"/>
            <w:tcBorders>
              <w:tl2br w:val="nil"/>
              <w:tr2bl w:val="nil"/>
            </w:tcBorders>
            <w:shd w:val="clear" w:color="auto" w:fill="FFFFFF"/>
            <w:noWrap w:val="0"/>
            <w:vAlign w:val="center"/>
          </w:tcPr>
          <w:p w14:paraId="04E4DC8A">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50</w:t>
            </w:r>
          </w:p>
        </w:tc>
      </w:tr>
      <w:tr w14:paraId="6E5D53D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44" w:type="dxa"/>
            <w:tcBorders>
              <w:tl2br w:val="nil"/>
              <w:tr2bl w:val="nil"/>
            </w:tcBorders>
            <w:shd w:val="clear" w:color="auto" w:fill="FFFFFF"/>
            <w:noWrap w:val="0"/>
            <w:vAlign w:val="center"/>
          </w:tcPr>
          <w:p w14:paraId="252CE9AF">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灰库</w:t>
            </w:r>
          </w:p>
        </w:tc>
        <w:tc>
          <w:tcPr>
            <w:tcW w:w="944" w:type="dxa"/>
            <w:tcBorders>
              <w:tl2br w:val="nil"/>
              <w:tr2bl w:val="nil"/>
            </w:tcBorders>
            <w:shd w:val="clear" w:color="auto" w:fill="FFFFFF"/>
            <w:noWrap w:val="0"/>
            <w:vAlign w:val="center"/>
          </w:tcPr>
          <w:p w14:paraId="6FE724C0">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灰库</w:t>
            </w:r>
          </w:p>
        </w:tc>
        <w:tc>
          <w:tcPr>
            <w:tcW w:w="862" w:type="dxa"/>
            <w:tcBorders>
              <w:bottom w:val="single" w:color="auto" w:sz="4" w:space="0"/>
              <w:tl2br w:val="nil"/>
              <w:tr2bl w:val="nil"/>
            </w:tcBorders>
            <w:shd w:val="clear" w:color="auto" w:fill="FFFFFF"/>
            <w:noWrap w:val="0"/>
            <w:vAlign w:val="center"/>
          </w:tcPr>
          <w:p w14:paraId="7BFB9C3A">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颗粒物</w:t>
            </w:r>
          </w:p>
        </w:tc>
        <w:tc>
          <w:tcPr>
            <w:tcW w:w="1204" w:type="dxa"/>
            <w:tcBorders>
              <w:bottom w:val="single" w:color="auto" w:sz="4" w:space="0"/>
              <w:tl2br w:val="nil"/>
              <w:tr2bl w:val="nil"/>
            </w:tcBorders>
            <w:shd w:val="clear" w:color="auto" w:fill="FFFFFF"/>
            <w:noWrap w:val="0"/>
            <w:vAlign w:val="center"/>
          </w:tcPr>
          <w:p w14:paraId="5B5D2228">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2000</w:t>
            </w:r>
          </w:p>
        </w:tc>
        <w:tc>
          <w:tcPr>
            <w:tcW w:w="1143" w:type="dxa"/>
            <w:tcBorders>
              <w:tl2br w:val="nil"/>
              <w:tr2bl w:val="nil"/>
            </w:tcBorders>
            <w:shd w:val="clear" w:color="auto" w:fill="FFFFFF"/>
            <w:noWrap w:val="0"/>
            <w:vAlign w:val="center"/>
          </w:tcPr>
          <w:p w14:paraId="72C4A0D3">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0.34</w:t>
            </w:r>
          </w:p>
        </w:tc>
        <w:tc>
          <w:tcPr>
            <w:tcW w:w="1142" w:type="dxa"/>
            <w:tcBorders>
              <w:tl2br w:val="nil"/>
              <w:tr2bl w:val="nil"/>
            </w:tcBorders>
            <w:shd w:val="clear" w:color="auto" w:fill="FFFFFF"/>
            <w:noWrap w:val="0"/>
            <w:vAlign w:val="center"/>
          </w:tcPr>
          <w:p w14:paraId="3127E3D5">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169.97</w:t>
            </w:r>
          </w:p>
        </w:tc>
        <w:tc>
          <w:tcPr>
            <w:tcW w:w="2553" w:type="dxa"/>
            <w:tcBorders>
              <w:tl2br w:val="nil"/>
              <w:tr2bl w:val="nil"/>
            </w:tcBorders>
            <w:shd w:val="clear" w:color="auto" w:fill="FFFFFF"/>
            <w:noWrap w:val="0"/>
            <w:vAlign w:val="center"/>
          </w:tcPr>
          <w:p w14:paraId="258B6375">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全封闭，布袋除尘</w:t>
            </w:r>
          </w:p>
        </w:tc>
        <w:tc>
          <w:tcPr>
            <w:tcW w:w="938" w:type="dxa"/>
            <w:tcBorders>
              <w:tl2br w:val="nil"/>
              <w:tr2bl w:val="nil"/>
            </w:tcBorders>
            <w:shd w:val="clear" w:color="auto" w:fill="FFFFFF"/>
            <w:noWrap w:val="0"/>
            <w:vAlign w:val="center"/>
          </w:tcPr>
          <w:p w14:paraId="16BA61AD">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9</w:t>
            </w:r>
            <w:r>
              <w:rPr>
                <w:rFonts w:hint="eastAsia" w:ascii="Times New Roman" w:hAnsi="Times New Roman" w:cs="Times New Roman"/>
                <w:bCs/>
                <w:color w:val="auto"/>
                <w:sz w:val="21"/>
                <w:szCs w:val="21"/>
                <w:highlight w:val="none"/>
                <w:lang w:val="en-US" w:eastAsia="zh-CN"/>
              </w:rPr>
              <w:t>5</w:t>
            </w:r>
          </w:p>
        </w:tc>
        <w:tc>
          <w:tcPr>
            <w:tcW w:w="1275" w:type="dxa"/>
            <w:tcBorders>
              <w:tl2br w:val="nil"/>
              <w:tr2bl w:val="nil"/>
            </w:tcBorders>
            <w:shd w:val="clear" w:color="auto" w:fill="FFFFFF"/>
            <w:noWrap w:val="0"/>
            <w:vAlign w:val="center"/>
          </w:tcPr>
          <w:p w14:paraId="5EDD20D8">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2000</w:t>
            </w:r>
          </w:p>
        </w:tc>
        <w:tc>
          <w:tcPr>
            <w:tcW w:w="1219" w:type="dxa"/>
            <w:tcBorders>
              <w:tl2br w:val="nil"/>
              <w:tr2bl w:val="nil"/>
            </w:tcBorders>
            <w:shd w:val="clear" w:color="auto" w:fill="FFFFFF"/>
            <w:noWrap w:val="0"/>
            <w:vAlign w:val="center"/>
          </w:tcPr>
          <w:p w14:paraId="377957C7">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0.017</w:t>
            </w:r>
          </w:p>
        </w:tc>
        <w:tc>
          <w:tcPr>
            <w:tcW w:w="1106" w:type="dxa"/>
            <w:tcBorders>
              <w:tl2br w:val="nil"/>
              <w:tr2bl w:val="nil"/>
            </w:tcBorders>
            <w:shd w:val="clear" w:color="auto" w:fill="FFFFFF"/>
            <w:noWrap w:val="0"/>
            <w:vAlign w:val="center"/>
          </w:tcPr>
          <w:p w14:paraId="16A2B51E">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8.5</w:t>
            </w:r>
          </w:p>
        </w:tc>
        <w:tc>
          <w:tcPr>
            <w:tcW w:w="844" w:type="dxa"/>
            <w:tcBorders>
              <w:tl2br w:val="nil"/>
              <w:tr2bl w:val="nil"/>
            </w:tcBorders>
            <w:shd w:val="clear" w:color="auto" w:fill="FFFFFF"/>
            <w:noWrap w:val="0"/>
            <w:vAlign w:val="center"/>
          </w:tcPr>
          <w:p w14:paraId="18273CDE">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1.0</w:t>
            </w:r>
          </w:p>
        </w:tc>
      </w:tr>
      <w:tr w14:paraId="034B4F2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44" w:type="dxa"/>
            <w:tcBorders>
              <w:tl2br w:val="nil"/>
              <w:tr2bl w:val="nil"/>
            </w:tcBorders>
            <w:shd w:val="clear" w:color="auto" w:fill="FFFFFF"/>
            <w:noWrap w:val="0"/>
            <w:vAlign w:val="center"/>
          </w:tcPr>
          <w:p w14:paraId="4C62382A">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生石灰粉仓</w:t>
            </w:r>
          </w:p>
        </w:tc>
        <w:tc>
          <w:tcPr>
            <w:tcW w:w="944" w:type="dxa"/>
            <w:tcBorders>
              <w:tl2br w:val="nil"/>
              <w:tr2bl w:val="nil"/>
            </w:tcBorders>
            <w:shd w:val="clear" w:color="auto" w:fill="FFFFFF"/>
            <w:noWrap w:val="0"/>
            <w:vAlign w:val="center"/>
          </w:tcPr>
          <w:p w14:paraId="3D24A71B">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生石灰粉仓</w:t>
            </w:r>
          </w:p>
        </w:tc>
        <w:tc>
          <w:tcPr>
            <w:tcW w:w="862" w:type="dxa"/>
            <w:tcBorders>
              <w:top w:val="single" w:color="auto" w:sz="4" w:space="0"/>
              <w:tl2br w:val="nil"/>
              <w:tr2bl w:val="nil"/>
            </w:tcBorders>
            <w:shd w:val="clear" w:color="auto" w:fill="FFFFFF"/>
            <w:noWrap w:val="0"/>
            <w:vAlign w:val="center"/>
          </w:tcPr>
          <w:p w14:paraId="5A365B23">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颗粒物</w:t>
            </w:r>
          </w:p>
        </w:tc>
        <w:tc>
          <w:tcPr>
            <w:tcW w:w="1204" w:type="dxa"/>
            <w:tcBorders>
              <w:top w:val="single" w:color="auto" w:sz="4" w:space="0"/>
              <w:tl2br w:val="nil"/>
              <w:tr2bl w:val="nil"/>
            </w:tcBorders>
            <w:shd w:val="clear" w:color="auto" w:fill="FFFFFF"/>
            <w:noWrap w:val="0"/>
            <w:vAlign w:val="center"/>
          </w:tcPr>
          <w:p w14:paraId="0B89FA71">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2000</w:t>
            </w:r>
          </w:p>
        </w:tc>
        <w:tc>
          <w:tcPr>
            <w:tcW w:w="1143" w:type="dxa"/>
            <w:tcBorders>
              <w:tl2br w:val="nil"/>
              <w:tr2bl w:val="nil"/>
            </w:tcBorders>
            <w:shd w:val="clear" w:color="auto" w:fill="FFFFFF"/>
            <w:noWrap w:val="0"/>
            <w:vAlign w:val="center"/>
          </w:tcPr>
          <w:p w14:paraId="10EC0438">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0.10</w:t>
            </w:r>
          </w:p>
        </w:tc>
        <w:tc>
          <w:tcPr>
            <w:tcW w:w="1142" w:type="dxa"/>
            <w:tcBorders>
              <w:tl2br w:val="nil"/>
              <w:tr2bl w:val="nil"/>
            </w:tcBorders>
            <w:shd w:val="clear" w:color="auto" w:fill="FFFFFF"/>
            <w:noWrap w:val="0"/>
            <w:vAlign w:val="center"/>
          </w:tcPr>
          <w:p w14:paraId="15E8C7C3">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52.02</w:t>
            </w:r>
          </w:p>
        </w:tc>
        <w:tc>
          <w:tcPr>
            <w:tcW w:w="2553" w:type="dxa"/>
            <w:tcBorders>
              <w:tl2br w:val="nil"/>
              <w:tr2bl w:val="nil"/>
            </w:tcBorders>
            <w:shd w:val="clear" w:color="auto" w:fill="FFFFFF"/>
            <w:noWrap w:val="0"/>
            <w:vAlign w:val="center"/>
          </w:tcPr>
          <w:p w14:paraId="58627F29">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全封闭，</w:t>
            </w:r>
            <w:r>
              <w:rPr>
                <w:rFonts w:hint="default" w:ascii="Times New Roman" w:hAnsi="Times New Roman" w:eastAsia="宋体" w:cs="Times New Roman"/>
                <w:bCs/>
                <w:color w:val="auto"/>
                <w:sz w:val="21"/>
                <w:szCs w:val="21"/>
                <w:highlight w:val="none"/>
                <w:lang w:val="en-US" w:eastAsia="zh-CN"/>
              </w:rPr>
              <w:t>布袋除尘</w:t>
            </w:r>
          </w:p>
        </w:tc>
        <w:tc>
          <w:tcPr>
            <w:tcW w:w="938" w:type="dxa"/>
            <w:tcBorders>
              <w:tl2br w:val="nil"/>
              <w:tr2bl w:val="nil"/>
            </w:tcBorders>
            <w:shd w:val="clear" w:color="auto" w:fill="FFFFFF"/>
            <w:noWrap w:val="0"/>
            <w:vAlign w:val="center"/>
          </w:tcPr>
          <w:p w14:paraId="275D0498">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95</w:t>
            </w:r>
          </w:p>
        </w:tc>
        <w:tc>
          <w:tcPr>
            <w:tcW w:w="1275" w:type="dxa"/>
            <w:tcBorders>
              <w:tl2br w:val="nil"/>
              <w:tr2bl w:val="nil"/>
            </w:tcBorders>
            <w:shd w:val="clear" w:color="auto" w:fill="FFFFFF"/>
            <w:noWrap w:val="0"/>
            <w:vAlign w:val="center"/>
          </w:tcPr>
          <w:p w14:paraId="45AFB8A6">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2000</w:t>
            </w:r>
          </w:p>
        </w:tc>
        <w:tc>
          <w:tcPr>
            <w:tcW w:w="1219" w:type="dxa"/>
            <w:tcBorders>
              <w:tl2br w:val="nil"/>
              <w:tr2bl w:val="nil"/>
            </w:tcBorders>
            <w:shd w:val="clear" w:color="auto" w:fill="FFFFFF"/>
            <w:noWrap w:val="0"/>
            <w:vAlign w:val="center"/>
          </w:tcPr>
          <w:p w14:paraId="094CB726">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0.002</w:t>
            </w:r>
          </w:p>
        </w:tc>
        <w:tc>
          <w:tcPr>
            <w:tcW w:w="1106" w:type="dxa"/>
            <w:tcBorders>
              <w:tl2br w:val="nil"/>
              <w:tr2bl w:val="nil"/>
            </w:tcBorders>
            <w:shd w:val="clear" w:color="auto" w:fill="FFFFFF"/>
            <w:noWrap w:val="0"/>
            <w:vAlign w:val="center"/>
          </w:tcPr>
          <w:p w14:paraId="64D8F0CE">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1.09</w:t>
            </w:r>
          </w:p>
        </w:tc>
        <w:tc>
          <w:tcPr>
            <w:tcW w:w="844" w:type="dxa"/>
            <w:tcBorders>
              <w:tl2br w:val="nil"/>
              <w:tr2bl w:val="nil"/>
            </w:tcBorders>
            <w:shd w:val="clear" w:color="auto" w:fill="FFFFFF"/>
            <w:noWrap w:val="0"/>
            <w:vAlign w:val="center"/>
          </w:tcPr>
          <w:p w14:paraId="42F4DF61">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1.0</w:t>
            </w:r>
          </w:p>
        </w:tc>
      </w:tr>
      <w:tr w14:paraId="78DC08A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6" w:hRule="atLeast"/>
          <w:jc w:val="center"/>
        </w:trPr>
        <w:tc>
          <w:tcPr>
            <w:tcW w:w="944" w:type="dxa"/>
            <w:tcBorders>
              <w:tl2br w:val="nil"/>
              <w:tr2bl w:val="nil"/>
            </w:tcBorders>
            <w:shd w:val="clear" w:color="auto" w:fill="FFFFFF"/>
            <w:noWrap w:val="0"/>
            <w:vAlign w:val="center"/>
          </w:tcPr>
          <w:p w14:paraId="7128B830">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渣库</w:t>
            </w:r>
          </w:p>
        </w:tc>
        <w:tc>
          <w:tcPr>
            <w:tcW w:w="944" w:type="dxa"/>
            <w:tcBorders>
              <w:tl2br w:val="nil"/>
              <w:tr2bl w:val="nil"/>
            </w:tcBorders>
            <w:shd w:val="clear" w:color="auto" w:fill="FFFFFF"/>
            <w:noWrap w:val="0"/>
            <w:vAlign w:val="center"/>
          </w:tcPr>
          <w:p w14:paraId="5C95DB9D">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渣库</w:t>
            </w:r>
          </w:p>
        </w:tc>
        <w:tc>
          <w:tcPr>
            <w:tcW w:w="862" w:type="dxa"/>
            <w:tcBorders>
              <w:tl2br w:val="nil"/>
              <w:tr2bl w:val="nil"/>
            </w:tcBorders>
            <w:shd w:val="clear" w:color="auto" w:fill="FFFFFF"/>
            <w:noWrap w:val="0"/>
            <w:vAlign w:val="center"/>
          </w:tcPr>
          <w:p w14:paraId="2F382ADA">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颗粒物</w:t>
            </w:r>
          </w:p>
        </w:tc>
        <w:tc>
          <w:tcPr>
            <w:tcW w:w="1204" w:type="dxa"/>
            <w:tcBorders>
              <w:tl2br w:val="nil"/>
              <w:tr2bl w:val="nil"/>
            </w:tcBorders>
            <w:shd w:val="clear" w:color="auto" w:fill="FFFFFF"/>
            <w:noWrap w:val="0"/>
            <w:vAlign w:val="center"/>
          </w:tcPr>
          <w:p w14:paraId="501F751C">
            <w:pPr>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w:t>
            </w:r>
          </w:p>
        </w:tc>
        <w:tc>
          <w:tcPr>
            <w:tcW w:w="1143" w:type="dxa"/>
            <w:tcBorders>
              <w:tl2br w:val="nil"/>
              <w:tr2bl w:val="nil"/>
            </w:tcBorders>
            <w:shd w:val="clear" w:color="auto" w:fill="FFFFFF"/>
            <w:noWrap w:val="0"/>
            <w:vAlign w:val="center"/>
          </w:tcPr>
          <w:p w14:paraId="638EC9A3">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1.82</w:t>
            </w:r>
          </w:p>
        </w:tc>
        <w:tc>
          <w:tcPr>
            <w:tcW w:w="1142" w:type="dxa"/>
            <w:tcBorders>
              <w:tl2br w:val="nil"/>
              <w:tr2bl w:val="nil"/>
            </w:tcBorders>
            <w:shd w:val="clear" w:color="auto" w:fill="FFFFFF"/>
            <w:noWrap w:val="0"/>
            <w:vAlign w:val="center"/>
          </w:tcPr>
          <w:p w14:paraId="653567D0">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w:t>
            </w:r>
          </w:p>
        </w:tc>
        <w:tc>
          <w:tcPr>
            <w:tcW w:w="2553" w:type="dxa"/>
            <w:tcBorders>
              <w:tl2br w:val="nil"/>
              <w:tr2bl w:val="nil"/>
            </w:tcBorders>
            <w:shd w:val="clear" w:color="auto" w:fill="FFFFFF"/>
            <w:noWrap w:val="0"/>
            <w:vAlign w:val="center"/>
          </w:tcPr>
          <w:p w14:paraId="79066D8A">
            <w:pPr>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全封闭，洒水喷淋</w:t>
            </w:r>
          </w:p>
        </w:tc>
        <w:tc>
          <w:tcPr>
            <w:tcW w:w="938" w:type="dxa"/>
            <w:tcBorders>
              <w:tl2br w:val="nil"/>
              <w:tr2bl w:val="nil"/>
            </w:tcBorders>
            <w:shd w:val="clear" w:color="auto" w:fill="FFFFFF"/>
            <w:noWrap w:val="0"/>
            <w:vAlign w:val="center"/>
          </w:tcPr>
          <w:p w14:paraId="3C3608BB">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9</w:t>
            </w:r>
            <w:r>
              <w:rPr>
                <w:rFonts w:hint="eastAsia" w:ascii="Times New Roman" w:hAnsi="Times New Roman" w:cs="Times New Roman"/>
                <w:bCs/>
                <w:color w:val="auto"/>
                <w:sz w:val="21"/>
                <w:szCs w:val="21"/>
                <w:highlight w:val="none"/>
                <w:lang w:val="en-US" w:eastAsia="zh-CN"/>
              </w:rPr>
              <w:t>0</w:t>
            </w:r>
          </w:p>
        </w:tc>
        <w:tc>
          <w:tcPr>
            <w:tcW w:w="1275" w:type="dxa"/>
            <w:tcBorders>
              <w:tl2br w:val="nil"/>
              <w:tr2bl w:val="nil"/>
            </w:tcBorders>
            <w:shd w:val="clear" w:color="auto" w:fill="FFFFFF"/>
            <w:noWrap w:val="0"/>
            <w:vAlign w:val="center"/>
          </w:tcPr>
          <w:p w14:paraId="3A0852DE">
            <w:pPr>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w:t>
            </w:r>
          </w:p>
        </w:tc>
        <w:tc>
          <w:tcPr>
            <w:tcW w:w="1219" w:type="dxa"/>
            <w:tcBorders>
              <w:tl2br w:val="nil"/>
              <w:tr2bl w:val="nil"/>
            </w:tcBorders>
            <w:shd w:val="clear" w:color="auto" w:fill="FFFFFF"/>
            <w:noWrap w:val="0"/>
            <w:vAlign w:val="center"/>
          </w:tcPr>
          <w:p w14:paraId="0C30CA12">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0.14</w:t>
            </w:r>
          </w:p>
        </w:tc>
        <w:tc>
          <w:tcPr>
            <w:tcW w:w="1106" w:type="dxa"/>
            <w:tcBorders>
              <w:tl2br w:val="nil"/>
              <w:tr2bl w:val="nil"/>
            </w:tcBorders>
            <w:shd w:val="clear" w:color="auto" w:fill="FFFFFF"/>
            <w:noWrap w:val="0"/>
            <w:vAlign w:val="center"/>
          </w:tcPr>
          <w:p w14:paraId="3196741F">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w:t>
            </w:r>
          </w:p>
        </w:tc>
        <w:tc>
          <w:tcPr>
            <w:tcW w:w="844" w:type="dxa"/>
            <w:tcBorders>
              <w:tl2br w:val="nil"/>
              <w:tr2bl w:val="nil"/>
            </w:tcBorders>
            <w:shd w:val="clear" w:color="auto" w:fill="FFFFFF"/>
            <w:noWrap w:val="0"/>
            <w:vAlign w:val="center"/>
          </w:tcPr>
          <w:p w14:paraId="0A24FE2D">
            <w:pPr>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1.0</w:t>
            </w:r>
          </w:p>
        </w:tc>
      </w:tr>
      <w:tr w14:paraId="2AB1440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44" w:type="dxa"/>
            <w:tcBorders>
              <w:tl2br w:val="nil"/>
              <w:tr2bl w:val="nil"/>
            </w:tcBorders>
            <w:shd w:val="clear" w:color="auto" w:fill="FFFFFF"/>
            <w:noWrap w:val="0"/>
            <w:vAlign w:val="center"/>
          </w:tcPr>
          <w:p w14:paraId="1125B506">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碎煤机室</w:t>
            </w:r>
          </w:p>
        </w:tc>
        <w:tc>
          <w:tcPr>
            <w:tcW w:w="944" w:type="dxa"/>
            <w:tcBorders>
              <w:tl2br w:val="nil"/>
              <w:tr2bl w:val="nil"/>
            </w:tcBorders>
            <w:shd w:val="clear" w:color="auto" w:fill="FFFFFF"/>
            <w:noWrap w:val="0"/>
            <w:vAlign w:val="center"/>
          </w:tcPr>
          <w:p w14:paraId="0CD4456A">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碎煤机室</w:t>
            </w:r>
          </w:p>
        </w:tc>
        <w:tc>
          <w:tcPr>
            <w:tcW w:w="862" w:type="dxa"/>
            <w:tcBorders>
              <w:tl2br w:val="nil"/>
              <w:tr2bl w:val="nil"/>
            </w:tcBorders>
            <w:shd w:val="clear" w:color="auto" w:fill="FFFFFF"/>
            <w:noWrap w:val="0"/>
            <w:vAlign w:val="center"/>
          </w:tcPr>
          <w:p w14:paraId="3BE5647A">
            <w:pPr>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lang w:val="en-US" w:eastAsia="zh-CN"/>
              </w:rPr>
              <w:t>颗粒物</w:t>
            </w:r>
          </w:p>
        </w:tc>
        <w:tc>
          <w:tcPr>
            <w:tcW w:w="1204" w:type="dxa"/>
            <w:tcBorders>
              <w:tl2br w:val="nil"/>
              <w:tr2bl w:val="nil"/>
            </w:tcBorders>
            <w:shd w:val="clear" w:color="auto" w:fill="FFFFFF"/>
            <w:noWrap w:val="0"/>
            <w:vAlign w:val="center"/>
          </w:tcPr>
          <w:p w14:paraId="6D9F9CA6">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w:t>
            </w:r>
          </w:p>
        </w:tc>
        <w:tc>
          <w:tcPr>
            <w:tcW w:w="1143" w:type="dxa"/>
            <w:tcBorders>
              <w:tl2br w:val="nil"/>
              <w:tr2bl w:val="nil"/>
            </w:tcBorders>
            <w:shd w:val="clear" w:color="auto" w:fill="FFFFFF"/>
            <w:noWrap w:val="0"/>
            <w:vAlign w:val="center"/>
          </w:tcPr>
          <w:p w14:paraId="1C9D1172">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2.89</w:t>
            </w:r>
          </w:p>
        </w:tc>
        <w:tc>
          <w:tcPr>
            <w:tcW w:w="1142" w:type="dxa"/>
            <w:tcBorders>
              <w:tl2br w:val="nil"/>
              <w:tr2bl w:val="nil"/>
            </w:tcBorders>
            <w:shd w:val="clear" w:color="auto" w:fill="FFFFFF"/>
            <w:noWrap w:val="0"/>
            <w:vAlign w:val="center"/>
          </w:tcPr>
          <w:p w14:paraId="2D65B893">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w:t>
            </w:r>
          </w:p>
        </w:tc>
        <w:tc>
          <w:tcPr>
            <w:tcW w:w="2553" w:type="dxa"/>
            <w:tcBorders>
              <w:tl2br w:val="nil"/>
              <w:tr2bl w:val="nil"/>
            </w:tcBorders>
            <w:shd w:val="clear" w:color="auto" w:fill="FFFFFF"/>
            <w:noWrap w:val="0"/>
            <w:vAlign w:val="center"/>
          </w:tcPr>
          <w:p w14:paraId="30017A08">
            <w:pPr>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eastAsia" w:ascii="Times New Roman" w:hAnsi="Times New Roman" w:eastAsia="宋体" w:cs="Times New Roman"/>
                <w:bCs/>
                <w:color w:val="auto"/>
                <w:sz w:val="21"/>
                <w:szCs w:val="21"/>
                <w:highlight w:val="none"/>
                <w:lang w:eastAsia="zh-CN"/>
              </w:rPr>
            </w:pPr>
            <w:r>
              <w:rPr>
                <w:rFonts w:hint="default" w:ascii="Times New Roman" w:hAnsi="Times New Roman" w:eastAsia="宋体" w:cs="Times New Roman"/>
                <w:bCs/>
                <w:color w:val="auto"/>
                <w:sz w:val="21"/>
                <w:szCs w:val="21"/>
                <w:highlight w:val="none"/>
              </w:rPr>
              <w:t>全封闭管控</w:t>
            </w:r>
            <w:r>
              <w:rPr>
                <w:rFonts w:hint="eastAsia" w:ascii="Times New Roman" w:hAnsi="Times New Roman" w:eastAsia="宋体" w:cs="Times New Roman"/>
                <w:bCs/>
                <w:color w:val="auto"/>
                <w:sz w:val="21"/>
                <w:szCs w:val="21"/>
                <w:highlight w:val="none"/>
                <w:lang w:eastAsia="zh-CN"/>
              </w:rPr>
              <w:t>，配置除尘系统</w:t>
            </w:r>
          </w:p>
        </w:tc>
        <w:tc>
          <w:tcPr>
            <w:tcW w:w="938" w:type="dxa"/>
            <w:tcBorders>
              <w:tl2br w:val="nil"/>
              <w:tr2bl w:val="nil"/>
            </w:tcBorders>
            <w:shd w:val="clear" w:color="auto" w:fill="FFFFFF"/>
            <w:noWrap w:val="0"/>
            <w:vAlign w:val="center"/>
          </w:tcPr>
          <w:p w14:paraId="6920D07A">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9</w:t>
            </w:r>
            <w:r>
              <w:rPr>
                <w:rFonts w:hint="eastAsia" w:ascii="Times New Roman" w:hAnsi="Times New Roman" w:cs="Times New Roman"/>
                <w:bCs/>
                <w:color w:val="auto"/>
                <w:sz w:val="21"/>
                <w:szCs w:val="21"/>
                <w:highlight w:val="none"/>
                <w:lang w:val="en-US" w:eastAsia="zh-CN"/>
              </w:rPr>
              <w:t>9</w:t>
            </w:r>
          </w:p>
        </w:tc>
        <w:tc>
          <w:tcPr>
            <w:tcW w:w="1275" w:type="dxa"/>
            <w:tcBorders>
              <w:tl2br w:val="nil"/>
              <w:tr2bl w:val="nil"/>
            </w:tcBorders>
            <w:shd w:val="clear" w:color="auto" w:fill="FFFFFF"/>
            <w:noWrap w:val="0"/>
            <w:vAlign w:val="center"/>
          </w:tcPr>
          <w:p w14:paraId="44D97407">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w:t>
            </w:r>
          </w:p>
        </w:tc>
        <w:tc>
          <w:tcPr>
            <w:tcW w:w="1219" w:type="dxa"/>
            <w:tcBorders>
              <w:tl2br w:val="nil"/>
              <w:tr2bl w:val="nil"/>
            </w:tcBorders>
            <w:shd w:val="clear" w:color="auto" w:fill="FFFFFF"/>
            <w:noWrap w:val="0"/>
            <w:vAlign w:val="center"/>
          </w:tcPr>
          <w:p w14:paraId="520835D2">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0.002</w:t>
            </w:r>
          </w:p>
        </w:tc>
        <w:tc>
          <w:tcPr>
            <w:tcW w:w="1106" w:type="dxa"/>
            <w:tcBorders>
              <w:tl2br w:val="nil"/>
              <w:tr2bl w:val="nil"/>
            </w:tcBorders>
            <w:shd w:val="clear" w:color="auto" w:fill="FFFFFF"/>
            <w:noWrap w:val="0"/>
            <w:vAlign w:val="center"/>
          </w:tcPr>
          <w:p w14:paraId="0A2C642C">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w:t>
            </w:r>
          </w:p>
        </w:tc>
        <w:tc>
          <w:tcPr>
            <w:tcW w:w="844" w:type="dxa"/>
            <w:tcBorders>
              <w:tl2br w:val="nil"/>
              <w:tr2bl w:val="nil"/>
            </w:tcBorders>
            <w:shd w:val="clear" w:color="auto" w:fill="FFFFFF"/>
            <w:noWrap w:val="0"/>
            <w:vAlign w:val="center"/>
          </w:tcPr>
          <w:p w14:paraId="7A48DCC0">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1.0</w:t>
            </w:r>
          </w:p>
        </w:tc>
      </w:tr>
      <w:tr w14:paraId="3A8CDE9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44" w:type="dxa"/>
            <w:tcBorders>
              <w:tl2br w:val="nil"/>
              <w:tr2bl w:val="nil"/>
            </w:tcBorders>
            <w:shd w:val="clear" w:color="auto" w:fill="FFFFFF"/>
            <w:noWrap w:val="0"/>
            <w:vAlign w:val="center"/>
          </w:tcPr>
          <w:p w14:paraId="1C5E947C">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储煤</w:t>
            </w:r>
            <w:r>
              <w:rPr>
                <w:rFonts w:hint="eastAsia" w:ascii="Times New Roman" w:hAnsi="Times New Roman" w:cs="Times New Roman"/>
                <w:bCs/>
                <w:color w:val="auto"/>
                <w:sz w:val="21"/>
                <w:szCs w:val="21"/>
                <w:highlight w:val="none"/>
                <w:lang w:val="en-US" w:eastAsia="zh-CN"/>
              </w:rPr>
              <w:t>场</w:t>
            </w:r>
          </w:p>
        </w:tc>
        <w:tc>
          <w:tcPr>
            <w:tcW w:w="944" w:type="dxa"/>
            <w:tcBorders>
              <w:tl2br w:val="nil"/>
              <w:tr2bl w:val="nil"/>
            </w:tcBorders>
            <w:shd w:val="clear" w:color="auto" w:fill="FFFFFF"/>
            <w:noWrap w:val="0"/>
            <w:vAlign w:val="center"/>
          </w:tcPr>
          <w:p w14:paraId="02A56C11">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储煤</w:t>
            </w:r>
            <w:r>
              <w:rPr>
                <w:rFonts w:hint="eastAsia" w:ascii="Times New Roman" w:hAnsi="Times New Roman" w:cs="Times New Roman"/>
                <w:bCs/>
                <w:color w:val="auto"/>
                <w:sz w:val="21"/>
                <w:szCs w:val="21"/>
                <w:highlight w:val="none"/>
                <w:lang w:val="en-US" w:eastAsia="zh-CN"/>
              </w:rPr>
              <w:t>场</w:t>
            </w:r>
          </w:p>
        </w:tc>
        <w:tc>
          <w:tcPr>
            <w:tcW w:w="862" w:type="dxa"/>
            <w:tcBorders>
              <w:tl2br w:val="nil"/>
              <w:tr2bl w:val="nil"/>
            </w:tcBorders>
            <w:shd w:val="clear" w:color="auto" w:fill="FFFFFF"/>
            <w:noWrap w:val="0"/>
            <w:vAlign w:val="center"/>
          </w:tcPr>
          <w:p w14:paraId="4C065634">
            <w:pPr>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颗粒物</w:t>
            </w:r>
          </w:p>
        </w:tc>
        <w:tc>
          <w:tcPr>
            <w:tcW w:w="1204" w:type="dxa"/>
            <w:tcBorders>
              <w:tl2br w:val="nil"/>
              <w:tr2bl w:val="nil"/>
            </w:tcBorders>
            <w:shd w:val="clear" w:color="auto" w:fill="FFFFFF"/>
            <w:noWrap w:val="0"/>
            <w:vAlign w:val="center"/>
          </w:tcPr>
          <w:p w14:paraId="2C719900">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w:t>
            </w:r>
          </w:p>
        </w:tc>
        <w:tc>
          <w:tcPr>
            <w:tcW w:w="1143" w:type="dxa"/>
            <w:tcBorders>
              <w:tl2br w:val="nil"/>
              <w:tr2bl w:val="nil"/>
            </w:tcBorders>
            <w:shd w:val="clear" w:color="auto" w:fill="FFFFFF"/>
            <w:noWrap w:val="0"/>
            <w:vAlign w:val="center"/>
          </w:tcPr>
          <w:p w14:paraId="0A94DF33">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0.004</w:t>
            </w:r>
          </w:p>
        </w:tc>
        <w:tc>
          <w:tcPr>
            <w:tcW w:w="1142" w:type="dxa"/>
            <w:tcBorders>
              <w:tl2br w:val="nil"/>
              <w:tr2bl w:val="nil"/>
            </w:tcBorders>
            <w:shd w:val="clear" w:color="auto" w:fill="FFFFFF"/>
            <w:noWrap w:val="0"/>
            <w:vAlign w:val="center"/>
          </w:tcPr>
          <w:p w14:paraId="68DF80F1">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w:t>
            </w:r>
          </w:p>
        </w:tc>
        <w:tc>
          <w:tcPr>
            <w:tcW w:w="2553" w:type="dxa"/>
            <w:tcBorders>
              <w:tl2br w:val="nil"/>
              <w:tr2bl w:val="nil"/>
            </w:tcBorders>
            <w:shd w:val="clear" w:color="auto" w:fill="FFFFFF"/>
            <w:noWrap w:val="0"/>
            <w:vAlign w:val="center"/>
          </w:tcPr>
          <w:p w14:paraId="129FCC91">
            <w:pPr>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防风抑尘网，苫布遮盖</w:t>
            </w:r>
          </w:p>
        </w:tc>
        <w:tc>
          <w:tcPr>
            <w:tcW w:w="938" w:type="dxa"/>
            <w:tcBorders>
              <w:tl2br w:val="nil"/>
              <w:tr2bl w:val="nil"/>
            </w:tcBorders>
            <w:shd w:val="clear" w:color="auto" w:fill="FFFFFF"/>
            <w:noWrap w:val="0"/>
            <w:vAlign w:val="center"/>
          </w:tcPr>
          <w:p w14:paraId="3740AE29">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60</w:t>
            </w:r>
          </w:p>
        </w:tc>
        <w:tc>
          <w:tcPr>
            <w:tcW w:w="1275" w:type="dxa"/>
            <w:tcBorders>
              <w:tl2br w:val="nil"/>
              <w:tr2bl w:val="nil"/>
            </w:tcBorders>
            <w:shd w:val="clear" w:color="auto" w:fill="FFFFFF"/>
            <w:noWrap w:val="0"/>
            <w:vAlign w:val="center"/>
          </w:tcPr>
          <w:p w14:paraId="40FED282">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w:t>
            </w:r>
          </w:p>
        </w:tc>
        <w:tc>
          <w:tcPr>
            <w:tcW w:w="1219" w:type="dxa"/>
            <w:tcBorders>
              <w:tl2br w:val="nil"/>
              <w:tr2bl w:val="nil"/>
            </w:tcBorders>
            <w:shd w:val="clear" w:color="auto" w:fill="FFFFFF"/>
            <w:noWrap w:val="0"/>
            <w:vAlign w:val="center"/>
          </w:tcPr>
          <w:p w14:paraId="03BC74D7">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w:t>
            </w:r>
            <w:r>
              <w:rPr>
                <w:rFonts w:hint="eastAsia" w:ascii="Times New Roman" w:hAnsi="Times New Roman" w:cs="Times New Roman"/>
                <w:bCs/>
                <w:color w:val="auto"/>
                <w:sz w:val="21"/>
                <w:szCs w:val="21"/>
                <w:highlight w:val="none"/>
                <w:lang w:val="en-US" w:eastAsia="zh-CN"/>
              </w:rPr>
              <w:t>001</w:t>
            </w:r>
          </w:p>
        </w:tc>
        <w:tc>
          <w:tcPr>
            <w:tcW w:w="1106" w:type="dxa"/>
            <w:tcBorders>
              <w:tl2br w:val="nil"/>
              <w:tr2bl w:val="nil"/>
            </w:tcBorders>
            <w:shd w:val="clear" w:color="auto" w:fill="FFFFFF"/>
            <w:noWrap w:val="0"/>
            <w:vAlign w:val="center"/>
          </w:tcPr>
          <w:p w14:paraId="0A046C36">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w:t>
            </w:r>
          </w:p>
        </w:tc>
        <w:tc>
          <w:tcPr>
            <w:tcW w:w="844" w:type="dxa"/>
            <w:tcBorders>
              <w:tl2br w:val="nil"/>
              <w:tr2bl w:val="nil"/>
            </w:tcBorders>
            <w:shd w:val="clear" w:color="auto" w:fill="FFFFFF"/>
            <w:noWrap w:val="0"/>
            <w:vAlign w:val="center"/>
          </w:tcPr>
          <w:p w14:paraId="6C594E6D">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1.0</w:t>
            </w:r>
          </w:p>
        </w:tc>
      </w:tr>
    </w:tbl>
    <w:p w14:paraId="147B5F4C">
      <w:pPr>
        <w:pStyle w:val="31"/>
        <w:ind w:left="0" w:leftChars="0" w:firstLine="0" w:firstLineChars="0"/>
        <w:rPr>
          <w:rFonts w:hint="default" w:ascii="Times New Roman" w:hAnsi="Times New Roman" w:eastAsia="宋体" w:cs="Times New Roman"/>
          <w:color w:val="auto"/>
          <w:highlight w:val="none"/>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02512085">
      <w:pPr>
        <w:pStyle w:val="6"/>
        <w:numPr>
          <w:ilvl w:val="2"/>
          <w:numId w:val="3"/>
        </w:numPr>
        <w:bidi w:val="0"/>
        <w:ind w:left="709" w:leftChars="0" w:hanging="709" w:firstLineChars="0"/>
        <w:rPr>
          <w:rFonts w:hint="default" w:ascii="Times New Roman" w:hAnsi="Times New Roman" w:eastAsia="宋体" w:cs="Times New Roman"/>
          <w:color w:val="auto"/>
          <w:highlight w:val="none"/>
          <w:lang w:val="en-US" w:eastAsia="zh-CN"/>
        </w:rPr>
      </w:pPr>
      <w:bookmarkStart w:id="313" w:name="_Toc30496"/>
      <w:bookmarkStart w:id="314" w:name="_Toc6740"/>
      <w:bookmarkStart w:id="315" w:name="_Toc32330"/>
      <w:r>
        <w:rPr>
          <w:rFonts w:hint="default" w:ascii="Times New Roman" w:hAnsi="Times New Roman" w:eastAsia="宋体" w:cs="Times New Roman"/>
          <w:color w:val="auto"/>
          <w:highlight w:val="none"/>
        </w:rPr>
        <w:t>废水</w:t>
      </w:r>
      <w:r>
        <w:rPr>
          <w:rFonts w:hint="default" w:ascii="Times New Roman" w:hAnsi="Times New Roman" w:eastAsia="宋体" w:cs="Times New Roman"/>
          <w:color w:val="auto"/>
          <w:highlight w:val="none"/>
          <w:lang w:eastAsia="zh-CN"/>
        </w:rPr>
        <w:t>污染物源强</w:t>
      </w:r>
      <w:bookmarkEnd w:id="313"/>
      <w:bookmarkEnd w:id="314"/>
      <w:bookmarkEnd w:id="315"/>
    </w:p>
    <w:p w14:paraId="17E151AF">
      <w:pPr>
        <w:pStyle w:val="93"/>
        <w:ind w:firstLine="480"/>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（1）</w:t>
      </w:r>
      <w:r>
        <w:rPr>
          <w:rFonts w:hint="eastAsia" w:eastAsia="宋体" w:cs="Times New Roman"/>
          <w:color w:val="auto"/>
          <w:spacing w:val="0"/>
          <w:sz w:val="24"/>
          <w:szCs w:val="24"/>
          <w:highlight w:val="none"/>
          <w:lang w:val="en-US" w:eastAsia="zh-CN"/>
        </w:rPr>
        <w:t>生产废水</w:t>
      </w:r>
    </w:p>
    <w:p w14:paraId="27299CD2">
      <w:pPr>
        <w:numPr>
          <w:ilvl w:val="0"/>
          <w:numId w:val="0"/>
        </w:numPr>
        <w:spacing w:line="480" w:lineRule="exact"/>
        <w:ind w:firstLine="480" w:firstLineChars="200"/>
        <w:rPr>
          <w:rFonts w:hint="default" w:ascii="Times New Roman" w:hAnsi="Times New Roman" w:eastAsia="宋体" w:cs="Times New Roman"/>
          <w:color w:val="auto"/>
          <w:spacing w:val="0"/>
          <w:sz w:val="24"/>
          <w:szCs w:val="24"/>
          <w:highlight w:val="none"/>
          <w:lang w:eastAsia="zh-CN"/>
        </w:rPr>
      </w:pPr>
      <w:r>
        <w:rPr>
          <w:rFonts w:hint="default" w:ascii="Times New Roman" w:hAnsi="Times New Roman" w:eastAsia="宋体" w:cs="Times New Roman"/>
          <w:color w:val="auto"/>
          <w:spacing w:val="0"/>
          <w:sz w:val="24"/>
          <w:szCs w:val="24"/>
          <w:highlight w:val="none"/>
          <w:lang w:eastAsia="zh-CN"/>
        </w:rPr>
        <w:t>本项目</w:t>
      </w:r>
      <w:r>
        <w:rPr>
          <w:rFonts w:hint="default" w:ascii="Times New Roman" w:hAnsi="Times New Roman" w:eastAsia="宋体" w:cs="Times New Roman"/>
          <w:color w:val="auto"/>
          <w:sz w:val="24"/>
          <w:szCs w:val="24"/>
          <w:highlight w:val="none"/>
          <w:lang w:val="en-US" w:eastAsia="zh-CN"/>
        </w:rPr>
        <w:t>锅炉用水来自</w:t>
      </w:r>
      <w:r>
        <w:rPr>
          <w:rFonts w:hint="eastAsia" w:ascii="Times New Roman" w:hAnsi="Times New Roman" w:eastAsia="宋体" w:cs="Times New Roman"/>
          <w:color w:val="auto"/>
          <w:sz w:val="24"/>
          <w:szCs w:val="24"/>
          <w:highlight w:val="none"/>
          <w:lang w:val="en-US" w:eastAsia="zh-CN"/>
        </w:rPr>
        <w:t>佳木斯中恒热电有限公司</w:t>
      </w:r>
      <w:r>
        <w:rPr>
          <w:rFonts w:hint="default" w:ascii="Times New Roman" w:hAnsi="Times New Roman" w:eastAsia="宋体" w:cs="Times New Roman"/>
          <w:color w:val="auto"/>
          <w:sz w:val="24"/>
          <w:szCs w:val="24"/>
          <w:highlight w:val="none"/>
          <w:lang w:val="en-US" w:eastAsia="zh-CN"/>
        </w:rPr>
        <w:t>主热源</w:t>
      </w:r>
      <w:r>
        <w:rPr>
          <w:rFonts w:hint="eastAsia" w:ascii="Times New Roman" w:hAnsi="Times New Roman" w:eastAsia="宋体" w:cs="Times New Roman"/>
          <w:color w:val="auto"/>
          <w:sz w:val="24"/>
          <w:szCs w:val="24"/>
          <w:highlight w:val="none"/>
          <w:lang w:val="en-US" w:eastAsia="zh-CN"/>
        </w:rPr>
        <w:t>现有制</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补水系统，</w:t>
      </w:r>
      <w:r>
        <w:rPr>
          <w:rFonts w:hint="default" w:ascii="Times New Roman" w:hAnsi="Times New Roman" w:eastAsia="宋体" w:cs="Times New Roman"/>
          <w:color w:val="auto"/>
          <w:sz w:val="24"/>
          <w:szCs w:val="24"/>
          <w:highlight w:val="none"/>
          <w:lang w:val="en-US" w:eastAsia="zh-CN"/>
        </w:rPr>
        <w:t>本项目产生的生产废水全部回用，不外排。脱硫废水经曝气、沉淀后用于输煤系统除尘、除渣用水，脱硫废水处理能力为2t/h。含煤废水经厂区内现有污水处理间处理，处理工艺为过滤+沉淀+气浮，处理后的废水进入地下水池回用。软化水处理废水、处理后的脱硫废水、锅炉排污水用于脱硫、脱硝、输煤系统除尘水、</w:t>
      </w:r>
      <w:r>
        <w:rPr>
          <w:rFonts w:hint="eastAsia" w:ascii="Times New Roman" w:hAnsi="Times New Roman" w:eastAsia="宋体" w:cs="Times New Roman"/>
          <w:color w:val="auto"/>
          <w:sz w:val="24"/>
          <w:szCs w:val="24"/>
          <w:highlight w:val="none"/>
          <w:lang w:val="en-US" w:eastAsia="zh-CN"/>
        </w:rPr>
        <w:t>渣库降尘等工序</w:t>
      </w:r>
      <w:r>
        <w:rPr>
          <w:rFonts w:hint="default" w:ascii="Times New Roman" w:hAnsi="Times New Roman" w:eastAsia="宋体" w:cs="Times New Roman"/>
          <w:color w:val="auto"/>
          <w:highlight w:val="none"/>
          <w:lang w:val="en-US" w:eastAsia="zh-CN"/>
        </w:rPr>
        <w:t>。</w:t>
      </w:r>
    </w:p>
    <w:p w14:paraId="0AF7EB22">
      <w:pPr>
        <w:numPr>
          <w:ilvl w:val="0"/>
          <w:numId w:val="0"/>
        </w:numPr>
        <w:spacing w:line="480" w:lineRule="exact"/>
        <w:ind w:firstLine="480" w:firstLineChars="200"/>
        <w:rPr>
          <w:rFonts w:hint="default" w:ascii="Times New Roman" w:hAnsi="Times New Roman" w:eastAsia="宋体" w:cs="Times New Roman"/>
          <w:color w:val="auto"/>
          <w:spacing w:val="0"/>
          <w:highlight w:val="none"/>
        </w:rPr>
      </w:pPr>
      <w:r>
        <w:rPr>
          <w:rFonts w:hint="default" w:ascii="Times New Roman" w:hAnsi="Times New Roman" w:eastAsia="宋体"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lang w:val="en-US" w:eastAsia="zh-CN"/>
        </w:rPr>
        <w:t>2</w:t>
      </w:r>
      <w:r>
        <w:rPr>
          <w:rFonts w:hint="default" w:ascii="Times New Roman" w:hAnsi="Times New Roman" w:eastAsia="宋体" w:cs="Times New Roman"/>
          <w:color w:val="auto"/>
          <w:spacing w:val="0"/>
          <w:sz w:val="24"/>
          <w:szCs w:val="24"/>
          <w:highlight w:val="none"/>
          <w:lang w:eastAsia="zh-CN"/>
        </w:rPr>
        <w:t>）生活污水</w:t>
      </w:r>
    </w:p>
    <w:p w14:paraId="7D3772CA">
      <w:pPr>
        <w:pStyle w:val="93"/>
        <w:ind w:firstLine="480"/>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本项目不新增工作人员，</w:t>
      </w:r>
      <w:r>
        <w:rPr>
          <w:rFonts w:hint="eastAsia" w:eastAsia="宋体" w:cs="Times New Roman"/>
          <w:color w:val="auto"/>
          <w:spacing w:val="0"/>
          <w:sz w:val="24"/>
          <w:szCs w:val="24"/>
          <w:highlight w:val="none"/>
          <w:lang w:val="en-US" w:eastAsia="zh-CN"/>
        </w:rPr>
        <w:t>不新增生活污水。</w:t>
      </w:r>
      <w:r>
        <w:rPr>
          <w:rFonts w:hint="default" w:ascii="Times New Roman" w:hAnsi="Times New Roman" w:eastAsia="宋体" w:cs="Times New Roman"/>
          <w:color w:val="auto"/>
          <w:spacing w:val="0"/>
          <w:sz w:val="24"/>
          <w:szCs w:val="24"/>
          <w:highlight w:val="none"/>
          <w:lang w:val="en-US" w:eastAsia="zh-CN"/>
        </w:rPr>
        <w:t>工作人员由厂区人员内部调配。厂区</w:t>
      </w:r>
      <w:r>
        <w:rPr>
          <w:rFonts w:hint="eastAsia" w:eastAsia="宋体" w:cs="Times New Roman"/>
          <w:color w:val="auto"/>
          <w:spacing w:val="0"/>
          <w:sz w:val="24"/>
          <w:szCs w:val="24"/>
          <w:highlight w:val="none"/>
          <w:lang w:val="en-US" w:eastAsia="zh-CN"/>
        </w:rPr>
        <w:t>现有</w:t>
      </w:r>
      <w:r>
        <w:rPr>
          <w:rFonts w:hint="default" w:ascii="Times New Roman" w:hAnsi="Times New Roman" w:eastAsia="宋体" w:cs="Times New Roman"/>
          <w:color w:val="auto"/>
          <w:spacing w:val="0"/>
          <w:sz w:val="24"/>
          <w:szCs w:val="24"/>
          <w:highlight w:val="none"/>
          <w:lang w:val="en-US" w:eastAsia="zh-CN"/>
        </w:rPr>
        <w:t>生活污水经市政污水管网排入</w:t>
      </w:r>
      <w:r>
        <w:rPr>
          <w:rFonts w:hint="eastAsia" w:eastAsia="宋体" w:cs="Times New Roman"/>
          <w:color w:val="auto"/>
          <w:spacing w:val="0"/>
          <w:sz w:val="24"/>
          <w:szCs w:val="24"/>
          <w:highlight w:val="none"/>
          <w:lang w:val="en-US" w:eastAsia="zh-CN"/>
        </w:rPr>
        <w:t>佳木斯西区污水处理厂</w:t>
      </w:r>
      <w:r>
        <w:rPr>
          <w:rFonts w:hint="default" w:ascii="Times New Roman" w:hAnsi="Times New Roman" w:eastAsia="宋体" w:cs="Times New Roman"/>
          <w:color w:val="auto"/>
          <w:spacing w:val="0"/>
          <w:sz w:val="24"/>
          <w:szCs w:val="24"/>
          <w:highlight w:val="none"/>
          <w:lang w:val="en-US" w:eastAsia="zh-CN"/>
        </w:rPr>
        <w:t>处理达到《城镇污水处理厂污染物排放标准》</w:t>
      </w:r>
      <w:r>
        <w:rPr>
          <w:rFonts w:hint="eastAsia"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lang w:val="en-US" w:eastAsia="zh-CN"/>
        </w:rPr>
        <w:t>GB18918—2002</w:t>
      </w:r>
      <w:r>
        <w:rPr>
          <w:rFonts w:hint="eastAsia"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lang w:val="en-US" w:eastAsia="zh-CN"/>
        </w:rPr>
        <w:t>一级 A 标准后排放至</w:t>
      </w:r>
      <w:r>
        <w:rPr>
          <w:rFonts w:hint="eastAsia" w:eastAsia="宋体" w:cs="Times New Roman"/>
          <w:color w:val="auto"/>
          <w:spacing w:val="0"/>
          <w:sz w:val="24"/>
          <w:szCs w:val="24"/>
          <w:highlight w:val="none"/>
          <w:lang w:val="en-US" w:eastAsia="zh-CN"/>
        </w:rPr>
        <w:t>松花江</w:t>
      </w:r>
      <w:r>
        <w:rPr>
          <w:rFonts w:hint="default" w:ascii="Times New Roman" w:hAnsi="Times New Roman" w:eastAsia="宋体" w:cs="Times New Roman"/>
          <w:color w:val="auto"/>
          <w:spacing w:val="0"/>
          <w:sz w:val="24"/>
          <w:szCs w:val="24"/>
          <w:highlight w:val="none"/>
          <w:lang w:val="en-US" w:eastAsia="zh-CN"/>
        </w:rPr>
        <w:t>。</w:t>
      </w:r>
    </w:p>
    <w:p w14:paraId="28B2CB7E">
      <w:pPr>
        <w:pStyle w:val="93"/>
        <w:ind w:firstLine="480"/>
        <w:rPr>
          <w:rFonts w:hint="default" w:ascii="Times New Roman" w:hAnsi="Times New Roman" w:eastAsia="宋体" w:cs="Times New Roman"/>
          <w:color w:val="auto"/>
          <w:spacing w:val="0"/>
          <w:highlight w:val="none"/>
        </w:rPr>
      </w:pPr>
      <w:r>
        <w:rPr>
          <w:rFonts w:hint="default" w:ascii="Times New Roman" w:hAnsi="Times New Roman" w:eastAsia="宋体" w:cs="Times New Roman"/>
          <w:color w:val="auto"/>
          <w:spacing w:val="16"/>
          <w:sz w:val="24"/>
          <w:szCs w:val="24"/>
          <w:highlight w:val="none"/>
          <w:lang w:val="en-US" w:eastAsia="zh-CN"/>
        </w:rPr>
        <w:t>废水</w:t>
      </w:r>
      <w:r>
        <w:rPr>
          <w:rFonts w:hint="default" w:ascii="Times New Roman" w:hAnsi="Times New Roman" w:eastAsia="宋体" w:cs="Times New Roman"/>
          <w:color w:val="auto"/>
          <w:spacing w:val="0"/>
          <w:highlight w:val="none"/>
        </w:rPr>
        <w:t>排放情况见表</w:t>
      </w:r>
      <w:r>
        <w:rPr>
          <w:rFonts w:hint="default" w:ascii="Times New Roman" w:hAnsi="Times New Roman" w:eastAsia="宋体" w:cs="Times New Roman"/>
          <w:color w:val="auto"/>
          <w:spacing w:val="0"/>
          <w:highlight w:val="none"/>
          <w:lang w:val="en-US" w:eastAsia="zh-CN"/>
        </w:rPr>
        <w:t>4.3-</w:t>
      </w:r>
      <w:r>
        <w:rPr>
          <w:rFonts w:hint="eastAsia" w:eastAsia="宋体" w:cs="Times New Roman"/>
          <w:color w:val="auto"/>
          <w:spacing w:val="0"/>
          <w:highlight w:val="none"/>
          <w:lang w:val="en-US" w:eastAsia="zh-CN"/>
        </w:rPr>
        <w:t>2</w:t>
      </w:r>
      <w:r>
        <w:rPr>
          <w:rFonts w:hint="default" w:ascii="Times New Roman" w:hAnsi="Times New Roman" w:eastAsia="宋体" w:cs="Times New Roman"/>
          <w:color w:val="auto"/>
          <w:spacing w:val="0"/>
          <w:highlight w:val="none"/>
          <w:lang w:val="en-US" w:eastAsia="zh-CN"/>
        </w:rPr>
        <w:t>。</w:t>
      </w:r>
    </w:p>
    <w:p w14:paraId="4B3E65D5">
      <w:pPr>
        <w:keepNext w:val="0"/>
        <w:keepLines w:val="0"/>
        <w:pageBreakBefore w:val="0"/>
        <w:widowControl w:val="0"/>
        <w:kinsoku/>
        <w:wordWrap/>
        <w:overflowPunct/>
        <w:topLinePunct w:val="0"/>
        <w:autoSpaceDE w:val="0"/>
        <w:autoSpaceDN w:val="0"/>
        <w:bidi w:val="0"/>
        <w:adjustRightInd w:val="0"/>
        <w:snapToGrid/>
        <w:spacing w:line="480" w:lineRule="exact"/>
        <w:jc w:val="center"/>
        <w:textAlignment w:val="auto"/>
        <w:rPr>
          <w:rFonts w:hint="default" w:ascii="Times New Roman" w:hAnsi="Times New Roman" w:eastAsia="宋体" w:cs="Times New Roman"/>
          <w:iCs/>
          <w:color w:val="auto"/>
          <w:sz w:val="24"/>
          <w:highlight w:val="none"/>
        </w:rPr>
      </w:pPr>
      <w:r>
        <w:rPr>
          <w:rFonts w:hint="default" w:ascii="Times New Roman" w:hAnsi="Times New Roman" w:eastAsia="宋体" w:cs="Times New Roman"/>
          <w:iCs/>
          <w:color w:val="auto"/>
          <w:sz w:val="24"/>
          <w:highlight w:val="none"/>
          <w:lang w:val="en-US" w:eastAsia="zh-CN"/>
        </w:rPr>
        <w:t>表4.3-</w:t>
      </w:r>
      <w:r>
        <w:rPr>
          <w:rFonts w:hint="eastAsia" w:ascii="Times New Roman" w:hAnsi="Times New Roman" w:eastAsia="宋体" w:cs="Times New Roman"/>
          <w:iCs/>
          <w:color w:val="auto"/>
          <w:sz w:val="24"/>
          <w:highlight w:val="none"/>
          <w:lang w:val="en-US" w:eastAsia="zh-CN"/>
        </w:rPr>
        <w:t>2</w:t>
      </w:r>
      <w:r>
        <w:rPr>
          <w:rFonts w:hint="default" w:ascii="Times New Roman" w:hAnsi="Times New Roman" w:eastAsia="宋体" w:cs="Times New Roman"/>
          <w:iCs/>
          <w:color w:val="auto"/>
          <w:sz w:val="24"/>
          <w:highlight w:val="none"/>
        </w:rPr>
        <w:t xml:space="preserve">  </w:t>
      </w:r>
      <w:r>
        <w:rPr>
          <w:rFonts w:hint="default" w:ascii="Times New Roman" w:hAnsi="Times New Roman" w:eastAsia="宋体" w:cs="Times New Roman"/>
          <w:iCs/>
          <w:color w:val="auto"/>
          <w:sz w:val="24"/>
          <w:highlight w:val="none"/>
          <w:lang w:val="en-US" w:eastAsia="zh-CN"/>
        </w:rPr>
        <w:t>本项目</w:t>
      </w:r>
      <w:r>
        <w:rPr>
          <w:rFonts w:hint="default" w:ascii="Times New Roman" w:hAnsi="Times New Roman" w:eastAsia="宋体" w:cs="Times New Roman"/>
          <w:iCs/>
          <w:color w:val="auto"/>
          <w:sz w:val="24"/>
          <w:highlight w:val="none"/>
        </w:rPr>
        <w:t>用水量及补给水量表   单位：m</w:t>
      </w:r>
      <w:r>
        <w:rPr>
          <w:rFonts w:hint="default" w:ascii="Times New Roman" w:hAnsi="Times New Roman" w:eastAsia="宋体" w:cs="Times New Roman"/>
          <w:iCs/>
          <w:color w:val="auto"/>
          <w:sz w:val="24"/>
          <w:highlight w:val="none"/>
          <w:vertAlign w:val="superscript"/>
        </w:rPr>
        <w:t>3</w:t>
      </w:r>
      <w:r>
        <w:rPr>
          <w:rFonts w:hint="default" w:ascii="Times New Roman" w:hAnsi="Times New Roman" w:eastAsia="宋体" w:cs="Times New Roman"/>
          <w:iCs/>
          <w:color w:val="auto"/>
          <w:sz w:val="24"/>
          <w:highlight w:val="none"/>
        </w:rPr>
        <w:t>/h</w:t>
      </w:r>
    </w:p>
    <w:tbl>
      <w:tblPr>
        <w:tblStyle w:val="37"/>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750"/>
        <w:gridCol w:w="2034"/>
        <w:gridCol w:w="1852"/>
        <w:gridCol w:w="1435"/>
        <w:gridCol w:w="2451"/>
      </w:tblGrid>
      <w:tr w14:paraId="480A320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50" w:type="dxa"/>
            <w:tcBorders>
              <w:tl2br w:val="nil"/>
              <w:tr2bl w:val="nil"/>
            </w:tcBorders>
            <w:noWrap w:val="0"/>
            <w:vAlign w:val="center"/>
          </w:tcPr>
          <w:p w14:paraId="19629C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kern w:val="2"/>
                <w:sz w:val="21"/>
                <w:szCs w:val="21"/>
                <w:highlight w:val="none"/>
                <w:lang w:val="en-US" w:eastAsia="zh-CN" w:bidi="ar-SA"/>
              </w:rPr>
              <w:t>序号</w:t>
            </w:r>
          </w:p>
        </w:tc>
        <w:tc>
          <w:tcPr>
            <w:tcW w:w="2034" w:type="dxa"/>
            <w:tcBorders>
              <w:tl2br w:val="nil"/>
              <w:tr2bl w:val="nil"/>
            </w:tcBorders>
            <w:noWrap w:val="0"/>
            <w:vAlign w:val="center"/>
          </w:tcPr>
          <w:p w14:paraId="6CD2876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kern w:val="2"/>
                <w:sz w:val="21"/>
                <w:szCs w:val="21"/>
                <w:highlight w:val="none"/>
                <w:lang w:val="en-US" w:eastAsia="zh-CN" w:bidi="ar-SA"/>
              </w:rPr>
              <w:t>用水项目</w:t>
            </w:r>
          </w:p>
        </w:tc>
        <w:tc>
          <w:tcPr>
            <w:tcW w:w="1852" w:type="dxa"/>
            <w:tcBorders>
              <w:tl2br w:val="nil"/>
              <w:tr2bl w:val="nil"/>
            </w:tcBorders>
            <w:noWrap w:val="0"/>
            <w:vAlign w:val="center"/>
          </w:tcPr>
          <w:p w14:paraId="375205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kern w:val="2"/>
                <w:sz w:val="21"/>
                <w:szCs w:val="21"/>
                <w:highlight w:val="none"/>
                <w:lang w:val="en-US" w:eastAsia="zh-CN" w:bidi="ar-SA"/>
              </w:rPr>
              <w:t>用水量（m</w:t>
            </w:r>
            <w:r>
              <w:rPr>
                <w:rFonts w:hint="default" w:ascii="Times New Roman" w:hAnsi="Times New Roman" w:eastAsia="宋体" w:cs="Times New Roman"/>
                <w:color w:val="FF0000"/>
                <w:kern w:val="2"/>
                <w:sz w:val="21"/>
                <w:szCs w:val="21"/>
                <w:highlight w:val="none"/>
                <w:vertAlign w:val="superscript"/>
                <w:lang w:val="en-US" w:eastAsia="zh-CN" w:bidi="ar-SA"/>
              </w:rPr>
              <w:t>3</w:t>
            </w:r>
            <w:r>
              <w:rPr>
                <w:rFonts w:hint="default" w:ascii="Times New Roman" w:hAnsi="Times New Roman" w:eastAsia="宋体" w:cs="Times New Roman"/>
                <w:color w:val="FF0000"/>
                <w:kern w:val="2"/>
                <w:sz w:val="21"/>
                <w:szCs w:val="21"/>
                <w:highlight w:val="none"/>
                <w:lang w:val="en-US" w:eastAsia="zh-CN" w:bidi="ar-SA"/>
              </w:rPr>
              <w:t>/h）</w:t>
            </w:r>
          </w:p>
        </w:tc>
        <w:tc>
          <w:tcPr>
            <w:tcW w:w="1435" w:type="dxa"/>
            <w:tcBorders>
              <w:tl2br w:val="nil"/>
              <w:tr2bl w:val="nil"/>
            </w:tcBorders>
            <w:noWrap w:val="0"/>
            <w:vAlign w:val="center"/>
          </w:tcPr>
          <w:p w14:paraId="2CBA6D6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kern w:val="2"/>
                <w:sz w:val="21"/>
                <w:szCs w:val="21"/>
                <w:highlight w:val="none"/>
                <w:lang w:val="en-US" w:eastAsia="zh-CN" w:bidi="ar-SA"/>
              </w:rPr>
              <w:t>排污量（m</w:t>
            </w:r>
            <w:r>
              <w:rPr>
                <w:rFonts w:hint="default" w:ascii="Times New Roman" w:hAnsi="Times New Roman" w:eastAsia="宋体" w:cs="Times New Roman"/>
                <w:color w:val="FF0000"/>
                <w:kern w:val="2"/>
                <w:sz w:val="21"/>
                <w:szCs w:val="21"/>
                <w:highlight w:val="none"/>
                <w:vertAlign w:val="superscript"/>
                <w:lang w:val="en-US" w:eastAsia="zh-CN" w:bidi="ar-SA"/>
              </w:rPr>
              <w:t>3</w:t>
            </w:r>
            <w:r>
              <w:rPr>
                <w:rFonts w:hint="default" w:ascii="Times New Roman" w:hAnsi="Times New Roman" w:eastAsia="宋体" w:cs="Times New Roman"/>
                <w:color w:val="FF0000"/>
                <w:kern w:val="2"/>
                <w:sz w:val="21"/>
                <w:szCs w:val="21"/>
                <w:highlight w:val="none"/>
                <w:lang w:val="en-US" w:eastAsia="zh-CN" w:bidi="ar-SA"/>
              </w:rPr>
              <w:t>/h）</w:t>
            </w:r>
          </w:p>
        </w:tc>
        <w:tc>
          <w:tcPr>
            <w:tcW w:w="2451" w:type="dxa"/>
            <w:tcBorders>
              <w:tl2br w:val="nil"/>
              <w:tr2bl w:val="nil"/>
            </w:tcBorders>
            <w:noWrap w:val="0"/>
            <w:vAlign w:val="center"/>
          </w:tcPr>
          <w:p w14:paraId="15B2C9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kern w:val="2"/>
                <w:sz w:val="21"/>
                <w:szCs w:val="21"/>
                <w:highlight w:val="none"/>
                <w:lang w:val="en-US" w:eastAsia="zh-CN" w:bidi="ar-SA"/>
              </w:rPr>
              <w:t>备 注</w:t>
            </w:r>
          </w:p>
        </w:tc>
      </w:tr>
      <w:tr w14:paraId="239529B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50" w:type="dxa"/>
            <w:tcBorders>
              <w:tl2br w:val="nil"/>
              <w:tr2bl w:val="nil"/>
            </w:tcBorders>
            <w:noWrap w:val="0"/>
            <w:vAlign w:val="center"/>
          </w:tcPr>
          <w:p w14:paraId="40E883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kern w:val="2"/>
                <w:sz w:val="21"/>
                <w:szCs w:val="21"/>
                <w:highlight w:val="none"/>
                <w:lang w:val="en-US" w:eastAsia="zh-CN" w:bidi="ar-SA"/>
              </w:rPr>
              <w:t>1</w:t>
            </w:r>
          </w:p>
        </w:tc>
        <w:tc>
          <w:tcPr>
            <w:tcW w:w="2034" w:type="dxa"/>
            <w:tcBorders>
              <w:tl2br w:val="nil"/>
              <w:tr2bl w:val="nil"/>
            </w:tcBorders>
            <w:noWrap w:val="0"/>
            <w:vAlign w:val="center"/>
          </w:tcPr>
          <w:p w14:paraId="79C379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eastAsia"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kern w:val="2"/>
                <w:sz w:val="21"/>
                <w:szCs w:val="21"/>
                <w:highlight w:val="none"/>
                <w:lang w:val="en-US" w:eastAsia="zh-CN" w:bidi="ar-SA"/>
              </w:rPr>
              <w:t>化学水</w:t>
            </w:r>
            <w:r>
              <w:rPr>
                <w:rFonts w:hint="eastAsia" w:ascii="Times New Roman" w:hAnsi="Times New Roman" w:eastAsia="宋体" w:cs="Times New Roman"/>
                <w:color w:val="FF0000"/>
                <w:kern w:val="2"/>
                <w:sz w:val="21"/>
                <w:szCs w:val="21"/>
                <w:highlight w:val="none"/>
                <w:lang w:val="en-US" w:eastAsia="zh-CN" w:bidi="ar-SA"/>
              </w:rPr>
              <w:t>系统用水</w:t>
            </w:r>
          </w:p>
        </w:tc>
        <w:tc>
          <w:tcPr>
            <w:tcW w:w="1852" w:type="dxa"/>
            <w:tcBorders>
              <w:tl2br w:val="nil"/>
              <w:tr2bl w:val="nil"/>
            </w:tcBorders>
            <w:noWrap w:val="0"/>
            <w:vAlign w:val="center"/>
          </w:tcPr>
          <w:p w14:paraId="7B86A5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6.67</w:t>
            </w:r>
          </w:p>
        </w:tc>
        <w:tc>
          <w:tcPr>
            <w:tcW w:w="1435" w:type="dxa"/>
            <w:tcBorders>
              <w:tl2br w:val="nil"/>
              <w:tr2bl w:val="nil"/>
            </w:tcBorders>
            <w:noWrap w:val="0"/>
            <w:vAlign w:val="center"/>
          </w:tcPr>
          <w:p w14:paraId="2DEB80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0.67</w:t>
            </w:r>
          </w:p>
        </w:tc>
        <w:tc>
          <w:tcPr>
            <w:tcW w:w="2451" w:type="dxa"/>
            <w:tcBorders>
              <w:tl2br w:val="nil"/>
              <w:tr2bl w:val="nil"/>
            </w:tcBorders>
            <w:noWrap w:val="0"/>
            <w:vAlign w:val="center"/>
          </w:tcPr>
          <w:p w14:paraId="37A82C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kern w:val="2"/>
                <w:sz w:val="21"/>
                <w:szCs w:val="21"/>
                <w:highlight w:val="none"/>
                <w:lang w:val="en-US" w:eastAsia="zh-CN" w:bidi="ar-SA"/>
              </w:rPr>
              <w:t>利用</w:t>
            </w:r>
            <w:r>
              <w:rPr>
                <w:rFonts w:hint="eastAsia" w:ascii="Times New Roman" w:hAnsi="Times New Roman" w:eastAsia="宋体" w:cs="Times New Roman"/>
                <w:color w:val="FF0000"/>
                <w:kern w:val="2"/>
                <w:sz w:val="21"/>
                <w:szCs w:val="21"/>
                <w:highlight w:val="none"/>
                <w:lang w:val="en-US" w:eastAsia="zh-CN" w:bidi="ar-SA"/>
              </w:rPr>
              <w:t>佳木斯中恒热电有限公司</w:t>
            </w:r>
            <w:r>
              <w:rPr>
                <w:rFonts w:hint="default" w:ascii="Times New Roman" w:hAnsi="Times New Roman" w:eastAsia="宋体" w:cs="Times New Roman"/>
                <w:color w:val="FF0000"/>
                <w:kern w:val="2"/>
                <w:sz w:val="21"/>
                <w:szCs w:val="21"/>
                <w:highlight w:val="none"/>
                <w:lang w:val="en-US" w:eastAsia="zh-CN" w:bidi="ar-SA"/>
              </w:rPr>
              <w:t>主热源现有制、补水系统</w:t>
            </w:r>
          </w:p>
        </w:tc>
      </w:tr>
      <w:tr w14:paraId="45CB0B8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50" w:type="dxa"/>
            <w:tcBorders>
              <w:tl2br w:val="nil"/>
              <w:tr2bl w:val="nil"/>
            </w:tcBorders>
            <w:shd w:val="clear" w:color="auto" w:fill="auto"/>
            <w:noWrap w:val="0"/>
            <w:vAlign w:val="center"/>
          </w:tcPr>
          <w:p w14:paraId="2DCE13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2</w:t>
            </w:r>
          </w:p>
        </w:tc>
        <w:tc>
          <w:tcPr>
            <w:tcW w:w="2034" w:type="dxa"/>
            <w:tcBorders>
              <w:tl2br w:val="nil"/>
              <w:tr2bl w:val="nil"/>
            </w:tcBorders>
            <w:noWrap w:val="0"/>
            <w:vAlign w:val="center"/>
          </w:tcPr>
          <w:p w14:paraId="45FB2F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eastAsia"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锅炉补水</w:t>
            </w:r>
          </w:p>
        </w:tc>
        <w:tc>
          <w:tcPr>
            <w:tcW w:w="1852" w:type="dxa"/>
            <w:tcBorders>
              <w:tl2br w:val="nil"/>
              <w:tr2bl w:val="nil"/>
            </w:tcBorders>
            <w:noWrap w:val="0"/>
            <w:vAlign w:val="center"/>
          </w:tcPr>
          <w:p w14:paraId="26B270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5</w:t>
            </w:r>
          </w:p>
        </w:tc>
        <w:tc>
          <w:tcPr>
            <w:tcW w:w="1435" w:type="dxa"/>
            <w:tcBorders>
              <w:tl2br w:val="nil"/>
              <w:tr2bl w:val="nil"/>
            </w:tcBorders>
            <w:noWrap w:val="0"/>
            <w:vAlign w:val="center"/>
          </w:tcPr>
          <w:p w14:paraId="5E60B9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ascii="Times New Roman" w:hAnsi="Calibri" w:eastAsia="宋体" w:cs="Times New Roman"/>
                <w:color w:val="FF0000"/>
                <w:kern w:val="2"/>
                <w:sz w:val="21"/>
                <w:szCs w:val="20"/>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5</w:t>
            </w:r>
          </w:p>
        </w:tc>
        <w:tc>
          <w:tcPr>
            <w:tcW w:w="2451" w:type="dxa"/>
            <w:tcBorders>
              <w:tl2br w:val="nil"/>
              <w:tr2bl w:val="nil"/>
            </w:tcBorders>
            <w:noWrap w:val="0"/>
            <w:vAlign w:val="center"/>
          </w:tcPr>
          <w:p w14:paraId="49B7073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来自软化后的新鲜水</w:t>
            </w:r>
          </w:p>
        </w:tc>
      </w:tr>
      <w:tr w14:paraId="69D7B11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50" w:type="dxa"/>
            <w:tcBorders>
              <w:tl2br w:val="nil"/>
              <w:tr2bl w:val="nil"/>
            </w:tcBorders>
            <w:shd w:val="clear" w:color="auto" w:fill="auto"/>
            <w:noWrap w:val="0"/>
            <w:vAlign w:val="center"/>
          </w:tcPr>
          <w:p w14:paraId="6ABCE0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3</w:t>
            </w:r>
          </w:p>
        </w:tc>
        <w:tc>
          <w:tcPr>
            <w:tcW w:w="2034" w:type="dxa"/>
            <w:tcBorders>
              <w:tl2br w:val="nil"/>
              <w:tr2bl w:val="nil"/>
            </w:tcBorders>
            <w:noWrap w:val="0"/>
            <w:vAlign w:val="center"/>
          </w:tcPr>
          <w:p w14:paraId="651D00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热网</w:t>
            </w:r>
            <w:r>
              <w:rPr>
                <w:rFonts w:hint="default" w:ascii="Times New Roman" w:hAnsi="Times New Roman" w:eastAsia="宋体" w:cs="Times New Roman"/>
                <w:color w:val="FF0000"/>
                <w:kern w:val="2"/>
                <w:sz w:val="21"/>
                <w:szCs w:val="21"/>
                <w:highlight w:val="none"/>
                <w:lang w:val="en-US" w:eastAsia="zh-CN" w:bidi="ar-SA"/>
              </w:rPr>
              <w:t>补水</w:t>
            </w:r>
          </w:p>
        </w:tc>
        <w:tc>
          <w:tcPr>
            <w:tcW w:w="1852" w:type="dxa"/>
            <w:tcBorders>
              <w:tl2br w:val="nil"/>
              <w:tr2bl w:val="nil"/>
            </w:tcBorders>
            <w:noWrap w:val="0"/>
            <w:vAlign w:val="center"/>
          </w:tcPr>
          <w:p w14:paraId="670A25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1</w:t>
            </w:r>
          </w:p>
        </w:tc>
        <w:tc>
          <w:tcPr>
            <w:tcW w:w="1435" w:type="dxa"/>
            <w:tcBorders>
              <w:tl2br w:val="nil"/>
              <w:tr2bl w:val="nil"/>
            </w:tcBorders>
            <w:noWrap w:val="0"/>
            <w:vAlign w:val="center"/>
          </w:tcPr>
          <w:p w14:paraId="27F516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0</w:t>
            </w:r>
          </w:p>
        </w:tc>
        <w:tc>
          <w:tcPr>
            <w:tcW w:w="2451" w:type="dxa"/>
            <w:tcBorders>
              <w:tl2br w:val="nil"/>
              <w:tr2bl w:val="nil"/>
            </w:tcBorders>
            <w:noWrap w:val="0"/>
            <w:vAlign w:val="center"/>
          </w:tcPr>
          <w:p w14:paraId="2B6AD2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来自软化后的新鲜水</w:t>
            </w:r>
          </w:p>
        </w:tc>
      </w:tr>
      <w:tr w14:paraId="2AFCE22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50" w:type="dxa"/>
            <w:tcBorders>
              <w:tl2br w:val="nil"/>
              <w:tr2bl w:val="nil"/>
            </w:tcBorders>
            <w:shd w:val="clear" w:color="auto" w:fill="auto"/>
            <w:noWrap w:val="0"/>
            <w:vAlign w:val="center"/>
          </w:tcPr>
          <w:p w14:paraId="79F6D2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4</w:t>
            </w:r>
          </w:p>
        </w:tc>
        <w:tc>
          <w:tcPr>
            <w:tcW w:w="2034" w:type="dxa"/>
            <w:tcBorders>
              <w:tl2br w:val="nil"/>
              <w:tr2bl w:val="nil"/>
            </w:tcBorders>
            <w:noWrap w:val="0"/>
            <w:vAlign w:val="center"/>
          </w:tcPr>
          <w:p w14:paraId="796E8C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kern w:val="2"/>
                <w:sz w:val="21"/>
                <w:szCs w:val="21"/>
                <w:highlight w:val="none"/>
                <w:lang w:val="en-US" w:eastAsia="zh-CN" w:bidi="ar-SA"/>
              </w:rPr>
              <w:t>输煤栈桥冲洗用水</w:t>
            </w:r>
          </w:p>
        </w:tc>
        <w:tc>
          <w:tcPr>
            <w:tcW w:w="1852" w:type="dxa"/>
            <w:tcBorders>
              <w:tl2br w:val="nil"/>
              <w:tr2bl w:val="nil"/>
            </w:tcBorders>
            <w:noWrap w:val="0"/>
            <w:vAlign w:val="center"/>
          </w:tcPr>
          <w:p w14:paraId="1F7894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2</w:t>
            </w:r>
          </w:p>
        </w:tc>
        <w:tc>
          <w:tcPr>
            <w:tcW w:w="1435" w:type="dxa"/>
            <w:tcBorders>
              <w:tl2br w:val="nil"/>
              <w:tr2bl w:val="nil"/>
            </w:tcBorders>
            <w:noWrap w:val="0"/>
            <w:vAlign w:val="center"/>
          </w:tcPr>
          <w:p w14:paraId="7283F9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eastAsia"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1</w:t>
            </w:r>
          </w:p>
        </w:tc>
        <w:tc>
          <w:tcPr>
            <w:tcW w:w="2451" w:type="dxa"/>
            <w:vMerge w:val="restart"/>
            <w:tcBorders>
              <w:tl2br w:val="nil"/>
              <w:tr2bl w:val="nil"/>
            </w:tcBorders>
            <w:noWrap w:val="0"/>
            <w:vAlign w:val="center"/>
          </w:tcPr>
          <w:p w14:paraId="074E9D8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来自</w:t>
            </w:r>
            <w:r>
              <w:rPr>
                <w:rFonts w:hint="default" w:ascii="Times New Roman" w:hAnsi="Times New Roman" w:eastAsia="宋体" w:cs="Times New Roman"/>
                <w:color w:val="FF0000"/>
                <w:kern w:val="2"/>
                <w:sz w:val="21"/>
                <w:szCs w:val="21"/>
                <w:highlight w:val="none"/>
                <w:lang w:val="en-US" w:eastAsia="zh-CN" w:bidi="ar-SA"/>
              </w:rPr>
              <w:t>软化水处理废水、脱硫废水、</w:t>
            </w:r>
            <w:r>
              <w:rPr>
                <w:rFonts w:hint="eastAsia" w:ascii="Times New Roman" w:hAnsi="Times New Roman" w:eastAsia="宋体" w:cs="Times New Roman"/>
                <w:color w:val="FF0000"/>
                <w:kern w:val="2"/>
                <w:sz w:val="21"/>
                <w:szCs w:val="21"/>
                <w:highlight w:val="none"/>
                <w:lang w:val="en-US" w:eastAsia="zh-CN" w:bidi="ar-SA"/>
              </w:rPr>
              <w:t>锅炉排污水、含煤废水</w:t>
            </w:r>
          </w:p>
        </w:tc>
      </w:tr>
      <w:tr w14:paraId="1137135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50" w:type="dxa"/>
            <w:tcBorders>
              <w:tl2br w:val="nil"/>
              <w:tr2bl w:val="nil"/>
            </w:tcBorders>
            <w:shd w:val="clear" w:color="auto" w:fill="auto"/>
            <w:noWrap w:val="0"/>
            <w:vAlign w:val="center"/>
          </w:tcPr>
          <w:p w14:paraId="66A5EC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eastAsia"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5</w:t>
            </w:r>
          </w:p>
        </w:tc>
        <w:tc>
          <w:tcPr>
            <w:tcW w:w="2034" w:type="dxa"/>
            <w:tcBorders>
              <w:tl2br w:val="nil"/>
              <w:tr2bl w:val="nil"/>
            </w:tcBorders>
            <w:noWrap w:val="0"/>
            <w:vAlign w:val="center"/>
          </w:tcPr>
          <w:p w14:paraId="5E9B9B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kern w:val="2"/>
                <w:sz w:val="21"/>
                <w:szCs w:val="21"/>
                <w:highlight w:val="none"/>
                <w:lang w:val="en-US" w:eastAsia="zh-CN" w:bidi="ar-SA"/>
              </w:rPr>
              <w:t>输煤系统除尘</w:t>
            </w:r>
            <w:r>
              <w:rPr>
                <w:rFonts w:hint="eastAsia" w:ascii="Times New Roman" w:hAnsi="Times New Roman" w:eastAsia="宋体" w:cs="Times New Roman"/>
                <w:color w:val="FF0000"/>
                <w:kern w:val="2"/>
                <w:sz w:val="21"/>
                <w:szCs w:val="21"/>
                <w:highlight w:val="none"/>
                <w:lang w:val="en-US" w:eastAsia="zh-CN" w:bidi="ar-SA"/>
              </w:rPr>
              <w:t>、除渣</w:t>
            </w:r>
            <w:r>
              <w:rPr>
                <w:rFonts w:hint="default" w:ascii="Times New Roman" w:hAnsi="Times New Roman" w:eastAsia="宋体" w:cs="Times New Roman"/>
                <w:color w:val="FF0000"/>
                <w:kern w:val="2"/>
                <w:sz w:val="21"/>
                <w:szCs w:val="21"/>
                <w:highlight w:val="none"/>
                <w:lang w:val="en-US" w:eastAsia="zh-CN" w:bidi="ar-SA"/>
              </w:rPr>
              <w:t>用水</w:t>
            </w:r>
          </w:p>
        </w:tc>
        <w:tc>
          <w:tcPr>
            <w:tcW w:w="1852" w:type="dxa"/>
            <w:tcBorders>
              <w:tl2br w:val="nil"/>
              <w:tr2bl w:val="nil"/>
            </w:tcBorders>
            <w:noWrap w:val="0"/>
            <w:vAlign w:val="center"/>
          </w:tcPr>
          <w:p w14:paraId="3C2B7F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4.52</w:t>
            </w:r>
          </w:p>
        </w:tc>
        <w:tc>
          <w:tcPr>
            <w:tcW w:w="1435" w:type="dxa"/>
            <w:tcBorders>
              <w:tl2br w:val="nil"/>
              <w:tr2bl w:val="nil"/>
            </w:tcBorders>
            <w:noWrap w:val="0"/>
            <w:vAlign w:val="center"/>
          </w:tcPr>
          <w:p w14:paraId="2304C7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eastAsia"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0</w:t>
            </w:r>
          </w:p>
        </w:tc>
        <w:tc>
          <w:tcPr>
            <w:tcW w:w="2451" w:type="dxa"/>
            <w:vMerge w:val="continue"/>
            <w:tcBorders>
              <w:tl2br w:val="nil"/>
              <w:tr2bl w:val="nil"/>
            </w:tcBorders>
            <w:noWrap w:val="0"/>
            <w:vAlign w:val="center"/>
          </w:tcPr>
          <w:p w14:paraId="4B3F12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p>
        </w:tc>
      </w:tr>
      <w:tr w14:paraId="632B20E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50" w:type="dxa"/>
            <w:tcBorders>
              <w:tl2br w:val="nil"/>
              <w:tr2bl w:val="nil"/>
            </w:tcBorders>
            <w:shd w:val="clear" w:color="auto" w:fill="auto"/>
            <w:noWrap w:val="0"/>
            <w:vAlign w:val="center"/>
          </w:tcPr>
          <w:p w14:paraId="26432C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6</w:t>
            </w:r>
          </w:p>
        </w:tc>
        <w:tc>
          <w:tcPr>
            <w:tcW w:w="2034" w:type="dxa"/>
            <w:tcBorders>
              <w:tl2br w:val="nil"/>
              <w:tr2bl w:val="nil"/>
            </w:tcBorders>
            <w:noWrap w:val="0"/>
            <w:vAlign w:val="center"/>
          </w:tcPr>
          <w:p w14:paraId="0E71A2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kern w:val="2"/>
                <w:sz w:val="21"/>
                <w:szCs w:val="21"/>
                <w:highlight w:val="none"/>
                <w:lang w:val="en-US" w:eastAsia="zh-CN" w:bidi="ar-SA"/>
              </w:rPr>
              <w:t>脱硫系统</w:t>
            </w:r>
          </w:p>
        </w:tc>
        <w:tc>
          <w:tcPr>
            <w:tcW w:w="1852" w:type="dxa"/>
            <w:tcBorders>
              <w:tl2br w:val="nil"/>
              <w:tr2bl w:val="nil"/>
            </w:tcBorders>
            <w:noWrap w:val="0"/>
            <w:vAlign w:val="center"/>
          </w:tcPr>
          <w:p w14:paraId="21ECBA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eastAsia"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2</w:t>
            </w:r>
          </w:p>
        </w:tc>
        <w:tc>
          <w:tcPr>
            <w:tcW w:w="1435" w:type="dxa"/>
            <w:tcBorders>
              <w:tl2br w:val="nil"/>
              <w:tr2bl w:val="nil"/>
            </w:tcBorders>
            <w:noWrap w:val="0"/>
            <w:vAlign w:val="center"/>
          </w:tcPr>
          <w:p w14:paraId="40719E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0.15</w:t>
            </w:r>
          </w:p>
        </w:tc>
        <w:tc>
          <w:tcPr>
            <w:tcW w:w="2451" w:type="dxa"/>
            <w:vMerge w:val="continue"/>
            <w:tcBorders>
              <w:tl2br w:val="nil"/>
              <w:tr2bl w:val="nil"/>
            </w:tcBorders>
            <w:noWrap w:val="0"/>
            <w:vAlign w:val="center"/>
          </w:tcPr>
          <w:p w14:paraId="396B33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p>
        </w:tc>
      </w:tr>
      <w:tr w14:paraId="6BC9CD0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50" w:type="dxa"/>
            <w:tcBorders>
              <w:tl2br w:val="nil"/>
              <w:tr2bl w:val="nil"/>
            </w:tcBorders>
            <w:shd w:val="clear" w:color="auto" w:fill="auto"/>
            <w:noWrap w:val="0"/>
            <w:vAlign w:val="center"/>
          </w:tcPr>
          <w:p w14:paraId="09C38C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7</w:t>
            </w:r>
          </w:p>
        </w:tc>
        <w:tc>
          <w:tcPr>
            <w:tcW w:w="2034" w:type="dxa"/>
            <w:tcBorders>
              <w:tl2br w:val="nil"/>
              <w:tr2bl w:val="nil"/>
            </w:tcBorders>
            <w:noWrap w:val="0"/>
            <w:vAlign w:val="center"/>
          </w:tcPr>
          <w:p w14:paraId="7BCAED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kern w:val="2"/>
                <w:sz w:val="21"/>
                <w:szCs w:val="21"/>
                <w:highlight w:val="none"/>
                <w:lang w:val="en-US" w:eastAsia="zh-CN" w:bidi="ar-SA"/>
              </w:rPr>
              <w:t>脱硝系统</w:t>
            </w:r>
          </w:p>
        </w:tc>
        <w:tc>
          <w:tcPr>
            <w:tcW w:w="1852" w:type="dxa"/>
            <w:tcBorders>
              <w:tl2br w:val="nil"/>
              <w:tr2bl w:val="nil"/>
            </w:tcBorders>
            <w:noWrap w:val="0"/>
            <w:vAlign w:val="center"/>
          </w:tcPr>
          <w:p w14:paraId="4D4C11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0.1</w:t>
            </w:r>
          </w:p>
        </w:tc>
        <w:tc>
          <w:tcPr>
            <w:tcW w:w="1435" w:type="dxa"/>
            <w:tcBorders>
              <w:tl2br w:val="nil"/>
              <w:tr2bl w:val="nil"/>
            </w:tcBorders>
            <w:noWrap w:val="0"/>
            <w:vAlign w:val="center"/>
          </w:tcPr>
          <w:p w14:paraId="323674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kern w:val="2"/>
                <w:sz w:val="21"/>
                <w:szCs w:val="21"/>
                <w:highlight w:val="none"/>
                <w:lang w:val="en-US" w:eastAsia="zh-CN" w:bidi="ar-SA"/>
              </w:rPr>
              <w:t>0</w:t>
            </w:r>
          </w:p>
        </w:tc>
        <w:tc>
          <w:tcPr>
            <w:tcW w:w="2451" w:type="dxa"/>
            <w:vMerge w:val="continue"/>
            <w:tcBorders>
              <w:tl2br w:val="nil"/>
              <w:tr2bl w:val="nil"/>
            </w:tcBorders>
            <w:noWrap w:val="0"/>
            <w:vAlign w:val="center"/>
          </w:tcPr>
          <w:p w14:paraId="11A01E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p>
        </w:tc>
      </w:tr>
    </w:tbl>
    <w:p w14:paraId="30A587F5">
      <w:pPr>
        <w:ind w:left="0" w:leftChars="0" w:firstLine="480" w:firstLineChars="200"/>
        <w:rPr>
          <w:rFonts w:hint="default" w:ascii="Times New Roman" w:hAnsi="Times New Roman" w:eastAsia="宋体" w:cs="Times New Roman"/>
          <w:color w:val="auto"/>
          <w:sz w:val="24"/>
          <w:szCs w:val="24"/>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50BE8B40">
      <w:pPr>
        <w:pStyle w:val="6"/>
        <w:numPr>
          <w:ilvl w:val="2"/>
          <w:numId w:val="3"/>
        </w:numPr>
        <w:bidi w:val="0"/>
        <w:ind w:left="709" w:leftChars="0" w:hanging="709" w:firstLineChars="0"/>
        <w:rPr>
          <w:rFonts w:hint="default" w:ascii="Times New Roman" w:hAnsi="Times New Roman" w:eastAsia="宋体" w:cs="Times New Roman"/>
          <w:color w:val="auto"/>
          <w:highlight w:val="none"/>
        </w:rPr>
      </w:pPr>
      <w:bookmarkStart w:id="316" w:name="_Toc27067"/>
      <w:bookmarkStart w:id="317" w:name="_Toc19731"/>
      <w:bookmarkStart w:id="318" w:name="_Toc1393"/>
      <w:r>
        <w:rPr>
          <w:rFonts w:hint="default" w:ascii="Times New Roman" w:hAnsi="Times New Roman" w:eastAsia="宋体" w:cs="Times New Roman"/>
          <w:color w:val="auto"/>
          <w:highlight w:val="none"/>
        </w:rPr>
        <w:t>噪声</w:t>
      </w:r>
      <w:r>
        <w:rPr>
          <w:rFonts w:hint="default" w:ascii="Times New Roman" w:hAnsi="Times New Roman" w:eastAsia="宋体" w:cs="Times New Roman"/>
          <w:color w:val="auto"/>
          <w:highlight w:val="none"/>
          <w:lang w:val="en-US" w:eastAsia="zh-CN"/>
        </w:rPr>
        <w:t>污染物</w:t>
      </w:r>
      <w:r>
        <w:rPr>
          <w:rFonts w:hint="default" w:ascii="Times New Roman" w:hAnsi="Times New Roman" w:eastAsia="宋体" w:cs="Times New Roman"/>
          <w:color w:val="auto"/>
          <w:highlight w:val="none"/>
          <w:lang w:eastAsia="zh-CN"/>
        </w:rPr>
        <w:t>源强</w:t>
      </w:r>
      <w:bookmarkEnd w:id="316"/>
      <w:bookmarkEnd w:id="317"/>
      <w:bookmarkEnd w:id="318"/>
    </w:p>
    <w:p w14:paraId="17A043E5">
      <w:pPr>
        <w:pStyle w:val="15"/>
        <w:spacing w:after="0" w:line="480" w:lineRule="exact"/>
        <w:ind w:lef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根据《污染物源强核算技术指南 </w:t>
      </w:r>
      <w:r>
        <w:rPr>
          <w:rFonts w:hint="default" w:ascii="Times New Roman" w:hAnsi="Times New Roman" w:eastAsia="宋体" w:cs="Times New Roman"/>
          <w:color w:val="auto"/>
          <w:sz w:val="24"/>
          <w:highlight w:val="none"/>
          <w:lang w:val="en-US" w:eastAsia="zh-CN"/>
        </w:rPr>
        <w:t>锅炉</w:t>
      </w:r>
      <w:r>
        <w:rPr>
          <w:rFonts w:hint="default" w:ascii="Times New Roman" w:hAnsi="Times New Roman" w:eastAsia="宋体" w:cs="Times New Roman"/>
          <w:color w:val="auto"/>
          <w:sz w:val="24"/>
          <w:highlight w:val="none"/>
        </w:rPr>
        <w:t>》（HJ</w:t>
      </w:r>
      <w:r>
        <w:rPr>
          <w:rFonts w:hint="default" w:ascii="Times New Roman" w:hAnsi="Times New Roman" w:eastAsia="宋体" w:cs="Times New Roman"/>
          <w:color w:val="auto"/>
          <w:sz w:val="24"/>
          <w:highlight w:val="none"/>
          <w:lang w:val="en-US" w:eastAsia="zh-CN"/>
        </w:rPr>
        <w:t>991</w:t>
      </w:r>
      <w:r>
        <w:rPr>
          <w:rFonts w:hint="default" w:ascii="Times New Roman" w:hAnsi="Times New Roman" w:eastAsia="宋体" w:cs="Times New Roman"/>
          <w:color w:val="auto"/>
          <w:sz w:val="24"/>
          <w:highlight w:val="none"/>
        </w:rPr>
        <w:t>-2018）中附录</w:t>
      </w:r>
      <w:r>
        <w:rPr>
          <w:rFonts w:hint="default" w:ascii="Times New Roman" w:hAnsi="Times New Roman" w:eastAsia="宋体" w:cs="Times New Roman"/>
          <w:color w:val="auto"/>
          <w:sz w:val="24"/>
          <w:highlight w:val="none"/>
          <w:lang w:val="en-US" w:eastAsia="zh-CN"/>
        </w:rPr>
        <w:t>D锅炉相关设备噪声源强参考值</w:t>
      </w:r>
      <w:r>
        <w:rPr>
          <w:rFonts w:hint="default" w:ascii="Times New Roman" w:hAnsi="Times New Roman" w:eastAsia="宋体" w:cs="Times New Roman"/>
          <w:color w:val="auto"/>
          <w:sz w:val="24"/>
          <w:highlight w:val="none"/>
        </w:rPr>
        <w:t>可知，本项目噪声污染源源强核算及相关参数见表4</w:t>
      </w:r>
      <w:r>
        <w:rPr>
          <w:rFonts w:hint="default" w:ascii="Times New Roman" w:hAnsi="Times New Roman" w:eastAsia="宋体" w:cs="Times New Roman"/>
          <w:color w:val="auto"/>
          <w:sz w:val="24"/>
          <w:highlight w:val="none"/>
          <w:lang w:val="en-US" w:eastAsia="zh-CN"/>
        </w:rPr>
        <w:t>.3</w:t>
      </w:r>
      <w:r>
        <w:rPr>
          <w:rFonts w:hint="default" w:ascii="Times New Roman" w:hAnsi="Times New Roman" w:eastAsia="宋体" w:cs="Times New Roman"/>
          <w:color w:val="auto"/>
          <w:sz w:val="24"/>
          <w:highlight w:val="none"/>
        </w:rPr>
        <w:t>-</w:t>
      </w:r>
      <w:r>
        <w:rPr>
          <w:rFonts w:hint="eastAsia" w:eastAsia="宋体" w:cs="Times New Roman"/>
          <w:color w:val="auto"/>
          <w:sz w:val="24"/>
          <w:highlight w:val="none"/>
          <w:lang w:val="en-US" w:eastAsia="zh-CN"/>
        </w:rPr>
        <w:t>5</w:t>
      </w:r>
      <w:r>
        <w:rPr>
          <w:rFonts w:hint="default" w:ascii="Times New Roman" w:hAnsi="Times New Roman" w:eastAsia="宋体" w:cs="Times New Roman"/>
          <w:color w:val="auto"/>
          <w:sz w:val="24"/>
          <w:highlight w:val="none"/>
        </w:rPr>
        <w:t>。</w:t>
      </w:r>
    </w:p>
    <w:p w14:paraId="297B0BFF">
      <w:pPr>
        <w:pStyle w:val="15"/>
        <w:spacing w:after="0" w:line="480" w:lineRule="exact"/>
        <w:ind w:lef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表4</w:t>
      </w:r>
      <w:r>
        <w:rPr>
          <w:rFonts w:hint="default" w:ascii="Times New Roman" w:hAnsi="Times New Roman" w:eastAsia="宋体" w:cs="Times New Roman"/>
          <w:color w:val="auto"/>
          <w:sz w:val="24"/>
          <w:highlight w:val="none"/>
          <w:lang w:val="en-US" w:eastAsia="zh-CN"/>
        </w:rPr>
        <w:t>.3</w:t>
      </w:r>
      <w:r>
        <w:rPr>
          <w:rFonts w:hint="default" w:ascii="Times New Roman" w:hAnsi="Times New Roman" w:eastAsia="宋体" w:cs="Times New Roman"/>
          <w:color w:val="auto"/>
          <w:sz w:val="24"/>
          <w:highlight w:val="none"/>
        </w:rPr>
        <w:t>-</w:t>
      </w:r>
      <w:r>
        <w:rPr>
          <w:rFonts w:hint="eastAsia" w:eastAsia="宋体" w:cs="Times New Roman"/>
          <w:color w:val="auto"/>
          <w:sz w:val="24"/>
          <w:highlight w:val="none"/>
          <w:lang w:val="en-US" w:eastAsia="zh-CN"/>
        </w:rPr>
        <w:t>3</w:t>
      </w:r>
      <w:r>
        <w:rPr>
          <w:rFonts w:hint="default" w:ascii="Times New Roman" w:hAnsi="Times New Roman" w:eastAsia="宋体" w:cs="Times New Roman"/>
          <w:color w:val="auto"/>
          <w:sz w:val="24"/>
          <w:highlight w:val="none"/>
          <w:lang w:val="en-US" w:eastAsia="zh-CN"/>
        </w:rPr>
        <w:t xml:space="preserve"> </w:t>
      </w:r>
      <w:r>
        <w:rPr>
          <w:rFonts w:hint="default" w:ascii="Times New Roman" w:hAnsi="Times New Roman" w:eastAsia="宋体" w:cs="Times New Roman"/>
          <w:color w:val="auto"/>
          <w:sz w:val="24"/>
          <w:highlight w:val="none"/>
        </w:rPr>
        <w:t xml:space="preserve"> 本项目噪声污染源源强核算结果及相关参数</w:t>
      </w:r>
    </w:p>
    <w:tbl>
      <w:tblPr>
        <w:tblStyle w:val="3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28"/>
        <w:gridCol w:w="1637"/>
        <w:gridCol w:w="1404"/>
        <w:gridCol w:w="2979"/>
        <w:gridCol w:w="665"/>
        <w:gridCol w:w="608"/>
      </w:tblGrid>
      <w:tr w14:paraId="74793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818" w:type="pct"/>
            <w:vMerge w:val="restart"/>
            <w:tcBorders>
              <w:top w:val="single" w:color="000000" w:sz="12" w:space="0"/>
              <w:left w:val="nil"/>
              <w:bottom w:val="single" w:color="000000" w:sz="8" w:space="0"/>
              <w:right w:val="single" w:color="000000" w:sz="8" w:space="0"/>
            </w:tcBorders>
            <w:shd w:val="clear" w:color="auto" w:fill="auto"/>
            <w:noWrap/>
            <w:vAlign w:val="center"/>
          </w:tcPr>
          <w:p w14:paraId="77A102C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建筑物名称</w:t>
            </w:r>
          </w:p>
        </w:tc>
        <w:tc>
          <w:tcPr>
            <w:tcW w:w="938" w:type="pct"/>
            <w:vMerge w:val="restart"/>
            <w:tcBorders>
              <w:top w:val="single" w:color="000000" w:sz="12" w:space="0"/>
              <w:left w:val="single" w:color="000000" w:sz="8" w:space="0"/>
              <w:bottom w:val="single" w:color="000000" w:sz="8" w:space="0"/>
              <w:right w:val="single" w:color="000000" w:sz="8" w:space="0"/>
            </w:tcBorders>
            <w:shd w:val="clear" w:color="auto" w:fill="auto"/>
            <w:noWrap/>
            <w:vAlign w:val="center"/>
          </w:tcPr>
          <w:p w14:paraId="251689D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声源名称</w:t>
            </w:r>
          </w:p>
        </w:tc>
        <w:tc>
          <w:tcPr>
            <w:tcW w:w="804" w:type="pct"/>
            <w:vMerge w:val="restart"/>
            <w:tcBorders>
              <w:top w:val="single" w:color="000000" w:sz="12" w:space="0"/>
              <w:left w:val="single" w:color="000000" w:sz="8" w:space="0"/>
              <w:bottom w:val="single" w:color="000000" w:sz="8" w:space="0"/>
              <w:right w:val="single" w:color="000000" w:sz="8" w:space="0"/>
            </w:tcBorders>
            <w:shd w:val="clear" w:color="auto" w:fill="auto"/>
            <w:noWrap/>
            <w:vAlign w:val="center"/>
          </w:tcPr>
          <w:p w14:paraId="5252607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声功率级/dB(A)</w:t>
            </w:r>
          </w:p>
        </w:tc>
        <w:tc>
          <w:tcPr>
            <w:tcW w:w="1707" w:type="pct"/>
            <w:vMerge w:val="restart"/>
            <w:tcBorders>
              <w:top w:val="single" w:color="000000" w:sz="12" w:space="0"/>
              <w:left w:val="single" w:color="000000" w:sz="8" w:space="0"/>
              <w:bottom w:val="single" w:color="000000" w:sz="8" w:space="0"/>
              <w:right w:val="single" w:color="000000" w:sz="8" w:space="0"/>
            </w:tcBorders>
            <w:shd w:val="clear" w:color="auto" w:fill="auto"/>
            <w:noWrap/>
            <w:vAlign w:val="center"/>
          </w:tcPr>
          <w:p w14:paraId="7AD0605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声源控制措施</w:t>
            </w:r>
          </w:p>
        </w:tc>
        <w:tc>
          <w:tcPr>
            <w:tcW w:w="381" w:type="pct"/>
            <w:vMerge w:val="restart"/>
            <w:tcBorders>
              <w:top w:val="single" w:color="000000" w:sz="12" w:space="0"/>
              <w:left w:val="single" w:color="000000" w:sz="8" w:space="0"/>
              <w:bottom w:val="single" w:color="000000" w:sz="8" w:space="0"/>
              <w:right w:val="single" w:color="000000" w:sz="8" w:space="0"/>
            </w:tcBorders>
            <w:shd w:val="clear" w:color="auto" w:fill="auto"/>
            <w:noWrap/>
            <w:vAlign w:val="center"/>
          </w:tcPr>
          <w:p w14:paraId="47DC0BF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运行时段</w:t>
            </w:r>
          </w:p>
        </w:tc>
        <w:tc>
          <w:tcPr>
            <w:tcW w:w="348" w:type="pct"/>
            <w:vMerge w:val="restart"/>
            <w:tcBorders>
              <w:top w:val="single" w:color="000000" w:sz="12" w:space="0"/>
              <w:left w:val="single" w:color="000000" w:sz="8" w:space="0"/>
              <w:bottom w:val="single" w:color="000000" w:sz="8" w:space="0"/>
              <w:right w:val="nil"/>
            </w:tcBorders>
            <w:shd w:val="clear" w:color="auto" w:fill="auto"/>
            <w:noWrap/>
            <w:vAlign w:val="center"/>
          </w:tcPr>
          <w:p w14:paraId="58FF2FB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备注</w:t>
            </w:r>
          </w:p>
        </w:tc>
      </w:tr>
      <w:tr w14:paraId="45904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818" w:type="pct"/>
            <w:vMerge w:val="continue"/>
            <w:tcBorders>
              <w:top w:val="single" w:color="000000" w:sz="12" w:space="0"/>
              <w:left w:val="nil"/>
              <w:bottom w:val="single" w:color="000000" w:sz="8" w:space="0"/>
              <w:right w:val="single" w:color="000000" w:sz="8" w:space="0"/>
            </w:tcBorders>
            <w:shd w:val="clear" w:color="auto" w:fill="auto"/>
            <w:noWrap/>
            <w:vAlign w:val="center"/>
          </w:tcPr>
          <w:p w14:paraId="432EABC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vMerge w:val="continue"/>
            <w:tcBorders>
              <w:top w:val="single" w:color="000000" w:sz="12" w:space="0"/>
              <w:left w:val="single" w:color="000000" w:sz="8" w:space="0"/>
              <w:bottom w:val="single" w:color="000000" w:sz="8" w:space="0"/>
              <w:right w:val="single" w:color="000000" w:sz="8" w:space="0"/>
            </w:tcBorders>
            <w:shd w:val="clear" w:color="auto" w:fill="auto"/>
            <w:noWrap/>
            <w:vAlign w:val="center"/>
          </w:tcPr>
          <w:p w14:paraId="01C2DCE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804" w:type="pct"/>
            <w:vMerge w:val="continue"/>
            <w:tcBorders>
              <w:top w:val="single" w:color="000000" w:sz="12" w:space="0"/>
              <w:left w:val="single" w:color="000000" w:sz="8" w:space="0"/>
              <w:bottom w:val="single" w:color="000000" w:sz="8" w:space="0"/>
              <w:right w:val="single" w:color="000000" w:sz="8" w:space="0"/>
            </w:tcBorders>
            <w:shd w:val="clear" w:color="auto" w:fill="auto"/>
            <w:noWrap/>
            <w:vAlign w:val="center"/>
          </w:tcPr>
          <w:p w14:paraId="479992D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1707" w:type="pct"/>
            <w:vMerge w:val="continue"/>
            <w:tcBorders>
              <w:top w:val="single" w:color="000000" w:sz="12" w:space="0"/>
              <w:left w:val="single" w:color="000000" w:sz="8" w:space="0"/>
              <w:bottom w:val="single" w:color="000000" w:sz="8" w:space="0"/>
              <w:right w:val="single" w:color="000000" w:sz="8" w:space="0"/>
            </w:tcBorders>
            <w:shd w:val="clear" w:color="auto" w:fill="auto"/>
            <w:noWrap/>
            <w:vAlign w:val="center"/>
          </w:tcPr>
          <w:p w14:paraId="7B1E89D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81" w:type="pct"/>
            <w:vMerge w:val="continue"/>
            <w:tcBorders>
              <w:top w:val="single" w:color="000000" w:sz="12" w:space="0"/>
              <w:left w:val="single" w:color="000000" w:sz="8" w:space="0"/>
              <w:bottom w:val="single" w:color="000000" w:sz="8" w:space="0"/>
              <w:right w:val="single" w:color="000000" w:sz="8" w:space="0"/>
            </w:tcBorders>
            <w:shd w:val="clear" w:color="auto" w:fill="auto"/>
            <w:noWrap/>
            <w:vAlign w:val="center"/>
          </w:tcPr>
          <w:p w14:paraId="1D22B0A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12" w:space="0"/>
              <w:left w:val="single" w:color="000000" w:sz="8" w:space="0"/>
              <w:bottom w:val="single" w:color="000000" w:sz="8" w:space="0"/>
              <w:right w:val="nil"/>
            </w:tcBorders>
            <w:shd w:val="clear" w:color="auto" w:fill="auto"/>
            <w:noWrap/>
            <w:vAlign w:val="center"/>
          </w:tcPr>
          <w:p w14:paraId="0F63BFD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0A6A4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18" w:type="pct"/>
            <w:vMerge w:val="restart"/>
            <w:tcBorders>
              <w:top w:val="single" w:color="000000" w:sz="8" w:space="0"/>
              <w:left w:val="nil"/>
              <w:bottom w:val="nil"/>
              <w:right w:val="single" w:color="000000" w:sz="8" w:space="0"/>
            </w:tcBorders>
            <w:shd w:val="clear" w:color="auto" w:fill="auto"/>
            <w:noWrap/>
            <w:vAlign w:val="center"/>
          </w:tcPr>
          <w:p w14:paraId="2C1E54B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5#锅炉房</w:t>
            </w: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0B512F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送风机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4ECA71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90</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1A23FDC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进风口消声器、管道外壳阻尼</w:t>
            </w:r>
          </w:p>
        </w:tc>
        <w:tc>
          <w:tcPr>
            <w:tcW w:w="381" w:type="pct"/>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FBE399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连续</w:t>
            </w:r>
          </w:p>
        </w:tc>
        <w:tc>
          <w:tcPr>
            <w:tcW w:w="348" w:type="pct"/>
            <w:vMerge w:val="restart"/>
            <w:tcBorders>
              <w:top w:val="single" w:color="000000" w:sz="8" w:space="0"/>
              <w:left w:val="single" w:color="000000" w:sz="8" w:space="0"/>
              <w:bottom w:val="single" w:color="000000" w:sz="8" w:space="0"/>
              <w:right w:val="nil"/>
            </w:tcBorders>
            <w:shd w:val="clear" w:color="auto" w:fill="auto"/>
            <w:noWrap/>
            <w:vAlign w:val="center"/>
          </w:tcPr>
          <w:p w14:paraId="258424C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本项目设备</w:t>
            </w:r>
          </w:p>
        </w:tc>
      </w:tr>
      <w:tr w14:paraId="158E3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nil"/>
              <w:right w:val="single" w:color="000000" w:sz="8" w:space="0"/>
            </w:tcBorders>
            <w:shd w:val="clear" w:color="auto" w:fill="auto"/>
            <w:noWrap/>
            <w:vAlign w:val="center"/>
          </w:tcPr>
          <w:p w14:paraId="1087648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70B1E3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循环水泵</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A6729F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90</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1ADF84D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隔声罩壳、厂房隔声</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0918B1D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1183053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0735C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nil"/>
              <w:right w:val="single" w:color="000000" w:sz="8" w:space="0"/>
            </w:tcBorders>
            <w:shd w:val="clear" w:color="auto" w:fill="auto"/>
            <w:noWrap/>
            <w:vAlign w:val="center"/>
          </w:tcPr>
          <w:p w14:paraId="0BA998B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0BF2A8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给煤机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FC5DEB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85</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155340B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基础减振、厂房隔声</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3EEE485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0F36699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106AC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nil"/>
              <w:right w:val="single" w:color="000000" w:sz="8" w:space="0"/>
            </w:tcBorders>
            <w:shd w:val="clear" w:color="auto" w:fill="auto"/>
            <w:noWrap/>
            <w:vAlign w:val="center"/>
          </w:tcPr>
          <w:p w14:paraId="36D6F98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CCEA25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引风机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1F85EB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90</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1461FB4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进风口消声器、管道外壳阻尼</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6C6DA44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315E79F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5C68B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nil"/>
              <w:right w:val="single" w:color="000000" w:sz="8" w:space="0"/>
            </w:tcBorders>
            <w:shd w:val="clear" w:color="auto" w:fill="auto"/>
            <w:noWrap/>
            <w:vAlign w:val="center"/>
          </w:tcPr>
          <w:p w14:paraId="1108D13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2CECD4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空压机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8174E5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90</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BED614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进风口消声器、厂房隔声</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7BC8F73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00696BC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39785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18" w:type="pct"/>
            <w:tcBorders>
              <w:top w:val="single" w:color="000000" w:sz="8" w:space="0"/>
              <w:left w:val="nil"/>
              <w:bottom w:val="nil"/>
              <w:right w:val="single" w:color="000000" w:sz="8" w:space="0"/>
            </w:tcBorders>
            <w:shd w:val="clear" w:color="auto" w:fill="auto"/>
            <w:noWrap/>
            <w:vAlign w:val="center"/>
          </w:tcPr>
          <w:p w14:paraId="4A10495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脱硫间</w:t>
            </w: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20DC95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浆液循环泵</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B62B99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95</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B01FC3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隔声罩壳、厂房隔声</w:t>
            </w:r>
          </w:p>
        </w:tc>
        <w:tc>
          <w:tcPr>
            <w:tcW w:w="381"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3F4F85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连续</w:t>
            </w: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1DC27D8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155F8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restart"/>
            <w:tcBorders>
              <w:top w:val="single" w:color="000000" w:sz="8" w:space="0"/>
              <w:left w:val="nil"/>
              <w:bottom w:val="nil"/>
              <w:right w:val="single" w:color="000000" w:sz="8" w:space="0"/>
            </w:tcBorders>
            <w:shd w:val="clear" w:color="auto" w:fill="auto"/>
            <w:noWrap/>
            <w:vAlign w:val="center"/>
          </w:tcPr>
          <w:p w14:paraId="2544C56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碎煤机室</w:t>
            </w: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F19DD4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环锤式破碎机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8D8C3B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70</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02EE79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基础减振、厂房隔声</w:t>
            </w:r>
          </w:p>
        </w:tc>
        <w:tc>
          <w:tcPr>
            <w:tcW w:w="381" w:type="pct"/>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5EADC2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连续</w:t>
            </w: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38B1593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79CDB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nil"/>
              <w:right w:val="single" w:color="000000" w:sz="8" w:space="0"/>
            </w:tcBorders>
            <w:shd w:val="clear" w:color="auto" w:fill="auto"/>
            <w:noWrap/>
            <w:vAlign w:val="center"/>
          </w:tcPr>
          <w:p w14:paraId="6D51F0C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4F8ADF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碎煤机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C6F93B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100</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68F7F3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基础减振、厂房隔声</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7E0254B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58AA06B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783BA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nil"/>
              <w:right w:val="single" w:color="000000" w:sz="8" w:space="0"/>
            </w:tcBorders>
            <w:shd w:val="clear" w:color="auto" w:fill="auto"/>
            <w:noWrap/>
            <w:vAlign w:val="center"/>
          </w:tcPr>
          <w:p w14:paraId="017C1CA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11BFF87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筛分机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AEB3EA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90</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4C6E48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基础减振、厂房隔声</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75A99BF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3DB3BDE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0BDB0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restart"/>
            <w:tcBorders>
              <w:top w:val="single" w:color="000000" w:sz="8" w:space="0"/>
              <w:left w:val="nil"/>
              <w:bottom w:val="nil"/>
              <w:right w:val="single" w:color="000000" w:sz="8" w:space="0"/>
            </w:tcBorders>
            <w:shd w:val="clear" w:color="auto" w:fill="auto"/>
            <w:noWrap/>
            <w:vAlign w:val="center"/>
          </w:tcPr>
          <w:p w14:paraId="7F997B6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2#锅炉房（240t/h锅炉）</w:t>
            </w: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1C53989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碎煤机2#</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ECA5CB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95</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981042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隔声罩壳、厂房隔声</w:t>
            </w:r>
          </w:p>
        </w:tc>
        <w:tc>
          <w:tcPr>
            <w:tcW w:w="381" w:type="pct"/>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104585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连续</w:t>
            </w:r>
          </w:p>
        </w:tc>
        <w:tc>
          <w:tcPr>
            <w:tcW w:w="348" w:type="pct"/>
            <w:vMerge w:val="restart"/>
            <w:tcBorders>
              <w:top w:val="single" w:color="000000" w:sz="8" w:space="0"/>
              <w:left w:val="single" w:color="000000" w:sz="8" w:space="0"/>
              <w:bottom w:val="single" w:color="000000" w:sz="8" w:space="0"/>
              <w:right w:val="nil"/>
            </w:tcBorders>
            <w:shd w:val="clear" w:color="auto" w:fill="auto"/>
            <w:noWrap/>
            <w:vAlign w:val="center"/>
          </w:tcPr>
          <w:p w14:paraId="2832E21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现有工程设备</w:t>
            </w:r>
          </w:p>
        </w:tc>
      </w:tr>
      <w:tr w14:paraId="77DB5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nil"/>
              <w:right w:val="single" w:color="000000" w:sz="8" w:space="0"/>
            </w:tcBorders>
            <w:shd w:val="clear" w:color="auto" w:fill="auto"/>
            <w:noWrap/>
            <w:vAlign w:val="center"/>
          </w:tcPr>
          <w:p w14:paraId="1FA131C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2BCBBB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一次风机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9CD6C3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105</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385BD5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进风口消声器、管道外壳阻尼</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039332B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4F2870F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79A17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nil"/>
              <w:right w:val="single" w:color="000000" w:sz="8" w:space="0"/>
            </w:tcBorders>
            <w:shd w:val="clear" w:color="auto" w:fill="auto"/>
            <w:noWrap/>
            <w:vAlign w:val="center"/>
          </w:tcPr>
          <w:p w14:paraId="269E95A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606BA9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二次风机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740F1A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105</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E8DB73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进风口消声器、管道外壳阻尼</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6A2D90B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58A9BF6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7323A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nil"/>
              <w:right w:val="single" w:color="000000" w:sz="8" w:space="0"/>
            </w:tcBorders>
            <w:shd w:val="clear" w:color="auto" w:fill="auto"/>
            <w:noWrap/>
            <w:vAlign w:val="center"/>
          </w:tcPr>
          <w:p w14:paraId="7342644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03BF51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空气预热器</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B5392B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85</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DA8DDB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基础减振、厂房隔声</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6DA18B2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1EE7C99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353A8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nil"/>
              <w:right w:val="single" w:color="000000" w:sz="8" w:space="0"/>
            </w:tcBorders>
            <w:shd w:val="clear" w:color="auto" w:fill="auto"/>
            <w:noWrap/>
            <w:vAlign w:val="center"/>
          </w:tcPr>
          <w:p w14:paraId="68CE5C1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8E7B2D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冷渣机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014706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95</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15E600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基础减振、厂房隔声</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0B5FED0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041858C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636C3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nil"/>
              <w:right w:val="single" w:color="000000" w:sz="8" w:space="0"/>
            </w:tcBorders>
            <w:shd w:val="clear" w:color="auto" w:fill="auto"/>
            <w:noWrap/>
            <w:vAlign w:val="center"/>
          </w:tcPr>
          <w:p w14:paraId="37024DE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2E175C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除渣机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34D308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95</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6CD36C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基础减振、厂房隔声</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55C0A3F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34583C9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45A26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nil"/>
              <w:right w:val="single" w:color="000000" w:sz="8" w:space="0"/>
            </w:tcBorders>
            <w:shd w:val="clear" w:color="auto" w:fill="auto"/>
            <w:noWrap/>
            <w:vAlign w:val="center"/>
          </w:tcPr>
          <w:p w14:paraId="3FD745F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214AF0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引风机1</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983B77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100</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929199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进风口消声器、管道外壳阻尼</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19FA80C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223EBAC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221E4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nil"/>
              <w:right w:val="single" w:color="000000" w:sz="8" w:space="0"/>
            </w:tcBorders>
            <w:shd w:val="clear" w:color="auto" w:fill="auto"/>
            <w:noWrap/>
            <w:vAlign w:val="center"/>
          </w:tcPr>
          <w:p w14:paraId="5F09CDA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7A7CEB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引风机2</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51207B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100</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76A2D6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进风口消声器、管道外壳阻尼</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67AF19D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1B20B11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61867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18" w:type="pct"/>
            <w:vMerge w:val="restart"/>
            <w:tcBorders>
              <w:top w:val="single" w:color="000000" w:sz="8" w:space="0"/>
              <w:left w:val="nil"/>
              <w:bottom w:val="single" w:color="000000" w:sz="8" w:space="0"/>
              <w:right w:val="single" w:color="000000" w:sz="8" w:space="0"/>
            </w:tcBorders>
            <w:shd w:val="clear" w:color="auto" w:fill="auto"/>
            <w:noWrap/>
            <w:vAlign w:val="center"/>
          </w:tcPr>
          <w:p w14:paraId="080E6B4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2#汽轮机组</w:t>
            </w: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6A9C47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汽轮机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A3A269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108</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8678DC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基础减振、厂房隔声</w:t>
            </w:r>
          </w:p>
        </w:tc>
        <w:tc>
          <w:tcPr>
            <w:tcW w:w="381" w:type="pct"/>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3EF70C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连续</w:t>
            </w: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5480CF6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386CF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single" w:color="000000" w:sz="8" w:space="0"/>
              <w:right w:val="single" w:color="000000" w:sz="8" w:space="0"/>
            </w:tcBorders>
            <w:shd w:val="clear" w:color="auto" w:fill="auto"/>
            <w:noWrap/>
            <w:vAlign w:val="center"/>
          </w:tcPr>
          <w:p w14:paraId="1EE7A73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DD557D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发电机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9CAFE5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108</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1B5BA4E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基础减振、厂房隔声</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3464059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0D135D6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23080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18" w:type="pct"/>
            <w:vMerge w:val="restart"/>
            <w:tcBorders>
              <w:top w:val="single" w:color="000000" w:sz="8" w:space="0"/>
              <w:left w:val="nil"/>
              <w:bottom w:val="single" w:color="000000" w:sz="8" w:space="0"/>
              <w:right w:val="single" w:color="000000" w:sz="8" w:space="0"/>
            </w:tcBorders>
            <w:shd w:val="clear" w:color="auto" w:fill="auto"/>
            <w:noWrap/>
            <w:vAlign w:val="center"/>
          </w:tcPr>
          <w:p w14:paraId="1F12AA0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1#锅炉房（240t/h锅炉）</w:t>
            </w: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914E2C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碎煤机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792711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95</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BB3AC8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隔声罩壳、厂房隔声</w:t>
            </w:r>
          </w:p>
        </w:tc>
        <w:tc>
          <w:tcPr>
            <w:tcW w:w="381" w:type="pct"/>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ABEB48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连续</w:t>
            </w: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75C2E5A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22960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single" w:color="000000" w:sz="8" w:space="0"/>
              <w:right w:val="single" w:color="000000" w:sz="8" w:space="0"/>
            </w:tcBorders>
            <w:shd w:val="clear" w:color="auto" w:fill="auto"/>
            <w:noWrap/>
            <w:vAlign w:val="center"/>
          </w:tcPr>
          <w:p w14:paraId="761BA3E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1971A28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一次风机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6972BA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105</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9B6CB5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进风口消声器、管道外壳阻尼</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5D274CB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387E7AA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4755D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single" w:color="000000" w:sz="8" w:space="0"/>
              <w:right w:val="single" w:color="000000" w:sz="8" w:space="0"/>
            </w:tcBorders>
            <w:shd w:val="clear" w:color="auto" w:fill="auto"/>
            <w:noWrap/>
            <w:vAlign w:val="center"/>
          </w:tcPr>
          <w:p w14:paraId="141DE9A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9449A5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二次风机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3C3808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105</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730FD6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进风口消声器、管道外壳阻尼</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7474446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1642F6A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7804A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single" w:color="000000" w:sz="8" w:space="0"/>
              <w:right w:val="single" w:color="000000" w:sz="8" w:space="0"/>
            </w:tcBorders>
            <w:shd w:val="clear" w:color="auto" w:fill="auto"/>
            <w:noWrap/>
            <w:vAlign w:val="center"/>
          </w:tcPr>
          <w:p w14:paraId="691B1AE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EE4CA3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空气预热器</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1CA261F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85</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15D3D38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基础减振、厂房隔声</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1348451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714F236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74CFE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single" w:color="000000" w:sz="8" w:space="0"/>
              <w:right w:val="single" w:color="000000" w:sz="8" w:space="0"/>
            </w:tcBorders>
            <w:shd w:val="clear" w:color="auto" w:fill="auto"/>
            <w:noWrap/>
            <w:vAlign w:val="center"/>
          </w:tcPr>
          <w:p w14:paraId="54AECF0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01E02E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冷渣机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E4F107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95</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353D9D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基础减振、厂房隔声</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1F9AC60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3FFD9B0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68606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single" w:color="000000" w:sz="8" w:space="0"/>
              <w:right w:val="single" w:color="000000" w:sz="8" w:space="0"/>
            </w:tcBorders>
            <w:shd w:val="clear" w:color="auto" w:fill="auto"/>
            <w:noWrap/>
            <w:vAlign w:val="center"/>
          </w:tcPr>
          <w:p w14:paraId="24A0E54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1108418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除渣机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771DE2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95</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E496D1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基础减振、厂房隔声</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2FB5520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550492B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52C5C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single" w:color="000000" w:sz="8" w:space="0"/>
              <w:right w:val="single" w:color="000000" w:sz="8" w:space="0"/>
            </w:tcBorders>
            <w:shd w:val="clear" w:color="auto" w:fill="auto"/>
            <w:noWrap/>
            <w:vAlign w:val="center"/>
          </w:tcPr>
          <w:p w14:paraId="0610BE5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82DA31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引风机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5F2227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100</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2CCFC1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进风口消声器、管道外壳阻尼</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695607C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29C63E9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7F8B8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restart"/>
            <w:tcBorders>
              <w:top w:val="single" w:color="000000" w:sz="8" w:space="0"/>
              <w:left w:val="nil"/>
              <w:bottom w:val="single" w:color="000000" w:sz="8" w:space="0"/>
              <w:right w:val="single" w:color="000000" w:sz="8" w:space="0"/>
            </w:tcBorders>
            <w:shd w:val="clear" w:color="auto" w:fill="auto"/>
            <w:noWrap/>
            <w:vAlign w:val="center"/>
          </w:tcPr>
          <w:p w14:paraId="52A01A3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1#汽轮机组</w:t>
            </w: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69F42E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汽轮机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03E3E9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108</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4EC48E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基础减振、厂房隔声</w:t>
            </w:r>
          </w:p>
        </w:tc>
        <w:tc>
          <w:tcPr>
            <w:tcW w:w="381" w:type="pct"/>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8F9456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连续</w:t>
            </w: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5163334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79367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single" w:color="000000" w:sz="8" w:space="0"/>
              <w:right w:val="single" w:color="000000" w:sz="8" w:space="0"/>
            </w:tcBorders>
            <w:shd w:val="clear" w:color="auto" w:fill="auto"/>
            <w:noWrap/>
            <w:vAlign w:val="center"/>
          </w:tcPr>
          <w:p w14:paraId="4219C28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2FA061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发电机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220CEE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108</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AE710B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基础减振、厂房隔声</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77688B0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3C886AA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50842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restart"/>
            <w:tcBorders>
              <w:top w:val="single" w:color="000000" w:sz="8" w:space="0"/>
              <w:left w:val="nil"/>
              <w:bottom w:val="single" w:color="000000" w:sz="8" w:space="0"/>
              <w:right w:val="single" w:color="000000" w:sz="8" w:space="0"/>
            </w:tcBorders>
            <w:shd w:val="clear" w:color="auto" w:fill="auto"/>
            <w:noWrap/>
            <w:vAlign w:val="center"/>
          </w:tcPr>
          <w:p w14:paraId="3BF8FE9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3#锅炉房（154MW锅炉）</w:t>
            </w: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443FFF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一次风机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7585EE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105</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5BA9ED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进风口消声器、管道外壳阻尼</w:t>
            </w:r>
          </w:p>
        </w:tc>
        <w:tc>
          <w:tcPr>
            <w:tcW w:w="381" w:type="pct"/>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2E5521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连续</w:t>
            </w: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2835FF0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3A508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single" w:color="000000" w:sz="8" w:space="0"/>
              <w:right w:val="single" w:color="000000" w:sz="8" w:space="0"/>
            </w:tcBorders>
            <w:shd w:val="clear" w:color="auto" w:fill="auto"/>
            <w:noWrap/>
            <w:vAlign w:val="center"/>
          </w:tcPr>
          <w:p w14:paraId="25D109B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1EBAA07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二次风机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C8CEEB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105</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AFC8A0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进风口消声器、管道外壳阻尼</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0EC5130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5FD40DB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762A9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single" w:color="000000" w:sz="8" w:space="0"/>
              <w:right w:val="single" w:color="000000" w:sz="8" w:space="0"/>
            </w:tcBorders>
            <w:shd w:val="clear" w:color="auto" w:fill="auto"/>
            <w:noWrap/>
            <w:vAlign w:val="center"/>
          </w:tcPr>
          <w:p w14:paraId="5304B94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224721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空气预热器</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48DAAD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85</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D3092D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基础减振、厂房隔声</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7C2686F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5D647C3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13E5C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single" w:color="000000" w:sz="8" w:space="0"/>
              <w:right w:val="single" w:color="000000" w:sz="8" w:space="0"/>
            </w:tcBorders>
            <w:shd w:val="clear" w:color="auto" w:fill="auto"/>
            <w:noWrap/>
            <w:vAlign w:val="center"/>
          </w:tcPr>
          <w:p w14:paraId="0DDE64B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CDF493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冷渣机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A110F0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95</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F516F8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基础减振、厂房隔声</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672567E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0F3FCDF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71ABA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single" w:color="000000" w:sz="8" w:space="0"/>
              <w:right w:val="single" w:color="000000" w:sz="8" w:space="0"/>
            </w:tcBorders>
            <w:shd w:val="clear" w:color="auto" w:fill="auto"/>
            <w:noWrap/>
            <w:vAlign w:val="center"/>
          </w:tcPr>
          <w:p w14:paraId="13A6AB7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277F35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除渣机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DBE875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95</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F9D4D8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基础减振、厂房隔声</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7F48E0D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1370825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6D600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single" w:color="000000" w:sz="8" w:space="0"/>
              <w:right w:val="single" w:color="000000" w:sz="8" w:space="0"/>
            </w:tcBorders>
            <w:shd w:val="clear" w:color="auto" w:fill="auto"/>
            <w:noWrap/>
            <w:vAlign w:val="center"/>
          </w:tcPr>
          <w:p w14:paraId="5109B15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27FB9E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引风机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158AA52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100</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1851DA9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进风口消声器、管道外壳阻尼</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2B846CC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1C99ED3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3DF68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single" w:color="000000" w:sz="8" w:space="0"/>
              <w:right w:val="single" w:color="000000" w:sz="8" w:space="0"/>
            </w:tcBorders>
            <w:shd w:val="clear" w:color="auto" w:fill="auto"/>
            <w:noWrap/>
            <w:vAlign w:val="center"/>
          </w:tcPr>
          <w:p w14:paraId="4D0228A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763E59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碎煤机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6AAB73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95</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A52242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隔声罩壳、厂房隔声</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4663904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2A08EB0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552F2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18" w:type="pct"/>
            <w:vMerge w:val="restart"/>
            <w:tcBorders>
              <w:top w:val="single" w:color="000000" w:sz="8" w:space="0"/>
              <w:left w:val="nil"/>
              <w:bottom w:val="single" w:color="000000" w:sz="8" w:space="0"/>
              <w:right w:val="single" w:color="000000" w:sz="8" w:space="0"/>
            </w:tcBorders>
            <w:shd w:val="clear" w:color="auto" w:fill="auto"/>
            <w:noWrap/>
            <w:vAlign w:val="center"/>
          </w:tcPr>
          <w:p w14:paraId="749141C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4#锅炉房（116MW锅炉）</w:t>
            </w: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7A5C6A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一次风机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63AB5E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105</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695A42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进风口消声器、管道外壳阻尼</w:t>
            </w:r>
          </w:p>
        </w:tc>
        <w:tc>
          <w:tcPr>
            <w:tcW w:w="381" w:type="pct"/>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tcPr>
          <w:p w14:paraId="1BBE689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连续</w:t>
            </w: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118FC94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1F960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single" w:color="000000" w:sz="8" w:space="0"/>
              <w:right w:val="single" w:color="000000" w:sz="8" w:space="0"/>
            </w:tcBorders>
            <w:shd w:val="clear" w:color="auto" w:fill="auto"/>
            <w:noWrap/>
            <w:vAlign w:val="center"/>
          </w:tcPr>
          <w:p w14:paraId="688015F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836DCA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二次风机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C4844C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105</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9AC21D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进风口消声器、管道外壳阻尼</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005BC62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3943F8A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26202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single" w:color="000000" w:sz="8" w:space="0"/>
              <w:right w:val="single" w:color="000000" w:sz="8" w:space="0"/>
            </w:tcBorders>
            <w:shd w:val="clear" w:color="auto" w:fill="auto"/>
            <w:noWrap/>
            <w:vAlign w:val="center"/>
          </w:tcPr>
          <w:p w14:paraId="1EB1BD0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0A64B8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空气预热器</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DB1ABD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85</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F1EAA0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基础减振、厂房隔声</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61E3E26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74489D2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345FD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single" w:color="000000" w:sz="8" w:space="0"/>
              <w:right w:val="single" w:color="000000" w:sz="8" w:space="0"/>
            </w:tcBorders>
            <w:shd w:val="clear" w:color="auto" w:fill="auto"/>
            <w:noWrap/>
            <w:vAlign w:val="center"/>
          </w:tcPr>
          <w:p w14:paraId="3E50739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9ADFAB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引风机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17EFB04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100</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042110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进风口消声器、管道外壳阻尼</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12C9FA7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15EAA33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12E1A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single" w:color="000000" w:sz="8" w:space="0"/>
              <w:right w:val="single" w:color="000000" w:sz="8" w:space="0"/>
            </w:tcBorders>
            <w:shd w:val="clear" w:color="auto" w:fill="auto"/>
            <w:noWrap/>
            <w:vAlign w:val="center"/>
          </w:tcPr>
          <w:p w14:paraId="133FA65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A195FA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碎煤机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B88A4F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95</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E4E016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隔声罩壳、厂房隔声</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7CA8856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018B2BE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3A499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restart"/>
            <w:tcBorders>
              <w:top w:val="single" w:color="000000" w:sz="8" w:space="0"/>
              <w:left w:val="nil"/>
              <w:bottom w:val="single" w:color="000000" w:sz="8" w:space="0"/>
              <w:right w:val="single" w:color="000000" w:sz="8" w:space="0"/>
            </w:tcBorders>
            <w:shd w:val="clear" w:color="auto" w:fill="auto"/>
            <w:noWrap/>
            <w:vAlign w:val="center"/>
          </w:tcPr>
          <w:p w14:paraId="3FD4693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软化水车间</w:t>
            </w: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224628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水泵1</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1C618F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90</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13EE45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隔声罩壳、厂房隔声</w:t>
            </w:r>
          </w:p>
        </w:tc>
        <w:tc>
          <w:tcPr>
            <w:tcW w:w="381" w:type="pct"/>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19187B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连续</w:t>
            </w: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570F383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4E5EF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single" w:color="000000" w:sz="8" w:space="0"/>
              <w:right w:val="single" w:color="000000" w:sz="8" w:space="0"/>
            </w:tcBorders>
            <w:shd w:val="clear" w:color="auto" w:fill="auto"/>
            <w:noWrap/>
            <w:vAlign w:val="center"/>
          </w:tcPr>
          <w:p w14:paraId="33876C0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160EC25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水泵2</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B1CD0C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90</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7D5EAF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隔声罩壳、厂房隔声</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3C16175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2314E98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2903E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single" w:color="000000" w:sz="8" w:space="0"/>
              <w:right w:val="single" w:color="000000" w:sz="8" w:space="0"/>
            </w:tcBorders>
            <w:shd w:val="clear" w:color="auto" w:fill="auto"/>
            <w:noWrap/>
            <w:vAlign w:val="center"/>
          </w:tcPr>
          <w:p w14:paraId="1EC2FF9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124ECA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水泵3</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B135F5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90</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E24E0B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隔声罩壳、厂房隔声</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55B5D04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0FEE3FF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3F67E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vMerge w:val="continue"/>
            <w:tcBorders>
              <w:top w:val="single" w:color="000000" w:sz="8" w:space="0"/>
              <w:left w:val="nil"/>
              <w:bottom w:val="single" w:color="000000" w:sz="8" w:space="0"/>
              <w:right w:val="single" w:color="000000" w:sz="8" w:space="0"/>
            </w:tcBorders>
            <w:shd w:val="clear" w:color="auto" w:fill="auto"/>
            <w:noWrap/>
            <w:vAlign w:val="center"/>
          </w:tcPr>
          <w:p w14:paraId="6BB6382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5DD0B5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水泵2</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DC5E98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90</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7B54A8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隔声罩壳、厂房隔声</w:t>
            </w:r>
          </w:p>
        </w:tc>
        <w:tc>
          <w:tcPr>
            <w:tcW w:w="381"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5398817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5FE87FD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r w14:paraId="3A5AA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18" w:type="pct"/>
            <w:tcBorders>
              <w:top w:val="single" w:color="000000" w:sz="8" w:space="0"/>
              <w:left w:val="nil"/>
              <w:bottom w:val="single" w:color="000000" w:sz="8" w:space="0"/>
              <w:right w:val="single" w:color="000000" w:sz="8" w:space="0"/>
            </w:tcBorders>
            <w:shd w:val="clear" w:color="auto" w:fill="auto"/>
            <w:noWrap/>
            <w:vAlign w:val="center"/>
          </w:tcPr>
          <w:p w14:paraId="592ECDB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灰库</w:t>
            </w:r>
          </w:p>
        </w:tc>
        <w:tc>
          <w:tcPr>
            <w:tcW w:w="93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D4CBCB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灰库风机</w:t>
            </w:r>
          </w:p>
        </w:tc>
        <w:tc>
          <w:tcPr>
            <w:tcW w:w="8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314541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100</w:t>
            </w:r>
          </w:p>
        </w:tc>
        <w:tc>
          <w:tcPr>
            <w:tcW w:w="1707"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78DB65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隔声罩壳、厂房隔声</w:t>
            </w:r>
          </w:p>
        </w:tc>
        <w:tc>
          <w:tcPr>
            <w:tcW w:w="381"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CCE841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val="en-US" w:eastAsia="zh-CN"/>
              </w:rPr>
              <w:t>连续</w:t>
            </w:r>
          </w:p>
        </w:tc>
        <w:tc>
          <w:tcPr>
            <w:tcW w:w="348" w:type="pct"/>
            <w:vMerge w:val="continue"/>
            <w:tcBorders>
              <w:top w:val="single" w:color="000000" w:sz="8" w:space="0"/>
              <w:left w:val="single" w:color="000000" w:sz="8" w:space="0"/>
              <w:bottom w:val="single" w:color="000000" w:sz="8" w:space="0"/>
              <w:right w:val="nil"/>
            </w:tcBorders>
            <w:shd w:val="clear" w:color="auto" w:fill="auto"/>
            <w:noWrap/>
            <w:vAlign w:val="center"/>
          </w:tcPr>
          <w:p w14:paraId="1B19CD6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1"/>
                <w:szCs w:val="21"/>
                <w:highlight w:val="none"/>
                <w:lang w:eastAsia="zh-CN"/>
              </w:rPr>
            </w:pPr>
          </w:p>
        </w:tc>
      </w:tr>
    </w:tbl>
    <w:p w14:paraId="21CCB59A">
      <w:pPr>
        <w:pStyle w:val="6"/>
        <w:keepNext/>
        <w:keepLines/>
        <w:pageBreakBefore w:val="0"/>
        <w:widowControl w:val="0"/>
        <w:kinsoku/>
        <w:wordWrap/>
        <w:overflowPunct/>
        <w:topLinePunct w:val="0"/>
        <w:autoSpaceDE/>
        <w:autoSpaceDN/>
        <w:bidi w:val="0"/>
        <w:adjustRightInd w:val="0"/>
        <w:snapToGrid w:val="0"/>
        <w:spacing w:before="157" w:beforeLines="50" w:after="157" w:afterLines="50" w:line="240" w:lineRule="auto"/>
        <w:jc w:val="left"/>
        <w:textAlignment w:val="auto"/>
        <w:rPr>
          <w:rFonts w:hint="default" w:ascii="Times New Roman" w:hAnsi="Times New Roman" w:eastAsia="宋体" w:cs="Times New Roman"/>
          <w:b w:val="0"/>
          <w:color w:val="auto"/>
          <w:sz w:val="28"/>
          <w:szCs w:val="28"/>
          <w:highlight w:val="none"/>
          <w:lang w:eastAsia="zh-CN"/>
        </w:rPr>
      </w:pPr>
      <w:bookmarkStart w:id="319" w:name="_Toc18934"/>
      <w:bookmarkStart w:id="320" w:name="_Toc27515"/>
      <w:bookmarkStart w:id="321" w:name="_Toc30598"/>
      <w:r>
        <w:rPr>
          <w:rFonts w:hint="default" w:ascii="Times New Roman" w:hAnsi="Times New Roman" w:eastAsia="宋体" w:cs="Times New Roman"/>
          <w:b w:val="0"/>
          <w:color w:val="auto"/>
          <w:sz w:val="28"/>
          <w:szCs w:val="28"/>
          <w:highlight w:val="none"/>
        </w:rPr>
        <w:t>4.</w:t>
      </w:r>
      <w:r>
        <w:rPr>
          <w:rFonts w:hint="default" w:ascii="Times New Roman" w:hAnsi="Times New Roman" w:eastAsia="宋体" w:cs="Times New Roman"/>
          <w:b w:val="0"/>
          <w:color w:val="auto"/>
          <w:sz w:val="28"/>
          <w:szCs w:val="28"/>
          <w:highlight w:val="none"/>
          <w:lang w:val="en-US" w:eastAsia="zh-CN"/>
        </w:rPr>
        <w:t>3</w:t>
      </w:r>
      <w:r>
        <w:rPr>
          <w:rFonts w:hint="default" w:ascii="Times New Roman" w:hAnsi="Times New Roman" w:eastAsia="宋体" w:cs="Times New Roman"/>
          <w:b w:val="0"/>
          <w:color w:val="auto"/>
          <w:sz w:val="28"/>
          <w:szCs w:val="28"/>
          <w:highlight w:val="none"/>
        </w:rPr>
        <w:t>.4 固体废物</w:t>
      </w:r>
      <w:r>
        <w:rPr>
          <w:rFonts w:hint="default" w:ascii="Times New Roman" w:hAnsi="Times New Roman" w:eastAsia="宋体" w:cs="Times New Roman"/>
          <w:b w:val="0"/>
          <w:color w:val="auto"/>
          <w:sz w:val="28"/>
          <w:szCs w:val="28"/>
          <w:highlight w:val="none"/>
          <w:lang w:eastAsia="zh-CN"/>
        </w:rPr>
        <w:t>源强</w:t>
      </w:r>
      <w:bookmarkEnd w:id="319"/>
      <w:bookmarkEnd w:id="320"/>
      <w:bookmarkEnd w:id="321"/>
    </w:p>
    <w:p w14:paraId="17E34961">
      <w:pPr>
        <w:adjustRightInd w:val="0"/>
        <w:snapToGrid w:val="0"/>
        <w:spacing w:line="480" w:lineRule="exact"/>
        <w:ind w:firstLine="480" w:firstLineChars="200"/>
        <w:rPr>
          <w:rFonts w:hint="default" w:ascii="Times New Roman" w:hAnsi="Times New Roman" w:eastAsia="宋体" w:cs="Times New Roman"/>
          <w:color w:val="auto"/>
          <w:spacing w:val="0"/>
          <w:sz w:val="24"/>
          <w:szCs w:val="24"/>
          <w:highlight w:val="none"/>
          <w:lang w:val="en-US" w:eastAsia="zh-CN"/>
        </w:rPr>
      </w:pPr>
      <w:r>
        <w:rPr>
          <w:rFonts w:hint="eastAsia" w:ascii="Times New Roman" w:hAnsi="Times New Roman" w:eastAsia="宋体" w:cs="Times New Roman"/>
          <w:color w:val="auto"/>
          <w:spacing w:val="0"/>
          <w:sz w:val="24"/>
          <w:szCs w:val="24"/>
          <w:highlight w:val="none"/>
          <w:lang w:eastAsia="zh-CN"/>
        </w:rPr>
        <w:t>1.</w:t>
      </w:r>
      <w:r>
        <w:rPr>
          <w:rFonts w:hint="default" w:ascii="Times New Roman" w:hAnsi="Times New Roman" w:eastAsia="宋体" w:cs="Times New Roman"/>
          <w:color w:val="auto"/>
          <w:spacing w:val="0"/>
          <w:sz w:val="24"/>
          <w:szCs w:val="24"/>
          <w:highlight w:val="none"/>
        </w:rPr>
        <w:t>锅炉</w:t>
      </w:r>
      <w:r>
        <w:rPr>
          <w:rFonts w:hint="default" w:ascii="Times New Roman" w:hAnsi="Times New Roman" w:eastAsia="宋体" w:cs="Times New Roman"/>
          <w:color w:val="auto"/>
          <w:spacing w:val="0"/>
          <w:sz w:val="24"/>
          <w:szCs w:val="24"/>
          <w:highlight w:val="none"/>
          <w:lang w:val="en-US" w:eastAsia="zh-CN"/>
        </w:rPr>
        <w:t>灰渣</w:t>
      </w:r>
    </w:p>
    <w:p w14:paraId="20FED17F">
      <w:pPr>
        <w:adjustRightInd w:val="0"/>
        <w:snapToGrid w:val="0"/>
        <w:spacing w:line="48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参照《污染</w:t>
      </w:r>
      <w:r>
        <w:rPr>
          <w:rFonts w:hint="default" w:ascii="Times New Roman" w:hAnsi="Times New Roman" w:eastAsia="宋体" w:cs="Times New Roman"/>
          <w:color w:val="auto"/>
          <w:sz w:val="24"/>
          <w:szCs w:val="24"/>
          <w:highlight w:val="none"/>
          <w:lang w:val="en-US" w:eastAsia="zh-CN"/>
        </w:rPr>
        <w:t>源</w:t>
      </w:r>
      <w:r>
        <w:rPr>
          <w:rFonts w:hint="default" w:ascii="Times New Roman" w:hAnsi="Times New Roman" w:eastAsia="宋体" w:cs="Times New Roman"/>
          <w:color w:val="auto"/>
          <w:sz w:val="24"/>
          <w:szCs w:val="24"/>
          <w:highlight w:val="none"/>
        </w:rPr>
        <w:t xml:space="preserve">源强核算技术指南 </w:t>
      </w:r>
      <w:r>
        <w:rPr>
          <w:rFonts w:hint="default" w:ascii="Times New Roman" w:hAnsi="Times New Roman" w:eastAsia="宋体" w:cs="Times New Roman"/>
          <w:color w:val="auto"/>
          <w:sz w:val="24"/>
          <w:szCs w:val="24"/>
          <w:highlight w:val="none"/>
          <w:lang w:val="en-US" w:eastAsia="zh-CN"/>
        </w:rPr>
        <w:t>锅炉</w:t>
      </w:r>
      <w:r>
        <w:rPr>
          <w:rFonts w:hint="default" w:ascii="Times New Roman" w:hAnsi="Times New Roman" w:eastAsia="宋体" w:cs="Times New Roman"/>
          <w:color w:val="auto"/>
          <w:sz w:val="24"/>
          <w:szCs w:val="24"/>
          <w:highlight w:val="none"/>
        </w:rPr>
        <w:t>》（HJ</w:t>
      </w:r>
      <w:r>
        <w:rPr>
          <w:rFonts w:hint="default" w:ascii="Times New Roman" w:hAnsi="Times New Roman" w:eastAsia="宋体" w:cs="Times New Roman"/>
          <w:color w:val="auto"/>
          <w:sz w:val="24"/>
          <w:szCs w:val="24"/>
          <w:highlight w:val="none"/>
          <w:lang w:val="en-US" w:eastAsia="zh-CN"/>
        </w:rPr>
        <w:t>991</w:t>
      </w:r>
      <w:r>
        <w:rPr>
          <w:rFonts w:hint="default" w:ascii="Times New Roman" w:hAnsi="Times New Roman" w:eastAsia="宋体" w:cs="Times New Roman"/>
          <w:color w:val="auto"/>
          <w:sz w:val="24"/>
          <w:szCs w:val="24"/>
          <w:highlight w:val="none"/>
        </w:rPr>
        <w:t>-2018），</w:t>
      </w:r>
      <w:r>
        <w:rPr>
          <w:rFonts w:hint="default" w:ascii="Times New Roman" w:hAnsi="Times New Roman" w:eastAsia="宋体" w:cs="Times New Roman"/>
          <w:color w:val="auto"/>
          <w:sz w:val="24"/>
          <w:szCs w:val="24"/>
          <w:highlight w:val="none"/>
          <w:lang w:val="en-US" w:eastAsia="zh-CN"/>
        </w:rPr>
        <w:t>锅炉炉渣和布袋除尘器收集粉尘</w:t>
      </w:r>
      <w:r>
        <w:rPr>
          <w:rFonts w:hint="default" w:ascii="Times New Roman" w:hAnsi="Times New Roman" w:eastAsia="宋体" w:cs="Times New Roman"/>
          <w:color w:val="auto"/>
          <w:sz w:val="24"/>
          <w:szCs w:val="24"/>
          <w:highlight w:val="none"/>
        </w:rPr>
        <w:t>产生量按照如下公式计算：</w:t>
      </w:r>
    </w:p>
    <w:p w14:paraId="65E06FD0">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position w:val="-30"/>
          <w:szCs w:val="21"/>
          <w:highlight w:val="none"/>
          <w:lang w:bidi="zh-CN"/>
        </w:rPr>
        <w:object>
          <v:shape id="_x0000_i1044" o:spt="75" type="#_x0000_t75" style="height:37.5pt;width:147.6pt;" o:ole="t" filled="f" o:preferrelative="t" stroked="f" coordsize="21600,21600">
            <v:path/>
            <v:fill on="f" focussize="0,0"/>
            <v:stroke on="f"/>
            <v:imagedata r:id="rId74" o:title=""/>
            <o:lock v:ext="edit" aspectratio="t"/>
            <w10:wrap type="none"/>
            <w10:anchorlock/>
          </v:shape>
          <o:OLEObject Type="Embed" ProgID="Equation.KSEE3" ShapeID="_x0000_i1044" DrawAspect="Content" ObjectID="_1468075744" r:id="rId73">
            <o:LockedField>false</o:LockedField>
          </o:OLEObject>
        </w:object>
      </w:r>
    </w:p>
    <w:p w14:paraId="6E547B74">
      <w:pPr>
        <w:ind w:firstLine="48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eastAsia="zh-CN"/>
        </w:rPr>
        <w:t>式中：</w:t>
      </w:r>
      <w:r>
        <w:rPr>
          <w:rFonts w:hint="default" w:ascii="Times New Roman" w:hAnsi="Times New Roman" w:eastAsia="宋体" w:cs="Times New Roman"/>
          <w:color w:val="auto"/>
          <w:szCs w:val="21"/>
          <w:highlight w:val="none"/>
        </w:rPr>
        <w:t>E</w:t>
      </w:r>
      <w:r>
        <w:rPr>
          <w:rFonts w:hint="default" w:ascii="Times New Roman" w:hAnsi="Times New Roman" w:eastAsia="宋体" w:cs="Times New Roman"/>
          <w:color w:val="auto"/>
          <w:szCs w:val="21"/>
          <w:highlight w:val="none"/>
          <w:vertAlign w:val="subscript"/>
        </w:rPr>
        <w:t>hz</w:t>
      </w:r>
      <w:r>
        <w:rPr>
          <w:rFonts w:hint="default" w:ascii="Times New Roman" w:hAnsi="Times New Roman" w:eastAsia="宋体" w:cs="Times New Roman"/>
          <w:color w:val="auto"/>
          <w:szCs w:val="21"/>
          <w:highlight w:val="none"/>
        </w:rPr>
        <w:t>——核算时段内</w:t>
      </w:r>
      <w:r>
        <w:rPr>
          <w:rFonts w:hint="eastAsia" w:ascii="Times New Roman" w:hAnsi="Times New Roman" w:eastAsia="宋体" w:cs="Times New Roman"/>
          <w:color w:val="auto"/>
          <w:szCs w:val="21"/>
          <w:highlight w:val="none"/>
          <w:lang w:eastAsia="zh-CN"/>
        </w:rPr>
        <w:t>灰</w:t>
      </w:r>
      <w:r>
        <w:rPr>
          <w:rFonts w:hint="default" w:ascii="Times New Roman" w:hAnsi="Times New Roman" w:eastAsia="宋体" w:cs="Times New Roman"/>
          <w:color w:val="auto"/>
          <w:szCs w:val="21"/>
          <w:highlight w:val="none"/>
        </w:rPr>
        <w:t>渣产生量，t；根据飞灰份额d</w:t>
      </w:r>
      <w:r>
        <w:rPr>
          <w:rFonts w:hint="default" w:ascii="Times New Roman" w:hAnsi="Times New Roman" w:eastAsia="宋体" w:cs="Times New Roman"/>
          <w:color w:val="auto"/>
          <w:szCs w:val="21"/>
          <w:highlight w:val="none"/>
          <w:vertAlign w:val="subscript"/>
        </w:rPr>
        <w:t>fh</w:t>
      </w:r>
      <w:r>
        <w:rPr>
          <w:rFonts w:hint="default" w:ascii="Times New Roman" w:hAnsi="Times New Roman" w:eastAsia="宋体" w:cs="Times New Roman"/>
          <w:color w:val="auto"/>
          <w:szCs w:val="21"/>
          <w:highlight w:val="none"/>
        </w:rPr>
        <w:t>可分别核算飞灰和炉渣产生量；</w:t>
      </w:r>
    </w:p>
    <w:p w14:paraId="2C9524C6">
      <w:pPr>
        <w:ind w:firstLine="1200" w:firstLineChars="500"/>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rPr>
        <w:t>R——核算时段内锅炉燃料耗量，</w:t>
      </w:r>
      <w:r>
        <w:rPr>
          <w:rFonts w:hint="eastAsia" w:ascii="Times New Roman" w:hAnsi="Times New Roman" w:eastAsia="宋体" w:cs="Times New Roman"/>
          <w:color w:val="auto"/>
          <w:szCs w:val="21"/>
          <w:highlight w:val="none"/>
          <w:lang w:val="en-US" w:eastAsia="zh-CN"/>
        </w:rPr>
        <w:t>14.42</w:t>
      </w:r>
      <w:r>
        <w:rPr>
          <w:rFonts w:hint="default" w:ascii="Times New Roman" w:hAnsi="Times New Roman" w:eastAsia="宋体" w:cs="Times New Roman"/>
          <w:color w:val="auto"/>
          <w:szCs w:val="21"/>
          <w:highlight w:val="none"/>
        </w:rPr>
        <w:t>t</w:t>
      </w:r>
      <w:r>
        <w:rPr>
          <w:rFonts w:hint="default" w:ascii="Times New Roman" w:hAnsi="Times New Roman" w:eastAsia="宋体" w:cs="Times New Roman"/>
          <w:color w:val="auto"/>
          <w:szCs w:val="21"/>
          <w:highlight w:val="none"/>
          <w:lang w:val="en-US" w:eastAsia="zh-CN"/>
        </w:rPr>
        <w:t>/h</w:t>
      </w:r>
      <w:r>
        <w:rPr>
          <w:rFonts w:hint="default" w:ascii="Times New Roman" w:hAnsi="Times New Roman" w:eastAsia="宋体" w:cs="Times New Roman"/>
          <w:color w:val="auto"/>
          <w:szCs w:val="21"/>
          <w:highlight w:val="none"/>
        </w:rPr>
        <w:t>；</w:t>
      </w:r>
    </w:p>
    <w:p w14:paraId="279F0AB8">
      <w:pPr>
        <w:ind w:firstLine="1200" w:firstLineChars="5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A</w:t>
      </w:r>
      <w:r>
        <w:rPr>
          <w:rFonts w:hint="default" w:ascii="Times New Roman" w:hAnsi="Times New Roman" w:eastAsia="宋体" w:cs="Times New Roman"/>
          <w:color w:val="auto"/>
          <w:szCs w:val="21"/>
          <w:highlight w:val="none"/>
          <w:vertAlign w:val="subscript"/>
        </w:rPr>
        <w:t>ar</w:t>
      </w:r>
      <w:r>
        <w:rPr>
          <w:rFonts w:hint="default" w:ascii="Times New Roman" w:hAnsi="Times New Roman" w:eastAsia="宋体" w:cs="Times New Roman"/>
          <w:color w:val="auto"/>
          <w:szCs w:val="21"/>
          <w:highlight w:val="none"/>
        </w:rPr>
        <w:t>——收到基灰分的质量分数</w:t>
      </w:r>
      <w:r>
        <w:rPr>
          <w:rFonts w:hint="eastAsia" w:ascii="Times New Roman" w:hAnsi="Times New Roman" w:eastAsia="宋体" w:cs="Times New Roman"/>
          <w:color w:val="auto"/>
          <w:szCs w:val="21"/>
          <w:highlight w:val="none"/>
          <w:lang w:eastAsia="zh-CN"/>
        </w:rPr>
        <w:t>，</w:t>
      </w:r>
      <w:r>
        <w:rPr>
          <w:rFonts w:hint="eastAsia" w:ascii="Times New Roman" w:hAnsi="Times New Roman" w:eastAsia="宋体" w:cs="Times New Roman"/>
          <w:color w:val="auto"/>
          <w:szCs w:val="21"/>
          <w:highlight w:val="none"/>
          <w:lang w:val="en-US" w:eastAsia="zh-CN"/>
        </w:rPr>
        <w:t>35.55%</w:t>
      </w:r>
      <w:r>
        <w:rPr>
          <w:rFonts w:hint="default" w:ascii="Times New Roman" w:hAnsi="Times New Roman" w:eastAsia="宋体" w:cs="Times New Roman"/>
          <w:color w:val="auto"/>
          <w:szCs w:val="21"/>
          <w:highlight w:val="none"/>
        </w:rPr>
        <w:t>；</w:t>
      </w:r>
    </w:p>
    <w:p w14:paraId="11DDCB70">
      <w:pPr>
        <w:ind w:firstLine="1200" w:firstLineChars="5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q</w:t>
      </w:r>
      <w:r>
        <w:rPr>
          <w:rFonts w:hint="default" w:ascii="Times New Roman" w:hAnsi="Times New Roman" w:eastAsia="宋体" w:cs="Times New Roman"/>
          <w:color w:val="auto"/>
          <w:szCs w:val="21"/>
          <w:highlight w:val="none"/>
          <w:vertAlign w:val="subscript"/>
        </w:rPr>
        <w:t>4</w:t>
      </w:r>
      <w:r>
        <w:rPr>
          <w:rFonts w:hint="default" w:ascii="Times New Roman" w:hAnsi="Times New Roman" w:eastAsia="宋体" w:cs="Times New Roman"/>
          <w:color w:val="auto"/>
          <w:szCs w:val="21"/>
          <w:highlight w:val="none"/>
        </w:rPr>
        <w:t>——锅炉机械不完全燃烧热损失，</w:t>
      </w:r>
      <w:r>
        <w:rPr>
          <w:rFonts w:hint="eastAsia" w:ascii="Times New Roman" w:hAnsi="Times New Roman" w:eastAsia="宋体" w:cs="Times New Roman"/>
          <w:color w:val="auto"/>
          <w:szCs w:val="21"/>
          <w:highlight w:val="none"/>
          <w:lang w:val="en-US" w:eastAsia="zh-CN"/>
        </w:rPr>
        <w:t>7</w:t>
      </w:r>
      <w:r>
        <w:rPr>
          <w:rFonts w:hint="default" w:ascii="Times New Roman" w:hAnsi="Times New Roman" w:eastAsia="宋体" w:cs="Times New Roman"/>
          <w:color w:val="auto"/>
          <w:szCs w:val="21"/>
          <w:highlight w:val="none"/>
        </w:rPr>
        <w:t>%；</w:t>
      </w:r>
    </w:p>
    <w:p w14:paraId="1D318E6D">
      <w:pPr>
        <w:ind w:firstLine="1200" w:firstLineChars="5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Q</w:t>
      </w:r>
      <w:r>
        <w:rPr>
          <w:rFonts w:hint="default" w:ascii="Times New Roman" w:hAnsi="Times New Roman" w:eastAsia="宋体" w:cs="Times New Roman"/>
          <w:color w:val="auto"/>
          <w:szCs w:val="21"/>
          <w:highlight w:val="none"/>
          <w:vertAlign w:val="subscript"/>
        </w:rPr>
        <w:t>net，ar</w:t>
      </w:r>
      <w:r>
        <w:rPr>
          <w:rFonts w:hint="default" w:ascii="Times New Roman" w:hAnsi="Times New Roman" w:eastAsia="宋体" w:cs="Times New Roman"/>
          <w:color w:val="auto"/>
          <w:szCs w:val="21"/>
          <w:highlight w:val="none"/>
        </w:rPr>
        <w:t>——收到基低位发热量，</w:t>
      </w:r>
      <w:r>
        <w:rPr>
          <w:rFonts w:hint="eastAsia" w:ascii="Times New Roman" w:hAnsi="Times New Roman" w:eastAsia="宋体" w:cs="Times New Roman"/>
          <w:color w:val="auto"/>
          <w:szCs w:val="21"/>
          <w:highlight w:val="none"/>
          <w:lang w:val="en-US" w:eastAsia="zh-CN"/>
        </w:rPr>
        <w:t>18099k</w:t>
      </w:r>
      <w:r>
        <w:rPr>
          <w:rFonts w:hint="default" w:ascii="Times New Roman" w:hAnsi="Times New Roman" w:eastAsia="宋体" w:cs="Times New Roman"/>
          <w:color w:val="auto"/>
          <w:szCs w:val="21"/>
          <w:highlight w:val="none"/>
        </w:rPr>
        <w:t>J/kg。</w:t>
      </w:r>
    </w:p>
    <w:p w14:paraId="3E6AFB57">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经计算锅炉</w:t>
      </w:r>
      <w:r>
        <w:rPr>
          <w:rFonts w:hint="eastAsia" w:ascii="Times New Roman" w:hAnsi="Times New Roman" w:eastAsia="宋体" w:cs="Times New Roman"/>
          <w:color w:val="auto"/>
          <w:sz w:val="24"/>
          <w:szCs w:val="24"/>
          <w:highlight w:val="none"/>
          <w:lang w:eastAsia="zh-CN"/>
        </w:rPr>
        <w:t>灰渣</w:t>
      </w:r>
      <w:r>
        <w:rPr>
          <w:rFonts w:hint="eastAsia" w:ascii="Times New Roman" w:hAnsi="Times New Roman" w:eastAsia="宋体" w:cs="Times New Roman"/>
          <w:color w:val="auto"/>
          <w:sz w:val="24"/>
          <w:szCs w:val="24"/>
          <w:highlight w:val="none"/>
          <w:lang w:val="en-US" w:eastAsia="zh-CN"/>
        </w:rPr>
        <w:t>产生量</w:t>
      </w:r>
      <w:r>
        <w:rPr>
          <w:rFonts w:hint="default" w:ascii="Times New Roman" w:hAnsi="Times New Roman" w:eastAsia="宋体" w:cs="Times New Roman"/>
          <w:color w:val="auto"/>
          <w:sz w:val="24"/>
          <w:szCs w:val="24"/>
          <w:highlight w:val="none"/>
          <w:lang w:val="en-US" w:eastAsia="zh-CN"/>
        </w:rPr>
        <w:t>为</w:t>
      </w:r>
      <w:r>
        <w:rPr>
          <w:rFonts w:hint="eastAsia" w:ascii="Times New Roman" w:hAnsi="Times New Roman" w:eastAsia="宋体" w:cs="Times New Roman"/>
          <w:color w:val="auto"/>
          <w:sz w:val="24"/>
          <w:szCs w:val="24"/>
          <w:highlight w:val="none"/>
          <w:lang w:val="en-US" w:eastAsia="zh-CN"/>
        </w:rPr>
        <w:t>5.67</w:t>
      </w:r>
      <w:r>
        <w:rPr>
          <w:rFonts w:hint="default" w:ascii="Times New Roman" w:hAnsi="Times New Roman" w:eastAsia="宋体" w:cs="Times New Roman"/>
          <w:color w:val="auto"/>
          <w:sz w:val="24"/>
          <w:szCs w:val="24"/>
          <w:highlight w:val="none"/>
          <w:lang w:val="en-US" w:eastAsia="zh-CN"/>
        </w:rPr>
        <w:t>t/h，</w:t>
      </w:r>
      <w:r>
        <w:rPr>
          <w:rFonts w:hint="eastAsia" w:ascii="Times New Roman" w:hAnsi="Times New Roman" w:eastAsia="宋体" w:cs="Times New Roman"/>
          <w:color w:val="auto"/>
          <w:sz w:val="24"/>
          <w:szCs w:val="24"/>
          <w:highlight w:val="none"/>
          <w:lang w:val="en-US" w:eastAsia="zh-CN"/>
        </w:rPr>
        <w:t>6135.95</w:t>
      </w:r>
      <w:r>
        <w:rPr>
          <w:rFonts w:hint="default" w:ascii="Times New Roman" w:hAnsi="Times New Roman" w:eastAsia="宋体" w:cs="Times New Roman"/>
          <w:color w:val="auto"/>
          <w:sz w:val="24"/>
          <w:szCs w:val="24"/>
          <w:highlight w:val="none"/>
          <w:lang w:val="en-US" w:eastAsia="zh-CN"/>
        </w:rPr>
        <w:t>t/a，锅炉烟气带出的飞灰份额dfh取0.</w:t>
      </w:r>
      <w:r>
        <w:rPr>
          <w:rFonts w:hint="eastAsia"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，则飞灰产生量为</w:t>
      </w:r>
      <w:r>
        <w:rPr>
          <w:rFonts w:hint="eastAsia" w:ascii="Times New Roman" w:hAnsi="Times New Roman" w:eastAsia="宋体" w:cs="Times New Roman"/>
          <w:color w:val="auto"/>
          <w:sz w:val="24"/>
          <w:szCs w:val="24"/>
          <w:highlight w:val="none"/>
          <w:lang w:val="en-US" w:eastAsia="zh-CN"/>
        </w:rPr>
        <w:t>1.13</w:t>
      </w:r>
      <w:r>
        <w:rPr>
          <w:rFonts w:hint="default" w:ascii="Times New Roman" w:hAnsi="Times New Roman" w:eastAsia="宋体" w:cs="Times New Roman"/>
          <w:color w:val="auto"/>
          <w:sz w:val="24"/>
          <w:szCs w:val="24"/>
          <w:highlight w:val="none"/>
          <w:lang w:val="en-US" w:eastAsia="zh-CN"/>
        </w:rPr>
        <w:t>t/h</w:t>
      </w:r>
      <w:r>
        <w:rPr>
          <w:rFonts w:hint="eastAsia" w:ascii="Times New Roman" w:hAnsi="Times New Roman" w:eastAsia="宋体" w:cs="Times New Roman"/>
          <w:color w:val="auto"/>
          <w:sz w:val="24"/>
          <w:szCs w:val="24"/>
          <w:highlight w:val="none"/>
          <w:lang w:val="en-US" w:eastAsia="zh-CN"/>
        </w:rPr>
        <w:t>，1227.19t/a</w:t>
      </w:r>
      <w:r>
        <w:rPr>
          <w:rFonts w:hint="default" w:ascii="Times New Roman" w:hAnsi="Times New Roman" w:eastAsia="宋体" w:cs="Times New Roman"/>
          <w:color w:val="auto"/>
          <w:sz w:val="24"/>
          <w:szCs w:val="24"/>
          <w:highlight w:val="none"/>
          <w:lang w:val="en-US" w:eastAsia="zh-CN"/>
        </w:rPr>
        <w:t>，炉渣产生量为</w:t>
      </w:r>
      <w:r>
        <w:rPr>
          <w:rFonts w:hint="eastAsia" w:ascii="Times New Roman" w:hAnsi="Times New Roman" w:eastAsia="宋体" w:cs="Times New Roman"/>
          <w:color w:val="auto"/>
          <w:sz w:val="24"/>
          <w:szCs w:val="24"/>
          <w:highlight w:val="none"/>
          <w:lang w:val="en-US" w:eastAsia="zh-CN"/>
        </w:rPr>
        <w:t>4.53</w:t>
      </w:r>
      <w:r>
        <w:rPr>
          <w:rFonts w:hint="default" w:ascii="Times New Roman" w:hAnsi="Times New Roman" w:eastAsia="宋体" w:cs="Times New Roman"/>
          <w:color w:val="auto"/>
          <w:sz w:val="24"/>
          <w:szCs w:val="24"/>
          <w:highlight w:val="none"/>
          <w:lang w:val="en-US" w:eastAsia="zh-CN"/>
        </w:rPr>
        <w:t>t/h</w:t>
      </w:r>
      <w:r>
        <w:rPr>
          <w:rFonts w:hint="eastAsia" w:ascii="Times New Roman" w:hAnsi="Times New Roman" w:eastAsia="宋体" w:cs="Times New Roman"/>
          <w:color w:val="auto"/>
          <w:sz w:val="24"/>
          <w:szCs w:val="24"/>
          <w:highlight w:val="none"/>
          <w:lang w:val="en-US" w:eastAsia="zh-CN"/>
        </w:rPr>
        <w:t>，4908.76t/a</w:t>
      </w:r>
      <w:r>
        <w:rPr>
          <w:rFonts w:hint="default" w:ascii="Times New Roman" w:hAnsi="Times New Roman" w:eastAsia="宋体" w:cs="Times New Roman"/>
          <w:color w:val="auto"/>
          <w:sz w:val="24"/>
          <w:szCs w:val="24"/>
          <w:highlight w:val="none"/>
        </w:rPr>
        <w:t>。炉渣为一般固废。炉渣不在厂区内长期存储，在渣仓内暂存，</w:t>
      </w:r>
      <w:r>
        <w:rPr>
          <w:rFonts w:hint="default" w:ascii="Times New Roman" w:hAnsi="Times New Roman" w:eastAsia="宋体" w:cs="Times New Roman"/>
          <w:color w:val="auto"/>
          <w:szCs w:val="24"/>
          <w:highlight w:val="none"/>
          <w:lang w:val="en-US" w:eastAsia="zh-CN"/>
        </w:rPr>
        <w:t>外售</w:t>
      </w:r>
      <w:r>
        <w:rPr>
          <w:rFonts w:hint="default" w:ascii="Times New Roman" w:hAnsi="Times New Roman" w:eastAsia="宋体" w:cs="Times New Roman"/>
          <w:color w:val="auto"/>
          <w:sz w:val="24"/>
          <w:szCs w:val="24"/>
          <w:highlight w:val="none"/>
        </w:rPr>
        <w:t>综合利用。</w:t>
      </w:r>
    </w:p>
    <w:p w14:paraId="6D36CC47">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b w:val="0"/>
          <w:bCs/>
          <w:color w:val="auto"/>
          <w:spacing w:val="0"/>
          <w:sz w:val="24"/>
          <w:szCs w:val="24"/>
          <w:highlight w:val="none"/>
          <w:lang w:val="en-US" w:eastAsia="zh-CN"/>
        </w:rPr>
      </w:pPr>
      <w:r>
        <w:rPr>
          <w:rFonts w:hint="eastAsia" w:ascii="Times New Roman" w:hAnsi="Times New Roman" w:eastAsia="宋体" w:cs="Times New Roman"/>
          <w:b w:val="0"/>
          <w:bCs/>
          <w:color w:val="auto"/>
          <w:spacing w:val="0"/>
          <w:sz w:val="24"/>
          <w:szCs w:val="24"/>
          <w:highlight w:val="none"/>
          <w:lang w:val="en-US" w:eastAsia="zh-CN"/>
        </w:rPr>
        <w:t>2.</w:t>
      </w:r>
      <w:r>
        <w:rPr>
          <w:rFonts w:hint="default" w:ascii="Times New Roman" w:hAnsi="Times New Roman" w:eastAsia="宋体" w:cs="Times New Roman"/>
          <w:b w:val="0"/>
          <w:bCs/>
          <w:color w:val="auto"/>
          <w:spacing w:val="0"/>
          <w:sz w:val="24"/>
          <w:szCs w:val="24"/>
          <w:highlight w:val="none"/>
          <w:lang w:val="en-US" w:eastAsia="zh-CN"/>
        </w:rPr>
        <w:t>其他固体废物</w:t>
      </w:r>
    </w:p>
    <w:p w14:paraId="7E7C527D">
      <w:pPr>
        <w:pStyle w:val="23"/>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jc w:val="both"/>
        <w:textAlignment w:val="auto"/>
        <w:outlineLvl w:val="9"/>
        <w:rPr>
          <w:rFonts w:hint="default" w:ascii="Times New Roman" w:hAnsi="Times New Roman" w:eastAsia="宋体" w:cs="Times New Roman"/>
          <w:color w:val="auto"/>
          <w:spacing w:val="0"/>
          <w:kern w:val="2"/>
          <w:sz w:val="24"/>
          <w:szCs w:val="24"/>
          <w:highlight w:val="none"/>
          <w:lang w:val="en-US" w:eastAsia="zh-CN" w:bidi="ar-SA"/>
        </w:rPr>
      </w:pPr>
      <w:r>
        <w:rPr>
          <w:rFonts w:hint="default" w:ascii="Times New Roman" w:hAnsi="Times New Roman" w:eastAsia="宋体" w:cs="Times New Roman"/>
          <w:color w:val="auto"/>
          <w:spacing w:val="0"/>
          <w:sz w:val="24"/>
          <w:szCs w:val="24"/>
          <w:highlight w:val="none"/>
        </w:rPr>
        <w:t>①</w:t>
      </w:r>
      <w:r>
        <w:rPr>
          <w:rFonts w:hint="default" w:ascii="Times New Roman" w:hAnsi="Times New Roman" w:eastAsia="宋体" w:cs="Times New Roman"/>
          <w:color w:val="auto"/>
          <w:spacing w:val="0"/>
          <w:kern w:val="2"/>
          <w:sz w:val="24"/>
          <w:szCs w:val="24"/>
          <w:highlight w:val="none"/>
          <w:lang w:val="en-US" w:eastAsia="zh-CN" w:bidi="ar-SA"/>
        </w:rPr>
        <w:t>废布袋</w:t>
      </w:r>
    </w:p>
    <w:p w14:paraId="0A24545D">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pacing w:val="0"/>
          <w:sz w:val="24"/>
          <w:szCs w:val="24"/>
          <w:highlight w:val="none"/>
          <w:lang w:eastAsia="zh-CN"/>
        </w:rPr>
      </w:pPr>
      <w:r>
        <w:rPr>
          <w:rFonts w:hint="default" w:ascii="Times New Roman" w:hAnsi="Times New Roman" w:eastAsia="宋体" w:cs="Times New Roman"/>
          <w:color w:val="auto"/>
          <w:spacing w:val="0"/>
          <w:sz w:val="24"/>
          <w:szCs w:val="24"/>
          <w:highlight w:val="none"/>
          <w:lang w:val="en-US" w:eastAsia="zh-CN"/>
        </w:rPr>
        <w:t>根据厂家提供的资料可知，</w:t>
      </w:r>
      <w:r>
        <w:rPr>
          <w:rFonts w:hint="eastAsia" w:ascii="Times New Roman" w:hAnsi="Times New Roman" w:eastAsia="宋体" w:cs="Times New Roman"/>
          <w:color w:val="auto"/>
          <w:spacing w:val="0"/>
          <w:sz w:val="24"/>
          <w:szCs w:val="24"/>
          <w:highlight w:val="none"/>
          <w:lang w:val="en-US" w:eastAsia="zh-CN"/>
        </w:rPr>
        <w:t>锅炉、灰库、生石灰粉仓、碎煤机</w:t>
      </w:r>
      <w:r>
        <w:rPr>
          <w:rFonts w:hint="default" w:ascii="Times New Roman" w:hAnsi="Times New Roman" w:eastAsia="宋体" w:cs="Times New Roman"/>
          <w:color w:val="auto"/>
          <w:spacing w:val="0"/>
          <w:sz w:val="24"/>
          <w:szCs w:val="24"/>
          <w:highlight w:val="none"/>
          <w:lang w:val="en-US" w:eastAsia="zh-CN"/>
        </w:rPr>
        <w:t>布袋除尘器滤袋2年更换一次，废滤袋产生量为</w:t>
      </w:r>
      <w:r>
        <w:rPr>
          <w:rFonts w:hint="eastAsia" w:ascii="Times New Roman" w:hAnsi="Times New Roman" w:eastAsia="宋体" w:cs="Times New Roman"/>
          <w:color w:val="auto"/>
          <w:spacing w:val="0"/>
          <w:sz w:val="24"/>
          <w:szCs w:val="24"/>
          <w:highlight w:val="none"/>
          <w:lang w:val="en-US" w:eastAsia="zh-CN"/>
        </w:rPr>
        <w:t>2.8t/2a</w:t>
      </w:r>
      <w:r>
        <w:rPr>
          <w:rFonts w:hint="default" w:ascii="Times New Roman" w:hAnsi="Times New Roman" w:eastAsia="宋体" w:cs="Times New Roman"/>
          <w:color w:val="auto"/>
          <w:spacing w:val="0"/>
          <w:sz w:val="24"/>
          <w:szCs w:val="24"/>
          <w:highlight w:val="none"/>
          <w:lang w:val="en-US" w:eastAsia="zh-CN"/>
        </w:rPr>
        <w:t>，由厂家回收。</w:t>
      </w:r>
    </w:p>
    <w:p w14:paraId="04BB1B7C">
      <w:pPr>
        <w:pStyle w:val="23"/>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jc w:val="both"/>
        <w:textAlignment w:val="auto"/>
        <w:outlineLvl w:val="9"/>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eastAsia="zh-CN"/>
        </w:rPr>
        <w:t>②</w:t>
      </w:r>
      <w:r>
        <w:rPr>
          <w:rFonts w:hint="default" w:ascii="Times New Roman" w:hAnsi="Times New Roman" w:eastAsia="宋体" w:cs="Times New Roman"/>
          <w:color w:val="auto"/>
          <w:spacing w:val="0"/>
          <w:sz w:val="24"/>
          <w:szCs w:val="24"/>
          <w:highlight w:val="none"/>
          <w:lang w:val="en-US" w:eastAsia="zh-CN"/>
        </w:rPr>
        <w:t>布袋除尘器收尘</w:t>
      </w:r>
    </w:p>
    <w:p w14:paraId="4EF37B23">
      <w:pPr>
        <w:pStyle w:val="23"/>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jc w:val="both"/>
        <w:textAlignment w:val="auto"/>
        <w:outlineLvl w:val="9"/>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spacing w:val="0"/>
          <w:sz w:val="24"/>
          <w:szCs w:val="24"/>
          <w:highlight w:val="none"/>
          <w:lang w:val="en-US" w:eastAsia="zh-CN"/>
        </w:rPr>
        <w:t>根据物料平衡可知，</w:t>
      </w:r>
      <w:r>
        <w:rPr>
          <w:rFonts w:hint="eastAsia" w:ascii="Times New Roman" w:hAnsi="Times New Roman" w:eastAsia="宋体" w:cs="Times New Roman"/>
          <w:color w:val="auto"/>
          <w:spacing w:val="0"/>
          <w:sz w:val="24"/>
          <w:szCs w:val="24"/>
          <w:highlight w:val="none"/>
          <w:lang w:val="en-US" w:eastAsia="zh-CN"/>
        </w:rPr>
        <w:t>灰库</w:t>
      </w:r>
      <w:r>
        <w:rPr>
          <w:rFonts w:hint="default" w:ascii="Times New Roman" w:hAnsi="Times New Roman" w:eastAsia="宋体" w:cs="Times New Roman"/>
          <w:color w:val="auto"/>
          <w:spacing w:val="0"/>
          <w:sz w:val="24"/>
          <w:szCs w:val="24"/>
          <w:highlight w:val="none"/>
          <w:lang w:val="en-US" w:eastAsia="zh-CN"/>
        </w:rPr>
        <w:t>、</w:t>
      </w:r>
      <w:r>
        <w:rPr>
          <w:rFonts w:hint="eastAsia" w:ascii="Times New Roman" w:hAnsi="Times New Roman" w:eastAsia="宋体" w:cs="Times New Roman"/>
          <w:color w:val="auto"/>
          <w:spacing w:val="0"/>
          <w:sz w:val="24"/>
          <w:szCs w:val="24"/>
          <w:highlight w:val="none"/>
          <w:lang w:val="en-US" w:eastAsia="zh-CN"/>
        </w:rPr>
        <w:t>生石灰</w:t>
      </w:r>
      <w:r>
        <w:rPr>
          <w:rFonts w:hint="default" w:ascii="Times New Roman" w:hAnsi="Times New Roman" w:eastAsia="宋体" w:cs="Times New Roman"/>
          <w:color w:val="auto"/>
          <w:spacing w:val="0"/>
          <w:sz w:val="24"/>
          <w:szCs w:val="24"/>
          <w:highlight w:val="none"/>
          <w:lang w:val="en-US" w:eastAsia="zh-CN"/>
        </w:rPr>
        <w:t>粉仓、碎煤机布袋除尘器收尘产生量</w:t>
      </w:r>
      <w:r>
        <w:rPr>
          <w:rFonts w:hint="eastAsia" w:ascii="Times New Roman" w:hAnsi="Times New Roman" w:eastAsia="宋体" w:cs="Times New Roman"/>
          <w:color w:val="auto"/>
          <w:spacing w:val="0"/>
          <w:sz w:val="24"/>
          <w:szCs w:val="24"/>
          <w:highlight w:val="none"/>
          <w:lang w:val="en-US" w:eastAsia="zh-CN"/>
        </w:rPr>
        <w:t>分别</w:t>
      </w:r>
      <w:r>
        <w:rPr>
          <w:rFonts w:hint="default" w:ascii="Times New Roman" w:hAnsi="Times New Roman" w:eastAsia="宋体" w:cs="Times New Roman"/>
          <w:color w:val="auto"/>
          <w:spacing w:val="0"/>
          <w:sz w:val="24"/>
          <w:szCs w:val="24"/>
          <w:highlight w:val="none"/>
          <w:lang w:val="en-US" w:eastAsia="zh-CN"/>
        </w:rPr>
        <w:t>为</w:t>
      </w:r>
      <w:r>
        <w:rPr>
          <w:rFonts w:hint="eastAsia" w:ascii="Times New Roman" w:hAnsi="Times New Roman" w:eastAsia="宋体" w:cs="Times New Roman"/>
          <w:color w:val="auto"/>
          <w:spacing w:val="0"/>
          <w:sz w:val="24"/>
          <w:szCs w:val="24"/>
          <w:highlight w:val="none"/>
          <w:lang w:val="en-US" w:eastAsia="zh-CN"/>
        </w:rPr>
        <w:t>0.35t/a、0.045</w:t>
      </w:r>
      <w:r>
        <w:rPr>
          <w:rFonts w:hint="default" w:ascii="Times New Roman" w:hAnsi="Times New Roman" w:eastAsia="宋体" w:cs="Times New Roman"/>
          <w:color w:val="auto"/>
          <w:spacing w:val="0"/>
          <w:sz w:val="24"/>
          <w:szCs w:val="24"/>
          <w:highlight w:val="none"/>
          <w:lang w:val="en-US" w:eastAsia="zh-CN"/>
        </w:rPr>
        <w:t>t/a</w:t>
      </w:r>
      <w:r>
        <w:rPr>
          <w:rFonts w:hint="eastAsia" w:ascii="Times New Roman" w:hAnsi="Times New Roman" w:eastAsia="宋体" w:cs="Times New Roman"/>
          <w:color w:val="auto"/>
          <w:spacing w:val="0"/>
          <w:sz w:val="24"/>
          <w:szCs w:val="24"/>
          <w:highlight w:val="none"/>
          <w:lang w:val="en-US" w:eastAsia="zh-CN"/>
        </w:rPr>
        <w:t>、2.32t/a</w:t>
      </w:r>
      <w:r>
        <w:rPr>
          <w:rFonts w:hint="default" w:ascii="Times New Roman" w:hAnsi="Times New Roman" w:eastAsia="宋体" w:cs="Times New Roman"/>
          <w:color w:val="auto"/>
          <w:spacing w:val="0"/>
          <w:sz w:val="24"/>
          <w:szCs w:val="24"/>
          <w:highlight w:val="none"/>
          <w:lang w:val="en-US" w:eastAsia="zh-CN"/>
        </w:rPr>
        <w:t>，</w:t>
      </w:r>
      <w:r>
        <w:rPr>
          <w:rFonts w:hint="eastAsia" w:ascii="Times New Roman" w:hAnsi="Times New Roman" w:eastAsia="宋体" w:cs="Times New Roman"/>
          <w:color w:val="auto"/>
          <w:spacing w:val="0"/>
          <w:sz w:val="24"/>
          <w:szCs w:val="24"/>
          <w:highlight w:val="none"/>
          <w:lang w:val="en-US" w:eastAsia="zh-CN"/>
        </w:rPr>
        <w:t>灰库除尘器收尘</w:t>
      </w:r>
      <w:r>
        <w:rPr>
          <w:rFonts w:hint="default" w:ascii="Times New Roman" w:hAnsi="Times New Roman" w:eastAsia="宋体" w:cs="Times New Roman"/>
          <w:color w:val="auto"/>
          <w:szCs w:val="24"/>
          <w:highlight w:val="none"/>
          <w:lang w:val="en-US" w:eastAsia="zh-CN"/>
        </w:rPr>
        <w:t>外售</w:t>
      </w:r>
      <w:r>
        <w:rPr>
          <w:rFonts w:hint="default" w:ascii="Times New Roman" w:hAnsi="Times New Roman" w:eastAsia="宋体" w:cs="Times New Roman"/>
          <w:color w:val="auto"/>
          <w:spacing w:val="0"/>
          <w:sz w:val="24"/>
          <w:szCs w:val="24"/>
          <w:highlight w:val="none"/>
          <w:lang w:val="en-US" w:eastAsia="zh-CN"/>
        </w:rPr>
        <w:t>综合利用</w:t>
      </w:r>
      <w:r>
        <w:rPr>
          <w:rFonts w:hint="eastAsia" w:ascii="Times New Roman" w:hAnsi="Times New Roman" w:eastAsia="宋体" w:cs="Times New Roman"/>
          <w:color w:val="auto"/>
          <w:spacing w:val="0"/>
          <w:sz w:val="24"/>
          <w:szCs w:val="24"/>
          <w:highlight w:val="none"/>
          <w:lang w:val="en-US" w:eastAsia="zh-CN"/>
        </w:rPr>
        <w:t>，生石灰粉仓除尘器收尘回用于脱硫工序，碎煤机除尘器收尘作为燃料入炉燃烧。</w:t>
      </w:r>
    </w:p>
    <w:p w14:paraId="0055CDB3">
      <w:pPr>
        <w:pStyle w:val="23"/>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jc w:val="both"/>
        <w:textAlignment w:val="auto"/>
        <w:outlineLvl w:val="9"/>
        <w:rPr>
          <w:rFonts w:hint="default" w:ascii="Times New Roman" w:hAnsi="Times New Roman" w:eastAsia="宋体" w:cs="Times New Roman"/>
          <w:color w:val="auto"/>
          <w:spacing w:val="0"/>
          <w:sz w:val="24"/>
          <w:szCs w:val="24"/>
          <w:highlight w:val="none"/>
          <w:lang w:val="en-US" w:eastAsia="zh-CN"/>
        </w:rPr>
      </w:pPr>
      <w:r>
        <w:rPr>
          <w:rFonts w:hint="eastAsia" w:ascii="Times New Roman" w:hAnsi="Times New Roman" w:eastAsia="宋体" w:cs="Times New Roman"/>
          <w:color w:val="auto"/>
          <w:spacing w:val="0"/>
          <w:sz w:val="24"/>
          <w:szCs w:val="24"/>
          <w:highlight w:val="none"/>
          <w:lang w:val="en-US" w:eastAsia="zh-CN"/>
        </w:rPr>
        <w:t>③</w:t>
      </w:r>
      <w:r>
        <w:rPr>
          <w:rFonts w:hint="default" w:ascii="Times New Roman" w:hAnsi="Times New Roman" w:eastAsia="宋体" w:cs="Times New Roman"/>
          <w:color w:val="auto"/>
          <w:spacing w:val="0"/>
          <w:sz w:val="24"/>
          <w:szCs w:val="24"/>
          <w:highlight w:val="none"/>
          <w:lang w:val="en-US" w:eastAsia="zh-CN"/>
        </w:rPr>
        <w:t>沉渣</w:t>
      </w:r>
    </w:p>
    <w:p w14:paraId="3CA7944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厂区</w:t>
      </w:r>
      <w:r>
        <w:rPr>
          <w:rFonts w:hint="eastAsia" w:ascii="Times New Roman" w:hAnsi="Times New Roman" w:eastAsia="宋体" w:cs="Times New Roman"/>
          <w:color w:val="auto"/>
          <w:spacing w:val="0"/>
          <w:sz w:val="24"/>
          <w:szCs w:val="24"/>
          <w:highlight w:val="none"/>
          <w:lang w:val="en-US" w:eastAsia="zh-CN"/>
        </w:rPr>
        <w:t>地下水池和初期雨水收集池产生的</w:t>
      </w:r>
      <w:r>
        <w:rPr>
          <w:rFonts w:hint="default" w:ascii="Times New Roman" w:hAnsi="Times New Roman" w:eastAsia="宋体" w:cs="Times New Roman"/>
          <w:color w:val="auto"/>
          <w:spacing w:val="0"/>
          <w:sz w:val="24"/>
          <w:szCs w:val="24"/>
          <w:highlight w:val="none"/>
          <w:lang w:val="en-US" w:eastAsia="zh-CN"/>
        </w:rPr>
        <w:t>沉渣定期清掏作为燃料入炉燃烧。产生量为0.1t/a，作为燃料入炉燃烧。</w:t>
      </w:r>
    </w:p>
    <w:p w14:paraId="3E18D30E">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spacing w:val="0"/>
          <w:sz w:val="24"/>
          <w:szCs w:val="24"/>
          <w:highlight w:val="none"/>
          <w:lang w:val="en-US" w:eastAsia="zh-CN"/>
        </w:rPr>
        <w:t>④</w:t>
      </w:r>
      <w:r>
        <w:rPr>
          <w:rFonts w:hint="eastAsia" w:ascii="Times New Roman" w:hAnsi="Times New Roman" w:eastAsia="宋体" w:cs="Times New Roman"/>
          <w:color w:val="auto"/>
          <w:highlight w:val="none"/>
          <w:lang w:val="en-US" w:eastAsia="zh-CN"/>
        </w:rPr>
        <w:t>废矿物油</w:t>
      </w:r>
    </w:p>
    <w:p w14:paraId="44109F2C">
      <w:pPr>
        <w:ind w:firstLine="480"/>
        <w:rPr>
          <w:rFonts w:hint="eastAsia" w:ascii="Times New Roman" w:eastAsia="宋体" w:cs="Times New Roman"/>
          <w:color w:val="auto"/>
          <w:szCs w:val="24"/>
          <w:highlight w:val="none"/>
          <w:lang w:val="en-US" w:eastAsia="zh-CN"/>
        </w:rPr>
      </w:pPr>
      <w:r>
        <w:rPr>
          <w:rFonts w:hint="default" w:ascii="Times New Roman" w:hAnsi="Times New Roman" w:eastAsia="宋体" w:cs="Times New Roman"/>
          <w:color w:val="auto"/>
          <w:highlight w:val="none"/>
          <w:lang w:eastAsia="zh-CN"/>
        </w:rPr>
        <w:t>本项目机械维修及拆解过程中会产生废矿物油，</w:t>
      </w:r>
      <w:r>
        <w:rPr>
          <w:rFonts w:hint="default" w:ascii="Times New Roman" w:hAnsi="Times New Roman" w:eastAsia="宋体" w:cs="Times New Roman"/>
          <w:color w:val="auto"/>
          <w:highlight w:val="none"/>
        </w:rPr>
        <w:t>废矿物油产生量</w:t>
      </w:r>
      <w:r>
        <w:rPr>
          <w:rFonts w:hint="default" w:ascii="Times New Roman" w:hAnsi="Times New Roman" w:eastAsia="宋体" w:cs="Times New Roman"/>
          <w:color w:val="auto"/>
          <w:highlight w:val="none"/>
          <w:lang w:val="en-US" w:eastAsia="zh-CN"/>
        </w:rPr>
        <w:t>约0.</w:t>
      </w:r>
      <w:r>
        <w:rPr>
          <w:rFonts w:hint="eastAsia"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t/a</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根据《国家危险废物名录</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2025年版</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》，废矿物油属于危险废物（HW08废矿物油与含矿物油废物中</w:t>
      </w:r>
      <w:r>
        <w:rPr>
          <w:rFonts w:hint="default" w:ascii="Times New Roman" w:hAnsi="Times New Roman" w:eastAsia="宋体" w:cs="Times New Roman"/>
          <w:color w:val="auto"/>
          <w:highlight w:val="none"/>
          <w:lang w:val="en-US" w:eastAsia="zh-CN"/>
        </w:rPr>
        <w:t>非特定行业</w:t>
      </w:r>
      <w:r>
        <w:rPr>
          <w:rFonts w:hint="default" w:ascii="Times New Roman" w:hAnsi="Times New Roman" w:eastAsia="宋体" w:cs="Times New Roman"/>
          <w:color w:val="auto"/>
          <w:highlight w:val="none"/>
        </w:rPr>
        <w:t>900-</w:t>
      </w:r>
      <w:r>
        <w:rPr>
          <w:rFonts w:hint="eastAsia" w:ascii="Times New Roman" w:hAnsi="Times New Roman" w:eastAsia="宋体" w:cs="Times New Roman"/>
          <w:color w:val="auto"/>
          <w:highlight w:val="none"/>
          <w:lang w:val="en-US" w:eastAsia="zh-CN"/>
        </w:rPr>
        <w:t>214</w:t>
      </w:r>
      <w:r>
        <w:rPr>
          <w:rFonts w:hint="default" w:ascii="Times New Roman" w:hAnsi="Times New Roman" w:eastAsia="宋体" w:cs="Times New Roman"/>
          <w:color w:val="auto"/>
          <w:highlight w:val="none"/>
        </w:rPr>
        <w:t>-08</w:t>
      </w:r>
      <w:r>
        <w:rPr>
          <w:rFonts w:hint="default" w:ascii="Times New Roman" w:hAnsi="Times New Roman" w:eastAsia="宋体" w:cs="Times New Roman"/>
          <w:color w:val="auto"/>
          <w:highlight w:val="none"/>
          <w:lang w:val="en-US" w:eastAsia="zh-CN"/>
        </w:rPr>
        <w:t>车辆、轮船及其它机械维修过程中产生的废发动机油、制动器油、自动变速器油、齿轮油等废润滑油</w:t>
      </w: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eastAsia="zh-CN"/>
        </w:rPr>
        <w:t>。</w:t>
      </w:r>
    </w:p>
    <w:p w14:paraId="322F987C">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b w:val="0"/>
          <w:bCs/>
          <w:color w:val="auto"/>
          <w:spacing w:val="0"/>
          <w:sz w:val="24"/>
          <w:szCs w:val="24"/>
          <w:highlight w:val="none"/>
          <w:lang w:val="en-US" w:eastAsia="zh-CN"/>
        </w:rPr>
      </w:pPr>
      <w:r>
        <w:rPr>
          <w:rFonts w:hint="eastAsia" w:ascii="Times New Roman" w:hAnsi="Times New Roman" w:eastAsia="宋体" w:cs="Times New Roman"/>
          <w:b w:val="0"/>
          <w:bCs/>
          <w:color w:val="auto"/>
          <w:spacing w:val="0"/>
          <w:sz w:val="24"/>
          <w:szCs w:val="24"/>
          <w:highlight w:val="none"/>
          <w:lang w:val="en-US" w:eastAsia="zh-CN"/>
        </w:rPr>
        <w:t>3</w:t>
      </w:r>
      <w:r>
        <w:rPr>
          <w:rFonts w:hint="default" w:ascii="Times New Roman" w:hAnsi="Times New Roman" w:eastAsia="宋体" w:cs="Times New Roman"/>
          <w:b w:val="0"/>
          <w:bCs/>
          <w:color w:val="auto"/>
          <w:spacing w:val="0"/>
          <w:sz w:val="24"/>
          <w:szCs w:val="24"/>
          <w:highlight w:val="none"/>
          <w:lang w:val="en-US" w:eastAsia="zh-CN"/>
        </w:rPr>
        <w:t>生活垃圾</w:t>
      </w:r>
    </w:p>
    <w:p w14:paraId="6B1ED06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0"/>
          <w:sz w:val="24"/>
          <w:szCs w:val="24"/>
          <w:highlight w:val="none"/>
          <w:lang w:eastAsia="zh-CN"/>
        </w:rPr>
        <w:t>本期工程不新增员工，不新增生活垃圾。</w:t>
      </w:r>
    </w:p>
    <w:p w14:paraId="271B6EE7">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Times New Roman" w:hAnsi="Times New Roman" w:eastAsia="宋体" w:cs="Times New Roman"/>
          <w:color w:val="auto"/>
          <w:spacing w:val="0"/>
          <w:sz w:val="24"/>
          <w:szCs w:val="24"/>
          <w:highlight w:val="none"/>
          <w:lang w:eastAsia="zh-CN"/>
        </w:rPr>
      </w:pPr>
      <w:r>
        <w:rPr>
          <w:rFonts w:hint="default" w:ascii="Times New Roman" w:hAnsi="Times New Roman" w:eastAsia="宋体" w:cs="Times New Roman"/>
          <w:color w:val="auto"/>
          <w:sz w:val="24"/>
          <w:szCs w:val="24"/>
          <w:highlight w:val="none"/>
        </w:rPr>
        <w:t>表</w:t>
      </w:r>
      <w:r>
        <w:rPr>
          <w:rFonts w:hint="default" w:ascii="Times New Roman" w:hAnsi="Times New Roman" w:eastAsia="宋体" w:cs="Times New Roman"/>
          <w:color w:val="auto"/>
          <w:sz w:val="24"/>
          <w:szCs w:val="24"/>
          <w:highlight w:val="none"/>
          <w:lang w:val="en-US" w:eastAsia="zh-CN"/>
        </w:rPr>
        <w:t>4.3</w:t>
      </w:r>
      <w:r>
        <w:rPr>
          <w:rFonts w:hint="default"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 xml:space="preserve">  本项目一般固体废物污染物源强一览表</w:t>
      </w:r>
    </w:p>
    <w:tbl>
      <w:tblPr>
        <w:tblStyle w:val="37"/>
        <w:tblW w:w="4994"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402"/>
        <w:gridCol w:w="850"/>
        <w:gridCol w:w="660"/>
        <w:gridCol w:w="830"/>
        <w:gridCol w:w="907"/>
        <w:gridCol w:w="968"/>
        <w:gridCol w:w="1029"/>
        <w:gridCol w:w="3"/>
        <w:gridCol w:w="1181"/>
        <w:gridCol w:w="952"/>
        <w:gridCol w:w="930"/>
      </w:tblGrid>
      <w:tr w14:paraId="504336C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30" w:type="pct"/>
            <w:vMerge w:val="restart"/>
            <w:tcBorders>
              <w:tl2br w:val="nil"/>
              <w:tr2bl w:val="nil"/>
            </w:tcBorders>
            <w:shd w:val="clear" w:color="auto" w:fill="FFFFFF"/>
            <w:noWrap w:val="0"/>
            <w:vAlign w:val="center"/>
          </w:tcPr>
          <w:p w14:paraId="66A0D8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类型</w:t>
            </w:r>
          </w:p>
        </w:tc>
        <w:tc>
          <w:tcPr>
            <w:tcW w:w="487" w:type="pct"/>
            <w:vMerge w:val="restart"/>
            <w:tcBorders>
              <w:tl2br w:val="nil"/>
              <w:tr2bl w:val="nil"/>
            </w:tcBorders>
            <w:shd w:val="clear" w:color="auto" w:fill="FFFFFF"/>
            <w:noWrap w:val="0"/>
            <w:vAlign w:val="center"/>
          </w:tcPr>
          <w:p w14:paraId="1DD3B5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装置</w:t>
            </w:r>
          </w:p>
        </w:tc>
        <w:tc>
          <w:tcPr>
            <w:tcW w:w="378" w:type="pct"/>
            <w:vMerge w:val="restart"/>
            <w:tcBorders>
              <w:tl2br w:val="nil"/>
              <w:tr2bl w:val="nil"/>
            </w:tcBorders>
            <w:shd w:val="clear" w:color="auto" w:fill="FFFFFF"/>
            <w:noWrap w:val="0"/>
            <w:vAlign w:val="center"/>
          </w:tcPr>
          <w:p w14:paraId="5ABE3F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名称</w:t>
            </w:r>
          </w:p>
        </w:tc>
        <w:tc>
          <w:tcPr>
            <w:tcW w:w="476" w:type="pct"/>
            <w:vMerge w:val="restart"/>
            <w:tcBorders>
              <w:tl2br w:val="nil"/>
              <w:tr2bl w:val="nil"/>
            </w:tcBorders>
            <w:shd w:val="clear" w:color="auto" w:fill="FFFFFF"/>
            <w:noWrap w:val="0"/>
            <w:vAlign w:val="center"/>
          </w:tcPr>
          <w:p w14:paraId="79CD32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固体废物</w:t>
            </w:r>
            <w:r>
              <w:rPr>
                <w:rFonts w:hint="default" w:ascii="Times New Roman" w:hAnsi="Times New Roman" w:eastAsia="宋体" w:cs="Times New Roman"/>
                <w:color w:val="auto"/>
                <w:sz w:val="21"/>
                <w:szCs w:val="21"/>
                <w:highlight w:val="none"/>
              </w:rPr>
              <w:t>属性</w:t>
            </w:r>
          </w:p>
        </w:tc>
        <w:tc>
          <w:tcPr>
            <w:tcW w:w="520" w:type="pct"/>
            <w:vMerge w:val="restart"/>
            <w:tcBorders>
              <w:tl2br w:val="nil"/>
              <w:tr2bl w:val="nil"/>
            </w:tcBorders>
            <w:shd w:val="clear" w:color="auto" w:fill="FFFFFF"/>
            <w:noWrap w:val="0"/>
            <w:vAlign w:val="center"/>
          </w:tcPr>
          <w:p w14:paraId="21D973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类别代码</w:t>
            </w:r>
          </w:p>
        </w:tc>
        <w:tc>
          <w:tcPr>
            <w:tcW w:w="1146" w:type="pct"/>
            <w:gridSpan w:val="2"/>
            <w:tcBorders>
              <w:tl2br w:val="nil"/>
              <w:tr2bl w:val="nil"/>
            </w:tcBorders>
            <w:shd w:val="clear" w:color="auto" w:fill="FFFFFF"/>
            <w:noWrap w:val="0"/>
            <w:vAlign w:val="center"/>
          </w:tcPr>
          <w:p w14:paraId="6F8D2A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产生情况</w:t>
            </w:r>
          </w:p>
        </w:tc>
        <w:tc>
          <w:tcPr>
            <w:tcW w:w="1" w:type="pct"/>
            <w:tcBorders>
              <w:tl2br w:val="nil"/>
              <w:tr2bl w:val="nil"/>
            </w:tcBorders>
            <w:shd w:val="clear" w:color="auto" w:fill="FFFFFF"/>
            <w:noWrap w:val="0"/>
            <w:vAlign w:val="center"/>
          </w:tcPr>
          <w:p w14:paraId="1D5E27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1224" w:type="pct"/>
            <w:gridSpan w:val="2"/>
            <w:tcBorders>
              <w:tl2br w:val="nil"/>
              <w:tr2bl w:val="nil"/>
            </w:tcBorders>
            <w:shd w:val="clear" w:color="auto" w:fill="FFFFFF"/>
            <w:noWrap w:val="0"/>
            <w:vAlign w:val="center"/>
          </w:tcPr>
          <w:p w14:paraId="68CE50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处置措施</w:t>
            </w:r>
          </w:p>
        </w:tc>
        <w:tc>
          <w:tcPr>
            <w:tcW w:w="533" w:type="pct"/>
            <w:vMerge w:val="restart"/>
            <w:tcBorders>
              <w:tl2br w:val="nil"/>
              <w:tr2bl w:val="nil"/>
            </w:tcBorders>
            <w:shd w:val="clear" w:color="auto" w:fill="FFFFFF"/>
            <w:noWrap w:val="0"/>
            <w:vAlign w:val="center"/>
          </w:tcPr>
          <w:p w14:paraId="260612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处理排放去向</w:t>
            </w:r>
          </w:p>
        </w:tc>
      </w:tr>
      <w:tr w14:paraId="04D6B2A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230" w:type="pct"/>
            <w:vMerge w:val="continue"/>
            <w:tcBorders>
              <w:tl2br w:val="nil"/>
              <w:tr2bl w:val="nil"/>
            </w:tcBorders>
            <w:shd w:val="clear" w:color="auto" w:fill="FFFFFF"/>
            <w:noWrap w:val="0"/>
            <w:vAlign w:val="center"/>
          </w:tcPr>
          <w:p w14:paraId="31B452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87" w:type="pct"/>
            <w:vMerge w:val="continue"/>
            <w:tcBorders>
              <w:tl2br w:val="nil"/>
              <w:tr2bl w:val="nil"/>
            </w:tcBorders>
            <w:shd w:val="clear" w:color="auto" w:fill="FFFFFF"/>
            <w:noWrap w:val="0"/>
            <w:vAlign w:val="center"/>
          </w:tcPr>
          <w:p w14:paraId="6D607F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378" w:type="pct"/>
            <w:vMerge w:val="continue"/>
            <w:tcBorders>
              <w:tl2br w:val="nil"/>
              <w:tr2bl w:val="nil"/>
            </w:tcBorders>
            <w:shd w:val="clear" w:color="auto" w:fill="FFFFFF"/>
            <w:noWrap w:val="0"/>
            <w:vAlign w:val="center"/>
          </w:tcPr>
          <w:p w14:paraId="0BE636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476" w:type="pct"/>
            <w:vMerge w:val="continue"/>
            <w:tcBorders>
              <w:tl2br w:val="nil"/>
              <w:tr2bl w:val="nil"/>
            </w:tcBorders>
            <w:shd w:val="clear" w:color="auto" w:fill="FFFFFF"/>
            <w:noWrap w:val="0"/>
            <w:vAlign w:val="center"/>
          </w:tcPr>
          <w:p w14:paraId="45D973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520" w:type="pct"/>
            <w:vMerge w:val="continue"/>
            <w:tcBorders>
              <w:tl2br w:val="nil"/>
              <w:tr2bl w:val="nil"/>
            </w:tcBorders>
            <w:shd w:val="clear" w:color="auto" w:fill="FFFFFF"/>
            <w:noWrap w:val="0"/>
            <w:vAlign w:val="center"/>
          </w:tcPr>
          <w:p w14:paraId="753F54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555" w:type="pct"/>
            <w:tcBorders>
              <w:tl2br w:val="nil"/>
              <w:tr2bl w:val="nil"/>
            </w:tcBorders>
            <w:shd w:val="clear" w:color="auto" w:fill="FFFFFF"/>
            <w:noWrap w:val="0"/>
            <w:vAlign w:val="center"/>
          </w:tcPr>
          <w:p w14:paraId="29540A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核算</w:t>
            </w:r>
          </w:p>
          <w:p w14:paraId="6E684D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方法</w:t>
            </w:r>
          </w:p>
        </w:tc>
        <w:tc>
          <w:tcPr>
            <w:tcW w:w="590" w:type="pct"/>
            <w:tcBorders>
              <w:tl2br w:val="nil"/>
              <w:tr2bl w:val="nil"/>
            </w:tcBorders>
            <w:shd w:val="clear" w:color="auto" w:fill="FFFFFF"/>
            <w:noWrap w:val="0"/>
            <w:vAlign w:val="center"/>
          </w:tcPr>
          <w:p w14:paraId="042340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产生量（t/a）</w:t>
            </w:r>
          </w:p>
        </w:tc>
        <w:tc>
          <w:tcPr>
            <w:tcW w:w="1" w:type="pct"/>
            <w:tcBorders>
              <w:tl2br w:val="nil"/>
              <w:tr2bl w:val="nil"/>
            </w:tcBorders>
            <w:shd w:val="clear" w:color="auto" w:fill="FFFFFF"/>
            <w:noWrap w:val="0"/>
            <w:vAlign w:val="center"/>
          </w:tcPr>
          <w:p w14:paraId="265EB7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677" w:type="pct"/>
            <w:tcBorders>
              <w:tl2br w:val="nil"/>
              <w:tr2bl w:val="nil"/>
            </w:tcBorders>
            <w:shd w:val="clear" w:color="auto" w:fill="FFFFFF"/>
            <w:noWrap w:val="0"/>
            <w:vAlign w:val="center"/>
          </w:tcPr>
          <w:p w14:paraId="0CC5A2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处置方式</w:t>
            </w:r>
          </w:p>
        </w:tc>
        <w:tc>
          <w:tcPr>
            <w:tcW w:w="546" w:type="pct"/>
            <w:tcBorders>
              <w:tl2br w:val="nil"/>
              <w:tr2bl w:val="nil"/>
            </w:tcBorders>
            <w:shd w:val="clear" w:color="auto" w:fill="FFFFFF"/>
            <w:noWrap w:val="0"/>
            <w:vAlign w:val="center"/>
          </w:tcPr>
          <w:p w14:paraId="1294CFDB">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处置量</w:t>
            </w:r>
            <w:r>
              <w:rPr>
                <w:rFonts w:hint="default" w:ascii="Times New Roman" w:hAnsi="Times New Roman" w:eastAsia="宋体" w:cs="Times New Roman"/>
                <w:color w:val="auto"/>
                <w:sz w:val="21"/>
                <w:szCs w:val="21"/>
                <w:highlight w:val="none"/>
              </w:rPr>
              <w:t>（t/a）</w:t>
            </w:r>
          </w:p>
        </w:tc>
        <w:tc>
          <w:tcPr>
            <w:tcW w:w="533" w:type="pct"/>
            <w:vMerge w:val="continue"/>
            <w:tcBorders>
              <w:tl2br w:val="nil"/>
              <w:tr2bl w:val="nil"/>
            </w:tcBorders>
            <w:shd w:val="clear" w:color="auto" w:fill="FFFFFF"/>
            <w:noWrap w:val="0"/>
            <w:vAlign w:val="center"/>
          </w:tcPr>
          <w:p w14:paraId="2C4165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r>
      <w:tr w14:paraId="79C58FB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036" w:hRule="atLeast"/>
          <w:jc w:val="center"/>
        </w:trPr>
        <w:tc>
          <w:tcPr>
            <w:tcW w:w="230" w:type="pct"/>
            <w:vMerge w:val="restart"/>
            <w:tcBorders>
              <w:tl2br w:val="nil"/>
              <w:tr2bl w:val="nil"/>
            </w:tcBorders>
            <w:shd w:val="clear" w:color="auto" w:fill="FFFFFF"/>
            <w:noWrap w:val="0"/>
            <w:vAlign w:val="center"/>
          </w:tcPr>
          <w:p w14:paraId="110C70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5#锅炉</w:t>
            </w:r>
          </w:p>
        </w:tc>
        <w:tc>
          <w:tcPr>
            <w:tcW w:w="487" w:type="pct"/>
            <w:vMerge w:val="restart"/>
            <w:tcBorders>
              <w:tl2br w:val="nil"/>
              <w:tr2bl w:val="nil"/>
            </w:tcBorders>
            <w:shd w:val="clear" w:color="auto" w:fill="FFFFFF"/>
            <w:noWrap w:val="0"/>
            <w:vAlign w:val="center"/>
          </w:tcPr>
          <w:p w14:paraId="753337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锅炉</w:t>
            </w:r>
          </w:p>
        </w:tc>
        <w:tc>
          <w:tcPr>
            <w:tcW w:w="378" w:type="pct"/>
            <w:tcBorders>
              <w:tl2br w:val="nil"/>
              <w:tr2bl w:val="nil"/>
            </w:tcBorders>
            <w:shd w:val="clear" w:color="auto" w:fill="FFFFFF"/>
            <w:noWrap w:val="0"/>
            <w:vAlign w:val="center"/>
          </w:tcPr>
          <w:p w14:paraId="50AC93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炉渣</w:t>
            </w:r>
          </w:p>
        </w:tc>
        <w:tc>
          <w:tcPr>
            <w:tcW w:w="476" w:type="pct"/>
            <w:tcBorders>
              <w:tl2br w:val="nil"/>
              <w:tr2bl w:val="nil"/>
            </w:tcBorders>
            <w:shd w:val="clear" w:color="auto" w:fill="FFFFFF"/>
            <w:noWrap w:val="0"/>
            <w:vAlign w:val="center"/>
          </w:tcPr>
          <w:p w14:paraId="4321EF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一般</w:t>
            </w:r>
            <w:r>
              <w:rPr>
                <w:rFonts w:hint="default" w:ascii="Times New Roman" w:hAnsi="Times New Roman" w:eastAsia="宋体" w:cs="Times New Roman"/>
                <w:color w:val="auto"/>
                <w:sz w:val="21"/>
                <w:szCs w:val="21"/>
                <w:highlight w:val="none"/>
                <w:lang w:val="en-US" w:eastAsia="zh-CN"/>
              </w:rPr>
              <w:t>固体废物</w:t>
            </w:r>
          </w:p>
        </w:tc>
        <w:tc>
          <w:tcPr>
            <w:tcW w:w="520" w:type="pct"/>
            <w:tcBorders>
              <w:tl2br w:val="nil"/>
              <w:tr2bl w:val="nil"/>
            </w:tcBorders>
            <w:shd w:val="clear" w:color="auto" w:fill="FFFFFF"/>
            <w:noWrap w:val="0"/>
            <w:vAlign w:val="center"/>
          </w:tcPr>
          <w:p w14:paraId="6E2384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SW03</w:t>
            </w:r>
          </w:p>
          <w:p w14:paraId="13A5DD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900-099-S03</w:t>
            </w:r>
          </w:p>
        </w:tc>
        <w:tc>
          <w:tcPr>
            <w:tcW w:w="555" w:type="pct"/>
            <w:tcBorders>
              <w:tl2br w:val="nil"/>
              <w:tr2bl w:val="nil"/>
            </w:tcBorders>
            <w:shd w:val="clear" w:color="auto" w:fill="FFFFFF"/>
            <w:noWrap w:val="0"/>
            <w:vAlign w:val="center"/>
          </w:tcPr>
          <w:p w14:paraId="402C2D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物料衡算法</w:t>
            </w:r>
          </w:p>
        </w:tc>
        <w:tc>
          <w:tcPr>
            <w:tcW w:w="590" w:type="pct"/>
            <w:tcBorders>
              <w:tl2br w:val="nil"/>
              <w:tr2bl w:val="nil"/>
            </w:tcBorders>
            <w:shd w:val="clear" w:color="auto" w:fill="FFFFFF"/>
            <w:noWrap w:val="0"/>
            <w:vAlign w:val="center"/>
          </w:tcPr>
          <w:p w14:paraId="7CB18F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4908.76</w:t>
            </w:r>
          </w:p>
        </w:tc>
        <w:tc>
          <w:tcPr>
            <w:tcW w:w="1" w:type="pct"/>
            <w:tcBorders>
              <w:tl2br w:val="nil"/>
              <w:tr2bl w:val="nil"/>
            </w:tcBorders>
            <w:shd w:val="clear" w:color="auto" w:fill="FFFFFF"/>
            <w:noWrap w:val="0"/>
            <w:vAlign w:val="center"/>
          </w:tcPr>
          <w:p w14:paraId="69A1C3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677" w:type="pct"/>
            <w:tcBorders>
              <w:tl2br w:val="nil"/>
              <w:tr2bl w:val="nil"/>
            </w:tcBorders>
            <w:shd w:val="clear" w:color="auto" w:fill="FFFFFF"/>
            <w:noWrap w:val="0"/>
            <w:vAlign w:val="center"/>
          </w:tcPr>
          <w:p w14:paraId="67C7B7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渣仓内暂存，外售综合利用</w:t>
            </w:r>
          </w:p>
        </w:tc>
        <w:tc>
          <w:tcPr>
            <w:tcW w:w="546" w:type="pct"/>
            <w:tcBorders>
              <w:tl2br w:val="nil"/>
              <w:tr2bl w:val="nil"/>
            </w:tcBorders>
            <w:shd w:val="clear" w:color="auto" w:fill="FFFFFF"/>
            <w:noWrap w:val="0"/>
            <w:vAlign w:val="center"/>
          </w:tcPr>
          <w:p w14:paraId="591F3E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4908.76</w:t>
            </w:r>
          </w:p>
        </w:tc>
        <w:tc>
          <w:tcPr>
            <w:tcW w:w="533" w:type="pct"/>
            <w:vMerge w:val="restart"/>
            <w:tcBorders>
              <w:tl2br w:val="nil"/>
              <w:tr2bl w:val="nil"/>
            </w:tcBorders>
            <w:shd w:val="clear" w:color="auto" w:fill="FFFFFF"/>
            <w:noWrap w:val="0"/>
            <w:vAlign w:val="center"/>
          </w:tcPr>
          <w:p w14:paraId="2EB027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外售综合利用</w:t>
            </w:r>
          </w:p>
        </w:tc>
      </w:tr>
      <w:tr w14:paraId="2FCD28F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036" w:hRule="atLeast"/>
          <w:jc w:val="center"/>
        </w:trPr>
        <w:tc>
          <w:tcPr>
            <w:tcW w:w="230" w:type="pct"/>
            <w:vMerge w:val="continue"/>
            <w:tcBorders>
              <w:tl2br w:val="nil"/>
              <w:tr2bl w:val="nil"/>
            </w:tcBorders>
            <w:shd w:val="clear" w:color="auto" w:fill="FFFFFF"/>
            <w:noWrap w:val="0"/>
            <w:vAlign w:val="center"/>
          </w:tcPr>
          <w:p w14:paraId="59C815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p>
        </w:tc>
        <w:tc>
          <w:tcPr>
            <w:tcW w:w="487" w:type="pct"/>
            <w:vMerge w:val="continue"/>
            <w:tcBorders>
              <w:tl2br w:val="nil"/>
              <w:tr2bl w:val="nil"/>
            </w:tcBorders>
            <w:shd w:val="clear" w:color="auto" w:fill="FFFFFF"/>
            <w:noWrap w:val="0"/>
            <w:vAlign w:val="center"/>
          </w:tcPr>
          <w:p w14:paraId="1BAEED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378" w:type="pct"/>
            <w:tcBorders>
              <w:tl2br w:val="nil"/>
              <w:tr2bl w:val="nil"/>
            </w:tcBorders>
            <w:shd w:val="clear" w:color="auto" w:fill="FFFFFF"/>
            <w:noWrap w:val="0"/>
            <w:vAlign w:val="center"/>
          </w:tcPr>
          <w:p w14:paraId="437E78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飞灰</w:t>
            </w:r>
          </w:p>
        </w:tc>
        <w:tc>
          <w:tcPr>
            <w:tcW w:w="476" w:type="pct"/>
            <w:tcBorders>
              <w:tl2br w:val="nil"/>
              <w:tr2bl w:val="nil"/>
            </w:tcBorders>
            <w:shd w:val="clear" w:color="auto" w:fill="FFFFFF"/>
            <w:noWrap w:val="0"/>
            <w:vAlign w:val="center"/>
          </w:tcPr>
          <w:p w14:paraId="33F599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一般</w:t>
            </w:r>
            <w:r>
              <w:rPr>
                <w:rFonts w:hint="default" w:ascii="Times New Roman" w:hAnsi="Times New Roman" w:eastAsia="宋体" w:cs="Times New Roman"/>
                <w:color w:val="auto"/>
                <w:sz w:val="21"/>
                <w:szCs w:val="21"/>
                <w:highlight w:val="none"/>
                <w:lang w:val="en-US" w:eastAsia="zh-CN"/>
              </w:rPr>
              <w:t>固体废物</w:t>
            </w:r>
          </w:p>
        </w:tc>
        <w:tc>
          <w:tcPr>
            <w:tcW w:w="520" w:type="pct"/>
            <w:tcBorders>
              <w:tl2br w:val="nil"/>
              <w:tr2bl w:val="nil"/>
            </w:tcBorders>
            <w:shd w:val="clear" w:color="auto" w:fill="FFFFFF"/>
            <w:noWrap w:val="0"/>
            <w:vAlign w:val="center"/>
          </w:tcPr>
          <w:p w14:paraId="0ADEDA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SW02</w:t>
            </w:r>
          </w:p>
          <w:p w14:paraId="2A6C9C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900</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001</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S02</w:t>
            </w:r>
          </w:p>
        </w:tc>
        <w:tc>
          <w:tcPr>
            <w:tcW w:w="555" w:type="pct"/>
            <w:tcBorders>
              <w:tl2br w:val="nil"/>
              <w:tr2bl w:val="nil"/>
            </w:tcBorders>
            <w:shd w:val="clear" w:color="auto" w:fill="FFFFFF"/>
            <w:noWrap w:val="0"/>
            <w:vAlign w:val="center"/>
          </w:tcPr>
          <w:p w14:paraId="433DFE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物料衡算法</w:t>
            </w:r>
          </w:p>
        </w:tc>
        <w:tc>
          <w:tcPr>
            <w:tcW w:w="590" w:type="pct"/>
            <w:tcBorders>
              <w:tl2br w:val="nil"/>
              <w:tr2bl w:val="nil"/>
            </w:tcBorders>
            <w:shd w:val="clear" w:color="auto" w:fill="FFFFFF"/>
            <w:noWrap w:val="0"/>
            <w:vAlign w:val="center"/>
          </w:tcPr>
          <w:p w14:paraId="698D4F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1227.19</w:t>
            </w:r>
          </w:p>
        </w:tc>
        <w:tc>
          <w:tcPr>
            <w:tcW w:w="1" w:type="pct"/>
            <w:tcBorders>
              <w:tl2br w:val="nil"/>
              <w:tr2bl w:val="nil"/>
            </w:tcBorders>
            <w:shd w:val="clear" w:color="auto" w:fill="FFFFFF"/>
            <w:noWrap w:val="0"/>
            <w:vAlign w:val="center"/>
          </w:tcPr>
          <w:p w14:paraId="2E7F7E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677" w:type="pct"/>
            <w:tcBorders>
              <w:tl2br w:val="nil"/>
              <w:tr2bl w:val="nil"/>
            </w:tcBorders>
            <w:shd w:val="clear" w:color="auto" w:fill="FFFFFF"/>
            <w:noWrap w:val="0"/>
            <w:vAlign w:val="center"/>
          </w:tcPr>
          <w:p w14:paraId="0FAA23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灰库内暂存，外售综合利用</w:t>
            </w:r>
          </w:p>
        </w:tc>
        <w:tc>
          <w:tcPr>
            <w:tcW w:w="546" w:type="pct"/>
            <w:tcBorders>
              <w:tl2br w:val="nil"/>
              <w:tr2bl w:val="nil"/>
            </w:tcBorders>
            <w:shd w:val="clear" w:color="auto" w:fill="FFFFFF"/>
            <w:noWrap w:val="0"/>
            <w:vAlign w:val="center"/>
          </w:tcPr>
          <w:p w14:paraId="149E49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1227.19</w:t>
            </w:r>
          </w:p>
        </w:tc>
        <w:tc>
          <w:tcPr>
            <w:tcW w:w="533" w:type="pct"/>
            <w:vMerge w:val="continue"/>
            <w:tcBorders>
              <w:tl2br w:val="nil"/>
              <w:tr2bl w:val="nil"/>
            </w:tcBorders>
            <w:shd w:val="clear" w:color="auto" w:fill="FFFFFF"/>
            <w:noWrap w:val="0"/>
            <w:vAlign w:val="center"/>
          </w:tcPr>
          <w:p w14:paraId="7D8AC9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r>
      <w:tr w14:paraId="068B380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855" w:hRule="atLeast"/>
          <w:jc w:val="center"/>
        </w:trPr>
        <w:tc>
          <w:tcPr>
            <w:tcW w:w="230" w:type="pct"/>
            <w:vMerge w:val="continue"/>
            <w:tcBorders>
              <w:tl2br w:val="nil"/>
              <w:tr2bl w:val="nil"/>
            </w:tcBorders>
            <w:shd w:val="clear" w:color="auto" w:fill="FFFFFF"/>
            <w:noWrap w:val="0"/>
            <w:vAlign w:val="center"/>
          </w:tcPr>
          <w:p w14:paraId="3F62A9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487" w:type="pct"/>
            <w:vMerge w:val="restart"/>
            <w:tcBorders>
              <w:tl2br w:val="nil"/>
              <w:tr2bl w:val="nil"/>
            </w:tcBorders>
            <w:shd w:val="clear" w:color="auto" w:fill="FFFFFF"/>
            <w:noWrap w:val="0"/>
            <w:vAlign w:val="center"/>
          </w:tcPr>
          <w:p w14:paraId="5C009E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除尘系统</w:t>
            </w:r>
          </w:p>
        </w:tc>
        <w:tc>
          <w:tcPr>
            <w:tcW w:w="378" w:type="pct"/>
            <w:tcBorders>
              <w:tl2br w:val="nil"/>
              <w:tr2bl w:val="nil"/>
            </w:tcBorders>
            <w:shd w:val="clear" w:color="auto" w:fill="FFFFFF"/>
            <w:noWrap w:val="0"/>
            <w:vAlign w:val="center"/>
          </w:tcPr>
          <w:p w14:paraId="7EB837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废布袋</w:t>
            </w:r>
          </w:p>
        </w:tc>
        <w:tc>
          <w:tcPr>
            <w:tcW w:w="476" w:type="pct"/>
            <w:tcBorders>
              <w:tl2br w:val="nil"/>
              <w:tr2bl w:val="nil"/>
            </w:tcBorders>
            <w:shd w:val="clear" w:color="auto" w:fill="FFFFFF"/>
            <w:noWrap w:val="0"/>
            <w:vAlign w:val="center"/>
          </w:tcPr>
          <w:p w14:paraId="79EA97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一般</w:t>
            </w:r>
            <w:r>
              <w:rPr>
                <w:rFonts w:hint="default" w:ascii="Times New Roman" w:hAnsi="Times New Roman" w:eastAsia="宋体" w:cs="Times New Roman"/>
                <w:color w:val="auto"/>
                <w:sz w:val="21"/>
                <w:szCs w:val="21"/>
                <w:highlight w:val="none"/>
                <w:lang w:val="en-US" w:eastAsia="zh-CN"/>
              </w:rPr>
              <w:t>固体废物</w:t>
            </w:r>
          </w:p>
        </w:tc>
        <w:tc>
          <w:tcPr>
            <w:tcW w:w="520" w:type="pct"/>
            <w:tcBorders>
              <w:tl2br w:val="nil"/>
              <w:tr2bl w:val="nil"/>
            </w:tcBorders>
            <w:shd w:val="clear" w:color="auto" w:fill="FFFFFF"/>
            <w:noWrap w:val="0"/>
            <w:vAlign w:val="center"/>
          </w:tcPr>
          <w:p w14:paraId="6873E4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SW59</w:t>
            </w:r>
          </w:p>
          <w:p w14:paraId="2756DC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900</w:t>
            </w:r>
            <w:r>
              <w:rPr>
                <w:rFonts w:hint="default" w:ascii="Times New Roman" w:hAnsi="Times New Roman" w:eastAsia="宋体" w:cs="Times New Roman"/>
                <w:color w:val="auto"/>
                <w:sz w:val="21"/>
                <w:szCs w:val="21"/>
                <w:highlight w:val="none"/>
                <w:lang w:val="en-US" w:eastAsia="zh-CN"/>
              </w:rPr>
              <w:t>-0</w:t>
            </w:r>
            <w:r>
              <w:rPr>
                <w:rFonts w:hint="eastAsia" w:ascii="Times New Roman" w:hAnsi="Times New Roman" w:eastAsia="宋体" w:cs="Times New Roman"/>
                <w:color w:val="auto"/>
                <w:sz w:val="21"/>
                <w:szCs w:val="21"/>
                <w:highlight w:val="none"/>
                <w:lang w:val="en-US" w:eastAsia="zh-CN"/>
              </w:rPr>
              <w:t>99</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S59</w:t>
            </w:r>
          </w:p>
        </w:tc>
        <w:tc>
          <w:tcPr>
            <w:tcW w:w="555" w:type="pct"/>
            <w:tcBorders>
              <w:tl2br w:val="nil"/>
              <w:tr2bl w:val="nil"/>
            </w:tcBorders>
            <w:shd w:val="clear" w:color="auto" w:fill="FFFFFF"/>
            <w:noWrap w:val="0"/>
            <w:vAlign w:val="center"/>
          </w:tcPr>
          <w:p w14:paraId="46A7A5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物料衡算法</w:t>
            </w:r>
          </w:p>
        </w:tc>
        <w:tc>
          <w:tcPr>
            <w:tcW w:w="590" w:type="pct"/>
            <w:tcBorders>
              <w:tl2br w:val="nil"/>
              <w:tr2bl w:val="nil"/>
            </w:tcBorders>
            <w:shd w:val="clear" w:color="auto" w:fill="FFFFFF"/>
            <w:noWrap w:val="0"/>
            <w:vAlign w:val="center"/>
          </w:tcPr>
          <w:p w14:paraId="1733AE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2.8t/</w:t>
            </w:r>
            <w:r>
              <w:rPr>
                <w:rFonts w:hint="default" w:ascii="Times New Roman" w:hAnsi="Times New Roman" w:eastAsia="宋体" w:cs="Times New Roman"/>
                <w:color w:val="auto"/>
                <w:sz w:val="21"/>
                <w:szCs w:val="21"/>
                <w:highlight w:val="none"/>
                <w:lang w:val="en-US" w:eastAsia="zh-CN"/>
              </w:rPr>
              <w:t>2a</w:t>
            </w:r>
          </w:p>
        </w:tc>
        <w:tc>
          <w:tcPr>
            <w:tcW w:w="1" w:type="pct"/>
            <w:tcBorders>
              <w:tl2br w:val="nil"/>
              <w:tr2bl w:val="nil"/>
            </w:tcBorders>
            <w:shd w:val="clear" w:color="auto" w:fill="FFFFFF"/>
            <w:noWrap w:val="0"/>
            <w:vAlign w:val="center"/>
          </w:tcPr>
          <w:p w14:paraId="3CD3CE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677" w:type="pct"/>
            <w:tcBorders>
              <w:tl2br w:val="nil"/>
              <w:tr2bl w:val="nil"/>
            </w:tcBorders>
            <w:shd w:val="clear" w:color="auto" w:fill="FFFFFF"/>
            <w:noWrap w:val="0"/>
            <w:vAlign w:val="center"/>
          </w:tcPr>
          <w:p w14:paraId="703944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厂家回收</w:t>
            </w:r>
          </w:p>
        </w:tc>
        <w:tc>
          <w:tcPr>
            <w:tcW w:w="546" w:type="pct"/>
            <w:tcBorders>
              <w:tl2br w:val="nil"/>
              <w:tr2bl w:val="nil"/>
            </w:tcBorders>
            <w:shd w:val="clear" w:color="auto" w:fill="FFFFFF"/>
            <w:noWrap w:val="0"/>
            <w:vAlign w:val="center"/>
          </w:tcPr>
          <w:p w14:paraId="687FF9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2.8t/2a</w:t>
            </w:r>
          </w:p>
        </w:tc>
        <w:tc>
          <w:tcPr>
            <w:tcW w:w="533" w:type="pct"/>
            <w:tcBorders>
              <w:tl2br w:val="nil"/>
              <w:tr2bl w:val="nil"/>
            </w:tcBorders>
            <w:shd w:val="clear" w:color="auto" w:fill="FFFFFF"/>
            <w:noWrap w:val="0"/>
            <w:vAlign w:val="center"/>
          </w:tcPr>
          <w:p w14:paraId="1FE653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由厂家回收</w:t>
            </w:r>
          </w:p>
        </w:tc>
      </w:tr>
      <w:tr w14:paraId="271AC6A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194" w:hRule="atLeast"/>
          <w:jc w:val="center"/>
        </w:trPr>
        <w:tc>
          <w:tcPr>
            <w:tcW w:w="230" w:type="pct"/>
            <w:vMerge w:val="continue"/>
            <w:tcBorders>
              <w:tl2br w:val="nil"/>
              <w:tr2bl w:val="nil"/>
            </w:tcBorders>
            <w:shd w:val="clear" w:color="auto" w:fill="FFFFFF"/>
            <w:noWrap w:val="0"/>
            <w:vAlign w:val="center"/>
          </w:tcPr>
          <w:p w14:paraId="3317EA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487" w:type="pct"/>
            <w:vMerge w:val="continue"/>
            <w:tcBorders>
              <w:tl2br w:val="nil"/>
              <w:tr2bl w:val="nil"/>
            </w:tcBorders>
            <w:shd w:val="clear" w:color="auto" w:fill="FFFFFF"/>
            <w:noWrap w:val="0"/>
            <w:vAlign w:val="center"/>
          </w:tcPr>
          <w:p w14:paraId="003CEC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378" w:type="pct"/>
            <w:tcBorders>
              <w:tl2br w:val="nil"/>
              <w:tr2bl w:val="nil"/>
            </w:tcBorders>
            <w:shd w:val="clear" w:color="auto" w:fill="FFFFFF"/>
            <w:noWrap w:val="0"/>
            <w:vAlign w:val="center"/>
          </w:tcPr>
          <w:p w14:paraId="1031ED6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碎煤机除尘器粉尘</w:t>
            </w:r>
          </w:p>
        </w:tc>
        <w:tc>
          <w:tcPr>
            <w:tcW w:w="476" w:type="pct"/>
            <w:tcBorders>
              <w:tl2br w:val="nil"/>
              <w:tr2bl w:val="nil"/>
            </w:tcBorders>
            <w:shd w:val="clear" w:color="auto" w:fill="FFFFFF"/>
            <w:noWrap w:val="0"/>
            <w:vAlign w:val="center"/>
          </w:tcPr>
          <w:p w14:paraId="251BD3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一般</w:t>
            </w:r>
            <w:r>
              <w:rPr>
                <w:rFonts w:hint="default" w:ascii="Times New Roman" w:hAnsi="Times New Roman" w:eastAsia="宋体" w:cs="Times New Roman"/>
                <w:color w:val="auto"/>
                <w:sz w:val="21"/>
                <w:szCs w:val="21"/>
                <w:highlight w:val="none"/>
                <w:lang w:val="en-US" w:eastAsia="zh-CN"/>
              </w:rPr>
              <w:t>固体废物</w:t>
            </w:r>
          </w:p>
        </w:tc>
        <w:tc>
          <w:tcPr>
            <w:tcW w:w="520" w:type="pct"/>
            <w:tcBorders>
              <w:tl2br w:val="nil"/>
              <w:tr2bl w:val="nil"/>
            </w:tcBorders>
            <w:shd w:val="clear" w:color="auto" w:fill="FFFFFF"/>
            <w:noWrap w:val="0"/>
            <w:vAlign w:val="center"/>
          </w:tcPr>
          <w:p w14:paraId="63597B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SW59</w:t>
            </w:r>
          </w:p>
          <w:p w14:paraId="24ACED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900-099-S59</w:t>
            </w:r>
          </w:p>
        </w:tc>
        <w:tc>
          <w:tcPr>
            <w:tcW w:w="555" w:type="pct"/>
            <w:tcBorders>
              <w:tl2br w:val="nil"/>
              <w:tr2bl w:val="nil"/>
            </w:tcBorders>
            <w:shd w:val="clear" w:color="auto" w:fill="FFFFFF"/>
            <w:noWrap w:val="0"/>
            <w:vAlign w:val="center"/>
          </w:tcPr>
          <w:p w14:paraId="529E96B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物料衡算法</w:t>
            </w:r>
          </w:p>
        </w:tc>
        <w:tc>
          <w:tcPr>
            <w:tcW w:w="590" w:type="pct"/>
            <w:tcBorders>
              <w:tl2br w:val="nil"/>
              <w:tr2bl w:val="nil"/>
            </w:tcBorders>
            <w:shd w:val="clear" w:color="auto" w:fill="FFFFFF"/>
            <w:noWrap w:val="0"/>
            <w:vAlign w:val="center"/>
          </w:tcPr>
          <w:p w14:paraId="448BEF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2.32</w:t>
            </w:r>
          </w:p>
        </w:tc>
        <w:tc>
          <w:tcPr>
            <w:tcW w:w="1" w:type="pct"/>
            <w:tcBorders>
              <w:tl2br w:val="nil"/>
              <w:tr2bl w:val="nil"/>
            </w:tcBorders>
            <w:shd w:val="clear" w:color="auto" w:fill="FFFFFF"/>
            <w:noWrap w:val="0"/>
            <w:vAlign w:val="center"/>
          </w:tcPr>
          <w:p w14:paraId="38C60E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677" w:type="pct"/>
            <w:tcBorders>
              <w:tl2br w:val="nil"/>
              <w:tr2bl w:val="nil"/>
            </w:tcBorders>
            <w:shd w:val="clear" w:color="auto" w:fill="FFFFFF"/>
            <w:noWrap w:val="0"/>
            <w:vAlign w:val="center"/>
          </w:tcPr>
          <w:p w14:paraId="3094D1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作为燃料入炉燃烧</w:t>
            </w:r>
          </w:p>
        </w:tc>
        <w:tc>
          <w:tcPr>
            <w:tcW w:w="546" w:type="pct"/>
            <w:tcBorders>
              <w:tl2br w:val="nil"/>
              <w:tr2bl w:val="nil"/>
            </w:tcBorders>
            <w:shd w:val="clear" w:color="auto" w:fill="FFFFFF"/>
            <w:noWrap w:val="0"/>
            <w:vAlign w:val="center"/>
          </w:tcPr>
          <w:p w14:paraId="1A49B4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2.32</w:t>
            </w:r>
          </w:p>
        </w:tc>
        <w:tc>
          <w:tcPr>
            <w:tcW w:w="533" w:type="pct"/>
            <w:tcBorders>
              <w:tl2br w:val="nil"/>
              <w:tr2bl w:val="nil"/>
            </w:tcBorders>
            <w:shd w:val="clear" w:color="auto" w:fill="FFFFFF"/>
            <w:noWrap w:val="0"/>
            <w:vAlign w:val="center"/>
          </w:tcPr>
          <w:p w14:paraId="570605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回用</w:t>
            </w:r>
          </w:p>
        </w:tc>
      </w:tr>
      <w:tr w14:paraId="2611ECD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194" w:hRule="atLeast"/>
          <w:jc w:val="center"/>
        </w:trPr>
        <w:tc>
          <w:tcPr>
            <w:tcW w:w="230" w:type="pct"/>
            <w:vMerge w:val="continue"/>
            <w:tcBorders>
              <w:tl2br w:val="nil"/>
              <w:tr2bl w:val="nil"/>
            </w:tcBorders>
            <w:shd w:val="clear" w:color="auto" w:fill="FFFFFF"/>
            <w:noWrap w:val="0"/>
            <w:vAlign w:val="center"/>
          </w:tcPr>
          <w:p w14:paraId="1F997E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487" w:type="pct"/>
            <w:vMerge w:val="continue"/>
            <w:tcBorders>
              <w:tl2br w:val="nil"/>
              <w:tr2bl w:val="nil"/>
            </w:tcBorders>
            <w:shd w:val="clear" w:color="auto" w:fill="FFFFFF"/>
            <w:noWrap w:val="0"/>
            <w:vAlign w:val="center"/>
          </w:tcPr>
          <w:p w14:paraId="095738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378" w:type="pct"/>
            <w:tcBorders>
              <w:tl2br w:val="nil"/>
              <w:tr2bl w:val="nil"/>
            </w:tcBorders>
            <w:shd w:val="clear" w:color="auto" w:fill="FFFFFF"/>
            <w:noWrap w:val="0"/>
            <w:vAlign w:val="center"/>
          </w:tcPr>
          <w:p w14:paraId="13B80C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灰库除尘器粉尘</w:t>
            </w:r>
          </w:p>
        </w:tc>
        <w:tc>
          <w:tcPr>
            <w:tcW w:w="476" w:type="pct"/>
            <w:tcBorders>
              <w:tl2br w:val="nil"/>
              <w:tr2bl w:val="nil"/>
            </w:tcBorders>
            <w:shd w:val="clear" w:color="auto" w:fill="FFFFFF"/>
            <w:noWrap w:val="0"/>
            <w:vAlign w:val="center"/>
          </w:tcPr>
          <w:p w14:paraId="0B9799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一般</w:t>
            </w:r>
            <w:r>
              <w:rPr>
                <w:rFonts w:hint="default" w:ascii="Times New Roman" w:hAnsi="Times New Roman" w:eastAsia="宋体" w:cs="Times New Roman"/>
                <w:color w:val="auto"/>
                <w:sz w:val="21"/>
                <w:szCs w:val="21"/>
                <w:highlight w:val="none"/>
                <w:lang w:val="en-US" w:eastAsia="zh-CN"/>
              </w:rPr>
              <w:t>固体废物</w:t>
            </w:r>
          </w:p>
        </w:tc>
        <w:tc>
          <w:tcPr>
            <w:tcW w:w="520" w:type="pct"/>
            <w:tcBorders>
              <w:tl2br w:val="nil"/>
              <w:tr2bl w:val="nil"/>
            </w:tcBorders>
            <w:shd w:val="clear" w:color="auto" w:fill="FFFFFF"/>
            <w:noWrap w:val="0"/>
            <w:vAlign w:val="center"/>
          </w:tcPr>
          <w:p w14:paraId="4C9892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SW59</w:t>
            </w:r>
          </w:p>
          <w:p w14:paraId="10E9CE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900-099-S59</w:t>
            </w:r>
          </w:p>
        </w:tc>
        <w:tc>
          <w:tcPr>
            <w:tcW w:w="555" w:type="pct"/>
            <w:tcBorders>
              <w:tl2br w:val="nil"/>
              <w:tr2bl w:val="nil"/>
            </w:tcBorders>
            <w:shd w:val="clear" w:color="auto" w:fill="FFFFFF"/>
            <w:noWrap w:val="0"/>
            <w:vAlign w:val="center"/>
          </w:tcPr>
          <w:p w14:paraId="4B97C1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物料衡算法</w:t>
            </w:r>
          </w:p>
        </w:tc>
        <w:tc>
          <w:tcPr>
            <w:tcW w:w="590" w:type="pct"/>
            <w:tcBorders>
              <w:tl2br w:val="nil"/>
              <w:tr2bl w:val="nil"/>
            </w:tcBorders>
            <w:shd w:val="clear" w:color="auto" w:fill="FFFFFF"/>
            <w:noWrap w:val="0"/>
            <w:vAlign w:val="center"/>
          </w:tcPr>
          <w:p w14:paraId="5C87E6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0.045</w:t>
            </w:r>
          </w:p>
        </w:tc>
        <w:tc>
          <w:tcPr>
            <w:tcW w:w="1" w:type="pct"/>
            <w:tcBorders>
              <w:tl2br w:val="nil"/>
              <w:tr2bl w:val="nil"/>
            </w:tcBorders>
            <w:shd w:val="clear" w:color="auto" w:fill="FFFFFF"/>
            <w:noWrap w:val="0"/>
            <w:vAlign w:val="center"/>
          </w:tcPr>
          <w:p w14:paraId="68E577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677" w:type="pct"/>
            <w:tcBorders>
              <w:tl2br w:val="nil"/>
              <w:tr2bl w:val="nil"/>
            </w:tcBorders>
            <w:shd w:val="clear" w:color="auto" w:fill="FFFFFF"/>
            <w:noWrap w:val="0"/>
            <w:vAlign w:val="center"/>
          </w:tcPr>
          <w:p w14:paraId="666286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渣仓内暂存，外售综合利用</w:t>
            </w:r>
          </w:p>
        </w:tc>
        <w:tc>
          <w:tcPr>
            <w:tcW w:w="546" w:type="pct"/>
            <w:tcBorders>
              <w:tl2br w:val="nil"/>
              <w:tr2bl w:val="nil"/>
            </w:tcBorders>
            <w:shd w:val="clear" w:color="auto" w:fill="FFFFFF"/>
            <w:noWrap w:val="0"/>
            <w:vAlign w:val="center"/>
          </w:tcPr>
          <w:p w14:paraId="578D72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0.045</w:t>
            </w:r>
          </w:p>
        </w:tc>
        <w:tc>
          <w:tcPr>
            <w:tcW w:w="533" w:type="pct"/>
            <w:tcBorders>
              <w:tl2br w:val="nil"/>
              <w:tr2bl w:val="nil"/>
            </w:tcBorders>
            <w:shd w:val="clear" w:color="auto" w:fill="FFFFFF"/>
            <w:noWrap w:val="0"/>
            <w:vAlign w:val="center"/>
          </w:tcPr>
          <w:p w14:paraId="522C39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外售综合利用</w:t>
            </w:r>
          </w:p>
        </w:tc>
      </w:tr>
      <w:tr w14:paraId="1753E0E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30" w:type="pct"/>
            <w:vMerge w:val="continue"/>
            <w:tcBorders>
              <w:tl2br w:val="nil"/>
              <w:tr2bl w:val="nil"/>
            </w:tcBorders>
            <w:shd w:val="clear" w:color="auto" w:fill="FFFFFF"/>
            <w:noWrap w:val="0"/>
            <w:vAlign w:val="center"/>
          </w:tcPr>
          <w:p w14:paraId="0FB6D2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487" w:type="pct"/>
            <w:vMerge w:val="continue"/>
            <w:tcBorders>
              <w:tl2br w:val="nil"/>
              <w:tr2bl w:val="nil"/>
            </w:tcBorders>
            <w:shd w:val="clear" w:color="auto" w:fill="FFFFFF"/>
            <w:noWrap w:val="0"/>
            <w:vAlign w:val="center"/>
          </w:tcPr>
          <w:p w14:paraId="5B60E4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378" w:type="pct"/>
            <w:tcBorders>
              <w:tl2br w:val="nil"/>
              <w:tr2bl w:val="nil"/>
            </w:tcBorders>
            <w:shd w:val="clear" w:color="auto" w:fill="FFFFFF"/>
            <w:noWrap w:val="0"/>
            <w:vAlign w:val="center"/>
          </w:tcPr>
          <w:p w14:paraId="3EC91F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生石灰粉仓</w:t>
            </w:r>
            <w:r>
              <w:rPr>
                <w:rFonts w:hint="default" w:ascii="Times New Roman" w:hAnsi="Times New Roman" w:eastAsia="宋体" w:cs="Times New Roman"/>
                <w:color w:val="auto"/>
                <w:sz w:val="21"/>
                <w:szCs w:val="21"/>
                <w:highlight w:val="none"/>
                <w:lang w:val="en-US" w:eastAsia="zh-CN"/>
              </w:rPr>
              <w:t>除尘器收尘</w:t>
            </w:r>
          </w:p>
        </w:tc>
        <w:tc>
          <w:tcPr>
            <w:tcW w:w="476" w:type="pct"/>
            <w:tcBorders>
              <w:tl2br w:val="nil"/>
              <w:tr2bl w:val="nil"/>
            </w:tcBorders>
            <w:shd w:val="clear" w:color="auto" w:fill="FFFFFF"/>
            <w:noWrap w:val="0"/>
            <w:vAlign w:val="center"/>
          </w:tcPr>
          <w:p w14:paraId="794678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一般</w:t>
            </w:r>
            <w:r>
              <w:rPr>
                <w:rFonts w:hint="default" w:ascii="Times New Roman" w:hAnsi="Times New Roman" w:eastAsia="宋体" w:cs="Times New Roman"/>
                <w:color w:val="auto"/>
                <w:sz w:val="21"/>
                <w:szCs w:val="21"/>
                <w:highlight w:val="none"/>
                <w:lang w:val="en-US" w:eastAsia="zh-CN"/>
              </w:rPr>
              <w:t>固体废物</w:t>
            </w:r>
          </w:p>
        </w:tc>
        <w:tc>
          <w:tcPr>
            <w:tcW w:w="520" w:type="pct"/>
            <w:tcBorders>
              <w:tl2br w:val="nil"/>
              <w:tr2bl w:val="nil"/>
            </w:tcBorders>
            <w:shd w:val="clear" w:color="auto" w:fill="FFFFFF"/>
            <w:noWrap w:val="0"/>
            <w:vAlign w:val="center"/>
          </w:tcPr>
          <w:p w14:paraId="6F7EFC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SW59</w:t>
            </w:r>
          </w:p>
          <w:p w14:paraId="1E3D47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900-099-S59</w:t>
            </w:r>
          </w:p>
        </w:tc>
        <w:tc>
          <w:tcPr>
            <w:tcW w:w="555" w:type="pct"/>
            <w:tcBorders>
              <w:tl2br w:val="nil"/>
              <w:tr2bl w:val="nil"/>
            </w:tcBorders>
            <w:shd w:val="clear" w:color="auto" w:fill="FFFFFF"/>
            <w:noWrap w:val="0"/>
            <w:vAlign w:val="center"/>
          </w:tcPr>
          <w:p w14:paraId="2DCAC8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物料衡算法</w:t>
            </w:r>
          </w:p>
        </w:tc>
        <w:tc>
          <w:tcPr>
            <w:tcW w:w="590" w:type="pct"/>
            <w:tcBorders>
              <w:tl2br w:val="nil"/>
              <w:tr2bl w:val="nil"/>
            </w:tcBorders>
            <w:shd w:val="clear" w:color="auto" w:fill="FFFFFF"/>
            <w:noWrap w:val="0"/>
            <w:vAlign w:val="center"/>
          </w:tcPr>
          <w:p w14:paraId="5CFE17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0.35</w:t>
            </w:r>
          </w:p>
        </w:tc>
        <w:tc>
          <w:tcPr>
            <w:tcW w:w="1" w:type="pct"/>
            <w:tcBorders>
              <w:tl2br w:val="nil"/>
              <w:tr2bl w:val="nil"/>
            </w:tcBorders>
            <w:shd w:val="clear" w:color="auto" w:fill="FFFFFF"/>
            <w:noWrap w:val="0"/>
            <w:vAlign w:val="center"/>
          </w:tcPr>
          <w:p w14:paraId="43C5AA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677" w:type="pct"/>
            <w:tcBorders>
              <w:tl2br w:val="nil"/>
              <w:tr2bl w:val="nil"/>
            </w:tcBorders>
            <w:shd w:val="clear" w:color="auto" w:fill="FFFFFF"/>
            <w:noWrap w:val="0"/>
            <w:vAlign w:val="center"/>
          </w:tcPr>
          <w:p w14:paraId="412F218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回用于脱硫工序</w:t>
            </w:r>
          </w:p>
        </w:tc>
        <w:tc>
          <w:tcPr>
            <w:tcW w:w="546" w:type="pct"/>
            <w:tcBorders>
              <w:tl2br w:val="nil"/>
              <w:tr2bl w:val="nil"/>
            </w:tcBorders>
            <w:shd w:val="clear" w:color="auto" w:fill="FFFFFF"/>
            <w:noWrap w:val="0"/>
            <w:vAlign w:val="center"/>
          </w:tcPr>
          <w:p w14:paraId="759380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0.35</w:t>
            </w:r>
          </w:p>
        </w:tc>
        <w:tc>
          <w:tcPr>
            <w:tcW w:w="533" w:type="pct"/>
            <w:tcBorders>
              <w:tl2br w:val="nil"/>
              <w:tr2bl w:val="nil"/>
            </w:tcBorders>
            <w:shd w:val="clear" w:color="auto" w:fill="FFFFFF"/>
            <w:noWrap w:val="0"/>
            <w:vAlign w:val="center"/>
          </w:tcPr>
          <w:p w14:paraId="28A4667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回用</w:t>
            </w:r>
          </w:p>
        </w:tc>
      </w:tr>
      <w:tr w14:paraId="5BB7AA2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246" w:hRule="atLeast"/>
          <w:jc w:val="center"/>
        </w:trPr>
        <w:tc>
          <w:tcPr>
            <w:tcW w:w="230" w:type="pct"/>
            <w:tcBorders>
              <w:tl2br w:val="nil"/>
              <w:tr2bl w:val="nil"/>
            </w:tcBorders>
            <w:shd w:val="clear" w:color="auto" w:fill="FFFFFF"/>
            <w:noWrap w:val="0"/>
            <w:vAlign w:val="center"/>
          </w:tcPr>
          <w:p w14:paraId="6379FC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地下水池</w:t>
            </w:r>
          </w:p>
        </w:tc>
        <w:tc>
          <w:tcPr>
            <w:tcW w:w="487" w:type="pct"/>
            <w:tcBorders>
              <w:tl2br w:val="nil"/>
              <w:tr2bl w:val="nil"/>
            </w:tcBorders>
            <w:shd w:val="clear" w:color="auto" w:fill="FFFFFF"/>
            <w:noWrap w:val="0"/>
            <w:vAlign w:val="center"/>
          </w:tcPr>
          <w:p w14:paraId="2D3B2D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地下水池</w:t>
            </w:r>
          </w:p>
        </w:tc>
        <w:tc>
          <w:tcPr>
            <w:tcW w:w="378" w:type="pct"/>
            <w:tcBorders>
              <w:tl2br w:val="nil"/>
              <w:tr2bl w:val="nil"/>
            </w:tcBorders>
            <w:shd w:val="clear" w:color="auto" w:fill="FFFFFF"/>
            <w:noWrap w:val="0"/>
            <w:vAlign w:val="center"/>
          </w:tcPr>
          <w:p w14:paraId="3DDBE4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沉渣</w:t>
            </w:r>
          </w:p>
        </w:tc>
        <w:tc>
          <w:tcPr>
            <w:tcW w:w="476" w:type="pct"/>
            <w:tcBorders>
              <w:tl2br w:val="nil"/>
              <w:tr2bl w:val="nil"/>
            </w:tcBorders>
            <w:shd w:val="clear" w:color="auto" w:fill="FFFFFF"/>
            <w:noWrap w:val="0"/>
            <w:vAlign w:val="center"/>
          </w:tcPr>
          <w:p w14:paraId="389D361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一般</w:t>
            </w:r>
            <w:r>
              <w:rPr>
                <w:rFonts w:hint="default" w:ascii="Times New Roman" w:hAnsi="Times New Roman" w:eastAsia="宋体" w:cs="Times New Roman"/>
                <w:color w:val="auto"/>
                <w:sz w:val="21"/>
                <w:szCs w:val="21"/>
                <w:highlight w:val="none"/>
                <w:lang w:val="en-US" w:eastAsia="zh-CN"/>
              </w:rPr>
              <w:t>固体废物</w:t>
            </w:r>
          </w:p>
        </w:tc>
        <w:tc>
          <w:tcPr>
            <w:tcW w:w="520" w:type="pct"/>
            <w:tcBorders>
              <w:tl2br w:val="nil"/>
              <w:tr2bl w:val="nil"/>
            </w:tcBorders>
            <w:shd w:val="clear" w:color="auto" w:fill="FFFFFF"/>
            <w:noWrap w:val="0"/>
            <w:vAlign w:val="center"/>
          </w:tcPr>
          <w:p w14:paraId="10467B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SW59</w:t>
            </w:r>
          </w:p>
          <w:p w14:paraId="71A091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900-099-</w:t>
            </w:r>
            <w:r>
              <w:rPr>
                <w:rFonts w:hint="eastAsia" w:ascii="Times New Roman" w:hAnsi="Times New Roman" w:eastAsia="宋体" w:cs="Times New Roman"/>
                <w:color w:val="auto"/>
                <w:kern w:val="2"/>
                <w:sz w:val="21"/>
                <w:szCs w:val="21"/>
                <w:highlight w:val="none"/>
                <w:lang w:val="en-US" w:eastAsia="zh-CN" w:bidi="ar-SA"/>
              </w:rPr>
              <w:t>S</w:t>
            </w:r>
            <w:r>
              <w:rPr>
                <w:rFonts w:hint="default" w:ascii="Times New Roman" w:hAnsi="Times New Roman" w:eastAsia="宋体" w:cs="Times New Roman"/>
                <w:color w:val="auto"/>
                <w:kern w:val="2"/>
                <w:sz w:val="21"/>
                <w:szCs w:val="21"/>
                <w:highlight w:val="none"/>
                <w:lang w:val="en-US" w:eastAsia="zh-CN" w:bidi="ar-SA"/>
              </w:rPr>
              <w:t>59</w:t>
            </w:r>
          </w:p>
        </w:tc>
        <w:tc>
          <w:tcPr>
            <w:tcW w:w="555" w:type="pct"/>
            <w:tcBorders>
              <w:tl2br w:val="nil"/>
              <w:tr2bl w:val="nil"/>
            </w:tcBorders>
            <w:shd w:val="clear" w:color="auto" w:fill="FFFFFF"/>
            <w:noWrap w:val="0"/>
            <w:vAlign w:val="center"/>
          </w:tcPr>
          <w:p w14:paraId="78A72E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物料衡算法</w:t>
            </w:r>
          </w:p>
        </w:tc>
        <w:tc>
          <w:tcPr>
            <w:tcW w:w="590" w:type="pct"/>
            <w:tcBorders>
              <w:tl2br w:val="nil"/>
              <w:tr2bl w:val="nil"/>
            </w:tcBorders>
            <w:shd w:val="clear" w:color="auto" w:fill="FFFFFF"/>
            <w:noWrap w:val="0"/>
            <w:vAlign w:val="center"/>
          </w:tcPr>
          <w:p w14:paraId="41A0D4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0.1</w:t>
            </w:r>
          </w:p>
        </w:tc>
        <w:tc>
          <w:tcPr>
            <w:tcW w:w="1" w:type="pct"/>
            <w:tcBorders>
              <w:tl2br w:val="nil"/>
              <w:tr2bl w:val="nil"/>
            </w:tcBorders>
            <w:shd w:val="clear" w:color="auto" w:fill="FFFFFF"/>
            <w:noWrap w:val="0"/>
            <w:vAlign w:val="center"/>
          </w:tcPr>
          <w:p w14:paraId="06D25B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677" w:type="pct"/>
            <w:tcBorders>
              <w:tl2br w:val="nil"/>
              <w:tr2bl w:val="nil"/>
            </w:tcBorders>
            <w:shd w:val="clear" w:color="auto" w:fill="FFFFFF"/>
            <w:noWrap w:val="0"/>
            <w:vAlign w:val="center"/>
          </w:tcPr>
          <w:p w14:paraId="43E8B2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集中收集回用</w:t>
            </w:r>
          </w:p>
        </w:tc>
        <w:tc>
          <w:tcPr>
            <w:tcW w:w="546" w:type="pct"/>
            <w:tcBorders>
              <w:tl2br w:val="nil"/>
              <w:tr2bl w:val="nil"/>
            </w:tcBorders>
            <w:shd w:val="clear" w:color="auto" w:fill="FFFFFF"/>
            <w:noWrap w:val="0"/>
            <w:vAlign w:val="center"/>
          </w:tcPr>
          <w:p w14:paraId="052885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0.1</w:t>
            </w:r>
          </w:p>
        </w:tc>
        <w:tc>
          <w:tcPr>
            <w:tcW w:w="533" w:type="pct"/>
            <w:tcBorders>
              <w:tl2br w:val="nil"/>
              <w:tr2bl w:val="nil"/>
            </w:tcBorders>
            <w:shd w:val="clear" w:color="auto" w:fill="FFFFFF"/>
            <w:noWrap w:val="0"/>
            <w:vAlign w:val="center"/>
          </w:tcPr>
          <w:p w14:paraId="109195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pacing w:val="0"/>
                <w:sz w:val="21"/>
                <w:szCs w:val="21"/>
                <w:highlight w:val="none"/>
                <w:lang w:val="en-US" w:eastAsia="zh-CN"/>
              </w:rPr>
              <w:t>作为燃料入炉燃烧</w:t>
            </w:r>
          </w:p>
        </w:tc>
      </w:tr>
    </w:tbl>
    <w:p w14:paraId="072EE2CC">
      <w:pPr>
        <w:spacing w:line="500" w:lineRule="exact"/>
        <w:ind w:left="0" w:leftChars="0" w:firstLine="0" w:firstLineChars="0"/>
        <w:jc w:val="center"/>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表</w:t>
      </w:r>
      <w:r>
        <w:rPr>
          <w:rFonts w:hint="default" w:ascii="Times New Roman" w:hAnsi="Times New Roman" w:eastAsia="宋体" w:cs="Times New Roman"/>
          <w:bCs/>
          <w:color w:val="auto"/>
          <w:sz w:val="24"/>
          <w:szCs w:val="24"/>
          <w:highlight w:val="none"/>
          <w:lang w:val="en-US" w:eastAsia="zh-CN"/>
        </w:rPr>
        <w:t>4.3</w:t>
      </w:r>
      <w:r>
        <w:rPr>
          <w:rFonts w:hint="default"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lang w:val="en-US" w:eastAsia="zh-CN"/>
        </w:rPr>
        <w:t>5</w:t>
      </w:r>
      <w:r>
        <w:rPr>
          <w:rFonts w:hint="default" w:ascii="Times New Roman" w:hAnsi="Times New Roman" w:eastAsia="宋体" w:cs="Times New Roman"/>
          <w:bCs/>
          <w:color w:val="auto"/>
          <w:sz w:val="24"/>
          <w:szCs w:val="24"/>
          <w:highlight w:val="none"/>
        </w:rPr>
        <w:t xml:space="preserve">  本项目</w:t>
      </w:r>
      <w:r>
        <w:rPr>
          <w:rFonts w:hint="default" w:ascii="Times New Roman" w:hAnsi="Times New Roman" w:eastAsia="宋体" w:cs="Times New Roman"/>
          <w:bCs/>
          <w:color w:val="auto"/>
          <w:sz w:val="24"/>
          <w:szCs w:val="24"/>
          <w:highlight w:val="none"/>
          <w:lang w:val="en-US" w:eastAsia="zh-CN"/>
        </w:rPr>
        <w:t>全厂</w:t>
      </w:r>
      <w:r>
        <w:rPr>
          <w:rFonts w:hint="default" w:ascii="Times New Roman" w:hAnsi="Times New Roman" w:eastAsia="宋体" w:cs="Times New Roman"/>
          <w:bCs/>
          <w:color w:val="auto"/>
          <w:sz w:val="24"/>
          <w:szCs w:val="24"/>
          <w:highlight w:val="none"/>
        </w:rPr>
        <w:t>危险废物产生量及处置情况表</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34"/>
        <w:gridCol w:w="660"/>
        <w:gridCol w:w="863"/>
        <w:gridCol w:w="1338"/>
        <w:gridCol w:w="889"/>
        <w:gridCol w:w="692"/>
        <w:gridCol w:w="415"/>
        <w:gridCol w:w="669"/>
        <w:gridCol w:w="704"/>
        <w:gridCol w:w="716"/>
        <w:gridCol w:w="1341"/>
      </w:tblGrid>
      <w:tr w14:paraId="7A1B83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tcBorders>
              <w:tl2br w:val="nil"/>
              <w:tr2bl w:val="nil"/>
            </w:tcBorders>
            <w:noWrap w:val="0"/>
            <w:vAlign w:val="center"/>
          </w:tcPr>
          <w:p w14:paraId="274C524A">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序号</w:t>
            </w:r>
          </w:p>
        </w:tc>
        <w:tc>
          <w:tcPr>
            <w:tcW w:w="378" w:type="pct"/>
            <w:tcBorders>
              <w:tl2br w:val="nil"/>
              <w:tr2bl w:val="nil"/>
            </w:tcBorders>
            <w:noWrap w:val="0"/>
            <w:vAlign w:val="center"/>
          </w:tcPr>
          <w:p w14:paraId="76E5E59C">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危险废物名称</w:t>
            </w:r>
          </w:p>
        </w:tc>
        <w:tc>
          <w:tcPr>
            <w:tcW w:w="494" w:type="pct"/>
            <w:tcBorders>
              <w:tl2br w:val="nil"/>
              <w:tr2bl w:val="nil"/>
            </w:tcBorders>
            <w:noWrap w:val="0"/>
            <w:vAlign w:val="center"/>
          </w:tcPr>
          <w:p w14:paraId="76CA2100">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危险废物类别</w:t>
            </w:r>
          </w:p>
        </w:tc>
        <w:tc>
          <w:tcPr>
            <w:tcW w:w="767" w:type="pct"/>
            <w:tcBorders>
              <w:tl2br w:val="nil"/>
              <w:tr2bl w:val="nil"/>
            </w:tcBorders>
            <w:noWrap w:val="0"/>
            <w:vAlign w:val="center"/>
          </w:tcPr>
          <w:p w14:paraId="56969902">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危险废物</w:t>
            </w:r>
          </w:p>
          <w:p w14:paraId="05FCF7CF">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代码</w:t>
            </w:r>
          </w:p>
        </w:tc>
        <w:tc>
          <w:tcPr>
            <w:tcW w:w="509" w:type="pct"/>
            <w:tcBorders>
              <w:tl2br w:val="nil"/>
              <w:tr2bl w:val="nil"/>
            </w:tcBorders>
            <w:noWrap w:val="0"/>
            <w:vAlign w:val="center"/>
          </w:tcPr>
          <w:p w14:paraId="13ACF8FC">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产生量（</w:t>
            </w:r>
            <w:r>
              <w:rPr>
                <w:rFonts w:hint="default" w:ascii="Times New Roman" w:hAnsi="Times New Roman" w:eastAsia="宋体" w:cs="Times New Roman"/>
                <w:color w:val="auto"/>
                <w:sz w:val="21"/>
                <w:szCs w:val="21"/>
                <w:highlight w:val="none"/>
              </w:rPr>
              <w:t>t</w:t>
            </w:r>
            <w:r>
              <w:rPr>
                <w:rFonts w:hint="default" w:ascii="Times New Roman" w:hAnsi="Times New Roman" w:eastAsia="宋体" w:cs="Times New Roman"/>
                <w:color w:val="auto"/>
                <w:sz w:val="21"/>
                <w:szCs w:val="21"/>
                <w:highlight w:val="none"/>
                <w:lang w:val="en-GB"/>
              </w:rPr>
              <w:t>/</w:t>
            </w:r>
            <w:r>
              <w:rPr>
                <w:rFonts w:hint="default" w:ascii="Times New Roman" w:hAnsi="Times New Roman" w:eastAsia="宋体" w:cs="Times New Roman"/>
                <w:color w:val="auto"/>
                <w:sz w:val="21"/>
                <w:szCs w:val="21"/>
                <w:highlight w:val="none"/>
              </w:rPr>
              <w:t>a</w:t>
            </w:r>
            <w:r>
              <w:rPr>
                <w:rFonts w:hint="default" w:ascii="Times New Roman" w:hAnsi="Times New Roman" w:eastAsia="宋体" w:cs="Times New Roman"/>
                <w:color w:val="auto"/>
                <w:sz w:val="21"/>
                <w:szCs w:val="21"/>
                <w:highlight w:val="none"/>
                <w:lang w:val="en-GB"/>
              </w:rPr>
              <w:t>）</w:t>
            </w:r>
          </w:p>
        </w:tc>
        <w:tc>
          <w:tcPr>
            <w:tcW w:w="396" w:type="pct"/>
            <w:tcBorders>
              <w:tl2br w:val="nil"/>
              <w:tr2bl w:val="nil"/>
            </w:tcBorders>
            <w:noWrap w:val="0"/>
            <w:vAlign w:val="center"/>
          </w:tcPr>
          <w:p w14:paraId="51535F7C">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产生</w:t>
            </w:r>
          </w:p>
          <w:p w14:paraId="6C0031B4">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工序</w:t>
            </w:r>
          </w:p>
        </w:tc>
        <w:tc>
          <w:tcPr>
            <w:tcW w:w="237" w:type="pct"/>
            <w:tcBorders>
              <w:tl2br w:val="nil"/>
              <w:tr2bl w:val="nil"/>
            </w:tcBorders>
            <w:noWrap w:val="0"/>
            <w:vAlign w:val="center"/>
          </w:tcPr>
          <w:p w14:paraId="7D0A6F31">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形态</w:t>
            </w:r>
          </w:p>
        </w:tc>
        <w:tc>
          <w:tcPr>
            <w:tcW w:w="383" w:type="pct"/>
            <w:tcBorders>
              <w:tl2br w:val="nil"/>
              <w:tr2bl w:val="nil"/>
            </w:tcBorders>
            <w:noWrap w:val="0"/>
            <w:vAlign w:val="center"/>
          </w:tcPr>
          <w:p w14:paraId="585004E6">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主要</w:t>
            </w:r>
          </w:p>
          <w:p w14:paraId="0FEB9402">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成分</w:t>
            </w:r>
          </w:p>
        </w:tc>
        <w:tc>
          <w:tcPr>
            <w:tcW w:w="403" w:type="pct"/>
            <w:tcBorders>
              <w:tl2br w:val="nil"/>
              <w:tr2bl w:val="nil"/>
            </w:tcBorders>
            <w:noWrap w:val="0"/>
            <w:vAlign w:val="center"/>
          </w:tcPr>
          <w:p w14:paraId="782814BA">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产废</w:t>
            </w:r>
          </w:p>
          <w:p w14:paraId="6CAD0865">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周期</w:t>
            </w:r>
          </w:p>
        </w:tc>
        <w:tc>
          <w:tcPr>
            <w:tcW w:w="410" w:type="pct"/>
            <w:tcBorders>
              <w:tl2br w:val="nil"/>
              <w:tr2bl w:val="nil"/>
            </w:tcBorders>
            <w:noWrap w:val="0"/>
            <w:vAlign w:val="center"/>
          </w:tcPr>
          <w:p w14:paraId="41421B43">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危险</w:t>
            </w:r>
          </w:p>
          <w:p w14:paraId="4D2F4253">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特性</w:t>
            </w:r>
          </w:p>
        </w:tc>
        <w:tc>
          <w:tcPr>
            <w:tcW w:w="768" w:type="pct"/>
            <w:tcBorders>
              <w:tl2br w:val="nil"/>
              <w:tr2bl w:val="nil"/>
            </w:tcBorders>
            <w:noWrap w:val="0"/>
            <w:vAlign w:val="center"/>
          </w:tcPr>
          <w:p w14:paraId="3DC01F3E">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污染</w:t>
            </w:r>
          </w:p>
          <w:p w14:paraId="45B423C2">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GB"/>
              </w:rPr>
              <w:t>防治措施</w:t>
            </w:r>
          </w:p>
        </w:tc>
      </w:tr>
      <w:tr w14:paraId="08D954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 w:type="pct"/>
            <w:tcBorders>
              <w:tl2br w:val="nil"/>
              <w:tr2bl w:val="nil"/>
            </w:tcBorders>
            <w:noWrap w:val="0"/>
            <w:vAlign w:val="center"/>
          </w:tcPr>
          <w:p w14:paraId="4B3FBF06">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bookmarkStart w:id="322" w:name="_Toc14652"/>
            <w:bookmarkStart w:id="323" w:name="_Toc8371"/>
            <w:r>
              <w:rPr>
                <w:rFonts w:hint="eastAsia" w:ascii="Times New Roman" w:hAnsi="Times New Roman" w:eastAsia="宋体" w:cs="Times New Roman"/>
                <w:color w:val="auto"/>
                <w:sz w:val="21"/>
                <w:szCs w:val="21"/>
                <w:highlight w:val="none"/>
                <w:lang w:val="en-US" w:eastAsia="zh-CN"/>
              </w:rPr>
              <w:t>1</w:t>
            </w:r>
          </w:p>
        </w:tc>
        <w:tc>
          <w:tcPr>
            <w:tcW w:w="378" w:type="pct"/>
            <w:tcBorders>
              <w:tl2br w:val="nil"/>
              <w:tr2bl w:val="nil"/>
            </w:tcBorders>
            <w:noWrap w:val="0"/>
            <w:vAlign w:val="center"/>
          </w:tcPr>
          <w:p w14:paraId="65521C23">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废矿物油</w:t>
            </w:r>
          </w:p>
        </w:tc>
        <w:tc>
          <w:tcPr>
            <w:tcW w:w="494" w:type="pct"/>
            <w:tcBorders>
              <w:tl2br w:val="nil"/>
              <w:tr2bl w:val="nil"/>
            </w:tcBorders>
            <w:noWrap w:val="0"/>
            <w:vAlign w:val="center"/>
          </w:tcPr>
          <w:p w14:paraId="156598FC">
            <w:pPr>
              <w:keepNext w:val="0"/>
              <w:keepLines w:val="0"/>
              <w:pageBreakBefore w:val="0"/>
              <w:widowControl/>
              <w:suppressLineNumbers w:val="0"/>
              <w:kinsoku/>
              <w:wordWrap/>
              <w:overflowPunct/>
              <w:bidi w:val="0"/>
              <w:snapToGrid/>
              <w:spacing w:line="240" w:lineRule="auto"/>
              <w:ind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HW08</w:t>
            </w:r>
          </w:p>
          <w:p w14:paraId="2A21447B">
            <w:pPr>
              <w:keepNext w:val="0"/>
              <w:keepLines w:val="0"/>
              <w:pageBreakBefore w:val="0"/>
              <w:widowControl/>
              <w:suppressLineNumbers w:val="0"/>
              <w:kinsoku/>
              <w:wordWrap/>
              <w:overflowPunct/>
              <w:bidi w:val="0"/>
              <w:snapToGrid/>
              <w:spacing w:line="240" w:lineRule="auto"/>
              <w:ind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废矿物油与含矿物油废物</w:t>
            </w:r>
          </w:p>
        </w:tc>
        <w:tc>
          <w:tcPr>
            <w:tcW w:w="767" w:type="pct"/>
            <w:tcBorders>
              <w:tl2br w:val="nil"/>
              <w:tr2bl w:val="nil"/>
            </w:tcBorders>
            <w:noWrap w:val="0"/>
            <w:vAlign w:val="center"/>
          </w:tcPr>
          <w:p w14:paraId="05F1CBC8">
            <w:pPr>
              <w:keepNext w:val="0"/>
              <w:keepLines w:val="0"/>
              <w:pageBreakBefore w:val="0"/>
              <w:widowControl/>
              <w:suppressLineNumbers w:val="0"/>
              <w:kinsoku/>
              <w:wordWrap/>
              <w:overflowPunct/>
              <w:bidi w:val="0"/>
              <w:snapToGrid/>
              <w:spacing w:line="240" w:lineRule="auto"/>
              <w:ind w:firstLine="0" w:firstLineChars="0"/>
              <w:jc w:val="left"/>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非特定行业900-</w:t>
            </w:r>
            <w:r>
              <w:rPr>
                <w:rFonts w:hint="eastAsia" w:ascii="Times New Roman" w:hAnsi="Times New Roman" w:eastAsia="宋体" w:cs="Times New Roman"/>
                <w:bCs/>
                <w:color w:val="auto"/>
                <w:kern w:val="2"/>
                <w:sz w:val="21"/>
                <w:szCs w:val="21"/>
                <w:highlight w:val="none"/>
                <w:lang w:val="en-US" w:eastAsia="zh-CN" w:bidi="ar-SA"/>
              </w:rPr>
              <w:t>214</w:t>
            </w:r>
            <w:r>
              <w:rPr>
                <w:rFonts w:hint="default" w:ascii="Times New Roman" w:hAnsi="Times New Roman" w:eastAsia="宋体" w:cs="Times New Roman"/>
                <w:bCs/>
                <w:color w:val="auto"/>
                <w:kern w:val="2"/>
                <w:sz w:val="21"/>
                <w:szCs w:val="21"/>
                <w:highlight w:val="none"/>
                <w:lang w:val="en-US" w:eastAsia="zh-CN" w:bidi="ar-SA"/>
              </w:rPr>
              <w:t>-08车辆、轮船及其它机械维修过程中产生的废发动机油、制动器油、自动变速器油、齿轮油等废润滑油</w:t>
            </w:r>
          </w:p>
        </w:tc>
        <w:tc>
          <w:tcPr>
            <w:tcW w:w="509" w:type="pct"/>
            <w:tcBorders>
              <w:tl2br w:val="nil"/>
              <w:tr2bl w:val="nil"/>
            </w:tcBorders>
            <w:noWrap w:val="0"/>
            <w:vAlign w:val="center"/>
          </w:tcPr>
          <w:p w14:paraId="40E61382">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0.1</w:t>
            </w:r>
          </w:p>
        </w:tc>
        <w:tc>
          <w:tcPr>
            <w:tcW w:w="396" w:type="pct"/>
            <w:tcBorders>
              <w:tl2br w:val="nil"/>
              <w:tr2bl w:val="nil"/>
            </w:tcBorders>
            <w:noWrap w:val="0"/>
            <w:vAlign w:val="center"/>
          </w:tcPr>
          <w:p w14:paraId="5F707A74">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设备维修</w:t>
            </w:r>
          </w:p>
        </w:tc>
        <w:tc>
          <w:tcPr>
            <w:tcW w:w="237" w:type="pct"/>
            <w:tcBorders>
              <w:tl2br w:val="nil"/>
              <w:tr2bl w:val="nil"/>
            </w:tcBorders>
            <w:noWrap w:val="0"/>
            <w:vAlign w:val="center"/>
          </w:tcPr>
          <w:p w14:paraId="151B9045">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液态</w:t>
            </w:r>
          </w:p>
        </w:tc>
        <w:tc>
          <w:tcPr>
            <w:tcW w:w="383" w:type="pct"/>
            <w:tcBorders>
              <w:tl2br w:val="nil"/>
              <w:tr2bl w:val="nil"/>
            </w:tcBorders>
            <w:noWrap w:val="0"/>
            <w:vAlign w:val="center"/>
          </w:tcPr>
          <w:p w14:paraId="11124A59">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矿物油</w:t>
            </w:r>
          </w:p>
        </w:tc>
        <w:tc>
          <w:tcPr>
            <w:tcW w:w="403" w:type="pct"/>
            <w:tcBorders>
              <w:tl2br w:val="nil"/>
              <w:tr2bl w:val="nil"/>
            </w:tcBorders>
            <w:noWrap w:val="0"/>
            <w:vAlign w:val="center"/>
          </w:tcPr>
          <w:p w14:paraId="237B7C36">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1a</w:t>
            </w:r>
          </w:p>
        </w:tc>
        <w:tc>
          <w:tcPr>
            <w:tcW w:w="410" w:type="pct"/>
            <w:tcBorders>
              <w:tl2br w:val="nil"/>
              <w:tr2bl w:val="nil"/>
            </w:tcBorders>
            <w:noWrap w:val="0"/>
            <w:vAlign w:val="center"/>
          </w:tcPr>
          <w:p w14:paraId="341074E0">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毒性</w:t>
            </w:r>
          </w:p>
          <w:p w14:paraId="4B3C251B">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易燃性</w:t>
            </w:r>
          </w:p>
        </w:tc>
        <w:tc>
          <w:tcPr>
            <w:tcW w:w="768" w:type="pct"/>
            <w:tcBorders>
              <w:tl2br w:val="nil"/>
              <w:tr2bl w:val="nil"/>
            </w:tcBorders>
            <w:noWrap w:val="0"/>
            <w:vAlign w:val="center"/>
          </w:tcPr>
          <w:p w14:paraId="7C54AF2E">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暂存于</w:t>
            </w:r>
            <w:r>
              <w:rPr>
                <w:rFonts w:hint="eastAsia" w:ascii="Times New Roman" w:hAnsi="Times New Roman" w:eastAsia="宋体" w:cs="Times New Roman"/>
                <w:color w:val="auto"/>
                <w:sz w:val="21"/>
                <w:szCs w:val="21"/>
                <w:highlight w:val="none"/>
                <w:lang w:val="en-US" w:eastAsia="zh-CN"/>
              </w:rPr>
              <w:t>危</w:t>
            </w:r>
            <w:r>
              <w:rPr>
                <w:rFonts w:hint="default" w:ascii="Times New Roman" w:hAnsi="Times New Roman" w:eastAsia="宋体" w:cs="Times New Roman"/>
                <w:color w:val="auto"/>
                <w:sz w:val="21"/>
                <w:szCs w:val="21"/>
                <w:highlight w:val="none"/>
                <w:lang w:val="en-US" w:eastAsia="zh-CN"/>
              </w:rPr>
              <w:t>废贮存库，定期委托有资质单位处置</w:t>
            </w:r>
          </w:p>
        </w:tc>
      </w:tr>
    </w:tbl>
    <w:p w14:paraId="34A47AC3">
      <w:pPr>
        <w:pStyle w:val="4"/>
        <w:numPr>
          <w:ilvl w:val="1"/>
          <w:numId w:val="3"/>
        </w:numPr>
        <w:ind w:left="567" w:leftChars="0" w:hanging="567" w:firstLineChars="0"/>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清洁生产分析</w:t>
      </w:r>
      <w:bookmarkEnd w:id="322"/>
      <w:bookmarkEnd w:id="323"/>
    </w:p>
    <w:p w14:paraId="1A281C31">
      <w:pPr>
        <w:pStyle w:val="6"/>
        <w:numPr>
          <w:ilvl w:val="2"/>
          <w:numId w:val="3"/>
        </w:numPr>
        <w:ind w:left="709" w:leftChars="0" w:hanging="709"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清洁生产</w:t>
      </w:r>
      <w:r>
        <w:rPr>
          <w:rFonts w:hint="eastAsia" w:ascii="Times New Roman" w:hAnsi="Times New Roman" w:eastAsia="宋体" w:cs="Times New Roman"/>
          <w:color w:val="auto"/>
          <w:highlight w:val="none"/>
          <w:lang w:eastAsia="zh-CN"/>
        </w:rPr>
        <w:t>的内容</w:t>
      </w:r>
    </w:p>
    <w:p w14:paraId="65F7E85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default" w:ascii="Times New Roman" w:hAnsi="Times New Roman" w:eastAsia="宋体" w:cs="Times New Roman"/>
          <w:color w:val="auto"/>
          <w:spacing w:val="0"/>
          <w:sz w:val="24"/>
          <w:highlight w:val="none"/>
          <w:u w:val="none"/>
          <w:lang w:val="zh-CN" w:eastAsia="zh-CN"/>
        </w:rPr>
      </w:pPr>
      <w:r>
        <w:rPr>
          <w:rFonts w:hint="default" w:ascii="Times New Roman" w:hAnsi="Times New Roman" w:eastAsia="宋体" w:cs="Times New Roman"/>
          <w:color w:val="auto"/>
          <w:spacing w:val="0"/>
          <w:sz w:val="24"/>
          <w:highlight w:val="none"/>
          <w:u w:val="none"/>
          <w:lang w:val="zh-CN" w:eastAsia="zh-CN"/>
        </w:rPr>
        <w:t>清洁生产是将污染预防的方针持续应用于生产过程、产品和服务中，以减少对人类的危害。因此，将清洁生产纳入环境影响评价工作中，使环境影响评价内容更加完善，在预防和控制污染方面发挥更大的作用。</w:t>
      </w:r>
    </w:p>
    <w:p w14:paraId="373D80A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default" w:ascii="Times New Roman" w:hAnsi="Times New Roman" w:eastAsia="宋体" w:cs="Times New Roman"/>
          <w:color w:val="auto"/>
          <w:spacing w:val="0"/>
          <w:sz w:val="24"/>
          <w:highlight w:val="none"/>
          <w:u w:val="none"/>
          <w:lang w:val="zh-CN" w:eastAsia="zh-CN"/>
        </w:rPr>
      </w:pPr>
      <w:r>
        <w:rPr>
          <w:rFonts w:hint="default" w:ascii="Times New Roman" w:hAnsi="Times New Roman" w:eastAsia="宋体" w:cs="Times New Roman"/>
          <w:color w:val="auto"/>
          <w:spacing w:val="0"/>
          <w:sz w:val="24"/>
          <w:highlight w:val="none"/>
          <w:u w:val="none"/>
          <w:lang w:val="zh-CN" w:eastAsia="zh-CN"/>
        </w:rPr>
        <w:t>清洁生产追求的目标是在生产过程、产品的设计和开发以及服务过程中，充分提高效率，减少污染物的产生，从而达到环境效益和经济效益双赢，那些落后的技术工艺，陈旧的设备因不符合清洁生产的要求而被否定。</w:t>
      </w:r>
    </w:p>
    <w:p w14:paraId="29B1537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default" w:ascii="Times New Roman" w:hAnsi="Times New Roman" w:eastAsia="宋体" w:cs="Times New Roman"/>
          <w:color w:val="auto"/>
          <w:spacing w:val="0"/>
          <w:sz w:val="24"/>
          <w:highlight w:val="none"/>
          <w:u w:val="none"/>
          <w:lang w:val="zh-CN" w:eastAsia="zh-CN"/>
        </w:rPr>
      </w:pPr>
      <w:r>
        <w:rPr>
          <w:rFonts w:hint="default" w:ascii="Times New Roman" w:hAnsi="Times New Roman" w:eastAsia="宋体" w:cs="Times New Roman"/>
          <w:color w:val="auto"/>
          <w:spacing w:val="0"/>
          <w:sz w:val="24"/>
          <w:highlight w:val="none"/>
          <w:u w:val="none"/>
          <w:lang w:val="zh-CN" w:eastAsia="zh-CN"/>
        </w:rPr>
        <w:t>《中华人民共和国清洁生产促进法</w:t>
      </w:r>
      <w:r>
        <w:rPr>
          <w:rFonts w:hint="eastAsia" w:ascii="Times New Roman" w:hAnsi="Times New Roman" w:eastAsia="宋体" w:cs="Times New Roman"/>
          <w:color w:val="auto"/>
          <w:spacing w:val="0"/>
          <w:sz w:val="24"/>
          <w:highlight w:val="none"/>
          <w:u w:val="none"/>
          <w:lang w:val="zh-CN" w:eastAsia="zh-CN"/>
        </w:rPr>
        <w:t>》</w:t>
      </w:r>
      <w:r>
        <w:rPr>
          <w:rFonts w:hint="default" w:ascii="Times New Roman" w:hAnsi="Times New Roman" w:eastAsia="宋体" w:cs="Times New Roman"/>
          <w:color w:val="auto"/>
          <w:spacing w:val="0"/>
          <w:sz w:val="24"/>
          <w:highlight w:val="none"/>
          <w:u w:val="none"/>
          <w:lang w:val="zh-CN" w:eastAsia="zh-CN"/>
        </w:rPr>
        <w:t>第二条明确规定：清洁生产是指不断采取改进设计、使用清洁的能源和原料、采用先进的工艺技术和设备、改善管理、综合利用等措施，从源头削减污染，提高资源利用效率，减少或者消除对人类健康和环境的危害。第十八条规定：“新建、改建和扩建项目应当进行环境影响评价，对原料使用、资源消耗、资源综合利用以及污染物产生与处置等进行分析论证，优先采用资源利用率高以及污染物产生量少和清洁生产技术、工艺和设备。”</w:t>
      </w:r>
    </w:p>
    <w:p w14:paraId="62D3D489">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outlineLvl w:val="9"/>
        <w:rPr>
          <w:rFonts w:hint="default" w:ascii="Times New Roman" w:hAnsi="Times New Roman" w:cs="Times New Roman"/>
          <w:color w:val="auto"/>
          <w:spacing w:val="0"/>
          <w:sz w:val="24"/>
          <w:szCs w:val="28"/>
          <w:highlight w:val="none"/>
          <w:u w:val="none"/>
          <w:lang w:val="zh-CN"/>
        </w:rPr>
      </w:pPr>
      <w:r>
        <w:rPr>
          <w:rFonts w:hint="default" w:ascii="Times New Roman" w:hAnsi="Times New Roman" w:cs="Times New Roman"/>
          <w:color w:val="auto"/>
          <w:spacing w:val="0"/>
          <w:sz w:val="24"/>
          <w:szCs w:val="28"/>
          <w:highlight w:val="none"/>
          <w:u w:val="none"/>
          <w:lang w:val="zh-CN"/>
        </w:rPr>
        <w:t>环境保护总局环控</w:t>
      </w:r>
      <w:r>
        <w:rPr>
          <w:rFonts w:hint="eastAsia" w:ascii="Times New Roman" w:hAnsi="Times New Roman" w:cs="Times New Roman"/>
          <w:color w:val="auto"/>
          <w:spacing w:val="0"/>
          <w:sz w:val="24"/>
          <w:szCs w:val="28"/>
          <w:highlight w:val="none"/>
          <w:u w:val="none"/>
          <w:lang w:val="zh-CN"/>
        </w:rPr>
        <w:t>〔1997〕232号</w:t>
      </w:r>
      <w:r>
        <w:rPr>
          <w:rFonts w:hint="default" w:ascii="Times New Roman" w:hAnsi="Times New Roman" w:cs="Times New Roman"/>
          <w:color w:val="auto"/>
          <w:spacing w:val="0"/>
          <w:sz w:val="24"/>
          <w:szCs w:val="28"/>
          <w:highlight w:val="none"/>
          <w:u w:val="none"/>
          <w:lang w:val="zh-CN"/>
        </w:rPr>
        <w:t xml:space="preserve"> “关于推行清洁生产若干意见”中，明确提出建设项目的环境评价应包括清洁生产的内容；对于使用限期淘汰的落后工艺和设备，不符合清洁生产要求的建设项目，环境保护行政主管部门不得批准其立项，环境影响评价报告书所提出的清洁生产措施要与主体工程“同时设计、同时施工、同时投产”。</w:t>
      </w:r>
    </w:p>
    <w:p w14:paraId="39DB9450">
      <w:pPr>
        <w:snapToGrid w:val="0"/>
        <w:spacing w:line="500" w:lineRule="exact"/>
        <w:ind w:firstLine="480" w:firstLineChars="200"/>
        <w:rPr>
          <w:rFonts w:hint="default"/>
          <w:color w:val="auto"/>
          <w:highlight w:val="none"/>
        </w:rPr>
      </w:pPr>
      <w:r>
        <w:rPr>
          <w:color w:val="auto"/>
          <w:sz w:val="24"/>
          <w:highlight w:val="none"/>
        </w:rPr>
        <w:t>本工程为城市集中供热，</w:t>
      </w:r>
      <w:r>
        <w:rPr>
          <w:rFonts w:hint="default" w:ascii="Times New Roman" w:hAnsi="Times New Roman" w:cs="Times New Roman"/>
          <w:color w:val="auto"/>
          <w:sz w:val="24"/>
          <w:szCs w:val="24"/>
          <w:highlight w:val="none"/>
          <w:u w:val="none" w:color="auto"/>
          <w:lang w:val="en-US" w:eastAsia="zh-CN"/>
        </w:rPr>
        <w:t>属于</w:t>
      </w:r>
      <w:r>
        <w:rPr>
          <w:rFonts w:hint="eastAsia" w:ascii="Times New Roman" w:hAnsi="Times New Roman" w:cs="Times New Roman"/>
          <w:color w:val="auto"/>
          <w:sz w:val="24"/>
          <w:szCs w:val="24"/>
          <w:highlight w:val="none"/>
          <w:u w:val="none" w:color="auto"/>
          <w:lang w:val="en-US" w:eastAsia="zh-CN"/>
        </w:rPr>
        <w:t>《</w:t>
      </w:r>
      <w:r>
        <w:rPr>
          <w:rFonts w:hint="default" w:ascii="Times New Roman" w:hAnsi="Times New Roman" w:cs="Times New Roman"/>
          <w:color w:val="auto"/>
          <w:sz w:val="24"/>
          <w:szCs w:val="24"/>
          <w:highlight w:val="none"/>
          <w:u w:val="none" w:color="auto"/>
          <w:lang w:val="en-US" w:eastAsia="zh-CN"/>
        </w:rPr>
        <w:t>产业结构调整指导目录（2024年本）</w:t>
      </w:r>
      <w:r>
        <w:rPr>
          <w:rFonts w:hint="eastAsia" w:ascii="Times New Roman" w:hAnsi="Times New Roman" w:cs="Times New Roman"/>
          <w:color w:val="auto"/>
          <w:sz w:val="24"/>
          <w:szCs w:val="24"/>
          <w:highlight w:val="none"/>
          <w:u w:val="none" w:color="auto"/>
          <w:lang w:val="en-US" w:eastAsia="zh-CN"/>
        </w:rPr>
        <w:t>》（2024修订）中的“鼓励类”中“二十二、城镇基础设施-2、城镇集中供热建设和改造工程”，</w:t>
      </w:r>
      <w:r>
        <w:rPr>
          <w:color w:val="auto"/>
          <w:sz w:val="24"/>
          <w:highlight w:val="none"/>
        </w:rPr>
        <w:t>本工程从燃料选用到产品（热）出厂的全过程中全面贯彻清洁生产原则，十分重视燃料的选择、运输及贮存。采用的供热方式、采用的燃烧技术</w:t>
      </w:r>
      <w:r>
        <w:rPr>
          <w:rFonts w:hint="eastAsia"/>
          <w:color w:val="auto"/>
          <w:sz w:val="24"/>
          <w:highlight w:val="none"/>
          <w:lang w:eastAsia="zh-CN"/>
        </w:rPr>
        <w:t>均</w:t>
      </w:r>
      <w:r>
        <w:rPr>
          <w:color w:val="auto"/>
          <w:sz w:val="24"/>
          <w:highlight w:val="none"/>
        </w:rPr>
        <w:t>能够有效减少污染物的产生，本工程对生产废水进行处理后回用，并将所产生的灰渣作为综合利用的原料进行外售，使其能得到</w:t>
      </w:r>
      <w:r>
        <w:rPr>
          <w:rFonts w:hint="default" w:ascii="Times New Roman" w:hAnsi="Times New Roman" w:cs="Times New Roman"/>
          <w:color w:val="auto"/>
          <w:sz w:val="24"/>
          <w:highlight w:val="none"/>
        </w:rPr>
        <w:t>100%</w:t>
      </w:r>
      <w:r>
        <w:rPr>
          <w:color w:val="auto"/>
          <w:sz w:val="24"/>
          <w:highlight w:val="none"/>
        </w:rPr>
        <w:t>的利用，所有这些，均可进一步降低污染物的产生量。</w:t>
      </w:r>
    </w:p>
    <w:p w14:paraId="42F51333">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324" w:name="_Toc26077"/>
      <w:bookmarkStart w:id="325" w:name="_Toc28788"/>
      <w:bookmarkStart w:id="326" w:name="_Toc8641"/>
      <w:bookmarkStart w:id="327" w:name="_Toc105659914"/>
      <w:bookmarkStart w:id="328" w:name="_Toc107238131"/>
      <w:bookmarkStart w:id="329" w:name="_Toc30087"/>
      <w:r>
        <w:rPr>
          <w:rFonts w:hint="default" w:ascii="Times New Roman" w:hAnsi="Times New Roman" w:eastAsia="宋体" w:cs="Times New Roman"/>
          <w:color w:val="auto"/>
          <w:highlight w:val="none"/>
        </w:rPr>
        <w:t>清洁生产指标分析</w:t>
      </w:r>
      <w:bookmarkEnd w:id="324"/>
      <w:bookmarkEnd w:id="325"/>
      <w:bookmarkEnd w:id="326"/>
    </w:p>
    <w:bookmarkEnd w:id="327"/>
    <w:bookmarkEnd w:id="328"/>
    <w:bookmarkEnd w:id="329"/>
    <w:p w14:paraId="5A4B8958">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生产工艺与设备指标</w:t>
      </w:r>
    </w:p>
    <w:p w14:paraId="6F6F6729">
      <w:pPr>
        <w:ind w:firstLine="48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1.</w:t>
      </w:r>
      <w:r>
        <w:rPr>
          <w:rFonts w:hint="default" w:ascii="Times New Roman" w:hAnsi="Times New Roman" w:eastAsia="宋体" w:cs="Times New Roman"/>
          <w:color w:val="auto"/>
          <w:highlight w:val="none"/>
        </w:rPr>
        <w:t>生产工艺</w:t>
      </w:r>
    </w:p>
    <w:p w14:paraId="6B5066FF">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eastAsia="zh-CN"/>
        </w:rPr>
        <w:t>建设</w:t>
      </w:r>
      <w:r>
        <w:rPr>
          <w:rFonts w:hint="eastAsia"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台</w:t>
      </w:r>
      <w:r>
        <w:rPr>
          <w:rFonts w:hint="eastAsia" w:ascii="Times New Roman" w:hAnsi="Times New Roman" w:eastAsia="宋体" w:cs="Times New Roman"/>
          <w:color w:val="auto"/>
          <w:highlight w:val="none"/>
          <w:lang w:val="en-US" w:eastAsia="zh-CN"/>
        </w:rPr>
        <w:t>58MW往复炉排热水锅炉</w:t>
      </w:r>
      <w:r>
        <w:rPr>
          <w:rFonts w:hint="eastAsia" w:ascii="Times New Roman" w:hAnsi="Times New Roman" w:eastAsia="宋体" w:cs="Times New Roman"/>
          <w:color w:val="auto"/>
          <w:highlight w:val="none"/>
          <w:lang w:eastAsia="zh-CN"/>
        </w:rPr>
        <w:t>用于调峰供热</w:t>
      </w:r>
      <w:r>
        <w:rPr>
          <w:rFonts w:hint="default" w:ascii="Times New Roman" w:hAnsi="Times New Roman" w:eastAsia="宋体" w:cs="Times New Roman"/>
          <w:color w:val="auto"/>
          <w:highlight w:val="none"/>
        </w:rPr>
        <w:t>。以高效的大锅炉替代分散的小锅炉实现集中供热，可以大大提高能源利用效率，大幅度节约能源。项目符合</w:t>
      </w:r>
      <w:r>
        <w:rPr>
          <w:rFonts w:hint="eastAsia" w:ascii="Times New Roman" w:hAnsi="Times New Roman" w:eastAsia="宋体" w:cs="Times New Roman"/>
          <w:color w:val="auto"/>
          <w:highlight w:val="none"/>
          <w:lang w:val="en-US" w:eastAsia="zh-CN"/>
        </w:rPr>
        <w:t>佳木斯</w:t>
      </w:r>
      <w:r>
        <w:rPr>
          <w:rFonts w:hint="default" w:ascii="Times New Roman" w:hAnsi="Times New Roman" w:eastAsia="宋体" w:cs="Times New Roman"/>
          <w:color w:val="auto"/>
          <w:highlight w:val="none"/>
        </w:rPr>
        <w:t>市总体规划和可持续发展要求，可节约能源并改善该地区环境质量。采用</w:t>
      </w:r>
      <w:r>
        <w:rPr>
          <w:rFonts w:hint="eastAsia" w:ascii="Times New Roman" w:hAnsi="Times New Roman" w:eastAsia="宋体" w:cs="Times New Roman"/>
          <w:color w:val="auto"/>
          <w:highlight w:val="none"/>
          <w:lang w:eastAsia="zh-CN"/>
        </w:rPr>
        <w:t>炉内喷钙+氨法脱硫+SNCR+亚氯酸钠脱硝+袋式除尘器</w:t>
      </w:r>
      <w:r>
        <w:rPr>
          <w:rFonts w:hint="default" w:ascii="Times New Roman" w:hAnsi="Times New Roman" w:eastAsia="宋体" w:cs="Times New Roman"/>
          <w:color w:val="auto"/>
          <w:highlight w:val="none"/>
        </w:rPr>
        <w:t>，可有效</w:t>
      </w:r>
      <w:r>
        <w:rPr>
          <w:rFonts w:hint="eastAsia" w:ascii="Times New Roman" w:hAnsi="Times New Roman" w:eastAsia="宋体" w:cs="Times New Roman"/>
          <w:color w:val="auto"/>
          <w:highlight w:val="none"/>
          <w:lang w:eastAsia="zh-CN"/>
        </w:rPr>
        <w:t>脱除</w:t>
      </w:r>
      <w:r>
        <w:rPr>
          <w:rFonts w:hint="default" w:ascii="Times New Roman" w:hAnsi="Times New Roman" w:eastAsia="宋体" w:cs="Times New Roman"/>
          <w:color w:val="auto"/>
          <w:highlight w:val="none"/>
        </w:rPr>
        <w:t>烟气中的颗粒物和SO</w:t>
      </w:r>
      <w:r>
        <w:rPr>
          <w:rFonts w:hint="default" w:ascii="Times New Roman" w:hAnsi="Times New Roman" w:eastAsia="宋体" w:cs="Times New Roman"/>
          <w:color w:val="auto"/>
          <w:highlight w:val="none"/>
          <w:vertAlign w:val="subscript"/>
        </w:rPr>
        <w:t>2</w:t>
      </w:r>
      <w:r>
        <w:rPr>
          <w:rFonts w:hint="eastAsia" w:ascii="Times New Roman" w:hAnsi="Times New Roman" w:eastAsia="宋体" w:cs="Times New Roman"/>
          <w:color w:val="auto"/>
          <w:highlight w:val="none"/>
          <w:lang w:val="en-US" w:eastAsia="zh-CN"/>
        </w:rPr>
        <w:t>和</w:t>
      </w:r>
      <w:r>
        <w:rPr>
          <w:rFonts w:hint="default" w:ascii="Times New Roman" w:hAnsi="Times New Roman" w:eastAsia="宋体" w:cs="Times New Roman"/>
          <w:color w:val="auto"/>
          <w:highlight w:val="none"/>
        </w:rPr>
        <w:t>NO</w:t>
      </w:r>
      <w:r>
        <w:rPr>
          <w:rFonts w:hint="default" w:ascii="Times New Roman" w:hAnsi="Times New Roman" w:eastAsia="宋体" w:cs="Times New Roman"/>
          <w:color w:val="auto"/>
          <w:highlight w:val="none"/>
          <w:vertAlign w:val="subscript"/>
        </w:rPr>
        <w:t>X</w:t>
      </w:r>
      <w:r>
        <w:rPr>
          <w:rFonts w:hint="default" w:ascii="Times New Roman" w:hAnsi="Times New Roman" w:eastAsia="宋体" w:cs="Times New Roman"/>
          <w:color w:val="auto"/>
          <w:highlight w:val="none"/>
        </w:rPr>
        <w:t>。</w:t>
      </w:r>
    </w:p>
    <w:p w14:paraId="0A94AF22">
      <w:pPr>
        <w:ind w:firstLine="48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2.</w:t>
      </w:r>
      <w:r>
        <w:rPr>
          <w:rFonts w:hint="default" w:ascii="Times New Roman" w:hAnsi="Times New Roman" w:eastAsia="宋体" w:cs="Times New Roman"/>
          <w:color w:val="auto"/>
          <w:highlight w:val="none"/>
        </w:rPr>
        <w:t>设备</w:t>
      </w:r>
    </w:p>
    <w:p w14:paraId="7684A1CA">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燃煤采用带式输送机运输；封闭式</w:t>
      </w:r>
      <w:r>
        <w:rPr>
          <w:rFonts w:hint="default" w:ascii="Times New Roman" w:hAnsi="Times New Roman" w:eastAsia="宋体" w:cs="Times New Roman"/>
          <w:color w:val="auto"/>
          <w:highlight w:val="none"/>
          <w:lang w:val="en-US" w:eastAsia="zh-CN"/>
        </w:rPr>
        <w:t>渣库</w:t>
      </w:r>
      <w:r>
        <w:rPr>
          <w:rFonts w:hint="eastAsia" w:ascii="Times New Roman" w:hAnsi="Times New Roman" w:eastAsia="宋体" w:cs="Times New Roman"/>
          <w:color w:val="auto"/>
          <w:highlight w:val="none"/>
          <w:lang w:val="en-US" w:eastAsia="zh-CN"/>
        </w:rPr>
        <w:t>、灰库</w:t>
      </w:r>
      <w:r>
        <w:rPr>
          <w:rFonts w:hint="default" w:ascii="Times New Roman" w:hAnsi="Times New Roman" w:eastAsia="宋体" w:cs="Times New Roman"/>
          <w:color w:val="auto"/>
          <w:highlight w:val="none"/>
        </w:rPr>
        <w:t>，可有效地防止</w:t>
      </w:r>
      <w:r>
        <w:rPr>
          <w:rFonts w:hint="default" w:ascii="Times New Roman" w:hAnsi="Times New Roman" w:eastAsia="宋体" w:cs="Times New Roman"/>
          <w:color w:val="auto"/>
          <w:highlight w:val="none"/>
          <w:lang w:val="en-US" w:eastAsia="zh-CN"/>
        </w:rPr>
        <w:t>灰渣</w:t>
      </w:r>
      <w:r>
        <w:rPr>
          <w:rFonts w:hint="default" w:ascii="Times New Roman" w:hAnsi="Times New Roman" w:eastAsia="宋体" w:cs="Times New Roman"/>
          <w:color w:val="auto"/>
          <w:highlight w:val="none"/>
        </w:rPr>
        <w:t>的污染；选用容量和热效率大的锅炉；保证设备完好，有利于节能、降耗，为清洁生产提供了保证。</w:t>
      </w:r>
    </w:p>
    <w:p w14:paraId="24508E94">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资源能源利用指标</w:t>
      </w:r>
    </w:p>
    <w:p w14:paraId="64708872">
      <w:pPr>
        <w:ind w:firstLine="48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1.</w:t>
      </w:r>
      <w:r>
        <w:rPr>
          <w:rFonts w:hint="default" w:ascii="Times New Roman" w:hAnsi="Times New Roman" w:eastAsia="宋体" w:cs="Times New Roman"/>
          <w:color w:val="auto"/>
          <w:highlight w:val="none"/>
        </w:rPr>
        <w:t>节能分析</w:t>
      </w:r>
    </w:p>
    <w:p w14:paraId="623C4B03">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本项目考虑风机、水泵等机电设备的容量和负荷率，控制系统采用先进的分散式</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DCS</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控制系统，由计算机控制机组启停、进行数据处理和参数调整。本项目实施后，可减少烟尘、SO</w:t>
      </w:r>
      <w:r>
        <w:rPr>
          <w:rFonts w:hint="default" w:ascii="Times New Roman" w:hAnsi="Times New Roman" w:eastAsia="宋体" w:cs="Times New Roman"/>
          <w:color w:val="auto"/>
          <w:highlight w:val="none"/>
          <w:vertAlign w:val="subscript"/>
        </w:rPr>
        <w:t>2</w:t>
      </w:r>
      <w:r>
        <w:rPr>
          <w:rFonts w:hint="default" w:ascii="Times New Roman" w:hAnsi="Times New Roman" w:eastAsia="宋体" w:cs="Times New Roman"/>
          <w:color w:val="auto"/>
          <w:highlight w:val="none"/>
        </w:rPr>
        <w:t>、NO</w:t>
      </w:r>
      <w:r>
        <w:rPr>
          <w:rFonts w:hint="default" w:ascii="Times New Roman" w:hAnsi="Times New Roman" w:eastAsia="宋体" w:cs="Times New Roman"/>
          <w:color w:val="auto"/>
          <w:highlight w:val="none"/>
          <w:vertAlign w:val="subscript"/>
        </w:rPr>
        <w:t>X</w:t>
      </w:r>
      <w:r>
        <w:rPr>
          <w:rFonts w:hint="default" w:ascii="Times New Roman" w:hAnsi="Times New Roman" w:eastAsia="宋体" w:cs="Times New Roman"/>
          <w:color w:val="auto"/>
          <w:highlight w:val="none"/>
        </w:rPr>
        <w:t>的排放量，改善了大气环境质量，因而社会效益非常显著。集中供热为连续运行，供热介质参数稳定，产品质量也有很大提高。</w:t>
      </w:r>
    </w:p>
    <w:p w14:paraId="7F1F039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表4</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4-1  分散供热与集中供热的比较</w:t>
      </w:r>
    </w:p>
    <w:tbl>
      <w:tblPr>
        <w:tblStyle w:val="37"/>
        <w:tblW w:w="88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1"/>
        <w:gridCol w:w="3598"/>
        <w:gridCol w:w="4067"/>
      </w:tblGrid>
      <w:tr w14:paraId="3EAD6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91" w:type="dxa"/>
            <w:tcBorders>
              <w:top w:val="single" w:color="auto" w:sz="12" w:space="0"/>
              <w:left w:val="nil"/>
            </w:tcBorders>
            <w:noWrap w:val="0"/>
            <w:vAlign w:val="center"/>
          </w:tcPr>
          <w:p w14:paraId="79486FE7">
            <w:pPr>
              <w:pStyle w:val="63"/>
              <w:keepNext w:val="0"/>
              <w:keepLines w:val="0"/>
              <w:pageBreakBefore w:val="0"/>
              <w:widowControl w:val="0"/>
              <w:kinsoku/>
              <w:wordWrap/>
              <w:overflowPunct/>
              <w:topLinePunct w:val="0"/>
              <w:autoSpaceDE/>
              <w:autoSpaceDN/>
              <w:bidi w:val="0"/>
              <w:adjustRightInd w:val="0"/>
              <w:snapToGrid/>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参数</w:t>
            </w:r>
          </w:p>
        </w:tc>
        <w:tc>
          <w:tcPr>
            <w:tcW w:w="3598" w:type="dxa"/>
            <w:tcBorders>
              <w:top w:val="single" w:color="auto" w:sz="12" w:space="0"/>
            </w:tcBorders>
            <w:noWrap w:val="0"/>
            <w:vAlign w:val="center"/>
          </w:tcPr>
          <w:p w14:paraId="2D6FF3EA">
            <w:pPr>
              <w:pStyle w:val="63"/>
              <w:keepNext w:val="0"/>
              <w:keepLines w:val="0"/>
              <w:pageBreakBefore w:val="0"/>
              <w:widowControl w:val="0"/>
              <w:kinsoku/>
              <w:wordWrap/>
              <w:overflowPunct/>
              <w:topLinePunct w:val="0"/>
              <w:autoSpaceDE/>
              <w:autoSpaceDN/>
              <w:bidi w:val="0"/>
              <w:adjustRightInd w:val="0"/>
              <w:snapToGrid/>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分散供热</w:t>
            </w:r>
          </w:p>
        </w:tc>
        <w:tc>
          <w:tcPr>
            <w:tcW w:w="4067" w:type="dxa"/>
            <w:tcBorders>
              <w:top w:val="single" w:color="auto" w:sz="12" w:space="0"/>
              <w:right w:val="nil"/>
            </w:tcBorders>
            <w:noWrap w:val="0"/>
            <w:vAlign w:val="center"/>
          </w:tcPr>
          <w:p w14:paraId="7BB63962">
            <w:pPr>
              <w:pStyle w:val="63"/>
              <w:keepNext w:val="0"/>
              <w:keepLines w:val="0"/>
              <w:pageBreakBefore w:val="0"/>
              <w:widowControl w:val="0"/>
              <w:kinsoku/>
              <w:wordWrap/>
              <w:overflowPunct/>
              <w:topLinePunct w:val="0"/>
              <w:autoSpaceDE/>
              <w:autoSpaceDN/>
              <w:bidi w:val="0"/>
              <w:adjustRightInd w:val="0"/>
              <w:snapToGrid/>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集中供热（本项目数据）</w:t>
            </w:r>
          </w:p>
        </w:tc>
      </w:tr>
      <w:tr w14:paraId="0AC97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91" w:type="dxa"/>
            <w:tcBorders>
              <w:left w:val="nil"/>
            </w:tcBorders>
            <w:noWrap w:val="0"/>
            <w:vAlign w:val="center"/>
          </w:tcPr>
          <w:p w14:paraId="2D0CDCE6">
            <w:pPr>
              <w:pStyle w:val="63"/>
              <w:keepNext w:val="0"/>
              <w:keepLines w:val="0"/>
              <w:pageBreakBefore w:val="0"/>
              <w:widowControl w:val="0"/>
              <w:kinsoku/>
              <w:wordWrap/>
              <w:overflowPunct/>
              <w:topLinePunct w:val="0"/>
              <w:autoSpaceDE/>
              <w:autoSpaceDN/>
              <w:bidi w:val="0"/>
              <w:adjustRightInd w:val="0"/>
              <w:snapToGrid/>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锅炉容量</w:t>
            </w:r>
          </w:p>
        </w:tc>
        <w:tc>
          <w:tcPr>
            <w:tcW w:w="3598" w:type="dxa"/>
            <w:noWrap w:val="0"/>
            <w:vAlign w:val="center"/>
          </w:tcPr>
          <w:p w14:paraId="6674116D">
            <w:pPr>
              <w:pStyle w:val="63"/>
              <w:keepNext w:val="0"/>
              <w:keepLines w:val="0"/>
              <w:pageBreakBefore w:val="0"/>
              <w:widowControl w:val="0"/>
              <w:kinsoku/>
              <w:wordWrap/>
              <w:overflowPunct/>
              <w:topLinePunct w:val="0"/>
              <w:autoSpaceDE/>
              <w:autoSpaceDN/>
              <w:bidi w:val="0"/>
              <w:adjustRightInd w:val="0"/>
              <w:snapToGrid/>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小，2011年全国工业锅炉</w:t>
            </w:r>
          </w:p>
          <w:p w14:paraId="3F401F70">
            <w:pPr>
              <w:pStyle w:val="63"/>
              <w:keepNext w:val="0"/>
              <w:keepLines w:val="0"/>
              <w:pageBreakBefore w:val="0"/>
              <w:widowControl w:val="0"/>
              <w:kinsoku/>
              <w:wordWrap/>
              <w:overflowPunct/>
              <w:topLinePunct w:val="0"/>
              <w:autoSpaceDE/>
              <w:autoSpaceDN/>
              <w:bidi w:val="0"/>
              <w:adjustRightInd w:val="0"/>
              <w:snapToGrid/>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平均容量8.09t/h。</w:t>
            </w:r>
          </w:p>
        </w:tc>
        <w:tc>
          <w:tcPr>
            <w:tcW w:w="4067" w:type="dxa"/>
            <w:tcBorders>
              <w:right w:val="nil"/>
            </w:tcBorders>
            <w:noWrap w:val="0"/>
            <w:vAlign w:val="center"/>
          </w:tcPr>
          <w:p w14:paraId="25292561">
            <w:pPr>
              <w:pStyle w:val="63"/>
              <w:keepNext w:val="0"/>
              <w:keepLines w:val="0"/>
              <w:pageBreakBefore w:val="0"/>
              <w:widowControl w:val="0"/>
              <w:kinsoku/>
              <w:wordWrap/>
              <w:overflowPunct/>
              <w:topLinePunct w:val="0"/>
              <w:autoSpaceDE/>
              <w:autoSpaceDN/>
              <w:bidi w:val="0"/>
              <w:adjustRightInd w:val="0"/>
              <w:snapToGrid/>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大，</w:t>
            </w:r>
            <w:r>
              <w:rPr>
                <w:rFonts w:hint="eastAsia" w:ascii="Times New Roman" w:hAnsi="Times New Roman" w:eastAsia="宋体" w:cs="Times New Roman"/>
                <w:iCs/>
                <w:color w:val="auto"/>
                <w:sz w:val="21"/>
                <w:szCs w:val="21"/>
                <w:highlight w:val="none"/>
                <w:lang w:val="en-US" w:eastAsia="zh-CN"/>
              </w:rPr>
              <w:t>1</w:t>
            </w:r>
            <w:r>
              <w:rPr>
                <w:rFonts w:hint="default" w:ascii="Times New Roman" w:hAnsi="Times New Roman" w:eastAsia="宋体" w:cs="Times New Roman"/>
                <w:iCs/>
                <w:color w:val="auto"/>
                <w:sz w:val="21"/>
                <w:szCs w:val="21"/>
                <w:highlight w:val="none"/>
                <w:lang w:val="en-US" w:eastAsia="zh-CN"/>
              </w:rPr>
              <w:t>台</w:t>
            </w:r>
            <w:r>
              <w:rPr>
                <w:rFonts w:hint="eastAsia" w:ascii="Times New Roman" w:hAnsi="Times New Roman" w:eastAsia="宋体" w:cs="Times New Roman"/>
                <w:iCs/>
                <w:color w:val="auto"/>
                <w:sz w:val="21"/>
                <w:szCs w:val="21"/>
                <w:highlight w:val="none"/>
                <w:lang w:val="en-US" w:eastAsia="zh-CN"/>
              </w:rPr>
              <w:t>58MW往复炉排热水锅炉</w:t>
            </w:r>
            <w:r>
              <w:rPr>
                <w:rFonts w:hint="default" w:ascii="Times New Roman" w:hAnsi="Times New Roman" w:eastAsia="宋体" w:cs="Times New Roman"/>
                <w:color w:val="auto"/>
                <w:sz w:val="21"/>
                <w:szCs w:val="21"/>
                <w:highlight w:val="none"/>
              </w:rPr>
              <w:t>。</w:t>
            </w:r>
          </w:p>
        </w:tc>
      </w:tr>
      <w:tr w14:paraId="45115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91" w:type="dxa"/>
            <w:tcBorders>
              <w:left w:val="nil"/>
            </w:tcBorders>
            <w:noWrap w:val="0"/>
            <w:vAlign w:val="center"/>
          </w:tcPr>
          <w:p w14:paraId="76E7EF29">
            <w:pPr>
              <w:pStyle w:val="63"/>
              <w:keepNext w:val="0"/>
              <w:keepLines w:val="0"/>
              <w:pageBreakBefore w:val="0"/>
              <w:widowControl w:val="0"/>
              <w:kinsoku/>
              <w:wordWrap/>
              <w:overflowPunct/>
              <w:topLinePunct w:val="0"/>
              <w:autoSpaceDE/>
              <w:autoSpaceDN/>
              <w:bidi w:val="0"/>
              <w:adjustRightInd w:val="0"/>
              <w:snapToGrid/>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烟囱高度</w:t>
            </w:r>
          </w:p>
        </w:tc>
        <w:tc>
          <w:tcPr>
            <w:tcW w:w="3598" w:type="dxa"/>
            <w:noWrap w:val="0"/>
            <w:vAlign w:val="center"/>
          </w:tcPr>
          <w:p w14:paraId="7BF46A34">
            <w:pPr>
              <w:pStyle w:val="63"/>
              <w:keepNext w:val="0"/>
              <w:keepLines w:val="0"/>
              <w:pageBreakBefore w:val="0"/>
              <w:widowControl w:val="0"/>
              <w:kinsoku/>
              <w:wordWrap/>
              <w:overflowPunct/>
              <w:topLinePunct w:val="0"/>
              <w:autoSpaceDE/>
              <w:autoSpaceDN/>
              <w:bidi w:val="0"/>
              <w:adjustRightInd w:val="0"/>
              <w:snapToGrid/>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低，一般在40m以下。</w:t>
            </w:r>
          </w:p>
        </w:tc>
        <w:tc>
          <w:tcPr>
            <w:tcW w:w="4067" w:type="dxa"/>
            <w:tcBorders>
              <w:right w:val="nil"/>
            </w:tcBorders>
            <w:noWrap w:val="0"/>
            <w:vAlign w:val="center"/>
          </w:tcPr>
          <w:p w14:paraId="436887FC">
            <w:pPr>
              <w:pStyle w:val="63"/>
              <w:keepNext w:val="0"/>
              <w:keepLines w:val="0"/>
              <w:pageBreakBefore w:val="0"/>
              <w:widowControl w:val="0"/>
              <w:kinsoku/>
              <w:wordWrap/>
              <w:overflowPunct/>
              <w:topLinePunct w:val="0"/>
              <w:autoSpaceDE/>
              <w:autoSpaceDN/>
              <w:bidi w:val="0"/>
              <w:adjustRightInd w:val="0"/>
              <w:snapToGrid/>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高，</w:t>
            </w:r>
            <w:r>
              <w:rPr>
                <w:rFonts w:hint="eastAsia" w:ascii="Times New Roman" w:hAnsi="Times New Roman" w:eastAsia="宋体" w:cs="Times New Roman"/>
                <w:color w:val="auto"/>
                <w:sz w:val="21"/>
                <w:szCs w:val="21"/>
                <w:highlight w:val="none"/>
                <w:lang w:val="en-US" w:eastAsia="zh-CN"/>
              </w:rPr>
              <w:t>70</w:t>
            </w:r>
            <w:r>
              <w:rPr>
                <w:rFonts w:hint="default" w:ascii="Times New Roman" w:hAnsi="Times New Roman" w:eastAsia="宋体" w:cs="Times New Roman"/>
                <w:color w:val="auto"/>
                <w:sz w:val="21"/>
                <w:szCs w:val="21"/>
                <w:highlight w:val="none"/>
              </w:rPr>
              <w:t>m。</w:t>
            </w:r>
          </w:p>
        </w:tc>
      </w:tr>
      <w:tr w14:paraId="3F807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91" w:type="dxa"/>
            <w:tcBorders>
              <w:left w:val="nil"/>
            </w:tcBorders>
            <w:noWrap w:val="0"/>
            <w:vAlign w:val="center"/>
          </w:tcPr>
          <w:p w14:paraId="08D91825">
            <w:pPr>
              <w:pStyle w:val="63"/>
              <w:keepNext w:val="0"/>
              <w:keepLines w:val="0"/>
              <w:pageBreakBefore w:val="0"/>
              <w:widowControl w:val="0"/>
              <w:kinsoku/>
              <w:wordWrap/>
              <w:overflowPunct/>
              <w:topLinePunct w:val="0"/>
              <w:autoSpaceDE/>
              <w:autoSpaceDN/>
              <w:bidi w:val="0"/>
              <w:adjustRightInd w:val="0"/>
              <w:snapToGrid/>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热效率</w:t>
            </w:r>
          </w:p>
        </w:tc>
        <w:tc>
          <w:tcPr>
            <w:tcW w:w="3598" w:type="dxa"/>
            <w:noWrap w:val="0"/>
            <w:vAlign w:val="center"/>
          </w:tcPr>
          <w:p w14:paraId="2F53F676">
            <w:pPr>
              <w:pStyle w:val="63"/>
              <w:keepNext w:val="0"/>
              <w:keepLines w:val="0"/>
              <w:pageBreakBefore w:val="0"/>
              <w:widowControl w:val="0"/>
              <w:kinsoku/>
              <w:wordWrap/>
              <w:overflowPunct/>
              <w:topLinePunct w:val="0"/>
              <w:autoSpaceDE/>
              <w:autoSpaceDN/>
              <w:bidi w:val="0"/>
              <w:adjustRightInd w:val="0"/>
              <w:snapToGrid/>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低，一般为65%。</w:t>
            </w:r>
          </w:p>
        </w:tc>
        <w:tc>
          <w:tcPr>
            <w:tcW w:w="4067" w:type="dxa"/>
            <w:tcBorders>
              <w:right w:val="nil"/>
            </w:tcBorders>
            <w:noWrap w:val="0"/>
            <w:vAlign w:val="center"/>
          </w:tcPr>
          <w:p w14:paraId="7C2B0C2E">
            <w:pPr>
              <w:pStyle w:val="63"/>
              <w:keepNext w:val="0"/>
              <w:keepLines w:val="0"/>
              <w:pageBreakBefore w:val="0"/>
              <w:widowControl w:val="0"/>
              <w:kinsoku/>
              <w:wordWrap/>
              <w:overflowPunct/>
              <w:topLinePunct w:val="0"/>
              <w:autoSpaceDE/>
              <w:autoSpaceDN/>
              <w:bidi w:val="0"/>
              <w:adjustRightInd w:val="0"/>
              <w:snapToGrid/>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高，</w:t>
            </w:r>
            <w:r>
              <w:rPr>
                <w:rFonts w:hint="eastAsia" w:ascii="Times New Roman" w:hAnsi="Times New Roman" w:eastAsia="宋体" w:cs="Times New Roman"/>
                <w:color w:val="auto"/>
                <w:sz w:val="21"/>
                <w:szCs w:val="21"/>
                <w:highlight w:val="none"/>
                <w:lang w:val="en-US" w:eastAsia="zh-CN"/>
              </w:rPr>
              <w:t>80</w:t>
            </w:r>
            <w:r>
              <w:rPr>
                <w:rFonts w:hint="default"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eastAsia="zh-CN"/>
              </w:rPr>
              <w:t>以上</w:t>
            </w:r>
            <w:r>
              <w:rPr>
                <w:rFonts w:hint="default" w:ascii="Times New Roman" w:hAnsi="Times New Roman" w:eastAsia="宋体" w:cs="Times New Roman"/>
                <w:color w:val="auto"/>
                <w:sz w:val="21"/>
                <w:szCs w:val="21"/>
                <w:highlight w:val="none"/>
              </w:rPr>
              <w:t>。</w:t>
            </w:r>
          </w:p>
        </w:tc>
      </w:tr>
      <w:tr w14:paraId="7C392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91" w:type="dxa"/>
            <w:tcBorders>
              <w:left w:val="nil"/>
              <w:bottom w:val="single" w:color="auto" w:sz="12" w:space="0"/>
            </w:tcBorders>
            <w:noWrap w:val="0"/>
            <w:vAlign w:val="center"/>
          </w:tcPr>
          <w:p w14:paraId="31EEE304">
            <w:pPr>
              <w:pStyle w:val="63"/>
              <w:keepNext w:val="0"/>
              <w:keepLines w:val="0"/>
              <w:pageBreakBefore w:val="0"/>
              <w:widowControl w:val="0"/>
              <w:kinsoku/>
              <w:wordWrap/>
              <w:overflowPunct/>
              <w:topLinePunct w:val="0"/>
              <w:autoSpaceDE/>
              <w:autoSpaceDN/>
              <w:bidi w:val="0"/>
              <w:adjustRightInd w:val="0"/>
              <w:snapToGrid/>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除尘效率</w:t>
            </w:r>
          </w:p>
        </w:tc>
        <w:tc>
          <w:tcPr>
            <w:tcW w:w="3598" w:type="dxa"/>
            <w:tcBorders>
              <w:bottom w:val="single" w:color="auto" w:sz="12" w:space="0"/>
            </w:tcBorders>
            <w:noWrap w:val="0"/>
            <w:vAlign w:val="center"/>
          </w:tcPr>
          <w:p w14:paraId="2BAC4165">
            <w:pPr>
              <w:pStyle w:val="63"/>
              <w:keepNext w:val="0"/>
              <w:keepLines w:val="0"/>
              <w:pageBreakBefore w:val="0"/>
              <w:widowControl w:val="0"/>
              <w:kinsoku/>
              <w:wordWrap/>
              <w:overflowPunct/>
              <w:topLinePunct w:val="0"/>
              <w:autoSpaceDE/>
              <w:autoSpaceDN/>
              <w:bidi w:val="0"/>
              <w:adjustRightInd w:val="0"/>
              <w:snapToGrid/>
              <w:jc w:val="center"/>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低，很多小锅炉房</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无正规除尘设备。</w:t>
            </w:r>
          </w:p>
        </w:tc>
        <w:tc>
          <w:tcPr>
            <w:tcW w:w="4067" w:type="dxa"/>
            <w:tcBorders>
              <w:bottom w:val="single" w:color="auto" w:sz="12" w:space="0"/>
              <w:right w:val="nil"/>
            </w:tcBorders>
            <w:noWrap w:val="0"/>
            <w:vAlign w:val="center"/>
          </w:tcPr>
          <w:p w14:paraId="313C6D18">
            <w:pPr>
              <w:pStyle w:val="63"/>
              <w:keepNext w:val="0"/>
              <w:keepLines w:val="0"/>
              <w:pageBreakBefore w:val="0"/>
              <w:widowControl w:val="0"/>
              <w:kinsoku/>
              <w:wordWrap/>
              <w:overflowPunct/>
              <w:topLinePunct w:val="0"/>
              <w:autoSpaceDE/>
              <w:autoSpaceDN/>
              <w:bidi w:val="0"/>
              <w:adjustRightInd w:val="0"/>
              <w:snapToGrid/>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高，除尘效率≥</w:t>
            </w:r>
            <w:r>
              <w:rPr>
                <w:rFonts w:hint="default" w:ascii="Times New Roman" w:hAnsi="Times New Roman" w:eastAsia="宋体" w:cs="Times New Roman"/>
                <w:color w:val="auto"/>
                <w:sz w:val="21"/>
                <w:szCs w:val="21"/>
                <w:highlight w:val="none"/>
                <w:lang w:val="en-US" w:eastAsia="zh-CN"/>
              </w:rPr>
              <w:t>99.9</w:t>
            </w:r>
            <w:r>
              <w:rPr>
                <w:rFonts w:hint="default" w:ascii="Times New Roman" w:hAnsi="Times New Roman" w:eastAsia="宋体" w:cs="Times New Roman"/>
                <w:color w:val="auto"/>
                <w:sz w:val="21"/>
                <w:szCs w:val="21"/>
                <w:highlight w:val="none"/>
              </w:rPr>
              <w:t>%、脱硫效率≥</w:t>
            </w:r>
            <w:r>
              <w:rPr>
                <w:rFonts w:hint="eastAsia" w:ascii="Times New Roman" w:hAnsi="Times New Roman" w:eastAsia="宋体" w:cs="Times New Roman"/>
                <w:color w:val="auto"/>
                <w:sz w:val="21"/>
                <w:szCs w:val="21"/>
                <w:highlight w:val="none"/>
                <w:lang w:val="en-US" w:eastAsia="zh-CN"/>
              </w:rPr>
              <w:t>95</w:t>
            </w:r>
            <w:r>
              <w:rPr>
                <w:rFonts w:hint="default" w:ascii="Times New Roman" w:hAnsi="Times New Roman" w:eastAsia="宋体" w:cs="Times New Roman"/>
                <w:color w:val="auto"/>
                <w:sz w:val="21"/>
                <w:szCs w:val="21"/>
                <w:highlight w:val="none"/>
              </w:rPr>
              <w:t>%</w:t>
            </w:r>
          </w:p>
        </w:tc>
      </w:tr>
    </w:tbl>
    <w:p w14:paraId="321587E6">
      <w:pPr>
        <w:ind w:firstLine="48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2.</w:t>
      </w:r>
      <w:r>
        <w:rPr>
          <w:rFonts w:hint="default" w:ascii="Times New Roman" w:hAnsi="Times New Roman" w:eastAsia="宋体" w:cs="Times New Roman"/>
          <w:color w:val="auto"/>
          <w:highlight w:val="none"/>
        </w:rPr>
        <w:t>节水分析</w:t>
      </w:r>
    </w:p>
    <w:p w14:paraId="6FB10722">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本项目通过加强水务管理，统一调度，综合平衡和全面规划供、用、排、处理水的各项设计，达到一水多用。</w:t>
      </w:r>
      <w:r>
        <w:rPr>
          <w:rFonts w:hint="default" w:ascii="Times New Roman" w:hAnsi="Times New Roman" w:eastAsia="宋体" w:cs="Times New Roman"/>
          <w:color w:val="auto"/>
          <w:sz w:val="24"/>
          <w:szCs w:val="24"/>
          <w:highlight w:val="none"/>
          <w:lang w:val="en-US" w:eastAsia="zh-CN"/>
        </w:rPr>
        <w:t>锅炉用水来自</w:t>
      </w:r>
      <w:r>
        <w:rPr>
          <w:rFonts w:hint="eastAsia" w:ascii="Times New Roman" w:hAnsi="Times New Roman" w:eastAsia="宋体" w:cs="Times New Roman"/>
          <w:color w:val="auto"/>
          <w:sz w:val="24"/>
          <w:szCs w:val="24"/>
          <w:highlight w:val="none"/>
          <w:lang w:val="en-US" w:eastAsia="zh-CN"/>
        </w:rPr>
        <w:t>佳木斯中恒热电有限公司</w:t>
      </w:r>
      <w:r>
        <w:rPr>
          <w:rFonts w:hint="default" w:ascii="Times New Roman" w:hAnsi="Times New Roman" w:eastAsia="宋体" w:cs="Times New Roman"/>
          <w:color w:val="auto"/>
          <w:sz w:val="24"/>
          <w:szCs w:val="24"/>
          <w:highlight w:val="none"/>
          <w:lang w:val="en-US" w:eastAsia="zh-CN"/>
        </w:rPr>
        <w:t>主热源</w:t>
      </w:r>
      <w:r>
        <w:rPr>
          <w:rFonts w:hint="eastAsia" w:ascii="Times New Roman" w:hAnsi="Times New Roman" w:eastAsia="宋体" w:cs="Times New Roman"/>
          <w:color w:val="auto"/>
          <w:sz w:val="24"/>
          <w:szCs w:val="24"/>
          <w:highlight w:val="none"/>
          <w:lang w:val="en-US" w:eastAsia="zh-CN"/>
        </w:rPr>
        <w:t>现有制</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补水系统，</w:t>
      </w:r>
      <w:r>
        <w:rPr>
          <w:rFonts w:hint="default" w:ascii="Times New Roman" w:hAnsi="Times New Roman" w:eastAsia="宋体" w:cs="Times New Roman"/>
          <w:color w:val="auto"/>
          <w:sz w:val="24"/>
          <w:szCs w:val="24"/>
          <w:highlight w:val="none"/>
          <w:lang w:val="en-US" w:eastAsia="zh-CN"/>
        </w:rPr>
        <w:t>本项目产生的生产废水全部回用，不外排。脱硫废水经曝气、沉淀后用于脱硝补水和输煤系统除尘、除渣用水。含煤废水经厂区内现有污水处理间处理，处理工艺为过滤+沉淀+气浮，处理后的废水进入地下水池回用。锅炉排污水、软化水处理废水、处理后的含煤废水用于输煤栈桥冲洗、输煤系统除尘水、</w:t>
      </w:r>
      <w:r>
        <w:rPr>
          <w:rFonts w:hint="eastAsia" w:ascii="Times New Roman" w:hAnsi="Times New Roman" w:eastAsia="宋体" w:cs="Times New Roman"/>
          <w:color w:val="auto"/>
          <w:sz w:val="24"/>
          <w:szCs w:val="24"/>
          <w:highlight w:val="none"/>
          <w:lang w:val="en-US" w:eastAsia="zh-CN"/>
        </w:rPr>
        <w:t>渣库降尘等工序</w:t>
      </w:r>
      <w:r>
        <w:rPr>
          <w:rFonts w:hint="default" w:ascii="Times New Roman" w:hAnsi="Times New Roman" w:eastAsia="宋体" w:cs="Times New Roman"/>
          <w:color w:val="auto"/>
          <w:sz w:val="24"/>
          <w:szCs w:val="24"/>
          <w:highlight w:val="none"/>
          <w:lang w:val="en-US" w:eastAsia="zh-CN"/>
        </w:rPr>
        <w:t>，不外排</w:t>
      </w:r>
      <w:r>
        <w:rPr>
          <w:rFonts w:hint="default" w:ascii="Times New Roman" w:hAnsi="Times New Roman" w:eastAsia="宋体" w:cs="Times New Roman"/>
          <w:color w:val="auto"/>
          <w:highlight w:val="none"/>
        </w:rPr>
        <w:t>。</w:t>
      </w:r>
    </w:p>
    <w:p w14:paraId="484A7E34">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环境管理要求</w:t>
      </w:r>
    </w:p>
    <w:p w14:paraId="150B5178">
      <w:pPr>
        <w:snapToGrid w:val="0"/>
        <w:spacing w:line="500" w:lineRule="exact"/>
        <w:ind w:firstLine="480" w:firstLineChars="200"/>
        <w:rPr>
          <w:color w:val="auto"/>
          <w:sz w:val="24"/>
          <w:highlight w:val="none"/>
        </w:rPr>
      </w:pPr>
      <w:r>
        <w:rPr>
          <w:color w:val="auto"/>
          <w:sz w:val="24"/>
          <w:highlight w:val="none"/>
        </w:rPr>
        <w:t>加强源头控制、全过程管理，建立健全原材料质检制度和原材料消耗定额管理制度，并建立能耗、水耗考核制度。对燃煤供应商和综合利用方要进行相关管理，保证提供符合要求的燃料，保证灰渣处置全过程符合环保要求，不产生二次污染。在企业内部要建立清洁生产审核制度，并把其成果及时纳入企业的日常管理轨道，形成制度化，做到规范化。按照</w:t>
      </w:r>
      <w:r>
        <w:rPr>
          <w:rFonts w:hint="default" w:ascii="Times New Roman" w:hAnsi="Times New Roman" w:cs="Times New Roman"/>
          <w:color w:val="auto"/>
          <w:sz w:val="24"/>
          <w:highlight w:val="none"/>
        </w:rPr>
        <w:t>ISO14000</w:t>
      </w:r>
      <w:r>
        <w:rPr>
          <w:color w:val="auto"/>
          <w:sz w:val="24"/>
          <w:highlight w:val="none"/>
        </w:rPr>
        <w:t>建立并运行环境管理体系，环境管理手册、程序文件及作业文件健全。建立企业清洁生产组织，明确领导及员工在清洁生产工作中的职责，建立清洁生产激励机制。及时调查跟踪了解供热行业最先进的燃烧技术和资源化技术等，最大限度地利用现代化高科技成果来持续改进生产设备，提高生产效率，增强市场竞争力，进一步降低供热成本和环境负荷，保护环境。</w:t>
      </w:r>
    </w:p>
    <w:p w14:paraId="2CF5C594">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本项目投产后，建立一整套完善的现场运行、维护和管理的规章制度，并严格执行；重视对除尘器运行、维修人员的培训，并使之制度化</w:t>
      </w:r>
      <w:r>
        <w:rPr>
          <w:rFonts w:hint="eastAsia" w:ascii="Times New Roman" w:hAnsi="Times New Roman" w:eastAsia="宋体" w:cs="Times New Roman"/>
          <w:color w:val="auto"/>
          <w:highlight w:val="none"/>
          <w:lang w:eastAsia="zh-CN"/>
        </w:rPr>
        <w:t>；对</w:t>
      </w:r>
      <w:r>
        <w:rPr>
          <w:rFonts w:hint="default" w:ascii="Times New Roman" w:hAnsi="Times New Roman" w:eastAsia="宋体" w:cs="Times New Roman"/>
          <w:color w:val="auto"/>
          <w:highlight w:val="none"/>
        </w:rPr>
        <w:t>除尘器的重要部件都建立完整的技术档案，严格检修周期，修必修好，勤维护保证设备的使用的条件，做好易损部件的备品备件工作；加强源头控制、全过程管理，建立健全原材料质检制度和原材料消耗定额管理制度，并建立能耗、水耗考核制度。</w:t>
      </w:r>
    </w:p>
    <w:p w14:paraId="1666B468">
      <w:pPr>
        <w:pStyle w:val="6"/>
        <w:numPr>
          <w:ilvl w:val="2"/>
          <w:numId w:val="3"/>
        </w:numPr>
        <w:bidi w:val="0"/>
        <w:ind w:left="709" w:leftChars="0" w:hanging="709" w:firstLineChars="0"/>
        <w:rPr>
          <w:rFonts w:hint="default" w:ascii="Times New Roman" w:hAnsi="Times New Roman" w:eastAsia="宋体" w:cs="Times New Roman"/>
          <w:color w:val="auto"/>
          <w:highlight w:val="none"/>
        </w:rPr>
      </w:pPr>
      <w:bookmarkStart w:id="330" w:name="_Toc14260"/>
      <w:bookmarkStart w:id="331" w:name="_Toc24208"/>
      <w:bookmarkStart w:id="332" w:name="_Toc17275"/>
      <w:r>
        <w:rPr>
          <w:rFonts w:hint="default" w:ascii="Times New Roman" w:hAnsi="Times New Roman" w:eastAsia="宋体" w:cs="Times New Roman"/>
          <w:color w:val="auto"/>
          <w:highlight w:val="none"/>
        </w:rPr>
        <w:t>强化污染物的末端治理工程</w:t>
      </w:r>
      <w:bookmarkEnd w:id="330"/>
      <w:bookmarkEnd w:id="331"/>
      <w:bookmarkEnd w:id="332"/>
    </w:p>
    <w:p w14:paraId="0EB6BDB7">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本项目虽然在工艺设计中采用了先进的生产工艺及节能措施，但仍然有部分污染物排放，因此污染物的末端治理是清洁生产的必要途径。</w:t>
      </w:r>
    </w:p>
    <w:p w14:paraId="508E6A28">
      <w:pPr>
        <w:ind w:firstLine="48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1</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本项目锅炉烟气污染防治措施采用“</w:t>
      </w:r>
      <w:r>
        <w:rPr>
          <w:rFonts w:hint="eastAsia" w:ascii="Times New Roman" w:hAnsi="Times New Roman" w:eastAsia="宋体" w:cs="Times New Roman"/>
          <w:color w:val="auto"/>
          <w:highlight w:val="none"/>
          <w:lang w:val="en-US" w:eastAsia="zh-CN"/>
        </w:rPr>
        <w:t>炉内喷钙+氨法脱硫+SNCR+亚氯酸钠脱硝+袋式除尘器</w:t>
      </w:r>
      <w:r>
        <w:rPr>
          <w:rFonts w:hint="default" w:ascii="Times New Roman" w:hAnsi="Times New Roman" w:eastAsia="宋体" w:cs="Times New Roman"/>
          <w:color w:val="auto"/>
          <w:highlight w:val="none"/>
        </w:rPr>
        <w:t>”，布袋除尘器的除尘效率≥99.9</w:t>
      </w:r>
      <w:r>
        <w:rPr>
          <w:rFonts w:hint="eastAsia"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炉内喷钙+氨法脱硫</w:t>
      </w:r>
      <w:r>
        <w:rPr>
          <w:rFonts w:hint="default" w:ascii="Times New Roman" w:hAnsi="Times New Roman" w:eastAsia="宋体" w:cs="Times New Roman"/>
          <w:color w:val="auto"/>
          <w:highlight w:val="none"/>
        </w:rPr>
        <w:t>效率≥</w:t>
      </w:r>
      <w:r>
        <w:rPr>
          <w:rFonts w:hint="eastAsia" w:ascii="Times New Roman" w:hAnsi="Times New Roman" w:eastAsia="宋体" w:cs="Times New Roman"/>
          <w:color w:val="auto"/>
          <w:highlight w:val="none"/>
          <w:lang w:val="en-US" w:eastAsia="zh-CN"/>
        </w:rPr>
        <w:t>95</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SNCR+亚氯酸钠脱硝</w:t>
      </w:r>
      <w:r>
        <w:rPr>
          <w:rFonts w:hint="default" w:ascii="Times New Roman" w:hAnsi="Times New Roman" w:eastAsia="宋体" w:cs="Times New Roman"/>
          <w:color w:val="auto"/>
          <w:highlight w:val="none"/>
        </w:rPr>
        <w:t>效率≥</w:t>
      </w:r>
      <w:r>
        <w:rPr>
          <w:rFonts w:hint="eastAsia" w:ascii="Times New Roman" w:hAnsi="Times New Roman" w:eastAsia="宋体" w:cs="Times New Roman"/>
          <w:color w:val="auto"/>
          <w:highlight w:val="none"/>
          <w:lang w:val="en-US" w:eastAsia="zh-CN"/>
        </w:rPr>
        <w:t>88</w:t>
      </w:r>
      <w:r>
        <w:rPr>
          <w:rFonts w:hint="default" w:ascii="Times New Roman" w:hAnsi="Times New Roman" w:eastAsia="宋体" w:cs="Times New Roman"/>
          <w:color w:val="auto"/>
          <w:highlight w:val="none"/>
        </w:rPr>
        <w:t>%。锅炉烟气污染物排放浓度满足《关于印发</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全面实施燃煤电厂超低排放和节能改造工作方案</w:t>
      </w:r>
      <w:r>
        <w:rPr>
          <w:rFonts w:hint="eastAsia" w:ascii="Times New Roman" w:hAnsi="Times New Roman" w:eastAsia="宋体" w:cs="Times New Roman"/>
          <w:color w:val="auto"/>
          <w:highlight w:val="none"/>
          <w:lang w:eastAsia="zh-CN"/>
        </w:rPr>
        <w:t>〉的通知》</w:t>
      </w:r>
      <w:r>
        <w:rPr>
          <w:rFonts w:hint="default" w:ascii="Times New Roman" w:hAnsi="Times New Roman" w:eastAsia="宋体" w:cs="Times New Roman"/>
          <w:color w:val="auto"/>
          <w:highlight w:val="none"/>
        </w:rPr>
        <w:t>（环发</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2015</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164号）要求，达到超低排放限值要求，汞及其化合物排放浓度满足《锅炉大气污染物排放标准》（GB13271-2014）表2新建锅炉大气污染物排放浓度限值要求。</w:t>
      </w:r>
      <w:r>
        <w:rPr>
          <w:rFonts w:hint="eastAsia" w:ascii="Times New Roman" w:hAnsi="Times New Roman" w:eastAsia="宋体" w:cs="Times New Roman"/>
          <w:color w:val="auto"/>
          <w:highlight w:val="none"/>
          <w:lang w:eastAsia="zh-CN"/>
        </w:rPr>
        <w:t>储煤场</w:t>
      </w:r>
      <w:r>
        <w:rPr>
          <w:rFonts w:hint="default" w:ascii="Times New Roman" w:hAnsi="Times New Roman" w:eastAsia="宋体" w:cs="Times New Roman"/>
          <w:color w:val="auto"/>
          <w:highlight w:val="none"/>
        </w:rPr>
        <w:t>、输煤栈桥、渣仓设施均为密闭，</w:t>
      </w:r>
      <w:r>
        <w:rPr>
          <w:rFonts w:hint="eastAsia" w:ascii="Times New Roman" w:hAnsi="Times New Roman" w:eastAsia="宋体" w:cs="Times New Roman"/>
          <w:color w:val="auto"/>
          <w:highlight w:val="none"/>
          <w:lang w:val="en-US" w:eastAsia="zh-CN"/>
        </w:rPr>
        <w:t>生石灰</w:t>
      </w:r>
      <w:r>
        <w:rPr>
          <w:rFonts w:hint="default" w:ascii="Times New Roman" w:hAnsi="Times New Roman" w:eastAsia="宋体" w:cs="Times New Roman"/>
          <w:color w:val="auto"/>
          <w:highlight w:val="none"/>
          <w:lang w:val="en-US" w:eastAsia="zh-CN"/>
        </w:rPr>
        <w:t>料仓</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灰库</w:t>
      </w:r>
      <w:r>
        <w:rPr>
          <w:rFonts w:hint="eastAsia" w:ascii="Times New Roman" w:hAnsi="Times New Roman" w:eastAsia="宋体" w:cs="Times New Roman"/>
          <w:color w:val="auto"/>
          <w:highlight w:val="none"/>
          <w:lang w:val="en-US" w:eastAsia="zh-CN"/>
        </w:rPr>
        <w:t>分别设置</w:t>
      </w:r>
      <w:r>
        <w:rPr>
          <w:rFonts w:hint="default" w:ascii="Times New Roman" w:hAnsi="Times New Roman" w:eastAsia="宋体" w:cs="Times New Roman"/>
          <w:color w:val="auto"/>
          <w:highlight w:val="none"/>
          <w:lang w:val="en-US" w:eastAsia="zh-CN"/>
        </w:rPr>
        <w:t>1</w:t>
      </w:r>
      <w:r>
        <w:rPr>
          <w:rFonts w:hint="eastAsia" w:ascii="Times New Roman" w:hAnsi="Times New Roman" w:eastAsia="宋体" w:cs="Times New Roman"/>
          <w:color w:val="auto"/>
          <w:highlight w:val="none"/>
          <w:lang w:val="en-US" w:eastAsia="zh-CN"/>
        </w:rPr>
        <w:t>套</w:t>
      </w:r>
      <w:r>
        <w:rPr>
          <w:rFonts w:hint="default" w:ascii="Times New Roman" w:hAnsi="Times New Roman" w:eastAsia="宋体" w:cs="Times New Roman"/>
          <w:color w:val="auto"/>
          <w:highlight w:val="none"/>
          <w:lang w:val="en-US" w:eastAsia="zh-CN"/>
        </w:rPr>
        <w:t>布袋除尘器，处理后废气通过</w:t>
      </w:r>
      <w:r>
        <w:rPr>
          <w:rFonts w:hint="eastAsia" w:ascii="Times New Roman" w:hAnsi="Times New Roman" w:eastAsia="宋体" w:cs="Times New Roman"/>
          <w:color w:val="auto"/>
          <w:highlight w:val="none"/>
          <w:lang w:val="en-US" w:eastAsia="zh-CN"/>
        </w:rPr>
        <w:t>顶部</w:t>
      </w:r>
      <w:r>
        <w:rPr>
          <w:rFonts w:hint="default" w:ascii="Times New Roman" w:hAnsi="Times New Roman" w:eastAsia="宋体" w:cs="Times New Roman"/>
          <w:color w:val="auto"/>
          <w:highlight w:val="none"/>
          <w:lang w:val="en-US" w:eastAsia="zh-CN"/>
        </w:rPr>
        <w:t>排放，处理后废气通过库顶排放</w:t>
      </w:r>
      <w:r>
        <w:rPr>
          <w:rFonts w:hint="default" w:ascii="Times New Roman" w:hAnsi="Times New Roman" w:eastAsia="宋体" w:cs="Times New Roman"/>
          <w:color w:val="auto"/>
          <w:highlight w:val="none"/>
        </w:rPr>
        <w:t>产生的颗粒物</w:t>
      </w:r>
      <w:r>
        <w:rPr>
          <w:rFonts w:hint="eastAsia" w:ascii="Times New Roman" w:hAnsi="Times New Roman" w:eastAsia="宋体" w:cs="Times New Roman"/>
          <w:color w:val="auto"/>
          <w:highlight w:val="none"/>
          <w:lang w:val="en-US" w:eastAsia="zh-CN"/>
        </w:rPr>
        <w:t>排放浓度和排放速率</w:t>
      </w:r>
      <w:r>
        <w:rPr>
          <w:rFonts w:hint="default" w:ascii="Times New Roman" w:hAnsi="Times New Roman" w:eastAsia="宋体" w:cs="Times New Roman"/>
          <w:color w:val="auto"/>
          <w:highlight w:val="none"/>
        </w:rPr>
        <w:t>满足《大气污染物综合排放标准》（GB16297-1996）表2</w:t>
      </w:r>
      <w:r>
        <w:rPr>
          <w:rFonts w:hint="default" w:ascii="Times New Roman" w:hAnsi="Times New Roman" w:eastAsia="宋体" w:cs="Times New Roman"/>
          <w:color w:val="auto"/>
          <w:highlight w:val="none"/>
          <w:lang w:val="en-US" w:eastAsia="zh-CN"/>
        </w:rPr>
        <w:t>新污染源大气污染物排放限值</w:t>
      </w:r>
      <w:r>
        <w:rPr>
          <w:rFonts w:hint="default" w:ascii="Times New Roman" w:hAnsi="Times New Roman" w:eastAsia="宋体" w:cs="Times New Roman"/>
          <w:color w:val="auto"/>
          <w:highlight w:val="none"/>
        </w:rPr>
        <w:t>。无组织NH</w:t>
      </w:r>
      <w:r>
        <w:rPr>
          <w:rFonts w:hint="default" w:ascii="Times New Roman" w:hAnsi="Times New Roman" w:eastAsia="宋体" w:cs="Times New Roman"/>
          <w:color w:val="auto"/>
          <w:highlight w:val="none"/>
          <w:vertAlign w:val="subscript"/>
        </w:rPr>
        <w:t>3</w:t>
      </w:r>
      <w:r>
        <w:rPr>
          <w:rFonts w:hint="default" w:ascii="Times New Roman" w:hAnsi="Times New Roman" w:eastAsia="宋体" w:cs="Times New Roman"/>
          <w:color w:val="auto"/>
          <w:highlight w:val="none"/>
        </w:rPr>
        <w:t>厂界浓度满足《恶臭污染物排放标准》（GB14554-93）中表1恶臭污染物厂界标准值要求，即NH</w:t>
      </w:r>
      <w:r>
        <w:rPr>
          <w:rFonts w:hint="default" w:ascii="Times New Roman" w:hAnsi="Times New Roman" w:eastAsia="宋体" w:cs="Times New Roman"/>
          <w:color w:val="auto"/>
          <w:highlight w:val="none"/>
          <w:vertAlign w:val="subscript"/>
        </w:rPr>
        <w:t>3</w:t>
      </w:r>
      <w:r>
        <w:rPr>
          <w:rFonts w:hint="default" w:ascii="Times New Roman" w:hAnsi="Times New Roman" w:eastAsia="宋体" w:cs="Times New Roman"/>
          <w:color w:val="auto"/>
          <w:highlight w:val="none"/>
        </w:rPr>
        <w:t>厂界监控点浓度限值1.5mg/m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要求。</w:t>
      </w:r>
    </w:p>
    <w:p w14:paraId="4893F812">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（2）厂区生产废水</w:t>
      </w:r>
      <w:r>
        <w:rPr>
          <w:rFonts w:hint="eastAsia" w:ascii="Times New Roman" w:hAnsi="Times New Roman" w:eastAsia="宋体" w:cs="Times New Roman"/>
          <w:color w:val="auto"/>
          <w:highlight w:val="none"/>
          <w:lang w:eastAsia="zh-CN"/>
        </w:rPr>
        <w:t>全部回用</w:t>
      </w:r>
      <w:r>
        <w:rPr>
          <w:rFonts w:hint="default" w:ascii="Times New Roman" w:hAnsi="Times New Roman" w:eastAsia="宋体" w:cs="Times New Roman"/>
          <w:color w:val="auto"/>
          <w:sz w:val="24"/>
          <w:szCs w:val="24"/>
          <w:highlight w:val="none"/>
          <w:lang w:val="en-US" w:eastAsia="zh-CN"/>
        </w:rPr>
        <w:t>，不外排</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sz w:val="24"/>
          <w:szCs w:val="24"/>
          <w:highlight w:val="none"/>
          <w:lang w:val="en-US" w:eastAsia="zh-CN"/>
        </w:rPr>
        <w:t>锅炉用水来自</w:t>
      </w:r>
      <w:r>
        <w:rPr>
          <w:rFonts w:hint="eastAsia" w:ascii="Times New Roman" w:hAnsi="Times New Roman" w:eastAsia="宋体" w:cs="Times New Roman"/>
          <w:color w:val="auto"/>
          <w:sz w:val="24"/>
          <w:szCs w:val="24"/>
          <w:highlight w:val="none"/>
          <w:lang w:val="en-US" w:eastAsia="zh-CN"/>
        </w:rPr>
        <w:t>佳木斯中恒热电有限公司</w:t>
      </w:r>
      <w:r>
        <w:rPr>
          <w:rFonts w:hint="default" w:ascii="Times New Roman" w:hAnsi="Times New Roman" w:eastAsia="宋体" w:cs="Times New Roman"/>
          <w:color w:val="auto"/>
          <w:sz w:val="24"/>
          <w:szCs w:val="24"/>
          <w:highlight w:val="none"/>
          <w:lang w:val="en-US" w:eastAsia="zh-CN"/>
        </w:rPr>
        <w:t>主热源</w:t>
      </w:r>
      <w:r>
        <w:rPr>
          <w:rFonts w:hint="eastAsia" w:ascii="Times New Roman" w:hAnsi="Times New Roman" w:eastAsia="宋体" w:cs="Times New Roman"/>
          <w:color w:val="auto"/>
          <w:sz w:val="24"/>
          <w:szCs w:val="24"/>
          <w:highlight w:val="none"/>
          <w:lang w:val="en-US" w:eastAsia="zh-CN"/>
        </w:rPr>
        <w:t>现有制</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补水系统。</w:t>
      </w:r>
      <w:r>
        <w:rPr>
          <w:rFonts w:hint="default" w:ascii="Times New Roman" w:hAnsi="Times New Roman" w:eastAsia="宋体" w:cs="Times New Roman"/>
          <w:color w:val="auto"/>
          <w:sz w:val="24"/>
          <w:szCs w:val="24"/>
          <w:highlight w:val="none"/>
          <w:lang w:val="en-US" w:eastAsia="zh-CN"/>
        </w:rPr>
        <w:t>脱硫废水经曝气、沉淀后用于脱硝补水和输煤系统除尘、除渣用水。含煤废水经厂区内现有污水处理间处理，处理工艺为过滤+沉淀+气浮，处理后的废水进入地下水池回用。锅炉排污水、软化水处理废水、处理后的含煤废水用于输煤栈桥冲洗、输煤系统除尘水、</w:t>
      </w:r>
      <w:r>
        <w:rPr>
          <w:rFonts w:hint="eastAsia" w:ascii="Times New Roman" w:hAnsi="Times New Roman" w:eastAsia="宋体" w:cs="Times New Roman"/>
          <w:color w:val="auto"/>
          <w:sz w:val="24"/>
          <w:szCs w:val="24"/>
          <w:highlight w:val="none"/>
          <w:lang w:val="en-US" w:eastAsia="zh-CN"/>
        </w:rPr>
        <w:t>渣库降尘等工序</w:t>
      </w:r>
      <w:r>
        <w:rPr>
          <w:rFonts w:hint="default" w:ascii="Times New Roman" w:hAnsi="Times New Roman" w:eastAsia="宋体" w:cs="Times New Roman"/>
          <w:color w:val="auto"/>
          <w:sz w:val="24"/>
          <w:szCs w:val="24"/>
          <w:highlight w:val="none"/>
          <w:lang w:val="en-US" w:eastAsia="zh-CN"/>
        </w:rPr>
        <w:t>，不外排</w:t>
      </w:r>
      <w:r>
        <w:rPr>
          <w:rFonts w:hint="eastAsia" w:ascii="Times New Roman" w:hAnsi="Times New Roman" w:eastAsia="宋体" w:cs="Times New Roman"/>
          <w:color w:val="auto"/>
          <w:sz w:val="24"/>
          <w:szCs w:val="24"/>
          <w:highlight w:val="none"/>
          <w:lang w:val="en-US" w:eastAsia="zh-CN"/>
        </w:rPr>
        <w:t>。</w:t>
      </w:r>
    </w:p>
    <w:p w14:paraId="461F99CB">
      <w:pPr>
        <w:keepNext w:val="0"/>
        <w:keepLines w:val="0"/>
        <w:widowControl/>
        <w:suppressLineNumbers w:val="0"/>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厂区</w:t>
      </w:r>
      <w:r>
        <w:rPr>
          <w:rFonts w:hint="eastAsia" w:ascii="Times New Roman" w:hAnsi="Times New Roman" w:eastAsia="宋体" w:cs="Times New Roman"/>
          <w:color w:val="auto"/>
          <w:highlight w:val="none"/>
          <w:lang w:val="en-US" w:eastAsia="zh-CN"/>
        </w:rPr>
        <w:t>现有</w:t>
      </w:r>
      <w:r>
        <w:rPr>
          <w:rFonts w:hint="default" w:ascii="Times New Roman" w:hAnsi="Times New Roman" w:eastAsia="宋体" w:cs="Times New Roman"/>
          <w:color w:val="auto"/>
          <w:highlight w:val="none"/>
          <w:lang w:val="en-US" w:eastAsia="zh-CN"/>
        </w:rPr>
        <w:t>生活污水经市政污水管网排入</w:t>
      </w:r>
      <w:r>
        <w:rPr>
          <w:rFonts w:hint="eastAsia" w:ascii="Times New Roman" w:hAnsi="Times New Roman" w:eastAsia="宋体" w:cs="Times New Roman"/>
          <w:color w:val="auto"/>
          <w:highlight w:val="none"/>
          <w:lang w:val="en-US" w:eastAsia="zh-CN"/>
        </w:rPr>
        <w:t>佳木斯西区污水处理厂</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经处理后污水排放浓度达到《城镇污水处理厂污染物排放标准》（</w:t>
      </w:r>
      <w:r>
        <w:rPr>
          <w:rFonts w:hint="default" w:ascii="Times New Roman" w:hAnsi="Times New Roman" w:eastAsia="宋体" w:cs="Times New Roman"/>
          <w:color w:val="auto"/>
          <w:highlight w:val="none"/>
          <w:lang w:val="en-US" w:eastAsia="zh-CN"/>
        </w:rPr>
        <w:t>GB18918-2002</w:t>
      </w:r>
      <w:r>
        <w:rPr>
          <w:rFonts w:hint="eastAsia" w:ascii="Times New Roman" w:hAnsi="Times New Roman" w:eastAsia="宋体" w:cs="Times New Roman"/>
          <w:color w:val="auto"/>
          <w:highlight w:val="none"/>
          <w:lang w:val="en-US" w:eastAsia="zh-CN"/>
        </w:rPr>
        <w:t>）一级</w:t>
      </w:r>
      <w:r>
        <w:rPr>
          <w:rFonts w:hint="default" w:ascii="Times New Roman" w:hAnsi="Times New Roman" w:eastAsia="宋体" w:cs="Times New Roman"/>
          <w:color w:val="auto"/>
          <w:highlight w:val="none"/>
          <w:lang w:val="en-US" w:eastAsia="zh-CN"/>
        </w:rPr>
        <w:t>A</w:t>
      </w:r>
      <w:r>
        <w:rPr>
          <w:rFonts w:hint="eastAsia" w:ascii="Times New Roman" w:hAnsi="Times New Roman" w:eastAsia="宋体" w:cs="Times New Roman"/>
          <w:color w:val="auto"/>
          <w:highlight w:val="none"/>
          <w:lang w:val="en-US" w:eastAsia="zh-CN"/>
        </w:rPr>
        <w:t>标准后排放至松花江</w:t>
      </w:r>
      <w:r>
        <w:rPr>
          <w:rFonts w:hint="default" w:ascii="Times New Roman" w:hAnsi="Times New Roman" w:eastAsia="宋体" w:cs="Times New Roman"/>
          <w:color w:val="auto"/>
          <w:highlight w:val="none"/>
          <w:lang w:val="en-US" w:eastAsia="zh-CN"/>
        </w:rPr>
        <w:t>。</w:t>
      </w:r>
    </w:p>
    <w:p w14:paraId="465AD564">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（3）本项目各类设备噪声均得到有效控制，治理措施得当，从而使得厂界噪声符合相关标准要求。</w:t>
      </w:r>
    </w:p>
    <w:p w14:paraId="2C9F0B13">
      <w:pPr>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（4）本次不新增工作人员，不新增生活垃圾。</w:t>
      </w:r>
      <w:r>
        <w:rPr>
          <w:rFonts w:hint="default" w:ascii="Times New Roman" w:hAnsi="Times New Roman" w:eastAsia="宋体" w:cs="Times New Roman"/>
          <w:color w:val="auto"/>
          <w:highlight w:val="none"/>
          <w:lang w:eastAsia="zh-CN"/>
        </w:rPr>
        <w:t>本项目</w:t>
      </w:r>
      <w:r>
        <w:rPr>
          <w:rFonts w:hint="default" w:ascii="Times New Roman" w:hAnsi="Times New Roman" w:eastAsia="宋体" w:cs="Times New Roman"/>
          <w:color w:val="auto"/>
          <w:highlight w:val="none"/>
          <w:lang w:val="en-US" w:eastAsia="zh-CN"/>
        </w:rPr>
        <w:t>飞灰、炉渣外售综合利用；废布袋由厂家回收，不在厂区内堆存；</w:t>
      </w:r>
      <w:r>
        <w:rPr>
          <w:rFonts w:hint="eastAsia" w:ascii="Times New Roman" w:hAnsi="Times New Roman" w:eastAsia="宋体" w:cs="Times New Roman"/>
          <w:color w:val="auto"/>
          <w:highlight w:val="none"/>
          <w:lang w:val="en-US" w:eastAsia="zh-CN"/>
        </w:rPr>
        <w:t>灰库</w:t>
      </w:r>
      <w:r>
        <w:rPr>
          <w:rFonts w:hint="default" w:ascii="Times New Roman" w:hAnsi="Times New Roman" w:eastAsia="宋体" w:cs="Times New Roman"/>
          <w:color w:val="auto"/>
          <w:highlight w:val="none"/>
          <w:lang w:val="en-US" w:eastAsia="zh-CN"/>
        </w:rPr>
        <w:t>除尘器收尘外售综合利用；</w:t>
      </w:r>
      <w:r>
        <w:rPr>
          <w:rFonts w:hint="eastAsia" w:ascii="Times New Roman" w:hAnsi="Times New Roman" w:eastAsia="宋体" w:cs="Times New Roman"/>
          <w:color w:val="auto"/>
          <w:highlight w:val="none"/>
          <w:lang w:val="en-US" w:eastAsia="zh-CN"/>
        </w:rPr>
        <w:t>生石灰</w:t>
      </w:r>
      <w:r>
        <w:rPr>
          <w:rFonts w:hint="default" w:ascii="Times New Roman" w:hAnsi="Times New Roman" w:eastAsia="宋体" w:cs="Times New Roman"/>
          <w:color w:val="auto"/>
          <w:highlight w:val="none"/>
          <w:lang w:val="en-US" w:eastAsia="zh-CN"/>
        </w:rPr>
        <w:t>粉仓除尘器收尘回用于脱硫工序；碎煤机除尘器收尘作为燃料入炉燃烧；沉渣定期清掏作为燃料入炉燃烧；废矿物油暂存于现有工程危废暂存间内，委托有资质单位处置</w:t>
      </w:r>
      <w:r>
        <w:rPr>
          <w:rFonts w:hint="default" w:ascii="Times New Roman" w:hAnsi="Times New Roman" w:eastAsia="宋体" w:cs="Times New Roman"/>
          <w:color w:val="auto"/>
          <w:highlight w:val="none"/>
          <w:lang w:eastAsia="zh-CN"/>
        </w:rPr>
        <w:t>。</w:t>
      </w:r>
    </w:p>
    <w:p w14:paraId="1F6030D1">
      <w:pPr>
        <w:pStyle w:val="6"/>
        <w:numPr>
          <w:ilvl w:val="2"/>
          <w:numId w:val="3"/>
        </w:numPr>
        <w:bidi w:val="0"/>
        <w:ind w:left="709" w:leftChars="0" w:hanging="709" w:firstLineChars="0"/>
        <w:rPr>
          <w:rFonts w:hint="default" w:ascii="Times New Roman" w:hAnsi="Times New Roman" w:eastAsia="宋体" w:cs="Times New Roman"/>
          <w:color w:val="auto"/>
          <w:highlight w:val="none"/>
        </w:rPr>
      </w:pPr>
      <w:bookmarkStart w:id="333" w:name="_Toc12356"/>
      <w:bookmarkStart w:id="334" w:name="_Toc30917"/>
      <w:bookmarkStart w:id="335" w:name="_Toc5572"/>
      <w:r>
        <w:rPr>
          <w:rFonts w:hint="default" w:ascii="Times New Roman" w:hAnsi="Times New Roman" w:eastAsia="宋体" w:cs="Times New Roman"/>
          <w:color w:val="auto"/>
          <w:highlight w:val="none"/>
        </w:rPr>
        <w:t>结论</w:t>
      </w:r>
      <w:bookmarkEnd w:id="333"/>
      <w:bookmarkEnd w:id="334"/>
      <w:bookmarkEnd w:id="335"/>
    </w:p>
    <w:p w14:paraId="1119AE70">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从以上分析可知，本工程在设计中采取了一系列节能、节水措施，同时，本工程产生的污染物均采取了有效的污染防治措施，达到了国内先进生产水平，项目建设符合清洁生产的指导思想。</w:t>
      </w:r>
    </w:p>
    <w:p w14:paraId="5753B011">
      <w:pP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br w:type="page"/>
      </w:r>
    </w:p>
    <w:p w14:paraId="6C71EE0F">
      <w:pPr>
        <w:pStyle w:val="3"/>
        <w:numPr>
          <w:ilvl w:val="0"/>
          <w:numId w:val="3"/>
        </w:numPr>
        <w:ind w:left="425" w:leftChars="0" w:hanging="425" w:firstLineChars="0"/>
        <w:rPr>
          <w:rFonts w:hint="default" w:ascii="Times New Roman" w:hAnsi="Times New Roman" w:eastAsia="宋体" w:cs="Times New Roman"/>
          <w:color w:val="auto"/>
          <w:highlight w:val="none"/>
        </w:rPr>
      </w:pPr>
      <w:bookmarkStart w:id="336" w:name="_Toc17969"/>
      <w:bookmarkStart w:id="337" w:name="_Toc17581"/>
      <w:r>
        <w:rPr>
          <w:rFonts w:hint="default" w:ascii="Times New Roman" w:hAnsi="Times New Roman" w:eastAsia="宋体" w:cs="Times New Roman"/>
          <w:color w:val="auto"/>
          <w:highlight w:val="none"/>
        </w:rPr>
        <w:t>环境现状调查与评价</w:t>
      </w:r>
      <w:bookmarkEnd w:id="336"/>
      <w:bookmarkEnd w:id="337"/>
    </w:p>
    <w:p w14:paraId="6BA765D2">
      <w:pPr>
        <w:pStyle w:val="4"/>
        <w:numPr>
          <w:ilvl w:val="1"/>
          <w:numId w:val="3"/>
        </w:numPr>
        <w:ind w:left="567" w:leftChars="0" w:hanging="567" w:firstLineChars="0"/>
        <w:rPr>
          <w:rFonts w:hint="default" w:ascii="Times New Roman" w:hAnsi="Times New Roman" w:eastAsia="宋体" w:cs="Times New Roman"/>
          <w:b/>
          <w:bCs/>
          <w:color w:val="auto"/>
          <w:highlight w:val="none"/>
        </w:rPr>
      </w:pPr>
      <w:bookmarkStart w:id="338" w:name="_Toc29954"/>
      <w:bookmarkStart w:id="339" w:name="_Toc17665"/>
      <w:r>
        <w:rPr>
          <w:rFonts w:hint="default" w:ascii="Times New Roman" w:hAnsi="Times New Roman" w:eastAsia="宋体" w:cs="Times New Roman"/>
          <w:b/>
          <w:bCs/>
          <w:color w:val="auto"/>
          <w:highlight w:val="none"/>
        </w:rPr>
        <w:t>自然环境概况</w:t>
      </w:r>
      <w:bookmarkEnd w:id="338"/>
      <w:bookmarkEnd w:id="339"/>
    </w:p>
    <w:p w14:paraId="212C1986">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340" w:name="_Toc18047"/>
      <w:bookmarkStart w:id="341" w:name="_Toc16568"/>
      <w:bookmarkStart w:id="342" w:name="_Toc30925"/>
      <w:bookmarkStart w:id="343" w:name="_Toc107238137"/>
      <w:bookmarkStart w:id="344" w:name="_Toc9451"/>
      <w:bookmarkStart w:id="345" w:name="_Toc105659920"/>
      <w:r>
        <w:rPr>
          <w:rFonts w:hint="default" w:ascii="Times New Roman" w:hAnsi="Times New Roman" w:eastAsia="宋体" w:cs="Times New Roman"/>
          <w:color w:val="auto"/>
          <w:highlight w:val="none"/>
        </w:rPr>
        <w:t>地理位置</w:t>
      </w:r>
      <w:bookmarkEnd w:id="340"/>
      <w:bookmarkEnd w:id="341"/>
      <w:bookmarkEnd w:id="342"/>
      <w:bookmarkEnd w:id="343"/>
      <w:bookmarkEnd w:id="344"/>
      <w:bookmarkEnd w:id="345"/>
    </w:p>
    <w:p w14:paraId="64443AB3">
      <w:pPr>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佳木斯市郊区始建于1958年。2004年，郊区和原永红区合署办公，2006年国务院批复撤销佳木斯市永红区，郊区和永红区合并为郊区。全区幅员面积1748平方公里，是佳木斯市最大的市辖区，呈“C”型自北、西、南三个方向环抱城区，总面积占市区面积的87.3%，辖8镇3乡、100个行政村、188个自然屯，4个街道办事处、36个社区居委会，14个国有农林牧渔场；耕地面积150.3万亩，草原面积3.76万亩，宜渔水面2.5万亩；总人口26万。</w:t>
      </w:r>
    </w:p>
    <w:p w14:paraId="33F899B1">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346" w:name="_Toc107238138"/>
      <w:bookmarkStart w:id="347" w:name="_Toc7583"/>
      <w:bookmarkStart w:id="348" w:name="_Toc21398"/>
      <w:bookmarkStart w:id="349" w:name="_Toc32168"/>
      <w:bookmarkStart w:id="350" w:name="_Toc8644"/>
      <w:bookmarkStart w:id="351" w:name="_Toc105659921"/>
      <w:r>
        <w:rPr>
          <w:rFonts w:hint="default" w:ascii="Times New Roman" w:hAnsi="Times New Roman" w:eastAsia="宋体" w:cs="Times New Roman"/>
          <w:color w:val="auto"/>
          <w:highlight w:val="none"/>
        </w:rPr>
        <w:t>地形地貌</w:t>
      </w:r>
      <w:bookmarkEnd w:id="346"/>
      <w:bookmarkEnd w:id="347"/>
      <w:bookmarkEnd w:id="348"/>
      <w:bookmarkEnd w:id="349"/>
      <w:bookmarkEnd w:id="350"/>
      <w:bookmarkEnd w:id="351"/>
    </w:p>
    <w:p w14:paraId="31BD5F13">
      <w:pPr>
        <w:widowControl w:val="0"/>
        <w:adjustRightInd/>
        <w:snapToGrid/>
        <w:spacing w:after="0" w:line="500" w:lineRule="exact"/>
        <w:ind w:firstLine="480" w:firstLineChars="200"/>
        <w:jc w:val="both"/>
        <w:rPr>
          <w:rFonts w:hint="default" w:ascii="Times New Roman" w:hAnsi="Times New Roman" w:eastAsia="宋体" w:cs="Times New Roman"/>
          <w:bCs/>
          <w:color w:val="auto"/>
          <w:sz w:val="24"/>
          <w:szCs w:val="20"/>
          <w:highlight w:val="none"/>
        </w:rPr>
      </w:pPr>
      <w:bookmarkStart w:id="352" w:name="_Toc9020"/>
      <w:bookmarkStart w:id="353" w:name="_Toc20453"/>
      <w:bookmarkStart w:id="354" w:name="_Toc107238139"/>
      <w:bookmarkStart w:id="355" w:name="_Toc17648"/>
      <w:bookmarkStart w:id="356" w:name="_Toc23724"/>
      <w:bookmarkStart w:id="357" w:name="_Toc105659922"/>
      <w:r>
        <w:rPr>
          <w:rFonts w:hint="default" w:ascii="Times New Roman" w:hAnsi="Times New Roman" w:eastAsia="宋体" w:cs="Times New Roman"/>
          <w:bCs/>
          <w:color w:val="auto"/>
          <w:sz w:val="24"/>
          <w:szCs w:val="20"/>
          <w:highlight w:val="none"/>
        </w:rPr>
        <w:t>佳木斯市郊区地处三江平原的西部边缘区，完达山的北麓，南部是连绵起伏的丘陵，北部为平坦而宽广的冲积平原，呈带状分布，松花江从中横穿，将郊区分南北两部分，地势南高北低，水平分带甚为明显。根据地貌形态特征可分为低山丘陵、山前台地、阶地和漫滩。佳木斯市郊区地质构造情况十分复杂，位于八面通地块西北端，北部紧连鹤岗地块，西接依</w:t>
      </w:r>
      <w:r>
        <w:rPr>
          <w:rFonts w:hint="eastAsia" w:ascii="Times New Roman" w:hAnsi="Times New Roman" w:eastAsia="宋体" w:cs="Times New Roman"/>
          <w:bCs/>
          <w:color w:val="auto"/>
          <w:sz w:val="24"/>
          <w:szCs w:val="20"/>
          <w:highlight w:val="none"/>
          <w:lang w:eastAsia="zh-CN"/>
        </w:rPr>
        <w:t>－</w:t>
      </w:r>
      <w:r>
        <w:rPr>
          <w:rFonts w:hint="default" w:ascii="Times New Roman" w:hAnsi="Times New Roman" w:eastAsia="宋体" w:cs="Times New Roman"/>
          <w:bCs/>
          <w:color w:val="auto"/>
          <w:sz w:val="24"/>
          <w:szCs w:val="20"/>
          <w:highlight w:val="none"/>
        </w:rPr>
        <w:t>舒地堑，东、北部为合江拗，因系几个大构造的衔接之处。南部丘陵区，由中酸性火成岩、碎屑沉积岩分布，这些岩石大多具有强烈的风化裂隙或孔隙，</w:t>
      </w:r>
      <w:r>
        <w:rPr>
          <w:rFonts w:hint="eastAsia" w:ascii="Times New Roman" w:hAnsi="Times New Roman" w:eastAsia="宋体" w:cs="Times New Roman"/>
          <w:bCs/>
          <w:color w:val="auto"/>
          <w:sz w:val="24"/>
          <w:szCs w:val="20"/>
          <w:highlight w:val="none"/>
          <w:lang w:eastAsia="zh-CN"/>
        </w:rPr>
        <w:t>它们</w:t>
      </w:r>
      <w:r>
        <w:rPr>
          <w:rFonts w:hint="default" w:ascii="Times New Roman" w:hAnsi="Times New Roman" w:eastAsia="宋体" w:cs="Times New Roman"/>
          <w:bCs/>
          <w:color w:val="auto"/>
          <w:sz w:val="24"/>
          <w:szCs w:val="20"/>
          <w:highlight w:val="none"/>
        </w:rPr>
        <w:t>接受大气的补给，有着丰富的风化裂隙水和构造裂隙水。受地形坡度影响，</w:t>
      </w:r>
      <w:r>
        <w:rPr>
          <w:rFonts w:hint="eastAsia" w:ascii="Times New Roman" w:hAnsi="Times New Roman" w:eastAsia="宋体" w:cs="Times New Roman"/>
          <w:bCs/>
          <w:color w:val="auto"/>
          <w:sz w:val="24"/>
          <w:szCs w:val="20"/>
          <w:highlight w:val="none"/>
          <w:lang w:eastAsia="zh-CN"/>
        </w:rPr>
        <w:t>经过短暂的</w:t>
      </w:r>
      <w:r>
        <w:rPr>
          <w:rFonts w:hint="default" w:ascii="Times New Roman" w:hAnsi="Times New Roman" w:eastAsia="宋体" w:cs="Times New Roman"/>
          <w:bCs/>
          <w:color w:val="auto"/>
          <w:sz w:val="24"/>
          <w:szCs w:val="20"/>
          <w:highlight w:val="none"/>
        </w:rPr>
        <w:t>径流后以下降泉的排泄于沟谷的边缘，汇成地表水流，补给平原区地表水。</w:t>
      </w:r>
    </w:p>
    <w:p w14:paraId="734A49D2">
      <w:pPr>
        <w:pStyle w:val="6"/>
        <w:numPr>
          <w:ilvl w:val="2"/>
          <w:numId w:val="3"/>
        </w:numPr>
        <w:ind w:left="709" w:leftChars="0" w:hanging="709"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气候</w:t>
      </w:r>
      <w:bookmarkEnd w:id="352"/>
      <w:bookmarkEnd w:id="353"/>
      <w:bookmarkEnd w:id="354"/>
      <w:bookmarkEnd w:id="355"/>
      <w:bookmarkEnd w:id="356"/>
      <w:bookmarkEnd w:id="357"/>
      <w:r>
        <w:rPr>
          <w:rFonts w:hint="eastAsia" w:ascii="Times New Roman" w:hAnsi="Times New Roman" w:cs="Times New Roman"/>
          <w:color w:val="auto"/>
          <w:highlight w:val="none"/>
          <w:lang w:eastAsia="zh-CN"/>
        </w:rPr>
        <w:t>特征</w:t>
      </w:r>
    </w:p>
    <w:p w14:paraId="20E42A97">
      <w:pPr>
        <w:ind w:firstLine="480"/>
        <w:rPr>
          <w:rFonts w:hint="default" w:ascii="Times New Roman" w:hAnsi="Times New Roman" w:eastAsia="宋体" w:cs="Times New Roman"/>
          <w:bCs/>
          <w:color w:val="auto"/>
          <w:sz w:val="24"/>
          <w:szCs w:val="20"/>
          <w:highlight w:val="none"/>
          <w:lang w:val="en-US" w:eastAsia="zh-CN"/>
        </w:rPr>
      </w:pPr>
      <w:bookmarkStart w:id="358" w:name="_Toc105659923"/>
      <w:bookmarkStart w:id="359" w:name="_Toc2493"/>
      <w:bookmarkStart w:id="360" w:name="_Toc107238140"/>
      <w:bookmarkStart w:id="361" w:name="_Toc29730"/>
      <w:bookmarkStart w:id="362" w:name="_Toc5577"/>
      <w:bookmarkStart w:id="363" w:name="_Toc25767"/>
      <w:r>
        <w:rPr>
          <w:rFonts w:hint="eastAsia" w:ascii="Times New Roman" w:hAnsi="Times New Roman" w:eastAsia="宋体" w:cs="Times New Roman"/>
          <w:bCs/>
          <w:color w:val="auto"/>
          <w:sz w:val="24"/>
          <w:szCs w:val="20"/>
          <w:highlight w:val="none"/>
          <w:lang w:val="en-US" w:eastAsia="zh-CN"/>
        </w:rPr>
        <w:t>佳木斯市属于中温带大陆性季风气候，雨热同期。夏季受东南季风影响，冬季受极地冷气团的影响。春季风大，降水少；夏季温热多雨；秋季气候凉爽；冬季漫长，气候寒冷。近半个世纪，气温稍升高，降水稍减少。进入秋冬，热带气团减弱南移，极地大陆气团侵入，市区气压随之升高。到了春夏，极地大陆气团减退，热带气团北移，市区气压相应减低。气压场的变化，导致气团和风向的季节变化。</w:t>
      </w:r>
    </w:p>
    <w:p w14:paraId="67394C32">
      <w:pPr>
        <w:ind w:firstLine="480"/>
        <w:rPr>
          <w:rFonts w:hint="default" w:ascii="Times New Roman" w:hAnsi="Times New Roman" w:eastAsia="宋体" w:cs="Times New Roman"/>
          <w:bCs/>
          <w:color w:val="auto"/>
          <w:sz w:val="24"/>
          <w:szCs w:val="20"/>
          <w:highlight w:val="none"/>
          <w:lang w:val="en-US" w:eastAsia="zh-CN"/>
        </w:rPr>
      </w:pPr>
      <w:r>
        <w:rPr>
          <w:rFonts w:hint="default" w:ascii="Times New Roman" w:hAnsi="Times New Roman" w:eastAsia="宋体" w:cs="Times New Roman"/>
          <w:bCs/>
          <w:color w:val="auto"/>
          <w:sz w:val="24"/>
          <w:szCs w:val="20"/>
          <w:highlight w:val="none"/>
          <w:lang w:val="en-US" w:eastAsia="zh-CN"/>
        </w:rPr>
        <w:t>项目采用的是</w:t>
      </w:r>
      <w:r>
        <w:rPr>
          <w:rFonts w:hint="eastAsia" w:ascii="Times New Roman" w:hAnsi="Times New Roman" w:eastAsia="宋体" w:cs="Times New Roman"/>
          <w:bCs/>
          <w:color w:val="auto"/>
          <w:sz w:val="24"/>
          <w:szCs w:val="20"/>
          <w:highlight w:val="none"/>
          <w:lang w:val="en-US" w:eastAsia="zh-CN"/>
        </w:rPr>
        <w:t>佳木斯</w:t>
      </w:r>
      <w:r>
        <w:rPr>
          <w:rFonts w:hint="default" w:ascii="Times New Roman" w:hAnsi="Times New Roman" w:eastAsia="宋体" w:cs="Times New Roman"/>
          <w:bCs/>
          <w:color w:val="auto"/>
          <w:sz w:val="24"/>
          <w:szCs w:val="20"/>
          <w:highlight w:val="none"/>
          <w:lang w:val="en-US" w:eastAsia="zh-CN"/>
        </w:rPr>
        <w:t>气象站（</w:t>
      </w:r>
      <w:r>
        <w:rPr>
          <w:rFonts w:hint="eastAsia" w:ascii="Times New Roman" w:hAnsi="Times New Roman" w:eastAsia="宋体" w:cs="Times New Roman"/>
          <w:bCs/>
          <w:color w:val="auto"/>
          <w:sz w:val="24"/>
          <w:szCs w:val="20"/>
          <w:highlight w:val="none"/>
          <w:lang w:val="en-US" w:eastAsia="zh-CN"/>
        </w:rPr>
        <w:t>50873</w:t>
      </w:r>
      <w:r>
        <w:rPr>
          <w:rFonts w:hint="default" w:ascii="Times New Roman" w:hAnsi="Times New Roman" w:eastAsia="宋体" w:cs="Times New Roman"/>
          <w:bCs/>
          <w:color w:val="auto"/>
          <w:sz w:val="24"/>
          <w:szCs w:val="20"/>
          <w:highlight w:val="none"/>
          <w:lang w:val="en-US" w:eastAsia="zh-CN"/>
        </w:rPr>
        <w:t>）资料，该气象站地理坐标为东经</w:t>
      </w:r>
      <w:r>
        <w:rPr>
          <w:rFonts w:hint="eastAsia" w:ascii="Times New Roman" w:hAnsi="Times New Roman" w:eastAsia="宋体" w:cs="Times New Roman"/>
          <w:bCs/>
          <w:color w:val="auto"/>
          <w:sz w:val="24"/>
          <w:szCs w:val="20"/>
          <w:highlight w:val="none"/>
          <w:lang w:val="en-US" w:eastAsia="zh-CN"/>
        </w:rPr>
        <w:t>130.2970</w:t>
      </w:r>
      <w:r>
        <w:rPr>
          <w:rFonts w:hint="default" w:ascii="Times New Roman" w:hAnsi="Times New Roman" w:eastAsia="宋体" w:cs="Times New Roman"/>
          <w:bCs/>
          <w:color w:val="auto"/>
          <w:sz w:val="24"/>
          <w:szCs w:val="20"/>
          <w:highlight w:val="none"/>
          <w:lang w:val="en-US" w:eastAsia="zh-CN"/>
        </w:rPr>
        <w:t>度，北纬</w:t>
      </w:r>
      <w:r>
        <w:rPr>
          <w:rFonts w:hint="eastAsia" w:ascii="Times New Roman" w:hAnsi="Times New Roman" w:eastAsia="宋体" w:cs="Times New Roman"/>
          <w:bCs/>
          <w:color w:val="auto"/>
          <w:sz w:val="24"/>
          <w:szCs w:val="20"/>
          <w:highlight w:val="none"/>
          <w:lang w:val="en-US" w:eastAsia="zh-CN"/>
        </w:rPr>
        <w:t>46.7839</w:t>
      </w:r>
      <w:r>
        <w:rPr>
          <w:rFonts w:hint="default" w:ascii="Times New Roman" w:hAnsi="Times New Roman" w:eastAsia="宋体" w:cs="Times New Roman"/>
          <w:bCs/>
          <w:color w:val="auto"/>
          <w:sz w:val="24"/>
          <w:szCs w:val="20"/>
          <w:highlight w:val="none"/>
          <w:lang w:val="en-US" w:eastAsia="zh-CN"/>
        </w:rPr>
        <w:t>度，</w:t>
      </w:r>
      <w:r>
        <w:rPr>
          <w:rFonts w:hint="eastAsia" w:ascii="Times New Roman" w:hAnsi="Times New Roman" w:eastAsia="宋体" w:cs="Times New Roman"/>
          <w:bCs/>
          <w:color w:val="auto"/>
          <w:sz w:val="24"/>
          <w:szCs w:val="20"/>
          <w:highlight w:val="none"/>
          <w:lang w:val="en-US" w:eastAsia="zh-CN"/>
        </w:rPr>
        <w:t>海拔82</w:t>
      </w:r>
      <w:r>
        <w:rPr>
          <w:rFonts w:hint="default" w:ascii="Times New Roman" w:hAnsi="Times New Roman" w:eastAsia="宋体" w:cs="Times New Roman"/>
          <w:bCs/>
          <w:color w:val="auto"/>
          <w:sz w:val="24"/>
          <w:szCs w:val="20"/>
          <w:highlight w:val="none"/>
          <w:lang w:val="en-US" w:eastAsia="zh-CN"/>
        </w:rPr>
        <w:t>m，是距项目最近的国家气象站，拥有长期的气象观测资料。</w:t>
      </w:r>
    </w:p>
    <w:p w14:paraId="3616F254">
      <w:pPr>
        <w:ind w:firstLine="480"/>
        <w:rPr>
          <w:rFonts w:hint="default" w:ascii="Times New Roman" w:hAnsi="Times New Roman" w:eastAsia="宋体" w:cs="Times New Roman"/>
          <w:bCs/>
          <w:color w:val="auto"/>
          <w:sz w:val="24"/>
          <w:szCs w:val="20"/>
          <w:highlight w:val="none"/>
        </w:rPr>
      </w:pPr>
      <w:r>
        <w:rPr>
          <w:rFonts w:hint="eastAsia" w:ascii="Times New Roman" w:hAnsi="Times New Roman" w:eastAsia="宋体" w:cs="Times New Roman"/>
          <w:bCs/>
          <w:color w:val="auto"/>
          <w:sz w:val="24"/>
          <w:szCs w:val="20"/>
          <w:highlight w:val="none"/>
          <w:lang w:val="en-US" w:eastAsia="zh-CN"/>
        </w:rPr>
        <w:t>佳木斯市</w:t>
      </w:r>
      <w:r>
        <w:rPr>
          <w:rFonts w:hint="default" w:ascii="Times New Roman" w:hAnsi="Times New Roman" w:eastAsia="宋体" w:cs="Times New Roman"/>
          <w:bCs/>
          <w:color w:val="auto"/>
          <w:sz w:val="24"/>
          <w:szCs w:val="20"/>
          <w:highlight w:val="none"/>
        </w:rPr>
        <w:t>近20年主要气象要素统计结果见表</w:t>
      </w:r>
      <w:r>
        <w:rPr>
          <w:rFonts w:hint="eastAsia" w:ascii="Times New Roman" w:hAnsi="Times New Roman" w:eastAsia="宋体" w:cs="Times New Roman"/>
          <w:bCs/>
          <w:color w:val="auto"/>
          <w:sz w:val="24"/>
          <w:szCs w:val="20"/>
          <w:highlight w:val="none"/>
          <w:lang w:val="en-US" w:eastAsia="zh-CN"/>
        </w:rPr>
        <w:t>5.1-1</w:t>
      </w:r>
      <w:r>
        <w:rPr>
          <w:rFonts w:hint="default" w:ascii="Times New Roman" w:hAnsi="Times New Roman" w:eastAsia="宋体" w:cs="Times New Roman"/>
          <w:bCs/>
          <w:color w:val="auto"/>
          <w:sz w:val="24"/>
          <w:szCs w:val="20"/>
          <w:highlight w:val="none"/>
        </w:rPr>
        <w:t>，</w:t>
      </w:r>
      <w:r>
        <w:rPr>
          <w:rFonts w:hint="eastAsia" w:ascii="Times New Roman" w:hAnsi="Times New Roman" w:eastAsia="宋体" w:cs="Times New Roman"/>
          <w:bCs/>
          <w:color w:val="auto"/>
          <w:sz w:val="24"/>
          <w:szCs w:val="20"/>
          <w:highlight w:val="none"/>
          <w:lang w:val="en-US" w:eastAsia="zh-CN"/>
        </w:rPr>
        <w:t>佳木斯市</w:t>
      </w:r>
      <w:r>
        <w:rPr>
          <w:rFonts w:hint="default" w:ascii="Times New Roman" w:hAnsi="Times New Roman" w:eastAsia="宋体" w:cs="Times New Roman"/>
          <w:bCs/>
          <w:color w:val="auto"/>
          <w:sz w:val="24"/>
          <w:szCs w:val="20"/>
          <w:highlight w:val="none"/>
        </w:rPr>
        <w:t>近20年风向频率见表</w:t>
      </w:r>
      <w:r>
        <w:rPr>
          <w:rFonts w:hint="eastAsia" w:ascii="Times New Roman" w:hAnsi="Times New Roman" w:eastAsia="宋体" w:cs="Times New Roman"/>
          <w:bCs/>
          <w:color w:val="auto"/>
          <w:sz w:val="24"/>
          <w:szCs w:val="20"/>
          <w:highlight w:val="none"/>
          <w:lang w:val="en-US" w:eastAsia="zh-CN"/>
        </w:rPr>
        <w:t>5.1</w:t>
      </w:r>
      <w:r>
        <w:rPr>
          <w:rFonts w:hint="default" w:ascii="Times New Roman" w:hAnsi="Times New Roman" w:eastAsia="宋体" w:cs="Times New Roman"/>
          <w:bCs/>
          <w:color w:val="auto"/>
          <w:sz w:val="24"/>
          <w:szCs w:val="20"/>
          <w:highlight w:val="none"/>
        </w:rPr>
        <w:t>-2、</w:t>
      </w:r>
      <w:r>
        <w:rPr>
          <w:rFonts w:hint="eastAsia" w:ascii="Times New Roman" w:hAnsi="Times New Roman" w:eastAsia="宋体" w:cs="Times New Roman"/>
          <w:bCs/>
          <w:color w:val="auto"/>
          <w:sz w:val="24"/>
          <w:szCs w:val="20"/>
          <w:highlight w:val="none"/>
          <w:lang w:val="en-US" w:eastAsia="zh-CN"/>
        </w:rPr>
        <w:t>佳木斯市</w:t>
      </w:r>
      <w:r>
        <w:rPr>
          <w:rFonts w:hint="default" w:ascii="Times New Roman" w:hAnsi="Times New Roman" w:eastAsia="宋体" w:cs="Times New Roman"/>
          <w:bCs/>
          <w:color w:val="auto"/>
          <w:sz w:val="24"/>
          <w:szCs w:val="20"/>
          <w:highlight w:val="none"/>
        </w:rPr>
        <w:t>近20年各</w:t>
      </w:r>
      <w:r>
        <w:rPr>
          <w:rFonts w:hint="default" w:ascii="Times New Roman" w:hAnsi="Times New Roman" w:eastAsia="宋体" w:cs="Times New Roman"/>
          <w:bCs/>
          <w:color w:val="auto"/>
          <w:sz w:val="24"/>
          <w:szCs w:val="20"/>
          <w:highlight w:val="none"/>
          <w:lang w:eastAsia="zh-CN"/>
        </w:rPr>
        <w:t>年</w:t>
      </w:r>
      <w:r>
        <w:rPr>
          <w:rFonts w:hint="default" w:ascii="Times New Roman" w:hAnsi="Times New Roman" w:eastAsia="宋体" w:cs="Times New Roman"/>
          <w:bCs/>
          <w:color w:val="auto"/>
          <w:sz w:val="24"/>
          <w:szCs w:val="20"/>
          <w:highlight w:val="none"/>
        </w:rPr>
        <w:t>风向频率见表</w:t>
      </w:r>
      <w:r>
        <w:rPr>
          <w:rFonts w:hint="eastAsia" w:ascii="Times New Roman" w:hAnsi="Times New Roman" w:eastAsia="宋体" w:cs="Times New Roman"/>
          <w:bCs/>
          <w:color w:val="auto"/>
          <w:sz w:val="24"/>
          <w:szCs w:val="20"/>
          <w:highlight w:val="none"/>
          <w:lang w:val="en-US" w:eastAsia="zh-CN"/>
        </w:rPr>
        <w:t>5.1</w:t>
      </w:r>
      <w:r>
        <w:rPr>
          <w:rFonts w:hint="default" w:ascii="Times New Roman" w:hAnsi="Times New Roman" w:eastAsia="宋体" w:cs="Times New Roman"/>
          <w:bCs/>
          <w:color w:val="auto"/>
          <w:sz w:val="24"/>
          <w:szCs w:val="20"/>
          <w:highlight w:val="none"/>
        </w:rPr>
        <w:t>-</w:t>
      </w:r>
      <w:r>
        <w:rPr>
          <w:rFonts w:hint="eastAsia" w:ascii="Times New Roman" w:hAnsi="Times New Roman" w:eastAsia="宋体" w:cs="Times New Roman"/>
          <w:bCs/>
          <w:color w:val="auto"/>
          <w:sz w:val="24"/>
          <w:szCs w:val="20"/>
          <w:highlight w:val="none"/>
          <w:lang w:val="en-US" w:eastAsia="zh-CN"/>
        </w:rPr>
        <w:t>3</w:t>
      </w:r>
      <w:r>
        <w:rPr>
          <w:rFonts w:hint="default" w:ascii="Times New Roman" w:hAnsi="Times New Roman" w:eastAsia="宋体" w:cs="Times New Roman"/>
          <w:bCs/>
          <w:color w:val="auto"/>
          <w:sz w:val="24"/>
          <w:szCs w:val="20"/>
          <w:highlight w:val="none"/>
        </w:rPr>
        <w:t>、风向玫瑰图见图</w:t>
      </w:r>
      <w:r>
        <w:rPr>
          <w:rFonts w:hint="eastAsia" w:ascii="Times New Roman" w:hAnsi="Times New Roman" w:eastAsia="宋体" w:cs="Times New Roman"/>
          <w:bCs/>
          <w:color w:val="auto"/>
          <w:sz w:val="24"/>
          <w:szCs w:val="20"/>
          <w:highlight w:val="none"/>
          <w:lang w:val="en-US" w:eastAsia="zh-CN"/>
        </w:rPr>
        <w:t>5.1-1</w:t>
      </w:r>
      <w:r>
        <w:rPr>
          <w:rFonts w:hint="default" w:ascii="Times New Roman" w:hAnsi="Times New Roman" w:eastAsia="宋体" w:cs="Times New Roman"/>
          <w:bCs/>
          <w:color w:val="auto"/>
          <w:sz w:val="24"/>
          <w:szCs w:val="20"/>
          <w:highlight w:val="none"/>
        </w:rPr>
        <w:t>。</w:t>
      </w:r>
    </w:p>
    <w:p w14:paraId="4E9AFF03">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表</w:t>
      </w:r>
      <w:r>
        <w:rPr>
          <w:rFonts w:hint="eastAsia" w:ascii="Times New Roman" w:hAnsi="Times New Roman" w:eastAsia="宋体" w:cs="Times New Roman"/>
          <w:color w:val="auto"/>
          <w:sz w:val="24"/>
          <w:szCs w:val="24"/>
          <w:highlight w:val="none"/>
          <w:lang w:val="en-US" w:eastAsia="zh-CN"/>
        </w:rPr>
        <w:t>5.1</w:t>
      </w:r>
      <w:r>
        <w:rPr>
          <w:rFonts w:hint="default" w:ascii="Times New Roman" w:hAnsi="Times New Roman" w:eastAsia="宋体" w:cs="Times New Roman"/>
          <w:color w:val="auto"/>
          <w:sz w:val="24"/>
          <w:szCs w:val="24"/>
          <w:highlight w:val="none"/>
          <w:lang w:val="en-US" w:eastAsia="zh-CN"/>
        </w:rPr>
        <w:t xml:space="preserve">-1  </w:t>
      </w:r>
      <w:r>
        <w:rPr>
          <w:rFonts w:hint="eastAsia" w:ascii="Times New Roman" w:hAnsi="Times New Roman" w:eastAsia="宋体" w:cs="Times New Roman"/>
          <w:color w:val="auto"/>
          <w:sz w:val="24"/>
          <w:szCs w:val="24"/>
          <w:highlight w:val="none"/>
          <w:lang w:val="en-US" w:eastAsia="zh-CN"/>
        </w:rPr>
        <w:t>佳木斯市</w:t>
      </w:r>
      <w:r>
        <w:rPr>
          <w:rFonts w:hint="default" w:ascii="Times New Roman" w:hAnsi="Times New Roman" w:eastAsia="宋体" w:cs="Times New Roman"/>
          <w:color w:val="auto"/>
          <w:sz w:val="24"/>
          <w:szCs w:val="24"/>
          <w:highlight w:val="none"/>
          <w:lang w:val="en-US" w:eastAsia="zh-CN"/>
        </w:rPr>
        <w:t>近20年气象观测站主要气象要素统计表</w:t>
      </w:r>
    </w:p>
    <w:tbl>
      <w:tblPr>
        <w:tblStyle w:val="37"/>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360"/>
        <w:gridCol w:w="4361"/>
      </w:tblGrid>
      <w:tr w14:paraId="231CCB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360" w:type="dxa"/>
            <w:tcBorders>
              <w:tl2br w:val="nil"/>
              <w:tr2bl w:val="nil"/>
            </w:tcBorders>
            <w:noWrap w:val="0"/>
            <w:vAlign w:val="top"/>
          </w:tcPr>
          <w:p w14:paraId="03C7289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项目</w:t>
            </w:r>
          </w:p>
        </w:tc>
        <w:tc>
          <w:tcPr>
            <w:tcW w:w="4361" w:type="dxa"/>
            <w:tcBorders>
              <w:tl2br w:val="nil"/>
              <w:tr2bl w:val="nil"/>
            </w:tcBorders>
            <w:noWrap w:val="0"/>
            <w:vAlign w:val="top"/>
          </w:tcPr>
          <w:p w14:paraId="10989EE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数值</w:t>
            </w:r>
          </w:p>
        </w:tc>
      </w:tr>
      <w:tr w14:paraId="629D64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360" w:type="dxa"/>
            <w:tcBorders>
              <w:tl2br w:val="nil"/>
              <w:tr2bl w:val="nil"/>
            </w:tcBorders>
            <w:noWrap w:val="0"/>
            <w:vAlign w:val="top"/>
          </w:tcPr>
          <w:p w14:paraId="4CB7308F">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多年平均气温（℃）</w:t>
            </w:r>
          </w:p>
        </w:tc>
        <w:tc>
          <w:tcPr>
            <w:tcW w:w="4361" w:type="dxa"/>
            <w:tcBorders>
              <w:tl2br w:val="nil"/>
              <w:tr2bl w:val="nil"/>
            </w:tcBorders>
            <w:noWrap w:val="0"/>
            <w:vAlign w:val="top"/>
          </w:tcPr>
          <w:p w14:paraId="60B91FC1">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4.22</w:t>
            </w:r>
          </w:p>
        </w:tc>
      </w:tr>
      <w:tr w14:paraId="1F5423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360" w:type="dxa"/>
            <w:tcBorders>
              <w:tl2br w:val="nil"/>
              <w:tr2bl w:val="nil"/>
            </w:tcBorders>
            <w:noWrap w:val="0"/>
            <w:vAlign w:val="top"/>
          </w:tcPr>
          <w:p w14:paraId="10E39507">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多年极端最高气温（℃）</w:t>
            </w:r>
          </w:p>
        </w:tc>
        <w:tc>
          <w:tcPr>
            <w:tcW w:w="4361" w:type="dxa"/>
            <w:tcBorders>
              <w:tl2br w:val="nil"/>
              <w:tr2bl w:val="nil"/>
            </w:tcBorders>
            <w:noWrap w:val="0"/>
            <w:vAlign w:val="top"/>
          </w:tcPr>
          <w:p w14:paraId="0D4A3E5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34.36</w:t>
            </w:r>
          </w:p>
        </w:tc>
      </w:tr>
      <w:tr w14:paraId="640103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360" w:type="dxa"/>
            <w:tcBorders>
              <w:tl2br w:val="nil"/>
              <w:tr2bl w:val="nil"/>
            </w:tcBorders>
            <w:noWrap w:val="0"/>
            <w:vAlign w:val="top"/>
          </w:tcPr>
          <w:p w14:paraId="08BCA5D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多年极端最低气温（℃）</w:t>
            </w:r>
          </w:p>
        </w:tc>
        <w:tc>
          <w:tcPr>
            <w:tcW w:w="4361" w:type="dxa"/>
            <w:tcBorders>
              <w:tl2br w:val="nil"/>
              <w:tr2bl w:val="nil"/>
            </w:tcBorders>
            <w:noWrap w:val="0"/>
            <w:vAlign w:val="top"/>
          </w:tcPr>
          <w:p w14:paraId="20D45327">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-32.72</w:t>
            </w:r>
          </w:p>
        </w:tc>
      </w:tr>
      <w:tr w14:paraId="2A7951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360" w:type="dxa"/>
            <w:tcBorders>
              <w:tl2br w:val="nil"/>
              <w:tr2bl w:val="nil"/>
            </w:tcBorders>
            <w:noWrap w:val="0"/>
            <w:vAlign w:val="top"/>
          </w:tcPr>
          <w:p w14:paraId="779B861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多年平均气压</w:t>
            </w:r>
            <w:r>
              <w:rPr>
                <w:rFonts w:hint="default" w:ascii="Times New Roman" w:hAnsi="Times New Roman" w:cs="Times New Roman" w:eastAsiaTheme="minorEastAsia"/>
                <w:bCs/>
                <w:color w:val="auto"/>
                <w:sz w:val="21"/>
                <w:szCs w:val="21"/>
                <w:highlight w:val="none"/>
                <w:lang w:eastAsia="zh-CN"/>
              </w:rPr>
              <w:t>（</w:t>
            </w:r>
            <w:r>
              <w:rPr>
                <w:rFonts w:hint="default" w:ascii="Times New Roman" w:hAnsi="Times New Roman" w:cs="Times New Roman" w:eastAsiaTheme="minorEastAsia"/>
                <w:bCs/>
                <w:color w:val="auto"/>
                <w:sz w:val="21"/>
                <w:szCs w:val="21"/>
                <w:highlight w:val="none"/>
              </w:rPr>
              <w:t>hPa</w:t>
            </w:r>
            <w:r>
              <w:rPr>
                <w:rFonts w:hint="default" w:ascii="Times New Roman" w:hAnsi="Times New Roman" w:cs="Times New Roman" w:eastAsiaTheme="minorEastAsia"/>
                <w:bCs/>
                <w:color w:val="auto"/>
                <w:sz w:val="21"/>
                <w:szCs w:val="21"/>
                <w:highlight w:val="none"/>
                <w:lang w:eastAsia="zh-CN"/>
              </w:rPr>
              <w:t>）</w:t>
            </w:r>
            <w:r>
              <w:rPr>
                <w:rFonts w:hint="default" w:ascii="Times New Roman" w:hAnsi="Times New Roman" w:cs="Times New Roman" w:eastAsiaTheme="minorEastAsia"/>
                <w:bCs/>
                <w:color w:val="auto"/>
                <w:sz w:val="21"/>
                <w:szCs w:val="21"/>
                <w:highlight w:val="none"/>
              </w:rPr>
              <w:t xml:space="preserve"> </w:t>
            </w:r>
          </w:p>
        </w:tc>
        <w:tc>
          <w:tcPr>
            <w:tcW w:w="4361" w:type="dxa"/>
            <w:tcBorders>
              <w:tl2br w:val="nil"/>
              <w:tr2bl w:val="nil"/>
            </w:tcBorders>
            <w:noWrap w:val="0"/>
            <w:vAlign w:val="top"/>
          </w:tcPr>
          <w:p w14:paraId="061F44E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1003.54</w:t>
            </w:r>
          </w:p>
        </w:tc>
      </w:tr>
      <w:tr w14:paraId="579355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360" w:type="dxa"/>
            <w:tcBorders>
              <w:tl2br w:val="nil"/>
              <w:tr2bl w:val="nil"/>
            </w:tcBorders>
            <w:noWrap w:val="0"/>
            <w:vAlign w:val="top"/>
          </w:tcPr>
          <w:p w14:paraId="1253D5E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多年平均水汽压</w:t>
            </w:r>
            <w:r>
              <w:rPr>
                <w:rFonts w:hint="default" w:ascii="Times New Roman" w:hAnsi="Times New Roman" w:cs="Times New Roman" w:eastAsiaTheme="minorEastAsia"/>
                <w:bCs/>
                <w:color w:val="auto"/>
                <w:sz w:val="21"/>
                <w:szCs w:val="21"/>
                <w:highlight w:val="none"/>
                <w:lang w:eastAsia="zh-CN"/>
              </w:rPr>
              <w:t>（</w:t>
            </w:r>
            <w:r>
              <w:rPr>
                <w:rFonts w:hint="default" w:ascii="Times New Roman" w:hAnsi="Times New Roman" w:cs="Times New Roman" w:eastAsiaTheme="minorEastAsia"/>
                <w:bCs/>
                <w:color w:val="auto"/>
                <w:sz w:val="21"/>
                <w:szCs w:val="21"/>
                <w:highlight w:val="none"/>
              </w:rPr>
              <w:t>hPa</w:t>
            </w:r>
            <w:r>
              <w:rPr>
                <w:rFonts w:hint="default" w:ascii="Times New Roman" w:hAnsi="Times New Roman" w:cs="Times New Roman" w:eastAsiaTheme="minorEastAsia"/>
                <w:bCs/>
                <w:color w:val="auto"/>
                <w:sz w:val="21"/>
                <w:szCs w:val="21"/>
                <w:highlight w:val="none"/>
                <w:lang w:eastAsia="zh-CN"/>
              </w:rPr>
              <w:t>）</w:t>
            </w:r>
            <w:r>
              <w:rPr>
                <w:rFonts w:hint="default" w:ascii="Times New Roman" w:hAnsi="Times New Roman" w:cs="Times New Roman" w:eastAsiaTheme="minorEastAsia"/>
                <w:bCs/>
                <w:color w:val="auto"/>
                <w:sz w:val="21"/>
                <w:szCs w:val="21"/>
                <w:highlight w:val="none"/>
              </w:rPr>
              <w:t xml:space="preserve"> </w:t>
            </w:r>
          </w:p>
        </w:tc>
        <w:tc>
          <w:tcPr>
            <w:tcW w:w="4361" w:type="dxa"/>
            <w:tcBorders>
              <w:tl2br w:val="nil"/>
              <w:tr2bl w:val="nil"/>
            </w:tcBorders>
            <w:noWrap w:val="0"/>
            <w:vAlign w:val="top"/>
          </w:tcPr>
          <w:p w14:paraId="2DAB298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8.38</w:t>
            </w:r>
          </w:p>
        </w:tc>
      </w:tr>
      <w:tr w14:paraId="7DDFAE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360" w:type="dxa"/>
            <w:tcBorders>
              <w:tl2br w:val="nil"/>
              <w:tr2bl w:val="nil"/>
            </w:tcBorders>
            <w:noWrap w:val="0"/>
            <w:vAlign w:val="top"/>
          </w:tcPr>
          <w:p w14:paraId="12A61E87">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平均相对湿度</w:t>
            </w:r>
            <w:r>
              <w:rPr>
                <w:rFonts w:hint="default" w:ascii="Times New Roman" w:hAnsi="Times New Roman" w:cs="Times New Roman" w:eastAsiaTheme="minorEastAsia"/>
                <w:bCs/>
                <w:color w:val="auto"/>
                <w:sz w:val="21"/>
                <w:szCs w:val="21"/>
                <w:highlight w:val="none"/>
                <w:lang w:eastAsia="zh-CN"/>
              </w:rPr>
              <w:t>（</w:t>
            </w:r>
            <w:r>
              <w:rPr>
                <w:rFonts w:hint="default" w:ascii="Times New Roman" w:hAnsi="Times New Roman" w:cs="Times New Roman" w:eastAsiaTheme="minorEastAsia"/>
                <w:bCs/>
                <w:color w:val="auto"/>
                <w:sz w:val="21"/>
                <w:szCs w:val="21"/>
                <w:highlight w:val="none"/>
              </w:rPr>
              <w:t>%</w:t>
            </w:r>
            <w:r>
              <w:rPr>
                <w:rFonts w:hint="default" w:ascii="Times New Roman" w:hAnsi="Times New Roman" w:cs="Times New Roman" w:eastAsiaTheme="minorEastAsia"/>
                <w:bCs/>
                <w:color w:val="auto"/>
                <w:sz w:val="21"/>
                <w:szCs w:val="21"/>
                <w:highlight w:val="none"/>
                <w:lang w:eastAsia="zh-CN"/>
              </w:rPr>
              <w:t>）</w:t>
            </w:r>
            <w:r>
              <w:rPr>
                <w:rFonts w:hint="default" w:ascii="Times New Roman" w:hAnsi="Times New Roman" w:cs="Times New Roman" w:eastAsiaTheme="minorEastAsia"/>
                <w:bCs/>
                <w:color w:val="auto"/>
                <w:sz w:val="21"/>
                <w:szCs w:val="21"/>
                <w:highlight w:val="none"/>
              </w:rPr>
              <w:t xml:space="preserve"> </w:t>
            </w:r>
          </w:p>
        </w:tc>
        <w:tc>
          <w:tcPr>
            <w:tcW w:w="4361" w:type="dxa"/>
            <w:tcBorders>
              <w:tl2br w:val="nil"/>
              <w:tr2bl w:val="nil"/>
            </w:tcBorders>
            <w:noWrap w:val="0"/>
            <w:vAlign w:val="top"/>
          </w:tcPr>
          <w:p w14:paraId="7AAB807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66.3</w:t>
            </w:r>
          </w:p>
        </w:tc>
      </w:tr>
      <w:tr w14:paraId="0B2647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360" w:type="dxa"/>
            <w:tcBorders>
              <w:tl2br w:val="nil"/>
              <w:tr2bl w:val="nil"/>
            </w:tcBorders>
            <w:noWrap w:val="0"/>
            <w:vAlign w:val="top"/>
          </w:tcPr>
          <w:p w14:paraId="27F0604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平均年降水量</w:t>
            </w:r>
            <w:r>
              <w:rPr>
                <w:rFonts w:hint="default" w:ascii="Times New Roman" w:hAnsi="Times New Roman" w:cs="Times New Roman" w:eastAsiaTheme="minorEastAsia"/>
                <w:bCs/>
                <w:color w:val="auto"/>
                <w:sz w:val="21"/>
                <w:szCs w:val="21"/>
                <w:highlight w:val="none"/>
                <w:lang w:eastAsia="zh-CN"/>
              </w:rPr>
              <w:t>（</w:t>
            </w:r>
            <w:r>
              <w:rPr>
                <w:rFonts w:hint="default" w:ascii="Times New Roman" w:hAnsi="Times New Roman" w:cs="Times New Roman" w:eastAsiaTheme="minorEastAsia"/>
                <w:bCs/>
                <w:color w:val="auto"/>
                <w:sz w:val="21"/>
                <w:szCs w:val="21"/>
                <w:highlight w:val="none"/>
              </w:rPr>
              <w:t>mm</w:t>
            </w:r>
            <w:r>
              <w:rPr>
                <w:rFonts w:hint="default" w:ascii="Times New Roman" w:hAnsi="Times New Roman" w:cs="Times New Roman" w:eastAsiaTheme="minorEastAsia"/>
                <w:bCs/>
                <w:color w:val="auto"/>
                <w:sz w:val="21"/>
                <w:szCs w:val="21"/>
                <w:highlight w:val="none"/>
                <w:lang w:eastAsia="zh-CN"/>
              </w:rPr>
              <w:t>）</w:t>
            </w:r>
            <w:r>
              <w:rPr>
                <w:rFonts w:hint="default" w:ascii="Times New Roman" w:hAnsi="Times New Roman" w:cs="Times New Roman" w:eastAsiaTheme="minorEastAsia"/>
                <w:bCs/>
                <w:color w:val="auto"/>
                <w:sz w:val="21"/>
                <w:szCs w:val="21"/>
                <w:highlight w:val="none"/>
              </w:rPr>
              <w:t xml:space="preserve"> </w:t>
            </w:r>
          </w:p>
        </w:tc>
        <w:tc>
          <w:tcPr>
            <w:tcW w:w="4361" w:type="dxa"/>
            <w:tcBorders>
              <w:tl2br w:val="nil"/>
              <w:tr2bl w:val="nil"/>
            </w:tcBorders>
            <w:noWrap w:val="0"/>
            <w:vAlign w:val="top"/>
          </w:tcPr>
          <w:p w14:paraId="0B1DEC0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602.66</w:t>
            </w:r>
          </w:p>
        </w:tc>
      </w:tr>
      <w:tr w14:paraId="52E94B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360" w:type="dxa"/>
            <w:tcBorders>
              <w:tl2br w:val="nil"/>
              <w:tr2bl w:val="nil"/>
            </w:tcBorders>
            <w:noWrap w:val="0"/>
            <w:vAlign w:val="top"/>
          </w:tcPr>
          <w:p w14:paraId="52C2FA41">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平均风速</w:t>
            </w:r>
            <w:r>
              <w:rPr>
                <w:rFonts w:hint="default" w:ascii="Times New Roman" w:hAnsi="Times New Roman" w:cs="Times New Roman" w:eastAsiaTheme="minorEastAsia"/>
                <w:bCs/>
                <w:color w:val="auto"/>
                <w:sz w:val="21"/>
                <w:szCs w:val="21"/>
                <w:highlight w:val="none"/>
                <w:lang w:eastAsia="zh-CN"/>
              </w:rPr>
              <w:t>（</w:t>
            </w:r>
            <w:r>
              <w:rPr>
                <w:rFonts w:hint="default" w:ascii="Times New Roman" w:hAnsi="Times New Roman" w:cs="Times New Roman" w:eastAsiaTheme="minorEastAsia"/>
                <w:bCs/>
                <w:color w:val="auto"/>
                <w:sz w:val="21"/>
                <w:szCs w:val="21"/>
                <w:highlight w:val="none"/>
              </w:rPr>
              <w:t>m/s</w:t>
            </w:r>
            <w:r>
              <w:rPr>
                <w:rFonts w:hint="default" w:ascii="Times New Roman" w:hAnsi="Times New Roman" w:cs="Times New Roman" w:eastAsiaTheme="minorEastAsia"/>
                <w:bCs/>
                <w:color w:val="auto"/>
                <w:sz w:val="21"/>
                <w:szCs w:val="21"/>
                <w:highlight w:val="none"/>
                <w:lang w:eastAsia="zh-CN"/>
              </w:rPr>
              <w:t>）</w:t>
            </w:r>
            <w:r>
              <w:rPr>
                <w:rFonts w:hint="default" w:ascii="Times New Roman" w:hAnsi="Times New Roman" w:cs="Times New Roman" w:eastAsiaTheme="minorEastAsia"/>
                <w:bCs/>
                <w:color w:val="auto"/>
                <w:sz w:val="21"/>
                <w:szCs w:val="21"/>
                <w:highlight w:val="none"/>
              </w:rPr>
              <w:t xml:space="preserve"> </w:t>
            </w:r>
          </w:p>
        </w:tc>
        <w:tc>
          <w:tcPr>
            <w:tcW w:w="4361" w:type="dxa"/>
            <w:tcBorders>
              <w:tl2br w:val="nil"/>
              <w:tr2bl w:val="nil"/>
            </w:tcBorders>
            <w:noWrap w:val="0"/>
            <w:vAlign w:val="top"/>
          </w:tcPr>
          <w:p w14:paraId="653D264F">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2.52</w:t>
            </w:r>
          </w:p>
        </w:tc>
      </w:tr>
      <w:tr w14:paraId="6A9885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360" w:type="dxa"/>
            <w:tcBorders>
              <w:tl2br w:val="nil"/>
              <w:tr2bl w:val="nil"/>
            </w:tcBorders>
            <w:noWrap w:val="0"/>
            <w:vAlign w:val="top"/>
          </w:tcPr>
          <w:p w14:paraId="6964430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多年主导风向、风向频率</w:t>
            </w:r>
          </w:p>
        </w:tc>
        <w:tc>
          <w:tcPr>
            <w:tcW w:w="4361" w:type="dxa"/>
            <w:tcBorders>
              <w:tl2br w:val="nil"/>
              <w:tr2bl w:val="nil"/>
            </w:tcBorders>
            <w:noWrap w:val="0"/>
            <w:vAlign w:val="top"/>
          </w:tcPr>
          <w:p w14:paraId="4CA1ABE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rPr>
            </w:pPr>
            <w:r>
              <w:rPr>
                <w:rFonts w:hint="default" w:ascii="Times New Roman" w:hAnsi="Times New Roman" w:cs="Times New Roman" w:eastAsiaTheme="minorEastAsia"/>
                <w:bCs/>
                <w:color w:val="auto"/>
                <w:sz w:val="21"/>
                <w:szCs w:val="21"/>
                <w:highlight w:val="none"/>
                <w:lang w:val="en-US" w:eastAsia="zh-CN"/>
              </w:rPr>
              <w:t>SW</w:t>
            </w:r>
            <w:r>
              <w:rPr>
                <w:rFonts w:hint="default" w:ascii="Times New Roman" w:hAnsi="Times New Roman" w:cs="Times New Roman" w:eastAsiaTheme="minorEastAsia"/>
                <w:bCs/>
                <w:color w:val="auto"/>
                <w:sz w:val="21"/>
                <w:szCs w:val="21"/>
                <w:highlight w:val="none"/>
              </w:rPr>
              <w:t>/</w:t>
            </w:r>
            <w:r>
              <w:rPr>
                <w:rFonts w:hint="default" w:ascii="Times New Roman" w:hAnsi="Times New Roman" w:cs="Times New Roman" w:eastAsiaTheme="minorEastAsia"/>
                <w:bCs/>
                <w:color w:val="auto"/>
                <w:sz w:val="21"/>
                <w:szCs w:val="21"/>
                <w:highlight w:val="none"/>
                <w:lang w:val="en-US" w:eastAsia="zh-CN"/>
              </w:rPr>
              <w:t>15.18</w:t>
            </w:r>
            <w:r>
              <w:rPr>
                <w:rFonts w:hint="default" w:ascii="Times New Roman" w:hAnsi="Times New Roman" w:cs="Times New Roman" w:eastAsiaTheme="minorEastAsia"/>
                <w:bCs/>
                <w:color w:val="auto"/>
                <w:sz w:val="21"/>
                <w:szCs w:val="21"/>
                <w:highlight w:val="none"/>
              </w:rPr>
              <w:t>%</w:t>
            </w:r>
          </w:p>
        </w:tc>
      </w:tr>
    </w:tbl>
    <w:p w14:paraId="469F37A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sz w:val="21"/>
          <w:szCs w:val="24"/>
          <w:highlight w:val="none"/>
        </w:rPr>
      </w:pPr>
    </w:p>
    <w:p w14:paraId="46B258A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color w:val="auto"/>
          <w:sz w:val="28"/>
          <w:szCs w:val="28"/>
          <w:highlight w:val="none"/>
          <w:lang w:eastAsia="zh-CN"/>
        </w:rPr>
      </w:pPr>
      <w:r>
        <w:rPr>
          <w:rFonts w:ascii="Times New Roman" w:hAnsi="Times New Roman" w:eastAsia="宋体" w:cs="Times New Roman"/>
          <w:sz w:val="21"/>
          <w:szCs w:val="24"/>
          <w:highlight w:val="none"/>
        </w:rPr>
        <w:drawing>
          <wp:inline distT="0" distB="0" distL="114300" distR="114300">
            <wp:extent cx="5400040" cy="5979795"/>
            <wp:effectExtent l="0" t="0" r="10160" b="1905"/>
            <wp:docPr id="71"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43"/>
                    <pic:cNvPicPr>
                      <a:picLocks noChangeAspect="1"/>
                    </pic:cNvPicPr>
                  </pic:nvPicPr>
                  <pic:blipFill>
                    <a:blip r:embed="rId75"/>
                    <a:stretch>
                      <a:fillRect/>
                    </a:stretch>
                  </pic:blipFill>
                  <pic:spPr>
                    <a:xfrm>
                      <a:off x="0" y="0"/>
                      <a:ext cx="5400040" cy="5979795"/>
                    </a:xfrm>
                    <a:prstGeom prst="rect">
                      <a:avLst/>
                    </a:prstGeom>
                    <a:noFill/>
                    <a:ln>
                      <a:noFill/>
                    </a:ln>
                  </pic:spPr>
                </pic:pic>
              </a:graphicData>
            </a:graphic>
          </wp:inline>
        </w:drawing>
      </w:r>
    </w:p>
    <w:p w14:paraId="50E0DA26">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Times New Roman" w:hAnsi="Times New Roman" w:eastAsia="宋体" w:cs="Times New Roman"/>
          <w:color w:val="auto"/>
          <w:sz w:val="24"/>
          <w:szCs w:val="24"/>
          <w:highlight w:val="none"/>
          <w:lang w:val="en-US" w:eastAsia="zh-CN"/>
        </w:rPr>
        <w:sectPr>
          <w:pgSz w:w="11907" w:h="16840"/>
          <w:pgMar w:top="1701" w:right="1701" w:bottom="1474" w:left="1701" w:header="1134" w:footer="1134" w:gutter="0"/>
          <w:pgBorders>
            <w:top w:val="none" w:sz="0" w:space="0"/>
            <w:left w:val="none" w:sz="0" w:space="0"/>
            <w:bottom w:val="none" w:sz="0" w:space="0"/>
            <w:right w:val="none" w:sz="0" w:space="0"/>
          </w:pgBorders>
          <w:pgNumType w:fmt="decimal"/>
          <w:cols w:space="720" w:num="1"/>
          <w:rtlGutter w:val="0"/>
          <w:docGrid w:linePitch="312" w:charSpace="0"/>
        </w:sectPr>
      </w:pPr>
      <w:r>
        <w:rPr>
          <w:rFonts w:hint="default" w:ascii="Times New Roman" w:hAnsi="Times New Roman" w:eastAsia="宋体" w:cs="Times New Roman"/>
          <w:color w:val="auto"/>
          <w:sz w:val="24"/>
          <w:szCs w:val="24"/>
          <w:highlight w:val="none"/>
          <w:lang w:val="en-US" w:eastAsia="zh-CN"/>
        </w:rPr>
        <w:t>图</w:t>
      </w:r>
      <w:r>
        <w:rPr>
          <w:rFonts w:hint="eastAsia" w:ascii="Times New Roman" w:hAnsi="Times New Roman" w:eastAsia="宋体" w:cs="Times New Roman"/>
          <w:color w:val="auto"/>
          <w:sz w:val="24"/>
          <w:szCs w:val="24"/>
          <w:highlight w:val="none"/>
          <w:lang w:val="en-US" w:eastAsia="zh-CN"/>
        </w:rPr>
        <w:t>5.1-1</w:t>
      </w:r>
      <w:r>
        <w:rPr>
          <w:rFonts w:hint="default" w:ascii="Times New Roman" w:hAnsi="Times New Roman" w:eastAsia="宋体" w:cs="Times New Roman"/>
          <w:color w:val="auto"/>
          <w:sz w:val="24"/>
          <w:szCs w:val="24"/>
          <w:highlight w:val="none"/>
          <w:lang w:val="en-US" w:eastAsia="zh-CN"/>
        </w:rPr>
        <w:t xml:space="preserve">  </w:t>
      </w:r>
      <w:r>
        <w:rPr>
          <w:rFonts w:hint="eastAsia" w:ascii="Times New Roman" w:hAnsi="Times New Roman" w:eastAsia="宋体" w:cs="Times New Roman"/>
          <w:color w:val="auto"/>
          <w:sz w:val="24"/>
          <w:szCs w:val="24"/>
          <w:highlight w:val="none"/>
          <w:lang w:val="en-US" w:eastAsia="zh-CN"/>
        </w:rPr>
        <w:t>佳木斯市</w:t>
      </w:r>
      <w:r>
        <w:rPr>
          <w:rFonts w:hint="default" w:ascii="Times New Roman" w:hAnsi="Times New Roman" w:eastAsia="宋体" w:cs="Times New Roman"/>
          <w:color w:val="auto"/>
          <w:sz w:val="24"/>
          <w:szCs w:val="24"/>
          <w:highlight w:val="none"/>
          <w:lang w:val="en-US" w:eastAsia="zh-CN"/>
        </w:rPr>
        <w:t>（200</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202</w:t>
      </w:r>
      <w:r>
        <w:rPr>
          <w:rFonts w:hint="eastAsia"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lang w:val="en-US" w:eastAsia="zh-CN"/>
        </w:rPr>
        <w:t>年）20年风频玫瑰图</w:t>
      </w:r>
    </w:p>
    <w:p w14:paraId="4C097C2D">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表</w:t>
      </w:r>
      <w:r>
        <w:rPr>
          <w:rFonts w:hint="eastAsia" w:ascii="Times New Roman" w:hAnsi="Times New Roman" w:eastAsia="宋体" w:cs="Times New Roman"/>
          <w:color w:val="auto"/>
          <w:sz w:val="24"/>
          <w:szCs w:val="24"/>
          <w:highlight w:val="none"/>
          <w:lang w:val="en-US" w:eastAsia="zh-CN"/>
        </w:rPr>
        <w:t>5.1-2</w:t>
      </w:r>
      <w:r>
        <w:rPr>
          <w:rFonts w:hint="default" w:ascii="Times New Roman" w:hAnsi="Times New Roman" w:eastAsia="宋体" w:cs="Times New Roman"/>
          <w:color w:val="auto"/>
          <w:sz w:val="24"/>
          <w:szCs w:val="24"/>
          <w:highlight w:val="none"/>
          <w:lang w:val="en-US" w:eastAsia="zh-CN"/>
        </w:rPr>
        <w:t xml:space="preserve">  </w:t>
      </w:r>
      <w:r>
        <w:rPr>
          <w:rFonts w:hint="eastAsia" w:ascii="Times New Roman" w:hAnsi="Times New Roman" w:eastAsia="宋体" w:cs="Times New Roman"/>
          <w:color w:val="auto"/>
          <w:sz w:val="24"/>
          <w:szCs w:val="24"/>
          <w:highlight w:val="none"/>
          <w:lang w:val="en-US" w:eastAsia="zh-CN"/>
        </w:rPr>
        <w:t>佳木斯市</w:t>
      </w:r>
      <w:r>
        <w:rPr>
          <w:rFonts w:hint="default" w:ascii="Times New Roman" w:hAnsi="Times New Roman" w:eastAsia="宋体" w:cs="Times New Roman"/>
          <w:color w:val="auto"/>
          <w:sz w:val="24"/>
          <w:szCs w:val="24"/>
          <w:highlight w:val="none"/>
          <w:lang w:val="en-US" w:eastAsia="zh-CN"/>
        </w:rPr>
        <w:t>（2005—2024年）风向频率表（%）</w:t>
      </w:r>
    </w:p>
    <w:tbl>
      <w:tblPr>
        <w:tblStyle w:val="37"/>
        <w:tblW w:w="4996"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28" w:type="dxa"/>
          <w:bottom w:w="0" w:type="dxa"/>
          <w:right w:w="28" w:type="dxa"/>
        </w:tblCellMar>
      </w:tblPr>
      <w:tblGrid>
        <w:gridCol w:w="898"/>
        <w:gridCol w:w="712"/>
        <w:gridCol w:w="802"/>
        <w:gridCol w:w="679"/>
        <w:gridCol w:w="714"/>
        <w:gridCol w:w="626"/>
        <w:gridCol w:w="668"/>
        <w:gridCol w:w="662"/>
        <w:gridCol w:w="662"/>
        <w:gridCol w:w="712"/>
        <w:gridCol w:w="745"/>
        <w:gridCol w:w="832"/>
        <w:gridCol w:w="868"/>
        <w:gridCol w:w="885"/>
        <w:gridCol w:w="920"/>
        <w:gridCol w:w="813"/>
        <w:gridCol w:w="849"/>
        <w:gridCol w:w="663"/>
      </w:tblGrid>
      <w:tr w14:paraId="48A5AE3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397" w:hRule="atLeast"/>
          <w:jc w:val="center"/>
        </w:trPr>
        <w:tc>
          <w:tcPr>
            <w:tcW w:w="327" w:type="pct"/>
            <w:tcBorders>
              <w:tl2br w:val="nil"/>
              <w:tr2bl w:val="nil"/>
            </w:tcBorders>
            <w:noWrap w:val="0"/>
            <w:vAlign w:val="center"/>
          </w:tcPr>
          <w:p w14:paraId="3170998F">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风向</w:t>
            </w:r>
          </w:p>
        </w:tc>
        <w:tc>
          <w:tcPr>
            <w:tcW w:w="259" w:type="pct"/>
            <w:tcBorders>
              <w:tl2br w:val="nil"/>
              <w:tr2bl w:val="nil"/>
            </w:tcBorders>
            <w:noWrap w:val="0"/>
            <w:vAlign w:val="center"/>
          </w:tcPr>
          <w:p w14:paraId="55EBE04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rPr>
              <w:t>NNE</w:t>
            </w:r>
          </w:p>
        </w:tc>
        <w:tc>
          <w:tcPr>
            <w:tcW w:w="292" w:type="pct"/>
            <w:tcBorders>
              <w:tl2br w:val="nil"/>
              <w:tr2bl w:val="nil"/>
            </w:tcBorders>
            <w:noWrap w:val="0"/>
            <w:vAlign w:val="center"/>
          </w:tcPr>
          <w:p w14:paraId="610126B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rPr>
              <w:t>NE</w:t>
            </w:r>
          </w:p>
        </w:tc>
        <w:tc>
          <w:tcPr>
            <w:tcW w:w="247" w:type="pct"/>
            <w:tcBorders>
              <w:tl2br w:val="nil"/>
              <w:tr2bl w:val="nil"/>
            </w:tcBorders>
            <w:noWrap w:val="0"/>
            <w:vAlign w:val="center"/>
          </w:tcPr>
          <w:p w14:paraId="0A1DF09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rPr>
              <w:t>ENE</w:t>
            </w:r>
          </w:p>
        </w:tc>
        <w:tc>
          <w:tcPr>
            <w:tcW w:w="260" w:type="pct"/>
            <w:tcBorders>
              <w:tl2br w:val="nil"/>
              <w:tr2bl w:val="nil"/>
            </w:tcBorders>
            <w:noWrap w:val="0"/>
            <w:vAlign w:val="center"/>
          </w:tcPr>
          <w:p w14:paraId="338C5817">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rPr>
              <w:t>E</w:t>
            </w:r>
          </w:p>
        </w:tc>
        <w:tc>
          <w:tcPr>
            <w:tcW w:w="228" w:type="pct"/>
            <w:tcBorders>
              <w:tl2br w:val="nil"/>
              <w:tr2bl w:val="nil"/>
            </w:tcBorders>
            <w:noWrap w:val="0"/>
            <w:vAlign w:val="center"/>
          </w:tcPr>
          <w:p w14:paraId="023C4C9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rPr>
              <w:t>ESE</w:t>
            </w:r>
          </w:p>
        </w:tc>
        <w:tc>
          <w:tcPr>
            <w:tcW w:w="243" w:type="pct"/>
            <w:tcBorders>
              <w:tl2br w:val="nil"/>
              <w:tr2bl w:val="nil"/>
            </w:tcBorders>
            <w:noWrap w:val="0"/>
            <w:vAlign w:val="center"/>
          </w:tcPr>
          <w:p w14:paraId="7DFA619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rPr>
              <w:t>SE</w:t>
            </w:r>
          </w:p>
        </w:tc>
        <w:tc>
          <w:tcPr>
            <w:tcW w:w="241" w:type="pct"/>
            <w:tcBorders>
              <w:tl2br w:val="nil"/>
              <w:tr2bl w:val="nil"/>
            </w:tcBorders>
            <w:noWrap w:val="0"/>
            <w:vAlign w:val="center"/>
          </w:tcPr>
          <w:p w14:paraId="6A49DED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rPr>
              <w:t>SSE</w:t>
            </w:r>
          </w:p>
        </w:tc>
        <w:tc>
          <w:tcPr>
            <w:tcW w:w="241" w:type="pct"/>
            <w:tcBorders>
              <w:tl2br w:val="nil"/>
              <w:tr2bl w:val="nil"/>
            </w:tcBorders>
            <w:noWrap w:val="0"/>
            <w:vAlign w:val="center"/>
          </w:tcPr>
          <w:p w14:paraId="15A1186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rPr>
              <w:t>S</w:t>
            </w:r>
          </w:p>
        </w:tc>
        <w:tc>
          <w:tcPr>
            <w:tcW w:w="259" w:type="pct"/>
            <w:tcBorders>
              <w:tl2br w:val="nil"/>
              <w:tr2bl w:val="nil"/>
            </w:tcBorders>
            <w:noWrap w:val="0"/>
            <w:vAlign w:val="center"/>
          </w:tcPr>
          <w:p w14:paraId="09A6D3E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rPr>
              <w:t>SSW</w:t>
            </w:r>
          </w:p>
        </w:tc>
        <w:tc>
          <w:tcPr>
            <w:tcW w:w="271" w:type="pct"/>
            <w:tcBorders>
              <w:tl2br w:val="nil"/>
              <w:tr2bl w:val="nil"/>
            </w:tcBorders>
            <w:noWrap w:val="0"/>
            <w:vAlign w:val="center"/>
          </w:tcPr>
          <w:p w14:paraId="0FBE7C5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rPr>
              <w:t>SW</w:t>
            </w:r>
          </w:p>
        </w:tc>
        <w:tc>
          <w:tcPr>
            <w:tcW w:w="303" w:type="pct"/>
            <w:tcBorders>
              <w:tl2br w:val="nil"/>
              <w:tr2bl w:val="nil"/>
            </w:tcBorders>
            <w:noWrap w:val="0"/>
            <w:vAlign w:val="center"/>
          </w:tcPr>
          <w:p w14:paraId="1824573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rPr>
              <w:t>WSW</w:t>
            </w:r>
          </w:p>
        </w:tc>
        <w:tc>
          <w:tcPr>
            <w:tcW w:w="316" w:type="pct"/>
            <w:tcBorders>
              <w:tl2br w:val="nil"/>
              <w:tr2bl w:val="nil"/>
            </w:tcBorders>
            <w:noWrap w:val="0"/>
            <w:vAlign w:val="center"/>
          </w:tcPr>
          <w:p w14:paraId="11A2466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rPr>
              <w:t>W</w:t>
            </w:r>
          </w:p>
        </w:tc>
        <w:tc>
          <w:tcPr>
            <w:tcW w:w="322" w:type="pct"/>
            <w:tcBorders>
              <w:tl2br w:val="nil"/>
              <w:tr2bl w:val="nil"/>
            </w:tcBorders>
            <w:noWrap w:val="0"/>
            <w:vAlign w:val="center"/>
          </w:tcPr>
          <w:p w14:paraId="613C434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rPr>
              <w:t>WNW</w:t>
            </w:r>
          </w:p>
        </w:tc>
        <w:tc>
          <w:tcPr>
            <w:tcW w:w="335" w:type="pct"/>
            <w:tcBorders>
              <w:tl2br w:val="nil"/>
              <w:tr2bl w:val="nil"/>
            </w:tcBorders>
            <w:noWrap w:val="0"/>
            <w:vAlign w:val="center"/>
          </w:tcPr>
          <w:p w14:paraId="527CB5E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rPr>
              <w:t>NW</w:t>
            </w:r>
          </w:p>
        </w:tc>
        <w:tc>
          <w:tcPr>
            <w:tcW w:w="296" w:type="pct"/>
            <w:tcBorders>
              <w:tl2br w:val="nil"/>
              <w:tr2bl w:val="nil"/>
            </w:tcBorders>
            <w:noWrap w:val="0"/>
            <w:vAlign w:val="center"/>
          </w:tcPr>
          <w:p w14:paraId="4109402F">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rPr>
              <w:t>NNW</w:t>
            </w:r>
          </w:p>
        </w:tc>
        <w:tc>
          <w:tcPr>
            <w:tcW w:w="309" w:type="pct"/>
            <w:tcBorders>
              <w:tl2br w:val="nil"/>
              <w:tr2bl w:val="nil"/>
            </w:tcBorders>
            <w:noWrap w:val="0"/>
            <w:vAlign w:val="center"/>
          </w:tcPr>
          <w:p w14:paraId="270E0DE2">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rPr>
              <w:t>N</w:t>
            </w:r>
          </w:p>
        </w:tc>
        <w:tc>
          <w:tcPr>
            <w:tcW w:w="241" w:type="pct"/>
            <w:tcBorders>
              <w:tl2br w:val="nil"/>
              <w:tr2bl w:val="nil"/>
            </w:tcBorders>
            <w:noWrap w:val="0"/>
            <w:vAlign w:val="center"/>
          </w:tcPr>
          <w:p w14:paraId="51D484EC">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rPr>
              <w:t>C</w:t>
            </w:r>
          </w:p>
        </w:tc>
      </w:tr>
      <w:tr w14:paraId="76AAA66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397" w:hRule="atLeast"/>
          <w:jc w:val="center"/>
        </w:trPr>
        <w:tc>
          <w:tcPr>
            <w:tcW w:w="327" w:type="pct"/>
            <w:tcBorders>
              <w:tl2br w:val="nil"/>
              <w:tr2bl w:val="nil"/>
            </w:tcBorders>
            <w:noWrap w:val="0"/>
            <w:vAlign w:val="center"/>
          </w:tcPr>
          <w:p w14:paraId="78395A1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频率</w:t>
            </w:r>
          </w:p>
        </w:tc>
        <w:tc>
          <w:tcPr>
            <w:tcW w:w="712" w:type="dxa"/>
            <w:tcBorders>
              <w:tl2br w:val="nil"/>
              <w:tr2bl w:val="nil"/>
            </w:tcBorders>
            <w:noWrap w:val="0"/>
            <w:vAlign w:val="bottom"/>
          </w:tcPr>
          <w:p w14:paraId="6919EFF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 xml:space="preserve">4.06 </w:t>
            </w:r>
          </w:p>
        </w:tc>
        <w:tc>
          <w:tcPr>
            <w:tcW w:w="802" w:type="dxa"/>
            <w:tcBorders>
              <w:tl2br w:val="nil"/>
              <w:tr2bl w:val="nil"/>
            </w:tcBorders>
            <w:noWrap w:val="0"/>
            <w:vAlign w:val="bottom"/>
          </w:tcPr>
          <w:p w14:paraId="30C42D9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 xml:space="preserve">4.63 </w:t>
            </w:r>
          </w:p>
        </w:tc>
        <w:tc>
          <w:tcPr>
            <w:tcW w:w="679" w:type="dxa"/>
            <w:tcBorders>
              <w:tl2br w:val="nil"/>
              <w:tr2bl w:val="nil"/>
            </w:tcBorders>
            <w:noWrap w:val="0"/>
            <w:vAlign w:val="bottom"/>
          </w:tcPr>
          <w:p w14:paraId="015462E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 xml:space="preserve">3.51 </w:t>
            </w:r>
          </w:p>
        </w:tc>
        <w:tc>
          <w:tcPr>
            <w:tcW w:w="714" w:type="dxa"/>
            <w:tcBorders>
              <w:tl2br w:val="nil"/>
              <w:tr2bl w:val="nil"/>
            </w:tcBorders>
            <w:noWrap w:val="0"/>
            <w:vAlign w:val="bottom"/>
          </w:tcPr>
          <w:p w14:paraId="0F7FBAE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 xml:space="preserve">3.04 </w:t>
            </w:r>
          </w:p>
        </w:tc>
        <w:tc>
          <w:tcPr>
            <w:tcW w:w="626" w:type="dxa"/>
            <w:tcBorders>
              <w:tl2br w:val="nil"/>
              <w:tr2bl w:val="nil"/>
            </w:tcBorders>
            <w:noWrap w:val="0"/>
            <w:vAlign w:val="bottom"/>
          </w:tcPr>
          <w:p w14:paraId="437B733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 xml:space="preserve">2.74 </w:t>
            </w:r>
          </w:p>
        </w:tc>
        <w:tc>
          <w:tcPr>
            <w:tcW w:w="668" w:type="dxa"/>
            <w:tcBorders>
              <w:tl2br w:val="nil"/>
              <w:tr2bl w:val="nil"/>
            </w:tcBorders>
            <w:noWrap w:val="0"/>
            <w:vAlign w:val="bottom"/>
          </w:tcPr>
          <w:p w14:paraId="04A43C91">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 xml:space="preserve">3.46 </w:t>
            </w:r>
          </w:p>
        </w:tc>
        <w:tc>
          <w:tcPr>
            <w:tcW w:w="662" w:type="dxa"/>
            <w:tcBorders>
              <w:tl2br w:val="nil"/>
              <w:tr2bl w:val="nil"/>
            </w:tcBorders>
            <w:noWrap w:val="0"/>
            <w:vAlign w:val="bottom"/>
          </w:tcPr>
          <w:p w14:paraId="4117710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 xml:space="preserve">4.20 </w:t>
            </w:r>
          </w:p>
        </w:tc>
        <w:tc>
          <w:tcPr>
            <w:tcW w:w="662" w:type="dxa"/>
            <w:tcBorders>
              <w:tl2br w:val="nil"/>
              <w:tr2bl w:val="nil"/>
            </w:tcBorders>
            <w:noWrap w:val="0"/>
            <w:vAlign w:val="bottom"/>
          </w:tcPr>
          <w:p w14:paraId="3B48FBA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 xml:space="preserve">5.31 </w:t>
            </w:r>
          </w:p>
        </w:tc>
        <w:tc>
          <w:tcPr>
            <w:tcW w:w="712" w:type="dxa"/>
            <w:tcBorders>
              <w:tl2br w:val="nil"/>
              <w:tr2bl w:val="nil"/>
            </w:tcBorders>
            <w:noWrap w:val="0"/>
            <w:vAlign w:val="bottom"/>
          </w:tcPr>
          <w:p w14:paraId="6375FF1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 xml:space="preserve">7.93 </w:t>
            </w:r>
          </w:p>
        </w:tc>
        <w:tc>
          <w:tcPr>
            <w:tcW w:w="745" w:type="dxa"/>
            <w:tcBorders>
              <w:tl2br w:val="nil"/>
              <w:tr2bl w:val="nil"/>
            </w:tcBorders>
            <w:noWrap w:val="0"/>
            <w:vAlign w:val="bottom"/>
          </w:tcPr>
          <w:p w14:paraId="0BFF7EC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 xml:space="preserve">15.18 </w:t>
            </w:r>
          </w:p>
        </w:tc>
        <w:tc>
          <w:tcPr>
            <w:tcW w:w="832" w:type="dxa"/>
            <w:tcBorders>
              <w:tl2br w:val="nil"/>
              <w:tr2bl w:val="nil"/>
            </w:tcBorders>
            <w:noWrap w:val="0"/>
            <w:vAlign w:val="bottom"/>
          </w:tcPr>
          <w:p w14:paraId="544F107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 xml:space="preserve">13.47 </w:t>
            </w:r>
          </w:p>
        </w:tc>
        <w:tc>
          <w:tcPr>
            <w:tcW w:w="868" w:type="dxa"/>
            <w:tcBorders>
              <w:tl2br w:val="nil"/>
              <w:tr2bl w:val="nil"/>
            </w:tcBorders>
            <w:noWrap w:val="0"/>
            <w:vAlign w:val="bottom"/>
          </w:tcPr>
          <w:p w14:paraId="7876DF2F">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 xml:space="preserve">11.13 </w:t>
            </w:r>
          </w:p>
        </w:tc>
        <w:tc>
          <w:tcPr>
            <w:tcW w:w="885" w:type="dxa"/>
            <w:tcBorders>
              <w:tl2br w:val="nil"/>
              <w:tr2bl w:val="nil"/>
            </w:tcBorders>
            <w:noWrap w:val="0"/>
            <w:vAlign w:val="bottom"/>
          </w:tcPr>
          <w:p w14:paraId="4033316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 xml:space="preserve">6.52 </w:t>
            </w:r>
          </w:p>
        </w:tc>
        <w:tc>
          <w:tcPr>
            <w:tcW w:w="920" w:type="dxa"/>
            <w:tcBorders>
              <w:tl2br w:val="nil"/>
              <w:tr2bl w:val="nil"/>
            </w:tcBorders>
            <w:noWrap w:val="0"/>
            <w:vAlign w:val="bottom"/>
          </w:tcPr>
          <w:p w14:paraId="2F41E36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 xml:space="preserve">4.26 </w:t>
            </w:r>
          </w:p>
        </w:tc>
        <w:tc>
          <w:tcPr>
            <w:tcW w:w="813" w:type="dxa"/>
            <w:tcBorders>
              <w:tl2br w:val="nil"/>
              <w:tr2bl w:val="nil"/>
            </w:tcBorders>
            <w:noWrap w:val="0"/>
            <w:vAlign w:val="bottom"/>
          </w:tcPr>
          <w:p w14:paraId="7078A2A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 xml:space="preserve">3.45 </w:t>
            </w:r>
          </w:p>
        </w:tc>
        <w:tc>
          <w:tcPr>
            <w:tcW w:w="849" w:type="dxa"/>
            <w:tcBorders>
              <w:tl2br w:val="nil"/>
              <w:tr2bl w:val="nil"/>
            </w:tcBorders>
            <w:noWrap w:val="0"/>
            <w:vAlign w:val="bottom"/>
          </w:tcPr>
          <w:p w14:paraId="1F23143C">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 xml:space="preserve">3.61 </w:t>
            </w:r>
          </w:p>
        </w:tc>
        <w:tc>
          <w:tcPr>
            <w:tcW w:w="663" w:type="dxa"/>
            <w:tcBorders>
              <w:tl2br w:val="nil"/>
              <w:tr2bl w:val="nil"/>
            </w:tcBorders>
            <w:noWrap w:val="0"/>
            <w:vAlign w:val="bottom"/>
          </w:tcPr>
          <w:p w14:paraId="1593B5FC">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 xml:space="preserve">3.12 </w:t>
            </w:r>
          </w:p>
        </w:tc>
      </w:tr>
    </w:tbl>
    <w:p w14:paraId="63D52829">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表</w:t>
      </w:r>
      <w:r>
        <w:rPr>
          <w:rFonts w:hint="eastAsia" w:ascii="Times New Roman" w:hAnsi="Times New Roman" w:eastAsia="宋体" w:cs="Times New Roman"/>
          <w:color w:val="auto"/>
          <w:sz w:val="24"/>
          <w:szCs w:val="24"/>
          <w:highlight w:val="none"/>
          <w:lang w:val="en-US" w:eastAsia="zh-CN"/>
        </w:rPr>
        <w:t>5.1-3</w:t>
      </w:r>
      <w:r>
        <w:rPr>
          <w:rFonts w:hint="default" w:ascii="Times New Roman" w:hAnsi="Times New Roman" w:eastAsia="宋体" w:cs="Times New Roman"/>
          <w:color w:val="auto"/>
          <w:sz w:val="24"/>
          <w:szCs w:val="24"/>
          <w:highlight w:val="none"/>
          <w:lang w:val="en-US" w:eastAsia="zh-CN"/>
        </w:rPr>
        <w:t xml:space="preserve">  </w:t>
      </w:r>
      <w:r>
        <w:rPr>
          <w:rFonts w:hint="eastAsia" w:ascii="Times New Roman" w:hAnsi="Times New Roman" w:eastAsia="宋体" w:cs="Times New Roman"/>
          <w:color w:val="auto"/>
          <w:sz w:val="24"/>
          <w:szCs w:val="24"/>
          <w:highlight w:val="none"/>
          <w:lang w:val="en-US" w:eastAsia="zh-CN"/>
        </w:rPr>
        <w:t>佳木斯市</w:t>
      </w:r>
      <w:r>
        <w:rPr>
          <w:rFonts w:hint="default" w:ascii="Times New Roman" w:hAnsi="Times New Roman" w:eastAsia="宋体" w:cs="Times New Roman"/>
          <w:color w:val="auto"/>
          <w:sz w:val="24"/>
          <w:szCs w:val="24"/>
          <w:highlight w:val="none"/>
          <w:lang w:val="en-US" w:eastAsia="zh-CN"/>
        </w:rPr>
        <w:t>（2005—2024年）各月风向频率表（%）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39"/>
        <w:gridCol w:w="764"/>
        <w:gridCol w:w="764"/>
        <w:gridCol w:w="764"/>
        <w:gridCol w:w="764"/>
        <w:gridCol w:w="764"/>
        <w:gridCol w:w="765"/>
        <w:gridCol w:w="765"/>
        <w:gridCol w:w="765"/>
        <w:gridCol w:w="765"/>
        <w:gridCol w:w="765"/>
        <w:gridCol w:w="804"/>
        <w:gridCol w:w="765"/>
        <w:gridCol w:w="843"/>
        <w:gridCol w:w="765"/>
        <w:gridCol w:w="790"/>
        <w:gridCol w:w="765"/>
        <w:gridCol w:w="765"/>
      </w:tblGrid>
      <w:tr w14:paraId="2162AA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266" w:type="pct"/>
            <w:tcBorders>
              <w:tl2br w:val="nil"/>
              <w:tr2bl w:val="nil"/>
            </w:tcBorders>
            <w:noWrap w:val="0"/>
            <w:vAlign w:val="center"/>
          </w:tcPr>
          <w:p w14:paraId="192F0F6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风向</w:t>
            </w:r>
          </w:p>
        </w:tc>
        <w:tc>
          <w:tcPr>
            <w:tcW w:w="275" w:type="pct"/>
            <w:tcBorders>
              <w:tl2br w:val="nil"/>
              <w:tr2bl w:val="nil"/>
            </w:tcBorders>
            <w:noWrap w:val="0"/>
            <w:vAlign w:val="center"/>
          </w:tcPr>
          <w:p w14:paraId="0108C34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NNE</w:t>
            </w:r>
          </w:p>
        </w:tc>
        <w:tc>
          <w:tcPr>
            <w:tcW w:w="275" w:type="pct"/>
            <w:tcBorders>
              <w:tl2br w:val="nil"/>
              <w:tr2bl w:val="nil"/>
            </w:tcBorders>
            <w:noWrap w:val="0"/>
            <w:vAlign w:val="center"/>
          </w:tcPr>
          <w:p w14:paraId="24A2B8E2">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NE</w:t>
            </w:r>
          </w:p>
        </w:tc>
        <w:tc>
          <w:tcPr>
            <w:tcW w:w="275" w:type="pct"/>
            <w:tcBorders>
              <w:tl2br w:val="nil"/>
              <w:tr2bl w:val="nil"/>
            </w:tcBorders>
            <w:noWrap w:val="0"/>
            <w:vAlign w:val="center"/>
          </w:tcPr>
          <w:p w14:paraId="3ABBD712">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ENE</w:t>
            </w:r>
          </w:p>
        </w:tc>
        <w:tc>
          <w:tcPr>
            <w:tcW w:w="275" w:type="pct"/>
            <w:tcBorders>
              <w:tl2br w:val="nil"/>
              <w:tr2bl w:val="nil"/>
            </w:tcBorders>
            <w:noWrap w:val="0"/>
            <w:vAlign w:val="center"/>
          </w:tcPr>
          <w:p w14:paraId="6D42B51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E</w:t>
            </w:r>
          </w:p>
        </w:tc>
        <w:tc>
          <w:tcPr>
            <w:tcW w:w="275" w:type="pct"/>
            <w:tcBorders>
              <w:tl2br w:val="nil"/>
              <w:tr2bl w:val="nil"/>
            </w:tcBorders>
            <w:noWrap w:val="0"/>
            <w:vAlign w:val="center"/>
          </w:tcPr>
          <w:p w14:paraId="147A7E7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ESE</w:t>
            </w:r>
          </w:p>
        </w:tc>
        <w:tc>
          <w:tcPr>
            <w:tcW w:w="275" w:type="pct"/>
            <w:tcBorders>
              <w:tl2br w:val="nil"/>
              <w:tr2bl w:val="nil"/>
            </w:tcBorders>
            <w:noWrap w:val="0"/>
            <w:vAlign w:val="center"/>
          </w:tcPr>
          <w:p w14:paraId="44C3110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SE</w:t>
            </w:r>
          </w:p>
        </w:tc>
        <w:tc>
          <w:tcPr>
            <w:tcW w:w="275" w:type="pct"/>
            <w:tcBorders>
              <w:tl2br w:val="nil"/>
              <w:tr2bl w:val="nil"/>
            </w:tcBorders>
            <w:noWrap w:val="0"/>
            <w:vAlign w:val="center"/>
          </w:tcPr>
          <w:p w14:paraId="0012186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SSE</w:t>
            </w:r>
          </w:p>
        </w:tc>
        <w:tc>
          <w:tcPr>
            <w:tcW w:w="275" w:type="pct"/>
            <w:tcBorders>
              <w:tl2br w:val="nil"/>
              <w:tr2bl w:val="nil"/>
            </w:tcBorders>
            <w:noWrap w:val="0"/>
            <w:vAlign w:val="center"/>
          </w:tcPr>
          <w:p w14:paraId="3927E79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S</w:t>
            </w:r>
          </w:p>
        </w:tc>
        <w:tc>
          <w:tcPr>
            <w:tcW w:w="275" w:type="pct"/>
            <w:tcBorders>
              <w:tl2br w:val="nil"/>
              <w:tr2bl w:val="nil"/>
            </w:tcBorders>
            <w:noWrap w:val="0"/>
            <w:vAlign w:val="center"/>
          </w:tcPr>
          <w:p w14:paraId="54D5A2C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SSW</w:t>
            </w:r>
          </w:p>
        </w:tc>
        <w:tc>
          <w:tcPr>
            <w:tcW w:w="275" w:type="pct"/>
            <w:tcBorders>
              <w:tl2br w:val="nil"/>
              <w:tr2bl w:val="nil"/>
            </w:tcBorders>
            <w:noWrap w:val="0"/>
            <w:vAlign w:val="center"/>
          </w:tcPr>
          <w:p w14:paraId="1E4BA2E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SW</w:t>
            </w:r>
          </w:p>
        </w:tc>
        <w:tc>
          <w:tcPr>
            <w:tcW w:w="289" w:type="pct"/>
            <w:tcBorders>
              <w:tl2br w:val="nil"/>
              <w:tr2bl w:val="nil"/>
            </w:tcBorders>
            <w:noWrap w:val="0"/>
            <w:vAlign w:val="center"/>
          </w:tcPr>
          <w:p w14:paraId="4F5FD24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WSW</w:t>
            </w:r>
          </w:p>
        </w:tc>
        <w:tc>
          <w:tcPr>
            <w:tcW w:w="275" w:type="pct"/>
            <w:tcBorders>
              <w:tl2br w:val="nil"/>
              <w:tr2bl w:val="nil"/>
            </w:tcBorders>
            <w:noWrap w:val="0"/>
            <w:vAlign w:val="center"/>
          </w:tcPr>
          <w:p w14:paraId="0CEA27F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W</w:t>
            </w:r>
          </w:p>
        </w:tc>
        <w:tc>
          <w:tcPr>
            <w:tcW w:w="303" w:type="pct"/>
            <w:tcBorders>
              <w:tl2br w:val="nil"/>
              <w:tr2bl w:val="nil"/>
            </w:tcBorders>
            <w:noWrap w:val="0"/>
            <w:vAlign w:val="center"/>
          </w:tcPr>
          <w:p w14:paraId="4A1A6221">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WNW</w:t>
            </w:r>
          </w:p>
        </w:tc>
        <w:tc>
          <w:tcPr>
            <w:tcW w:w="275" w:type="pct"/>
            <w:tcBorders>
              <w:tl2br w:val="nil"/>
              <w:tr2bl w:val="nil"/>
            </w:tcBorders>
            <w:noWrap w:val="0"/>
            <w:vAlign w:val="center"/>
          </w:tcPr>
          <w:p w14:paraId="741838E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NW</w:t>
            </w:r>
          </w:p>
        </w:tc>
        <w:tc>
          <w:tcPr>
            <w:tcW w:w="284" w:type="pct"/>
            <w:tcBorders>
              <w:tl2br w:val="nil"/>
              <w:tr2bl w:val="nil"/>
            </w:tcBorders>
            <w:noWrap w:val="0"/>
            <w:vAlign w:val="center"/>
          </w:tcPr>
          <w:p w14:paraId="535169E1">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NNW</w:t>
            </w:r>
          </w:p>
        </w:tc>
        <w:tc>
          <w:tcPr>
            <w:tcW w:w="275" w:type="pct"/>
            <w:tcBorders>
              <w:tl2br w:val="nil"/>
              <w:tr2bl w:val="nil"/>
            </w:tcBorders>
            <w:noWrap w:val="0"/>
            <w:vAlign w:val="center"/>
          </w:tcPr>
          <w:p w14:paraId="709A46D1">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N</w:t>
            </w:r>
          </w:p>
        </w:tc>
        <w:tc>
          <w:tcPr>
            <w:tcW w:w="275" w:type="pct"/>
            <w:tcBorders>
              <w:tl2br w:val="nil"/>
              <w:tr2bl w:val="nil"/>
            </w:tcBorders>
            <w:noWrap w:val="0"/>
            <w:vAlign w:val="center"/>
          </w:tcPr>
          <w:p w14:paraId="3112102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C</w:t>
            </w:r>
          </w:p>
        </w:tc>
      </w:tr>
      <w:tr w14:paraId="101315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dxa"/>
            <w:tcBorders>
              <w:tl2br w:val="nil"/>
              <w:tr2bl w:val="nil"/>
            </w:tcBorders>
            <w:noWrap w:val="0"/>
            <w:vAlign w:val="center"/>
          </w:tcPr>
          <w:p w14:paraId="5D579727">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rPr>
              <w:t>2005</w:t>
            </w:r>
          </w:p>
        </w:tc>
        <w:tc>
          <w:tcPr>
            <w:tcW w:w="764" w:type="dxa"/>
            <w:tcBorders>
              <w:tl2br w:val="nil"/>
              <w:tr2bl w:val="nil"/>
            </w:tcBorders>
            <w:noWrap w:val="0"/>
            <w:vAlign w:val="center"/>
          </w:tcPr>
          <w:p w14:paraId="649E6C0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3.96</w:t>
            </w:r>
          </w:p>
        </w:tc>
        <w:tc>
          <w:tcPr>
            <w:tcW w:w="764" w:type="dxa"/>
            <w:tcBorders>
              <w:tl2br w:val="nil"/>
              <w:tr2bl w:val="nil"/>
            </w:tcBorders>
            <w:noWrap w:val="0"/>
            <w:vAlign w:val="center"/>
          </w:tcPr>
          <w:p w14:paraId="654FF08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5.30</w:t>
            </w:r>
          </w:p>
        </w:tc>
        <w:tc>
          <w:tcPr>
            <w:tcW w:w="764" w:type="dxa"/>
            <w:tcBorders>
              <w:tl2br w:val="nil"/>
              <w:tr2bl w:val="nil"/>
            </w:tcBorders>
            <w:noWrap w:val="0"/>
            <w:vAlign w:val="center"/>
          </w:tcPr>
          <w:p w14:paraId="370B0AC1">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3.86</w:t>
            </w:r>
          </w:p>
        </w:tc>
        <w:tc>
          <w:tcPr>
            <w:tcW w:w="764" w:type="dxa"/>
            <w:tcBorders>
              <w:tl2br w:val="nil"/>
              <w:tr2bl w:val="nil"/>
            </w:tcBorders>
            <w:noWrap w:val="0"/>
            <w:vAlign w:val="center"/>
          </w:tcPr>
          <w:p w14:paraId="20267285">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3.38</w:t>
            </w:r>
          </w:p>
        </w:tc>
        <w:tc>
          <w:tcPr>
            <w:tcW w:w="764" w:type="dxa"/>
            <w:tcBorders>
              <w:tl2br w:val="nil"/>
              <w:tr2bl w:val="nil"/>
            </w:tcBorders>
            <w:noWrap w:val="0"/>
            <w:vAlign w:val="center"/>
          </w:tcPr>
          <w:p w14:paraId="761FCF7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2.46</w:t>
            </w:r>
          </w:p>
        </w:tc>
        <w:tc>
          <w:tcPr>
            <w:tcW w:w="765" w:type="dxa"/>
            <w:tcBorders>
              <w:tl2br w:val="nil"/>
              <w:tr2bl w:val="nil"/>
            </w:tcBorders>
            <w:noWrap w:val="0"/>
            <w:vAlign w:val="center"/>
          </w:tcPr>
          <w:p w14:paraId="522C0A87">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3.29</w:t>
            </w:r>
          </w:p>
        </w:tc>
        <w:tc>
          <w:tcPr>
            <w:tcW w:w="765" w:type="dxa"/>
            <w:tcBorders>
              <w:tl2br w:val="nil"/>
              <w:tr2bl w:val="nil"/>
            </w:tcBorders>
            <w:noWrap w:val="0"/>
            <w:vAlign w:val="center"/>
          </w:tcPr>
          <w:p w14:paraId="231CB06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3.64</w:t>
            </w:r>
          </w:p>
        </w:tc>
        <w:tc>
          <w:tcPr>
            <w:tcW w:w="765" w:type="dxa"/>
            <w:tcBorders>
              <w:tl2br w:val="nil"/>
              <w:tr2bl w:val="nil"/>
            </w:tcBorders>
            <w:noWrap w:val="0"/>
            <w:vAlign w:val="center"/>
          </w:tcPr>
          <w:p w14:paraId="768ED5B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3.73</w:t>
            </w:r>
          </w:p>
        </w:tc>
        <w:tc>
          <w:tcPr>
            <w:tcW w:w="765" w:type="dxa"/>
            <w:tcBorders>
              <w:tl2br w:val="nil"/>
              <w:tr2bl w:val="nil"/>
            </w:tcBorders>
            <w:noWrap w:val="0"/>
            <w:vAlign w:val="center"/>
          </w:tcPr>
          <w:p w14:paraId="025787E1">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6.47</w:t>
            </w:r>
          </w:p>
        </w:tc>
        <w:tc>
          <w:tcPr>
            <w:tcW w:w="765" w:type="dxa"/>
            <w:tcBorders>
              <w:tl2br w:val="nil"/>
              <w:tr2bl w:val="nil"/>
            </w:tcBorders>
            <w:noWrap w:val="0"/>
            <w:vAlign w:val="center"/>
          </w:tcPr>
          <w:p w14:paraId="04660E8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13.13</w:t>
            </w:r>
          </w:p>
        </w:tc>
        <w:tc>
          <w:tcPr>
            <w:tcW w:w="804" w:type="dxa"/>
            <w:tcBorders>
              <w:tl2br w:val="nil"/>
              <w:tr2bl w:val="nil"/>
            </w:tcBorders>
            <w:noWrap w:val="0"/>
            <w:vAlign w:val="center"/>
          </w:tcPr>
          <w:p w14:paraId="2DAC3B9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17.93</w:t>
            </w:r>
          </w:p>
        </w:tc>
        <w:tc>
          <w:tcPr>
            <w:tcW w:w="765" w:type="dxa"/>
            <w:tcBorders>
              <w:tl2br w:val="nil"/>
              <w:tr2bl w:val="nil"/>
            </w:tcBorders>
            <w:noWrap w:val="0"/>
            <w:vAlign w:val="center"/>
          </w:tcPr>
          <w:p w14:paraId="17AD1E6F">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15.69</w:t>
            </w:r>
          </w:p>
        </w:tc>
        <w:tc>
          <w:tcPr>
            <w:tcW w:w="843" w:type="dxa"/>
            <w:tcBorders>
              <w:tl2br w:val="nil"/>
              <w:tr2bl w:val="nil"/>
            </w:tcBorders>
            <w:noWrap w:val="0"/>
            <w:vAlign w:val="center"/>
          </w:tcPr>
          <w:p w14:paraId="3504D32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6.91</w:t>
            </w:r>
          </w:p>
        </w:tc>
        <w:tc>
          <w:tcPr>
            <w:tcW w:w="765" w:type="dxa"/>
            <w:tcBorders>
              <w:tl2br w:val="nil"/>
              <w:tr2bl w:val="nil"/>
            </w:tcBorders>
            <w:noWrap w:val="0"/>
            <w:vAlign w:val="center"/>
          </w:tcPr>
          <w:p w14:paraId="459BD28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4.55</w:t>
            </w:r>
          </w:p>
        </w:tc>
        <w:tc>
          <w:tcPr>
            <w:tcW w:w="790" w:type="dxa"/>
            <w:tcBorders>
              <w:tl2br w:val="nil"/>
              <w:tr2bl w:val="nil"/>
            </w:tcBorders>
            <w:noWrap w:val="0"/>
            <w:vAlign w:val="center"/>
          </w:tcPr>
          <w:p w14:paraId="72B1148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2.75</w:t>
            </w:r>
          </w:p>
        </w:tc>
        <w:tc>
          <w:tcPr>
            <w:tcW w:w="765" w:type="dxa"/>
            <w:tcBorders>
              <w:tl2br w:val="nil"/>
              <w:tr2bl w:val="nil"/>
            </w:tcBorders>
            <w:noWrap w:val="0"/>
            <w:vAlign w:val="center"/>
          </w:tcPr>
          <w:p w14:paraId="4848E2B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2.91</w:t>
            </w:r>
          </w:p>
        </w:tc>
        <w:tc>
          <w:tcPr>
            <w:tcW w:w="765" w:type="dxa"/>
            <w:tcBorders>
              <w:tl2br w:val="nil"/>
              <w:tr2bl w:val="nil"/>
            </w:tcBorders>
            <w:noWrap w:val="0"/>
            <w:vAlign w:val="center"/>
          </w:tcPr>
          <w:p w14:paraId="424DB64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0.03</w:t>
            </w:r>
          </w:p>
        </w:tc>
      </w:tr>
      <w:tr w14:paraId="307CFA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dxa"/>
            <w:tcBorders>
              <w:tl2br w:val="nil"/>
              <w:tr2bl w:val="nil"/>
            </w:tcBorders>
            <w:noWrap w:val="0"/>
            <w:vAlign w:val="center"/>
          </w:tcPr>
          <w:p w14:paraId="3B6CAB82">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rPr>
              <w:t>2006</w:t>
            </w:r>
          </w:p>
        </w:tc>
        <w:tc>
          <w:tcPr>
            <w:tcW w:w="764" w:type="dxa"/>
            <w:tcBorders>
              <w:tl2br w:val="nil"/>
              <w:tr2bl w:val="nil"/>
            </w:tcBorders>
            <w:noWrap w:val="0"/>
            <w:vAlign w:val="center"/>
          </w:tcPr>
          <w:p w14:paraId="32F1B8BC">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5.78</w:t>
            </w:r>
          </w:p>
        </w:tc>
        <w:tc>
          <w:tcPr>
            <w:tcW w:w="764" w:type="dxa"/>
            <w:tcBorders>
              <w:tl2br w:val="nil"/>
              <w:tr2bl w:val="nil"/>
            </w:tcBorders>
            <w:noWrap w:val="0"/>
            <w:vAlign w:val="center"/>
          </w:tcPr>
          <w:p w14:paraId="03FCD47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5.87</w:t>
            </w:r>
          </w:p>
        </w:tc>
        <w:tc>
          <w:tcPr>
            <w:tcW w:w="764" w:type="dxa"/>
            <w:tcBorders>
              <w:tl2br w:val="nil"/>
              <w:tr2bl w:val="nil"/>
            </w:tcBorders>
            <w:noWrap w:val="0"/>
            <w:vAlign w:val="center"/>
          </w:tcPr>
          <w:p w14:paraId="2EDD7D0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2.90</w:t>
            </w:r>
          </w:p>
        </w:tc>
        <w:tc>
          <w:tcPr>
            <w:tcW w:w="764" w:type="dxa"/>
            <w:tcBorders>
              <w:tl2br w:val="nil"/>
              <w:tr2bl w:val="nil"/>
            </w:tcBorders>
            <w:noWrap w:val="0"/>
            <w:vAlign w:val="center"/>
          </w:tcPr>
          <w:p w14:paraId="1475214C">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3.17</w:t>
            </w:r>
          </w:p>
        </w:tc>
        <w:tc>
          <w:tcPr>
            <w:tcW w:w="764" w:type="dxa"/>
            <w:tcBorders>
              <w:tl2br w:val="nil"/>
              <w:tr2bl w:val="nil"/>
            </w:tcBorders>
            <w:noWrap w:val="0"/>
            <w:vAlign w:val="center"/>
          </w:tcPr>
          <w:p w14:paraId="6E57789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2.65</w:t>
            </w:r>
          </w:p>
        </w:tc>
        <w:tc>
          <w:tcPr>
            <w:tcW w:w="765" w:type="dxa"/>
            <w:tcBorders>
              <w:tl2br w:val="nil"/>
              <w:tr2bl w:val="nil"/>
            </w:tcBorders>
            <w:noWrap w:val="0"/>
            <w:vAlign w:val="center"/>
          </w:tcPr>
          <w:p w14:paraId="5757058C">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3.98</w:t>
            </w:r>
          </w:p>
        </w:tc>
        <w:tc>
          <w:tcPr>
            <w:tcW w:w="765" w:type="dxa"/>
            <w:tcBorders>
              <w:tl2br w:val="nil"/>
              <w:tr2bl w:val="nil"/>
            </w:tcBorders>
            <w:noWrap w:val="0"/>
            <w:vAlign w:val="center"/>
          </w:tcPr>
          <w:p w14:paraId="21B3714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3.22</w:t>
            </w:r>
          </w:p>
        </w:tc>
        <w:tc>
          <w:tcPr>
            <w:tcW w:w="765" w:type="dxa"/>
            <w:tcBorders>
              <w:tl2br w:val="nil"/>
              <w:tr2bl w:val="nil"/>
            </w:tcBorders>
            <w:noWrap w:val="0"/>
            <w:vAlign w:val="center"/>
          </w:tcPr>
          <w:p w14:paraId="5B396E4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3.89</w:t>
            </w:r>
          </w:p>
        </w:tc>
        <w:tc>
          <w:tcPr>
            <w:tcW w:w="765" w:type="dxa"/>
            <w:tcBorders>
              <w:tl2br w:val="nil"/>
              <w:tr2bl w:val="nil"/>
            </w:tcBorders>
            <w:noWrap w:val="0"/>
            <w:vAlign w:val="center"/>
          </w:tcPr>
          <w:p w14:paraId="1998592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5.46</w:t>
            </w:r>
          </w:p>
        </w:tc>
        <w:tc>
          <w:tcPr>
            <w:tcW w:w="765" w:type="dxa"/>
            <w:tcBorders>
              <w:tl2br w:val="nil"/>
              <w:tr2bl w:val="nil"/>
            </w:tcBorders>
            <w:noWrap w:val="0"/>
            <w:vAlign w:val="center"/>
          </w:tcPr>
          <w:p w14:paraId="312ACEB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14.77</w:t>
            </w:r>
          </w:p>
        </w:tc>
        <w:tc>
          <w:tcPr>
            <w:tcW w:w="804" w:type="dxa"/>
            <w:tcBorders>
              <w:tl2br w:val="nil"/>
              <w:tr2bl w:val="nil"/>
            </w:tcBorders>
            <w:noWrap w:val="0"/>
            <w:vAlign w:val="center"/>
          </w:tcPr>
          <w:p w14:paraId="3C3F099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18.78</w:t>
            </w:r>
          </w:p>
        </w:tc>
        <w:tc>
          <w:tcPr>
            <w:tcW w:w="765" w:type="dxa"/>
            <w:tcBorders>
              <w:tl2br w:val="nil"/>
              <w:tr2bl w:val="nil"/>
            </w:tcBorders>
            <w:noWrap w:val="0"/>
            <w:vAlign w:val="center"/>
          </w:tcPr>
          <w:p w14:paraId="755652F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14.24</w:t>
            </w:r>
          </w:p>
        </w:tc>
        <w:tc>
          <w:tcPr>
            <w:tcW w:w="843" w:type="dxa"/>
            <w:tcBorders>
              <w:tl2br w:val="nil"/>
              <w:tr2bl w:val="nil"/>
            </w:tcBorders>
            <w:noWrap w:val="0"/>
            <w:vAlign w:val="center"/>
          </w:tcPr>
          <w:p w14:paraId="4B69F5F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5.18</w:t>
            </w:r>
          </w:p>
        </w:tc>
        <w:tc>
          <w:tcPr>
            <w:tcW w:w="765" w:type="dxa"/>
            <w:tcBorders>
              <w:tl2br w:val="nil"/>
              <w:tr2bl w:val="nil"/>
            </w:tcBorders>
            <w:noWrap w:val="0"/>
            <w:vAlign w:val="center"/>
          </w:tcPr>
          <w:p w14:paraId="22769A7F">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3.31</w:t>
            </w:r>
          </w:p>
        </w:tc>
        <w:tc>
          <w:tcPr>
            <w:tcW w:w="790" w:type="dxa"/>
            <w:tcBorders>
              <w:tl2br w:val="nil"/>
              <w:tr2bl w:val="nil"/>
            </w:tcBorders>
            <w:noWrap w:val="0"/>
            <w:vAlign w:val="center"/>
          </w:tcPr>
          <w:p w14:paraId="4A6AFF5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2.78</w:t>
            </w:r>
          </w:p>
        </w:tc>
        <w:tc>
          <w:tcPr>
            <w:tcW w:w="765" w:type="dxa"/>
            <w:tcBorders>
              <w:tl2br w:val="nil"/>
              <w:tr2bl w:val="nil"/>
            </w:tcBorders>
            <w:noWrap w:val="0"/>
            <w:vAlign w:val="center"/>
          </w:tcPr>
          <w:p w14:paraId="711D624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4.04</w:t>
            </w:r>
          </w:p>
        </w:tc>
        <w:tc>
          <w:tcPr>
            <w:tcW w:w="765" w:type="dxa"/>
            <w:tcBorders>
              <w:tl2br w:val="nil"/>
              <w:tr2bl w:val="nil"/>
            </w:tcBorders>
            <w:noWrap w:val="0"/>
            <w:vAlign w:val="center"/>
          </w:tcPr>
          <w:p w14:paraId="45D9109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0.00</w:t>
            </w:r>
          </w:p>
        </w:tc>
      </w:tr>
      <w:tr w14:paraId="7DCDCF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dxa"/>
            <w:tcBorders>
              <w:tl2br w:val="nil"/>
              <w:tr2bl w:val="nil"/>
            </w:tcBorders>
            <w:noWrap w:val="0"/>
            <w:vAlign w:val="center"/>
          </w:tcPr>
          <w:p w14:paraId="5EA4DA8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rPr>
              <w:t>2007</w:t>
            </w:r>
          </w:p>
        </w:tc>
        <w:tc>
          <w:tcPr>
            <w:tcW w:w="764" w:type="dxa"/>
            <w:tcBorders>
              <w:tl2br w:val="nil"/>
              <w:tr2bl w:val="nil"/>
            </w:tcBorders>
            <w:noWrap w:val="0"/>
            <w:vAlign w:val="center"/>
          </w:tcPr>
          <w:p w14:paraId="2538DE6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5.53</w:t>
            </w:r>
          </w:p>
        </w:tc>
        <w:tc>
          <w:tcPr>
            <w:tcW w:w="764" w:type="dxa"/>
            <w:tcBorders>
              <w:tl2br w:val="nil"/>
              <w:tr2bl w:val="nil"/>
            </w:tcBorders>
            <w:noWrap w:val="0"/>
            <w:vAlign w:val="center"/>
          </w:tcPr>
          <w:p w14:paraId="52F2984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5.12</w:t>
            </w:r>
          </w:p>
        </w:tc>
        <w:tc>
          <w:tcPr>
            <w:tcW w:w="764" w:type="dxa"/>
            <w:tcBorders>
              <w:tl2br w:val="nil"/>
              <w:tr2bl w:val="nil"/>
            </w:tcBorders>
            <w:noWrap w:val="0"/>
            <w:vAlign w:val="center"/>
          </w:tcPr>
          <w:p w14:paraId="6383143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3.50</w:t>
            </w:r>
          </w:p>
        </w:tc>
        <w:tc>
          <w:tcPr>
            <w:tcW w:w="764" w:type="dxa"/>
            <w:tcBorders>
              <w:tl2br w:val="nil"/>
              <w:tr2bl w:val="nil"/>
            </w:tcBorders>
            <w:noWrap w:val="0"/>
            <w:vAlign w:val="center"/>
          </w:tcPr>
          <w:p w14:paraId="282421B5">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3.08</w:t>
            </w:r>
          </w:p>
        </w:tc>
        <w:tc>
          <w:tcPr>
            <w:tcW w:w="764" w:type="dxa"/>
            <w:tcBorders>
              <w:tl2br w:val="nil"/>
              <w:tr2bl w:val="nil"/>
            </w:tcBorders>
            <w:noWrap w:val="0"/>
            <w:vAlign w:val="center"/>
          </w:tcPr>
          <w:p w14:paraId="0F6EEA8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2.65</w:t>
            </w:r>
          </w:p>
        </w:tc>
        <w:tc>
          <w:tcPr>
            <w:tcW w:w="765" w:type="dxa"/>
            <w:tcBorders>
              <w:tl2br w:val="nil"/>
              <w:tr2bl w:val="nil"/>
            </w:tcBorders>
            <w:noWrap w:val="0"/>
            <w:vAlign w:val="center"/>
          </w:tcPr>
          <w:p w14:paraId="0CFD5D6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3.41</w:t>
            </w:r>
          </w:p>
        </w:tc>
        <w:tc>
          <w:tcPr>
            <w:tcW w:w="765" w:type="dxa"/>
            <w:tcBorders>
              <w:tl2br w:val="nil"/>
              <w:tr2bl w:val="nil"/>
            </w:tcBorders>
            <w:noWrap w:val="0"/>
            <w:vAlign w:val="center"/>
          </w:tcPr>
          <w:p w14:paraId="5781188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3.88</w:t>
            </w:r>
          </w:p>
        </w:tc>
        <w:tc>
          <w:tcPr>
            <w:tcW w:w="765" w:type="dxa"/>
            <w:tcBorders>
              <w:tl2br w:val="nil"/>
              <w:tr2bl w:val="nil"/>
            </w:tcBorders>
            <w:noWrap w:val="0"/>
            <w:vAlign w:val="center"/>
          </w:tcPr>
          <w:p w14:paraId="64ED7925">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4.95</w:t>
            </w:r>
          </w:p>
        </w:tc>
        <w:tc>
          <w:tcPr>
            <w:tcW w:w="765" w:type="dxa"/>
            <w:tcBorders>
              <w:tl2br w:val="nil"/>
              <w:tr2bl w:val="nil"/>
            </w:tcBorders>
            <w:noWrap w:val="0"/>
            <w:vAlign w:val="center"/>
          </w:tcPr>
          <w:p w14:paraId="359E5FC5">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8.01</w:t>
            </w:r>
          </w:p>
        </w:tc>
        <w:tc>
          <w:tcPr>
            <w:tcW w:w="765" w:type="dxa"/>
            <w:tcBorders>
              <w:tl2br w:val="nil"/>
              <w:tr2bl w:val="nil"/>
            </w:tcBorders>
            <w:noWrap w:val="0"/>
            <w:vAlign w:val="center"/>
          </w:tcPr>
          <w:p w14:paraId="2D10AF3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15.13</w:t>
            </w:r>
          </w:p>
        </w:tc>
        <w:tc>
          <w:tcPr>
            <w:tcW w:w="804" w:type="dxa"/>
            <w:tcBorders>
              <w:tl2br w:val="nil"/>
              <w:tr2bl w:val="nil"/>
            </w:tcBorders>
            <w:noWrap w:val="0"/>
            <w:vAlign w:val="center"/>
          </w:tcPr>
          <w:p w14:paraId="462DCFA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11.30</w:t>
            </w:r>
          </w:p>
        </w:tc>
        <w:tc>
          <w:tcPr>
            <w:tcW w:w="765" w:type="dxa"/>
            <w:tcBorders>
              <w:tl2br w:val="nil"/>
              <w:tr2bl w:val="nil"/>
            </w:tcBorders>
            <w:noWrap w:val="0"/>
            <w:vAlign w:val="center"/>
          </w:tcPr>
          <w:p w14:paraId="51C72C9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11.42</w:t>
            </w:r>
          </w:p>
        </w:tc>
        <w:tc>
          <w:tcPr>
            <w:tcW w:w="843" w:type="dxa"/>
            <w:tcBorders>
              <w:tl2br w:val="nil"/>
              <w:tr2bl w:val="nil"/>
            </w:tcBorders>
            <w:noWrap w:val="0"/>
            <w:vAlign w:val="center"/>
          </w:tcPr>
          <w:p w14:paraId="3C925D6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7.62</w:t>
            </w:r>
          </w:p>
        </w:tc>
        <w:tc>
          <w:tcPr>
            <w:tcW w:w="765" w:type="dxa"/>
            <w:tcBorders>
              <w:tl2br w:val="nil"/>
              <w:tr2bl w:val="nil"/>
            </w:tcBorders>
            <w:noWrap w:val="0"/>
            <w:vAlign w:val="center"/>
          </w:tcPr>
          <w:p w14:paraId="340428AC">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4.55</w:t>
            </w:r>
          </w:p>
        </w:tc>
        <w:tc>
          <w:tcPr>
            <w:tcW w:w="790" w:type="dxa"/>
            <w:tcBorders>
              <w:tl2br w:val="nil"/>
              <w:tr2bl w:val="nil"/>
            </w:tcBorders>
            <w:noWrap w:val="0"/>
            <w:vAlign w:val="center"/>
          </w:tcPr>
          <w:p w14:paraId="52C71E5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3.37</w:t>
            </w:r>
          </w:p>
        </w:tc>
        <w:tc>
          <w:tcPr>
            <w:tcW w:w="765" w:type="dxa"/>
            <w:tcBorders>
              <w:tl2br w:val="nil"/>
              <w:tr2bl w:val="nil"/>
            </w:tcBorders>
            <w:noWrap w:val="0"/>
            <w:vAlign w:val="center"/>
          </w:tcPr>
          <w:p w14:paraId="70CD2BF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3.85</w:t>
            </w:r>
          </w:p>
        </w:tc>
        <w:tc>
          <w:tcPr>
            <w:tcW w:w="765" w:type="dxa"/>
            <w:tcBorders>
              <w:tl2br w:val="nil"/>
              <w:tr2bl w:val="nil"/>
            </w:tcBorders>
            <w:noWrap w:val="0"/>
            <w:vAlign w:val="center"/>
          </w:tcPr>
          <w:p w14:paraId="1B46540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2.64</w:t>
            </w:r>
          </w:p>
        </w:tc>
      </w:tr>
      <w:tr w14:paraId="234117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dxa"/>
            <w:tcBorders>
              <w:tl2br w:val="nil"/>
              <w:tr2bl w:val="nil"/>
            </w:tcBorders>
            <w:noWrap w:val="0"/>
            <w:vAlign w:val="center"/>
          </w:tcPr>
          <w:p w14:paraId="4CFBA99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rPr>
              <w:t>2008</w:t>
            </w:r>
          </w:p>
        </w:tc>
        <w:tc>
          <w:tcPr>
            <w:tcW w:w="764" w:type="dxa"/>
            <w:tcBorders>
              <w:tl2br w:val="nil"/>
              <w:tr2bl w:val="nil"/>
            </w:tcBorders>
            <w:noWrap w:val="0"/>
            <w:vAlign w:val="center"/>
          </w:tcPr>
          <w:p w14:paraId="50544EE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4.46</w:t>
            </w:r>
          </w:p>
        </w:tc>
        <w:tc>
          <w:tcPr>
            <w:tcW w:w="764" w:type="dxa"/>
            <w:tcBorders>
              <w:tl2br w:val="nil"/>
              <w:tr2bl w:val="nil"/>
            </w:tcBorders>
            <w:noWrap w:val="0"/>
            <w:vAlign w:val="center"/>
          </w:tcPr>
          <w:p w14:paraId="01DDAE7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4.67</w:t>
            </w:r>
          </w:p>
        </w:tc>
        <w:tc>
          <w:tcPr>
            <w:tcW w:w="764" w:type="dxa"/>
            <w:tcBorders>
              <w:tl2br w:val="nil"/>
              <w:tr2bl w:val="nil"/>
            </w:tcBorders>
            <w:noWrap w:val="0"/>
            <w:vAlign w:val="center"/>
          </w:tcPr>
          <w:p w14:paraId="14A33F8C">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3.97</w:t>
            </w:r>
          </w:p>
        </w:tc>
        <w:tc>
          <w:tcPr>
            <w:tcW w:w="764" w:type="dxa"/>
            <w:tcBorders>
              <w:tl2br w:val="nil"/>
              <w:tr2bl w:val="nil"/>
            </w:tcBorders>
            <w:noWrap w:val="0"/>
            <w:vAlign w:val="center"/>
          </w:tcPr>
          <w:p w14:paraId="68F869C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3.64</w:t>
            </w:r>
          </w:p>
        </w:tc>
        <w:tc>
          <w:tcPr>
            <w:tcW w:w="764" w:type="dxa"/>
            <w:tcBorders>
              <w:tl2br w:val="nil"/>
              <w:tr2bl w:val="nil"/>
            </w:tcBorders>
            <w:noWrap w:val="0"/>
            <w:vAlign w:val="center"/>
          </w:tcPr>
          <w:p w14:paraId="3CCFE68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2.65</w:t>
            </w:r>
          </w:p>
        </w:tc>
        <w:tc>
          <w:tcPr>
            <w:tcW w:w="765" w:type="dxa"/>
            <w:tcBorders>
              <w:tl2br w:val="nil"/>
              <w:tr2bl w:val="nil"/>
            </w:tcBorders>
            <w:noWrap w:val="0"/>
            <w:vAlign w:val="center"/>
          </w:tcPr>
          <w:p w14:paraId="301D82E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3.06</w:t>
            </w:r>
          </w:p>
        </w:tc>
        <w:tc>
          <w:tcPr>
            <w:tcW w:w="765" w:type="dxa"/>
            <w:tcBorders>
              <w:tl2br w:val="nil"/>
              <w:tr2bl w:val="nil"/>
            </w:tcBorders>
            <w:noWrap w:val="0"/>
            <w:vAlign w:val="center"/>
          </w:tcPr>
          <w:p w14:paraId="10AD1C6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3.32</w:t>
            </w:r>
          </w:p>
        </w:tc>
        <w:tc>
          <w:tcPr>
            <w:tcW w:w="765" w:type="dxa"/>
            <w:tcBorders>
              <w:tl2br w:val="nil"/>
              <w:tr2bl w:val="nil"/>
            </w:tcBorders>
            <w:noWrap w:val="0"/>
            <w:vAlign w:val="center"/>
          </w:tcPr>
          <w:p w14:paraId="3AA2CCF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4.97</w:t>
            </w:r>
          </w:p>
        </w:tc>
        <w:tc>
          <w:tcPr>
            <w:tcW w:w="765" w:type="dxa"/>
            <w:tcBorders>
              <w:tl2br w:val="nil"/>
              <w:tr2bl w:val="nil"/>
            </w:tcBorders>
            <w:noWrap w:val="0"/>
            <w:vAlign w:val="center"/>
          </w:tcPr>
          <w:p w14:paraId="113F653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9.31</w:t>
            </w:r>
          </w:p>
        </w:tc>
        <w:tc>
          <w:tcPr>
            <w:tcW w:w="765" w:type="dxa"/>
            <w:tcBorders>
              <w:tl2br w:val="nil"/>
              <w:tr2bl w:val="nil"/>
            </w:tcBorders>
            <w:noWrap w:val="0"/>
            <w:vAlign w:val="center"/>
          </w:tcPr>
          <w:p w14:paraId="1BD91FB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16.25</w:t>
            </w:r>
          </w:p>
        </w:tc>
        <w:tc>
          <w:tcPr>
            <w:tcW w:w="804" w:type="dxa"/>
            <w:tcBorders>
              <w:tl2br w:val="nil"/>
              <w:tr2bl w:val="nil"/>
            </w:tcBorders>
            <w:noWrap w:val="0"/>
            <w:vAlign w:val="center"/>
          </w:tcPr>
          <w:p w14:paraId="7F08953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12.60</w:t>
            </w:r>
          </w:p>
        </w:tc>
        <w:tc>
          <w:tcPr>
            <w:tcW w:w="765" w:type="dxa"/>
            <w:tcBorders>
              <w:tl2br w:val="nil"/>
              <w:tr2bl w:val="nil"/>
            </w:tcBorders>
            <w:noWrap w:val="0"/>
            <w:vAlign w:val="center"/>
          </w:tcPr>
          <w:p w14:paraId="0115E58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10.76</w:t>
            </w:r>
          </w:p>
        </w:tc>
        <w:tc>
          <w:tcPr>
            <w:tcW w:w="843" w:type="dxa"/>
            <w:tcBorders>
              <w:tl2br w:val="nil"/>
              <w:tr2bl w:val="nil"/>
            </w:tcBorders>
            <w:noWrap w:val="0"/>
            <w:vAlign w:val="center"/>
          </w:tcPr>
          <w:p w14:paraId="5BB0789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5.52</w:t>
            </w:r>
          </w:p>
        </w:tc>
        <w:tc>
          <w:tcPr>
            <w:tcW w:w="765" w:type="dxa"/>
            <w:tcBorders>
              <w:tl2br w:val="nil"/>
              <w:tr2bl w:val="nil"/>
            </w:tcBorders>
            <w:noWrap w:val="0"/>
            <w:vAlign w:val="center"/>
          </w:tcPr>
          <w:p w14:paraId="7703235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3.11</w:t>
            </w:r>
          </w:p>
        </w:tc>
        <w:tc>
          <w:tcPr>
            <w:tcW w:w="790" w:type="dxa"/>
            <w:tcBorders>
              <w:tl2br w:val="nil"/>
              <w:tr2bl w:val="nil"/>
            </w:tcBorders>
            <w:noWrap w:val="0"/>
            <w:vAlign w:val="center"/>
          </w:tcPr>
          <w:p w14:paraId="4B73B11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2.56</w:t>
            </w:r>
          </w:p>
        </w:tc>
        <w:tc>
          <w:tcPr>
            <w:tcW w:w="765" w:type="dxa"/>
            <w:tcBorders>
              <w:tl2br w:val="nil"/>
              <w:tr2bl w:val="nil"/>
            </w:tcBorders>
            <w:noWrap w:val="0"/>
            <w:vAlign w:val="center"/>
          </w:tcPr>
          <w:p w14:paraId="12E474B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3.13</w:t>
            </w:r>
          </w:p>
        </w:tc>
        <w:tc>
          <w:tcPr>
            <w:tcW w:w="765" w:type="dxa"/>
            <w:tcBorders>
              <w:tl2br w:val="nil"/>
              <w:tr2bl w:val="nil"/>
            </w:tcBorders>
            <w:noWrap w:val="0"/>
            <w:vAlign w:val="center"/>
          </w:tcPr>
          <w:p w14:paraId="4953B002">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6.03</w:t>
            </w:r>
          </w:p>
        </w:tc>
      </w:tr>
      <w:tr w14:paraId="15956B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dxa"/>
            <w:tcBorders>
              <w:tl2br w:val="nil"/>
              <w:tr2bl w:val="nil"/>
            </w:tcBorders>
            <w:noWrap w:val="0"/>
            <w:vAlign w:val="center"/>
          </w:tcPr>
          <w:p w14:paraId="5CAA6B8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rPr>
              <w:t>2009</w:t>
            </w:r>
          </w:p>
        </w:tc>
        <w:tc>
          <w:tcPr>
            <w:tcW w:w="764" w:type="dxa"/>
            <w:tcBorders>
              <w:tl2br w:val="nil"/>
              <w:tr2bl w:val="nil"/>
            </w:tcBorders>
            <w:noWrap w:val="0"/>
            <w:vAlign w:val="center"/>
          </w:tcPr>
          <w:p w14:paraId="1789101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4.99</w:t>
            </w:r>
          </w:p>
        </w:tc>
        <w:tc>
          <w:tcPr>
            <w:tcW w:w="764" w:type="dxa"/>
            <w:tcBorders>
              <w:tl2br w:val="nil"/>
              <w:tr2bl w:val="nil"/>
            </w:tcBorders>
            <w:noWrap w:val="0"/>
            <w:vAlign w:val="center"/>
          </w:tcPr>
          <w:p w14:paraId="2400774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5.05</w:t>
            </w:r>
          </w:p>
        </w:tc>
        <w:tc>
          <w:tcPr>
            <w:tcW w:w="764" w:type="dxa"/>
            <w:tcBorders>
              <w:tl2br w:val="nil"/>
              <w:tr2bl w:val="nil"/>
            </w:tcBorders>
            <w:noWrap w:val="0"/>
            <w:vAlign w:val="center"/>
          </w:tcPr>
          <w:p w14:paraId="31BD08FC">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4.09</w:t>
            </w:r>
          </w:p>
        </w:tc>
        <w:tc>
          <w:tcPr>
            <w:tcW w:w="764" w:type="dxa"/>
            <w:tcBorders>
              <w:tl2br w:val="nil"/>
              <w:tr2bl w:val="nil"/>
            </w:tcBorders>
            <w:noWrap w:val="0"/>
            <w:vAlign w:val="center"/>
          </w:tcPr>
          <w:p w14:paraId="6ADDB87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3.01</w:t>
            </w:r>
          </w:p>
        </w:tc>
        <w:tc>
          <w:tcPr>
            <w:tcW w:w="764" w:type="dxa"/>
            <w:tcBorders>
              <w:tl2br w:val="nil"/>
              <w:tr2bl w:val="nil"/>
            </w:tcBorders>
            <w:noWrap w:val="0"/>
            <w:vAlign w:val="center"/>
          </w:tcPr>
          <w:p w14:paraId="113A4A15">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2.91</w:t>
            </w:r>
          </w:p>
        </w:tc>
        <w:tc>
          <w:tcPr>
            <w:tcW w:w="765" w:type="dxa"/>
            <w:tcBorders>
              <w:tl2br w:val="nil"/>
              <w:tr2bl w:val="nil"/>
            </w:tcBorders>
            <w:noWrap w:val="0"/>
            <w:vAlign w:val="center"/>
          </w:tcPr>
          <w:p w14:paraId="59B1F05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3.05</w:t>
            </w:r>
          </w:p>
        </w:tc>
        <w:tc>
          <w:tcPr>
            <w:tcW w:w="765" w:type="dxa"/>
            <w:tcBorders>
              <w:tl2br w:val="nil"/>
              <w:tr2bl w:val="nil"/>
            </w:tcBorders>
            <w:noWrap w:val="0"/>
            <w:vAlign w:val="center"/>
          </w:tcPr>
          <w:p w14:paraId="5C1A0CBF">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3.02</w:t>
            </w:r>
          </w:p>
        </w:tc>
        <w:tc>
          <w:tcPr>
            <w:tcW w:w="765" w:type="dxa"/>
            <w:tcBorders>
              <w:tl2br w:val="nil"/>
              <w:tr2bl w:val="nil"/>
            </w:tcBorders>
            <w:noWrap w:val="0"/>
            <w:vAlign w:val="center"/>
          </w:tcPr>
          <w:p w14:paraId="75AEF40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4.95</w:t>
            </w:r>
          </w:p>
        </w:tc>
        <w:tc>
          <w:tcPr>
            <w:tcW w:w="765" w:type="dxa"/>
            <w:tcBorders>
              <w:tl2br w:val="nil"/>
              <w:tr2bl w:val="nil"/>
            </w:tcBorders>
            <w:noWrap w:val="0"/>
            <w:vAlign w:val="center"/>
          </w:tcPr>
          <w:p w14:paraId="09FFC93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9.39</w:t>
            </w:r>
          </w:p>
        </w:tc>
        <w:tc>
          <w:tcPr>
            <w:tcW w:w="765" w:type="dxa"/>
            <w:tcBorders>
              <w:tl2br w:val="nil"/>
              <w:tr2bl w:val="nil"/>
            </w:tcBorders>
            <w:noWrap w:val="0"/>
            <w:vAlign w:val="center"/>
          </w:tcPr>
          <w:p w14:paraId="736AC48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17.32</w:t>
            </w:r>
          </w:p>
        </w:tc>
        <w:tc>
          <w:tcPr>
            <w:tcW w:w="804" w:type="dxa"/>
            <w:tcBorders>
              <w:tl2br w:val="nil"/>
              <w:tr2bl w:val="nil"/>
            </w:tcBorders>
            <w:noWrap w:val="0"/>
            <w:vAlign w:val="center"/>
          </w:tcPr>
          <w:p w14:paraId="316DC4F5">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12.38</w:t>
            </w:r>
          </w:p>
        </w:tc>
        <w:tc>
          <w:tcPr>
            <w:tcW w:w="765" w:type="dxa"/>
            <w:tcBorders>
              <w:tl2br w:val="nil"/>
              <w:tr2bl w:val="nil"/>
            </w:tcBorders>
            <w:noWrap w:val="0"/>
            <w:vAlign w:val="center"/>
          </w:tcPr>
          <w:p w14:paraId="4C8A2BC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10.05</w:t>
            </w:r>
          </w:p>
        </w:tc>
        <w:tc>
          <w:tcPr>
            <w:tcW w:w="843" w:type="dxa"/>
            <w:tcBorders>
              <w:tl2br w:val="nil"/>
              <w:tr2bl w:val="nil"/>
            </w:tcBorders>
            <w:noWrap w:val="0"/>
            <w:vAlign w:val="center"/>
          </w:tcPr>
          <w:p w14:paraId="7EBDF93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5.77</w:t>
            </w:r>
          </w:p>
        </w:tc>
        <w:tc>
          <w:tcPr>
            <w:tcW w:w="765" w:type="dxa"/>
            <w:tcBorders>
              <w:tl2br w:val="nil"/>
              <w:tr2bl w:val="nil"/>
            </w:tcBorders>
            <w:noWrap w:val="0"/>
            <w:vAlign w:val="center"/>
          </w:tcPr>
          <w:p w14:paraId="77102D4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3.70</w:t>
            </w:r>
          </w:p>
        </w:tc>
        <w:tc>
          <w:tcPr>
            <w:tcW w:w="790" w:type="dxa"/>
            <w:tcBorders>
              <w:tl2br w:val="nil"/>
              <w:tr2bl w:val="nil"/>
            </w:tcBorders>
            <w:noWrap w:val="0"/>
            <w:vAlign w:val="center"/>
          </w:tcPr>
          <w:p w14:paraId="29FF1E0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4.02</w:t>
            </w:r>
          </w:p>
        </w:tc>
        <w:tc>
          <w:tcPr>
            <w:tcW w:w="765" w:type="dxa"/>
            <w:tcBorders>
              <w:tl2br w:val="nil"/>
              <w:tr2bl w:val="nil"/>
            </w:tcBorders>
            <w:noWrap w:val="0"/>
            <w:vAlign w:val="center"/>
          </w:tcPr>
          <w:p w14:paraId="3E25CA9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5.23</w:t>
            </w:r>
          </w:p>
        </w:tc>
        <w:tc>
          <w:tcPr>
            <w:tcW w:w="765" w:type="dxa"/>
            <w:tcBorders>
              <w:tl2br w:val="nil"/>
              <w:tr2bl w:val="nil"/>
            </w:tcBorders>
            <w:noWrap w:val="0"/>
            <w:vAlign w:val="center"/>
          </w:tcPr>
          <w:p w14:paraId="74931C95">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1.05</w:t>
            </w:r>
          </w:p>
        </w:tc>
      </w:tr>
      <w:tr w14:paraId="6F2FA1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dxa"/>
            <w:tcBorders>
              <w:tl2br w:val="nil"/>
              <w:tr2bl w:val="nil"/>
            </w:tcBorders>
            <w:noWrap w:val="0"/>
            <w:vAlign w:val="center"/>
          </w:tcPr>
          <w:p w14:paraId="3DEEE44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rPr>
              <w:t>2010</w:t>
            </w:r>
          </w:p>
        </w:tc>
        <w:tc>
          <w:tcPr>
            <w:tcW w:w="764" w:type="dxa"/>
            <w:tcBorders>
              <w:tl2br w:val="nil"/>
              <w:tr2bl w:val="nil"/>
            </w:tcBorders>
            <w:noWrap w:val="0"/>
            <w:vAlign w:val="center"/>
          </w:tcPr>
          <w:p w14:paraId="371767D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4.33</w:t>
            </w:r>
          </w:p>
        </w:tc>
        <w:tc>
          <w:tcPr>
            <w:tcW w:w="764" w:type="dxa"/>
            <w:tcBorders>
              <w:tl2br w:val="nil"/>
              <w:tr2bl w:val="nil"/>
            </w:tcBorders>
            <w:noWrap w:val="0"/>
            <w:vAlign w:val="center"/>
          </w:tcPr>
          <w:p w14:paraId="27550F55">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3.87</w:t>
            </w:r>
          </w:p>
        </w:tc>
        <w:tc>
          <w:tcPr>
            <w:tcW w:w="764" w:type="dxa"/>
            <w:tcBorders>
              <w:tl2br w:val="nil"/>
              <w:tr2bl w:val="nil"/>
            </w:tcBorders>
            <w:noWrap w:val="0"/>
            <w:vAlign w:val="center"/>
          </w:tcPr>
          <w:p w14:paraId="22092E6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2.87</w:t>
            </w:r>
          </w:p>
        </w:tc>
        <w:tc>
          <w:tcPr>
            <w:tcW w:w="764" w:type="dxa"/>
            <w:tcBorders>
              <w:tl2br w:val="nil"/>
              <w:tr2bl w:val="nil"/>
            </w:tcBorders>
            <w:noWrap w:val="0"/>
            <w:vAlign w:val="center"/>
          </w:tcPr>
          <w:p w14:paraId="71F1530F">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3.34</w:t>
            </w:r>
          </w:p>
        </w:tc>
        <w:tc>
          <w:tcPr>
            <w:tcW w:w="764" w:type="dxa"/>
            <w:tcBorders>
              <w:tl2br w:val="nil"/>
              <w:tr2bl w:val="nil"/>
            </w:tcBorders>
            <w:noWrap w:val="0"/>
            <w:vAlign w:val="center"/>
          </w:tcPr>
          <w:p w14:paraId="486485F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2.48</w:t>
            </w:r>
          </w:p>
        </w:tc>
        <w:tc>
          <w:tcPr>
            <w:tcW w:w="765" w:type="dxa"/>
            <w:tcBorders>
              <w:tl2br w:val="nil"/>
              <w:tr2bl w:val="nil"/>
            </w:tcBorders>
            <w:noWrap w:val="0"/>
            <w:vAlign w:val="center"/>
          </w:tcPr>
          <w:p w14:paraId="65F727B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1.97</w:t>
            </w:r>
          </w:p>
        </w:tc>
        <w:tc>
          <w:tcPr>
            <w:tcW w:w="765" w:type="dxa"/>
            <w:tcBorders>
              <w:tl2br w:val="nil"/>
              <w:tr2bl w:val="nil"/>
            </w:tcBorders>
            <w:noWrap w:val="0"/>
            <w:vAlign w:val="center"/>
          </w:tcPr>
          <w:p w14:paraId="1AD1AA75">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1.97</w:t>
            </w:r>
          </w:p>
        </w:tc>
        <w:tc>
          <w:tcPr>
            <w:tcW w:w="765" w:type="dxa"/>
            <w:tcBorders>
              <w:tl2br w:val="nil"/>
              <w:tr2bl w:val="nil"/>
            </w:tcBorders>
            <w:noWrap w:val="0"/>
            <w:vAlign w:val="center"/>
          </w:tcPr>
          <w:p w14:paraId="3F838A61">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3.95</w:t>
            </w:r>
          </w:p>
        </w:tc>
        <w:tc>
          <w:tcPr>
            <w:tcW w:w="765" w:type="dxa"/>
            <w:tcBorders>
              <w:tl2br w:val="nil"/>
              <w:tr2bl w:val="nil"/>
            </w:tcBorders>
            <w:noWrap w:val="0"/>
            <w:vAlign w:val="center"/>
          </w:tcPr>
          <w:p w14:paraId="3F2FB74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12.2</w:t>
            </w:r>
          </w:p>
        </w:tc>
        <w:tc>
          <w:tcPr>
            <w:tcW w:w="765" w:type="dxa"/>
            <w:tcBorders>
              <w:tl2br w:val="nil"/>
              <w:tr2bl w:val="nil"/>
            </w:tcBorders>
            <w:noWrap w:val="0"/>
            <w:vAlign w:val="center"/>
          </w:tcPr>
          <w:p w14:paraId="790119B2">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20.12</w:t>
            </w:r>
          </w:p>
        </w:tc>
        <w:tc>
          <w:tcPr>
            <w:tcW w:w="804" w:type="dxa"/>
            <w:tcBorders>
              <w:tl2br w:val="nil"/>
              <w:tr2bl w:val="nil"/>
            </w:tcBorders>
            <w:noWrap w:val="0"/>
            <w:vAlign w:val="center"/>
          </w:tcPr>
          <w:p w14:paraId="71C90BAF">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12.79</w:t>
            </w:r>
          </w:p>
        </w:tc>
        <w:tc>
          <w:tcPr>
            <w:tcW w:w="765" w:type="dxa"/>
            <w:tcBorders>
              <w:tl2br w:val="nil"/>
              <w:tr2bl w:val="nil"/>
            </w:tcBorders>
            <w:noWrap w:val="0"/>
            <w:vAlign w:val="center"/>
          </w:tcPr>
          <w:p w14:paraId="4A006252">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9.62</w:t>
            </w:r>
          </w:p>
        </w:tc>
        <w:tc>
          <w:tcPr>
            <w:tcW w:w="843" w:type="dxa"/>
            <w:tcBorders>
              <w:tl2br w:val="nil"/>
              <w:tr2bl w:val="nil"/>
            </w:tcBorders>
            <w:noWrap w:val="0"/>
            <w:vAlign w:val="center"/>
          </w:tcPr>
          <w:p w14:paraId="5ED0F0F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5.54</w:t>
            </w:r>
          </w:p>
        </w:tc>
        <w:tc>
          <w:tcPr>
            <w:tcW w:w="765" w:type="dxa"/>
            <w:tcBorders>
              <w:tl2br w:val="nil"/>
              <w:tr2bl w:val="nil"/>
            </w:tcBorders>
            <w:noWrap w:val="0"/>
            <w:vAlign w:val="center"/>
          </w:tcPr>
          <w:p w14:paraId="581C681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3.96</w:t>
            </w:r>
          </w:p>
        </w:tc>
        <w:tc>
          <w:tcPr>
            <w:tcW w:w="790" w:type="dxa"/>
            <w:tcBorders>
              <w:tl2br w:val="nil"/>
              <w:tr2bl w:val="nil"/>
            </w:tcBorders>
            <w:noWrap w:val="0"/>
            <w:vAlign w:val="center"/>
          </w:tcPr>
          <w:p w14:paraId="4A26AD3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3.95</w:t>
            </w:r>
          </w:p>
        </w:tc>
        <w:tc>
          <w:tcPr>
            <w:tcW w:w="765" w:type="dxa"/>
            <w:tcBorders>
              <w:tl2br w:val="nil"/>
              <w:tr2bl w:val="nil"/>
            </w:tcBorders>
            <w:noWrap w:val="0"/>
            <w:vAlign w:val="center"/>
          </w:tcPr>
          <w:p w14:paraId="618B3C7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5.20</w:t>
            </w:r>
          </w:p>
        </w:tc>
        <w:tc>
          <w:tcPr>
            <w:tcW w:w="765" w:type="dxa"/>
            <w:tcBorders>
              <w:tl2br w:val="nil"/>
              <w:tr2bl w:val="nil"/>
            </w:tcBorders>
            <w:noWrap w:val="0"/>
            <w:vAlign w:val="center"/>
          </w:tcPr>
          <w:p w14:paraId="121E156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0.65</w:t>
            </w:r>
          </w:p>
        </w:tc>
      </w:tr>
      <w:tr w14:paraId="5CA9B5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dxa"/>
            <w:tcBorders>
              <w:tl2br w:val="nil"/>
              <w:tr2bl w:val="nil"/>
            </w:tcBorders>
            <w:noWrap w:val="0"/>
            <w:vAlign w:val="center"/>
          </w:tcPr>
          <w:p w14:paraId="2FBA27A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rPr>
              <w:t>2011</w:t>
            </w:r>
          </w:p>
        </w:tc>
        <w:tc>
          <w:tcPr>
            <w:tcW w:w="764" w:type="dxa"/>
            <w:tcBorders>
              <w:tl2br w:val="nil"/>
              <w:tr2bl w:val="nil"/>
            </w:tcBorders>
            <w:noWrap w:val="0"/>
            <w:vAlign w:val="center"/>
          </w:tcPr>
          <w:p w14:paraId="561FAEC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4.06</w:t>
            </w:r>
          </w:p>
        </w:tc>
        <w:tc>
          <w:tcPr>
            <w:tcW w:w="764" w:type="dxa"/>
            <w:tcBorders>
              <w:tl2br w:val="nil"/>
              <w:tr2bl w:val="nil"/>
            </w:tcBorders>
            <w:noWrap w:val="0"/>
            <w:vAlign w:val="center"/>
          </w:tcPr>
          <w:p w14:paraId="3F467DD1">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3.19</w:t>
            </w:r>
          </w:p>
        </w:tc>
        <w:tc>
          <w:tcPr>
            <w:tcW w:w="764" w:type="dxa"/>
            <w:tcBorders>
              <w:tl2br w:val="nil"/>
              <w:tr2bl w:val="nil"/>
            </w:tcBorders>
            <w:noWrap w:val="0"/>
            <w:vAlign w:val="center"/>
          </w:tcPr>
          <w:p w14:paraId="47FE275C">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3.04</w:t>
            </w:r>
          </w:p>
        </w:tc>
        <w:tc>
          <w:tcPr>
            <w:tcW w:w="764" w:type="dxa"/>
            <w:tcBorders>
              <w:tl2br w:val="nil"/>
              <w:tr2bl w:val="nil"/>
            </w:tcBorders>
            <w:noWrap w:val="0"/>
            <w:vAlign w:val="center"/>
          </w:tcPr>
          <w:p w14:paraId="538D5CE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2.97</w:t>
            </w:r>
          </w:p>
        </w:tc>
        <w:tc>
          <w:tcPr>
            <w:tcW w:w="764" w:type="dxa"/>
            <w:tcBorders>
              <w:tl2br w:val="nil"/>
              <w:tr2bl w:val="nil"/>
            </w:tcBorders>
            <w:noWrap w:val="0"/>
            <w:vAlign w:val="center"/>
          </w:tcPr>
          <w:p w14:paraId="6D6CC3AC">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2.49</w:t>
            </w:r>
          </w:p>
        </w:tc>
        <w:tc>
          <w:tcPr>
            <w:tcW w:w="765" w:type="dxa"/>
            <w:tcBorders>
              <w:tl2br w:val="nil"/>
              <w:tr2bl w:val="nil"/>
            </w:tcBorders>
            <w:noWrap w:val="0"/>
            <w:vAlign w:val="center"/>
          </w:tcPr>
          <w:p w14:paraId="4A39045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3.69</w:t>
            </w:r>
          </w:p>
        </w:tc>
        <w:tc>
          <w:tcPr>
            <w:tcW w:w="765" w:type="dxa"/>
            <w:tcBorders>
              <w:tl2br w:val="nil"/>
              <w:tr2bl w:val="nil"/>
            </w:tcBorders>
            <w:noWrap w:val="0"/>
            <w:vAlign w:val="center"/>
          </w:tcPr>
          <w:p w14:paraId="62B5481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4.24</w:t>
            </w:r>
          </w:p>
        </w:tc>
        <w:tc>
          <w:tcPr>
            <w:tcW w:w="765" w:type="dxa"/>
            <w:tcBorders>
              <w:tl2br w:val="nil"/>
              <w:tr2bl w:val="nil"/>
            </w:tcBorders>
            <w:noWrap w:val="0"/>
            <w:vAlign w:val="center"/>
          </w:tcPr>
          <w:p w14:paraId="61419F4F">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4.87</w:t>
            </w:r>
          </w:p>
        </w:tc>
        <w:tc>
          <w:tcPr>
            <w:tcW w:w="765" w:type="dxa"/>
            <w:tcBorders>
              <w:tl2br w:val="nil"/>
              <w:tr2bl w:val="nil"/>
            </w:tcBorders>
            <w:noWrap w:val="0"/>
            <w:vAlign w:val="center"/>
          </w:tcPr>
          <w:p w14:paraId="35F9A00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9.04</w:t>
            </w:r>
          </w:p>
        </w:tc>
        <w:tc>
          <w:tcPr>
            <w:tcW w:w="765" w:type="dxa"/>
            <w:tcBorders>
              <w:tl2br w:val="nil"/>
              <w:tr2bl w:val="nil"/>
            </w:tcBorders>
            <w:noWrap w:val="0"/>
            <w:vAlign w:val="center"/>
          </w:tcPr>
          <w:p w14:paraId="49C5F0B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16.46</w:t>
            </w:r>
          </w:p>
        </w:tc>
        <w:tc>
          <w:tcPr>
            <w:tcW w:w="804" w:type="dxa"/>
            <w:tcBorders>
              <w:tl2br w:val="nil"/>
              <w:tr2bl w:val="nil"/>
            </w:tcBorders>
            <w:noWrap w:val="0"/>
            <w:vAlign w:val="center"/>
          </w:tcPr>
          <w:p w14:paraId="03BEB20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13.29</w:t>
            </w:r>
          </w:p>
        </w:tc>
        <w:tc>
          <w:tcPr>
            <w:tcW w:w="765" w:type="dxa"/>
            <w:tcBorders>
              <w:tl2br w:val="nil"/>
              <w:tr2bl w:val="nil"/>
            </w:tcBorders>
            <w:noWrap w:val="0"/>
            <w:vAlign w:val="center"/>
          </w:tcPr>
          <w:p w14:paraId="4D8D544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12.54</w:t>
            </w:r>
          </w:p>
        </w:tc>
        <w:tc>
          <w:tcPr>
            <w:tcW w:w="843" w:type="dxa"/>
            <w:tcBorders>
              <w:tl2br w:val="nil"/>
              <w:tr2bl w:val="nil"/>
            </w:tcBorders>
            <w:noWrap w:val="0"/>
            <w:vAlign w:val="center"/>
          </w:tcPr>
          <w:p w14:paraId="67842322">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5.79</w:t>
            </w:r>
          </w:p>
        </w:tc>
        <w:tc>
          <w:tcPr>
            <w:tcW w:w="765" w:type="dxa"/>
            <w:tcBorders>
              <w:tl2br w:val="nil"/>
              <w:tr2bl w:val="nil"/>
            </w:tcBorders>
            <w:noWrap w:val="0"/>
            <w:vAlign w:val="center"/>
          </w:tcPr>
          <w:p w14:paraId="1B156D5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4.21</w:t>
            </w:r>
          </w:p>
        </w:tc>
        <w:tc>
          <w:tcPr>
            <w:tcW w:w="790" w:type="dxa"/>
            <w:tcBorders>
              <w:tl2br w:val="nil"/>
              <w:tr2bl w:val="nil"/>
            </w:tcBorders>
            <w:noWrap w:val="0"/>
            <w:vAlign w:val="center"/>
          </w:tcPr>
          <w:p w14:paraId="53D8A85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3.79</w:t>
            </w:r>
          </w:p>
        </w:tc>
        <w:tc>
          <w:tcPr>
            <w:tcW w:w="765" w:type="dxa"/>
            <w:tcBorders>
              <w:tl2br w:val="nil"/>
              <w:tr2bl w:val="nil"/>
            </w:tcBorders>
            <w:noWrap w:val="0"/>
            <w:vAlign w:val="center"/>
          </w:tcPr>
          <w:p w14:paraId="140590B7">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4.12</w:t>
            </w:r>
          </w:p>
        </w:tc>
        <w:tc>
          <w:tcPr>
            <w:tcW w:w="765" w:type="dxa"/>
            <w:tcBorders>
              <w:tl2br w:val="nil"/>
              <w:tr2bl w:val="nil"/>
            </w:tcBorders>
            <w:noWrap w:val="0"/>
            <w:vAlign w:val="center"/>
          </w:tcPr>
          <w:p w14:paraId="359CDD4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1.06</w:t>
            </w:r>
          </w:p>
        </w:tc>
      </w:tr>
      <w:tr w14:paraId="574A7C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dxa"/>
            <w:tcBorders>
              <w:tl2br w:val="nil"/>
              <w:tr2bl w:val="nil"/>
            </w:tcBorders>
            <w:noWrap w:val="0"/>
            <w:vAlign w:val="center"/>
          </w:tcPr>
          <w:p w14:paraId="5AA9C19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rPr>
              <w:t>2012</w:t>
            </w:r>
          </w:p>
        </w:tc>
        <w:tc>
          <w:tcPr>
            <w:tcW w:w="764" w:type="dxa"/>
            <w:tcBorders>
              <w:tl2br w:val="nil"/>
              <w:tr2bl w:val="nil"/>
            </w:tcBorders>
            <w:noWrap w:val="0"/>
            <w:vAlign w:val="center"/>
          </w:tcPr>
          <w:p w14:paraId="151BF95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4.18</w:t>
            </w:r>
          </w:p>
        </w:tc>
        <w:tc>
          <w:tcPr>
            <w:tcW w:w="764" w:type="dxa"/>
            <w:tcBorders>
              <w:tl2br w:val="nil"/>
              <w:tr2bl w:val="nil"/>
            </w:tcBorders>
            <w:noWrap w:val="0"/>
            <w:vAlign w:val="center"/>
          </w:tcPr>
          <w:p w14:paraId="165FD67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4.35</w:t>
            </w:r>
          </w:p>
        </w:tc>
        <w:tc>
          <w:tcPr>
            <w:tcW w:w="764" w:type="dxa"/>
            <w:tcBorders>
              <w:tl2br w:val="nil"/>
              <w:tr2bl w:val="nil"/>
            </w:tcBorders>
            <w:noWrap w:val="0"/>
            <w:vAlign w:val="center"/>
          </w:tcPr>
          <w:p w14:paraId="27990EA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4.34</w:t>
            </w:r>
          </w:p>
        </w:tc>
        <w:tc>
          <w:tcPr>
            <w:tcW w:w="764" w:type="dxa"/>
            <w:tcBorders>
              <w:tl2br w:val="nil"/>
              <w:tr2bl w:val="nil"/>
            </w:tcBorders>
            <w:noWrap w:val="0"/>
            <w:vAlign w:val="center"/>
          </w:tcPr>
          <w:p w14:paraId="7333BA4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3.49</w:t>
            </w:r>
          </w:p>
        </w:tc>
        <w:tc>
          <w:tcPr>
            <w:tcW w:w="764" w:type="dxa"/>
            <w:tcBorders>
              <w:tl2br w:val="nil"/>
              <w:tr2bl w:val="nil"/>
            </w:tcBorders>
            <w:noWrap w:val="0"/>
            <w:vAlign w:val="center"/>
          </w:tcPr>
          <w:p w14:paraId="5F7B540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3.09</w:t>
            </w:r>
          </w:p>
        </w:tc>
        <w:tc>
          <w:tcPr>
            <w:tcW w:w="765" w:type="dxa"/>
            <w:tcBorders>
              <w:tl2br w:val="nil"/>
              <w:tr2bl w:val="nil"/>
            </w:tcBorders>
            <w:noWrap w:val="0"/>
            <w:vAlign w:val="center"/>
          </w:tcPr>
          <w:p w14:paraId="3A7A0E11">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3.65</w:t>
            </w:r>
          </w:p>
        </w:tc>
        <w:tc>
          <w:tcPr>
            <w:tcW w:w="765" w:type="dxa"/>
            <w:tcBorders>
              <w:tl2br w:val="nil"/>
              <w:tr2bl w:val="nil"/>
            </w:tcBorders>
            <w:noWrap w:val="0"/>
            <w:vAlign w:val="center"/>
          </w:tcPr>
          <w:p w14:paraId="77934A75">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5.43</w:t>
            </w:r>
          </w:p>
        </w:tc>
        <w:tc>
          <w:tcPr>
            <w:tcW w:w="765" w:type="dxa"/>
            <w:tcBorders>
              <w:tl2br w:val="nil"/>
              <w:tr2bl w:val="nil"/>
            </w:tcBorders>
            <w:noWrap w:val="0"/>
            <w:vAlign w:val="center"/>
          </w:tcPr>
          <w:p w14:paraId="448A060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5.84</w:t>
            </w:r>
          </w:p>
        </w:tc>
        <w:tc>
          <w:tcPr>
            <w:tcW w:w="765" w:type="dxa"/>
            <w:tcBorders>
              <w:tl2br w:val="nil"/>
              <w:tr2bl w:val="nil"/>
            </w:tcBorders>
            <w:noWrap w:val="0"/>
            <w:vAlign w:val="center"/>
          </w:tcPr>
          <w:p w14:paraId="34FB676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7.26</w:t>
            </w:r>
          </w:p>
        </w:tc>
        <w:tc>
          <w:tcPr>
            <w:tcW w:w="765" w:type="dxa"/>
            <w:tcBorders>
              <w:tl2br w:val="nil"/>
              <w:tr2bl w:val="nil"/>
            </w:tcBorders>
            <w:noWrap w:val="0"/>
            <w:vAlign w:val="center"/>
          </w:tcPr>
          <w:p w14:paraId="7D543717">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13.93</w:t>
            </w:r>
          </w:p>
        </w:tc>
        <w:tc>
          <w:tcPr>
            <w:tcW w:w="804" w:type="dxa"/>
            <w:tcBorders>
              <w:tl2br w:val="nil"/>
              <w:tr2bl w:val="nil"/>
            </w:tcBorders>
            <w:noWrap w:val="0"/>
            <w:vAlign w:val="center"/>
          </w:tcPr>
          <w:p w14:paraId="78FA178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14.09</w:t>
            </w:r>
          </w:p>
        </w:tc>
        <w:tc>
          <w:tcPr>
            <w:tcW w:w="765" w:type="dxa"/>
            <w:tcBorders>
              <w:tl2br w:val="nil"/>
              <w:tr2bl w:val="nil"/>
            </w:tcBorders>
            <w:noWrap w:val="0"/>
            <w:vAlign w:val="center"/>
          </w:tcPr>
          <w:p w14:paraId="060A97E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8.76</w:t>
            </w:r>
          </w:p>
        </w:tc>
        <w:tc>
          <w:tcPr>
            <w:tcW w:w="843" w:type="dxa"/>
            <w:tcBorders>
              <w:tl2br w:val="nil"/>
              <w:tr2bl w:val="nil"/>
            </w:tcBorders>
            <w:noWrap w:val="0"/>
            <w:vAlign w:val="center"/>
          </w:tcPr>
          <w:p w14:paraId="12B71157">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6.09</w:t>
            </w:r>
          </w:p>
        </w:tc>
        <w:tc>
          <w:tcPr>
            <w:tcW w:w="765" w:type="dxa"/>
            <w:tcBorders>
              <w:tl2br w:val="nil"/>
              <w:tr2bl w:val="nil"/>
            </w:tcBorders>
            <w:noWrap w:val="0"/>
            <w:vAlign w:val="center"/>
          </w:tcPr>
          <w:p w14:paraId="174F721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3.43</w:t>
            </w:r>
          </w:p>
        </w:tc>
        <w:tc>
          <w:tcPr>
            <w:tcW w:w="790" w:type="dxa"/>
            <w:tcBorders>
              <w:tl2br w:val="nil"/>
              <w:tr2bl w:val="nil"/>
            </w:tcBorders>
            <w:noWrap w:val="0"/>
            <w:vAlign w:val="center"/>
          </w:tcPr>
          <w:p w14:paraId="01D7BE6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3.51</w:t>
            </w:r>
          </w:p>
        </w:tc>
        <w:tc>
          <w:tcPr>
            <w:tcW w:w="765" w:type="dxa"/>
            <w:tcBorders>
              <w:tl2br w:val="nil"/>
              <w:tr2bl w:val="nil"/>
            </w:tcBorders>
            <w:noWrap w:val="0"/>
            <w:vAlign w:val="center"/>
          </w:tcPr>
          <w:p w14:paraId="42DD14E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4.01</w:t>
            </w:r>
          </w:p>
        </w:tc>
        <w:tc>
          <w:tcPr>
            <w:tcW w:w="765" w:type="dxa"/>
            <w:tcBorders>
              <w:tl2br w:val="nil"/>
              <w:tr2bl w:val="nil"/>
            </w:tcBorders>
            <w:noWrap w:val="0"/>
            <w:vAlign w:val="center"/>
          </w:tcPr>
          <w:p w14:paraId="2F8E596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4.54</w:t>
            </w:r>
          </w:p>
        </w:tc>
      </w:tr>
      <w:tr w14:paraId="4DA94A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dxa"/>
            <w:tcBorders>
              <w:tl2br w:val="nil"/>
              <w:tr2bl w:val="nil"/>
            </w:tcBorders>
            <w:noWrap w:val="0"/>
            <w:vAlign w:val="center"/>
          </w:tcPr>
          <w:p w14:paraId="46CE075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rPr>
              <w:t>2013</w:t>
            </w:r>
          </w:p>
        </w:tc>
        <w:tc>
          <w:tcPr>
            <w:tcW w:w="764" w:type="dxa"/>
            <w:tcBorders>
              <w:tl2br w:val="nil"/>
              <w:tr2bl w:val="nil"/>
            </w:tcBorders>
            <w:noWrap w:val="0"/>
            <w:vAlign w:val="center"/>
          </w:tcPr>
          <w:p w14:paraId="7FBD015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4.42</w:t>
            </w:r>
          </w:p>
        </w:tc>
        <w:tc>
          <w:tcPr>
            <w:tcW w:w="764" w:type="dxa"/>
            <w:tcBorders>
              <w:tl2br w:val="nil"/>
              <w:tr2bl w:val="nil"/>
            </w:tcBorders>
            <w:noWrap w:val="0"/>
            <w:vAlign w:val="center"/>
          </w:tcPr>
          <w:p w14:paraId="7F2383F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4.33</w:t>
            </w:r>
          </w:p>
        </w:tc>
        <w:tc>
          <w:tcPr>
            <w:tcW w:w="764" w:type="dxa"/>
            <w:tcBorders>
              <w:tl2br w:val="nil"/>
              <w:tr2bl w:val="nil"/>
            </w:tcBorders>
            <w:noWrap w:val="0"/>
            <w:vAlign w:val="center"/>
          </w:tcPr>
          <w:p w14:paraId="3F68090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3.33</w:t>
            </w:r>
          </w:p>
        </w:tc>
        <w:tc>
          <w:tcPr>
            <w:tcW w:w="764" w:type="dxa"/>
            <w:tcBorders>
              <w:tl2br w:val="nil"/>
              <w:tr2bl w:val="nil"/>
            </w:tcBorders>
            <w:noWrap w:val="0"/>
            <w:vAlign w:val="center"/>
          </w:tcPr>
          <w:p w14:paraId="0CC186E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3.03</w:t>
            </w:r>
          </w:p>
        </w:tc>
        <w:tc>
          <w:tcPr>
            <w:tcW w:w="764" w:type="dxa"/>
            <w:tcBorders>
              <w:tl2br w:val="nil"/>
              <w:tr2bl w:val="nil"/>
            </w:tcBorders>
            <w:noWrap w:val="0"/>
            <w:vAlign w:val="center"/>
          </w:tcPr>
          <w:p w14:paraId="562578C2">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4.04</w:t>
            </w:r>
          </w:p>
        </w:tc>
        <w:tc>
          <w:tcPr>
            <w:tcW w:w="765" w:type="dxa"/>
            <w:tcBorders>
              <w:tl2br w:val="nil"/>
              <w:tr2bl w:val="nil"/>
            </w:tcBorders>
            <w:noWrap w:val="0"/>
            <w:vAlign w:val="center"/>
          </w:tcPr>
          <w:p w14:paraId="7CBD6A6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3.85</w:t>
            </w:r>
          </w:p>
        </w:tc>
        <w:tc>
          <w:tcPr>
            <w:tcW w:w="765" w:type="dxa"/>
            <w:tcBorders>
              <w:tl2br w:val="nil"/>
              <w:tr2bl w:val="nil"/>
            </w:tcBorders>
            <w:noWrap w:val="0"/>
            <w:vAlign w:val="center"/>
          </w:tcPr>
          <w:p w14:paraId="1353183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3.37</w:t>
            </w:r>
          </w:p>
        </w:tc>
        <w:tc>
          <w:tcPr>
            <w:tcW w:w="765" w:type="dxa"/>
            <w:tcBorders>
              <w:tl2br w:val="nil"/>
              <w:tr2bl w:val="nil"/>
            </w:tcBorders>
            <w:noWrap w:val="0"/>
            <w:vAlign w:val="center"/>
          </w:tcPr>
          <w:p w14:paraId="363027F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5.02</w:t>
            </w:r>
          </w:p>
        </w:tc>
        <w:tc>
          <w:tcPr>
            <w:tcW w:w="765" w:type="dxa"/>
            <w:tcBorders>
              <w:tl2br w:val="nil"/>
              <w:tr2bl w:val="nil"/>
            </w:tcBorders>
            <w:noWrap w:val="0"/>
            <w:vAlign w:val="center"/>
          </w:tcPr>
          <w:p w14:paraId="19FAD43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7.75</w:t>
            </w:r>
          </w:p>
        </w:tc>
        <w:tc>
          <w:tcPr>
            <w:tcW w:w="765" w:type="dxa"/>
            <w:tcBorders>
              <w:tl2br w:val="nil"/>
              <w:tr2bl w:val="nil"/>
            </w:tcBorders>
            <w:noWrap w:val="0"/>
            <w:vAlign w:val="center"/>
          </w:tcPr>
          <w:p w14:paraId="36104CF5">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18.00</w:t>
            </w:r>
          </w:p>
        </w:tc>
        <w:tc>
          <w:tcPr>
            <w:tcW w:w="804" w:type="dxa"/>
            <w:tcBorders>
              <w:tl2br w:val="nil"/>
              <w:tr2bl w:val="nil"/>
            </w:tcBorders>
            <w:noWrap w:val="0"/>
            <w:vAlign w:val="center"/>
          </w:tcPr>
          <w:p w14:paraId="6B9D7D55">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14.08</w:t>
            </w:r>
          </w:p>
        </w:tc>
        <w:tc>
          <w:tcPr>
            <w:tcW w:w="765" w:type="dxa"/>
            <w:tcBorders>
              <w:tl2br w:val="nil"/>
              <w:tr2bl w:val="nil"/>
            </w:tcBorders>
            <w:noWrap w:val="0"/>
            <w:vAlign w:val="center"/>
          </w:tcPr>
          <w:p w14:paraId="7321A49F">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10.17</w:t>
            </w:r>
          </w:p>
        </w:tc>
        <w:tc>
          <w:tcPr>
            <w:tcW w:w="843" w:type="dxa"/>
            <w:tcBorders>
              <w:tl2br w:val="nil"/>
              <w:tr2bl w:val="nil"/>
            </w:tcBorders>
            <w:noWrap w:val="0"/>
            <w:vAlign w:val="center"/>
          </w:tcPr>
          <w:p w14:paraId="728FA2E2">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5.00</w:t>
            </w:r>
          </w:p>
        </w:tc>
        <w:tc>
          <w:tcPr>
            <w:tcW w:w="765" w:type="dxa"/>
            <w:tcBorders>
              <w:tl2br w:val="nil"/>
              <w:tr2bl w:val="nil"/>
            </w:tcBorders>
            <w:noWrap w:val="0"/>
            <w:vAlign w:val="center"/>
          </w:tcPr>
          <w:p w14:paraId="16F93A9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3.56</w:t>
            </w:r>
          </w:p>
        </w:tc>
        <w:tc>
          <w:tcPr>
            <w:tcW w:w="790" w:type="dxa"/>
            <w:tcBorders>
              <w:tl2br w:val="nil"/>
              <w:tr2bl w:val="nil"/>
            </w:tcBorders>
            <w:noWrap w:val="0"/>
            <w:vAlign w:val="center"/>
          </w:tcPr>
          <w:p w14:paraId="59B4ED67">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3.17</w:t>
            </w:r>
          </w:p>
        </w:tc>
        <w:tc>
          <w:tcPr>
            <w:tcW w:w="765" w:type="dxa"/>
            <w:tcBorders>
              <w:tl2br w:val="nil"/>
              <w:tr2bl w:val="nil"/>
            </w:tcBorders>
            <w:noWrap w:val="0"/>
            <w:vAlign w:val="center"/>
          </w:tcPr>
          <w:p w14:paraId="34A95C7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2.58</w:t>
            </w:r>
          </w:p>
        </w:tc>
        <w:tc>
          <w:tcPr>
            <w:tcW w:w="765" w:type="dxa"/>
            <w:tcBorders>
              <w:tl2br w:val="nil"/>
              <w:tr2bl w:val="nil"/>
            </w:tcBorders>
            <w:noWrap w:val="0"/>
            <w:vAlign w:val="center"/>
          </w:tcPr>
          <w:p w14:paraId="3B6FB04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4.28</w:t>
            </w:r>
          </w:p>
        </w:tc>
      </w:tr>
      <w:tr w14:paraId="27710F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dxa"/>
            <w:tcBorders>
              <w:tl2br w:val="nil"/>
              <w:tr2bl w:val="nil"/>
            </w:tcBorders>
            <w:noWrap w:val="0"/>
            <w:vAlign w:val="center"/>
          </w:tcPr>
          <w:p w14:paraId="0481B64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rPr>
              <w:t>2014</w:t>
            </w:r>
          </w:p>
        </w:tc>
        <w:tc>
          <w:tcPr>
            <w:tcW w:w="764" w:type="dxa"/>
            <w:tcBorders>
              <w:tl2br w:val="nil"/>
              <w:tr2bl w:val="nil"/>
            </w:tcBorders>
            <w:noWrap w:val="0"/>
            <w:vAlign w:val="center"/>
          </w:tcPr>
          <w:p w14:paraId="385CFB85">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4.43</w:t>
            </w:r>
          </w:p>
        </w:tc>
        <w:tc>
          <w:tcPr>
            <w:tcW w:w="764" w:type="dxa"/>
            <w:tcBorders>
              <w:tl2br w:val="nil"/>
              <w:tr2bl w:val="nil"/>
            </w:tcBorders>
            <w:noWrap w:val="0"/>
            <w:vAlign w:val="center"/>
          </w:tcPr>
          <w:p w14:paraId="3EB93DE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4.03</w:t>
            </w:r>
          </w:p>
        </w:tc>
        <w:tc>
          <w:tcPr>
            <w:tcW w:w="764" w:type="dxa"/>
            <w:tcBorders>
              <w:tl2br w:val="nil"/>
              <w:tr2bl w:val="nil"/>
            </w:tcBorders>
            <w:noWrap w:val="0"/>
            <w:vAlign w:val="center"/>
          </w:tcPr>
          <w:p w14:paraId="2DC2CAD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3.18</w:t>
            </w:r>
          </w:p>
        </w:tc>
        <w:tc>
          <w:tcPr>
            <w:tcW w:w="764" w:type="dxa"/>
            <w:tcBorders>
              <w:tl2br w:val="nil"/>
              <w:tr2bl w:val="nil"/>
            </w:tcBorders>
            <w:noWrap w:val="0"/>
            <w:vAlign w:val="center"/>
          </w:tcPr>
          <w:p w14:paraId="7A84F9C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3.02</w:t>
            </w:r>
          </w:p>
        </w:tc>
        <w:tc>
          <w:tcPr>
            <w:tcW w:w="764" w:type="dxa"/>
            <w:tcBorders>
              <w:tl2br w:val="nil"/>
              <w:tr2bl w:val="nil"/>
            </w:tcBorders>
            <w:noWrap w:val="0"/>
            <w:vAlign w:val="center"/>
          </w:tcPr>
          <w:p w14:paraId="5543C51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2.56</w:t>
            </w:r>
          </w:p>
        </w:tc>
        <w:tc>
          <w:tcPr>
            <w:tcW w:w="765" w:type="dxa"/>
            <w:tcBorders>
              <w:tl2br w:val="nil"/>
              <w:tr2bl w:val="nil"/>
            </w:tcBorders>
            <w:noWrap w:val="0"/>
            <w:vAlign w:val="center"/>
          </w:tcPr>
          <w:p w14:paraId="1A6BE9B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3.01</w:t>
            </w:r>
          </w:p>
        </w:tc>
        <w:tc>
          <w:tcPr>
            <w:tcW w:w="765" w:type="dxa"/>
            <w:tcBorders>
              <w:tl2br w:val="nil"/>
              <w:tr2bl w:val="nil"/>
            </w:tcBorders>
            <w:noWrap w:val="0"/>
            <w:vAlign w:val="center"/>
          </w:tcPr>
          <w:p w14:paraId="4661036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3.09</w:t>
            </w:r>
          </w:p>
        </w:tc>
        <w:tc>
          <w:tcPr>
            <w:tcW w:w="765" w:type="dxa"/>
            <w:tcBorders>
              <w:tl2br w:val="nil"/>
              <w:tr2bl w:val="nil"/>
            </w:tcBorders>
            <w:noWrap w:val="0"/>
            <w:vAlign w:val="center"/>
          </w:tcPr>
          <w:p w14:paraId="6BBFE3A5">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4.68</w:t>
            </w:r>
          </w:p>
        </w:tc>
        <w:tc>
          <w:tcPr>
            <w:tcW w:w="765" w:type="dxa"/>
            <w:tcBorders>
              <w:tl2br w:val="nil"/>
              <w:tr2bl w:val="nil"/>
            </w:tcBorders>
            <w:noWrap w:val="0"/>
            <w:vAlign w:val="center"/>
          </w:tcPr>
          <w:p w14:paraId="773AFDA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7.43</w:t>
            </w:r>
          </w:p>
        </w:tc>
        <w:tc>
          <w:tcPr>
            <w:tcW w:w="765" w:type="dxa"/>
            <w:tcBorders>
              <w:tl2br w:val="nil"/>
              <w:tr2bl w:val="nil"/>
            </w:tcBorders>
            <w:noWrap w:val="0"/>
            <w:vAlign w:val="center"/>
          </w:tcPr>
          <w:p w14:paraId="30A3448F">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14.01</w:t>
            </w:r>
          </w:p>
        </w:tc>
        <w:tc>
          <w:tcPr>
            <w:tcW w:w="804" w:type="dxa"/>
            <w:tcBorders>
              <w:tl2br w:val="nil"/>
              <w:tr2bl w:val="nil"/>
            </w:tcBorders>
            <w:noWrap w:val="0"/>
            <w:vAlign w:val="center"/>
          </w:tcPr>
          <w:p w14:paraId="41ED8A62">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10.43</w:t>
            </w:r>
          </w:p>
        </w:tc>
        <w:tc>
          <w:tcPr>
            <w:tcW w:w="765" w:type="dxa"/>
            <w:tcBorders>
              <w:tl2br w:val="nil"/>
              <w:tr2bl w:val="nil"/>
            </w:tcBorders>
            <w:noWrap w:val="0"/>
            <w:vAlign w:val="center"/>
          </w:tcPr>
          <w:p w14:paraId="7037603F">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10.09</w:t>
            </w:r>
          </w:p>
        </w:tc>
        <w:tc>
          <w:tcPr>
            <w:tcW w:w="843" w:type="dxa"/>
            <w:tcBorders>
              <w:tl2br w:val="nil"/>
              <w:tr2bl w:val="nil"/>
            </w:tcBorders>
            <w:noWrap w:val="0"/>
            <w:vAlign w:val="center"/>
          </w:tcPr>
          <w:p w14:paraId="55657AA5">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6.26</w:t>
            </w:r>
          </w:p>
        </w:tc>
        <w:tc>
          <w:tcPr>
            <w:tcW w:w="765" w:type="dxa"/>
            <w:tcBorders>
              <w:tl2br w:val="nil"/>
              <w:tr2bl w:val="nil"/>
            </w:tcBorders>
            <w:noWrap w:val="0"/>
            <w:vAlign w:val="center"/>
          </w:tcPr>
          <w:p w14:paraId="69FB4A4C">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3.84</w:t>
            </w:r>
          </w:p>
        </w:tc>
        <w:tc>
          <w:tcPr>
            <w:tcW w:w="790" w:type="dxa"/>
            <w:tcBorders>
              <w:tl2br w:val="nil"/>
              <w:tr2bl w:val="nil"/>
            </w:tcBorders>
            <w:noWrap w:val="0"/>
            <w:vAlign w:val="center"/>
          </w:tcPr>
          <w:p w14:paraId="5829782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4.29</w:t>
            </w:r>
          </w:p>
        </w:tc>
        <w:tc>
          <w:tcPr>
            <w:tcW w:w="765" w:type="dxa"/>
            <w:tcBorders>
              <w:tl2br w:val="nil"/>
              <w:tr2bl w:val="nil"/>
            </w:tcBorders>
            <w:noWrap w:val="0"/>
            <w:vAlign w:val="center"/>
          </w:tcPr>
          <w:p w14:paraId="4845976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3.56</w:t>
            </w:r>
          </w:p>
        </w:tc>
        <w:tc>
          <w:tcPr>
            <w:tcW w:w="765" w:type="dxa"/>
            <w:tcBorders>
              <w:tl2br w:val="nil"/>
              <w:tr2bl w:val="nil"/>
            </w:tcBorders>
            <w:noWrap w:val="0"/>
            <w:vAlign w:val="center"/>
          </w:tcPr>
          <w:p w14:paraId="2E681232">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12.1</w:t>
            </w:r>
          </w:p>
        </w:tc>
      </w:tr>
      <w:tr w14:paraId="1FDADE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dxa"/>
            <w:tcBorders>
              <w:tl2br w:val="nil"/>
              <w:tr2bl w:val="nil"/>
            </w:tcBorders>
            <w:noWrap w:val="0"/>
            <w:vAlign w:val="center"/>
          </w:tcPr>
          <w:p w14:paraId="164B3F57">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rPr>
              <w:t>2015</w:t>
            </w:r>
          </w:p>
        </w:tc>
        <w:tc>
          <w:tcPr>
            <w:tcW w:w="764" w:type="dxa"/>
            <w:tcBorders>
              <w:tl2br w:val="nil"/>
              <w:tr2bl w:val="nil"/>
            </w:tcBorders>
            <w:noWrap w:val="0"/>
            <w:vAlign w:val="center"/>
          </w:tcPr>
          <w:p w14:paraId="08C5710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3.52</w:t>
            </w:r>
          </w:p>
        </w:tc>
        <w:tc>
          <w:tcPr>
            <w:tcW w:w="764" w:type="dxa"/>
            <w:tcBorders>
              <w:tl2br w:val="nil"/>
              <w:tr2bl w:val="nil"/>
            </w:tcBorders>
            <w:noWrap w:val="0"/>
            <w:vAlign w:val="center"/>
          </w:tcPr>
          <w:p w14:paraId="13ED3C3F">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5.02</w:t>
            </w:r>
          </w:p>
        </w:tc>
        <w:tc>
          <w:tcPr>
            <w:tcW w:w="764" w:type="dxa"/>
            <w:tcBorders>
              <w:tl2br w:val="nil"/>
              <w:tr2bl w:val="nil"/>
            </w:tcBorders>
            <w:noWrap w:val="0"/>
            <w:vAlign w:val="center"/>
          </w:tcPr>
          <w:p w14:paraId="351B6291">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4.93</w:t>
            </w:r>
          </w:p>
        </w:tc>
        <w:tc>
          <w:tcPr>
            <w:tcW w:w="764" w:type="dxa"/>
            <w:tcBorders>
              <w:tl2br w:val="nil"/>
              <w:tr2bl w:val="nil"/>
            </w:tcBorders>
            <w:noWrap w:val="0"/>
            <w:vAlign w:val="center"/>
          </w:tcPr>
          <w:p w14:paraId="5060FD8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3.93</w:t>
            </w:r>
          </w:p>
        </w:tc>
        <w:tc>
          <w:tcPr>
            <w:tcW w:w="764" w:type="dxa"/>
            <w:tcBorders>
              <w:tl2br w:val="nil"/>
              <w:tr2bl w:val="nil"/>
            </w:tcBorders>
            <w:noWrap w:val="0"/>
            <w:vAlign w:val="center"/>
          </w:tcPr>
          <w:p w14:paraId="743D467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3.10</w:t>
            </w:r>
          </w:p>
        </w:tc>
        <w:tc>
          <w:tcPr>
            <w:tcW w:w="765" w:type="dxa"/>
            <w:tcBorders>
              <w:tl2br w:val="nil"/>
              <w:tr2bl w:val="nil"/>
            </w:tcBorders>
            <w:noWrap w:val="0"/>
            <w:vAlign w:val="center"/>
          </w:tcPr>
          <w:p w14:paraId="2A129D0F">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3.02</w:t>
            </w:r>
          </w:p>
        </w:tc>
        <w:tc>
          <w:tcPr>
            <w:tcW w:w="765" w:type="dxa"/>
            <w:tcBorders>
              <w:tl2br w:val="nil"/>
              <w:tr2bl w:val="nil"/>
            </w:tcBorders>
            <w:noWrap w:val="0"/>
            <w:vAlign w:val="center"/>
          </w:tcPr>
          <w:p w14:paraId="6DBE4262">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3.44</w:t>
            </w:r>
          </w:p>
        </w:tc>
        <w:tc>
          <w:tcPr>
            <w:tcW w:w="765" w:type="dxa"/>
            <w:tcBorders>
              <w:tl2br w:val="nil"/>
              <w:tr2bl w:val="nil"/>
            </w:tcBorders>
            <w:noWrap w:val="0"/>
            <w:vAlign w:val="center"/>
          </w:tcPr>
          <w:p w14:paraId="6FD01A2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4.27</w:t>
            </w:r>
          </w:p>
        </w:tc>
        <w:tc>
          <w:tcPr>
            <w:tcW w:w="765" w:type="dxa"/>
            <w:tcBorders>
              <w:tl2br w:val="nil"/>
              <w:tr2bl w:val="nil"/>
            </w:tcBorders>
            <w:noWrap w:val="0"/>
            <w:vAlign w:val="center"/>
          </w:tcPr>
          <w:p w14:paraId="7AA2854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6.02</w:t>
            </w:r>
          </w:p>
        </w:tc>
        <w:tc>
          <w:tcPr>
            <w:tcW w:w="765" w:type="dxa"/>
            <w:tcBorders>
              <w:tl2br w:val="nil"/>
              <w:tr2bl w:val="nil"/>
            </w:tcBorders>
            <w:noWrap w:val="0"/>
            <w:vAlign w:val="center"/>
          </w:tcPr>
          <w:p w14:paraId="12AEE65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13.19</w:t>
            </w:r>
          </w:p>
        </w:tc>
        <w:tc>
          <w:tcPr>
            <w:tcW w:w="804" w:type="dxa"/>
            <w:tcBorders>
              <w:tl2br w:val="nil"/>
              <w:tr2bl w:val="nil"/>
            </w:tcBorders>
            <w:noWrap w:val="0"/>
            <w:vAlign w:val="center"/>
          </w:tcPr>
          <w:p w14:paraId="396F87C5">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14.10</w:t>
            </w:r>
          </w:p>
        </w:tc>
        <w:tc>
          <w:tcPr>
            <w:tcW w:w="765" w:type="dxa"/>
            <w:tcBorders>
              <w:tl2br w:val="nil"/>
              <w:tr2bl w:val="nil"/>
            </w:tcBorders>
            <w:noWrap w:val="0"/>
            <w:vAlign w:val="center"/>
          </w:tcPr>
          <w:p w14:paraId="7B40759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10.52</w:t>
            </w:r>
          </w:p>
        </w:tc>
        <w:tc>
          <w:tcPr>
            <w:tcW w:w="843" w:type="dxa"/>
            <w:tcBorders>
              <w:tl2br w:val="nil"/>
              <w:tr2bl w:val="nil"/>
            </w:tcBorders>
            <w:noWrap w:val="0"/>
            <w:vAlign w:val="center"/>
          </w:tcPr>
          <w:p w14:paraId="38D31B4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6.02</w:t>
            </w:r>
          </w:p>
        </w:tc>
        <w:tc>
          <w:tcPr>
            <w:tcW w:w="765" w:type="dxa"/>
            <w:tcBorders>
              <w:tl2br w:val="nil"/>
              <w:tr2bl w:val="nil"/>
            </w:tcBorders>
            <w:noWrap w:val="0"/>
            <w:vAlign w:val="center"/>
          </w:tcPr>
          <w:p w14:paraId="099E8E75">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5.7</w:t>
            </w:r>
          </w:p>
        </w:tc>
        <w:tc>
          <w:tcPr>
            <w:tcW w:w="790" w:type="dxa"/>
            <w:tcBorders>
              <w:tl2br w:val="nil"/>
              <w:tr2bl w:val="nil"/>
            </w:tcBorders>
            <w:noWrap w:val="0"/>
            <w:vAlign w:val="center"/>
          </w:tcPr>
          <w:p w14:paraId="2630FC5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2.85</w:t>
            </w:r>
          </w:p>
        </w:tc>
        <w:tc>
          <w:tcPr>
            <w:tcW w:w="765" w:type="dxa"/>
            <w:tcBorders>
              <w:tl2br w:val="nil"/>
              <w:tr2bl w:val="nil"/>
            </w:tcBorders>
            <w:noWrap w:val="0"/>
            <w:vAlign w:val="center"/>
          </w:tcPr>
          <w:p w14:paraId="33512F3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3.69</w:t>
            </w:r>
          </w:p>
        </w:tc>
        <w:tc>
          <w:tcPr>
            <w:tcW w:w="765" w:type="dxa"/>
            <w:tcBorders>
              <w:tl2br w:val="nil"/>
              <w:tr2bl w:val="nil"/>
            </w:tcBorders>
            <w:noWrap w:val="0"/>
            <w:vAlign w:val="center"/>
          </w:tcPr>
          <w:p w14:paraId="39D7A56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7.12</w:t>
            </w:r>
          </w:p>
        </w:tc>
      </w:tr>
      <w:tr w14:paraId="266B82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dxa"/>
            <w:tcBorders>
              <w:tl2br w:val="nil"/>
              <w:tr2bl w:val="nil"/>
            </w:tcBorders>
            <w:noWrap w:val="0"/>
            <w:vAlign w:val="center"/>
          </w:tcPr>
          <w:p w14:paraId="481EE5A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rPr>
              <w:t>2016</w:t>
            </w:r>
          </w:p>
        </w:tc>
        <w:tc>
          <w:tcPr>
            <w:tcW w:w="764" w:type="dxa"/>
            <w:tcBorders>
              <w:tl2br w:val="nil"/>
              <w:tr2bl w:val="nil"/>
            </w:tcBorders>
            <w:noWrap w:val="0"/>
            <w:vAlign w:val="center"/>
          </w:tcPr>
          <w:p w14:paraId="30BF53CC">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3.50</w:t>
            </w:r>
          </w:p>
        </w:tc>
        <w:tc>
          <w:tcPr>
            <w:tcW w:w="764" w:type="dxa"/>
            <w:tcBorders>
              <w:tl2br w:val="nil"/>
              <w:tr2bl w:val="nil"/>
            </w:tcBorders>
            <w:noWrap w:val="0"/>
            <w:vAlign w:val="center"/>
          </w:tcPr>
          <w:p w14:paraId="049F73E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5.08</w:t>
            </w:r>
          </w:p>
        </w:tc>
        <w:tc>
          <w:tcPr>
            <w:tcW w:w="764" w:type="dxa"/>
            <w:tcBorders>
              <w:tl2br w:val="nil"/>
              <w:tr2bl w:val="nil"/>
            </w:tcBorders>
            <w:noWrap w:val="0"/>
            <w:vAlign w:val="center"/>
          </w:tcPr>
          <w:p w14:paraId="1F86426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4.00</w:t>
            </w:r>
          </w:p>
        </w:tc>
        <w:tc>
          <w:tcPr>
            <w:tcW w:w="764" w:type="dxa"/>
            <w:tcBorders>
              <w:tl2br w:val="nil"/>
              <w:tr2bl w:val="nil"/>
            </w:tcBorders>
            <w:noWrap w:val="0"/>
            <w:vAlign w:val="center"/>
          </w:tcPr>
          <w:p w14:paraId="5EC24FD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3.75</w:t>
            </w:r>
          </w:p>
        </w:tc>
        <w:tc>
          <w:tcPr>
            <w:tcW w:w="764" w:type="dxa"/>
            <w:tcBorders>
              <w:tl2br w:val="nil"/>
              <w:tr2bl w:val="nil"/>
            </w:tcBorders>
            <w:noWrap w:val="0"/>
            <w:vAlign w:val="center"/>
          </w:tcPr>
          <w:p w14:paraId="595D5942">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3.83</w:t>
            </w:r>
          </w:p>
        </w:tc>
        <w:tc>
          <w:tcPr>
            <w:tcW w:w="765" w:type="dxa"/>
            <w:tcBorders>
              <w:tl2br w:val="nil"/>
              <w:tr2bl w:val="nil"/>
            </w:tcBorders>
            <w:noWrap w:val="0"/>
            <w:vAlign w:val="center"/>
          </w:tcPr>
          <w:p w14:paraId="002A5F7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3.17</w:t>
            </w:r>
          </w:p>
        </w:tc>
        <w:tc>
          <w:tcPr>
            <w:tcW w:w="765" w:type="dxa"/>
            <w:tcBorders>
              <w:tl2br w:val="nil"/>
              <w:tr2bl w:val="nil"/>
            </w:tcBorders>
            <w:noWrap w:val="0"/>
            <w:vAlign w:val="center"/>
          </w:tcPr>
          <w:p w14:paraId="0EB00235">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3.58</w:t>
            </w:r>
          </w:p>
        </w:tc>
        <w:tc>
          <w:tcPr>
            <w:tcW w:w="765" w:type="dxa"/>
            <w:tcBorders>
              <w:tl2br w:val="nil"/>
              <w:tr2bl w:val="nil"/>
            </w:tcBorders>
            <w:noWrap w:val="0"/>
            <w:vAlign w:val="center"/>
          </w:tcPr>
          <w:p w14:paraId="484D850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5.00</w:t>
            </w:r>
          </w:p>
        </w:tc>
        <w:tc>
          <w:tcPr>
            <w:tcW w:w="765" w:type="dxa"/>
            <w:tcBorders>
              <w:tl2br w:val="nil"/>
              <w:tr2bl w:val="nil"/>
            </w:tcBorders>
            <w:noWrap w:val="0"/>
            <w:vAlign w:val="center"/>
          </w:tcPr>
          <w:p w14:paraId="7F0DA747">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6.42</w:t>
            </w:r>
          </w:p>
        </w:tc>
        <w:tc>
          <w:tcPr>
            <w:tcW w:w="765" w:type="dxa"/>
            <w:tcBorders>
              <w:tl2br w:val="nil"/>
              <w:tr2bl w:val="nil"/>
            </w:tcBorders>
            <w:noWrap w:val="0"/>
            <w:vAlign w:val="center"/>
          </w:tcPr>
          <w:p w14:paraId="1272A9A5">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12.33</w:t>
            </w:r>
          </w:p>
        </w:tc>
        <w:tc>
          <w:tcPr>
            <w:tcW w:w="804" w:type="dxa"/>
            <w:tcBorders>
              <w:tl2br w:val="nil"/>
              <w:tr2bl w:val="nil"/>
            </w:tcBorders>
            <w:noWrap w:val="0"/>
            <w:vAlign w:val="center"/>
          </w:tcPr>
          <w:p w14:paraId="29813B21">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15.50</w:t>
            </w:r>
          </w:p>
        </w:tc>
        <w:tc>
          <w:tcPr>
            <w:tcW w:w="765" w:type="dxa"/>
            <w:tcBorders>
              <w:tl2br w:val="nil"/>
              <w:tr2bl w:val="nil"/>
            </w:tcBorders>
            <w:noWrap w:val="0"/>
            <w:vAlign w:val="center"/>
          </w:tcPr>
          <w:p w14:paraId="0FD7E76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10.67</w:t>
            </w:r>
          </w:p>
        </w:tc>
        <w:tc>
          <w:tcPr>
            <w:tcW w:w="843" w:type="dxa"/>
            <w:tcBorders>
              <w:tl2br w:val="nil"/>
              <w:tr2bl w:val="nil"/>
            </w:tcBorders>
            <w:noWrap w:val="0"/>
            <w:vAlign w:val="center"/>
          </w:tcPr>
          <w:p w14:paraId="204575E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7.33</w:t>
            </w:r>
          </w:p>
        </w:tc>
        <w:tc>
          <w:tcPr>
            <w:tcW w:w="765" w:type="dxa"/>
            <w:tcBorders>
              <w:tl2br w:val="nil"/>
              <w:tr2bl w:val="nil"/>
            </w:tcBorders>
            <w:noWrap w:val="0"/>
            <w:vAlign w:val="center"/>
          </w:tcPr>
          <w:p w14:paraId="7B6179B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5.00</w:t>
            </w:r>
          </w:p>
        </w:tc>
        <w:tc>
          <w:tcPr>
            <w:tcW w:w="790" w:type="dxa"/>
            <w:tcBorders>
              <w:tl2br w:val="nil"/>
              <w:tr2bl w:val="nil"/>
            </w:tcBorders>
            <w:noWrap w:val="0"/>
            <w:vAlign w:val="center"/>
          </w:tcPr>
          <w:p w14:paraId="21C9B25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3.58</w:t>
            </w:r>
          </w:p>
        </w:tc>
        <w:tc>
          <w:tcPr>
            <w:tcW w:w="765" w:type="dxa"/>
            <w:tcBorders>
              <w:tl2br w:val="nil"/>
              <w:tr2bl w:val="nil"/>
            </w:tcBorders>
            <w:noWrap w:val="0"/>
            <w:vAlign w:val="center"/>
          </w:tcPr>
          <w:p w14:paraId="53A9234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3.67</w:t>
            </w:r>
          </w:p>
        </w:tc>
        <w:tc>
          <w:tcPr>
            <w:tcW w:w="765" w:type="dxa"/>
            <w:tcBorders>
              <w:tl2br w:val="nil"/>
              <w:tr2bl w:val="nil"/>
            </w:tcBorders>
            <w:noWrap w:val="0"/>
            <w:vAlign w:val="center"/>
          </w:tcPr>
          <w:p w14:paraId="620138E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2.50</w:t>
            </w:r>
          </w:p>
        </w:tc>
      </w:tr>
      <w:tr w14:paraId="796F94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dxa"/>
            <w:tcBorders>
              <w:tl2br w:val="nil"/>
              <w:tr2bl w:val="nil"/>
            </w:tcBorders>
            <w:noWrap w:val="0"/>
            <w:vAlign w:val="center"/>
          </w:tcPr>
          <w:p w14:paraId="7ED5FB1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rPr>
              <w:t>2017</w:t>
            </w:r>
          </w:p>
        </w:tc>
        <w:tc>
          <w:tcPr>
            <w:tcW w:w="764" w:type="dxa"/>
            <w:tcBorders>
              <w:tl2br w:val="nil"/>
              <w:tr2bl w:val="nil"/>
            </w:tcBorders>
            <w:noWrap w:val="0"/>
            <w:vAlign w:val="center"/>
          </w:tcPr>
          <w:p w14:paraId="2014F55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2.75</w:t>
            </w:r>
          </w:p>
        </w:tc>
        <w:tc>
          <w:tcPr>
            <w:tcW w:w="764" w:type="dxa"/>
            <w:tcBorders>
              <w:tl2br w:val="nil"/>
              <w:tr2bl w:val="nil"/>
            </w:tcBorders>
            <w:noWrap w:val="0"/>
            <w:vAlign w:val="center"/>
          </w:tcPr>
          <w:p w14:paraId="06A229A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3.75</w:t>
            </w:r>
          </w:p>
        </w:tc>
        <w:tc>
          <w:tcPr>
            <w:tcW w:w="764" w:type="dxa"/>
            <w:tcBorders>
              <w:tl2br w:val="nil"/>
              <w:tr2bl w:val="nil"/>
            </w:tcBorders>
            <w:noWrap w:val="0"/>
            <w:vAlign w:val="center"/>
          </w:tcPr>
          <w:p w14:paraId="4DF1321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2.50</w:t>
            </w:r>
          </w:p>
        </w:tc>
        <w:tc>
          <w:tcPr>
            <w:tcW w:w="764" w:type="dxa"/>
            <w:tcBorders>
              <w:tl2br w:val="nil"/>
              <w:tr2bl w:val="nil"/>
            </w:tcBorders>
            <w:noWrap w:val="0"/>
            <w:vAlign w:val="center"/>
          </w:tcPr>
          <w:p w14:paraId="6D8E3B5C">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2.50</w:t>
            </w:r>
          </w:p>
        </w:tc>
        <w:tc>
          <w:tcPr>
            <w:tcW w:w="764" w:type="dxa"/>
            <w:tcBorders>
              <w:tl2br w:val="nil"/>
              <w:tr2bl w:val="nil"/>
            </w:tcBorders>
            <w:noWrap w:val="0"/>
            <w:vAlign w:val="center"/>
          </w:tcPr>
          <w:p w14:paraId="25CB87B7">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2.58</w:t>
            </w:r>
          </w:p>
        </w:tc>
        <w:tc>
          <w:tcPr>
            <w:tcW w:w="765" w:type="dxa"/>
            <w:tcBorders>
              <w:tl2br w:val="nil"/>
              <w:tr2bl w:val="nil"/>
            </w:tcBorders>
            <w:noWrap w:val="0"/>
            <w:vAlign w:val="center"/>
          </w:tcPr>
          <w:p w14:paraId="19D68D8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3.08</w:t>
            </w:r>
          </w:p>
        </w:tc>
        <w:tc>
          <w:tcPr>
            <w:tcW w:w="765" w:type="dxa"/>
            <w:tcBorders>
              <w:tl2br w:val="nil"/>
              <w:tr2bl w:val="nil"/>
            </w:tcBorders>
            <w:noWrap w:val="0"/>
            <w:vAlign w:val="center"/>
          </w:tcPr>
          <w:p w14:paraId="2BD2D69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3.92</w:t>
            </w:r>
          </w:p>
        </w:tc>
        <w:tc>
          <w:tcPr>
            <w:tcW w:w="765" w:type="dxa"/>
            <w:tcBorders>
              <w:tl2br w:val="nil"/>
              <w:tr2bl w:val="nil"/>
            </w:tcBorders>
            <w:noWrap w:val="0"/>
            <w:vAlign w:val="center"/>
          </w:tcPr>
          <w:p w14:paraId="29C29BB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5.67</w:t>
            </w:r>
          </w:p>
        </w:tc>
        <w:tc>
          <w:tcPr>
            <w:tcW w:w="765" w:type="dxa"/>
            <w:tcBorders>
              <w:tl2br w:val="nil"/>
              <w:tr2bl w:val="nil"/>
            </w:tcBorders>
            <w:noWrap w:val="0"/>
            <w:vAlign w:val="center"/>
          </w:tcPr>
          <w:p w14:paraId="2C044BE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6.75</w:t>
            </w:r>
          </w:p>
        </w:tc>
        <w:tc>
          <w:tcPr>
            <w:tcW w:w="765" w:type="dxa"/>
            <w:tcBorders>
              <w:tl2br w:val="nil"/>
              <w:tr2bl w:val="nil"/>
            </w:tcBorders>
            <w:noWrap w:val="0"/>
            <w:vAlign w:val="center"/>
          </w:tcPr>
          <w:p w14:paraId="5E90BDF7">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13.67</w:t>
            </w:r>
          </w:p>
        </w:tc>
        <w:tc>
          <w:tcPr>
            <w:tcW w:w="804" w:type="dxa"/>
            <w:tcBorders>
              <w:tl2br w:val="nil"/>
              <w:tr2bl w:val="nil"/>
            </w:tcBorders>
            <w:noWrap w:val="0"/>
            <w:vAlign w:val="center"/>
          </w:tcPr>
          <w:p w14:paraId="0E35485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14.08</w:t>
            </w:r>
          </w:p>
        </w:tc>
        <w:tc>
          <w:tcPr>
            <w:tcW w:w="765" w:type="dxa"/>
            <w:tcBorders>
              <w:tl2br w:val="nil"/>
              <w:tr2bl w:val="nil"/>
            </w:tcBorders>
            <w:noWrap w:val="0"/>
            <w:vAlign w:val="center"/>
          </w:tcPr>
          <w:p w14:paraId="76D31E7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12.92</w:t>
            </w:r>
          </w:p>
        </w:tc>
        <w:tc>
          <w:tcPr>
            <w:tcW w:w="843" w:type="dxa"/>
            <w:tcBorders>
              <w:tl2br w:val="nil"/>
              <w:tr2bl w:val="nil"/>
            </w:tcBorders>
            <w:noWrap w:val="0"/>
            <w:vAlign w:val="center"/>
          </w:tcPr>
          <w:p w14:paraId="019BB76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8.83</w:t>
            </w:r>
          </w:p>
        </w:tc>
        <w:tc>
          <w:tcPr>
            <w:tcW w:w="765" w:type="dxa"/>
            <w:tcBorders>
              <w:tl2br w:val="nil"/>
              <w:tr2bl w:val="nil"/>
            </w:tcBorders>
            <w:noWrap w:val="0"/>
            <w:vAlign w:val="center"/>
          </w:tcPr>
          <w:p w14:paraId="70C0301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5.25</w:t>
            </w:r>
          </w:p>
        </w:tc>
        <w:tc>
          <w:tcPr>
            <w:tcW w:w="790" w:type="dxa"/>
            <w:tcBorders>
              <w:tl2br w:val="nil"/>
              <w:tr2bl w:val="nil"/>
            </w:tcBorders>
            <w:noWrap w:val="0"/>
            <w:vAlign w:val="center"/>
          </w:tcPr>
          <w:p w14:paraId="6775D3C7">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3.83</w:t>
            </w:r>
          </w:p>
        </w:tc>
        <w:tc>
          <w:tcPr>
            <w:tcW w:w="765" w:type="dxa"/>
            <w:tcBorders>
              <w:tl2br w:val="nil"/>
              <w:tr2bl w:val="nil"/>
            </w:tcBorders>
            <w:noWrap w:val="0"/>
            <w:vAlign w:val="center"/>
          </w:tcPr>
          <w:p w14:paraId="15243A7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3.17</w:t>
            </w:r>
          </w:p>
        </w:tc>
        <w:tc>
          <w:tcPr>
            <w:tcW w:w="765" w:type="dxa"/>
            <w:tcBorders>
              <w:tl2br w:val="nil"/>
              <w:tr2bl w:val="nil"/>
            </w:tcBorders>
            <w:noWrap w:val="0"/>
            <w:vAlign w:val="center"/>
          </w:tcPr>
          <w:p w14:paraId="4D2A70A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3.75</w:t>
            </w:r>
          </w:p>
        </w:tc>
      </w:tr>
      <w:tr w14:paraId="7AA05F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dxa"/>
            <w:tcBorders>
              <w:tl2br w:val="nil"/>
              <w:tr2bl w:val="nil"/>
            </w:tcBorders>
            <w:noWrap w:val="0"/>
            <w:vAlign w:val="center"/>
          </w:tcPr>
          <w:p w14:paraId="3F7DD2C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rPr>
              <w:t>2018</w:t>
            </w:r>
          </w:p>
        </w:tc>
        <w:tc>
          <w:tcPr>
            <w:tcW w:w="764" w:type="dxa"/>
            <w:tcBorders>
              <w:tl2br w:val="nil"/>
              <w:tr2bl w:val="nil"/>
            </w:tcBorders>
            <w:noWrap w:val="0"/>
            <w:vAlign w:val="center"/>
          </w:tcPr>
          <w:p w14:paraId="0BE4F215">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3.66</w:t>
            </w:r>
          </w:p>
        </w:tc>
        <w:tc>
          <w:tcPr>
            <w:tcW w:w="764" w:type="dxa"/>
            <w:tcBorders>
              <w:tl2br w:val="nil"/>
              <w:tr2bl w:val="nil"/>
            </w:tcBorders>
            <w:noWrap w:val="0"/>
            <w:vAlign w:val="center"/>
          </w:tcPr>
          <w:p w14:paraId="2C589D2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4.91</w:t>
            </w:r>
          </w:p>
        </w:tc>
        <w:tc>
          <w:tcPr>
            <w:tcW w:w="764" w:type="dxa"/>
            <w:tcBorders>
              <w:tl2br w:val="nil"/>
              <w:tr2bl w:val="nil"/>
            </w:tcBorders>
            <w:noWrap w:val="0"/>
            <w:vAlign w:val="center"/>
          </w:tcPr>
          <w:p w14:paraId="7C85F6F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3.75</w:t>
            </w:r>
          </w:p>
        </w:tc>
        <w:tc>
          <w:tcPr>
            <w:tcW w:w="764" w:type="dxa"/>
            <w:tcBorders>
              <w:tl2br w:val="nil"/>
              <w:tr2bl w:val="nil"/>
            </w:tcBorders>
            <w:noWrap w:val="0"/>
            <w:vAlign w:val="center"/>
          </w:tcPr>
          <w:p w14:paraId="3AE30F9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2.75</w:t>
            </w:r>
          </w:p>
        </w:tc>
        <w:tc>
          <w:tcPr>
            <w:tcW w:w="764" w:type="dxa"/>
            <w:tcBorders>
              <w:tl2br w:val="nil"/>
              <w:tr2bl w:val="nil"/>
            </w:tcBorders>
            <w:noWrap w:val="0"/>
            <w:vAlign w:val="center"/>
          </w:tcPr>
          <w:p w14:paraId="565E022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2.83</w:t>
            </w:r>
          </w:p>
        </w:tc>
        <w:tc>
          <w:tcPr>
            <w:tcW w:w="765" w:type="dxa"/>
            <w:tcBorders>
              <w:tl2br w:val="nil"/>
              <w:tr2bl w:val="nil"/>
            </w:tcBorders>
            <w:noWrap w:val="0"/>
            <w:vAlign w:val="center"/>
          </w:tcPr>
          <w:p w14:paraId="2AF064D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3.66</w:t>
            </w:r>
          </w:p>
        </w:tc>
        <w:tc>
          <w:tcPr>
            <w:tcW w:w="765" w:type="dxa"/>
            <w:tcBorders>
              <w:tl2br w:val="nil"/>
              <w:tr2bl w:val="nil"/>
            </w:tcBorders>
            <w:noWrap w:val="0"/>
            <w:vAlign w:val="center"/>
          </w:tcPr>
          <w:p w14:paraId="0D64802C">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4.75</w:t>
            </w:r>
          </w:p>
        </w:tc>
        <w:tc>
          <w:tcPr>
            <w:tcW w:w="765" w:type="dxa"/>
            <w:tcBorders>
              <w:tl2br w:val="nil"/>
              <w:tr2bl w:val="nil"/>
            </w:tcBorders>
            <w:noWrap w:val="0"/>
            <w:vAlign w:val="center"/>
          </w:tcPr>
          <w:p w14:paraId="6FD54AD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5.58</w:t>
            </w:r>
          </w:p>
        </w:tc>
        <w:tc>
          <w:tcPr>
            <w:tcW w:w="765" w:type="dxa"/>
            <w:tcBorders>
              <w:tl2br w:val="nil"/>
              <w:tr2bl w:val="nil"/>
            </w:tcBorders>
            <w:noWrap w:val="0"/>
            <w:vAlign w:val="center"/>
          </w:tcPr>
          <w:p w14:paraId="76D43F1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6.66</w:t>
            </w:r>
          </w:p>
        </w:tc>
        <w:tc>
          <w:tcPr>
            <w:tcW w:w="765" w:type="dxa"/>
            <w:tcBorders>
              <w:tl2br w:val="nil"/>
              <w:tr2bl w:val="nil"/>
            </w:tcBorders>
            <w:noWrap w:val="0"/>
            <w:vAlign w:val="center"/>
          </w:tcPr>
          <w:p w14:paraId="1C3EDB4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14.66</w:t>
            </w:r>
          </w:p>
        </w:tc>
        <w:tc>
          <w:tcPr>
            <w:tcW w:w="804" w:type="dxa"/>
            <w:tcBorders>
              <w:tl2br w:val="nil"/>
              <w:tr2bl w:val="nil"/>
            </w:tcBorders>
            <w:noWrap w:val="0"/>
            <w:vAlign w:val="center"/>
          </w:tcPr>
          <w:p w14:paraId="05A05FB2">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13.58</w:t>
            </w:r>
          </w:p>
        </w:tc>
        <w:tc>
          <w:tcPr>
            <w:tcW w:w="765" w:type="dxa"/>
            <w:tcBorders>
              <w:tl2br w:val="nil"/>
              <w:tr2bl w:val="nil"/>
            </w:tcBorders>
            <w:noWrap w:val="0"/>
            <w:vAlign w:val="center"/>
          </w:tcPr>
          <w:p w14:paraId="38F4A2F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11.41</w:t>
            </w:r>
          </w:p>
        </w:tc>
        <w:tc>
          <w:tcPr>
            <w:tcW w:w="843" w:type="dxa"/>
            <w:tcBorders>
              <w:tl2br w:val="nil"/>
              <w:tr2bl w:val="nil"/>
            </w:tcBorders>
            <w:noWrap w:val="0"/>
            <w:vAlign w:val="center"/>
          </w:tcPr>
          <w:p w14:paraId="75E50C1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7.00</w:t>
            </w:r>
          </w:p>
        </w:tc>
        <w:tc>
          <w:tcPr>
            <w:tcW w:w="765" w:type="dxa"/>
            <w:tcBorders>
              <w:tl2br w:val="nil"/>
              <w:tr2bl w:val="nil"/>
            </w:tcBorders>
            <w:noWrap w:val="0"/>
            <w:vAlign w:val="center"/>
          </w:tcPr>
          <w:p w14:paraId="5ED86B8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4.58</w:t>
            </w:r>
          </w:p>
        </w:tc>
        <w:tc>
          <w:tcPr>
            <w:tcW w:w="790" w:type="dxa"/>
            <w:tcBorders>
              <w:tl2br w:val="nil"/>
              <w:tr2bl w:val="nil"/>
            </w:tcBorders>
            <w:noWrap w:val="0"/>
            <w:vAlign w:val="center"/>
          </w:tcPr>
          <w:p w14:paraId="7FD0333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3.33</w:t>
            </w:r>
          </w:p>
        </w:tc>
        <w:tc>
          <w:tcPr>
            <w:tcW w:w="765" w:type="dxa"/>
            <w:tcBorders>
              <w:tl2br w:val="nil"/>
              <w:tr2bl w:val="nil"/>
            </w:tcBorders>
            <w:noWrap w:val="0"/>
            <w:vAlign w:val="center"/>
          </w:tcPr>
          <w:p w14:paraId="27075BC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3.33</w:t>
            </w:r>
          </w:p>
        </w:tc>
        <w:tc>
          <w:tcPr>
            <w:tcW w:w="765" w:type="dxa"/>
            <w:tcBorders>
              <w:tl2br w:val="nil"/>
              <w:tr2bl w:val="nil"/>
            </w:tcBorders>
            <w:noWrap w:val="0"/>
            <w:vAlign w:val="center"/>
          </w:tcPr>
          <w:p w14:paraId="002785C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2.75</w:t>
            </w:r>
          </w:p>
        </w:tc>
      </w:tr>
      <w:tr w14:paraId="5CA687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dxa"/>
            <w:tcBorders>
              <w:tl2br w:val="nil"/>
              <w:tr2bl w:val="nil"/>
            </w:tcBorders>
            <w:noWrap w:val="0"/>
            <w:vAlign w:val="center"/>
          </w:tcPr>
          <w:p w14:paraId="3101EED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rPr>
              <w:t>2019</w:t>
            </w:r>
          </w:p>
        </w:tc>
        <w:tc>
          <w:tcPr>
            <w:tcW w:w="764" w:type="dxa"/>
            <w:tcBorders>
              <w:tl2br w:val="nil"/>
              <w:tr2bl w:val="nil"/>
            </w:tcBorders>
            <w:noWrap w:val="0"/>
            <w:vAlign w:val="center"/>
          </w:tcPr>
          <w:p w14:paraId="6D2916C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4.50</w:t>
            </w:r>
          </w:p>
        </w:tc>
        <w:tc>
          <w:tcPr>
            <w:tcW w:w="764" w:type="dxa"/>
            <w:tcBorders>
              <w:tl2br w:val="nil"/>
              <w:tr2bl w:val="nil"/>
            </w:tcBorders>
            <w:noWrap w:val="0"/>
            <w:vAlign w:val="center"/>
          </w:tcPr>
          <w:p w14:paraId="5C5F62A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6.25</w:t>
            </w:r>
          </w:p>
        </w:tc>
        <w:tc>
          <w:tcPr>
            <w:tcW w:w="764" w:type="dxa"/>
            <w:tcBorders>
              <w:tl2br w:val="nil"/>
              <w:tr2bl w:val="nil"/>
            </w:tcBorders>
            <w:noWrap w:val="0"/>
            <w:vAlign w:val="center"/>
          </w:tcPr>
          <w:p w14:paraId="757F2D0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3.33</w:t>
            </w:r>
          </w:p>
        </w:tc>
        <w:tc>
          <w:tcPr>
            <w:tcW w:w="764" w:type="dxa"/>
            <w:tcBorders>
              <w:tl2br w:val="nil"/>
              <w:tr2bl w:val="nil"/>
            </w:tcBorders>
            <w:noWrap w:val="0"/>
            <w:vAlign w:val="center"/>
          </w:tcPr>
          <w:p w14:paraId="6C08BEE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2.50</w:t>
            </w:r>
          </w:p>
        </w:tc>
        <w:tc>
          <w:tcPr>
            <w:tcW w:w="764" w:type="dxa"/>
            <w:tcBorders>
              <w:tl2br w:val="nil"/>
              <w:tr2bl w:val="nil"/>
            </w:tcBorders>
            <w:noWrap w:val="0"/>
            <w:vAlign w:val="center"/>
          </w:tcPr>
          <w:p w14:paraId="7675FCB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2.25</w:t>
            </w:r>
          </w:p>
        </w:tc>
        <w:tc>
          <w:tcPr>
            <w:tcW w:w="765" w:type="dxa"/>
            <w:tcBorders>
              <w:tl2br w:val="nil"/>
              <w:tr2bl w:val="nil"/>
            </w:tcBorders>
            <w:noWrap w:val="0"/>
            <w:vAlign w:val="center"/>
          </w:tcPr>
          <w:p w14:paraId="3CB7D2D1">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2.83</w:t>
            </w:r>
          </w:p>
        </w:tc>
        <w:tc>
          <w:tcPr>
            <w:tcW w:w="765" w:type="dxa"/>
            <w:tcBorders>
              <w:tl2br w:val="nil"/>
              <w:tr2bl w:val="nil"/>
            </w:tcBorders>
            <w:noWrap w:val="0"/>
            <w:vAlign w:val="center"/>
          </w:tcPr>
          <w:p w14:paraId="0290BBE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4.33</w:t>
            </w:r>
          </w:p>
        </w:tc>
        <w:tc>
          <w:tcPr>
            <w:tcW w:w="765" w:type="dxa"/>
            <w:tcBorders>
              <w:tl2br w:val="nil"/>
              <w:tr2bl w:val="nil"/>
            </w:tcBorders>
            <w:noWrap w:val="0"/>
            <w:vAlign w:val="center"/>
          </w:tcPr>
          <w:p w14:paraId="1232F25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5.66</w:t>
            </w:r>
          </w:p>
        </w:tc>
        <w:tc>
          <w:tcPr>
            <w:tcW w:w="765" w:type="dxa"/>
            <w:tcBorders>
              <w:tl2br w:val="nil"/>
              <w:tr2bl w:val="nil"/>
            </w:tcBorders>
            <w:noWrap w:val="0"/>
            <w:vAlign w:val="center"/>
          </w:tcPr>
          <w:p w14:paraId="63EAFB6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7.66</w:t>
            </w:r>
          </w:p>
        </w:tc>
        <w:tc>
          <w:tcPr>
            <w:tcW w:w="765" w:type="dxa"/>
            <w:tcBorders>
              <w:tl2br w:val="nil"/>
              <w:tr2bl w:val="nil"/>
            </w:tcBorders>
            <w:noWrap w:val="0"/>
            <w:vAlign w:val="center"/>
          </w:tcPr>
          <w:p w14:paraId="766730A7">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13.50</w:t>
            </w:r>
          </w:p>
        </w:tc>
        <w:tc>
          <w:tcPr>
            <w:tcW w:w="804" w:type="dxa"/>
            <w:tcBorders>
              <w:tl2br w:val="nil"/>
              <w:tr2bl w:val="nil"/>
            </w:tcBorders>
            <w:noWrap w:val="0"/>
            <w:vAlign w:val="center"/>
          </w:tcPr>
          <w:p w14:paraId="16AFF7C7">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11.66</w:t>
            </w:r>
          </w:p>
        </w:tc>
        <w:tc>
          <w:tcPr>
            <w:tcW w:w="765" w:type="dxa"/>
            <w:tcBorders>
              <w:tl2br w:val="nil"/>
              <w:tr2bl w:val="nil"/>
            </w:tcBorders>
            <w:noWrap w:val="0"/>
            <w:vAlign w:val="center"/>
          </w:tcPr>
          <w:p w14:paraId="2BA9E562">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11.75</w:t>
            </w:r>
          </w:p>
        </w:tc>
        <w:tc>
          <w:tcPr>
            <w:tcW w:w="843" w:type="dxa"/>
            <w:tcBorders>
              <w:tl2br w:val="nil"/>
              <w:tr2bl w:val="nil"/>
            </w:tcBorders>
            <w:noWrap w:val="0"/>
            <w:vAlign w:val="center"/>
          </w:tcPr>
          <w:p w14:paraId="1648F281">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7.91</w:t>
            </w:r>
          </w:p>
        </w:tc>
        <w:tc>
          <w:tcPr>
            <w:tcW w:w="765" w:type="dxa"/>
            <w:tcBorders>
              <w:tl2br w:val="nil"/>
              <w:tr2bl w:val="nil"/>
            </w:tcBorders>
            <w:noWrap w:val="0"/>
            <w:vAlign w:val="center"/>
          </w:tcPr>
          <w:p w14:paraId="189707E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4.58</w:t>
            </w:r>
          </w:p>
        </w:tc>
        <w:tc>
          <w:tcPr>
            <w:tcW w:w="790" w:type="dxa"/>
            <w:tcBorders>
              <w:tl2br w:val="nil"/>
              <w:tr2bl w:val="nil"/>
            </w:tcBorders>
            <w:noWrap w:val="0"/>
            <w:vAlign w:val="center"/>
          </w:tcPr>
          <w:p w14:paraId="6390665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3.50</w:t>
            </w:r>
          </w:p>
        </w:tc>
        <w:tc>
          <w:tcPr>
            <w:tcW w:w="765" w:type="dxa"/>
            <w:tcBorders>
              <w:tl2br w:val="nil"/>
              <w:tr2bl w:val="nil"/>
            </w:tcBorders>
            <w:noWrap w:val="0"/>
            <w:vAlign w:val="center"/>
          </w:tcPr>
          <w:p w14:paraId="6904DCC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3.83</w:t>
            </w:r>
          </w:p>
        </w:tc>
        <w:tc>
          <w:tcPr>
            <w:tcW w:w="765" w:type="dxa"/>
            <w:tcBorders>
              <w:tl2br w:val="nil"/>
              <w:tr2bl w:val="nil"/>
            </w:tcBorders>
            <w:noWrap w:val="0"/>
            <w:vAlign w:val="center"/>
          </w:tcPr>
          <w:p w14:paraId="227A132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2.58</w:t>
            </w:r>
          </w:p>
        </w:tc>
      </w:tr>
      <w:tr w14:paraId="666D1D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dxa"/>
            <w:tcBorders>
              <w:tl2br w:val="nil"/>
              <w:tr2bl w:val="nil"/>
            </w:tcBorders>
            <w:noWrap w:val="0"/>
            <w:vAlign w:val="center"/>
          </w:tcPr>
          <w:p w14:paraId="776FD0D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rPr>
              <w:t>2020</w:t>
            </w:r>
          </w:p>
        </w:tc>
        <w:tc>
          <w:tcPr>
            <w:tcW w:w="764" w:type="dxa"/>
            <w:tcBorders>
              <w:tl2br w:val="nil"/>
              <w:tr2bl w:val="nil"/>
            </w:tcBorders>
            <w:noWrap w:val="0"/>
            <w:vAlign w:val="center"/>
          </w:tcPr>
          <w:p w14:paraId="3934329C">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3.28</w:t>
            </w:r>
          </w:p>
        </w:tc>
        <w:tc>
          <w:tcPr>
            <w:tcW w:w="764" w:type="dxa"/>
            <w:tcBorders>
              <w:tl2br w:val="nil"/>
              <w:tr2bl w:val="nil"/>
            </w:tcBorders>
            <w:noWrap w:val="0"/>
            <w:vAlign w:val="center"/>
          </w:tcPr>
          <w:p w14:paraId="6D6A6D9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4.71</w:t>
            </w:r>
          </w:p>
        </w:tc>
        <w:tc>
          <w:tcPr>
            <w:tcW w:w="764" w:type="dxa"/>
            <w:tcBorders>
              <w:tl2br w:val="nil"/>
              <w:tr2bl w:val="nil"/>
            </w:tcBorders>
            <w:noWrap w:val="0"/>
            <w:vAlign w:val="center"/>
          </w:tcPr>
          <w:p w14:paraId="7B9B96F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2.99</w:t>
            </w:r>
          </w:p>
        </w:tc>
        <w:tc>
          <w:tcPr>
            <w:tcW w:w="764" w:type="dxa"/>
            <w:tcBorders>
              <w:tl2br w:val="nil"/>
              <w:tr2bl w:val="nil"/>
            </w:tcBorders>
            <w:noWrap w:val="0"/>
            <w:vAlign w:val="center"/>
          </w:tcPr>
          <w:p w14:paraId="24985F4F">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1.71</w:t>
            </w:r>
          </w:p>
        </w:tc>
        <w:tc>
          <w:tcPr>
            <w:tcW w:w="764" w:type="dxa"/>
            <w:tcBorders>
              <w:tl2br w:val="nil"/>
              <w:tr2bl w:val="nil"/>
            </w:tcBorders>
            <w:noWrap w:val="0"/>
            <w:vAlign w:val="center"/>
          </w:tcPr>
          <w:p w14:paraId="1550F2F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1.71</w:t>
            </w:r>
          </w:p>
        </w:tc>
        <w:tc>
          <w:tcPr>
            <w:tcW w:w="765" w:type="dxa"/>
            <w:tcBorders>
              <w:tl2br w:val="nil"/>
              <w:tr2bl w:val="nil"/>
            </w:tcBorders>
            <w:noWrap w:val="0"/>
            <w:vAlign w:val="center"/>
          </w:tcPr>
          <w:p w14:paraId="6CC6FDD7">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2.71</w:t>
            </w:r>
          </w:p>
        </w:tc>
        <w:tc>
          <w:tcPr>
            <w:tcW w:w="765" w:type="dxa"/>
            <w:tcBorders>
              <w:tl2br w:val="nil"/>
              <w:tr2bl w:val="nil"/>
            </w:tcBorders>
            <w:noWrap w:val="0"/>
            <w:vAlign w:val="center"/>
          </w:tcPr>
          <w:p w14:paraId="5EAA8AD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4.71</w:t>
            </w:r>
          </w:p>
        </w:tc>
        <w:tc>
          <w:tcPr>
            <w:tcW w:w="765" w:type="dxa"/>
            <w:tcBorders>
              <w:tl2br w:val="nil"/>
              <w:tr2bl w:val="nil"/>
            </w:tcBorders>
            <w:noWrap w:val="0"/>
            <w:vAlign w:val="center"/>
          </w:tcPr>
          <w:p w14:paraId="636B73C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4.99</w:t>
            </w:r>
          </w:p>
        </w:tc>
        <w:tc>
          <w:tcPr>
            <w:tcW w:w="765" w:type="dxa"/>
            <w:tcBorders>
              <w:tl2br w:val="nil"/>
              <w:tr2bl w:val="nil"/>
            </w:tcBorders>
            <w:noWrap w:val="0"/>
            <w:vAlign w:val="center"/>
          </w:tcPr>
          <w:p w14:paraId="6C26FAF1">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7.42</w:t>
            </w:r>
          </w:p>
        </w:tc>
        <w:tc>
          <w:tcPr>
            <w:tcW w:w="765" w:type="dxa"/>
            <w:tcBorders>
              <w:tl2br w:val="nil"/>
              <w:tr2bl w:val="nil"/>
            </w:tcBorders>
            <w:noWrap w:val="0"/>
            <w:vAlign w:val="center"/>
          </w:tcPr>
          <w:p w14:paraId="4601E08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18.13</w:t>
            </w:r>
          </w:p>
        </w:tc>
        <w:tc>
          <w:tcPr>
            <w:tcW w:w="804" w:type="dxa"/>
            <w:tcBorders>
              <w:tl2br w:val="nil"/>
              <w:tr2bl w:val="nil"/>
            </w:tcBorders>
            <w:noWrap w:val="0"/>
            <w:vAlign w:val="center"/>
          </w:tcPr>
          <w:p w14:paraId="65BB0F3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14.71</w:t>
            </w:r>
          </w:p>
        </w:tc>
        <w:tc>
          <w:tcPr>
            <w:tcW w:w="765" w:type="dxa"/>
            <w:tcBorders>
              <w:tl2br w:val="nil"/>
              <w:tr2bl w:val="nil"/>
            </w:tcBorders>
            <w:noWrap w:val="0"/>
            <w:vAlign w:val="center"/>
          </w:tcPr>
          <w:p w14:paraId="00B4CF8F">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11.99</w:t>
            </w:r>
          </w:p>
        </w:tc>
        <w:tc>
          <w:tcPr>
            <w:tcW w:w="843" w:type="dxa"/>
            <w:tcBorders>
              <w:tl2br w:val="nil"/>
              <w:tr2bl w:val="nil"/>
            </w:tcBorders>
            <w:noWrap w:val="0"/>
            <w:vAlign w:val="center"/>
          </w:tcPr>
          <w:p w14:paraId="601DADF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6.85</w:t>
            </w:r>
          </w:p>
        </w:tc>
        <w:tc>
          <w:tcPr>
            <w:tcW w:w="765" w:type="dxa"/>
            <w:tcBorders>
              <w:tl2br w:val="nil"/>
              <w:tr2bl w:val="nil"/>
            </w:tcBorders>
            <w:noWrap w:val="0"/>
            <w:vAlign w:val="center"/>
          </w:tcPr>
          <w:p w14:paraId="37FDF8FC">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4.42</w:t>
            </w:r>
          </w:p>
        </w:tc>
        <w:tc>
          <w:tcPr>
            <w:tcW w:w="790" w:type="dxa"/>
            <w:tcBorders>
              <w:tl2br w:val="nil"/>
              <w:tr2bl w:val="nil"/>
            </w:tcBorders>
            <w:noWrap w:val="0"/>
            <w:vAlign w:val="center"/>
          </w:tcPr>
          <w:p w14:paraId="514AE9D7">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2.85</w:t>
            </w:r>
          </w:p>
        </w:tc>
        <w:tc>
          <w:tcPr>
            <w:tcW w:w="765" w:type="dxa"/>
            <w:tcBorders>
              <w:tl2br w:val="nil"/>
              <w:tr2bl w:val="nil"/>
            </w:tcBorders>
            <w:noWrap w:val="0"/>
            <w:vAlign w:val="center"/>
          </w:tcPr>
          <w:p w14:paraId="50E0EF37">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2.85</w:t>
            </w:r>
          </w:p>
        </w:tc>
        <w:tc>
          <w:tcPr>
            <w:tcW w:w="765" w:type="dxa"/>
            <w:tcBorders>
              <w:tl2br w:val="nil"/>
              <w:tr2bl w:val="nil"/>
            </w:tcBorders>
            <w:noWrap w:val="0"/>
            <w:vAlign w:val="center"/>
          </w:tcPr>
          <w:p w14:paraId="6DDC4AF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2.99</w:t>
            </w:r>
          </w:p>
        </w:tc>
      </w:tr>
      <w:tr w14:paraId="15F46A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dxa"/>
            <w:tcBorders>
              <w:tl2br w:val="nil"/>
              <w:tr2bl w:val="nil"/>
            </w:tcBorders>
            <w:noWrap w:val="0"/>
            <w:vAlign w:val="center"/>
          </w:tcPr>
          <w:p w14:paraId="47BA602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rPr>
              <w:t>2021</w:t>
            </w:r>
          </w:p>
        </w:tc>
        <w:tc>
          <w:tcPr>
            <w:tcW w:w="764" w:type="dxa"/>
            <w:tcBorders>
              <w:tl2br w:val="nil"/>
              <w:tr2bl w:val="nil"/>
            </w:tcBorders>
            <w:noWrap w:val="0"/>
            <w:vAlign w:val="center"/>
          </w:tcPr>
          <w:p w14:paraId="5D2EB53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3.71</w:t>
            </w:r>
          </w:p>
        </w:tc>
        <w:tc>
          <w:tcPr>
            <w:tcW w:w="764" w:type="dxa"/>
            <w:tcBorders>
              <w:tl2br w:val="nil"/>
              <w:tr2bl w:val="nil"/>
            </w:tcBorders>
            <w:noWrap w:val="0"/>
            <w:vAlign w:val="center"/>
          </w:tcPr>
          <w:p w14:paraId="5A518CAF">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4.19</w:t>
            </w:r>
          </w:p>
        </w:tc>
        <w:tc>
          <w:tcPr>
            <w:tcW w:w="764" w:type="dxa"/>
            <w:tcBorders>
              <w:tl2br w:val="nil"/>
              <w:tr2bl w:val="nil"/>
            </w:tcBorders>
            <w:noWrap w:val="0"/>
            <w:vAlign w:val="center"/>
          </w:tcPr>
          <w:p w14:paraId="45BD364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2.93</w:t>
            </w:r>
          </w:p>
        </w:tc>
        <w:tc>
          <w:tcPr>
            <w:tcW w:w="764" w:type="dxa"/>
            <w:tcBorders>
              <w:tl2br w:val="nil"/>
              <w:tr2bl w:val="nil"/>
            </w:tcBorders>
            <w:noWrap w:val="0"/>
            <w:vAlign w:val="center"/>
          </w:tcPr>
          <w:p w14:paraId="407C340F">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2.85</w:t>
            </w:r>
          </w:p>
        </w:tc>
        <w:tc>
          <w:tcPr>
            <w:tcW w:w="764" w:type="dxa"/>
            <w:tcBorders>
              <w:tl2br w:val="nil"/>
              <w:tr2bl w:val="nil"/>
            </w:tcBorders>
            <w:noWrap w:val="0"/>
            <w:vAlign w:val="center"/>
          </w:tcPr>
          <w:p w14:paraId="5258CA5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3.23</w:t>
            </w:r>
          </w:p>
        </w:tc>
        <w:tc>
          <w:tcPr>
            <w:tcW w:w="765" w:type="dxa"/>
            <w:tcBorders>
              <w:tl2br w:val="nil"/>
              <w:tr2bl w:val="nil"/>
            </w:tcBorders>
            <w:noWrap w:val="0"/>
            <w:vAlign w:val="center"/>
          </w:tcPr>
          <w:p w14:paraId="1BE1F7B5">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5.12</w:t>
            </w:r>
          </w:p>
        </w:tc>
        <w:tc>
          <w:tcPr>
            <w:tcW w:w="765" w:type="dxa"/>
            <w:tcBorders>
              <w:tl2br w:val="nil"/>
              <w:tr2bl w:val="nil"/>
            </w:tcBorders>
            <w:noWrap w:val="0"/>
            <w:vAlign w:val="center"/>
          </w:tcPr>
          <w:p w14:paraId="6AD42642">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6.37</w:t>
            </w:r>
          </w:p>
        </w:tc>
        <w:tc>
          <w:tcPr>
            <w:tcW w:w="765" w:type="dxa"/>
            <w:tcBorders>
              <w:tl2br w:val="nil"/>
              <w:tr2bl w:val="nil"/>
            </w:tcBorders>
            <w:noWrap w:val="0"/>
            <w:vAlign w:val="center"/>
          </w:tcPr>
          <w:p w14:paraId="2046C67F">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7.55</w:t>
            </w:r>
          </w:p>
        </w:tc>
        <w:tc>
          <w:tcPr>
            <w:tcW w:w="765" w:type="dxa"/>
            <w:tcBorders>
              <w:tl2br w:val="nil"/>
              <w:tr2bl w:val="nil"/>
            </w:tcBorders>
            <w:noWrap w:val="0"/>
            <w:vAlign w:val="center"/>
          </w:tcPr>
          <w:p w14:paraId="3E537F2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9.34</w:t>
            </w:r>
          </w:p>
        </w:tc>
        <w:tc>
          <w:tcPr>
            <w:tcW w:w="765" w:type="dxa"/>
            <w:tcBorders>
              <w:tl2br w:val="nil"/>
              <w:tr2bl w:val="nil"/>
            </w:tcBorders>
            <w:noWrap w:val="0"/>
            <w:vAlign w:val="center"/>
          </w:tcPr>
          <w:p w14:paraId="66C4E5B2">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14.29</w:t>
            </w:r>
          </w:p>
        </w:tc>
        <w:tc>
          <w:tcPr>
            <w:tcW w:w="804" w:type="dxa"/>
            <w:tcBorders>
              <w:tl2br w:val="nil"/>
              <w:tr2bl w:val="nil"/>
            </w:tcBorders>
            <w:noWrap w:val="0"/>
            <w:vAlign w:val="center"/>
          </w:tcPr>
          <w:p w14:paraId="4DDB165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10.40</w:t>
            </w:r>
          </w:p>
        </w:tc>
        <w:tc>
          <w:tcPr>
            <w:tcW w:w="765" w:type="dxa"/>
            <w:tcBorders>
              <w:tl2br w:val="nil"/>
              <w:tr2bl w:val="nil"/>
            </w:tcBorders>
            <w:noWrap w:val="0"/>
            <w:vAlign w:val="center"/>
          </w:tcPr>
          <w:p w14:paraId="4282F03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9.13</w:t>
            </w:r>
          </w:p>
        </w:tc>
        <w:tc>
          <w:tcPr>
            <w:tcW w:w="843" w:type="dxa"/>
            <w:tcBorders>
              <w:tl2br w:val="nil"/>
              <w:tr2bl w:val="nil"/>
            </w:tcBorders>
            <w:noWrap w:val="0"/>
            <w:vAlign w:val="center"/>
          </w:tcPr>
          <w:p w14:paraId="56ECAE2C">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6.37</w:t>
            </w:r>
          </w:p>
        </w:tc>
        <w:tc>
          <w:tcPr>
            <w:tcW w:w="765" w:type="dxa"/>
            <w:tcBorders>
              <w:tl2br w:val="nil"/>
              <w:tr2bl w:val="nil"/>
            </w:tcBorders>
            <w:noWrap w:val="0"/>
            <w:vAlign w:val="center"/>
          </w:tcPr>
          <w:p w14:paraId="5E0B6632">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4.66</w:t>
            </w:r>
          </w:p>
        </w:tc>
        <w:tc>
          <w:tcPr>
            <w:tcW w:w="790" w:type="dxa"/>
            <w:tcBorders>
              <w:tl2br w:val="nil"/>
              <w:tr2bl w:val="nil"/>
            </w:tcBorders>
            <w:noWrap w:val="0"/>
            <w:vAlign w:val="center"/>
          </w:tcPr>
          <w:p w14:paraId="547D3AE2">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3.39</w:t>
            </w:r>
          </w:p>
        </w:tc>
        <w:tc>
          <w:tcPr>
            <w:tcW w:w="765" w:type="dxa"/>
            <w:tcBorders>
              <w:tl2br w:val="nil"/>
              <w:tr2bl w:val="nil"/>
            </w:tcBorders>
            <w:noWrap w:val="0"/>
            <w:vAlign w:val="center"/>
          </w:tcPr>
          <w:p w14:paraId="7DA06251">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3.33</w:t>
            </w:r>
          </w:p>
        </w:tc>
        <w:tc>
          <w:tcPr>
            <w:tcW w:w="765" w:type="dxa"/>
            <w:tcBorders>
              <w:tl2br w:val="nil"/>
              <w:tr2bl w:val="nil"/>
            </w:tcBorders>
            <w:noWrap w:val="0"/>
            <w:vAlign w:val="center"/>
          </w:tcPr>
          <w:p w14:paraId="179ADC95">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3.14</w:t>
            </w:r>
          </w:p>
        </w:tc>
      </w:tr>
      <w:tr w14:paraId="597836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dxa"/>
            <w:tcBorders>
              <w:tl2br w:val="nil"/>
              <w:tr2bl w:val="nil"/>
            </w:tcBorders>
            <w:noWrap w:val="0"/>
            <w:vAlign w:val="center"/>
          </w:tcPr>
          <w:p w14:paraId="7BB3404F">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rPr>
              <w:t>202</w:t>
            </w:r>
            <w:r>
              <w:rPr>
                <w:rFonts w:hint="default" w:ascii="Times New Roman" w:hAnsi="Times New Roman" w:cs="Times New Roman" w:eastAsiaTheme="minorEastAsia"/>
                <w:bCs/>
                <w:color w:val="auto"/>
                <w:sz w:val="21"/>
                <w:szCs w:val="21"/>
                <w:highlight w:val="none"/>
                <w:lang w:val="en-US" w:eastAsia="zh-CN"/>
              </w:rPr>
              <w:t>2</w:t>
            </w:r>
          </w:p>
        </w:tc>
        <w:tc>
          <w:tcPr>
            <w:tcW w:w="764" w:type="dxa"/>
            <w:tcBorders>
              <w:tl2br w:val="nil"/>
              <w:tr2bl w:val="nil"/>
            </w:tcBorders>
            <w:noWrap w:val="0"/>
            <w:vAlign w:val="center"/>
          </w:tcPr>
          <w:p w14:paraId="6ACB57D5">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3.08</w:t>
            </w:r>
          </w:p>
        </w:tc>
        <w:tc>
          <w:tcPr>
            <w:tcW w:w="764" w:type="dxa"/>
            <w:tcBorders>
              <w:tl2br w:val="nil"/>
              <w:tr2bl w:val="nil"/>
            </w:tcBorders>
            <w:noWrap w:val="0"/>
            <w:vAlign w:val="center"/>
          </w:tcPr>
          <w:p w14:paraId="1725D56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4.18</w:t>
            </w:r>
          </w:p>
        </w:tc>
        <w:tc>
          <w:tcPr>
            <w:tcW w:w="764" w:type="dxa"/>
            <w:tcBorders>
              <w:tl2br w:val="nil"/>
              <w:tr2bl w:val="nil"/>
            </w:tcBorders>
            <w:noWrap w:val="0"/>
            <w:vAlign w:val="center"/>
          </w:tcPr>
          <w:p w14:paraId="0335B4F5">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2.95</w:t>
            </w:r>
          </w:p>
        </w:tc>
        <w:tc>
          <w:tcPr>
            <w:tcW w:w="764" w:type="dxa"/>
            <w:tcBorders>
              <w:tl2br w:val="nil"/>
              <w:tr2bl w:val="nil"/>
            </w:tcBorders>
            <w:noWrap w:val="0"/>
            <w:vAlign w:val="center"/>
          </w:tcPr>
          <w:p w14:paraId="6A3B19E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2.67</w:t>
            </w:r>
          </w:p>
        </w:tc>
        <w:tc>
          <w:tcPr>
            <w:tcW w:w="764" w:type="dxa"/>
            <w:tcBorders>
              <w:tl2br w:val="nil"/>
              <w:tr2bl w:val="nil"/>
            </w:tcBorders>
            <w:noWrap w:val="0"/>
            <w:vAlign w:val="center"/>
          </w:tcPr>
          <w:p w14:paraId="3BC0EF4F">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2.70</w:t>
            </w:r>
          </w:p>
        </w:tc>
        <w:tc>
          <w:tcPr>
            <w:tcW w:w="765" w:type="dxa"/>
            <w:tcBorders>
              <w:tl2br w:val="nil"/>
              <w:tr2bl w:val="nil"/>
            </w:tcBorders>
            <w:noWrap w:val="0"/>
            <w:vAlign w:val="center"/>
          </w:tcPr>
          <w:p w14:paraId="3079D91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4.93</w:t>
            </w:r>
          </w:p>
        </w:tc>
        <w:tc>
          <w:tcPr>
            <w:tcW w:w="765" w:type="dxa"/>
            <w:tcBorders>
              <w:tl2br w:val="nil"/>
              <w:tr2bl w:val="nil"/>
            </w:tcBorders>
            <w:noWrap w:val="0"/>
            <w:vAlign w:val="center"/>
          </w:tcPr>
          <w:p w14:paraId="4613C3F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5.85</w:t>
            </w:r>
          </w:p>
        </w:tc>
        <w:tc>
          <w:tcPr>
            <w:tcW w:w="765" w:type="dxa"/>
            <w:tcBorders>
              <w:tl2br w:val="nil"/>
              <w:tr2bl w:val="nil"/>
            </w:tcBorders>
            <w:noWrap w:val="0"/>
            <w:vAlign w:val="center"/>
          </w:tcPr>
          <w:p w14:paraId="377FE455">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6.81</w:t>
            </w:r>
          </w:p>
        </w:tc>
        <w:tc>
          <w:tcPr>
            <w:tcW w:w="765" w:type="dxa"/>
            <w:tcBorders>
              <w:tl2br w:val="nil"/>
              <w:tr2bl w:val="nil"/>
            </w:tcBorders>
            <w:noWrap w:val="0"/>
            <w:vAlign w:val="center"/>
          </w:tcPr>
          <w:p w14:paraId="66CD4D2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9.27</w:t>
            </w:r>
          </w:p>
        </w:tc>
        <w:tc>
          <w:tcPr>
            <w:tcW w:w="765" w:type="dxa"/>
            <w:tcBorders>
              <w:tl2br w:val="nil"/>
              <w:tr2bl w:val="nil"/>
            </w:tcBorders>
            <w:noWrap w:val="0"/>
            <w:vAlign w:val="center"/>
          </w:tcPr>
          <w:p w14:paraId="50A4AD7F">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16.99</w:t>
            </w:r>
          </w:p>
        </w:tc>
        <w:tc>
          <w:tcPr>
            <w:tcW w:w="804" w:type="dxa"/>
            <w:tcBorders>
              <w:tl2br w:val="nil"/>
              <w:tr2bl w:val="nil"/>
            </w:tcBorders>
            <w:noWrap w:val="0"/>
            <w:vAlign w:val="center"/>
          </w:tcPr>
          <w:p w14:paraId="0804C44C">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11.80</w:t>
            </w:r>
          </w:p>
        </w:tc>
        <w:tc>
          <w:tcPr>
            <w:tcW w:w="765" w:type="dxa"/>
            <w:tcBorders>
              <w:tl2br w:val="nil"/>
              <w:tr2bl w:val="nil"/>
            </w:tcBorders>
            <w:noWrap w:val="0"/>
            <w:vAlign w:val="center"/>
          </w:tcPr>
          <w:p w14:paraId="04EA154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10.16</w:t>
            </w:r>
          </w:p>
        </w:tc>
        <w:tc>
          <w:tcPr>
            <w:tcW w:w="843" w:type="dxa"/>
            <w:tcBorders>
              <w:tl2br w:val="nil"/>
              <w:tr2bl w:val="nil"/>
            </w:tcBorders>
            <w:noWrap w:val="0"/>
            <w:vAlign w:val="center"/>
          </w:tcPr>
          <w:p w14:paraId="5FA7B0D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6.23</w:t>
            </w:r>
          </w:p>
        </w:tc>
        <w:tc>
          <w:tcPr>
            <w:tcW w:w="765" w:type="dxa"/>
            <w:tcBorders>
              <w:tl2br w:val="nil"/>
              <w:tr2bl w:val="nil"/>
            </w:tcBorders>
            <w:noWrap w:val="0"/>
            <w:vAlign w:val="center"/>
          </w:tcPr>
          <w:p w14:paraId="29706AA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3.68</w:t>
            </w:r>
          </w:p>
        </w:tc>
        <w:tc>
          <w:tcPr>
            <w:tcW w:w="790" w:type="dxa"/>
            <w:tcBorders>
              <w:tl2br w:val="nil"/>
              <w:tr2bl w:val="nil"/>
            </w:tcBorders>
            <w:noWrap w:val="0"/>
            <w:vAlign w:val="center"/>
          </w:tcPr>
          <w:p w14:paraId="65FA573C">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3.48</w:t>
            </w:r>
          </w:p>
        </w:tc>
        <w:tc>
          <w:tcPr>
            <w:tcW w:w="765" w:type="dxa"/>
            <w:tcBorders>
              <w:tl2br w:val="nil"/>
              <w:tr2bl w:val="nil"/>
            </w:tcBorders>
            <w:noWrap w:val="0"/>
            <w:vAlign w:val="center"/>
          </w:tcPr>
          <w:p w14:paraId="263D8D3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2.79</w:t>
            </w:r>
          </w:p>
        </w:tc>
        <w:tc>
          <w:tcPr>
            <w:tcW w:w="765" w:type="dxa"/>
            <w:tcBorders>
              <w:tl2br w:val="nil"/>
              <w:tr2bl w:val="nil"/>
            </w:tcBorders>
            <w:noWrap w:val="0"/>
            <w:vAlign w:val="center"/>
          </w:tcPr>
          <w:p w14:paraId="2D8EA297">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2.42</w:t>
            </w:r>
          </w:p>
        </w:tc>
      </w:tr>
      <w:tr w14:paraId="0D549B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dxa"/>
            <w:tcBorders>
              <w:tl2br w:val="nil"/>
              <w:tr2bl w:val="nil"/>
            </w:tcBorders>
            <w:noWrap w:val="0"/>
            <w:vAlign w:val="center"/>
          </w:tcPr>
          <w:p w14:paraId="277562B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rPr>
              <w:t>202</w:t>
            </w:r>
            <w:r>
              <w:rPr>
                <w:rFonts w:hint="default" w:ascii="Times New Roman" w:hAnsi="Times New Roman" w:cs="Times New Roman" w:eastAsiaTheme="minorEastAsia"/>
                <w:bCs/>
                <w:color w:val="auto"/>
                <w:sz w:val="21"/>
                <w:szCs w:val="21"/>
                <w:highlight w:val="none"/>
                <w:lang w:val="en-US" w:eastAsia="zh-CN"/>
              </w:rPr>
              <w:t>3</w:t>
            </w:r>
          </w:p>
        </w:tc>
        <w:tc>
          <w:tcPr>
            <w:tcW w:w="764" w:type="dxa"/>
            <w:tcBorders>
              <w:tl2br w:val="nil"/>
              <w:tr2bl w:val="nil"/>
            </w:tcBorders>
            <w:noWrap w:val="0"/>
            <w:vAlign w:val="center"/>
          </w:tcPr>
          <w:p w14:paraId="089FB56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3.60</w:t>
            </w:r>
          </w:p>
        </w:tc>
        <w:tc>
          <w:tcPr>
            <w:tcW w:w="764" w:type="dxa"/>
            <w:tcBorders>
              <w:tl2br w:val="nil"/>
              <w:tr2bl w:val="nil"/>
            </w:tcBorders>
            <w:noWrap w:val="0"/>
            <w:vAlign w:val="center"/>
          </w:tcPr>
          <w:p w14:paraId="0AD86B52">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4.23</w:t>
            </w:r>
          </w:p>
        </w:tc>
        <w:tc>
          <w:tcPr>
            <w:tcW w:w="764" w:type="dxa"/>
            <w:tcBorders>
              <w:tl2br w:val="nil"/>
              <w:tr2bl w:val="nil"/>
            </w:tcBorders>
            <w:noWrap w:val="0"/>
            <w:vAlign w:val="center"/>
          </w:tcPr>
          <w:p w14:paraId="607AC28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3.37</w:t>
            </w:r>
          </w:p>
        </w:tc>
        <w:tc>
          <w:tcPr>
            <w:tcW w:w="764" w:type="dxa"/>
            <w:tcBorders>
              <w:tl2br w:val="nil"/>
              <w:tr2bl w:val="nil"/>
            </w:tcBorders>
            <w:noWrap w:val="0"/>
            <w:vAlign w:val="center"/>
          </w:tcPr>
          <w:p w14:paraId="076B48E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2.59</w:t>
            </w:r>
          </w:p>
        </w:tc>
        <w:tc>
          <w:tcPr>
            <w:tcW w:w="764" w:type="dxa"/>
            <w:tcBorders>
              <w:tl2br w:val="nil"/>
              <w:tr2bl w:val="nil"/>
            </w:tcBorders>
            <w:noWrap w:val="0"/>
            <w:vAlign w:val="center"/>
          </w:tcPr>
          <w:p w14:paraId="072CA85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2.44</w:t>
            </w:r>
          </w:p>
        </w:tc>
        <w:tc>
          <w:tcPr>
            <w:tcW w:w="765" w:type="dxa"/>
            <w:tcBorders>
              <w:tl2br w:val="nil"/>
              <w:tr2bl w:val="nil"/>
            </w:tcBorders>
            <w:noWrap w:val="0"/>
            <w:vAlign w:val="center"/>
          </w:tcPr>
          <w:p w14:paraId="17C9C131">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4.48</w:t>
            </w:r>
          </w:p>
        </w:tc>
        <w:tc>
          <w:tcPr>
            <w:tcW w:w="765" w:type="dxa"/>
            <w:tcBorders>
              <w:tl2br w:val="nil"/>
              <w:tr2bl w:val="nil"/>
            </w:tcBorders>
            <w:noWrap w:val="0"/>
            <w:vAlign w:val="center"/>
          </w:tcPr>
          <w:p w14:paraId="40F9879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6.23</w:t>
            </w:r>
          </w:p>
        </w:tc>
        <w:tc>
          <w:tcPr>
            <w:tcW w:w="765" w:type="dxa"/>
            <w:tcBorders>
              <w:tl2br w:val="nil"/>
              <w:tr2bl w:val="nil"/>
            </w:tcBorders>
            <w:noWrap w:val="0"/>
            <w:vAlign w:val="center"/>
          </w:tcPr>
          <w:p w14:paraId="713DCE11">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7.03</w:t>
            </w:r>
          </w:p>
        </w:tc>
        <w:tc>
          <w:tcPr>
            <w:tcW w:w="765" w:type="dxa"/>
            <w:tcBorders>
              <w:tl2br w:val="nil"/>
              <w:tr2bl w:val="nil"/>
            </w:tcBorders>
            <w:noWrap w:val="0"/>
            <w:vAlign w:val="center"/>
          </w:tcPr>
          <w:p w14:paraId="4AFFF04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8.14</w:t>
            </w:r>
          </w:p>
        </w:tc>
        <w:tc>
          <w:tcPr>
            <w:tcW w:w="765" w:type="dxa"/>
            <w:tcBorders>
              <w:tl2br w:val="nil"/>
              <w:tr2bl w:val="nil"/>
            </w:tcBorders>
            <w:noWrap w:val="0"/>
            <w:vAlign w:val="center"/>
          </w:tcPr>
          <w:p w14:paraId="1BDC2E8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14.71</w:t>
            </w:r>
          </w:p>
        </w:tc>
        <w:tc>
          <w:tcPr>
            <w:tcW w:w="804" w:type="dxa"/>
            <w:tcBorders>
              <w:tl2br w:val="nil"/>
              <w:tr2bl w:val="nil"/>
            </w:tcBorders>
            <w:noWrap w:val="0"/>
            <w:vAlign w:val="center"/>
          </w:tcPr>
          <w:p w14:paraId="0DAD1BB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11.73</w:t>
            </w:r>
          </w:p>
        </w:tc>
        <w:tc>
          <w:tcPr>
            <w:tcW w:w="765" w:type="dxa"/>
            <w:tcBorders>
              <w:tl2br w:val="nil"/>
              <w:tr2bl w:val="nil"/>
            </w:tcBorders>
            <w:noWrap w:val="0"/>
            <w:vAlign w:val="center"/>
          </w:tcPr>
          <w:p w14:paraId="5D202962">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10.13</w:t>
            </w:r>
          </w:p>
        </w:tc>
        <w:tc>
          <w:tcPr>
            <w:tcW w:w="843" w:type="dxa"/>
            <w:tcBorders>
              <w:tl2br w:val="nil"/>
              <w:tr2bl w:val="nil"/>
            </w:tcBorders>
            <w:noWrap w:val="0"/>
            <w:vAlign w:val="center"/>
          </w:tcPr>
          <w:p w14:paraId="38E1F021">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6.60</w:t>
            </w:r>
          </w:p>
        </w:tc>
        <w:tc>
          <w:tcPr>
            <w:tcW w:w="765" w:type="dxa"/>
            <w:tcBorders>
              <w:tl2br w:val="nil"/>
              <w:tr2bl w:val="nil"/>
            </w:tcBorders>
            <w:noWrap w:val="0"/>
            <w:vAlign w:val="center"/>
          </w:tcPr>
          <w:p w14:paraId="6C2447A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5.11</w:t>
            </w:r>
          </w:p>
        </w:tc>
        <w:tc>
          <w:tcPr>
            <w:tcW w:w="790" w:type="dxa"/>
            <w:tcBorders>
              <w:tl2br w:val="nil"/>
              <w:tr2bl w:val="nil"/>
            </w:tcBorders>
            <w:noWrap w:val="0"/>
            <w:vAlign w:val="center"/>
          </w:tcPr>
          <w:p w14:paraId="2F60317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4.26</w:t>
            </w:r>
          </w:p>
        </w:tc>
        <w:tc>
          <w:tcPr>
            <w:tcW w:w="765" w:type="dxa"/>
            <w:tcBorders>
              <w:tl2br w:val="nil"/>
              <w:tr2bl w:val="nil"/>
            </w:tcBorders>
            <w:noWrap w:val="0"/>
            <w:vAlign w:val="center"/>
          </w:tcPr>
          <w:p w14:paraId="0459C5D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3.61</w:t>
            </w:r>
          </w:p>
        </w:tc>
        <w:tc>
          <w:tcPr>
            <w:tcW w:w="765" w:type="dxa"/>
            <w:tcBorders>
              <w:tl2br w:val="nil"/>
              <w:tr2bl w:val="nil"/>
            </w:tcBorders>
            <w:noWrap w:val="0"/>
            <w:vAlign w:val="center"/>
          </w:tcPr>
          <w:p w14:paraId="44F8D04C">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1.75</w:t>
            </w:r>
          </w:p>
        </w:tc>
      </w:tr>
      <w:tr w14:paraId="77297A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9" w:type="dxa"/>
            <w:tcBorders>
              <w:tl2br w:val="nil"/>
              <w:tr2bl w:val="nil"/>
            </w:tcBorders>
            <w:noWrap w:val="0"/>
            <w:vAlign w:val="center"/>
          </w:tcPr>
          <w:p w14:paraId="291336F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2024</w:t>
            </w:r>
          </w:p>
        </w:tc>
        <w:tc>
          <w:tcPr>
            <w:tcW w:w="764" w:type="dxa"/>
            <w:tcBorders>
              <w:tl2br w:val="nil"/>
              <w:tr2bl w:val="nil"/>
            </w:tcBorders>
            <w:noWrap w:val="0"/>
            <w:vAlign w:val="center"/>
          </w:tcPr>
          <w:p w14:paraId="64E22B51">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3.53</w:t>
            </w:r>
          </w:p>
        </w:tc>
        <w:tc>
          <w:tcPr>
            <w:tcW w:w="764" w:type="dxa"/>
            <w:tcBorders>
              <w:tl2br w:val="nil"/>
              <w:tr2bl w:val="nil"/>
            </w:tcBorders>
            <w:noWrap w:val="0"/>
            <w:vAlign w:val="center"/>
          </w:tcPr>
          <w:p w14:paraId="3D0634A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4.44</w:t>
            </w:r>
          </w:p>
        </w:tc>
        <w:tc>
          <w:tcPr>
            <w:tcW w:w="764" w:type="dxa"/>
            <w:tcBorders>
              <w:tl2br w:val="nil"/>
              <w:tr2bl w:val="nil"/>
            </w:tcBorders>
            <w:noWrap w:val="0"/>
            <w:vAlign w:val="center"/>
          </w:tcPr>
          <w:p w14:paraId="57C2512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4.35</w:t>
            </w:r>
          </w:p>
        </w:tc>
        <w:tc>
          <w:tcPr>
            <w:tcW w:w="764" w:type="dxa"/>
            <w:tcBorders>
              <w:tl2br w:val="nil"/>
              <w:tr2bl w:val="nil"/>
            </w:tcBorders>
            <w:noWrap w:val="0"/>
            <w:vAlign w:val="center"/>
          </w:tcPr>
          <w:p w14:paraId="75E9839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3.38</w:t>
            </w:r>
          </w:p>
        </w:tc>
        <w:tc>
          <w:tcPr>
            <w:tcW w:w="764" w:type="dxa"/>
            <w:tcBorders>
              <w:tl2br w:val="nil"/>
              <w:tr2bl w:val="nil"/>
            </w:tcBorders>
            <w:noWrap w:val="0"/>
            <w:vAlign w:val="center"/>
          </w:tcPr>
          <w:p w14:paraId="14A467C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2.17</w:t>
            </w:r>
          </w:p>
        </w:tc>
        <w:tc>
          <w:tcPr>
            <w:tcW w:w="765" w:type="dxa"/>
            <w:tcBorders>
              <w:tl2br w:val="nil"/>
              <w:tr2bl w:val="nil"/>
            </w:tcBorders>
            <w:noWrap w:val="0"/>
            <w:vAlign w:val="center"/>
          </w:tcPr>
          <w:p w14:paraId="34849755">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3.28</w:t>
            </w:r>
          </w:p>
        </w:tc>
        <w:tc>
          <w:tcPr>
            <w:tcW w:w="765" w:type="dxa"/>
            <w:tcBorders>
              <w:tl2br w:val="nil"/>
              <w:tr2bl w:val="nil"/>
            </w:tcBorders>
            <w:noWrap w:val="0"/>
            <w:vAlign w:val="center"/>
          </w:tcPr>
          <w:p w14:paraId="2ADD7D95">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5.73</w:t>
            </w:r>
          </w:p>
        </w:tc>
        <w:tc>
          <w:tcPr>
            <w:tcW w:w="765" w:type="dxa"/>
            <w:tcBorders>
              <w:tl2br w:val="nil"/>
              <w:tr2bl w:val="nil"/>
            </w:tcBorders>
            <w:noWrap w:val="0"/>
            <w:vAlign w:val="center"/>
          </w:tcPr>
          <w:p w14:paraId="467951A7">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6.86</w:t>
            </w:r>
          </w:p>
        </w:tc>
        <w:tc>
          <w:tcPr>
            <w:tcW w:w="765" w:type="dxa"/>
            <w:tcBorders>
              <w:tl2br w:val="nil"/>
              <w:tr2bl w:val="nil"/>
            </w:tcBorders>
            <w:noWrap w:val="0"/>
            <w:vAlign w:val="center"/>
          </w:tcPr>
          <w:p w14:paraId="02F26B9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8.54</w:t>
            </w:r>
          </w:p>
        </w:tc>
        <w:tc>
          <w:tcPr>
            <w:tcW w:w="765" w:type="dxa"/>
            <w:tcBorders>
              <w:tl2br w:val="nil"/>
              <w:tr2bl w:val="nil"/>
            </w:tcBorders>
            <w:noWrap w:val="0"/>
            <w:vAlign w:val="center"/>
          </w:tcPr>
          <w:p w14:paraId="7298133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13.07</w:t>
            </w:r>
          </w:p>
        </w:tc>
        <w:tc>
          <w:tcPr>
            <w:tcW w:w="804" w:type="dxa"/>
            <w:tcBorders>
              <w:tl2br w:val="nil"/>
              <w:tr2bl w:val="nil"/>
            </w:tcBorders>
            <w:noWrap w:val="0"/>
            <w:vAlign w:val="center"/>
          </w:tcPr>
          <w:p w14:paraId="39BF599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14.26</w:t>
            </w:r>
          </w:p>
        </w:tc>
        <w:tc>
          <w:tcPr>
            <w:tcW w:w="765" w:type="dxa"/>
            <w:tcBorders>
              <w:tl2br w:val="nil"/>
              <w:tr2bl w:val="nil"/>
            </w:tcBorders>
            <w:noWrap w:val="0"/>
            <w:vAlign w:val="center"/>
          </w:tcPr>
          <w:p w14:paraId="78857A9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10.52</w:t>
            </w:r>
          </w:p>
        </w:tc>
        <w:tc>
          <w:tcPr>
            <w:tcW w:w="843" w:type="dxa"/>
            <w:tcBorders>
              <w:tl2br w:val="nil"/>
              <w:tr2bl w:val="nil"/>
            </w:tcBorders>
            <w:noWrap w:val="0"/>
            <w:vAlign w:val="center"/>
          </w:tcPr>
          <w:p w14:paraId="7ED4D23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7.51</w:t>
            </w:r>
          </w:p>
        </w:tc>
        <w:tc>
          <w:tcPr>
            <w:tcW w:w="765" w:type="dxa"/>
            <w:tcBorders>
              <w:tl2br w:val="nil"/>
              <w:tr2bl w:val="nil"/>
            </w:tcBorders>
            <w:noWrap w:val="0"/>
            <w:vAlign w:val="center"/>
          </w:tcPr>
          <w:p w14:paraId="0573F3A2">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4.40</w:t>
            </w:r>
          </w:p>
        </w:tc>
        <w:tc>
          <w:tcPr>
            <w:tcW w:w="790" w:type="dxa"/>
            <w:tcBorders>
              <w:tl2br w:val="nil"/>
              <w:tr2bl w:val="nil"/>
            </w:tcBorders>
            <w:noWrap w:val="0"/>
            <w:vAlign w:val="center"/>
          </w:tcPr>
          <w:p w14:paraId="16C17EA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3.64</w:t>
            </w:r>
          </w:p>
        </w:tc>
        <w:tc>
          <w:tcPr>
            <w:tcW w:w="765" w:type="dxa"/>
            <w:tcBorders>
              <w:tl2br w:val="nil"/>
              <w:tr2bl w:val="nil"/>
            </w:tcBorders>
            <w:noWrap w:val="0"/>
            <w:vAlign w:val="center"/>
          </w:tcPr>
          <w:p w14:paraId="4DABF192">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3.33</w:t>
            </w:r>
          </w:p>
        </w:tc>
        <w:tc>
          <w:tcPr>
            <w:tcW w:w="765" w:type="dxa"/>
            <w:tcBorders>
              <w:tl2br w:val="nil"/>
              <w:tr2bl w:val="nil"/>
            </w:tcBorders>
            <w:noWrap w:val="0"/>
            <w:vAlign w:val="center"/>
          </w:tcPr>
          <w:p w14:paraId="31B70042">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0.99</w:t>
            </w:r>
          </w:p>
        </w:tc>
      </w:tr>
    </w:tbl>
    <w:p w14:paraId="4EF2F999">
      <w:pPr>
        <w:keepNext w:val="0"/>
        <w:keepLines w:val="0"/>
        <w:pageBreakBefore w:val="0"/>
        <w:widowControl w:val="0"/>
        <w:kinsoku/>
        <w:wordWrap/>
        <w:overflowPunct/>
        <w:topLinePunct w:val="0"/>
        <w:autoSpaceDE/>
        <w:autoSpaceDN/>
        <w:bidi w:val="0"/>
        <w:adjustRightInd w:val="0"/>
        <w:snapToGrid w:val="0"/>
        <w:spacing w:line="440" w:lineRule="exact"/>
        <w:jc w:val="both"/>
        <w:textAlignment w:val="center"/>
        <w:rPr>
          <w:rFonts w:hint="default" w:ascii="Times New Roman" w:hAnsi="Times New Roman" w:cs="Times New Roman" w:eastAsiaTheme="minorEastAsia"/>
          <w:color w:val="auto"/>
          <w:kern w:val="0"/>
          <w:sz w:val="24"/>
          <w:szCs w:val="20"/>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注：3、4、5月为春季，6、7、8月为夏季，9、10月为秋季，11、12、1、2月为冬季</w:t>
      </w:r>
    </w:p>
    <w:p w14:paraId="5DF123C7">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default" w:ascii="Times New Roman" w:hAnsi="Times New Roman" w:eastAsia="仿宋_GB2312" w:cs="Times New Roman"/>
          <w:color w:val="auto"/>
          <w:sz w:val="28"/>
          <w:szCs w:val="28"/>
          <w:highlight w:val="none"/>
          <w:lang w:eastAsia="zh-CN"/>
        </w:rPr>
        <w:sectPr>
          <w:pgSz w:w="16840" w:h="11907" w:orient="landscape"/>
          <w:pgMar w:top="1701" w:right="1701" w:bottom="1701" w:left="1474" w:header="1134" w:footer="1134" w:gutter="0"/>
          <w:pgBorders>
            <w:top w:val="none" w:sz="0" w:space="0"/>
            <w:left w:val="none" w:sz="0" w:space="0"/>
            <w:bottom w:val="none" w:sz="0" w:space="0"/>
            <w:right w:val="none" w:sz="0" w:space="0"/>
          </w:pgBorders>
          <w:pgNumType w:fmt="decimal"/>
          <w:cols w:space="720" w:num="1"/>
          <w:rtlGutter w:val="0"/>
          <w:docGrid w:linePitch="312" w:charSpace="0"/>
        </w:sectPr>
      </w:pPr>
    </w:p>
    <w:p w14:paraId="08DC35CA">
      <w:pPr>
        <w:ind w:firstLine="480"/>
        <w:rPr>
          <w:rFonts w:hint="default" w:ascii="Times New Roman" w:hAnsi="Times New Roman" w:eastAsia="宋体" w:cs="Times New Roman"/>
          <w:bCs/>
          <w:color w:val="auto"/>
          <w:sz w:val="24"/>
          <w:szCs w:val="20"/>
          <w:highlight w:val="none"/>
          <w:lang w:val="en-US" w:eastAsia="zh-CN"/>
        </w:rPr>
      </w:pPr>
      <w:r>
        <w:rPr>
          <w:rFonts w:hint="default" w:ascii="Times New Roman" w:hAnsi="Times New Roman" w:eastAsia="宋体" w:cs="Times New Roman"/>
          <w:bCs/>
          <w:color w:val="auto"/>
          <w:sz w:val="24"/>
          <w:szCs w:val="20"/>
          <w:highlight w:val="none"/>
          <w:lang w:val="en-US" w:eastAsia="zh-CN"/>
        </w:rPr>
        <w:t>根据表</w:t>
      </w:r>
      <w:r>
        <w:rPr>
          <w:rFonts w:hint="eastAsia" w:ascii="Times New Roman" w:hAnsi="Times New Roman" w:eastAsia="宋体" w:cs="Times New Roman"/>
          <w:bCs/>
          <w:color w:val="auto"/>
          <w:sz w:val="24"/>
          <w:szCs w:val="20"/>
          <w:highlight w:val="none"/>
          <w:lang w:val="en-US" w:eastAsia="zh-CN"/>
        </w:rPr>
        <w:t>5.1</w:t>
      </w:r>
      <w:r>
        <w:rPr>
          <w:rFonts w:hint="default" w:ascii="Times New Roman" w:hAnsi="Times New Roman" w:eastAsia="宋体" w:cs="Times New Roman"/>
          <w:bCs/>
          <w:color w:val="auto"/>
          <w:sz w:val="24"/>
          <w:szCs w:val="20"/>
          <w:highlight w:val="none"/>
          <w:lang w:val="en-US" w:eastAsia="zh-CN"/>
        </w:rPr>
        <w:t>-2可知，</w:t>
      </w:r>
      <w:r>
        <w:rPr>
          <w:rFonts w:hint="eastAsia" w:ascii="Times New Roman" w:hAnsi="Times New Roman" w:eastAsia="宋体" w:cs="Times New Roman"/>
          <w:bCs/>
          <w:color w:val="auto"/>
          <w:sz w:val="24"/>
          <w:szCs w:val="20"/>
          <w:highlight w:val="none"/>
          <w:lang w:val="en-US" w:eastAsia="zh-CN"/>
        </w:rPr>
        <w:t>佳木斯市</w:t>
      </w:r>
      <w:r>
        <w:rPr>
          <w:rFonts w:hint="default" w:ascii="Times New Roman" w:hAnsi="Times New Roman" w:eastAsia="宋体" w:cs="Times New Roman"/>
          <w:bCs/>
          <w:color w:val="auto"/>
          <w:sz w:val="24"/>
          <w:szCs w:val="20"/>
          <w:highlight w:val="none"/>
          <w:lang w:val="en-US" w:eastAsia="zh-CN"/>
        </w:rPr>
        <w:t>多年主要风向为</w:t>
      </w:r>
      <w:r>
        <w:rPr>
          <w:rFonts w:hint="eastAsia" w:ascii="Times New Roman" w:hAnsi="Times New Roman" w:eastAsia="宋体" w:cs="Times New Roman"/>
          <w:bCs/>
          <w:color w:val="auto"/>
          <w:sz w:val="24"/>
          <w:szCs w:val="20"/>
          <w:highlight w:val="none"/>
          <w:lang w:val="en-US" w:eastAsia="zh-CN"/>
        </w:rPr>
        <w:t>S</w:t>
      </w:r>
      <w:r>
        <w:rPr>
          <w:rFonts w:hint="default" w:ascii="Times New Roman" w:hAnsi="Times New Roman" w:eastAsia="宋体" w:cs="Times New Roman"/>
          <w:bCs/>
          <w:color w:val="auto"/>
          <w:sz w:val="24"/>
          <w:szCs w:val="20"/>
          <w:highlight w:val="none"/>
          <w:lang w:val="en-US" w:eastAsia="zh-CN"/>
        </w:rPr>
        <w:t>W</w:t>
      </w:r>
      <w:r>
        <w:rPr>
          <w:rFonts w:hint="eastAsia" w:ascii="Times New Roman" w:hAnsi="Times New Roman" w:eastAsia="宋体" w:cs="Times New Roman"/>
          <w:bCs/>
          <w:color w:val="auto"/>
          <w:sz w:val="24"/>
          <w:szCs w:val="20"/>
          <w:highlight w:val="none"/>
          <w:lang w:val="en-US" w:eastAsia="zh-CN"/>
        </w:rPr>
        <w:t>-</w:t>
      </w:r>
      <w:r>
        <w:rPr>
          <w:rFonts w:hint="default" w:ascii="Times New Roman" w:hAnsi="Times New Roman" w:eastAsia="宋体" w:cs="Times New Roman"/>
          <w:bCs/>
          <w:color w:val="auto"/>
          <w:sz w:val="24"/>
          <w:szCs w:val="20"/>
          <w:highlight w:val="none"/>
          <w:lang w:val="en-US" w:eastAsia="zh-CN"/>
        </w:rPr>
        <w:t>W</w:t>
      </w:r>
      <w:r>
        <w:rPr>
          <w:rFonts w:hint="eastAsia" w:ascii="Times New Roman" w:hAnsi="Times New Roman" w:eastAsia="宋体" w:cs="Times New Roman"/>
          <w:bCs/>
          <w:color w:val="auto"/>
          <w:sz w:val="24"/>
          <w:szCs w:val="20"/>
          <w:highlight w:val="none"/>
          <w:lang w:val="en-US" w:eastAsia="zh-CN"/>
        </w:rPr>
        <w:t>SW-W</w:t>
      </w:r>
      <w:r>
        <w:rPr>
          <w:rFonts w:hint="default" w:ascii="Times New Roman" w:hAnsi="Times New Roman" w:eastAsia="宋体" w:cs="Times New Roman"/>
          <w:bCs/>
          <w:color w:val="auto"/>
          <w:sz w:val="24"/>
          <w:szCs w:val="20"/>
          <w:highlight w:val="none"/>
          <w:lang w:val="en-US" w:eastAsia="zh-CN"/>
        </w:rPr>
        <w:t>，风频之和为</w:t>
      </w:r>
      <w:r>
        <w:rPr>
          <w:rFonts w:hint="eastAsia" w:ascii="Times New Roman" w:hAnsi="Times New Roman" w:eastAsia="宋体" w:cs="Times New Roman"/>
          <w:bCs/>
          <w:color w:val="auto"/>
          <w:sz w:val="24"/>
          <w:szCs w:val="20"/>
          <w:highlight w:val="none"/>
          <w:lang w:val="en-US" w:eastAsia="zh-CN"/>
        </w:rPr>
        <w:t>39.78</w:t>
      </w:r>
      <w:r>
        <w:rPr>
          <w:rFonts w:hint="default" w:ascii="Times New Roman" w:hAnsi="Times New Roman" w:eastAsia="宋体" w:cs="Times New Roman"/>
          <w:bCs/>
          <w:color w:val="auto"/>
          <w:sz w:val="24"/>
          <w:szCs w:val="20"/>
          <w:highlight w:val="none"/>
          <w:lang w:val="en-US" w:eastAsia="zh-CN"/>
        </w:rPr>
        <w:t>%。</w:t>
      </w:r>
    </w:p>
    <w:p w14:paraId="09C4016D">
      <w:pPr>
        <w:ind w:firstLine="480"/>
        <w:rPr>
          <w:rFonts w:hint="default" w:ascii="Times New Roman" w:hAnsi="Times New Roman" w:eastAsia="宋体" w:cs="Times New Roman"/>
          <w:bCs/>
          <w:color w:val="auto"/>
          <w:sz w:val="24"/>
          <w:szCs w:val="20"/>
          <w:highlight w:val="none"/>
          <w:lang w:val="en-US" w:eastAsia="zh-CN"/>
        </w:rPr>
      </w:pPr>
      <w:r>
        <w:rPr>
          <w:rFonts w:hint="eastAsia" w:ascii="Times New Roman" w:hAnsi="Times New Roman" w:eastAsia="宋体" w:cs="Times New Roman"/>
          <w:bCs/>
          <w:color w:val="auto"/>
          <w:sz w:val="24"/>
          <w:szCs w:val="20"/>
          <w:highlight w:val="none"/>
          <w:lang w:val="en-US" w:eastAsia="zh-CN"/>
        </w:rPr>
        <w:t>佳木斯市</w:t>
      </w:r>
      <w:r>
        <w:rPr>
          <w:rFonts w:hint="default" w:ascii="Times New Roman" w:hAnsi="Times New Roman" w:eastAsia="宋体" w:cs="Times New Roman"/>
          <w:bCs/>
          <w:color w:val="auto"/>
          <w:sz w:val="24"/>
          <w:szCs w:val="20"/>
          <w:highlight w:val="none"/>
          <w:lang w:val="en-US" w:eastAsia="zh-CN"/>
        </w:rPr>
        <w:t>202</w:t>
      </w:r>
      <w:r>
        <w:rPr>
          <w:rFonts w:hint="eastAsia" w:ascii="Times New Roman" w:hAnsi="Times New Roman" w:eastAsia="宋体" w:cs="Times New Roman"/>
          <w:bCs/>
          <w:color w:val="auto"/>
          <w:sz w:val="24"/>
          <w:szCs w:val="20"/>
          <w:highlight w:val="none"/>
          <w:lang w:val="en-US" w:eastAsia="zh-CN"/>
        </w:rPr>
        <w:t>4</w:t>
      </w:r>
      <w:r>
        <w:rPr>
          <w:rFonts w:hint="default" w:ascii="Times New Roman" w:hAnsi="Times New Roman" w:eastAsia="宋体" w:cs="Times New Roman"/>
          <w:bCs/>
          <w:color w:val="auto"/>
          <w:sz w:val="24"/>
          <w:szCs w:val="20"/>
          <w:highlight w:val="none"/>
          <w:lang w:val="en-US" w:eastAsia="zh-CN"/>
        </w:rPr>
        <w:t>年地面气象资料中平均温度的月变化见表</w:t>
      </w:r>
      <w:r>
        <w:rPr>
          <w:rFonts w:hint="eastAsia" w:ascii="Times New Roman" w:hAnsi="Times New Roman" w:eastAsia="宋体" w:cs="Times New Roman"/>
          <w:bCs/>
          <w:color w:val="auto"/>
          <w:sz w:val="24"/>
          <w:szCs w:val="20"/>
          <w:highlight w:val="none"/>
          <w:lang w:val="en-US" w:eastAsia="zh-CN"/>
        </w:rPr>
        <w:t>5.1-4</w:t>
      </w:r>
      <w:r>
        <w:rPr>
          <w:rFonts w:hint="default" w:ascii="Times New Roman" w:hAnsi="Times New Roman" w:eastAsia="宋体" w:cs="Times New Roman"/>
          <w:bCs/>
          <w:color w:val="auto"/>
          <w:sz w:val="24"/>
          <w:szCs w:val="20"/>
          <w:highlight w:val="none"/>
          <w:lang w:val="en-US" w:eastAsia="zh-CN"/>
        </w:rPr>
        <w:t>和图</w:t>
      </w:r>
      <w:r>
        <w:rPr>
          <w:rFonts w:hint="eastAsia" w:ascii="Times New Roman" w:hAnsi="Times New Roman" w:eastAsia="宋体" w:cs="Times New Roman"/>
          <w:bCs/>
          <w:color w:val="auto"/>
          <w:sz w:val="24"/>
          <w:szCs w:val="20"/>
          <w:highlight w:val="none"/>
          <w:lang w:val="en-US" w:eastAsia="zh-CN"/>
        </w:rPr>
        <w:t>5.1-2</w:t>
      </w:r>
      <w:r>
        <w:rPr>
          <w:rFonts w:hint="default" w:ascii="Times New Roman" w:hAnsi="Times New Roman" w:eastAsia="宋体" w:cs="Times New Roman"/>
          <w:bCs/>
          <w:color w:val="auto"/>
          <w:sz w:val="24"/>
          <w:szCs w:val="20"/>
          <w:highlight w:val="none"/>
          <w:lang w:val="en-US" w:eastAsia="zh-CN"/>
        </w:rPr>
        <w:t>，平均风速的月变化见表</w:t>
      </w:r>
      <w:r>
        <w:rPr>
          <w:rFonts w:hint="eastAsia" w:ascii="Times New Roman" w:hAnsi="Times New Roman" w:eastAsia="宋体" w:cs="Times New Roman"/>
          <w:bCs/>
          <w:color w:val="auto"/>
          <w:sz w:val="24"/>
          <w:szCs w:val="20"/>
          <w:highlight w:val="none"/>
          <w:lang w:val="en-US" w:eastAsia="zh-CN"/>
        </w:rPr>
        <w:t>5.1</w:t>
      </w:r>
      <w:r>
        <w:rPr>
          <w:rFonts w:hint="default" w:ascii="Times New Roman" w:hAnsi="Times New Roman" w:eastAsia="宋体" w:cs="Times New Roman"/>
          <w:bCs/>
          <w:color w:val="auto"/>
          <w:sz w:val="24"/>
          <w:szCs w:val="20"/>
          <w:highlight w:val="none"/>
          <w:lang w:val="en-US" w:eastAsia="zh-CN"/>
        </w:rPr>
        <w:t>-5，小时平均风速的季变化见表</w:t>
      </w:r>
      <w:r>
        <w:rPr>
          <w:rFonts w:hint="eastAsia" w:ascii="Times New Roman" w:hAnsi="Times New Roman" w:eastAsia="宋体" w:cs="Times New Roman"/>
          <w:bCs/>
          <w:color w:val="auto"/>
          <w:sz w:val="24"/>
          <w:szCs w:val="20"/>
          <w:highlight w:val="none"/>
          <w:lang w:val="en-US" w:eastAsia="zh-CN"/>
        </w:rPr>
        <w:t>5.1</w:t>
      </w:r>
      <w:r>
        <w:rPr>
          <w:rFonts w:hint="default" w:ascii="Times New Roman" w:hAnsi="Times New Roman" w:eastAsia="宋体" w:cs="Times New Roman"/>
          <w:bCs/>
          <w:color w:val="auto"/>
          <w:sz w:val="24"/>
          <w:szCs w:val="20"/>
          <w:highlight w:val="none"/>
          <w:lang w:val="en-US" w:eastAsia="zh-CN"/>
        </w:rPr>
        <w:t>-6，平均风速的月变化见图</w:t>
      </w:r>
      <w:r>
        <w:rPr>
          <w:rFonts w:hint="eastAsia" w:ascii="Times New Roman" w:hAnsi="Times New Roman" w:eastAsia="宋体" w:cs="Times New Roman"/>
          <w:bCs/>
          <w:color w:val="auto"/>
          <w:sz w:val="24"/>
          <w:szCs w:val="20"/>
          <w:highlight w:val="none"/>
          <w:lang w:val="en-US" w:eastAsia="zh-CN"/>
        </w:rPr>
        <w:t>5.1-3</w:t>
      </w:r>
      <w:r>
        <w:rPr>
          <w:rFonts w:hint="default" w:ascii="Times New Roman" w:hAnsi="Times New Roman" w:eastAsia="宋体" w:cs="Times New Roman"/>
          <w:bCs/>
          <w:color w:val="auto"/>
          <w:sz w:val="24"/>
          <w:szCs w:val="20"/>
          <w:highlight w:val="none"/>
          <w:lang w:val="en-US" w:eastAsia="zh-CN"/>
        </w:rPr>
        <w:t>，小时平均风速的季变化见图</w:t>
      </w:r>
      <w:r>
        <w:rPr>
          <w:rFonts w:hint="eastAsia" w:ascii="Times New Roman" w:hAnsi="Times New Roman" w:eastAsia="宋体" w:cs="Times New Roman"/>
          <w:bCs/>
          <w:color w:val="auto"/>
          <w:sz w:val="24"/>
          <w:szCs w:val="20"/>
          <w:highlight w:val="none"/>
          <w:lang w:val="en-US" w:eastAsia="zh-CN"/>
        </w:rPr>
        <w:t>5.1-4</w:t>
      </w:r>
      <w:r>
        <w:rPr>
          <w:rFonts w:hint="default" w:ascii="Times New Roman" w:hAnsi="Times New Roman" w:eastAsia="宋体" w:cs="Times New Roman"/>
          <w:bCs/>
          <w:color w:val="auto"/>
          <w:sz w:val="24"/>
          <w:szCs w:val="20"/>
          <w:highlight w:val="none"/>
          <w:lang w:val="en-US" w:eastAsia="zh-CN"/>
        </w:rPr>
        <w:t>。</w:t>
      </w:r>
    </w:p>
    <w:p w14:paraId="175CE639">
      <w:pPr>
        <w:adjustRightInd w:val="0"/>
        <w:snapToGrid w:val="0"/>
        <w:spacing w:line="240" w:lineRule="auto"/>
        <w:ind w:firstLine="0" w:firstLineChars="0"/>
        <w:jc w:val="center"/>
        <w:rPr>
          <w:rFonts w:hint="default" w:ascii="Times New Roman" w:hAnsi="Times New Roman" w:eastAsia="宋体" w:cs="Times New Roman"/>
          <w:color w:val="auto"/>
          <w:sz w:val="21"/>
          <w:szCs w:val="24"/>
          <w:highlight w:val="none"/>
        </w:rPr>
      </w:pPr>
      <w:r>
        <w:rPr>
          <w:rFonts w:ascii="Times New Roman" w:hAnsi="Times New Roman" w:eastAsia="宋体" w:cs="Times New Roman"/>
          <w:color w:val="auto"/>
          <w:sz w:val="21"/>
          <w:szCs w:val="24"/>
          <w:highlight w:val="none"/>
        </w:rPr>
        <w:drawing>
          <wp:inline distT="0" distB="0" distL="114300" distR="114300">
            <wp:extent cx="4860290" cy="1871980"/>
            <wp:effectExtent l="0" t="0" r="16510" b="13970"/>
            <wp:docPr id="72"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44"/>
                    <pic:cNvPicPr>
                      <a:picLocks noChangeAspect="1"/>
                    </pic:cNvPicPr>
                  </pic:nvPicPr>
                  <pic:blipFill>
                    <a:blip r:embed="rId76"/>
                    <a:stretch>
                      <a:fillRect/>
                    </a:stretch>
                  </pic:blipFill>
                  <pic:spPr>
                    <a:xfrm>
                      <a:off x="0" y="0"/>
                      <a:ext cx="4860290" cy="1871980"/>
                    </a:xfrm>
                    <a:prstGeom prst="rect">
                      <a:avLst/>
                    </a:prstGeom>
                    <a:noFill/>
                    <a:ln>
                      <a:noFill/>
                    </a:ln>
                  </pic:spPr>
                </pic:pic>
              </a:graphicData>
            </a:graphic>
          </wp:inline>
        </w:drawing>
      </w:r>
    </w:p>
    <w:p w14:paraId="3DCC5C6E">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Times New Roman" w:hAnsi="Times New Roman" w:eastAsia="黑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图</w:t>
      </w:r>
      <w:r>
        <w:rPr>
          <w:rFonts w:hint="eastAsia" w:ascii="Times New Roman" w:hAnsi="Times New Roman" w:eastAsia="宋体" w:cs="Times New Roman"/>
          <w:color w:val="auto"/>
          <w:sz w:val="24"/>
          <w:szCs w:val="24"/>
          <w:highlight w:val="none"/>
          <w:lang w:val="en-US" w:eastAsia="zh-CN"/>
        </w:rPr>
        <w:t>5.1-2</w:t>
      </w:r>
      <w:r>
        <w:rPr>
          <w:rFonts w:hint="default" w:ascii="Times New Roman" w:hAnsi="Times New Roman" w:eastAsia="宋体" w:cs="Times New Roman"/>
          <w:color w:val="auto"/>
          <w:sz w:val="24"/>
          <w:szCs w:val="24"/>
          <w:highlight w:val="none"/>
          <w:lang w:val="en-US" w:eastAsia="zh-CN"/>
        </w:rPr>
        <w:t xml:space="preserve">  平均温度的月变化图</w:t>
      </w:r>
    </w:p>
    <w:p w14:paraId="16E18C78">
      <w:pPr>
        <w:adjustRightInd w:val="0"/>
        <w:snapToGrid w:val="0"/>
        <w:spacing w:line="240" w:lineRule="auto"/>
        <w:ind w:firstLine="0" w:firstLineChars="0"/>
        <w:jc w:val="center"/>
        <w:rPr>
          <w:rFonts w:hint="default" w:ascii="Times New Roman" w:hAnsi="Times New Roman" w:eastAsia="黑体" w:cs="Times New Roman"/>
          <w:color w:val="auto"/>
          <w:sz w:val="21"/>
          <w:szCs w:val="24"/>
          <w:highlight w:val="none"/>
        </w:rPr>
      </w:pPr>
      <w:r>
        <w:rPr>
          <w:rFonts w:ascii="Times New Roman" w:hAnsi="Times New Roman" w:eastAsia="宋体" w:cs="Times New Roman"/>
          <w:color w:val="auto"/>
          <w:sz w:val="21"/>
          <w:szCs w:val="24"/>
          <w:highlight w:val="none"/>
        </w:rPr>
        <w:drawing>
          <wp:inline distT="0" distB="0" distL="114300" distR="114300">
            <wp:extent cx="4860290" cy="1873250"/>
            <wp:effectExtent l="0" t="0" r="16510" b="12700"/>
            <wp:docPr id="58"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45"/>
                    <pic:cNvPicPr>
                      <a:picLocks noChangeAspect="1"/>
                    </pic:cNvPicPr>
                  </pic:nvPicPr>
                  <pic:blipFill>
                    <a:blip r:embed="rId77"/>
                    <a:stretch>
                      <a:fillRect/>
                    </a:stretch>
                  </pic:blipFill>
                  <pic:spPr>
                    <a:xfrm>
                      <a:off x="0" y="0"/>
                      <a:ext cx="4860290" cy="1873250"/>
                    </a:xfrm>
                    <a:prstGeom prst="rect">
                      <a:avLst/>
                    </a:prstGeom>
                    <a:noFill/>
                    <a:ln>
                      <a:noFill/>
                    </a:ln>
                  </pic:spPr>
                </pic:pic>
              </a:graphicData>
            </a:graphic>
          </wp:inline>
        </w:drawing>
      </w:r>
    </w:p>
    <w:p w14:paraId="1330454B">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Times New Roman" w:hAnsi="Times New Roman" w:eastAsia="黑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图</w:t>
      </w:r>
      <w:r>
        <w:rPr>
          <w:rFonts w:hint="eastAsia" w:ascii="Times New Roman" w:hAnsi="Times New Roman" w:eastAsia="宋体" w:cs="Times New Roman"/>
          <w:color w:val="auto"/>
          <w:sz w:val="24"/>
          <w:szCs w:val="24"/>
          <w:highlight w:val="none"/>
          <w:lang w:val="en-US" w:eastAsia="zh-CN"/>
        </w:rPr>
        <w:t>5.1-3</w:t>
      </w:r>
      <w:r>
        <w:rPr>
          <w:rFonts w:hint="default" w:ascii="Times New Roman" w:hAnsi="Times New Roman" w:eastAsia="宋体" w:cs="Times New Roman"/>
          <w:color w:val="auto"/>
          <w:sz w:val="24"/>
          <w:szCs w:val="24"/>
          <w:highlight w:val="none"/>
          <w:lang w:val="en-US" w:eastAsia="zh-CN"/>
        </w:rPr>
        <w:t xml:space="preserve">  年平均风速的月变化图</w:t>
      </w:r>
    </w:p>
    <w:p w14:paraId="100E1E18">
      <w:pPr>
        <w:adjustRightInd w:val="0"/>
        <w:snapToGrid w:val="0"/>
        <w:spacing w:line="240" w:lineRule="auto"/>
        <w:ind w:firstLine="0" w:firstLineChars="0"/>
        <w:jc w:val="center"/>
        <w:rPr>
          <w:rFonts w:hint="default" w:ascii="Times New Roman" w:hAnsi="Times New Roman" w:eastAsia="黑体" w:cs="Times New Roman"/>
          <w:color w:val="auto"/>
          <w:sz w:val="21"/>
          <w:szCs w:val="24"/>
          <w:highlight w:val="none"/>
        </w:rPr>
      </w:pPr>
      <w:r>
        <w:rPr>
          <w:rFonts w:ascii="Times New Roman" w:hAnsi="Times New Roman" w:eastAsia="宋体" w:cs="Times New Roman"/>
          <w:color w:val="auto"/>
          <w:sz w:val="21"/>
          <w:szCs w:val="24"/>
          <w:highlight w:val="none"/>
        </w:rPr>
        <w:drawing>
          <wp:inline distT="0" distB="0" distL="114300" distR="114300">
            <wp:extent cx="4860290" cy="2030095"/>
            <wp:effectExtent l="0" t="0" r="16510" b="8255"/>
            <wp:docPr id="69"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6"/>
                    <pic:cNvPicPr>
                      <a:picLocks noChangeAspect="1"/>
                    </pic:cNvPicPr>
                  </pic:nvPicPr>
                  <pic:blipFill>
                    <a:blip r:embed="rId78"/>
                    <a:stretch>
                      <a:fillRect/>
                    </a:stretch>
                  </pic:blipFill>
                  <pic:spPr>
                    <a:xfrm>
                      <a:off x="0" y="0"/>
                      <a:ext cx="4860290" cy="2030095"/>
                    </a:xfrm>
                    <a:prstGeom prst="rect">
                      <a:avLst/>
                    </a:prstGeom>
                    <a:noFill/>
                    <a:ln>
                      <a:noFill/>
                    </a:ln>
                  </pic:spPr>
                </pic:pic>
              </a:graphicData>
            </a:graphic>
          </wp:inline>
        </w:drawing>
      </w:r>
    </w:p>
    <w:p w14:paraId="25CF3F8B">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Times New Roman" w:hAnsi="Times New Roman" w:eastAsia="黑体" w:cs="Times New Roman"/>
          <w:color w:val="auto"/>
          <w:kern w:val="0"/>
          <w:sz w:val="24"/>
          <w:szCs w:val="20"/>
          <w:highlight w:val="none"/>
          <w:lang w:val="en-US" w:eastAsia="zh-CN" w:bidi="ar-SA"/>
        </w:rPr>
      </w:pPr>
      <w:r>
        <w:rPr>
          <w:rFonts w:hint="default" w:ascii="Times New Roman" w:hAnsi="Times New Roman" w:eastAsia="宋体" w:cs="Times New Roman"/>
          <w:color w:val="auto"/>
          <w:sz w:val="24"/>
          <w:szCs w:val="24"/>
          <w:highlight w:val="none"/>
          <w:lang w:val="en-US" w:eastAsia="zh-CN"/>
        </w:rPr>
        <w:t>图</w:t>
      </w:r>
      <w:r>
        <w:rPr>
          <w:rFonts w:hint="eastAsia" w:ascii="Times New Roman" w:hAnsi="Times New Roman" w:eastAsia="宋体" w:cs="Times New Roman"/>
          <w:color w:val="auto"/>
          <w:sz w:val="24"/>
          <w:szCs w:val="24"/>
          <w:highlight w:val="none"/>
          <w:lang w:val="en-US" w:eastAsia="zh-CN"/>
        </w:rPr>
        <w:t>5.1-4</w:t>
      </w:r>
      <w:r>
        <w:rPr>
          <w:rFonts w:hint="default" w:ascii="Times New Roman" w:hAnsi="Times New Roman" w:eastAsia="宋体" w:cs="Times New Roman"/>
          <w:color w:val="auto"/>
          <w:sz w:val="24"/>
          <w:szCs w:val="24"/>
          <w:highlight w:val="none"/>
          <w:lang w:val="en-US" w:eastAsia="zh-CN"/>
        </w:rPr>
        <w:t xml:space="preserve">  季小时平均风速的日变化图</w:t>
      </w:r>
    </w:p>
    <w:p w14:paraId="0263225A">
      <w:pPr>
        <w:keepNext w:val="0"/>
        <w:keepLines w:val="0"/>
        <w:pageBreakBefore w:val="0"/>
        <w:widowControl w:val="0"/>
        <w:kinsoku/>
        <w:wordWrap/>
        <w:overflowPunct/>
        <w:topLinePunct w:val="0"/>
        <w:autoSpaceDE/>
        <w:autoSpaceDN/>
        <w:bidi w:val="0"/>
        <w:adjustRightInd w:val="0"/>
        <w:snapToGrid w:val="0"/>
        <w:spacing w:line="520" w:lineRule="exact"/>
        <w:ind w:firstLine="0" w:firstLineChars="0"/>
        <w:jc w:val="center"/>
        <w:textAlignment w:val="auto"/>
        <w:rPr>
          <w:rFonts w:hint="default" w:ascii="Times New Roman" w:hAnsi="Times New Roman" w:eastAsia="黑体" w:cs="Times New Roman"/>
          <w:color w:val="auto"/>
          <w:highlight w:val="none"/>
          <w:lang w:val="en-US" w:eastAsia="zh-CN"/>
        </w:rPr>
        <w:sectPr>
          <w:pgSz w:w="11907" w:h="16840"/>
          <w:pgMar w:top="1701" w:right="1701" w:bottom="1474" w:left="1701" w:header="1134" w:footer="1134" w:gutter="0"/>
          <w:pgBorders>
            <w:top w:val="none" w:sz="0" w:space="0"/>
            <w:left w:val="none" w:sz="0" w:space="0"/>
            <w:bottom w:val="none" w:sz="0" w:space="0"/>
            <w:right w:val="none" w:sz="0" w:space="0"/>
          </w:pgBorders>
          <w:pgNumType w:fmt="decimal"/>
          <w:cols w:space="720" w:num="1"/>
          <w:docGrid w:linePitch="312" w:charSpace="0"/>
        </w:sectPr>
      </w:pPr>
    </w:p>
    <w:p w14:paraId="18F688EE">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Times New Roman" w:hAnsi="Times New Roman" w:eastAsia="黑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表</w:t>
      </w:r>
      <w:r>
        <w:rPr>
          <w:rFonts w:hint="eastAsia" w:ascii="Times New Roman" w:hAnsi="Times New Roman" w:eastAsia="宋体" w:cs="Times New Roman"/>
          <w:color w:val="auto"/>
          <w:sz w:val="24"/>
          <w:szCs w:val="24"/>
          <w:highlight w:val="none"/>
          <w:lang w:val="en-US" w:eastAsia="zh-CN"/>
        </w:rPr>
        <w:t>5.1-4</w:t>
      </w:r>
      <w:r>
        <w:rPr>
          <w:rFonts w:hint="default" w:ascii="Times New Roman" w:hAnsi="Times New Roman" w:eastAsia="宋体" w:cs="Times New Roman"/>
          <w:color w:val="auto"/>
          <w:sz w:val="24"/>
          <w:szCs w:val="24"/>
          <w:highlight w:val="none"/>
          <w:lang w:val="en-US" w:eastAsia="zh-CN"/>
        </w:rPr>
        <w:t xml:space="preserve">  </w:t>
      </w:r>
      <w:r>
        <w:rPr>
          <w:rFonts w:hint="eastAsia" w:ascii="Times New Roman" w:hAnsi="Times New Roman" w:eastAsia="宋体" w:cs="Times New Roman"/>
          <w:color w:val="auto"/>
          <w:sz w:val="24"/>
          <w:szCs w:val="24"/>
          <w:highlight w:val="none"/>
          <w:lang w:val="en-US" w:eastAsia="zh-CN"/>
        </w:rPr>
        <w:t>佳木斯市</w:t>
      </w:r>
      <w:r>
        <w:rPr>
          <w:rFonts w:hint="default" w:ascii="Times New Roman" w:hAnsi="Times New Roman" w:eastAsia="宋体" w:cs="Times New Roman"/>
          <w:color w:val="auto"/>
          <w:sz w:val="24"/>
          <w:szCs w:val="24"/>
          <w:highlight w:val="none"/>
          <w:lang w:val="en-US" w:eastAsia="zh-CN"/>
        </w:rPr>
        <w:t>202</w:t>
      </w:r>
      <w:r>
        <w:rPr>
          <w:rFonts w:hint="eastAsia"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lang w:val="en-US" w:eastAsia="zh-CN"/>
        </w:rPr>
        <w:t>年平均温度的月变化</w:t>
      </w:r>
      <w:r>
        <w:rPr>
          <w:rFonts w:hint="eastAsia" w:ascii="Times New Roman" w:hAnsi="Times New Roman" w:eastAsia="宋体" w:cs="Times New Roman"/>
          <w:color w:val="auto"/>
          <w:sz w:val="24"/>
          <w:szCs w:val="24"/>
          <w:highlight w:val="none"/>
          <w:lang w:val="en-US" w:eastAsia="zh-CN"/>
        </w:rPr>
        <w:t>情况</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37"/>
        <w:gridCol w:w="717"/>
        <w:gridCol w:w="727"/>
        <w:gridCol w:w="633"/>
        <w:gridCol w:w="667"/>
        <w:gridCol w:w="667"/>
        <w:gridCol w:w="667"/>
        <w:gridCol w:w="667"/>
        <w:gridCol w:w="667"/>
        <w:gridCol w:w="667"/>
        <w:gridCol w:w="567"/>
        <w:gridCol w:w="633"/>
        <w:gridCol w:w="734"/>
      </w:tblGrid>
      <w:tr w14:paraId="119583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2" w:type="pct"/>
            <w:tcBorders>
              <w:tl2br w:val="nil"/>
              <w:tr2bl w:val="nil"/>
            </w:tcBorders>
            <w:noWrap w:val="0"/>
            <w:vAlign w:val="center"/>
          </w:tcPr>
          <w:p w14:paraId="2DBAB8A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月份</w:t>
            </w:r>
          </w:p>
        </w:tc>
        <w:tc>
          <w:tcPr>
            <w:tcW w:w="405" w:type="pct"/>
            <w:tcBorders>
              <w:tl2br w:val="nil"/>
              <w:tr2bl w:val="nil"/>
            </w:tcBorders>
            <w:noWrap w:val="0"/>
            <w:vAlign w:val="center"/>
          </w:tcPr>
          <w:p w14:paraId="443ED8C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1月</w:t>
            </w:r>
          </w:p>
        </w:tc>
        <w:tc>
          <w:tcPr>
            <w:tcW w:w="410" w:type="pct"/>
            <w:tcBorders>
              <w:tl2br w:val="nil"/>
              <w:tr2bl w:val="nil"/>
            </w:tcBorders>
            <w:noWrap w:val="0"/>
            <w:vAlign w:val="center"/>
          </w:tcPr>
          <w:p w14:paraId="5F23D8A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2月</w:t>
            </w:r>
          </w:p>
        </w:tc>
        <w:tc>
          <w:tcPr>
            <w:tcW w:w="357" w:type="pct"/>
            <w:tcBorders>
              <w:tl2br w:val="nil"/>
              <w:tr2bl w:val="nil"/>
            </w:tcBorders>
            <w:noWrap w:val="0"/>
            <w:vAlign w:val="center"/>
          </w:tcPr>
          <w:p w14:paraId="63E3419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3月</w:t>
            </w:r>
          </w:p>
        </w:tc>
        <w:tc>
          <w:tcPr>
            <w:tcW w:w="376" w:type="pct"/>
            <w:tcBorders>
              <w:tl2br w:val="nil"/>
              <w:tr2bl w:val="nil"/>
            </w:tcBorders>
            <w:noWrap w:val="0"/>
            <w:vAlign w:val="center"/>
          </w:tcPr>
          <w:p w14:paraId="3B5F7597">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4月</w:t>
            </w:r>
          </w:p>
        </w:tc>
        <w:tc>
          <w:tcPr>
            <w:tcW w:w="376" w:type="pct"/>
            <w:tcBorders>
              <w:tl2br w:val="nil"/>
              <w:tr2bl w:val="nil"/>
            </w:tcBorders>
            <w:noWrap w:val="0"/>
            <w:vAlign w:val="center"/>
          </w:tcPr>
          <w:p w14:paraId="22EAAC5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5月</w:t>
            </w:r>
          </w:p>
        </w:tc>
        <w:tc>
          <w:tcPr>
            <w:tcW w:w="376" w:type="pct"/>
            <w:tcBorders>
              <w:tl2br w:val="nil"/>
              <w:tr2bl w:val="nil"/>
            </w:tcBorders>
            <w:noWrap w:val="0"/>
            <w:vAlign w:val="center"/>
          </w:tcPr>
          <w:p w14:paraId="02CD721A">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6月</w:t>
            </w:r>
          </w:p>
        </w:tc>
        <w:tc>
          <w:tcPr>
            <w:tcW w:w="376" w:type="pct"/>
            <w:tcBorders>
              <w:tl2br w:val="nil"/>
              <w:tr2bl w:val="nil"/>
            </w:tcBorders>
            <w:noWrap w:val="0"/>
            <w:vAlign w:val="center"/>
          </w:tcPr>
          <w:p w14:paraId="792A9F77">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7月</w:t>
            </w:r>
          </w:p>
        </w:tc>
        <w:tc>
          <w:tcPr>
            <w:tcW w:w="376" w:type="pct"/>
            <w:tcBorders>
              <w:tl2br w:val="nil"/>
              <w:tr2bl w:val="nil"/>
            </w:tcBorders>
            <w:noWrap w:val="0"/>
            <w:vAlign w:val="center"/>
          </w:tcPr>
          <w:p w14:paraId="4F1D75D5">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8月</w:t>
            </w:r>
          </w:p>
        </w:tc>
        <w:tc>
          <w:tcPr>
            <w:tcW w:w="376" w:type="pct"/>
            <w:tcBorders>
              <w:tl2br w:val="nil"/>
              <w:tr2bl w:val="nil"/>
            </w:tcBorders>
            <w:noWrap w:val="0"/>
            <w:vAlign w:val="center"/>
          </w:tcPr>
          <w:p w14:paraId="697E18C2">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9月</w:t>
            </w:r>
          </w:p>
        </w:tc>
        <w:tc>
          <w:tcPr>
            <w:tcW w:w="320" w:type="pct"/>
            <w:tcBorders>
              <w:tl2br w:val="nil"/>
              <w:tr2bl w:val="nil"/>
            </w:tcBorders>
            <w:noWrap w:val="0"/>
            <w:vAlign w:val="center"/>
          </w:tcPr>
          <w:p w14:paraId="7F7EFDC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10月</w:t>
            </w:r>
          </w:p>
        </w:tc>
        <w:tc>
          <w:tcPr>
            <w:tcW w:w="357" w:type="pct"/>
            <w:tcBorders>
              <w:tl2br w:val="nil"/>
              <w:tr2bl w:val="nil"/>
            </w:tcBorders>
            <w:noWrap w:val="0"/>
            <w:vAlign w:val="center"/>
          </w:tcPr>
          <w:p w14:paraId="74403A1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11月</w:t>
            </w:r>
          </w:p>
        </w:tc>
        <w:tc>
          <w:tcPr>
            <w:tcW w:w="414" w:type="pct"/>
            <w:tcBorders>
              <w:tl2br w:val="nil"/>
              <w:tr2bl w:val="nil"/>
            </w:tcBorders>
            <w:noWrap w:val="0"/>
            <w:vAlign w:val="center"/>
          </w:tcPr>
          <w:p w14:paraId="5AC988F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12月</w:t>
            </w:r>
          </w:p>
        </w:tc>
      </w:tr>
      <w:tr w14:paraId="5E21D7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72" w:type="pct"/>
            <w:tcBorders>
              <w:tl2br w:val="nil"/>
              <w:tr2bl w:val="nil"/>
            </w:tcBorders>
            <w:noWrap w:val="0"/>
            <w:vAlign w:val="center"/>
          </w:tcPr>
          <w:p w14:paraId="32604BAC">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温度</w:t>
            </w:r>
            <w:r>
              <w:rPr>
                <w:rFonts w:hint="eastAsia" w:ascii="Times New Roman" w:hAnsi="Times New Roman" w:cs="Times New Roman" w:eastAsiaTheme="minorEastAsia"/>
                <w:bCs/>
                <w:color w:val="auto"/>
                <w:sz w:val="21"/>
                <w:szCs w:val="21"/>
                <w:highlight w:val="none"/>
                <w:lang w:val="en-US" w:eastAsia="zh-CN"/>
              </w:rPr>
              <w:t>（</w:t>
            </w:r>
            <w:r>
              <w:rPr>
                <w:rFonts w:hint="default" w:ascii="Times New Roman" w:hAnsi="Times New Roman" w:cs="Times New Roman" w:eastAsiaTheme="minorEastAsia"/>
                <w:bCs/>
                <w:color w:val="auto"/>
                <w:sz w:val="21"/>
                <w:szCs w:val="21"/>
                <w:highlight w:val="none"/>
                <w:lang w:val="en-US" w:eastAsia="zh-CN"/>
              </w:rPr>
              <w:t>℃</w:t>
            </w:r>
            <w:r>
              <w:rPr>
                <w:rFonts w:hint="eastAsia" w:ascii="Times New Roman" w:hAnsi="Times New Roman" w:cs="Times New Roman" w:eastAsiaTheme="minorEastAsia"/>
                <w:bCs/>
                <w:color w:val="auto"/>
                <w:sz w:val="21"/>
                <w:szCs w:val="21"/>
                <w:highlight w:val="none"/>
                <w:lang w:val="en-US" w:eastAsia="zh-CN"/>
              </w:rPr>
              <w:t>）</w:t>
            </w:r>
          </w:p>
        </w:tc>
        <w:tc>
          <w:tcPr>
            <w:tcW w:w="405" w:type="pct"/>
            <w:tcBorders>
              <w:tl2br w:val="nil"/>
              <w:tr2bl w:val="nil"/>
            </w:tcBorders>
            <w:noWrap w:val="0"/>
            <w:vAlign w:val="bottom"/>
          </w:tcPr>
          <w:p w14:paraId="3FAEEEF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-18.56 </w:t>
            </w:r>
          </w:p>
        </w:tc>
        <w:tc>
          <w:tcPr>
            <w:tcW w:w="410" w:type="pct"/>
            <w:tcBorders>
              <w:tl2br w:val="nil"/>
              <w:tr2bl w:val="nil"/>
            </w:tcBorders>
            <w:noWrap w:val="0"/>
            <w:vAlign w:val="bottom"/>
          </w:tcPr>
          <w:p w14:paraId="56B176E6">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-11.70 </w:t>
            </w:r>
          </w:p>
        </w:tc>
        <w:tc>
          <w:tcPr>
            <w:tcW w:w="357" w:type="pct"/>
            <w:tcBorders>
              <w:tl2br w:val="nil"/>
              <w:tr2bl w:val="nil"/>
            </w:tcBorders>
            <w:noWrap w:val="0"/>
            <w:vAlign w:val="bottom"/>
          </w:tcPr>
          <w:p w14:paraId="6D47E642">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-3.21 </w:t>
            </w:r>
          </w:p>
        </w:tc>
        <w:tc>
          <w:tcPr>
            <w:tcW w:w="376" w:type="pct"/>
            <w:tcBorders>
              <w:tl2br w:val="nil"/>
              <w:tr2bl w:val="nil"/>
            </w:tcBorders>
            <w:noWrap w:val="0"/>
            <w:vAlign w:val="bottom"/>
          </w:tcPr>
          <w:p w14:paraId="3BF50C6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10.02 </w:t>
            </w:r>
          </w:p>
        </w:tc>
        <w:tc>
          <w:tcPr>
            <w:tcW w:w="376" w:type="pct"/>
            <w:tcBorders>
              <w:tl2br w:val="nil"/>
              <w:tr2bl w:val="nil"/>
            </w:tcBorders>
            <w:noWrap w:val="0"/>
            <w:vAlign w:val="bottom"/>
          </w:tcPr>
          <w:p w14:paraId="66B82D27">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14.15 </w:t>
            </w:r>
          </w:p>
        </w:tc>
        <w:tc>
          <w:tcPr>
            <w:tcW w:w="376" w:type="pct"/>
            <w:tcBorders>
              <w:tl2br w:val="nil"/>
              <w:tr2bl w:val="nil"/>
            </w:tcBorders>
            <w:noWrap w:val="0"/>
            <w:vAlign w:val="bottom"/>
          </w:tcPr>
          <w:p w14:paraId="6D12A8F1">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17.78 </w:t>
            </w:r>
          </w:p>
        </w:tc>
        <w:tc>
          <w:tcPr>
            <w:tcW w:w="376" w:type="pct"/>
            <w:tcBorders>
              <w:tl2br w:val="nil"/>
              <w:tr2bl w:val="nil"/>
            </w:tcBorders>
            <w:noWrap w:val="0"/>
            <w:vAlign w:val="bottom"/>
          </w:tcPr>
          <w:p w14:paraId="0FC06D0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23.69 </w:t>
            </w:r>
          </w:p>
        </w:tc>
        <w:tc>
          <w:tcPr>
            <w:tcW w:w="376" w:type="pct"/>
            <w:tcBorders>
              <w:tl2br w:val="nil"/>
              <w:tr2bl w:val="nil"/>
            </w:tcBorders>
            <w:noWrap w:val="0"/>
            <w:vAlign w:val="bottom"/>
          </w:tcPr>
          <w:p w14:paraId="5E06CCD9">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22.80 </w:t>
            </w:r>
          </w:p>
        </w:tc>
        <w:tc>
          <w:tcPr>
            <w:tcW w:w="376" w:type="pct"/>
            <w:tcBorders>
              <w:tl2br w:val="nil"/>
              <w:tr2bl w:val="nil"/>
            </w:tcBorders>
            <w:noWrap w:val="0"/>
            <w:vAlign w:val="bottom"/>
          </w:tcPr>
          <w:p w14:paraId="68085237">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15.08 </w:t>
            </w:r>
          </w:p>
        </w:tc>
        <w:tc>
          <w:tcPr>
            <w:tcW w:w="320" w:type="pct"/>
            <w:tcBorders>
              <w:tl2br w:val="nil"/>
              <w:tr2bl w:val="nil"/>
            </w:tcBorders>
            <w:noWrap w:val="0"/>
            <w:vAlign w:val="bottom"/>
          </w:tcPr>
          <w:p w14:paraId="3BF7B4F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7.30 </w:t>
            </w:r>
          </w:p>
        </w:tc>
        <w:tc>
          <w:tcPr>
            <w:tcW w:w="357" w:type="pct"/>
            <w:tcBorders>
              <w:tl2br w:val="nil"/>
              <w:tr2bl w:val="nil"/>
            </w:tcBorders>
            <w:noWrap w:val="0"/>
            <w:vAlign w:val="bottom"/>
          </w:tcPr>
          <w:p w14:paraId="7FCD7F62">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-4.71 </w:t>
            </w:r>
          </w:p>
        </w:tc>
        <w:tc>
          <w:tcPr>
            <w:tcW w:w="414" w:type="pct"/>
            <w:tcBorders>
              <w:tl2br w:val="nil"/>
              <w:tr2bl w:val="nil"/>
            </w:tcBorders>
            <w:noWrap w:val="0"/>
            <w:vAlign w:val="bottom"/>
          </w:tcPr>
          <w:p w14:paraId="6C54C481">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-14.57 </w:t>
            </w:r>
          </w:p>
        </w:tc>
      </w:tr>
    </w:tbl>
    <w:p w14:paraId="4D4D56B6">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Times New Roman" w:hAnsi="Times New Roman" w:eastAsia="黑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表</w:t>
      </w:r>
      <w:r>
        <w:rPr>
          <w:rFonts w:hint="eastAsia" w:ascii="Times New Roman" w:hAnsi="Times New Roman" w:eastAsia="宋体" w:cs="Times New Roman"/>
          <w:color w:val="auto"/>
          <w:sz w:val="24"/>
          <w:szCs w:val="24"/>
          <w:highlight w:val="none"/>
          <w:lang w:val="en-US" w:eastAsia="zh-CN"/>
        </w:rPr>
        <w:t>5.1-</w:t>
      </w:r>
      <w:r>
        <w:rPr>
          <w:rFonts w:hint="default" w:ascii="Times New Roman" w:hAnsi="Times New Roman" w:eastAsia="宋体" w:cs="Times New Roman"/>
          <w:color w:val="auto"/>
          <w:sz w:val="24"/>
          <w:szCs w:val="24"/>
          <w:highlight w:val="none"/>
          <w:lang w:val="en-US" w:eastAsia="zh-CN"/>
        </w:rPr>
        <w:t xml:space="preserve">5  </w:t>
      </w:r>
      <w:r>
        <w:rPr>
          <w:rFonts w:hint="eastAsia" w:ascii="Times New Roman" w:hAnsi="Times New Roman" w:eastAsia="宋体" w:cs="Times New Roman"/>
          <w:color w:val="auto"/>
          <w:sz w:val="24"/>
          <w:szCs w:val="24"/>
          <w:highlight w:val="none"/>
          <w:lang w:val="en-US" w:eastAsia="zh-CN"/>
        </w:rPr>
        <w:t>佳木斯市</w:t>
      </w:r>
      <w:r>
        <w:rPr>
          <w:rFonts w:hint="default" w:ascii="Times New Roman" w:hAnsi="Times New Roman" w:eastAsia="宋体" w:cs="Times New Roman"/>
          <w:color w:val="auto"/>
          <w:sz w:val="24"/>
          <w:szCs w:val="24"/>
          <w:highlight w:val="none"/>
          <w:lang w:val="en-US" w:eastAsia="zh-CN"/>
        </w:rPr>
        <w:t>202</w:t>
      </w:r>
      <w:r>
        <w:rPr>
          <w:rFonts w:hint="eastAsia"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lang w:val="en-US" w:eastAsia="zh-CN"/>
        </w:rPr>
        <w:t>年平均风速的月变化情况</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40"/>
        <w:gridCol w:w="584"/>
        <w:gridCol w:w="584"/>
        <w:gridCol w:w="584"/>
        <w:gridCol w:w="584"/>
        <w:gridCol w:w="584"/>
        <w:gridCol w:w="584"/>
        <w:gridCol w:w="584"/>
        <w:gridCol w:w="584"/>
        <w:gridCol w:w="584"/>
        <w:gridCol w:w="584"/>
        <w:gridCol w:w="590"/>
        <w:gridCol w:w="596"/>
        <w:gridCol w:w="584"/>
      </w:tblGrid>
      <w:tr w14:paraId="1BCE58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31" w:type="pct"/>
            <w:tcBorders>
              <w:tl2br w:val="nil"/>
              <w:tr2bl w:val="nil"/>
            </w:tcBorders>
            <w:noWrap w:val="0"/>
            <w:vAlign w:val="center"/>
          </w:tcPr>
          <w:p w14:paraId="25A99F4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月份</w:t>
            </w:r>
          </w:p>
        </w:tc>
        <w:tc>
          <w:tcPr>
            <w:tcW w:w="339" w:type="pct"/>
            <w:tcBorders>
              <w:tl2br w:val="nil"/>
              <w:tr2bl w:val="nil"/>
            </w:tcBorders>
            <w:noWrap w:val="0"/>
            <w:vAlign w:val="center"/>
          </w:tcPr>
          <w:p w14:paraId="45972FF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1月</w:t>
            </w:r>
          </w:p>
        </w:tc>
        <w:tc>
          <w:tcPr>
            <w:tcW w:w="311" w:type="pct"/>
            <w:tcBorders>
              <w:tl2br w:val="nil"/>
              <w:tr2bl w:val="nil"/>
            </w:tcBorders>
            <w:noWrap w:val="0"/>
            <w:vAlign w:val="center"/>
          </w:tcPr>
          <w:p w14:paraId="23C39C0C">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2月</w:t>
            </w:r>
          </w:p>
        </w:tc>
        <w:tc>
          <w:tcPr>
            <w:tcW w:w="311" w:type="pct"/>
            <w:tcBorders>
              <w:tl2br w:val="nil"/>
              <w:tr2bl w:val="nil"/>
            </w:tcBorders>
            <w:noWrap w:val="0"/>
            <w:vAlign w:val="center"/>
          </w:tcPr>
          <w:p w14:paraId="27ABC0C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3月</w:t>
            </w:r>
          </w:p>
        </w:tc>
        <w:tc>
          <w:tcPr>
            <w:tcW w:w="311" w:type="pct"/>
            <w:tcBorders>
              <w:tl2br w:val="nil"/>
              <w:tr2bl w:val="nil"/>
            </w:tcBorders>
            <w:noWrap w:val="0"/>
            <w:vAlign w:val="center"/>
          </w:tcPr>
          <w:p w14:paraId="5ED4829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4月</w:t>
            </w:r>
          </w:p>
        </w:tc>
        <w:tc>
          <w:tcPr>
            <w:tcW w:w="311" w:type="pct"/>
            <w:tcBorders>
              <w:tl2br w:val="nil"/>
              <w:tr2bl w:val="nil"/>
            </w:tcBorders>
            <w:noWrap w:val="0"/>
            <w:vAlign w:val="center"/>
          </w:tcPr>
          <w:p w14:paraId="2E69CEE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5月</w:t>
            </w:r>
          </w:p>
        </w:tc>
        <w:tc>
          <w:tcPr>
            <w:tcW w:w="311" w:type="pct"/>
            <w:tcBorders>
              <w:tl2br w:val="nil"/>
              <w:tr2bl w:val="nil"/>
            </w:tcBorders>
            <w:noWrap w:val="0"/>
            <w:vAlign w:val="center"/>
          </w:tcPr>
          <w:p w14:paraId="0A648F1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6月</w:t>
            </w:r>
          </w:p>
        </w:tc>
        <w:tc>
          <w:tcPr>
            <w:tcW w:w="311" w:type="pct"/>
            <w:tcBorders>
              <w:tl2br w:val="nil"/>
              <w:tr2bl w:val="nil"/>
            </w:tcBorders>
            <w:noWrap w:val="0"/>
            <w:vAlign w:val="center"/>
          </w:tcPr>
          <w:p w14:paraId="7B463D6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7月</w:t>
            </w:r>
          </w:p>
        </w:tc>
        <w:tc>
          <w:tcPr>
            <w:tcW w:w="311" w:type="pct"/>
            <w:tcBorders>
              <w:tl2br w:val="nil"/>
              <w:tr2bl w:val="nil"/>
            </w:tcBorders>
            <w:noWrap w:val="0"/>
            <w:vAlign w:val="center"/>
          </w:tcPr>
          <w:p w14:paraId="26A81C42">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8月</w:t>
            </w:r>
          </w:p>
        </w:tc>
        <w:tc>
          <w:tcPr>
            <w:tcW w:w="311" w:type="pct"/>
            <w:tcBorders>
              <w:tl2br w:val="nil"/>
              <w:tr2bl w:val="nil"/>
            </w:tcBorders>
            <w:noWrap w:val="0"/>
            <w:vAlign w:val="center"/>
          </w:tcPr>
          <w:p w14:paraId="58D4C54D">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9月</w:t>
            </w:r>
          </w:p>
        </w:tc>
        <w:tc>
          <w:tcPr>
            <w:tcW w:w="367" w:type="pct"/>
            <w:tcBorders>
              <w:tl2br w:val="nil"/>
              <w:tr2bl w:val="nil"/>
            </w:tcBorders>
            <w:noWrap w:val="0"/>
            <w:vAlign w:val="center"/>
          </w:tcPr>
          <w:p w14:paraId="53ECCFE7">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10月</w:t>
            </w:r>
          </w:p>
        </w:tc>
        <w:tc>
          <w:tcPr>
            <w:tcW w:w="367" w:type="pct"/>
            <w:tcBorders>
              <w:tl2br w:val="nil"/>
              <w:tr2bl w:val="nil"/>
            </w:tcBorders>
            <w:noWrap w:val="0"/>
            <w:vAlign w:val="center"/>
          </w:tcPr>
          <w:p w14:paraId="58746F1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11月</w:t>
            </w:r>
          </w:p>
        </w:tc>
        <w:tc>
          <w:tcPr>
            <w:tcW w:w="367" w:type="pct"/>
            <w:tcBorders>
              <w:tl2br w:val="nil"/>
              <w:tr2bl w:val="nil"/>
            </w:tcBorders>
            <w:noWrap w:val="0"/>
            <w:vAlign w:val="center"/>
          </w:tcPr>
          <w:p w14:paraId="22ED3A5B">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12月</w:t>
            </w:r>
          </w:p>
        </w:tc>
        <w:tc>
          <w:tcPr>
            <w:tcW w:w="339" w:type="pct"/>
            <w:tcBorders>
              <w:tl2br w:val="nil"/>
              <w:tr2bl w:val="nil"/>
            </w:tcBorders>
            <w:noWrap w:val="0"/>
            <w:vAlign w:val="center"/>
          </w:tcPr>
          <w:p w14:paraId="1BB01175">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年均</w:t>
            </w:r>
          </w:p>
        </w:tc>
      </w:tr>
      <w:tr w14:paraId="423605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31" w:type="pct"/>
            <w:tcBorders>
              <w:tl2br w:val="nil"/>
              <w:tr2bl w:val="nil"/>
            </w:tcBorders>
            <w:noWrap w:val="0"/>
            <w:vAlign w:val="center"/>
          </w:tcPr>
          <w:p w14:paraId="44BDDDFE">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风速（m/s）</w:t>
            </w:r>
          </w:p>
        </w:tc>
        <w:tc>
          <w:tcPr>
            <w:tcW w:w="941" w:type="dxa"/>
            <w:tcBorders>
              <w:tl2br w:val="nil"/>
              <w:tr2bl w:val="nil"/>
            </w:tcBorders>
            <w:noWrap w:val="0"/>
            <w:vAlign w:val="bottom"/>
          </w:tcPr>
          <w:p w14:paraId="11D02C3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1.66 </w:t>
            </w:r>
          </w:p>
        </w:tc>
        <w:tc>
          <w:tcPr>
            <w:tcW w:w="864" w:type="dxa"/>
            <w:tcBorders>
              <w:tl2br w:val="nil"/>
              <w:tr2bl w:val="nil"/>
            </w:tcBorders>
            <w:noWrap w:val="0"/>
            <w:vAlign w:val="bottom"/>
          </w:tcPr>
          <w:p w14:paraId="546258AF">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2.30 </w:t>
            </w:r>
          </w:p>
        </w:tc>
        <w:tc>
          <w:tcPr>
            <w:tcW w:w="864" w:type="dxa"/>
            <w:tcBorders>
              <w:tl2br w:val="nil"/>
              <w:tr2bl w:val="nil"/>
            </w:tcBorders>
            <w:noWrap w:val="0"/>
            <w:vAlign w:val="bottom"/>
          </w:tcPr>
          <w:p w14:paraId="4D2F7E10">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2.47 </w:t>
            </w:r>
          </w:p>
        </w:tc>
        <w:tc>
          <w:tcPr>
            <w:tcW w:w="864" w:type="dxa"/>
            <w:tcBorders>
              <w:tl2br w:val="nil"/>
              <w:tr2bl w:val="nil"/>
            </w:tcBorders>
            <w:noWrap w:val="0"/>
            <w:vAlign w:val="bottom"/>
          </w:tcPr>
          <w:p w14:paraId="282168FF">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3.15 </w:t>
            </w:r>
          </w:p>
        </w:tc>
        <w:tc>
          <w:tcPr>
            <w:tcW w:w="864" w:type="dxa"/>
            <w:tcBorders>
              <w:tl2br w:val="nil"/>
              <w:tr2bl w:val="nil"/>
            </w:tcBorders>
            <w:noWrap w:val="0"/>
            <w:vAlign w:val="bottom"/>
          </w:tcPr>
          <w:p w14:paraId="7B0F5CA2">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3.05 </w:t>
            </w:r>
          </w:p>
        </w:tc>
        <w:tc>
          <w:tcPr>
            <w:tcW w:w="864" w:type="dxa"/>
            <w:tcBorders>
              <w:tl2br w:val="nil"/>
              <w:tr2bl w:val="nil"/>
            </w:tcBorders>
            <w:noWrap w:val="0"/>
            <w:vAlign w:val="bottom"/>
          </w:tcPr>
          <w:p w14:paraId="1411C92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2.45 </w:t>
            </w:r>
          </w:p>
        </w:tc>
        <w:tc>
          <w:tcPr>
            <w:tcW w:w="864" w:type="dxa"/>
            <w:tcBorders>
              <w:tl2br w:val="nil"/>
              <w:tr2bl w:val="nil"/>
            </w:tcBorders>
            <w:noWrap w:val="0"/>
            <w:vAlign w:val="bottom"/>
          </w:tcPr>
          <w:p w14:paraId="1CB47D3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2.09 </w:t>
            </w:r>
          </w:p>
        </w:tc>
        <w:tc>
          <w:tcPr>
            <w:tcW w:w="864" w:type="dxa"/>
            <w:tcBorders>
              <w:tl2br w:val="nil"/>
              <w:tr2bl w:val="nil"/>
            </w:tcBorders>
            <w:noWrap w:val="0"/>
            <w:vAlign w:val="bottom"/>
          </w:tcPr>
          <w:p w14:paraId="2A77604F">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2.13 </w:t>
            </w:r>
          </w:p>
        </w:tc>
        <w:tc>
          <w:tcPr>
            <w:tcW w:w="864" w:type="dxa"/>
            <w:tcBorders>
              <w:tl2br w:val="nil"/>
              <w:tr2bl w:val="nil"/>
            </w:tcBorders>
            <w:noWrap w:val="0"/>
            <w:vAlign w:val="bottom"/>
          </w:tcPr>
          <w:p w14:paraId="56E8A3A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2.33 </w:t>
            </w:r>
          </w:p>
        </w:tc>
        <w:tc>
          <w:tcPr>
            <w:tcW w:w="1019" w:type="dxa"/>
            <w:tcBorders>
              <w:tl2br w:val="nil"/>
              <w:tr2bl w:val="nil"/>
            </w:tcBorders>
            <w:noWrap w:val="0"/>
            <w:vAlign w:val="bottom"/>
          </w:tcPr>
          <w:p w14:paraId="13F3324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2.70 </w:t>
            </w:r>
          </w:p>
        </w:tc>
        <w:tc>
          <w:tcPr>
            <w:tcW w:w="1019" w:type="dxa"/>
            <w:tcBorders>
              <w:tl2br w:val="nil"/>
              <w:tr2bl w:val="nil"/>
            </w:tcBorders>
            <w:noWrap w:val="0"/>
            <w:vAlign w:val="bottom"/>
          </w:tcPr>
          <w:p w14:paraId="3B9DB183">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2.11 </w:t>
            </w:r>
          </w:p>
        </w:tc>
        <w:tc>
          <w:tcPr>
            <w:tcW w:w="1019" w:type="dxa"/>
            <w:tcBorders>
              <w:tl2br w:val="nil"/>
              <w:tr2bl w:val="nil"/>
            </w:tcBorders>
            <w:noWrap w:val="0"/>
            <w:vAlign w:val="bottom"/>
          </w:tcPr>
          <w:p w14:paraId="465F9FFF">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2.30 </w:t>
            </w:r>
          </w:p>
        </w:tc>
        <w:tc>
          <w:tcPr>
            <w:tcW w:w="942" w:type="dxa"/>
            <w:tcBorders>
              <w:tl2br w:val="nil"/>
              <w:tr2bl w:val="nil"/>
            </w:tcBorders>
            <w:noWrap w:val="0"/>
            <w:vAlign w:val="bottom"/>
          </w:tcPr>
          <w:p w14:paraId="7DF46AB4">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1.66 </w:t>
            </w:r>
          </w:p>
        </w:tc>
      </w:tr>
    </w:tbl>
    <w:p w14:paraId="26E23442">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Times New Roman" w:hAnsi="Times New Roman" w:eastAsia="黑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表</w:t>
      </w:r>
      <w:r>
        <w:rPr>
          <w:rFonts w:hint="eastAsia" w:ascii="Times New Roman" w:hAnsi="Times New Roman" w:eastAsia="宋体" w:cs="Times New Roman"/>
          <w:color w:val="auto"/>
          <w:sz w:val="24"/>
          <w:szCs w:val="24"/>
          <w:highlight w:val="none"/>
          <w:lang w:val="en-US" w:eastAsia="zh-CN"/>
        </w:rPr>
        <w:t>5.1</w:t>
      </w:r>
      <w:r>
        <w:rPr>
          <w:rFonts w:hint="default" w:ascii="Times New Roman" w:hAnsi="Times New Roman" w:eastAsia="宋体" w:cs="Times New Roman"/>
          <w:color w:val="auto"/>
          <w:sz w:val="24"/>
          <w:szCs w:val="24"/>
          <w:highlight w:val="none"/>
          <w:lang w:val="en-US" w:eastAsia="zh-CN"/>
        </w:rPr>
        <w:t xml:space="preserve">-6  </w:t>
      </w:r>
      <w:r>
        <w:rPr>
          <w:rFonts w:hint="eastAsia" w:ascii="Times New Roman" w:hAnsi="Times New Roman" w:eastAsia="宋体" w:cs="Times New Roman"/>
          <w:color w:val="auto"/>
          <w:sz w:val="24"/>
          <w:szCs w:val="24"/>
          <w:highlight w:val="none"/>
          <w:lang w:val="en-US" w:eastAsia="zh-CN"/>
        </w:rPr>
        <w:t>佳木斯市</w:t>
      </w:r>
      <w:r>
        <w:rPr>
          <w:rFonts w:hint="default" w:ascii="Times New Roman" w:hAnsi="Times New Roman" w:eastAsia="宋体" w:cs="Times New Roman"/>
          <w:color w:val="auto"/>
          <w:sz w:val="24"/>
          <w:szCs w:val="24"/>
          <w:highlight w:val="none"/>
          <w:lang w:val="en-US" w:eastAsia="zh-CN"/>
        </w:rPr>
        <w:t>202</w:t>
      </w:r>
      <w:r>
        <w:rPr>
          <w:rFonts w:hint="eastAsia"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lang w:val="en-US" w:eastAsia="zh-CN"/>
        </w:rPr>
        <w:t>年小时平均风速的季变化情况</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88"/>
        <w:gridCol w:w="644"/>
        <w:gridCol w:w="591"/>
        <w:gridCol w:w="591"/>
        <w:gridCol w:w="591"/>
        <w:gridCol w:w="591"/>
        <w:gridCol w:w="591"/>
        <w:gridCol w:w="591"/>
        <w:gridCol w:w="591"/>
        <w:gridCol w:w="589"/>
        <w:gridCol w:w="697"/>
        <w:gridCol w:w="698"/>
        <w:gridCol w:w="697"/>
      </w:tblGrid>
      <w:tr w14:paraId="4EFD31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84" w:type="pct"/>
            <w:tcBorders>
              <w:tl2br w:val="nil"/>
              <w:tr2bl w:val="nil"/>
            </w:tcBorders>
            <w:noWrap w:val="0"/>
            <w:vAlign w:val="center"/>
          </w:tcPr>
          <w:p w14:paraId="1DE7AE13">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right"/>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mc:AlternateContent>
                <mc:Choice Requires="wps">
                  <w:drawing>
                    <wp:anchor distT="0" distB="0" distL="114300" distR="114300" simplePos="0" relativeHeight="251669504" behindDoc="0" locked="0" layoutInCell="1" allowOverlap="1">
                      <wp:simplePos x="0" y="0"/>
                      <wp:positionH relativeFrom="column">
                        <wp:posOffset>-60960</wp:posOffset>
                      </wp:positionH>
                      <wp:positionV relativeFrom="paragraph">
                        <wp:posOffset>-10795</wp:posOffset>
                      </wp:positionV>
                      <wp:extent cx="1377315" cy="571500"/>
                      <wp:effectExtent l="1905" t="4445" r="11430" b="14605"/>
                      <wp:wrapNone/>
                      <wp:docPr id="70" name="直接连接符 70"/>
                      <wp:cNvGraphicFramePr/>
                      <a:graphic xmlns:a="http://schemas.openxmlformats.org/drawingml/2006/main">
                        <a:graphicData uri="http://schemas.microsoft.com/office/word/2010/wordprocessingShape">
                          <wps:wsp>
                            <wps:cNvCnPr/>
                            <wps:spPr>
                              <a:xfrm>
                                <a:off x="0" y="0"/>
                                <a:ext cx="1377315" cy="571500"/>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8pt;margin-top:-0.85pt;height:45pt;width:108.45pt;z-index:251669504;mso-width-relative:page;mso-height-relative:page;" filled="f" stroked="t" coordsize="21600,21600" o:gfxdata="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qXcTztcAAAAIAQAADwAAAAAAAAABACAAAAAiAAAAZHJzL2Rvd25yZXYu&#10;eG1sUEsBAhQAFAAAAAgAh07iQCQTRaT8AQAA6wMAAA4AAAAAAAAAAQAgAAAAJgEAAGRycy9lMm9E&#10;b2MueG1sUEsFBgAAAAAGAAYAWQEAAJQFAAAAAA==&#10;">
                      <v:fill on="f" focussize="0,0"/>
                      <v:stroke weight="0.5pt" color="#000000" joinstyle="round"/>
                      <v:imagedata o:title=""/>
                      <o:lock v:ext="edit" aspectratio="f"/>
                    </v:line>
                  </w:pict>
                </mc:Fallback>
              </mc:AlternateContent>
            </w:r>
            <w:r>
              <w:rPr>
                <w:rFonts w:hint="default" w:ascii="Times New Roman" w:hAnsi="Times New Roman" w:cs="Times New Roman" w:eastAsiaTheme="minorEastAsia"/>
                <w:bCs/>
                <w:color w:val="auto"/>
                <w:sz w:val="21"/>
                <w:szCs w:val="21"/>
                <w:highlight w:val="none"/>
                <w:lang w:val="en-US" w:eastAsia="zh-CN"/>
              </w:rPr>
              <w:t>小时（h）</w:t>
            </w:r>
          </w:p>
          <w:p w14:paraId="3B3DE646">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left"/>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风速（m/s）</w:t>
            </w:r>
          </w:p>
        </w:tc>
        <w:tc>
          <w:tcPr>
            <w:tcW w:w="364" w:type="pct"/>
            <w:tcBorders>
              <w:tl2br w:val="nil"/>
              <w:tr2bl w:val="nil"/>
            </w:tcBorders>
            <w:noWrap w:val="0"/>
            <w:vAlign w:val="center"/>
          </w:tcPr>
          <w:p w14:paraId="7A875AF8">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w:t>
            </w:r>
          </w:p>
        </w:tc>
        <w:tc>
          <w:tcPr>
            <w:tcW w:w="334" w:type="pct"/>
            <w:tcBorders>
              <w:tl2br w:val="nil"/>
              <w:tr2bl w:val="nil"/>
            </w:tcBorders>
            <w:noWrap w:val="0"/>
            <w:vAlign w:val="center"/>
          </w:tcPr>
          <w:p w14:paraId="24705155">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w:t>
            </w:r>
          </w:p>
        </w:tc>
        <w:tc>
          <w:tcPr>
            <w:tcW w:w="334" w:type="pct"/>
            <w:tcBorders>
              <w:tl2br w:val="nil"/>
              <w:tr2bl w:val="nil"/>
            </w:tcBorders>
            <w:noWrap w:val="0"/>
            <w:vAlign w:val="center"/>
          </w:tcPr>
          <w:p w14:paraId="22175992">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3</w:t>
            </w:r>
          </w:p>
        </w:tc>
        <w:tc>
          <w:tcPr>
            <w:tcW w:w="334" w:type="pct"/>
            <w:tcBorders>
              <w:tl2br w:val="nil"/>
              <w:tr2bl w:val="nil"/>
            </w:tcBorders>
            <w:noWrap w:val="0"/>
            <w:vAlign w:val="center"/>
          </w:tcPr>
          <w:p w14:paraId="217479A7">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4</w:t>
            </w:r>
          </w:p>
        </w:tc>
        <w:tc>
          <w:tcPr>
            <w:tcW w:w="334" w:type="pct"/>
            <w:tcBorders>
              <w:tl2br w:val="nil"/>
              <w:tr2bl w:val="nil"/>
            </w:tcBorders>
            <w:noWrap w:val="0"/>
            <w:vAlign w:val="center"/>
          </w:tcPr>
          <w:p w14:paraId="418F10AC">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5</w:t>
            </w:r>
          </w:p>
        </w:tc>
        <w:tc>
          <w:tcPr>
            <w:tcW w:w="334" w:type="pct"/>
            <w:tcBorders>
              <w:tl2br w:val="nil"/>
              <w:tr2bl w:val="nil"/>
            </w:tcBorders>
            <w:noWrap w:val="0"/>
            <w:vAlign w:val="center"/>
          </w:tcPr>
          <w:p w14:paraId="76055F97">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6</w:t>
            </w:r>
          </w:p>
        </w:tc>
        <w:tc>
          <w:tcPr>
            <w:tcW w:w="334" w:type="pct"/>
            <w:tcBorders>
              <w:tl2br w:val="nil"/>
              <w:tr2bl w:val="nil"/>
            </w:tcBorders>
            <w:noWrap w:val="0"/>
            <w:vAlign w:val="center"/>
          </w:tcPr>
          <w:p w14:paraId="24ED330F">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7</w:t>
            </w:r>
          </w:p>
        </w:tc>
        <w:tc>
          <w:tcPr>
            <w:tcW w:w="334" w:type="pct"/>
            <w:tcBorders>
              <w:tl2br w:val="nil"/>
              <w:tr2bl w:val="nil"/>
            </w:tcBorders>
            <w:noWrap w:val="0"/>
            <w:vAlign w:val="center"/>
          </w:tcPr>
          <w:p w14:paraId="51ECE05E">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8</w:t>
            </w:r>
          </w:p>
        </w:tc>
        <w:tc>
          <w:tcPr>
            <w:tcW w:w="333" w:type="pct"/>
            <w:tcBorders>
              <w:tl2br w:val="nil"/>
              <w:tr2bl w:val="nil"/>
            </w:tcBorders>
            <w:noWrap w:val="0"/>
            <w:vAlign w:val="center"/>
          </w:tcPr>
          <w:p w14:paraId="6B62CA5B">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9</w:t>
            </w:r>
          </w:p>
        </w:tc>
        <w:tc>
          <w:tcPr>
            <w:tcW w:w="394" w:type="pct"/>
            <w:tcBorders>
              <w:tl2br w:val="nil"/>
              <w:tr2bl w:val="nil"/>
            </w:tcBorders>
            <w:noWrap w:val="0"/>
            <w:vAlign w:val="center"/>
          </w:tcPr>
          <w:p w14:paraId="58881DA6">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10</w:t>
            </w:r>
          </w:p>
        </w:tc>
        <w:tc>
          <w:tcPr>
            <w:tcW w:w="394" w:type="pct"/>
            <w:tcBorders>
              <w:tl2br w:val="nil"/>
              <w:tr2bl w:val="nil"/>
            </w:tcBorders>
            <w:noWrap w:val="0"/>
            <w:vAlign w:val="center"/>
          </w:tcPr>
          <w:p w14:paraId="49FD4227">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11</w:t>
            </w:r>
          </w:p>
        </w:tc>
        <w:tc>
          <w:tcPr>
            <w:tcW w:w="393" w:type="pct"/>
            <w:tcBorders>
              <w:tl2br w:val="nil"/>
              <w:tr2bl w:val="nil"/>
            </w:tcBorders>
            <w:noWrap w:val="0"/>
            <w:vAlign w:val="center"/>
          </w:tcPr>
          <w:p w14:paraId="6E5FB8A3">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 xml:space="preserve">12 </w:t>
            </w:r>
          </w:p>
        </w:tc>
      </w:tr>
      <w:tr w14:paraId="5FB785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84" w:type="pct"/>
            <w:tcBorders>
              <w:tl2br w:val="nil"/>
              <w:tr2bl w:val="nil"/>
            </w:tcBorders>
            <w:noWrap w:val="0"/>
            <w:vAlign w:val="center"/>
          </w:tcPr>
          <w:p w14:paraId="3664C583">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春季</w:t>
            </w:r>
          </w:p>
        </w:tc>
        <w:tc>
          <w:tcPr>
            <w:tcW w:w="1011" w:type="dxa"/>
            <w:tcBorders>
              <w:tl2br w:val="nil"/>
              <w:tr2bl w:val="nil"/>
            </w:tcBorders>
            <w:noWrap w:val="0"/>
            <w:vAlign w:val="bottom"/>
          </w:tcPr>
          <w:p w14:paraId="36720E35">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2.07 </w:t>
            </w:r>
          </w:p>
        </w:tc>
        <w:tc>
          <w:tcPr>
            <w:tcW w:w="927" w:type="dxa"/>
            <w:tcBorders>
              <w:tl2br w:val="nil"/>
              <w:tr2bl w:val="nil"/>
            </w:tcBorders>
            <w:noWrap w:val="0"/>
            <w:vAlign w:val="bottom"/>
          </w:tcPr>
          <w:p w14:paraId="5439DDD5">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2.10 </w:t>
            </w:r>
          </w:p>
        </w:tc>
        <w:tc>
          <w:tcPr>
            <w:tcW w:w="927" w:type="dxa"/>
            <w:tcBorders>
              <w:tl2br w:val="nil"/>
              <w:tr2bl w:val="nil"/>
            </w:tcBorders>
            <w:noWrap w:val="0"/>
            <w:vAlign w:val="bottom"/>
          </w:tcPr>
          <w:p w14:paraId="13ADB1F5">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2.04 </w:t>
            </w:r>
          </w:p>
        </w:tc>
        <w:tc>
          <w:tcPr>
            <w:tcW w:w="927" w:type="dxa"/>
            <w:tcBorders>
              <w:tl2br w:val="nil"/>
              <w:tr2bl w:val="nil"/>
            </w:tcBorders>
            <w:noWrap w:val="0"/>
            <w:vAlign w:val="bottom"/>
          </w:tcPr>
          <w:p w14:paraId="09E56380">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1.99 </w:t>
            </w:r>
          </w:p>
        </w:tc>
        <w:tc>
          <w:tcPr>
            <w:tcW w:w="927" w:type="dxa"/>
            <w:tcBorders>
              <w:tl2br w:val="nil"/>
              <w:tr2bl w:val="nil"/>
            </w:tcBorders>
            <w:noWrap w:val="0"/>
            <w:vAlign w:val="bottom"/>
          </w:tcPr>
          <w:p w14:paraId="146AE0C0">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1.83 </w:t>
            </w:r>
          </w:p>
        </w:tc>
        <w:tc>
          <w:tcPr>
            <w:tcW w:w="927" w:type="dxa"/>
            <w:tcBorders>
              <w:tl2br w:val="nil"/>
              <w:tr2bl w:val="nil"/>
            </w:tcBorders>
            <w:noWrap w:val="0"/>
            <w:vAlign w:val="bottom"/>
          </w:tcPr>
          <w:p w14:paraId="61DAF7A5">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2.09 </w:t>
            </w:r>
          </w:p>
        </w:tc>
        <w:tc>
          <w:tcPr>
            <w:tcW w:w="927" w:type="dxa"/>
            <w:tcBorders>
              <w:tl2br w:val="nil"/>
              <w:tr2bl w:val="nil"/>
            </w:tcBorders>
            <w:noWrap w:val="0"/>
            <w:vAlign w:val="bottom"/>
          </w:tcPr>
          <w:p w14:paraId="03E2C1E3">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2.74 </w:t>
            </w:r>
          </w:p>
        </w:tc>
        <w:tc>
          <w:tcPr>
            <w:tcW w:w="927" w:type="dxa"/>
            <w:tcBorders>
              <w:tl2br w:val="nil"/>
              <w:tr2bl w:val="nil"/>
            </w:tcBorders>
            <w:noWrap w:val="0"/>
            <w:vAlign w:val="bottom"/>
          </w:tcPr>
          <w:p w14:paraId="34A394FB">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3.11 </w:t>
            </w:r>
          </w:p>
        </w:tc>
        <w:tc>
          <w:tcPr>
            <w:tcW w:w="924" w:type="dxa"/>
            <w:tcBorders>
              <w:tl2br w:val="nil"/>
              <w:tr2bl w:val="nil"/>
            </w:tcBorders>
            <w:noWrap w:val="0"/>
            <w:vAlign w:val="bottom"/>
          </w:tcPr>
          <w:p w14:paraId="1831D329">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3.56 </w:t>
            </w:r>
          </w:p>
        </w:tc>
        <w:tc>
          <w:tcPr>
            <w:tcW w:w="1094" w:type="dxa"/>
            <w:tcBorders>
              <w:tl2br w:val="nil"/>
              <w:tr2bl w:val="nil"/>
            </w:tcBorders>
            <w:noWrap w:val="0"/>
            <w:vAlign w:val="bottom"/>
          </w:tcPr>
          <w:p w14:paraId="398FDAB5">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3.72 </w:t>
            </w:r>
          </w:p>
        </w:tc>
        <w:tc>
          <w:tcPr>
            <w:tcW w:w="1094" w:type="dxa"/>
            <w:tcBorders>
              <w:tl2br w:val="nil"/>
              <w:tr2bl w:val="nil"/>
            </w:tcBorders>
            <w:noWrap w:val="0"/>
            <w:vAlign w:val="bottom"/>
          </w:tcPr>
          <w:p w14:paraId="73929AB5">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3.94 </w:t>
            </w:r>
          </w:p>
        </w:tc>
        <w:tc>
          <w:tcPr>
            <w:tcW w:w="1092" w:type="dxa"/>
            <w:tcBorders>
              <w:tl2br w:val="nil"/>
              <w:tr2bl w:val="nil"/>
            </w:tcBorders>
            <w:noWrap w:val="0"/>
            <w:vAlign w:val="bottom"/>
          </w:tcPr>
          <w:p w14:paraId="6FE2A424">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4.07 </w:t>
            </w:r>
          </w:p>
        </w:tc>
      </w:tr>
      <w:tr w14:paraId="4007D6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84" w:type="pct"/>
            <w:tcBorders>
              <w:tl2br w:val="nil"/>
              <w:tr2bl w:val="nil"/>
            </w:tcBorders>
            <w:noWrap w:val="0"/>
            <w:vAlign w:val="center"/>
          </w:tcPr>
          <w:p w14:paraId="6B0CC9A9">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夏季</w:t>
            </w:r>
          </w:p>
        </w:tc>
        <w:tc>
          <w:tcPr>
            <w:tcW w:w="1011" w:type="dxa"/>
            <w:tcBorders>
              <w:tl2br w:val="nil"/>
              <w:tr2bl w:val="nil"/>
            </w:tcBorders>
            <w:noWrap w:val="0"/>
            <w:vAlign w:val="bottom"/>
          </w:tcPr>
          <w:p w14:paraId="2E8F32BB">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1.44 </w:t>
            </w:r>
          </w:p>
        </w:tc>
        <w:tc>
          <w:tcPr>
            <w:tcW w:w="927" w:type="dxa"/>
            <w:tcBorders>
              <w:tl2br w:val="nil"/>
              <w:tr2bl w:val="nil"/>
            </w:tcBorders>
            <w:noWrap w:val="0"/>
            <w:vAlign w:val="bottom"/>
          </w:tcPr>
          <w:p w14:paraId="7D3608EC">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1.53 </w:t>
            </w:r>
          </w:p>
        </w:tc>
        <w:tc>
          <w:tcPr>
            <w:tcW w:w="927" w:type="dxa"/>
            <w:tcBorders>
              <w:tl2br w:val="nil"/>
              <w:tr2bl w:val="nil"/>
            </w:tcBorders>
            <w:noWrap w:val="0"/>
            <w:vAlign w:val="bottom"/>
          </w:tcPr>
          <w:p w14:paraId="27E5D522">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1.56 </w:t>
            </w:r>
          </w:p>
        </w:tc>
        <w:tc>
          <w:tcPr>
            <w:tcW w:w="927" w:type="dxa"/>
            <w:tcBorders>
              <w:tl2br w:val="nil"/>
              <w:tr2bl w:val="nil"/>
            </w:tcBorders>
            <w:noWrap w:val="0"/>
            <w:vAlign w:val="bottom"/>
          </w:tcPr>
          <w:p w14:paraId="7BB782B1">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1.58 </w:t>
            </w:r>
          </w:p>
        </w:tc>
        <w:tc>
          <w:tcPr>
            <w:tcW w:w="927" w:type="dxa"/>
            <w:tcBorders>
              <w:tl2br w:val="nil"/>
              <w:tr2bl w:val="nil"/>
            </w:tcBorders>
            <w:noWrap w:val="0"/>
            <w:vAlign w:val="bottom"/>
          </w:tcPr>
          <w:p w14:paraId="4E1A3B4D">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1.69 </w:t>
            </w:r>
          </w:p>
        </w:tc>
        <w:tc>
          <w:tcPr>
            <w:tcW w:w="927" w:type="dxa"/>
            <w:tcBorders>
              <w:tl2br w:val="nil"/>
              <w:tr2bl w:val="nil"/>
            </w:tcBorders>
            <w:noWrap w:val="0"/>
            <w:vAlign w:val="bottom"/>
          </w:tcPr>
          <w:p w14:paraId="6F9A29B9">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1.86 </w:t>
            </w:r>
          </w:p>
        </w:tc>
        <w:tc>
          <w:tcPr>
            <w:tcW w:w="927" w:type="dxa"/>
            <w:tcBorders>
              <w:tl2br w:val="nil"/>
              <w:tr2bl w:val="nil"/>
            </w:tcBorders>
            <w:noWrap w:val="0"/>
            <w:vAlign w:val="bottom"/>
          </w:tcPr>
          <w:p w14:paraId="6EDEC475">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2.27 </w:t>
            </w:r>
          </w:p>
        </w:tc>
        <w:tc>
          <w:tcPr>
            <w:tcW w:w="927" w:type="dxa"/>
            <w:tcBorders>
              <w:tl2br w:val="nil"/>
              <w:tr2bl w:val="nil"/>
            </w:tcBorders>
            <w:noWrap w:val="0"/>
            <w:vAlign w:val="bottom"/>
          </w:tcPr>
          <w:p w14:paraId="7F38DD23">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2.65 </w:t>
            </w:r>
          </w:p>
        </w:tc>
        <w:tc>
          <w:tcPr>
            <w:tcW w:w="924" w:type="dxa"/>
            <w:tcBorders>
              <w:tl2br w:val="nil"/>
              <w:tr2bl w:val="nil"/>
            </w:tcBorders>
            <w:noWrap w:val="0"/>
            <w:vAlign w:val="bottom"/>
          </w:tcPr>
          <w:p w14:paraId="3FA05AFC">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2.83 </w:t>
            </w:r>
          </w:p>
        </w:tc>
        <w:tc>
          <w:tcPr>
            <w:tcW w:w="1094" w:type="dxa"/>
            <w:tcBorders>
              <w:tl2br w:val="nil"/>
              <w:tr2bl w:val="nil"/>
            </w:tcBorders>
            <w:noWrap w:val="0"/>
            <w:vAlign w:val="bottom"/>
          </w:tcPr>
          <w:p w14:paraId="29094363">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3.01 </w:t>
            </w:r>
          </w:p>
        </w:tc>
        <w:tc>
          <w:tcPr>
            <w:tcW w:w="1094" w:type="dxa"/>
            <w:tcBorders>
              <w:tl2br w:val="nil"/>
              <w:tr2bl w:val="nil"/>
            </w:tcBorders>
            <w:noWrap w:val="0"/>
            <w:vAlign w:val="bottom"/>
          </w:tcPr>
          <w:p w14:paraId="3415144F">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3.07 </w:t>
            </w:r>
          </w:p>
        </w:tc>
        <w:tc>
          <w:tcPr>
            <w:tcW w:w="1092" w:type="dxa"/>
            <w:tcBorders>
              <w:tl2br w:val="nil"/>
              <w:tr2bl w:val="nil"/>
            </w:tcBorders>
            <w:noWrap w:val="0"/>
            <w:vAlign w:val="bottom"/>
          </w:tcPr>
          <w:p w14:paraId="6CAE854E">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3.07 </w:t>
            </w:r>
          </w:p>
        </w:tc>
      </w:tr>
      <w:tr w14:paraId="361D27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84" w:type="pct"/>
            <w:tcBorders>
              <w:tl2br w:val="nil"/>
              <w:tr2bl w:val="nil"/>
            </w:tcBorders>
            <w:noWrap w:val="0"/>
            <w:vAlign w:val="center"/>
          </w:tcPr>
          <w:p w14:paraId="057509A9">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秋季</w:t>
            </w:r>
          </w:p>
        </w:tc>
        <w:tc>
          <w:tcPr>
            <w:tcW w:w="1011" w:type="dxa"/>
            <w:tcBorders>
              <w:tl2br w:val="nil"/>
              <w:tr2bl w:val="nil"/>
            </w:tcBorders>
            <w:noWrap w:val="0"/>
            <w:vAlign w:val="bottom"/>
          </w:tcPr>
          <w:p w14:paraId="3C117C5D">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1.57 </w:t>
            </w:r>
          </w:p>
        </w:tc>
        <w:tc>
          <w:tcPr>
            <w:tcW w:w="927" w:type="dxa"/>
            <w:tcBorders>
              <w:tl2br w:val="nil"/>
              <w:tr2bl w:val="nil"/>
            </w:tcBorders>
            <w:noWrap w:val="0"/>
            <w:vAlign w:val="bottom"/>
          </w:tcPr>
          <w:p w14:paraId="2545E52A">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1.70 </w:t>
            </w:r>
          </w:p>
        </w:tc>
        <w:tc>
          <w:tcPr>
            <w:tcW w:w="927" w:type="dxa"/>
            <w:tcBorders>
              <w:tl2br w:val="nil"/>
              <w:tr2bl w:val="nil"/>
            </w:tcBorders>
            <w:noWrap w:val="0"/>
            <w:vAlign w:val="bottom"/>
          </w:tcPr>
          <w:p w14:paraId="5ED4F3FB">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1.65 </w:t>
            </w:r>
          </w:p>
        </w:tc>
        <w:tc>
          <w:tcPr>
            <w:tcW w:w="927" w:type="dxa"/>
            <w:tcBorders>
              <w:tl2br w:val="nil"/>
              <w:tr2bl w:val="nil"/>
            </w:tcBorders>
            <w:noWrap w:val="0"/>
            <w:vAlign w:val="bottom"/>
          </w:tcPr>
          <w:p w14:paraId="5D738E4B">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1.60 </w:t>
            </w:r>
          </w:p>
        </w:tc>
        <w:tc>
          <w:tcPr>
            <w:tcW w:w="927" w:type="dxa"/>
            <w:tcBorders>
              <w:tl2br w:val="nil"/>
              <w:tr2bl w:val="nil"/>
            </w:tcBorders>
            <w:noWrap w:val="0"/>
            <w:vAlign w:val="bottom"/>
          </w:tcPr>
          <w:p w14:paraId="112E6B55">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1.66 </w:t>
            </w:r>
          </w:p>
        </w:tc>
        <w:tc>
          <w:tcPr>
            <w:tcW w:w="927" w:type="dxa"/>
            <w:tcBorders>
              <w:tl2br w:val="nil"/>
              <w:tr2bl w:val="nil"/>
            </w:tcBorders>
            <w:noWrap w:val="0"/>
            <w:vAlign w:val="bottom"/>
          </w:tcPr>
          <w:p w14:paraId="45F4A62E">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1.79 </w:t>
            </w:r>
          </w:p>
        </w:tc>
        <w:tc>
          <w:tcPr>
            <w:tcW w:w="927" w:type="dxa"/>
            <w:tcBorders>
              <w:tl2br w:val="nil"/>
              <w:tr2bl w:val="nil"/>
            </w:tcBorders>
            <w:noWrap w:val="0"/>
            <w:vAlign w:val="bottom"/>
          </w:tcPr>
          <w:p w14:paraId="1819176C">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2.00 </w:t>
            </w:r>
          </w:p>
        </w:tc>
        <w:tc>
          <w:tcPr>
            <w:tcW w:w="927" w:type="dxa"/>
            <w:tcBorders>
              <w:tl2br w:val="nil"/>
              <w:tr2bl w:val="nil"/>
            </w:tcBorders>
            <w:noWrap w:val="0"/>
            <w:vAlign w:val="bottom"/>
          </w:tcPr>
          <w:p w14:paraId="3A4328DD">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2.50 </w:t>
            </w:r>
          </w:p>
        </w:tc>
        <w:tc>
          <w:tcPr>
            <w:tcW w:w="924" w:type="dxa"/>
            <w:tcBorders>
              <w:tl2br w:val="nil"/>
              <w:tr2bl w:val="nil"/>
            </w:tcBorders>
            <w:noWrap w:val="0"/>
            <w:vAlign w:val="bottom"/>
          </w:tcPr>
          <w:p w14:paraId="0E08B7F2">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3.00 </w:t>
            </w:r>
          </w:p>
        </w:tc>
        <w:tc>
          <w:tcPr>
            <w:tcW w:w="1094" w:type="dxa"/>
            <w:tcBorders>
              <w:tl2br w:val="nil"/>
              <w:tr2bl w:val="nil"/>
            </w:tcBorders>
            <w:noWrap w:val="0"/>
            <w:vAlign w:val="bottom"/>
          </w:tcPr>
          <w:p w14:paraId="2828C929">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3.22 </w:t>
            </w:r>
          </w:p>
        </w:tc>
        <w:tc>
          <w:tcPr>
            <w:tcW w:w="1094" w:type="dxa"/>
            <w:tcBorders>
              <w:tl2br w:val="nil"/>
              <w:tr2bl w:val="nil"/>
            </w:tcBorders>
            <w:noWrap w:val="0"/>
            <w:vAlign w:val="bottom"/>
          </w:tcPr>
          <w:p w14:paraId="1C5E5774">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3.42 </w:t>
            </w:r>
          </w:p>
        </w:tc>
        <w:tc>
          <w:tcPr>
            <w:tcW w:w="1092" w:type="dxa"/>
            <w:tcBorders>
              <w:tl2br w:val="nil"/>
              <w:tr2bl w:val="nil"/>
            </w:tcBorders>
            <w:noWrap w:val="0"/>
            <w:vAlign w:val="bottom"/>
          </w:tcPr>
          <w:p w14:paraId="2FDC5B41">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3.71 </w:t>
            </w:r>
          </w:p>
        </w:tc>
      </w:tr>
      <w:tr w14:paraId="3BD1B9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84" w:type="pct"/>
            <w:tcBorders>
              <w:tl2br w:val="nil"/>
              <w:tr2bl w:val="nil"/>
            </w:tcBorders>
            <w:noWrap w:val="0"/>
            <w:vAlign w:val="center"/>
          </w:tcPr>
          <w:p w14:paraId="2A242514">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冬季</w:t>
            </w:r>
          </w:p>
        </w:tc>
        <w:tc>
          <w:tcPr>
            <w:tcW w:w="1011" w:type="dxa"/>
            <w:tcBorders>
              <w:tl2br w:val="nil"/>
              <w:tr2bl w:val="nil"/>
            </w:tcBorders>
            <w:noWrap w:val="0"/>
            <w:vAlign w:val="bottom"/>
          </w:tcPr>
          <w:p w14:paraId="43BFDF4F">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1.45 </w:t>
            </w:r>
          </w:p>
        </w:tc>
        <w:tc>
          <w:tcPr>
            <w:tcW w:w="927" w:type="dxa"/>
            <w:tcBorders>
              <w:tl2br w:val="nil"/>
              <w:tr2bl w:val="nil"/>
            </w:tcBorders>
            <w:noWrap w:val="0"/>
            <w:vAlign w:val="bottom"/>
          </w:tcPr>
          <w:p w14:paraId="737443A8">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1.61 </w:t>
            </w:r>
          </w:p>
        </w:tc>
        <w:tc>
          <w:tcPr>
            <w:tcW w:w="927" w:type="dxa"/>
            <w:tcBorders>
              <w:tl2br w:val="nil"/>
              <w:tr2bl w:val="nil"/>
            </w:tcBorders>
            <w:noWrap w:val="0"/>
            <w:vAlign w:val="bottom"/>
          </w:tcPr>
          <w:p w14:paraId="336F8C52">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1.74 </w:t>
            </w:r>
          </w:p>
        </w:tc>
        <w:tc>
          <w:tcPr>
            <w:tcW w:w="927" w:type="dxa"/>
            <w:tcBorders>
              <w:tl2br w:val="nil"/>
              <w:tr2bl w:val="nil"/>
            </w:tcBorders>
            <w:noWrap w:val="0"/>
            <w:vAlign w:val="bottom"/>
          </w:tcPr>
          <w:p w14:paraId="052EA34E">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1.64 </w:t>
            </w:r>
          </w:p>
        </w:tc>
        <w:tc>
          <w:tcPr>
            <w:tcW w:w="927" w:type="dxa"/>
            <w:tcBorders>
              <w:tl2br w:val="nil"/>
              <w:tr2bl w:val="nil"/>
            </w:tcBorders>
            <w:noWrap w:val="0"/>
            <w:vAlign w:val="bottom"/>
          </w:tcPr>
          <w:p w14:paraId="191623A3">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1.54 </w:t>
            </w:r>
          </w:p>
        </w:tc>
        <w:tc>
          <w:tcPr>
            <w:tcW w:w="927" w:type="dxa"/>
            <w:tcBorders>
              <w:tl2br w:val="nil"/>
              <w:tr2bl w:val="nil"/>
            </w:tcBorders>
            <w:noWrap w:val="0"/>
            <w:vAlign w:val="bottom"/>
          </w:tcPr>
          <w:p w14:paraId="26FF73EE">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1.83 </w:t>
            </w:r>
          </w:p>
        </w:tc>
        <w:tc>
          <w:tcPr>
            <w:tcW w:w="927" w:type="dxa"/>
            <w:tcBorders>
              <w:tl2br w:val="nil"/>
              <w:tr2bl w:val="nil"/>
            </w:tcBorders>
            <w:noWrap w:val="0"/>
            <w:vAlign w:val="bottom"/>
          </w:tcPr>
          <w:p w14:paraId="28C51C9F">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1.71 </w:t>
            </w:r>
          </w:p>
        </w:tc>
        <w:tc>
          <w:tcPr>
            <w:tcW w:w="927" w:type="dxa"/>
            <w:tcBorders>
              <w:tl2br w:val="nil"/>
              <w:tr2bl w:val="nil"/>
            </w:tcBorders>
            <w:noWrap w:val="0"/>
            <w:vAlign w:val="bottom"/>
          </w:tcPr>
          <w:p w14:paraId="678876E1">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1.75 </w:t>
            </w:r>
          </w:p>
        </w:tc>
        <w:tc>
          <w:tcPr>
            <w:tcW w:w="924" w:type="dxa"/>
            <w:tcBorders>
              <w:tl2br w:val="nil"/>
              <w:tr2bl w:val="nil"/>
            </w:tcBorders>
            <w:noWrap w:val="0"/>
            <w:vAlign w:val="bottom"/>
          </w:tcPr>
          <w:p w14:paraId="3A7E7088">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2.15 </w:t>
            </w:r>
          </w:p>
        </w:tc>
        <w:tc>
          <w:tcPr>
            <w:tcW w:w="1094" w:type="dxa"/>
            <w:tcBorders>
              <w:tl2br w:val="nil"/>
              <w:tr2bl w:val="nil"/>
            </w:tcBorders>
            <w:noWrap w:val="0"/>
            <w:vAlign w:val="bottom"/>
          </w:tcPr>
          <w:p w14:paraId="33DBD6F4">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2.48 </w:t>
            </w:r>
          </w:p>
        </w:tc>
        <w:tc>
          <w:tcPr>
            <w:tcW w:w="1094" w:type="dxa"/>
            <w:tcBorders>
              <w:tl2br w:val="nil"/>
              <w:tr2bl w:val="nil"/>
            </w:tcBorders>
            <w:noWrap w:val="0"/>
            <w:vAlign w:val="bottom"/>
          </w:tcPr>
          <w:p w14:paraId="63F7BB11">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2.85 </w:t>
            </w:r>
          </w:p>
        </w:tc>
        <w:tc>
          <w:tcPr>
            <w:tcW w:w="1092" w:type="dxa"/>
            <w:tcBorders>
              <w:tl2br w:val="nil"/>
              <w:tr2bl w:val="nil"/>
            </w:tcBorders>
            <w:noWrap w:val="0"/>
            <w:vAlign w:val="bottom"/>
          </w:tcPr>
          <w:p w14:paraId="06586FBE">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2.89 </w:t>
            </w:r>
          </w:p>
        </w:tc>
      </w:tr>
      <w:tr w14:paraId="5C0DDA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84" w:type="pct"/>
            <w:tcBorders>
              <w:tl2br w:val="nil"/>
              <w:tr2bl w:val="nil"/>
            </w:tcBorders>
            <w:noWrap w:val="0"/>
            <w:vAlign w:val="center"/>
          </w:tcPr>
          <w:p w14:paraId="309A7AAF">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right"/>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mc:AlternateContent>
                <mc:Choice Requires="wps">
                  <w:drawing>
                    <wp:anchor distT="0" distB="0" distL="114300" distR="114300" simplePos="0" relativeHeight="251670528" behindDoc="0" locked="0" layoutInCell="1" allowOverlap="1">
                      <wp:simplePos x="0" y="0"/>
                      <wp:positionH relativeFrom="column">
                        <wp:posOffset>-33020</wp:posOffset>
                      </wp:positionH>
                      <wp:positionV relativeFrom="paragraph">
                        <wp:posOffset>-5715</wp:posOffset>
                      </wp:positionV>
                      <wp:extent cx="1377315" cy="571500"/>
                      <wp:effectExtent l="1905" t="4445" r="11430" b="14605"/>
                      <wp:wrapNone/>
                      <wp:docPr id="73" name="直接连接符 73"/>
                      <wp:cNvGraphicFramePr/>
                      <a:graphic xmlns:a="http://schemas.openxmlformats.org/drawingml/2006/main">
                        <a:graphicData uri="http://schemas.microsoft.com/office/word/2010/wordprocessingShape">
                          <wps:wsp>
                            <wps:cNvCnPr/>
                            <wps:spPr>
                              <a:xfrm>
                                <a:off x="0" y="0"/>
                                <a:ext cx="1377315" cy="571500"/>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6pt;margin-top:-0.45pt;height:45pt;width:108.45pt;z-index:251670528;mso-width-relative:page;mso-height-relative:page;" filled="f" stroked="t" coordsize="21600,21600" o:gfxdata="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8/UantQAAAAHAQAADwAAAAAAAAABACAAAAAiAAAAZHJzL2Rvd25yZXYueG1s&#10;UEsBAhQAFAAAAAgAh07iQHU+Xoz8AQAA6wMAAA4AAAAAAAAAAQAgAAAAIwEAAGRycy9lMm9Eb2Mu&#10;eG1sUEsFBgAAAAAGAAYAWQEAAJEFAAAAAA==&#10;">
                      <v:fill on="f" focussize="0,0"/>
                      <v:stroke weight="0.5pt" color="#000000" joinstyle="round"/>
                      <v:imagedata o:title=""/>
                      <o:lock v:ext="edit" aspectratio="f"/>
                    </v:line>
                  </w:pict>
                </mc:Fallback>
              </mc:AlternateContent>
            </w:r>
            <w:r>
              <w:rPr>
                <w:rFonts w:hint="default" w:ascii="Times New Roman" w:hAnsi="Times New Roman" w:cs="Times New Roman" w:eastAsiaTheme="minorEastAsia"/>
                <w:bCs/>
                <w:color w:val="auto"/>
                <w:sz w:val="21"/>
                <w:szCs w:val="21"/>
                <w:highlight w:val="none"/>
                <w:lang w:val="en-US" w:eastAsia="zh-CN"/>
              </w:rPr>
              <w:t>小时（h）</w:t>
            </w:r>
          </w:p>
          <w:p w14:paraId="05CF7352">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left"/>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风速（m/s）</w:t>
            </w:r>
          </w:p>
        </w:tc>
        <w:tc>
          <w:tcPr>
            <w:tcW w:w="1011" w:type="dxa"/>
            <w:tcBorders>
              <w:tl2br w:val="nil"/>
              <w:tr2bl w:val="nil"/>
            </w:tcBorders>
            <w:noWrap w:val="0"/>
            <w:vAlign w:val="center"/>
          </w:tcPr>
          <w:p w14:paraId="5954CFC9">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13</w:t>
            </w:r>
          </w:p>
        </w:tc>
        <w:tc>
          <w:tcPr>
            <w:tcW w:w="927" w:type="dxa"/>
            <w:tcBorders>
              <w:tl2br w:val="nil"/>
              <w:tr2bl w:val="nil"/>
            </w:tcBorders>
            <w:noWrap w:val="0"/>
            <w:vAlign w:val="center"/>
          </w:tcPr>
          <w:p w14:paraId="4C7456E4">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14</w:t>
            </w:r>
          </w:p>
        </w:tc>
        <w:tc>
          <w:tcPr>
            <w:tcW w:w="927" w:type="dxa"/>
            <w:tcBorders>
              <w:tl2br w:val="nil"/>
              <w:tr2bl w:val="nil"/>
            </w:tcBorders>
            <w:noWrap w:val="0"/>
            <w:vAlign w:val="center"/>
          </w:tcPr>
          <w:p w14:paraId="7996AF4C">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15</w:t>
            </w:r>
          </w:p>
        </w:tc>
        <w:tc>
          <w:tcPr>
            <w:tcW w:w="927" w:type="dxa"/>
            <w:tcBorders>
              <w:tl2br w:val="nil"/>
              <w:tr2bl w:val="nil"/>
            </w:tcBorders>
            <w:noWrap w:val="0"/>
            <w:vAlign w:val="center"/>
          </w:tcPr>
          <w:p w14:paraId="3F80F1A4">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16</w:t>
            </w:r>
          </w:p>
        </w:tc>
        <w:tc>
          <w:tcPr>
            <w:tcW w:w="927" w:type="dxa"/>
            <w:tcBorders>
              <w:tl2br w:val="nil"/>
              <w:tr2bl w:val="nil"/>
            </w:tcBorders>
            <w:noWrap w:val="0"/>
            <w:vAlign w:val="center"/>
          </w:tcPr>
          <w:p w14:paraId="1740150B">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17</w:t>
            </w:r>
          </w:p>
        </w:tc>
        <w:tc>
          <w:tcPr>
            <w:tcW w:w="927" w:type="dxa"/>
            <w:tcBorders>
              <w:tl2br w:val="nil"/>
              <w:tr2bl w:val="nil"/>
            </w:tcBorders>
            <w:noWrap w:val="0"/>
            <w:vAlign w:val="center"/>
          </w:tcPr>
          <w:p w14:paraId="3D0DB2EF">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18</w:t>
            </w:r>
          </w:p>
        </w:tc>
        <w:tc>
          <w:tcPr>
            <w:tcW w:w="927" w:type="dxa"/>
            <w:tcBorders>
              <w:tl2br w:val="nil"/>
              <w:tr2bl w:val="nil"/>
            </w:tcBorders>
            <w:noWrap w:val="0"/>
            <w:vAlign w:val="center"/>
          </w:tcPr>
          <w:p w14:paraId="279D9B5B">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19</w:t>
            </w:r>
          </w:p>
        </w:tc>
        <w:tc>
          <w:tcPr>
            <w:tcW w:w="927" w:type="dxa"/>
            <w:tcBorders>
              <w:tl2br w:val="nil"/>
              <w:tr2bl w:val="nil"/>
            </w:tcBorders>
            <w:noWrap w:val="0"/>
            <w:vAlign w:val="center"/>
          </w:tcPr>
          <w:p w14:paraId="7C52F479">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20</w:t>
            </w:r>
          </w:p>
        </w:tc>
        <w:tc>
          <w:tcPr>
            <w:tcW w:w="924" w:type="dxa"/>
            <w:tcBorders>
              <w:tl2br w:val="nil"/>
              <w:tr2bl w:val="nil"/>
            </w:tcBorders>
            <w:noWrap w:val="0"/>
            <w:vAlign w:val="center"/>
          </w:tcPr>
          <w:p w14:paraId="444418CF">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21</w:t>
            </w:r>
          </w:p>
        </w:tc>
        <w:tc>
          <w:tcPr>
            <w:tcW w:w="1094" w:type="dxa"/>
            <w:tcBorders>
              <w:tl2br w:val="nil"/>
              <w:tr2bl w:val="nil"/>
            </w:tcBorders>
            <w:noWrap w:val="0"/>
            <w:vAlign w:val="center"/>
          </w:tcPr>
          <w:p w14:paraId="2A8A03E4">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22</w:t>
            </w:r>
          </w:p>
        </w:tc>
        <w:tc>
          <w:tcPr>
            <w:tcW w:w="1094" w:type="dxa"/>
            <w:tcBorders>
              <w:tl2br w:val="nil"/>
              <w:tr2bl w:val="nil"/>
            </w:tcBorders>
            <w:noWrap w:val="0"/>
            <w:vAlign w:val="center"/>
          </w:tcPr>
          <w:p w14:paraId="5B0CB361">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23</w:t>
            </w:r>
          </w:p>
        </w:tc>
        <w:tc>
          <w:tcPr>
            <w:tcW w:w="1092" w:type="dxa"/>
            <w:tcBorders>
              <w:tl2br w:val="nil"/>
              <w:tr2bl w:val="nil"/>
            </w:tcBorders>
            <w:noWrap w:val="0"/>
            <w:vAlign w:val="center"/>
          </w:tcPr>
          <w:p w14:paraId="2AAA637F">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24</w:t>
            </w:r>
          </w:p>
        </w:tc>
      </w:tr>
      <w:tr w14:paraId="12D638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84" w:type="pct"/>
            <w:tcBorders>
              <w:tl2br w:val="nil"/>
              <w:tr2bl w:val="nil"/>
            </w:tcBorders>
            <w:noWrap w:val="0"/>
            <w:vAlign w:val="center"/>
          </w:tcPr>
          <w:p w14:paraId="54E14C9E">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春季</w:t>
            </w:r>
          </w:p>
        </w:tc>
        <w:tc>
          <w:tcPr>
            <w:tcW w:w="1011" w:type="dxa"/>
            <w:tcBorders>
              <w:tl2br w:val="nil"/>
              <w:tr2bl w:val="nil"/>
            </w:tcBorders>
            <w:noWrap w:val="0"/>
            <w:vAlign w:val="bottom"/>
          </w:tcPr>
          <w:p w14:paraId="66FDDC43">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4.05 </w:t>
            </w:r>
          </w:p>
        </w:tc>
        <w:tc>
          <w:tcPr>
            <w:tcW w:w="927" w:type="dxa"/>
            <w:tcBorders>
              <w:tl2br w:val="nil"/>
              <w:tr2bl w:val="nil"/>
            </w:tcBorders>
            <w:noWrap w:val="0"/>
            <w:vAlign w:val="bottom"/>
          </w:tcPr>
          <w:p w14:paraId="7B8BA877">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4.14 </w:t>
            </w:r>
          </w:p>
        </w:tc>
        <w:tc>
          <w:tcPr>
            <w:tcW w:w="927" w:type="dxa"/>
            <w:tcBorders>
              <w:tl2br w:val="nil"/>
              <w:tr2bl w:val="nil"/>
            </w:tcBorders>
            <w:noWrap w:val="0"/>
            <w:vAlign w:val="bottom"/>
          </w:tcPr>
          <w:p w14:paraId="057653F9">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4.11 </w:t>
            </w:r>
          </w:p>
        </w:tc>
        <w:tc>
          <w:tcPr>
            <w:tcW w:w="927" w:type="dxa"/>
            <w:tcBorders>
              <w:tl2br w:val="nil"/>
              <w:tr2bl w:val="nil"/>
            </w:tcBorders>
            <w:noWrap w:val="0"/>
            <w:vAlign w:val="bottom"/>
          </w:tcPr>
          <w:p w14:paraId="4F373BF1">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3.98 </w:t>
            </w:r>
          </w:p>
        </w:tc>
        <w:tc>
          <w:tcPr>
            <w:tcW w:w="927" w:type="dxa"/>
            <w:tcBorders>
              <w:tl2br w:val="nil"/>
              <w:tr2bl w:val="nil"/>
            </w:tcBorders>
            <w:noWrap w:val="0"/>
            <w:vAlign w:val="bottom"/>
          </w:tcPr>
          <w:p w14:paraId="733C4A7F">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3.57 </w:t>
            </w:r>
          </w:p>
        </w:tc>
        <w:tc>
          <w:tcPr>
            <w:tcW w:w="927" w:type="dxa"/>
            <w:tcBorders>
              <w:tl2br w:val="nil"/>
              <w:tr2bl w:val="nil"/>
            </w:tcBorders>
            <w:noWrap w:val="0"/>
            <w:vAlign w:val="bottom"/>
          </w:tcPr>
          <w:p w14:paraId="2391310E">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3.02 </w:t>
            </w:r>
          </w:p>
        </w:tc>
        <w:tc>
          <w:tcPr>
            <w:tcW w:w="927" w:type="dxa"/>
            <w:tcBorders>
              <w:tl2br w:val="nil"/>
              <w:tr2bl w:val="nil"/>
            </w:tcBorders>
            <w:noWrap w:val="0"/>
            <w:vAlign w:val="bottom"/>
          </w:tcPr>
          <w:p w14:paraId="2C2EAB2D">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2.61 </w:t>
            </w:r>
          </w:p>
        </w:tc>
        <w:tc>
          <w:tcPr>
            <w:tcW w:w="927" w:type="dxa"/>
            <w:tcBorders>
              <w:tl2br w:val="nil"/>
              <w:tr2bl w:val="nil"/>
            </w:tcBorders>
            <w:noWrap w:val="0"/>
            <w:vAlign w:val="bottom"/>
          </w:tcPr>
          <w:p w14:paraId="36C7F746">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2.43 </w:t>
            </w:r>
          </w:p>
        </w:tc>
        <w:tc>
          <w:tcPr>
            <w:tcW w:w="924" w:type="dxa"/>
            <w:tcBorders>
              <w:tl2br w:val="nil"/>
              <w:tr2bl w:val="nil"/>
            </w:tcBorders>
            <w:noWrap w:val="0"/>
            <w:vAlign w:val="bottom"/>
          </w:tcPr>
          <w:p w14:paraId="07201A06">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2.21 </w:t>
            </w:r>
          </w:p>
        </w:tc>
        <w:tc>
          <w:tcPr>
            <w:tcW w:w="1094" w:type="dxa"/>
            <w:tcBorders>
              <w:tl2br w:val="nil"/>
              <w:tr2bl w:val="nil"/>
            </w:tcBorders>
            <w:noWrap w:val="0"/>
            <w:vAlign w:val="bottom"/>
          </w:tcPr>
          <w:p w14:paraId="6513A601">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2.05 </w:t>
            </w:r>
          </w:p>
        </w:tc>
        <w:tc>
          <w:tcPr>
            <w:tcW w:w="1094" w:type="dxa"/>
            <w:tcBorders>
              <w:tl2br w:val="nil"/>
              <w:tr2bl w:val="nil"/>
            </w:tcBorders>
            <w:noWrap w:val="0"/>
            <w:vAlign w:val="bottom"/>
          </w:tcPr>
          <w:p w14:paraId="02CBFD00">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1.90 </w:t>
            </w:r>
          </w:p>
        </w:tc>
        <w:tc>
          <w:tcPr>
            <w:tcW w:w="1092" w:type="dxa"/>
            <w:tcBorders>
              <w:tl2br w:val="nil"/>
              <w:tr2bl w:val="nil"/>
            </w:tcBorders>
            <w:noWrap w:val="0"/>
            <w:vAlign w:val="bottom"/>
          </w:tcPr>
          <w:p w14:paraId="4E18BDB9">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1.99 </w:t>
            </w:r>
          </w:p>
        </w:tc>
      </w:tr>
      <w:tr w14:paraId="22C4BB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84" w:type="pct"/>
            <w:tcBorders>
              <w:tl2br w:val="nil"/>
              <w:tr2bl w:val="nil"/>
            </w:tcBorders>
            <w:noWrap w:val="0"/>
            <w:vAlign w:val="center"/>
          </w:tcPr>
          <w:p w14:paraId="4B72EE8E">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夏季</w:t>
            </w:r>
          </w:p>
        </w:tc>
        <w:tc>
          <w:tcPr>
            <w:tcW w:w="1011" w:type="dxa"/>
            <w:tcBorders>
              <w:tl2br w:val="nil"/>
              <w:tr2bl w:val="nil"/>
            </w:tcBorders>
            <w:noWrap w:val="0"/>
            <w:vAlign w:val="bottom"/>
          </w:tcPr>
          <w:p w14:paraId="59D5E209">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3.12 </w:t>
            </w:r>
          </w:p>
        </w:tc>
        <w:tc>
          <w:tcPr>
            <w:tcW w:w="927" w:type="dxa"/>
            <w:tcBorders>
              <w:tl2br w:val="nil"/>
              <w:tr2bl w:val="nil"/>
            </w:tcBorders>
            <w:noWrap w:val="0"/>
            <w:vAlign w:val="bottom"/>
          </w:tcPr>
          <w:p w14:paraId="31FCE923">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3.15 </w:t>
            </w:r>
          </w:p>
        </w:tc>
        <w:tc>
          <w:tcPr>
            <w:tcW w:w="927" w:type="dxa"/>
            <w:tcBorders>
              <w:tl2br w:val="nil"/>
              <w:tr2bl w:val="nil"/>
            </w:tcBorders>
            <w:noWrap w:val="0"/>
            <w:vAlign w:val="bottom"/>
          </w:tcPr>
          <w:p w14:paraId="3CC48518">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3.03 </w:t>
            </w:r>
          </w:p>
        </w:tc>
        <w:tc>
          <w:tcPr>
            <w:tcW w:w="927" w:type="dxa"/>
            <w:tcBorders>
              <w:tl2br w:val="nil"/>
              <w:tr2bl w:val="nil"/>
            </w:tcBorders>
            <w:noWrap w:val="0"/>
            <w:vAlign w:val="bottom"/>
          </w:tcPr>
          <w:p w14:paraId="6C6433EF">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2.80 </w:t>
            </w:r>
          </w:p>
        </w:tc>
        <w:tc>
          <w:tcPr>
            <w:tcW w:w="927" w:type="dxa"/>
            <w:tcBorders>
              <w:tl2br w:val="nil"/>
              <w:tr2bl w:val="nil"/>
            </w:tcBorders>
            <w:noWrap w:val="0"/>
            <w:vAlign w:val="bottom"/>
          </w:tcPr>
          <w:p w14:paraId="03302A66">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2.57 </w:t>
            </w:r>
          </w:p>
        </w:tc>
        <w:tc>
          <w:tcPr>
            <w:tcW w:w="927" w:type="dxa"/>
            <w:tcBorders>
              <w:tl2br w:val="nil"/>
              <w:tr2bl w:val="nil"/>
            </w:tcBorders>
            <w:noWrap w:val="0"/>
            <w:vAlign w:val="bottom"/>
          </w:tcPr>
          <w:p w14:paraId="0E5D26B5">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2.20 </w:t>
            </w:r>
          </w:p>
        </w:tc>
        <w:tc>
          <w:tcPr>
            <w:tcW w:w="927" w:type="dxa"/>
            <w:tcBorders>
              <w:tl2br w:val="nil"/>
              <w:tr2bl w:val="nil"/>
            </w:tcBorders>
            <w:noWrap w:val="0"/>
            <w:vAlign w:val="bottom"/>
          </w:tcPr>
          <w:p w14:paraId="1FD8C431">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1.87 </w:t>
            </w:r>
          </w:p>
        </w:tc>
        <w:tc>
          <w:tcPr>
            <w:tcW w:w="927" w:type="dxa"/>
            <w:tcBorders>
              <w:tl2br w:val="nil"/>
              <w:tr2bl w:val="nil"/>
            </w:tcBorders>
            <w:noWrap w:val="0"/>
            <w:vAlign w:val="bottom"/>
          </w:tcPr>
          <w:p w14:paraId="62C8AE68">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1.75 </w:t>
            </w:r>
          </w:p>
        </w:tc>
        <w:tc>
          <w:tcPr>
            <w:tcW w:w="924" w:type="dxa"/>
            <w:tcBorders>
              <w:tl2br w:val="nil"/>
              <w:tr2bl w:val="nil"/>
            </w:tcBorders>
            <w:noWrap w:val="0"/>
            <w:vAlign w:val="bottom"/>
          </w:tcPr>
          <w:p w14:paraId="5A159F95">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1.64 </w:t>
            </w:r>
          </w:p>
        </w:tc>
        <w:tc>
          <w:tcPr>
            <w:tcW w:w="1094" w:type="dxa"/>
            <w:tcBorders>
              <w:tl2br w:val="nil"/>
              <w:tr2bl w:val="nil"/>
            </w:tcBorders>
            <w:noWrap w:val="0"/>
            <w:vAlign w:val="bottom"/>
          </w:tcPr>
          <w:p w14:paraId="5D89D3A6">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1.57 </w:t>
            </w:r>
          </w:p>
        </w:tc>
        <w:tc>
          <w:tcPr>
            <w:tcW w:w="1094" w:type="dxa"/>
            <w:tcBorders>
              <w:tl2br w:val="nil"/>
              <w:tr2bl w:val="nil"/>
            </w:tcBorders>
            <w:noWrap w:val="0"/>
            <w:vAlign w:val="bottom"/>
          </w:tcPr>
          <w:p w14:paraId="76C6EAD4">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1.54 </w:t>
            </w:r>
          </w:p>
        </w:tc>
        <w:tc>
          <w:tcPr>
            <w:tcW w:w="1092" w:type="dxa"/>
            <w:tcBorders>
              <w:tl2br w:val="nil"/>
              <w:tr2bl w:val="nil"/>
            </w:tcBorders>
            <w:noWrap w:val="0"/>
            <w:vAlign w:val="bottom"/>
          </w:tcPr>
          <w:p w14:paraId="1139C253">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1.45 </w:t>
            </w:r>
          </w:p>
        </w:tc>
      </w:tr>
      <w:tr w14:paraId="071F5F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84" w:type="pct"/>
            <w:tcBorders>
              <w:tl2br w:val="nil"/>
              <w:tr2bl w:val="nil"/>
            </w:tcBorders>
            <w:noWrap w:val="0"/>
            <w:vAlign w:val="center"/>
          </w:tcPr>
          <w:p w14:paraId="6633B59C">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秋季</w:t>
            </w:r>
          </w:p>
        </w:tc>
        <w:tc>
          <w:tcPr>
            <w:tcW w:w="1011" w:type="dxa"/>
            <w:tcBorders>
              <w:tl2br w:val="nil"/>
              <w:tr2bl w:val="nil"/>
            </w:tcBorders>
            <w:noWrap w:val="0"/>
            <w:vAlign w:val="bottom"/>
          </w:tcPr>
          <w:p w14:paraId="203D723D">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3.73 </w:t>
            </w:r>
          </w:p>
        </w:tc>
        <w:tc>
          <w:tcPr>
            <w:tcW w:w="927" w:type="dxa"/>
            <w:tcBorders>
              <w:tl2br w:val="nil"/>
              <w:tr2bl w:val="nil"/>
            </w:tcBorders>
            <w:noWrap w:val="0"/>
            <w:vAlign w:val="bottom"/>
          </w:tcPr>
          <w:p w14:paraId="16A96467">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3.77 </w:t>
            </w:r>
          </w:p>
        </w:tc>
        <w:tc>
          <w:tcPr>
            <w:tcW w:w="927" w:type="dxa"/>
            <w:tcBorders>
              <w:tl2br w:val="nil"/>
              <w:tr2bl w:val="nil"/>
            </w:tcBorders>
            <w:noWrap w:val="0"/>
            <w:vAlign w:val="bottom"/>
          </w:tcPr>
          <w:p w14:paraId="3D84F26B">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3.59 </w:t>
            </w:r>
          </w:p>
        </w:tc>
        <w:tc>
          <w:tcPr>
            <w:tcW w:w="927" w:type="dxa"/>
            <w:tcBorders>
              <w:tl2br w:val="nil"/>
              <w:tr2bl w:val="nil"/>
            </w:tcBorders>
            <w:noWrap w:val="0"/>
            <w:vAlign w:val="bottom"/>
          </w:tcPr>
          <w:p w14:paraId="375D2E3B">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2.97 </w:t>
            </w:r>
          </w:p>
        </w:tc>
        <w:tc>
          <w:tcPr>
            <w:tcW w:w="927" w:type="dxa"/>
            <w:tcBorders>
              <w:tl2br w:val="nil"/>
              <w:tr2bl w:val="nil"/>
            </w:tcBorders>
            <w:noWrap w:val="0"/>
            <w:vAlign w:val="bottom"/>
          </w:tcPr>
          <w:p w14:paraId="08C1DD61">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2.53 </w:t>
            </w:r>
          </w:p>
        </w:tc>
        <w:tc>
          <w:tcPr>
            <w:tcW w:w="927" w:type="dxa"/>
            <w:tcBorders>
              <w:tl2br w:val="nil"/>
              <w:tr2bl w:val="nil"/>
            </w:tcBorders>
            <w:noWrap w:val="0"/>
            <w:vAlign w:val="bottom"/>
          </w:tcPr>
          <w:p w14:paraId="11835714">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2.30 </w:t>
            </w:r>
          </w:p>
        </w:tc>
        <w:tc>
          <w:tcPr>
            <w:tcW w:w="927" w:type="dxa"/>
            <w:tcBorders>
              <w:tl2br w:val="nil"/>
              <w:tr2bl w:val="nil"/>
            </w:tcBorders>
            <w:noWrap w:val="0"/>
            <w:vAlign w:val="bottom"/>
          </w:tcPr>
          <w:p w14:paraId="6D1FE526">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2.05 </w:t>
            </w:r>
          </w:p>
        </w:tc>
        <w:tc>
          <w:tcPr>
            <w:tcW w:w="927" w:type="dxa"/>
            <w:tcBorders>
              <w:tl2br w:val="nil"/>
              <w:tr2bl w:val="nil"/>
            </w:tcBorders>
            <w:noWrap w:val="0"/>
            <w:vAlign w:val="bottom"/>
          </w:tcPr>
          <w:p w14:paraId="6B97E63F">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1.88 </w:t>
            </w:r>
          </w:p>
        </w:tc>
        <w:tc>
          <w:tcPr>
            <w:tcW w:w="924" w:type="dxa"/>
            <w:tcBorders>
              <w:tl2br w:val="nil"/>
              <w:tr2bl w:val="nil"/>
            </w:tcBorders>
            <w:noWrap w:val="0"/>
            <w:vAlign w:val="bottom"/>
          </w:tcPr>
          <w:p w14:paraId="6DD023AF">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1.72 </w:t>
            </w:r>
          </w:p>
        </w:tc>
        <w:tc>
          <w:tcPr>
            <w:tcW w:w="1094" w:type="dxa"/>
            <w:tcBorders>
              <w:tl2br w:val="nil"/>
              <w:tr2bl w:val="nil"/>
            </w:tcBorders>
            <w:noWrap w:val="0"/>
            <w:vAlign w:val="bottom"/>
          </w:tcPr>
          <w:p w14:paraId="5B6B6B5D">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1.58 </w:t>
            </w:r>
          </w:p>
        </w:tc>
        <w:tc>
          <w:tcPr>
            <w:tcW w:w="1094" w:type="dxa"/>
            <w:tcBorders>
              <w:tl2br w:val="nil"/>
              <w:tr2bl w:val="nil"/>
            </w:tcBorders>
            <w:noWrap w:val="0"/>
            <w:vAlign w:val="bottom"/>
          </w:tcPr>
          <w:p w14:paraId="22C043FB">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1.67 </w:t>
            </w:r>
          </w:p>
        </w:tc>
        <w:tc>
          <w:tcPr>
            <w:tcW w:w="1092" w:type="dxa"/>
            <w:tcBorders>
              <w:tl2br w:val="nil"/>
              <w:tr2bl w:val="nil"/>
            </w:tcBorders>
            <w:noWrap w:val="0"/>
            <w:vAlign w:val="bottom"/>
          </w:tcPr>
          <w:p w14:paraId="33DDA73B">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1.65 </w:t>
            </w:r>
          </w:p>
        </w:tc>
      </w:tr>
      <w:tr w14:paraId="12FE12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84" w:type="pct"/>
            <w:tcBorders>
              <w:tl2br w:val="nil"/>
              <w:tr2bl w:val="nil"/>
            </w:tcBorders>
            <w:noWrap w:val="0"/>
            <w:vAlign w:val="center"/>
          </w:tcPr>
          <w:p w14:paraId="74C0CBB8">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冬季</w:t>
            </w:r>
          </w:p>
        </w:tc>
        <w:tc>
          <w:tcPr>
            <w:tcW w:w="1011" w:type="dxa"/>
            <w:tcBorders>
              <w:tl2br w:val="nil"/>
              <w:tr2bl w:val="nil"/>
            </w:tcBorders>
            <w:noWrap w:val="0"/>
            <w:vAlign w:val="bottom"/>
          </w:tcPr>
          <w:p w14:paraId="645BB8FA">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3.03 </w:t>
            </w:r>
          </w:p>
        </w:tc>
        <w:tc>
          <w:tcPr>
            <w:tcW w:w="927" w:type="dxa"/>
            <w:tcBorders>
              <w:tl2br w:val="nil"/>
              <w:tr2bl w:val="nil"/>
            </w:tcBorders>
            <w:noWrap w:val="0"/>
            <w:vAlign w:val="bottom"/>
          </w:tcPr>
          <w:p w14:paraId="27203C23">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2.80 </w:t>
            </w:r>
          </w:p>
        </w:tc>
        <w:tc>
          <w:tcPr>
            <w:tcW w:w="927" w:type="dxa"/>
            <w:tcBorders>
              <w:tl2br w:val="nil"/>
              <w:tr2bl w:val="nil"/>
            </w:tcBorders>
            <w:noWrap w:val="0"/>
            <w:vAlign w:val="bottom"/>
          </w:tcPr>
          <w:p w14:paraId="53AAF88C">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2.66 </w:t>
            </w:r>
          </w:p>
        </w:tc>
        <w:tc>
          <w:tcPr>
            <w:tcW w:w="927" w:type="dxa"/>
            <w:tcBorders>
              <w:tl2br w:val="nil"/>
              <w:tr2bl w:val="nil"/>
            </w:tcBorders>
            <w:noWrap w:val="0"/>
            <w:vAlign w:val="bottom"/>
          </w:tcPr>
          <w:p w14:paraId="63DF95FA">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2.49 </w:t>
            </w:r>
          </w:p>
        </w:tc>
        <w:tc>
          <w:tcPr>
            <w:tcW w:w="927" w:type="dxa"/>
            <w:tcBorders>
              <w:tl2br w:val="nil"/>
              <w:tr2bl w:val="nil"/>
            </w:tcBorders>
            <w:noWrap w:val="0"/>
            <w:vAlign w:val="bottom"/>
          </w:tcPr>
          <w:p w14:paraId="5008DB1E">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2.10 </w:t>
            </w:r>
          </w:p>
        </w:tc>
        <w:tc>
          <w:tcPr>
            <w:tcW w:w="927" w:type="dxa"/>
            <w:tcBorders>
              <w:tl2br w:val="nil"/>
              <w:tr2bl w:val="nil"/>
            </w:tcBorders>
            <w:noWrap w:val="0"/>
            <w:vAlign w:val="bottom"/>
          </w:tcPr>
          <w:p w14:paraId="27F6A8D5">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2.10 </w:t>
            </w:r>
          </w:p>
        </w:tc>
        <w:tc>
          <w:tcPr>
            <w:tcW w:w="927" w:type="dxa"/>
            <w:tcBorders>
              <w:tl2br w:val="nil"/>
              <w:tr2bl w:val="nil"/>
            </w:tcBorders>
            <w:noWrap w:val="0"/>
            <w:vAlign w:val="bottom"/>
          </w:tcPr>
          <w:p w14:paraId="74FD48FC">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1.91 </w:t>
            </w:r>
          </w:p>
        </w:tc>
        <w:tc>
          <w:tcPr>
            <w:tcW w:w="927" w:type="dxa"/>
            <w:tcBorders>
              <w:tl2br w:val="nil"/>
              <w:tr2bl w:val="nil"/>
            </w:tcBorders>
            <w:noWrap w:val="0"/>
            <w:vAlign w:val="bottom"/>
          </w:tcPr>
          <w:p w14:paraId="26618FC3">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1.86 </w:t>
            </w:r>
          </w:p>
        </w:tc>
        <w:tc>
          <w:tcPr>
            <w:tcW w:w="924" w:type="dxa"/>
            <w:tcBorders>
              <w:tl2br w:val="nil"/>
              <w:tr2bl w:val="nil"/>
            </w:tcBorders>
            <w:noWrap w:val="0"/>
            <w:vAlign w:val="bottom"/>
          </w:tcPr>
          <w:p w14:paraId="4A83551C">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1.96 </w:t>
            </w:r>
          </w:p>
        </w:tc>
        <w:tc>
          <w:tcPr>
            <w:tcW w:w="1094" w:type="dxa"/>
            <w:tcBorders>
              <w:tl2br w:val="nil"/>
              <w:tr2bl w:val="nil"/>
            </w:tcBorders>
            <w:noWrap w:val="0"/>
            <w:vAlign w:val="bottom"/>
          </w:tcPr>
          <w:p w14:paraId="58CCFAF7">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1.88 </w:t>
            </w:r>
          </w:p>
        </w:tc>
        <w:tc>
          <w:tcPr>
            <w:tcW w:w="1094" w:type="dxa"/>
            <w:tcBorders>
              <w:tl2br w:val="nil"/>
              <w:tr2bl w:val="nil"/>
            </w:tcBorders>
            <w:noWrap w:val="0"/>
            <w:vAlign w:val="bottom"/>
          </w:tcPr>
          <w:p w14:paraId="700C12A6">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1.82 </w:t>
            </w:r>
          </w:p>
        </w:tc>
        <w:tc>
          <w:tcPr>
            <w:tcW w:w="1092" w:type="dxa"/>
            <w:tcBorders>
              <w:tl2br w:val="nil"/>
              <w:tr2bl w:val="nil"/>
            </w:tcBorders>
            <w:noWrap w:val="0"/>
            <w:vAlign w:val="bottom"/>
          </w:tcPr>
          <w:p w14:paraId="5088524B">
            <w:pPr>
              <w:keepNext w:val="0"/>
              <w:keepLines w:val="0"/>
              <w:pageBreakBefore w:val="0"/>
              <w:widowControl w:val="0"/>
              <w:kinsoku/>
              <w:wordWrap/>
              <w:overflowPunct/>
              <w:topLinePunct w:val="0"/>
              <w:autoSpaceDE/>
              <w:autoSpaceDN/>
              <w:bidi w:val="0"/>
              <w:adjustRightInd w:val="0"/>
              <w:snapToGrid w:val="0"/>
              <w:spacing w:line="400" w:lineRule="atLeast"/>
              <w:ind w:firstLine="0" w:firstLineChars="0"/>
              <w:jc w:val="center"/>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 xml:space="preserve">1.75 </w:t>
            </w:r>
          </w:p>
        </w:tc>
      </w:tr>
    </w:tbl>
    <w:p w14:paraId="11EA7811">
      <w:pPr>
        <w:pStyle w:val="6"/>
        <w:numPr>
          <w:ilvl w:val="2"/>
          <w:numId w:val="3"/>
        </w:numPr>
        <w:ind w:left="709" w:leftChars="0" w:hanging="709"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水文</w:t>
      </w:r>
      <w:bookmarkEnd w:id="358"/>
      <w:bookmarkEnd w:id="359"/>
      <w:bookmarkEnd w:id="360"/>
      <w:bookmarkEnd w:id="361"/>
      <w:bookmarkEnd w:id="362"/>
      <w:bookmarkEnd w:id="363"/>
      <w:r>
        <w:rPr>
          <w:rFonts w:hint="eastAsia" w:ascii="Times New Roman" w:hAnsi="Times New Roman" w:eastAsia="宋体" w:cs="Times New Roman"/>
          <w:color w:val="auto"/>
          <w:highlight w:val="none"/>
          <w:lang w:eastAsia="zh-CN"/>
        </w:rPr>
        <w:t>特征</w:t>
      </w:r>
    </w:p>
    <w:p w14:paraId="68AE473E">
      <w:pPr>
        <w:ind w:firstLine="480"/>
        <w:rPr>
          <w:rFonts w:hint="default" w:ascii="Times New Roman" w:hAnsi="Times New Roman" w:eastAsia="宋体" w:cs="Times New Roman"/>
          <w:color w:val="auto"/>
          <w:kern w:val="2"/>
          <w:sz w:val="24"/>
          <w:szCs w:val="21"/>
          <w:highlight w:val="none"/>
        </w:rPr>
      </w:pPr>
      <w:r>
        <w:rPr>
          <w:rFonts w:hint="default" w:ascii="Times New Roman" w:hAnsi="Times New Roman" w:eastAsia="宋体" w:cs="Times New Roman"/>
          <w:color w:val="auto"/>
          <w:kern w:val="2"/>
          <w:sz w:val="24"/>
          <w:szCs w:val="21"/>
          <w:highlight w:val="none"/>
        </w:rPr>
        <w:t>佳木斯市地表水较为丰富，境内河流纵横，有大小河流118条。松花江是流经佳木斯市的主要河流，发源于长白山和小兴安岭，全长2308km，流域面积545639km</w:t>
      </w:r>
      <w:r>
        <w:rPr>
          <w:rFonts w:hint="default" w:ascii="Times New Roman" w:hAnsi="Times New Roman" w:eastAsia="宋体" w:cs="Times New Roman"/>
          <w:color w:val="auto"/>
          <w:kern w:val="2"/>
          <w:sz w:val="24"/>
          <w:szCs w:val="21"/>
          <w:highlight w:val="none"/>
          <w:vertAlign w:val="superscript"/>
        </w:rPr>
        <w:t>2</w:t>
      </w:r>
      <w:r>
        <w:rPr>
          <w:rFonts w:hint="default" w:ascii="Times New Roman" w:hAnsi="Times New Roman" w:eastAsia="宋体" w:cs="Times New Roman"/>
          <w:color w:val="auto"/>
          <w:kern w:val="2"/>
          <w:sz w:val="24"/>
          <w:szCs w:val="21"/>
          <w:highlight w:val="none"/>
        </w:rPr>
        <w:t>。流经佳木斯市的松花江由汤原县洼丹河口至松花江与黑龙江汇合处的同江石三江口，总长345km。松花江佳木斯境内的主要支流有：倭肯河、汤旺河、梧桐河、黑金河、卧龙河、音达木河、英格吐河等。流经佳木斯市区的音达木河、英格吐河是季节性河流，流程短、水量小，干旱时断流，水多时流入松花江。</w:t>
      </w:r>
    </w:p>
    <w:p w14:paraId="353C8F1B">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2"/>
          <w:sz w:val="24"/>
          <w:szCs w:val="21"/>
          <w:highlight w:val="none"/>
        </w:rPr>
        <w:t>松花江佳木斯江段全长110km，河床宽度在1000</w:t>
      </w:r>
      <w:r>
        <w:rPr>
          <w:rFonts w:hint="eastAsia" w:ascii="Times New Roman" w:hAnsi="Times New Roman" w:eastAsia="宋体" w:cs="Times New Roman"/>
          <w:color w:val="auto"/>
          <w:kern w:val="2"/>
          <w:sz w:val="24"/>
          <w:szCs w:val="21"/>
          <w:highlight w:val="none"/>
          <w:lang w:eastAsia="zh-CN"/>
        </w:rPr>
        <w:t>～</w:t>
      </w:r>
      <w:r>
        <w:rPr>
          <w:rFonts w:hint="default" w:ascii="Times New Roman" w:hAnsi="Times New Roman" w:eastAsia="宋体" w:cs="Times New Roman"/>
          <w:color w:val="auto"/>
          <w:kern w:val="2"/>
          <w:sz w:val="24"/>
          <w:szCs w:val="21"/>
          <w:highlight w:val="none"/>
        </w:rPr>
        <w:t>1200m之间，水位平均标高76.0m，平均水深为4m，最大水深10.4m，平均流速为0.8m/s，冰冻期为150天左右，水流量历年平均为2149m</w:t>
      </w:r>
      <w:r>
        <w:rPr>
          <w:rFonts w:hint="default" w:ascii="Times New Roman" w:hAnsi="Times New Roman" w:eastAsia="宋体" w:cs="Times New Roman"/>
          <w:color w:val="auto"/>
          <w:kern w:val="2"/>
          <w:sz w:val="24"/>
          <w:szCs w:val="21"/>
          <w:highlight w:val="none"/>
          <w:vertAlign w:val="superscript"/>
        </w:rPr>
        <w:t>3</w:t>
      </w:r>
      <w:r>
        <w:rPr>
          <w:rFonts w:hint="default" w:ascii="Times New Roman" w:hAnsi="Times New Roman" w:eastAsia="宋体" w:cs="Times New Roman"/>
          <w:color w:val="auto"/>
          <w:kern w:val="2"/>
          <w:sz w:val="24"/>
          <w:szCs w:val="21"/>
          <w:highlight w:val="none"/>
        </w:rPr>
        <w:t>/s，历年最大流量为18400m</w:t>
      </w:r>
      <w:r>
        <w:rPr>
          <w:rFonts w:hint="default" w:ascii="Times New Roman" w:hAnsi="Times New Roman" w:eastAsia="宋体" w:cs="Times New Roman"/>
          <w:color w:val="auto"/>
          <w:kern w:val="2"/>
          <w:sz w:val="24"/>
          <w:szCs w:val="21"/>
          <w:highlight w:val="none"/>
          <w:vertAlign w:val="superscript"/>
        </w:rPr>
        <w:t>3</w:t>
      </w:r>
      <w:r>
        <w:rPr>
          <w:rFonts w:hint="default" w:ascii="Times New Roman" w:hAnsi="Times New Roman" w:eastAsia="宋体" w:cs="Times New Roman"/>
          <w:color w:val="auto"/>
          <w:kern w:val="2"/>
          <w:sz w:val="24"/>
          <w:szCs w:val="21"/>
          <w:highlight w:val="none"/>
        </w:rPr>
        <w:t>/s，最小流量为125m</w:t>
      </w:r>
      <w:r>
        <w:rPr>
          <w:rFonts w:hint="default" w:ascii="Times New Roman" w:hAnsi="Times New Roman" w:eastAsia="宋体" w:cs="Times New Roman"/>
          <w:color w:val="auto"/>
          <w:kern w:val="2"/>
          <w:sz w:val="24"/>
          <w:szCs w:val="21"/>
          <w:highlight w:val="none"/>
          <w:vertAlign w:val="superscript"/>
        </w:rPr>
        <w:t>3</w:t>
      </w:r>
      <w:r>
        <w:rPr>
          <w:rFonts w:hint="default" w:ascii="Times New Roman" w:hAnsi="Times New Roman" w:eastAsia="宋体" w:cs="Times New Roman"/>
          <w:color w:val="auto"/>
          <w:kern w:val="2"/>
          <w:sz w:val="24"/>
          <w:szCs w:val="21"/>
          <w:highlight w:val="none"/>
        </w:rPr>
        <w:t>/s。松花江水量丰富，年径流量是双峰型，夏季洪峰高、流量大，春季融雪洪峰流量小。径流量的年际变化与降水量的分布特征基本相似，主要集中在6～9月份，占全年的60%。</w:t>
      </w:r>
    </w:p>
    <w:p w14:paraId="1D3B466A">
      <w:pPr>
        <w:pStyle w:val="6"/>
        <w:numPr>
          <w:ilvl w:val="2"/>
          <w:numId w:val="3"/>
        </w:numPr>
        <w:ind w:left="709" w:leftChars="0" w:hanging="709" w:firstLineChars="0"/>
        <w:rPr>
          <w:rFonts w:hint="default" w:ascii="Times New Roman" w:hAnsi="Times New Roman" w:eastAsia="宋体" w:cs="Times New Roman"/>
          <w:color w:val="auto"/>
          <w:highlight w:val="none"/>
        </w:rPr>
      </w:pPr>
      <w:r>
        <w:rPr>
          <w:rFonts w:hint="eastAsia" w:ascii="Times New Roman" w:hAnsi="Times New Roman" w:cs="Times New Roman"/>
          <w:color w:val="auto"/>
          <w:highlight w:val="none"/>
          <w:lang w:eastAsia="zh-CN"/>
        </w:rPr>
        <w:t>区域地质</w:t>
      </w:r>
    </w:p>
    <w:p w14:paraId="4B853008">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smallCaps w:val="0"/>
          <w:snapToGrid w:val="0"/>
          <w:color w:val="auto"/>
          <w:kern w:val="2"/>
          <w:sz w:val="24"/>
          <w:szCs w:val="24"/>
          <w:highlight w:val="none"/>
          <w:lang w:val="en-US" w:eastAsia="zh-CN" w:bidi="ar-SA"/>
        </w:rPr>
      </w:pPr>
      <w:bookmarkStart w:id="364" w:name="_Toc11912"/>
      <w:bookmarkStart w:id="365" w:name="_Toc3257"/>
      <w:bookmarkStart w:id="366" w:name="_Toc8599"/>
      <w:r>
        <w:rPr>
          <w:rFonts w:hint="default" w:ascii="Times New Roman" w:hAnsi="Times New Roman" w:eastAsia="宋体" w:cs="Times New Roman"/>
          <w:smallCaps w:val="0"/>
          <w:snapToGrid w:val="0"/>
          <w:color w:val="auto"/>
          <w:kern w:val="2"/>
          <w:sz w:val="24"/>
          <w:szCs w:val="24"/>
          <w:highlight w:val="none"/>
          <w:lang w:val="en-US" w:eastAsia="zh-CN" w:bidi="ar-SA"/>
        </w:rPr>
        <w:t>（1）地层</w:t>
      </w:r>
    </w:p>
    <w:p w14:paraId="10D3075D">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smallCaps w:val="0"/>
          <w:snapToGrid w:val="0"/>
          <w:color w:val="auto"/>
          <w:kern w:val="2"/>
          <w:sz w:val="24"/>
          <w:szCs w:val="24"/>
          <w:highlight w:val="none"/>
          <w:lang w:val="en-US" w:eastAsia="zh-CN" w:bidi="ar-SA"/>
        </w:rPr>
      </w:pPr>
      <w:r>
        <w:rPr>
          <w:rFonts w:hint="default" w:ascii="Times New Roman" w:hAnsi="Times New Roman" w:eastAsia="宋体" w:cs="Times New Roman"/>
          <w:smallCaps w:val="0"/>
          <w:snapToGrid w:val="0"/>
          <w:color w:val="auto"/>
          <w:kern w:val="2"/>
          <w:sz w:val="24"/>
          <w:szCs w:val="24"/>
          <w:highlight w:val="none"/>
          <w:lang w:val="en-US" w:eastAsia="zh-CN" w:bidi="ar-SA"/>
        </w:rPr>
        <w:t>评价区位于完达山西部末端西北坡。地层区划属于兴凯湖</w:t>
      </w:r>
      <w:r>
        <w:rPr>
          <w:rFonts w:hint="eastAsia" w:ascii="Times New Roman" w:hAnsi="Times New Roman" w:eastAsia="宋体" w:cs="Times New Roman"/>
          <w:smallCaps w:val="0"/>
          <w:snapToGrid w:val="0"/>
          <w:color w:val="auto"/>
          <w:kern w:val="2"/>
          <w:sz w:val="24"/>
          <w:szCs w:val="24"/>
          <w:highlight w:val="none"/>
          <w:lang w:val="en-US" w:eastAsia="zh-CN" w:bidi="ar-SA"/>
        </w:rPr>
        <w:t>－</w:t>
      </w:r>
      <w:r>
        <w:rPr>
          <w:rFonts w:hint="default" w:ascii="Times New Roman" w:hAnsi="Times New Roman" w:eastAsia="宋体" w:cs="Times New Roman"/>
          <w:smallCaps w:val="0"/>
          <w:snapToGrid w:val="0"/>
          <w:color w:val="auto"/>
          <w:kern w:val="2"/>
          <w:sz w:val="24"/>
          <w:szCs w:val="24"/>
          <w:highlight w:val="none"/>
          <w:lang w:val="en-US" w:eastAsia="zh-CN" w:bidi="ar-SA"/>
        </w:rPr>
        <w:t>布列亚山地层区佳木斯</w:t>
      </w:r>
      <w:r>
        <w:rPr>
          <w:rFonts w:hint="eastAsia" w:ascii="Times New Roman" w:hAnsi="Times New Roman" w:eastAsia="宋体" w:cs="Times New Roman"/>
          <w:smallCaps w:val="0"/>
          <w:snapToGrid w:val="0"/>
          <w:color w:val="auto"/>
          <w:kern w:val="2"/>
          <w:sz w:val="24"/>
          <w:szCs w:val="24"/>
          <w:highlight w:val="none"/>
          <w:lang w:val="en-US" w:eastAsia="zh-CN" w:bidi="ar-SA"/>
        </w:rPr>
        <w:t>－</w:t>
      </w:r>
      <w:r>
        <w:rPr>
          <w:rFonts w:hint="default" w:ascii="Times New Roman" w:hAnsi="Times New Roman" w:eastAsia="宋体" w:cs="Times New Roman"/>
          <w:smallCaps w:val="0"/>
          <w:snapToGrid w:val="0"/>
          <w:color w:val="auto"/>
          <w:kern w:val="2"/>
          <w:sz w:val="24"/>
          <w:szCs w:val="24"/>
          <w:highlight w:val="none"/>
          <w:lang w:val="en-US" w:eastAsia="zh-CN" w:bidi="ar-SA"/>
        </w:rPr>
        <w:t>虎林分区佳木斯小区。前第四系在佳木斯北部小范围出露或掩埋于平原第四系之下，为古近系始新</w:t>
      </w:r>
      <w:r>
        <w:rPr>
          <w:rFonts w:hint="eastAsia" w:ascii="Times New Roman" w:hAnsi="Times New Roman" w:eastAsia="宋体" w:cs="Times New Roman"/>
          <w:smallCaps w:val="0"/>
          <w:snapToGrid w:val="0"/>
          <w:color w:val="auto"/>
          <w:kern w:val="2"/>
          <w:sz w:val="24"/>
          <w:szCs w:val="24"/>
          <w:highlight w:val="none"/>
          <w:lang w:val="en-US" w:eastAsia="zh-CN" w:bidi="ar-SA"/>
        </w:rPr>
        <w:t>－</w:t>
      </w:r>
      <w:r>
        <w:rPr>
          <w:rFonts w:hint="default" w:ascii="Times New Roman" w:hAnsi="Times New Roman" w:eastAsia="宋体" w:cs="Times New Roman"/>
          <w:smallCaps w:val="0"/>
          <w:snapToGrid w:val="0"/>
          <w:color w:val="auto"/>
          <w:kern w:val="2"/>
          <w:sz w:val="24"/>
          <w:szCs w:val="24"/>
          <w:highlight w:val="none"/>
          <w:lang w:val="en-US" w:eastAsia="zh-CN" w:bidi="ar-SA"/>
        </w:rPr>
        <w:t>渐新统宝泉岭组（E2-3b）及新近系中</w:t>
      </w:r>
      <w:r>
        <w:rPr>
          <w:rFonts w:hint="eastAsia" w:ascii="Times New Roman" w:hAnsi="Times New Roman" w:eastAsia="宋体" w:cs="Times New Roman"/>
          <w:smallCaps w:val="0"/>
          <w:snapToGrid w:val="0"/>
          <w:color w:val="auto"/>
          <w:kern w:val="2"/>
          <w:sz w:val="24"/>
          <w:szCs w:val="24"/>
          <w:highlight w:val="none"/>
          <w:lang w:val="en-US" w:eastAsia="zh-CN" w:bidi="ar-SA"/>
        </w:rPr>
        <w:t>－</w:t>
      </w:r>
      <w:r>
        <w:rPr>
          <w:rFonts w:hint="default" w:ascii="Times New Roman" w:hAnsi="Times New Roman" w:eastAsia="宋体" w:cs="Times New Roman"/>
          <w:smallCaps w:val="0"/>
          <w:snapToGrid w:val="0"/>
          <w:color w:val="auto"/>
          <w:kern w:val="2"/>
          <w:sz w:val="24"/>
          <w:szCs w:val="24"/>
          <w:highlight w:val="none"/>
          <w:lang w:val="en-US" w:eastAsia="zh-CN" w:bidi="ar-SA"/>
        </w:rPr>
        <w:t>上新统富锦组（N1-2f）。第四系发育较厚，其中有中更新统浓江组（Q2n）、上更新统别拉洪河组（Q3b）及全新统（Q4）。</w:t>
      </w:r>
    </w:p>
    <w:p w14:paraId="531B5D66">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smallCaps w:val="0"/>
          <w:snapToGrid w:val="0"/>
          <w:color w:val="auto"/>
          <w:kern w:val="2"/>
          <w:sz w:val="24"/>
          <w:szCs w:val="24"/>
          <w:highlight w:val="none"/>
          <w:lang w:val="en-US" w:eastAsia="zh-CN" w:bidi="ar-SA"/>
        </w:rPr>
      </w:pPr>
      <w:r>
        <w:rPr>
          <w:rFonts w:hint="default" w:ascii="Times New Roman" w:hAnsi="Times New Roman" w:eastAsia="宋体" w:cs="Times New Roman"/>
          <w:smallCaps w:val="0"/>
          <w:snapToGrid w:val="0"/>
          <w:color w:val="auto"/>
          <w:kern w:val="2"/>
          <w:sz w:val="24"/>
          <w:szCs w:val="24"/>
          <w:highlight w:val="none"/>
          <w:lang w:val="en-US" w:eastAsia="zh-CN" w:bidi="ar-SA"/>
        </w:rPr>
        <w:t>1）前第四系</w:t>
      </w:r>
    </w:p>
    <w:p w14:paraId="5FFA5CE4">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smallCaps w:val="0"/>
          <w:snapToGrid w:val="0"/>
          <w:color w:val="auto"/>
          <w:kern w:val="2"/>
          <w:sz w:val="24"/>
          <w:szCs w:val="24"/>
          <w:highlight w:val="none"/>
          <w:lang w:val="en-US" w:eastAsia="zh-CN" w:bidi="ar-SA"/>
        </w:rPr>
      </w:pPr>
      <w:r>
        <w:rPr>
          <w:rFonts w:hint="default" w:ascii="Times New Roman" w:hAnsi="Times New Roman" w:eastAsia="宋体" w:cs="Times New Roman"/>
          <w:smallCaps w:val="0"/>
          <w:snapToGrid w:val="0"/>
          <w:color w:val="auto"/>
          <w:kern w:val="2"/>
          <w:sz w:val="24"/>
          <w:szCs w:val="24"/>
          <w:highlight w:val="none"/>
          <w:lang w:val="en-US" w:eastAsia="zh-CN" w:bidi="ar-SA"/>
        </w:rPr>
        <w:t>①古近系始新—渐新统宝泉岭组（E2-3b）：</w:t>
      </w:r>
    </w:p>
    <w:p w14:paraId="55A68D03">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smallCaps w:val="0"/>
          <w:snapToGrid w:val="0"/>
          <w:color w:val="auto"/>
          <w:kern w:val="2"/>
          <w:sz w:val="24"/>
          <w:szCs w:val="24"/>
          <w:highlight w:val="none"/>
          <w:lang w:val="en-US" w:eastAsia="zh-CN" w:bidi="ar-SA"/>
        </w:rPr>
      </w:pPr>
      <w:r>
        <w:rPr>
          <w:rFonts w:hint="default" w:ascii="Times New Roman" w:hAnsi="Times New Roman" w:eastAsia="宋体" w:cs="Times New Roman"/>
          <w:smallCaps w:val="0"/>
          <w:snapToGrid w:val="0"/>
          <w:color w:val="auto"/>
          <w:kern w:val="2"/>
          <w:sz w:val="24"/>
          <w:szCs w:val="24"/>
          <w:highlight w:val="none"/>
          <w:lang w:val="en-US" w:eastAsia="zh-CN" w:bidi="ar-SA"/>
        </w:rPr>
        <w:t>地表未见出露，掩埋于漫滩区第四系之下。岩性为弱胶结的灰黑色、灰绿色泥岩、泥质粉砂岩、粉砂质泥岩及粉细砂岩等，泥质弱胶结，手可掰碎。呈互层或交替出现，产状水平。</w:t>
      </w:r>
    </w:p>
    <w:p w14:paraId="6C6839FA">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smallCaps w:val="0"/>
          <w:snapToGrid w:val="0"/>
          <w:color w:val="auto"/>
          <w:kern w:val="2"/>
          <w:sz w:val="24"/>
          <w:szCs w:val="24"/>
          <w:highlight w:val="none"/>
          <w:lang w:val="en-US" w:eastAsia="zh-CN" w:bidi="ar-SA"/>
        </w:rPr>
      </w:pPr>
      <w:r>
        <w:rPr>
          <w:rFonts w:hint="default" w:ascii="Times New Roman" w:hAnsi="Times New Roman" w:eastAsia="宋体" w:cs="Times New Roman"/>
          <w:smallCaps w:val="0"/>
          <w:snapToGrid w:val="0"/>
          <w:color w:val="auto"/>
          <w:kern w:val="2"/>
          <w:sz w:val="24"/>
          <w:szCs w:val="24"/>
          <w:highlight w:val="none"/>
          <w:lang w:val="en-US" w:eastAsia="zh-CN" w:bidi="ar-SA"/>
        </w:rPr>
        <w:t>②新近系中—上新统富锦组（N1-2f）</w:t>
      </w:r>
      <w:r>
        <w:rPr>
          <w:rFonts w:hint="eastAsia" w:ascii="Times New Roman" w:hAnsi="Times New Roman" w:eastAsia="宋体" w:cs="Times New Roman"/>
          <w:smallCaps w:val="0"/>
          <w:snapToGrid w:val="0"/>
          <w:color w:val="auto"/>
          <w:kern w:val="2"/>
          <w:sz w:val="24"/>
          <w:szCs w:val="24"/>
          <w:highlight w:val="none"/>
          <w:lang w:val="en-US" w:eastAsia="zh-CN" w:bidi="ar-SA"/>
        </w:rPr>
        <w:t>：</w:t>
      </w:r>
    </w:p>
    <w:p w14:paraId="25B7804D">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smallCaps w:val="0"/>
          <w:snapToGrid w:val="0"/>
          <w:color w:val="auto"/>
          <w:kern w:val="2"/>
          <w:sz w:val="24"/>
          <w:szCs w:val="24"/>
          <w:highlight w:val="none"/>
          <w:lang w:val="en-US" w:eastAsia="zh-CN" w:bidi="ar-SA"/>
        </w:rPr>
      </w:pPr>
      <w:r>
        <w:rPr>
          <w:rFonts w:hint="default" w:ascii="Times New Roman" w:hAnsi="Times New Roman" w:eastAsia="宋体" w:cs="Times New Roman"/>
          <w:smallCaps w:val="0"/>
          <w:snapToGrid w:val="0"/>
          <w:color w:val="auto"/>
          <w:kern w:val="2"/>
          <w:sz w:val="24"/>
          <w:szCs w:val="24"/>
          <w:highlight w:val="none"/>
          <w:lang w:val="en-US" w:eastAsia="zh-CN" w:bidi="ar-SA"/>
        </w:rPr>
        <w:t>分布于格节河以西及北部大脑袋山一带。地表岩性为松散的灰黄、灰白色砂岩及砂砾岩，下部呈松散或弱胶结状，成岩程度很低。岩层层理发育，含较多卵石，磨圆较好。</w:t>
      </w:r>
      <w:r>
        <w:rPr>
          <w:rFonts w:hint="eastAsia" w:ascii="Times New Roman" w:hAnsi="Times New Roman" w:eastAsia="宋体" w:cs="Times New Roman"/>
          <w:smallCaps w:val="0"/>
          <w:snapToGrid w:val="0"/>
          <w:color w:val="auto"/>
          <w:kern w:val="2"/>
          <w:sz w:val="24"/>
          <w:szCs w:val="24"/>
          <w:highlight w:val="none"/>
          <w:lang w:val="en-US" w:eastAsia="zh-CN" w:bidi="ar-SA"/>
        </w:rPr>
        <w:t>成分</w:t>
      </w:r>
      <w:r>
        <w:rPr>
          <w:rFonts w:hint="default" w:ascii="Times New Roman" w:hAnsi="Times New Roman" w:eastAsia="宋体" w:cs="Times New Roman"/>
          <w:smallCaps w:val="0"/>
          <w:snapToGrid w:val="0"/>
          <w:color w:val="auto"/>
          <w:kern w:val="2"/>
          <w:sz w:val="24"/>
          <w:szCs w:val="24"/>
          <w:highlight w:val="none"/>
          <w:lang w:val="en-US" w:eastAsia="zh-CN" w:bidi="ar-SA"/>
        </w:rPr>
        <w:t>以酸性火山岩、硅质岩为主，其次为花岗岩、石英岩等。产</w:t>
      </w:r>
      <w:r>
        <w:rPr>
          <w:rFonts w:hint="eastAsia" w:ascii="Times New Roman" w:hAnsi="Times New Roman" w:eastAsia="宋体" w:cs="Times New Roman"/>
          <w:smallCaps w:val="0"/>
          <w:snapToGrid w:val="0"/>
          <w:color w:val="auto"/>
          <w:kern w:val="2"/>
          <w:sz w:val="24"/>
          <w:szCs w:val="24"/>
          <w:highlight w:val="none"/>
          <w:lang w:val="en-US" w:eastAsia="zh-CN" w:bidi="ar-SA"/>
        </w:rPr>
        <w:t>状</w:t>
      </w:r>
      <w:r>
        <w:rPr>
          <w:rFonts w:hint="default" w:ascii="Times New Roman" w:hAnsi="Times New Roman" w:eastAsia="宋体" w:cs="Times New Roman"/>
          <w:smallCaps w:val="0"/>
          <w:snapToGrid w:val="0"/>
          <w:color w:val="auto"/>
          <w:kern w:val="2"/>
          <w:sz w:val="24"/>
          <w:szCs w:val="24"/>
          <w:highlight w:val="none"/>
          <w:lang w:val="en-US" w:eastAsia="zh-CN" w:bidi="ar-SA"/>
        </w:rPr>
        <w:t>水平，整合于宝泉岭组之上。多形成平缓的低丘陵，厚度小于246m。</w:t>
      </w:r>
    </w:p>
    <w:p w14:paraId="4DF719F4">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smallCaps w:val="0"/>
          <w:snapToGrid w:val="0"/>
          <w:color w:val="auto"/>
          <w:kern w:val="2"/>
          <w:sz w:val="24"/>
          <w:szCs w:val="24"/>
          <w:highlight w:val="none"/>
          <w:lang w:val="en-US" w:eastAsia="zh-CN" w:bidi="ar-SA"/>
        </w:rPr>
      </w:pPr>
      <w:r>
        <w:rPr>
          <w:rFonts w:hint="default" w:ascii="Times New Roman" w:hAnsi="Times New Roman" w:eastAsia="宋体" w:cs="Times New Roman"/>
          <w:smallCaps w:val="0"/>
          <w:snapToGrid w:val="0"/>
          <w:color w:val="auto"/>
          <w:kern w:val="2"/>
          <w:sz w:val="24"/>
          <w:szCs w:val="24"/>
          <w:highlight w:val="none"/>
          <w:lang w:val="en-US" w:eastAsia="zh-CN" w:bidi="ar-SA"/>
        </w:rPr>
        <w:t>2）第四系（Q）</w:t>
      </w:r>
    </w:p>
    <w:p w14:paraId="4BA65FF0">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smallCaps w:val="0"/>
          <w:snapToGrid w:val="0"/>
          <w:color w:val="auto"/>
          <w:kern w:val="2"/>
          <w:sz w:val="24"/>
          <w:szCs w:val="24"/>
          <w:highlight w:val="none"/>
          <w:lang w:val="en-US" w:eastAsia="zh-CN" w:bidi="ar-SA"/>
        </w:rPr>
      </w:pPr>
      <w:r>
        <w:rPr>
          <w:rFonts w:hint="default" w:ascii="Times New Roman" w:hAnsi="Times New Roman" w:eastAsia="宋体" w:cs="Times New Roman"/>
          <w:smallCaps w:val="0"/>
          <w:snapToGrid w:val="0"/>
          <w:color w:val="auto"/>
          <w:kern w:val="2"/>
          <w:sz w:val="24"/>
          <w:szCs w:val="24"/>
          <w:highlight w:val="none"/>
          <w:lang w:val="en-US" w:eastAsia="zh-CN" w:bidi="ar-SA"/>
        </w:rPr>
        <w:t>①中更新统浓江组（Q2n）</w:t>
      </w:r>
    </w:p>
    <w:p w14:paraId="78B894C4">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smallCaps w:val="0"/>
          <w:snapToGrid w:val="0"/>
          <w:color w:val="auto"/>
          <w:kern w:val="2"/>
          <w:sz w:val="24"/>
          <w:szCs w:val="24"/>
          <w:highlight w:val="none"/>
          <w:lang w:val="en-US" w:eastAsia="zh-CN" w:bidi="ar-SA"/>
        </w:rPr>
      </w:pPr>
      <w:r>
        <w:rPr>
          <w:rFonts w:hint="eastAsia" w:ascii="Times New Roman" w:hAnsi="Times New Roman" w:eastAsia="宋体" w:cs="Times New Roman"/>
          <w:smallCaps w:val="0"/>
          <w:snapToGrid w:val="0"/>
          <w:color w:val="auto"/>
          <w:kern w:val="2"/>
          <w:sz w:val="24"/>
          <w:szCs w:val="24"/>
          <w:highlight w:val="none"/>
          <w:lang w:val="en-US" w:eastAsia="zh-CN" w:bidi="ar-SA"/>
        </w:rPr>
        <w:t>a.</w:t>
      </w:r>
      <w:r>
        <w:rPr>
          <w:rFonts w:hint="default" w:ascii="Times New Roman" w:hAnsi="Times New Roman" w:eastAsia="宋体" w:cs="Times New Roman"/>
          <w:smallCaps w:val="0"/>
          <w:snapToGrid w:val="0"/>
          <w:color w:val="auto"/>
          <w:kern w:val="2"/>
          <w:sz w:val="24"/>
          <w:szCs w:val="24"/>
          <w:highlight w:val="none"/>
          <w:lang w:val="en-US" w:eastAsia="zh-CN" w:bidi="ar-SA"/>
        </w:rPr>
        <w:t>中更新统浓江组冲积冰水沉积层（</w:t>
      </w:r>
      <w:r>
        <w:rPr>
          <w:rFonts w:hint="default" w:ascii="Times New Roman" w:hAnsi="Times New Roman" w:eastAsia="宋体" w:cs="Times New Roman"/>
          <w:smallCaps w:val="0"/>
          <w:snapToGrid w:val="0"/>
          <w:color w:val="auto"/>
          <w:kern w:val="2"/>
          <w:sz w:val="24"/>
          <w:szCs w:val="24"/>
          <w:highlight w:val="none"/>
          <w:lang w:val="en-US" w:eastAsia="zh-CN" w:bidi="ar-SA"/>
        </w:rPr>
        <w:object>
          <v:shape id="_x0000_i1045" o:spt="75" type="#_x0000_t75" style="height:21.75pt;width:42.75pt;" o:ole="t" filled="f" stroked="f" coordsize="21600,21600">
            <v:path/>
            <v:fill on="f" focussize="0,0"/>
            <v:stroke on="f"/>
            <v:imagedata r:id="rId80" o:title=""/>
            <o:lock v:ext="edit" aspectratio="t"/>
            <w10:wrap type="none"/>
            <w10:anchorlock/>
          </v:shape>
          <o:OLEObject Type="Embed" ProgID="Equation.DSMT4" ShapeID="_x0000_i1045" DrawAspect="Content" ObjectID="_1468075745" r:id="rId79">
            <o:LockedField>false</o:LockedField>
          </o:OLEObject>
        </w:object>
      </w:r>
      <w:r>
        <w:rPr>
          <w:rFonts w:hint="default" w:ascii="Times New Roman" w:hAnsi="Times New Roman" w:eastAsia="宋体" w:cs="Times New Roman"/>
          <w:smallCaps w:val="0"/>
          <w:snapToGrid w:val="0"/>
          <w:color w:val="auto"/>
          <w:kern w:val="2"/>
          <w:sz w:val="24"/>
          <w:szCs w:val="24"/>
          <w:highlight w:val="none"/>
          <w:lang w:val="en-US" w:eastAsia="zh-CN" w:bidi="ar-SA"/>
        </w:rPr>
        <w:t>）</w:t>
      </w:r>
    </w:p>
    <w:p w14:paraId="168282AA">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smallCaps w:val="0"/>
          <w:snapToGrid w:val="0"/>
          <w:color w:val="auto"/>
          <w:kern w:val="2"/>
          <w:sz w:val="24"/>
          <w:szCs w:val="24"/>
          <w:highlight w:val="none"/>
          <w:lang w:val="en-US" w:eastAsia="zh-CN" w:bidi="ar-SA"/>
        </w:rPr>
      </w:pPr>
      <w:r>
        <w:rPr>
          <w:rFonts w:hint="default" w:ascii="Times New Roman" w:hAnsi="Times New Roman" w:eastAsia="宋体" w:cs="Times New Roman"/>
          <w:smallCaps w:val="0"/>
          <w:snapToGrid w:val="0"/>
          <w:color w:val="auto"/>
          <w:kern w:val="2"/>
          <w:sz w:val="24"/>
          <w:szCs w:val="24"/>
          <w:highlight w:val="none"/>
          <w:lang w:val="en-US" w:eastAsia="zh-CN" w:bidi="ar-SA"/>
        </w:rPr>
        <w:t>分布于四合屯与红旗水库西北部山前冰水台地上。具洪积及冰缘融冻泥流堆积特点。岩性为黄褐色、棕黄色、红褐色粉质粘土，局部含淤泥质及砂砾，并含铁锰质结核，常呈硬塑及坚硬状态，厚度8</w:t>
      </w:r>
      <w:r>
        <w:rPr>
          <w:rFonts w:hint="eastAsia" w:ascii="Times New Roman" w:hAnsi="Times New Roman" w:eastAsia="宋体" w:cs="Times New Roman"/>
          <w:smallCaps w:val="0"/>
          <w:snapToGrid w:val="0"/>
          <w:color w:val="auto"/>
          <w:kern w:val="2"/>
          <w:sz w:val="24"/>
          <w:szCs w:val="24"/>
          <w:highlight w:val="none"/>
          <w:lang w:val="en-US" w:eastAsia="zh-CN" w:bidi="ar-SA"/>
        </w:rPr>
        <w:t>—</w:t>
      </w:r>
      <w:r>
        <w:rPr>
          <w:rFonts w:hint="default" w:ascii="Times New Roman" w:hAnsi="Times New Roman" w:eastAsia="宋体" w:cs="Times New Roman"/>
          <w:smallCaps w:val="0"/>
          <w:snapToGrid w:val="0"/>
          <w:color w:val="auto"/>
          <w:kern w:val="2"/>
          <w:sz w:val="24"/>
          <w:szCs w:val="24"/>
          <w:highlight w:val="none"/>
          <w:lang w:val="en-US" w:eastAsia="zh-CN" w:bidi="ar-SA"/>
        </w:rPr>
        <w:t>25m。分布于盆地边缘，构成山前冰水台地。</w:t>
      </w:r>
    </w:p>
    <w:p w14:paraId="1612E1AE">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smallCaps w:val="0"/>
          <w:snapToGrid w:val="0"/>
          <w:color w:val="auto"/>
          <w:kern w:val="2"/>
          <w:sz w:val="24"/>
          <w:szCs w:val="24"/>
          <w:highlight w:val="none"/>
          <w:lang w:val="en-US" w:eastAsia="zh-CN" w:bidi="ar-SA"/>
        </w:rPr>
      </w:pPr>
      <w:r>
        <w:rPr>
          <w:rFonts w:hint="eastAsia" w:ascii="Times New Roman" w:hAnsi="Times New Roman" w:eastAsia="宋体" w:cs="Times New Roman"/>
          <w:smallCaps w:val="0"/>
          <w:snapToGrid w:val="0"/>
          <w:color w:val="auto"/>
          <w:kern w:val="2"/>
          <w:sz w:val="24"/>
          <w:szCs w:val="24"/>
          <w:highlight w:val="none"/>
          <w:lang w:val="en-US" w:eastAsia="zh-CN" w:bidi="ar-SA"/>
        </w:rPr>
        <w:t>b.</w:t>
      </w:r>
      <w:r>
        <w:rPr>
          <w:rFonts w:hint="default" w:ascii="Times New Roman" w:hAnsi="Times New Roman" w:eastAsia="宋体" w:cs="Times New Roman"/>
          <w:smallCaps w:val="0"/>
          <w:snapToGrid w:val="0"/>
          <w:color w:val="auto"/>
          <w:kern w:val="2"/>
          <w:sz w:val="24"/>
          <w:szCs w:val="24"/>
          <w:highlight w:val="none"/>
          <w:lang w:val="en-US" w:eastAsia="zh-CN" w:bidi="ar-SA"/>
        </w:rPr>
        <w:t>中更新统浓江组冲积层（</w:t>
      </w:r>
      <w:r>
        <w:rPr>
          <w:rFonts w:hint="default" w:ascii="Times New Roman" w:hAnsi="Times New Roman" w:eastAsia="宋体" w:cs="Times New Roman"/>
          <w:smallCaps w:val="0"/>
          <w:snapToGrid w:val="0"/>
          <w:color w:val="auto"/>
          <w:kern w:val="2"/>
          <w:sz w:val="24"/>
          <w:szCs w:val="24"/>
          <w:highlight w:val="none"/>
          <w:lang w:val="en-US" w:eastAsia="zh-CN" w:bidi="ar-SA"/>
        </w:rPr>
        <w:object>
          <v:shape id="_x0000_i1046" o:spt="75" type="#_x0000_t75" style="height:20.25pt;width:29.25pt;" o:ole="t" filled="f" stroked="f" coordsize="21600,21600">
            <v:path/>
            <v:fill on="f" focussize="0,0"/>
            <v:stroke on="f"/>
            <v:imagedata r:id="rId82" o:title=""/>
            <o:lock v:ext="edit" aspectratio="t"/>
            <w10:wrap type="none"/>
            <w10:anchorlock/>
          </v:shape>
          <o:OLEObject Type="Embed" ProgID="Equations" ShapeID="_x0000_i1046" DrawAspect="Content" ObjectID="_1468075746" r:id="rId81">
            <o:LockedField>false</o:LockedField>
          </o:OLEObject>
        </w:object>
      </w:r>
      <w:r>
        <w:rPr>
          <w:rFonts w:hint="default" w:ascii="Times New Roman" w:hAnsi="Times New Roman" w:eastAsia="宋体" w:cs="Times New Roman"/>
          <w:smallCaps w:val="0"/>
          <w:snapToGrid w:val="0"/>
          <w:color w:val="auto"/>
          <w:kern w:val="2"/>
          <w:sz w:val="24"/>
          <w:szCs w:val="24"/>
          <w:highlight w:val="none"/>
          <w:lang w:val="en-US" w:eastAsia="zh-CN" w:bidi="ar-SA"/>
        </w:rPr>
        <w:t>）</w:t>
      </w:r>
      <w:r>
        <w:rPr>
          <w:rFonts w:hint="eastAsia" w:ascii="Times New Roman" w:hAnsi="Times New Roman" w:eastAsia="宋体" w:cs="Times New Roman"/>
          <w:smallCaps w:val="0"/>
          <w:snapToGrid w:val="0"/>
          <w:color w:val="auto"/>
          <w:kern w:val="2"/>
          <w:sz w:val="24"/>
          <w:szCs w:val="24"/>
          <w:highlight w:val="none"/>
          <w:lang w:val="en-US" w:eastAsia="zh-CN" w:bidi="ar-SA"/>
        </w:rPr>
        <w:t>：</w:t>
      </w:r>
    </w:p>
    <w:p w14:paraId="226AD262">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smallCaps w:val="0"/>
          <w:snapToGrid w:val="0"/>
          <w:color w:val="auto"/>
          <w:kern w:val="2"/>
          <w:sz w:val="24"/>
          <w:szCs w:val="24"/>
          <w:highlight w:val="none"/>
          <w:lang w:val="en-US" w:eastAsia="zh-CN" w:bidi="ar-SA"/>
        </w:rPr>
      </w:pPr>
      <w:r>
        <w:rPr>
          <w:rFonts w:hint="default" w:ascii="Times New Roman" w:hAnsi="Times New Roman" w:eastAsia="宋体" w:cs="Times New Roman"/>
          <w:smallCaps w:val="0"/>
          <w:snapToGrid w:val="0"/>
          <w:color w:val="auto"/>
          <w:kern w:val="2"/>
          <w:sz w:val="24"/>
          <w:szCs w:val="24"/>
          <w:highlight w:val="none"/>
          <w:lang w:val="en-US" w:eastAsia="zh-CN" w:bidi="ar-SA"/>
        </w:rPr>
        <w:t>掩埋于平原区漫滩之下。为河流冲积物。主要岩性为灰</w:t>
      </w:r>
      <w:r>
        <w:rPr>
          <w:rFonts w:hint="eastAsia" w:ascii="Times New Roman" w:hAnsi="Times New Roman" w:eastAsia="宋体" w:cs="Times New Roman"/>
          <w:smallCaps w:val="0"/>
          <w:snapToGrid w:val="0"/>
          <w:color w:val="auto"/>
          <w:kern w:val="2"/>
          <w:sz w:val="24"/>
          <w:szCs w:val="24"/>
          <w:highlight w:val="none"/>
          <w:lang w:val="en-US" w:eastAsia="zh-CN" w:bidi="ar-SA"/>
        </w:rPr>
        <w:t>－</w:t>
      </w:r>
      <w:r>
        <w:rPr>
          <w:rFonts w:hint="default" w:ascii="Times New Roman" w:hAnsi="Times New Roman" w:eastAsia="宋体" w:cs="Times New Roman"/>
          <w:smallCaps w:val="0"/>
          <w:snapToGrid w:val="0"/>
          <w:color w:val="auto"/>
          <w:kern w:val="2"/>
          <w:sz w:val="24"/>
          <w:szCs w:val="24"/>
          <w:highlight w:val="none"/>
          <w:lang w:val="en-US" w:eastAsia="zh-CN" w:bidi="ar-SA"/>
        </w:rPr>
        <w:t>灰白色含卵石砾砂、圆砾，局部含粘性土（阶地及高漫滩后部）。砂砾</w:t>
      </w:r>
      <w:r>
        <w:rPr>
          <w:rFonts w:hint="eastAsia" w:ascii="Times New Roman" w:hAnsi="Times New Roman" w:eastAsia="宋体" w:cs="Times New Roman"/>
          <w:smallCaps w:val="0"/>
          <w:snapToGrid w:val="0"/>
          <w:color w:val="auto"/>
          <w:kern w:val="2"/>
          <w:sz w:val="24"/>
          <w:szCs w:val="24"/>
          <w:highlight w:val="none"/>
          <w:lang w:val="en-US" w:eastAsia="zh-CN" w:bidi="ar-SA"/>
        </w:rPr>
        <w:t>成分</w:t>
      </w:r>
      <w:r>
        <w:rPr>
          <w:rFonts w:hint="default" w:ascii="Times New Roman" w:hAnsi="Times New Roman" w:eastAsia="宋体" w:cs="Times New Roman"/>
          <w:smallCaps w:val="0"/>
          <w:snapToGrid w:val="0"/>
          <w:color w:val="auto"/>
          <w:kern w:val="2"/>
          <w:sz w:val="24"/>
          <w:szCs w:val="24"/>
          <w:highlight w:val="none"/>
          <w:lang w:val="en-US" w:eastAsia="zh-CN" w:bidi="ar-SA"/>
        </w:rPr>
        <w:t>以石英、长石为主，磨圆较好，分选性较差。近江处夹卵石层，偶见粉质粘土透镜体。厚度25</w:t>
      </w:r>
      <w:r>
        <w:rPr>
          <w:rFonts w:hint="eastAsia" w:ascii="Times New Roman" w:hAnsi="Times New Roman" w:eastAsia="宋体" w:cs="Times New Roman"/>
          <w:smallCaps w:val="0"/>
          <w:snapToGrid w:val="0"/>
          <w:color w:val="auto"/>
          <w:kern w:val="2"/>
          <w:sz w:val="24"/>
          <w:szCs w:val="24"/>
          <w:highlight w:val="none"/>
          <w:lang w:val="en-US" w:eastAsia="zh-CN" w:bidi="ar-SA"/>
        </w:rPr>
        <w:t>—</w:t>
      </w:r>
      <w:r>
        <w:rPr>
          <w:rFonts w:hint="default" w:ascii="Times New Roman" w:hAnsi="Times New Roman" w:eastAsia="宋体" w:cs="Times New Roman"/>
          <w:smallCaps w:val="0"/>
          <w:snapToGrid w:val="0"/>
          <w:color w:val="auto"/>
          <w:kern w:val="2"/>
          <w:sz w:val="24"/>
          <w:szCs w:val="24"/>
          <w:highlight w:val="none"/>
          <w:lang w:val="en-US" w:eastAsia="zh-CN" w:bidi="ar-SA"/>
        </w:rPr>
        <w:t>90m。</w:t>
      </w:r>
    </w:p>
    <w:p w14:paraId="34A436E4">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smallCaps w:val="0"/>
          <w:snapToGrid w:val="0"/>
          <w:color w:val="auto"/>
          <w:kern w:val="2"/>
          <w:sz w:val="24"/>
          <w:szCs w:val="24"/>
          <w:highlight w:val="none"/>
          <w:lang w:val="en-US" w:eastAsia="zh-CN" w:bidi="ar-SA"/>
        </w:rPr>
      </w:pPr>
      <w:r>
        <w:rPr>
          <w:rFonts w:hint="default" w:ascii="Times New Roman" w:hAnsi="Times New Roman" w:eastAsia="宋体" w:cs="Times New Roman"/>
          <w:smallCaps w:val="0"/>
          <w:snapToGrid w:val="0"/>
          <w:color w:val="auto"/>
          <w:kern w:val="2"/>
          <w:sz w:val="24"/>
          <w:szCs w:val="24"/>
          <w:highlight w:val="none"/>
          <w:lang w:val="en-US" w:eastAsia="zh-CN" w:bidi="ar-SA"/>
        </w:rPr>
        <w:t>下伏古近系宝泉岭组（E2—3b），上覆第四系上更新统别拉洪河组。</w:t>
      </w:r>
    </w:p>
    <w:p w14:paraId="630DB1FC">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smallCaps w:val="0"/>
          <w:snapToGrid w:val="0"/>
          <w:color w:val="auto"/>
          <w:kern w:val="2"/>
          <w:sz w:val="24"/>
          <w:szCs w:val="24"/>
          <w:highlight w:val="none"/>
          <w:lang w:val="en-US" w:eastAsia="zh-CN" w:bidi="ar-SA"/>
        </w:rPr>
      </w:pPr>
      <w:r>
        <w:rPr>
          <w:rFonts w:hint="default" w:ascii="Times New Roman" w:hAnsi="Times New Roman" w:eastAsia="宋体" w:cs="Times New Roman"/>
          <w:smallCaps w:val="0"/>
          <w:snapToGrid w:val="0"/>
          <w:color w:val="auto"/>
          <w:kern w:val="2"/>
          <w:sz w:val="24"/>
          <w:szCs w:val="24"/>
          <w:highlight w:val="none"/>
          <w:lang w:val="en-US" w:eastAsia="zh-CN" w:bidi="ar-SA"/>
        </w:rPr>
        <w:t>②上更新统别拉洪河组（</w:t>
      </w:r>
      <w:r>
        <w:rPr>
          <w:rFonts w:hint="default" w:ascii="Times New Roman" w:hAnsi="Times New Roman" w:eastAsia="宋体" w:cs="Times New Roman"/>
          <w:smallCaps w:val="0"/>
          <w:snapToGrid w:val="0"/>
          <w:color w:val="auto"/>
          <w:kern w:val="2"/>
          <w:sz w:val="24"/>
          <w:szCs w:val="24"/>
          <w:highlight w:val="none"/>
          <w:lang w:val="en-US" w:eastAsia="zh-CN" w:bidi="ar-SA"/>
        </w:rPr>
        <w:object>
          <v:shape id="_x0000_i1047" o:spt="75" type="#_x0000_t75" style="height:20.25pt;width:29.25pt;" o:ole="t" filled="f" stroked="f" coordsize="21600,21600">
            <v:path/>
            <v:fill on="f" focussize="0,0"/>
            <v:stroke on="f"/>
            <v:imagedata r:id="rId84" o:title=""/>
            <o:lock v:ext="edit" aspectratio="t"/>
            <w10:wrap type="none"/>
            <w10:anchorlock/>
          </v:shape>
          <o:OLEObject Type="Embed" ProgID="Equation.DSMT4" ShapeID="_x0000_i1047" DrawAspect="Content" ObjectID="_1468075747" r:id="rId83">
            <o:LockedField>false</o:LockedField>
          </o:OLEObject>
        </w:object>
      </w:r>
      <w:r>
        <w:rPr>
          <w:rFonts w:hint="default" w:ascii="Times New Roman" w:hAnsi="Times New Roman" w:eastAsia="宋体" w:cs="Times New Roman"/>
          <w:smallCaps w:val="0"/>
          <w:snapToGrid w:val="0"/>
          <w:color w:val="auto"/>
          <w:kern w:val="2"/>
          <w:sz w:val="24"/>
          <w:szCs w:val="24"/>
          <w:highlight w:val="none"/>
          <w:lang w:val="en-US" w:eastAsia="zh-CN" w:bidi="ar-SA"/>
        </w:rPr>
        <w:t>）：</w:t>
      </w:r>
    </w:p>
    <w:p w14:paraId="74C4D900">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smallCaps w:val="0"/>
          <w:snapToGrid w:val="0"/>
          <w:color w:val="auto"/>
          <w:kern w:val="2"/>
          <w:sz w:val="24"/>
          <w:szCs w:val="24"/>
          <w:highlight w:val="none"/>
          <w:lang w:val="en-US" w:eastAsia="zh-CN" w:bidi="ar-SA"/>
        </w:rPr>
      </w:pPr>
      <w:r>
        <w:rPr>
          <w:rFonts w:hint="default" w:ascii="Times New Roman" w:hAnsi="Times New Roman" w:eastAsia="宋体" w:cs="Times New Roman"/>
          <w:smallCaps w:val="0"/>
          <w:snapToGrid w:val="0"/>
          <w:color w:val="auto"/>
          <w:kern w:val="2"/>
          <w:sz w:val="24"/>
          <w:szCs w:val="24"/>
          <w:highlight w:val="none"/>
          <w:lang w:val="en-US" w:eastAsia="zh-CN" w:bidi="ar-SA"/>
        </w:rPr>
        <w:t>出露于德胜屯至莲江口七队西北部，呈北东</w:t>
      </w:r>
      <w:r>
        <w:rPr>
          <w:rFonts w:hint="eastAsia" w:ascii="Times New Roman" w:hAnsi="Times New Roman" w:eastAsia="宋体" w:cs="Times New Roman"/>
          <w:smallCaps w:val="0"/>
          <w:snapToGrid w:val="0"/>
          <w:color w:val="auto"/>
          <w:kern w:val="2"/>
          <w:sz w:val="24"/>
          <w:szCs w:val="24"/>
          <w:highlight w:val="none"/>
          <w:lang w:val="en-US" w:eastAsia="zh-CN" w:bidi="ar-SA"/>
        </w:rPr>
        <w:t>－</w:t>
      </w:r>
      <w:r>
        <w:rPr>
          <w:rFonts w:hint="default" w:ascii="Times New Roman" w:hAnsi="Times New Roman" w:eastAsia="宋体" w:cs="Times New Roman"/>
          <w:smallCaps w:val="0"/>
          <w:snapToGrid w:val="0"/>
          <w:color w:val="auto"/>
          <w:kern w:val="2"/>
          <w:sz w:val="24"/>
          <w:szCs w:val="24"/>
          <w:highlight w:val="none"/>
          <w:lang w:val="en-US" w:eastAsia="zh-CN" w:bidi="ar-SA"/>
        </w:rPr>
        <w:t>南西向带状分布，构成松花江一级阶地。东南部掩埋于漫滩下部。为一套河流冲积物。阶地上部为黄褐色、灰黄色粉质粘土或黄土状土。局部含粉细砂。下部为浅灰黄色含砾中粗砂及砾砂，局部为圆砾，并含少量粘性土。漫滩下部则为灰白色及浅灰黄色含卵石砾砂、圆砾，局部为含砾中粗砂。分选及磨圆较好。成分以石英、长石为主，卵、砾石则多为花岗岩、熔岩、硅质岩等。厚度6</w:t>
      </w:r>
      <w:r>
        <w:rPr>
          <w:rFonts w:hint="eastAsia" w:ascii="Times New Roman" w:hAnsi="Times New Roman" w:eastAsia="宋体" w:cs="Times New Roman"/>
          <w:smallCaps w:val="0"/>
          <w:snapToGrid w:val="0"/>
          <w:color w:val="auto"/>
          <w:kern w:val="2"/>
          <w:sz w:val="24"/>
          <w:szCs w:val="24"/>
          <w:highlight w:val="none"/>
          <w:lang w:val="en-US" w:eastAsia="zh-CN" w:bidi="ar-SA"/>
        </w:rPr>
        <w:t>—</w:t>
      </w:r>
      <w:r>
        <w:rPr>
          <w:rFonts w:hint="default" w:ascii="Times New Roman" w:hAnsi="Times New Roman" w:eastAsia="宋体" w:cs="Times New Roman"/>
          <w:smallCaps w:val="0"/>
          <w:snapToGrid w:val="0"/>
          <w:color w:val="auto"/>
          <w:kern w:val="2"/>
          <w:sz w:val="24"/>
          <w:szCs w:val="24"/>
          <w:highlight w:val="none"/>
          <w:lang w:val="en-US" w:eastAsia="zh-CN" w:bidi="ar-SA"/>
        </w:rPr>
        <w:t>45m。</w:t>
      </w:r>
    </w:p>
    <w:p w14:paraId="73B64762">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smallCaps w:val="0"/>
          <w:snapToGrid w:val="0"/>
          <w:color w:val="auto"/>
          <w:kern w:val="2"/>
          <w:sz w:val="24"/>
          <w:szCs w:val="24"/>
          <w:highlight w:val="none"/>
          <w:lang w:val="en-US" w:eastAsia="zh-CN" w:bidi="ar-SA"/>
        </w:rPr>
      </w:pPr>
      <w:r>
        <w:rPr>
          <w:rFonts w:hint="default" w:ascii="Times New Roman" w:hAnsi="Times New Roman" w:eastAsia="宋体" w:cs="Times New Roman"/>
          <w:smallCaps w:val="0"/>
          <w:snapToGrid w:val="0"/>
          <w:color w:val="auto"/>
          <w:kern w:val="2"/>
          <w:sz w:val="24"/>
          <w:szCs w:val="24"/>
          <w:highlight w:val="none"/>
          <w:lang w:val="en-US" w:eastAsia="zh-CN" w:bidi="ar-SA"/>
        </w:rPr>
        <w:t>下伏中更新统浓江组，上覆全新统。</w:t>
      </w:r>
    </w:p>
    <w:p w14:paraId="162FB2E7">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smallCaps w:val="0"/>
          <w:snapToGrid w:val="0"/>
          <w:color w:val="auto"/>
          <w:kern w:val="2"/>
          <w:sz w:val="24"/>
          <w:szCs w:val="24"/>
          <w:highlight w:val="none"/>
          <w:lang w:val="en-US" w:eastAsia="zh-CN" w:bidi="ar-SA"/>
        </w:rPr>
      </w:pPr>
      <w:r>
        <w:rPr>
          <w:rFonts w:hint="default" w:ascii="Times New Roman" w:hAnsi="Times New Roman" w:eastAsia="宋体" w:cs="Times New Roman"/>
          <w:smallCaps w:val="0"/>
          <w:snapToGrid w:val="0"/>
          <w:color w:val="auto"/>
          <w:kern w:val="2"/>
          <w:sz w:val="24"/>
          <w:szCs w:val="24"/>
          <w:highlight w:val="none"/>
          <w:lang w:val="en-US" w:eastAsia="zh-CN" w:bidi="ar-SA"/>
        </w:rPr>
        <w:t>③全新统（Q4）：</w:t>
      </w:r>
    </w:p>
    <w:p w14:paraId="180953DC">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smallCaps w:val="0"/>
          <w:snapToGrid w:val="0"/>
          <w:color w:val="auto"/>
          <w:kern w:val="2"/>
          <w:sz w:val="24"/>
          <w:szCs w:val="24"/>
          <w:highlight w:val="none"/>
          <w:lang w:val="en-US" w:eastAsia="zh-CN" w:bidi="ar-SA"/>
        </w:rPr>
      </w:pPr>
      <w:r>
        <w:rPr>
          <w:rFonts w:hint="default" w:ascii="Times New Roman" w:hAnsi="Times New Roman" w:eastAsia="宋体" w:cs="Times New Roman"/>
          <w:smallCaps w:val="0"/>
          <w:snapToGrid w:val="0"/>
          <w:color w:val="auto"/>
          <w:kern w:val="2"/>
          <w:sz w:val="24"/>
          <w:szCs w:val="24"/>
          <w:highlight w:val="none"/>
          <w:lang w:val="en-US" w:eastAsia="zh-CN" w:bidi="ar-SA"/>
        </w:rPr>
        <w:t>出露于平原漫滩及次级沟谷漫滩。可分为全新统近代冲积层及全新统现代冲积层。</w:t>
      </w:r>
    </w:p>
    <w:p w14:paraId="78128C3E">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smallCaps w:val="0"/>
          <w:snapToGrid w:val="0"/>
          <w:color w:val="auto"/>
          <w:kern w:val="2"/>
          <w:sz w:val="24"/>
          <w:szCs w:val="24"/>
          <w:highlight w:val="none"/>
          <w:lang w:val="en-US" w:eastAsia="zh-CN" w:bidi="ar-SA"/>
        </w:rPr>
      </w:pPr>
      <w:r>
        <w:rPr>
          <w:rFonts w:hint="eastAsia" w:ascii="Times New Roman" w:hAnsi="Times New Roman" w:eastAsia="宋体" w:cs="Times New Roman"/>
          <w:smallCaps w:val="0"/>
          <w:snapToGrid w:val="0"/>
          <w:color w:val="auto"/>
          <w:kern w:val="2"/>
          <w:sz w:val="24"/>
          <w:szCs w:val="24"/>
          <w:highlight w:val="none"/>
          <w:lang w:val="en-US" w:eastAsia="zh-CN" w:bidi="ar-SA"/>
        </w:rPr>
        <w:t>a.</w:t>
      </w:r>
      <w:r>
        <w:rPr>
          <w:rFonts w:hint="default" w:ascii="Times New Roman" w:hAnsi="Times New Roman" w:eastAsia="宋体" w:cs="Times New Roman"/>
          <w:smallCaps w:val="0"/>
          <w:snapToGrid w:val="0"/>
          <w:color w:val="auto"/>
          <w:kern w:val="2"/>
          <w:sz w:val="24"/>
          <w:szCs w:val="24"/>
          <w:highlight w:val="none"/>
          <w:lang w:val="en-US" w:eastAsia="zh-CN" w:bidi="ar-SA"/>
        </w:rPr>
        <w:t>全新统近代冲积层（</w:t>
      </w:r>
      <w:r>
        <w:rPr>
          <w:rFonts w:hint="default" w:ascii="Times New Roman" w:hAnsi="Times New Roman" w:eastAsia="宋体" w:cs="Times New Roman"/>
          <w:smallCaps w:val="0"/>
          <w:snapToGrid w:val="0"/>
          <w:color w:val="auto"/>
          <w:kern w:val="2"/>
          <w:sz w:val="24"/>
          <w:szCs w:val="24"/>
          <w:highlight w:val="none"/>
          <w:lang w:val="en-US" w:eastAsia="zh-CN" w:bidi="ar-SA"/>
        </w:rPr>
        <w:object>
          <v:shape id="_x0000_i1048" o:spt="75" type="#_x0000_t75" style="height:20.25pt;width:20.25pt;" o:ole="t" filled="f" stroked="f" coordsize="21600,21600">
            <v:path/>
            <v:fill on="f" focussize="0,0"/>
            <v:stroke on="f"/>
            <v:imagedata r:id="rId86" o:title=""/>
            <o:lock v:ext="edit" aspectratio="t"/>
            <w10:wrap type="none"/>
            <w10:anchorlock/>
          </v:shape>
          <o:OLEObject Type="Embed" ProgID="Equation.DSMT4" ShapeID="_x0000_i1048" DrawAspect="Content" ObjectID="_1468075748" r:id="rId85">
            <o:LockedField>false</o:LockedField>
          </o:OLEObject>
        </w:object>
      </w:r>
      <w:r>
        <w:rPr>
          <w:rFonts w:hint="default" w:ascii="Times New Roman" w:hAnsi="Times New Roman" w:eastAsia="宋体" w:cs="Times New Roman"/>
          <w:smallCaps w:val="0"/>
          <w:snapToGrid w:val="0"/>
          <w:color w:val="auto"/>
          <w:kern w:val="2"/>
          <w:sz w:val="24"/>
          <w:szCs w:val="24"/>
          <w:highlight w:val="none"/>
          <w:lang w:val="en-US" w:eastAsia="zh-CN" w:bidi="ar-SA"/>
        </w:rPr>
        <w:t>）：</w:t>
      </w:r>
    </w:p>
    <w:p w14:paraId="350EA75F">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smallCaps w:val="0"/>
          <w:snapToGrid w:val="0"/>
          <w:color w:val="auto"/>
          <w:kern w:val="2"/>
          <w:sz w:val="24"/>
          <w:szCs w:val="24"/>
          <w:highlight w:val="none"/>
          <w:lang w:val="en-US" w:eastAsia="zh-CN" w:bidi="ar-SA"/>
        </w:rPr>
      </w:pPr>
      <w:r>
        <w:rPr>
          <w:rFonts w:hint="default" w:ascii="Times New Roman" w:hAnsi="Times New Roman" w:eastAsia="宋体" w:cs="Times New Roman"/>
          <w:smallCaps w:val="0"/>
          <w:snapToGrid w:val="0"/>
          <w:color w:val="auto"/>
          <w:kern w:val="2"/>
          <w:sz w:val="24"/>
          <w:szCs w:val="24"/>
          <w:highlight w:val="none"/>
          <w:lang w:val="en-US" w:eastAsia="zh-CN" w:bidi="ar-SA"/>
        </w:rPr>
        <w:t>分布在阶地东南、阿凌达河南与松花江之间的广大平原区。上部为一层普遍分布的黄褐色粉质粘土，局部为粉土。下部为黄褐色粉细中砂，局部可见黄褐色粗砂或砾砂及圆砾。主要成分为石英、长石及少量暗色矿物。分选及磨圆较好。上下层构成“二元结构”。厚度2</w:t>
      </w:r>
      <w:r>
        <w:rPr>
          <w:rFonts w:hint="eastAsia" w:ascii="Times New Roman" w:hAnsi="Times New Roman" w:eastAsia="宋体" w:cs="Times New Roman"/>
          <w:smallCaps w:val="0"/>
          <w:snapToGrid w:val="0"/>
          <w:color w:val="auto"/>
          <w:kern w:val="2"/>
          <w:sz w:val="24"/>
          <w:szCs w:val="24"/>
          <w:highlight w:val="none"/>
          <w:lang w:val="en-US" w:eastAsia="zh-CN" w:bidi="ar-SA"/>
        </w:rPr>
        <w:t>—</w:t>
      </w:r>
      <w:r>
        <w:rPr>
          <w:rFonts w:hint="default" w:ascii="Times New Roman" w:hAnsi="Times New Roman" w:eastAsia="宋体" w:cs="Times New Roman"/>
          <w:smallCaps w:val="0"/>
          <w:snapToGrid w:val="0"/>
          <w:color w:val="auto"/>
          <w:kern w:val="2"/>
          <w:sz w:val="24"/>
          <w:szCs w:val="24"/>
          <w:highlight w:val="none"/>
          <w:lang w:val="en-US" w:eastAsia="zh-CN" w:bidi="ar-SA"/>
        </w:rPr>
        <w:t>36m。</w:t>
      </w:r>
    </w:p>
    <w:p w14:paraId="52513D6B">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smallCaps w:val="0"/>
          <w:snapToGrid w:val="0"/>
          <w:color w:val="auto"/>
          <w:kern w:val="2"/>
          <w:sz w:val="24"/>
          <w:szCs w:val="24"/>
          <w:highlight w:val="none"/>
          <w:lang w:val="en-US" w:eastAsia="zh-CN" w:bidi="ar-SA"/>
        </w:rPr>
      </w:pPr>
      <w:r>
        <w:rPr>
          <w:rFonts w:hint="default" w:ascii="Times New Roman" w:hAnsi="Times New Roman" w:eastAsia="宋体" w:cs="Times New Roman"/>
          <w:smallCaps w:val="0"/>
          <w:snapToGrid w:val="0"/>
          <w:color w:val="auto"/>
          <w:kern w:val="2"/>
          <w:sz w:val="24"/>
          <w:szCs w:val="24"/>
          <w:highlight w:val="none"/>
          <w:lang w:val="en-US" w:eastAsia="zh-CN" w:bidi="ar-SA"/>
        </w:rPr>
        <w:t>下伏上更新统别拉洪河组。</w:t>
      </w:r>
    </w:p>
    <w:p w14:paraId="36BD9501">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smallCaps w:val="0"/>
          <w:snapToGrid w:val="0"/>
          <w:color w:val="auto"/>
          <w:kern w:val="2"/>
          <w:sz w:val="24"/>
          <w:szCs w:val="24"/>
          <w:highlight w:val="none"/>
          <w:lang w:val="en-US" w:eastAsia="zh-CN" w:bidi="ar-SA"/>
        </w:rPr>
      </w:pPr>
      <w:r>
        <w:rPr>
          <w:rFonts w:hint="eastAsia" w:ascii="Times New Roman" w:hAnsi="Times New Roman" w:eastAsia="宋体" w:cs="Times New Roman"/>
          <w:smallCaps w:val="0"/>
          <w:snapToGrid w:val="0"/>
          <w:color w:val="auto"/>
          <w:kern w:val="2"/>
          <w:sz w:val="24"/>
          <w:szCs w:val="24"/>
          <w:highlight w:val="none"/>
          <w:lang w:val="en-US" w:eastAsia="zh-CN" w:bidi="ar-SA"/>
        </w:rPr>
        <w:t>b.</w:t>
      </w:r>
      <w:r>
        <w:rPr>
          <w:rFonts w:hint="default" w:ascii="Times New Roman" w:hAnsi="Times New Roman" w:eastAsia="宋体" w:cs="Times New Roman"/>
          <w:smallCaps w:val="0"/>
          <w:snapToGrid w:val="0"/>
          <w:color w:val="auto"/>
          <w:kern w:val="2"/>
          <w:sz w:val="24"/>
          <w:szCs w:val="24"/>
          <w:highlight w:val="none"/>
          <w:lang w:val="en-US" w:eastAsia="zh-CN" w:bidi="ar-SA"/>
        </w:rPr>
        <w:t>全新统现代冲积层（</w:t>
      </w:r>
      <w:r>
        <w:rPr>
          <w:rFonts w:hint="default" w:ascii="Times New Roman" w:hAnsi="Times New Roman" w:eastAsia="宋体" w:cs="Times New Roman"/>
          <w:smallCaps w:val="0"/>
          <w:snapToGrid w:val="0"/>
          <w:color w:val="auto"/>
          <w:kern w:val="2"/>
          <w:sz w:val="24"/>
          <w:szCs w:val="24"/>
          <w:highlight w:val="none"/>
          <w:lang w:val="en-US" w:eastAsia="zh-CN" w:bidi="ar-SA"/>
        </w:rPr>
        <w:object>
          <v:shape id="_x0000_i1049" o:spt="75" type="#_x0000_t75" style="height:20.25pt;width:22.5pt;" o:ole="t" filled="f" stroked="f" coordsize="21600,21600">
            <v:path/>
            <v:fill on="f" focussize="0,0"/>
            <v:stroke on="f"/>
            <v:imagedata r:id="rId88" o:title=""/>
            <o:lock v:ext="edit" aspectratio="t"/>
            <w10:wrap type="none"/>
            <w10:anchorlock/>
          </v:shape>
          <o:OLEObject Type="Embed" ProgID="Equation.DSMT4" ShapeID="_x0000_i1049" DrawAspect="Content" ObjectID="_1468075749" r:id="rId87">
            <o:LockedField>false</o:LockedField>
          </o:OLEObject>
        </w:object>
      </w:r>
      <w:r>
        <w:rPr>
          <w:rFonts w:hint="default" w:ascii="Times New Roman" w:hAnsi="Times New Roman" w:eastAsia="宋体" w:cs="Times New Roman"/>
          <w:smallCaps w:val="0"/>
          <w:snapToGrid w:val="0"/>
          <w:color w:val="auto"/>
          <w:kern w:val="2"/>
          <w:sz w:val="24"/>
          <w:szCs w:val="24"/>
          <w:highlight w:val="none"/>
          <w:lang w:val="en-US" w:eastAsia="zh-CN" w:bidi="ar-SA"/>
        </w:rPr>
        <w:t>）：</w:t>
      </w:r>
    </w:p>
    <w:p w14:paraId="1312886A">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smallCaps w:val="0"/>
          <w:snapToGrid w:val="0"/>
          <w:color w:val="auto"/>
          <w:kern w:val="2"/>
          <w:sz w:val="24"/>
          <w:szCs w:val="24"/>
          <w:highlight w:val="none"/>
          <w:lang w:val="en-US" w:eastAsia="zh-CN" w:bidi="ar-SA"/>
        </w:rPr>
      </w:pPr>
      <w:r>
        <w:rPr>
          <w:rFonts w:hint="default" w:ascii="Times New Roman" w:hAnsi="Times New Roman" w:eastAsia="宋体" w:cs="Times New Roman"/>
          <w:smallCaps w:val="0"/>
          <w:snapToGrid w:val="0"/>
          <w:color w:val="auto"/>
          <w:kern w:val="2"/>
          <w:sz w:val="24"/>
          <w:szCs w:val="24"/>
          <w:highlight w:val="none"/>
          <w:lang w:val="en-US" w:eastAsia="zh-CN" w:bidi="ar-SA"/>
        </w:rPr>
        <w:t>分布于低漫滩、边（浅）滩、心滩、次级河流的河床附近及河床中。岩性较复杂且变化较大。主要由粉质粘土、淤泥质粉质粘土、含粉细砂粉质粘土、泥质粉细砂、中砂、砾砂等。河床中多见圆砾及卵石。厚度变化较大，为10</w:t>
      </w:r>
      <w:r>
        <w:rPr>
          <w:rFonts w:hint="eastAsia" w:ascii="Times New Roman" w:hAnsi="Times New Roman" w:eastAsia="宋体" w:cs="Times New Roman"/>
          <w:smallCaps w:val="0"/>
          <w:snapToGrid w:val="0"/>
          <w:color w:val="auto"/>
          <w:kern w:val="2"/>
          <w:sz w:val="24"/>
          <w:szCs w:val="24"/>
          <w:highlight w:val="none"/>
          <w:lang w:val="en-US" w:eastAsia="zh-CN" w:bidi="ar-SA"/>
        </w:rPr>
        <w:t>—</w:t>
      </w:r>
      <w:r>
        <w:rPr>
          <w:rFonts w:hint="default" w:ascii="Times New Roman" w:hAnsi="Times New Roman" w:eastAsia="宋体" w:cs="Times New Roman"/>
          <w:smallCaps w:val="0"/>
          <w:snapToGrid w:val="0"/>
          <w:color w:val="auto"/>
          <w:kern w:val="2"/>
          <w:sz w:val="24"/>
          <w:szCs w:val="24"/>
          <w:highlight w:val="none"/>
          <w:lang w:val="en-US" w:eastAsia="zh-CN" w:bidi="ar-SA"/>
        </w:rPr>
        <w:t>25m。</w:t>
      </w:r>
    </w:p>
    <w:p w14:paraId="68B616D9">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smallCaps w:val="0"/>
          <w:snapToGrid w:val="0"/>
          <w:color w:val="auto"/>
          <w:kern w:val="2"/>
          <w:sz w:val="24"/>
          <w:szCs w:val="24"/>
          <w:highlight w:val="none"/>
          <w:lang w:val="en-US" w:eastAsia="zh-CN" w:bidi="ar-SA"/>
        </w:rPr>
      </w:pPr>
      <w:bookmarkStart w:id="367" w:name="_Toc453749318"/>
      <w:bookmarkStart w:id="368" w:name="_Toc10749"/>
      <w:r>
        <w:rPr>
          <w:rFonts w:hint="default" w:ascii="Times New Roman" w:hAnsi="Times New Roman" w:eastAsia="宋体" w:cs="Times New Roman"/>
          <w:smallCaps w:val="0"/>
          <w:snapToGrid w:val="0"/>
          <w:color w:val="auto"/>
          <w:kern w:val="2"/>
          <w:sz w:val="24"/>
          <w:szCs w:val="24"/>
          <w:highlight w:val="none"/>
          <w:lang w:val="en-US" w:eastAsia="zh-CN" w:bidi="ar-SA"/>
        </w:rPr>
        <w:t>（2）侵入岩</w:t>
      </w:r>
      <w:bookmarkEnd w:id="367"/>
      <w:bookmarkEnd w:id="368"/>
    </w:p>
    <w:p w14:paraId="5E44854D">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smallCaps w:val="0"/>
          <w:snapToGrid w:val="0"/>
          <w:color w:val="auto"/>
          <w:kern w:val="2"/>
          <w:sz w:val="24"/>
          <w:szCs w:val="24"/>
          <w:highlight w:val="none"/>
          <w:lang w:val="en-US" w:eastAsia="zh-CN" w:bidi="ar-SA"/>
        </w:rPr>
      </w:pPr>
      <w:r>
        <w:rPr>
          <w:rFonts w:hint="default" w:ascii="Times New Roman" w:hAnsi="Times New Roman" w:eastAsia="宋体" w:cs="Times New Roman"/>
          <w:smallCaps w:val="0"/>
          <w:snapToGrid w:val="0"/>
          <w:color w:val="auto"/>
          <w:kern w:val="2"/>
          <w:sz w:val="24"/>
          <w:szCs w:val="24"/>
          <w:highlight w:val="none"/>
          <w:lang w:val="en-US" w:eastAsia="zh-CN" w:bidi="ar-SA"/>
        </w:rPr>
        <w:t>本区域只有松花江南岸的大小堆峰有小面积花岗岩闪长岩出露。</w:t>
      </w:r>
    </w:p>
    <w:p w14:paraId="443F1EB9">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smallCaps w:val="0"/>
          <w:snapToGrid w:val="0"/>
          <w:color w:val="auto"/>
          <w:kern w:val="2"/>
          <w:sz w:val="24"/>
          <w:szCs w:val="24"/>
          <w:highlight w:val="none"/>
          <w:lang w:val="en-US" w:eastAsia="zh-CN" w:bidi="ar-SA"/>
        </w:rPr>
      </w:pPr>
      <w:bookmarkStart w:id="369" w:name="_Toc453749319"/>
      <w:bookmarkStart w:id="370" w:name="_Toc5669"/>
      <w:r>
        <w:rPr>
          <w:rFonts w:hint="default" w:ascii="Times New Roman" w:hAnsi="Times New Roman" w:eastAsia="宋体" w:cs="Times New Roman"/>
          <w:smallCaps w:val="0"/>
          <w:snapToGrid w:val="0"/>
          <w:color w:val="auto"/>
          <w:kern w:val="2"/>
          <w:sz w:val="24"/>
          <w:szCs w:val="24"/>
          <w:highlight w:val="none"/>
          <w:lang w:val="en-US" w:eastAsia="zh-CN" w:bidi="ar-SA"/>
        </w:rPr>
        <w:t>（3）地质构造</w:t>
      </w:r>
      <w:bookmarkEnd w:id="369"/>
      <w:bookmarkEnd w:id="370"/>
    </w:p>
    <w:p w14:paraId="42AA3F65">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smallCaps w:val="0"/>
          <w:snapToGrid w:val="0"/>
          <w:color w:val="auto"/>
          <w:kern w:val="2"/>
          <w:sz w:val="24"/>
          <w:szCs w:val="24"/>
          <w:highlight w:val="none"/>
          <w:lang w:val="en-US" w:eastAsia="zh-CN" w:bidi="ar-SA"/>
        </w:rPr>
      </w:pPr>
      <w:r>
        <w:rPr>
          <w:rFonts w:hint="default" w:ascii="Times New Roman" w:hAnsi="Times New Roman" w:eastAsia="宋体" w:cs="Times New Roman"/>
          <w:smallCaps w:val="0"/>
          <w:snapToGrid w:val="0"/>
          <w:color w:val="auto"/>
          <w:kern w:val="2"/>
          <w:sz w:val="24"/>
          <w:szCs w:val="24"/>
          <w:highlight w:val="none"/>
          <w:lang w:val="en-US" w:eastAsia="zh-CN" w:bidi="ar-SA"/>
        </w:rPr>
        <w:t>本区大地构造位置为兴凯湖</w:t>
      </w:r>
      <w:r>
        <w:rPr>
          <w:rFonts w:hint="eastAsia" w:ascii="Times New Roman" w:hAnsi="Times New Roman" w:eastAsia="宋体" w:cs="Times New Roman"/>
          <w:smallCaps w:val="0"/>
          <w:snapToGrid w:val="0"/>
          <w:color w:val="auto"/>
          <w:kern w:val="2"/>
          <w:sz w:val="24"/>
          <w:szCs w:val="24"/>
          <w:highlight w:val="none"/>
          <w:lang w:val="en-US" w:eastAsia="zh-CN" w:bidi="ar-SA"/>
        </w:rPr>
        <w:t>－</w:t>
      </w:r>
      <w:r>
        <w:rPr>
          <w:rFonts w:hint="default" w:ascii="Times New Roman" w:hAnsi="Times New Roman" w:eastAsia="宋体" w:cs="Times New Roman"/>
          <w:smallCaps w:val="0"/>
          <w:snapToGrid w:val="0"/>
          <w:color w:val="auto"/>
          <w:kern w:val="2"/>
          <w:sz w:val="24"/>
          <w:szCs w:val="24"/>
          <w:highlight w:val="none"/>
          <w:lang w:val="en-US" w:eastAsia="zh-CN" w:bidi="ar-SA"/>
        </w:rPr>
        <w:t>布列亚山地块区老爷岭地块三江新断陷带名山断陷。自中生代中晚期以来，由于三江</w:t>
      </w:r>
      <w:r>
        <w:rPr>
          <w:rFonts w:hint="eastAsia" w:ascii="Times New Roman" w:hAnsi="Times New Roman" w:eastAsia="宋体" w:cs="Times New Roman"/>
          <w:smallCaps w:val="0"/>
          <w:snapToGrid w:val="0"/>
          <w:color w:val="auto"/>
          <w:kern w:val="2"/>
          <w:sz w:val="24"/>
          <w:szCs w:val="24"/>
          <w:highlight w:val="none"/>
          <w:lang w:val="en-US" w:eastAsia="zh-CN" w:bidi="ar-SA"/>
        </w:rPr>
        <w:t>－</w:t>
      </w:r>
      <w:r>
        <w:rPr>
          <w:rFonts w:hint="default" w:ascii="Times New Roman" w:hAnsi="Times New Roman" w:eastAsia="宋体" w:cs="Times New Roman"/>
          <w:smallCaps w:val="0"/>
          <w:snapToGrid w:val="0"/>
          <w:color w:val="auto"/>
          <w:kern w:val="2"/>
          <w:sz w:val="24"/>
          <w:szCs w:val="24"/>
          <w:highlight w:val="none"/>
          <w:lang w:val="en-US" w:eastAsia="zh-CN" w:bidi="ar-SA"/>
        </w:rPr>
        <w:t>阿穆尔地堑开始活动，形成了三江盆地，并接受了较厚的内陆河湖相沉积，构成了三江盆地的基底。岩层呈近水平状产出。</w:t>
      </w:r>
    </w:p>
    <w:p w14:paraId="220FE48B">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smallCaps w:val="0"/>
          <w:snapToGrid w:val="0"/>
          <w:color w:val="auto"/>
          <w:kern w:val="2"/>
          <w:sz w:val="24"/>
          <w:szCs w:val="24"/>
          <w:highlight w:val="none"/>
          <w:lang w:val="en-US" w:eastAsia="zh-CN" w:bidi="ar-SA"/>
        </w:rPr>
      </w:pPr>
      <w:r>
        <w:rPr>
          <w:rFonts w:hint="default" w:ascii="Times New Roman" w:hAnsi="Times New Roman" w:eastAsia="宋体" w:cs="Times New Roman"/>
          <w:smallCaps w:val="0"/>
          <w:snapToGrid w:val="0"/>
          <w:color w:val="auto"/>
          <w:kern w:val="2"/>
          <w:sz w:val="24"/>
          <w:szCs w:val="24"/>
          <w:highlight w:val="none"/>
          <w:lang w:val="en-US" w:eastAsia="zh-CN" w:bidi="ar-SA"/>
        </w:rPr>
        <w:t>晚新生代以来，三江盆地仍处于间歇性下降阶段，接受了大厚度的第四系河湖相沉积。沉积物呈水平产出。第四纪在边缘部分转为上升。</w:t>
      </w:r>
    </w:p>
    <w:p w14:paraId="147C1D12">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smallCaps w:val="0"/>
          <w:snapToGrid w:val="0"/>
          <w:color w:val="auto"/>
          <w:kern w:val="2"/>
          <w:sz w:val="24"/>
          <w:szCs w:val="24"/>
          <w:highlight w:val="none"/>
          <w:lang w:val="en-US" w:eastAsia="zh-CN" w:bidi="ar-SA"/>
        </w:rPr>
      </w:pPr>
      <w:r>
        <w:rPr>
          <w:rFonts w:hint="default" w:ascii="Times New Roman" w:hAnsi="Times New Roman" w:eastAsia="宋体" w:cs="Times New Roman"/>
          <w:smallCaps w:val="0"/>
          <w:snapToGrid w:val="0"/>
          <w:color w:val="auto"/>
          <w:kern w:val="2"/>
          <w:sz w:val="24"/>
          <w:szCs w:val="24"/>
          <w:highlight w:val="none"/>
          <w:lang w:val="en-US" w:eastAsia="zh-CN" w:bidi="ar-SA"/>
        </w:rPr>
        <w:t>依兰-舒兰断裂，为一深大断裂，呈南西—北东向从评价</w:t>
      </w:r>
      <w:r>
        <w:rPr>
          <w:rFonts w:hint="eastAsia" w:ascii="Times New Roman" w:hAnsi="Times New Roman" w:eastAsia="宋体" w:cs="Times New Roman"/>
          <w:smallCaps w:val="0"/>
          <w:snapToGrid w:val="0"/>
          <w:color w:val="auto"/>
          <w:kern w:val="2"/>
          <w:sz w:val="24"/>
          <w:szCs w:val="24"/>
          <w:highlight w:val="none"/>
          <w:lang w:val="en-US" w:eastAsia="zh-CN" w:bidi="ar-SA"/>
        </w:rPr>
        <w:t>区</w:t>
      </w:r>
      <w:r>
        <w:rPr>
          <w:rFonts w:hint="default" w:ascii="Times New Roman" w:hAnsi="Times New Roman" w:eastAsia="宋体" w:cs="Times New Roman"/>
          <w:smallCaps w:val="0"/>
          <w:snapToGrid w:val="0"/>
          <w:color w:val="auto"/>
          <w:kern w:val="2"/>
          <w:sz w:val="24"/>
          <w:szCs w:val="24"/>
          <w:highlight w:val="none"/>
          <w:lang w:val="en-US" w:eastAsia="zh-CN" w:bidi="ar-SA"/>
        </w:rPr>
        <w:t>西北部通过。断裂为一狭长地槽，宽8</w:t>
      </w:r>
      <w:r>
        <w:rPr>
          <w:rFonts w:hint="eastAsia" w:ascii="Times New Roman" w:hAnsi="Times New Roman" w:eastAsia="宋体" w:cs="Times New Roman"/>
          <w:smallCaps w:val="0"/>
          <w:snapToGrid w:val="0"/>
          <w:color w:val="auto"/>
          <w:kern w:val="2"/>
          <w:sz w:val="24"/>
          <w:szCs w:val="24"/>
          <w:highlight w:val="none"/>
          <w:lang w:val="en-US" w:eastAsia="zh-CN" w:bidi="ar-SA"/>
        </w:rPr>
        <w:t>—</w:t>
      </w:r>
      <w:r>
        <w:rPr>
          <w:rFonts w:hint="default" w:ascii="Times New Roman" w:hAnsi="Times New Roman" w:eastAsia="宋体" w:cs="Times New Roman"/>
          <w:smallCaps w:val="0"/>
          <w:snapToGrid w:val="0"/>
          <w:color w:val="auto"/>
          <w:kern w:val="2"/>
          <w:sz w:val="24"/>
          <w:szCs w:val="24"/>
          <w:highlight w:val="none"/>
          <w:lang w:val="en-US" w:eastAsia="zh-CN" w:bidi="ar-SA"/>
        </w:rPr>
        <w:t>12km，倾向南东，倾角70-80°。地槽内接受了巨厚的第三系及第四系沉积。依-舒断裂近期仍有活动，沿断裂常常有轻震或微震发生。</w:t>
      </w:r>
    </w:p>
    <w:p w14:paraId="4A572261">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smallCaps w:val="0"/>
          <w:snapToGrid w:val="0"/>
          <w:color w:val="auto"/>
          <w:kern w:val="2"/>
          <w:sz w:val="24"/>
          <w:szCs w:val="24"/>
          <w:highlight w:val="none"/>
          <w:lang w:val="en-US" w:eastAsia="zh-CN" w:bidi="ar-SA"/>
        </w:rPr>
        <w:t>本区总的特点是丘陵山区缓慢上升，平原区缓慢下降。新构造运动以缓慢的差异性升降为主要特点。</w:t>
      </w:r>
      <w:bookmarkEnd w:id="364"/>
      <w:bookmarkEnd w:id="365"/>
      <w:bookmarkEnd w:id="366"/>
    </w:p>
    <w:p w14:paraId="047E21CB">
      <w:pPr>
        <w:pStyle w:val="6"/>
        <w:numPr>
          <w:ilvl w:val="2"/>
          <w:numId w:val="3"/>
        </w:numPr>
        <w:ind w:left="709" w:leftChars="0" w:hanging="709" w:firstLineChars="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水文地质条件</w:t>
      </w:r>
    </w:p>
    <w:p w14:paraId="64853FC8">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 xml:space="preserve">区内含水层主要为第四纪松散堆积物，地下水类型以孔隙潜水为主，由于表 </w:t>
      </w:r>
    </w:p>
    <w:p w14:paraId="461F216D">
      <w:pPr>
        <w:keepNext w:val="0"/>
        <w:keepLines w:val="0"/>
        <w:pageBreakBefore w:val="0"/>
        <w:widowControl/>
        <w:kinsoku/>
        <w:wordWrap/>
        <w:overflowPunct/>
        <w:topLinePunct w:val="0"/>
        <w:autoSpaceDE/>
        <w:autoSpaceDN/>
        <w:bidi w:val="0"/>
        <w:adjustRightInd w:val="0"/>
        <w:snapToGrid w:val="0"/>
        <w:spacing w:after="0" w:line="360" w:lineRule="auto"/>
        <w:ind w:left="0" w:leftChars="0" w:firstLine="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 xml:space="preserve">层黏性土厚度不同，局部地段发育孔隙微承压水。孔隙潜水与孔隙微承压水之间 除补给条件有所差异外，含水层具有厚度较大，分布稳定。 </w:t>
      </w:r>
    </w:p>
    <w:p w14:paraId="1B4B4027">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 xml:space="preserve">含水层岩性为含细粒土砂、粉土质砂，级配不良细砂，级配不良中、粗砂， 级配不良细砾等。此外，在厚层黏性土区，黏性土微孔隙中赋存有潜水。 </w:t>
      </w:r>
    </w:p>
    <w:p w14:paraId="3D6CEF9D">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地下水埋藏深度一般2.0m～10.0m，靠近河床处埋藏浅，而在黏土层较厚处， 埋藏较深。地下水水化学类型主要为 HCO-Ca</w:t>
      </w:r>
      <w:r>
        <w:rPr>
          <w:rFonts w:hint="default" w:ascii="Times New Roman" w:hAnsi="Times New Roman" w:eastAsia="宋体" w:cs="Times New Roman"/>
          <w:color w:val="auto"/>
          <w:sz w:val="24"/>
          <w:szCs w:val="24"/>
          <w:highlight w:val="none"/>
          <w:vertAlign w:val="subscript"/>
          <w:lang w:val="en-US" w:eastAsia="zh-CN"/>
        </w:rPr>
        <w:t>2</w:t>
      </w:r>
      <w:r>
        <w:rPr>
          <w:rFonts w:hint="default" w:ascii="Times New Roman" w:hAnsi="Times New Roman" w:eastAsia="宋体" w:cs="Times New Roman"/>
          <w:color w:val="auto"/>
          <w:sz w:val="24"/>
          <w:szCs w:val="24"/>
          <w:highlight w:val="none"/>
          <w:lang w:val="en-US" w:eastAsia="zh-CN"/>
        </w:rPr>
        <w:t>+Mg</w:t>
      </w:r>
      <w:r>
        <w:rPr>
          <w:rFonts w:hint="default" w:ascii="Times New Roman" w:hAnsi="Times New Roman" w:eastAsia="宋体" w:cs="Times New Roman"/>
          <w:color w:val="auto"/>
          <w:sz w:val="24"/>
          <w:szCs w:val="24"/>
          <w:highlight w:val="none"/>
          <w:vertAlign w:val="subscript"/>
          <w:lang w:val="en-US" w:eastAsia="zh-CN"/>
        </w:rPr>
        <w:t>2</w:t>
      </w:r>
      <w:r>
        <w:rPr>
          <w:rFonts w:hint="default" w:ascii="Times New Roman" w:hAnsi="Times New Roman" w:eastAsia="宋体" w:cs="Times New Roman"/>
          <w:color w:val="auto"/>
          <w:sz w:val="24"/>
          <w:szCs w:val="24"/>
          <w:highlight w:val="none"/>
          <w:lang w:val="en-US" w:eastAsia="zh-CN"/>
        </w:rPr>
        <w:t>+型，矿化度一般小于0.5g/L。</w:t>
      </w:r>
    </w:p>
    <w:p w14:paraId="3E91B829">
      <w:pPr>
        <w:pStyle w:val="4"/>
        <w:numPr>
          <w:ilvl w:val="1"/>
          <w:numId w:val="3"/>
        </w:numPr>
        <w:ind w:left="567" w:leftChars="0" w:hanging="567" w:firstLineChars="0"/>
        <w:rPr>
          <w:rFonts w:hint="default" w:ascii="Times New Roman" w:hAnsi="Times New Roman" w:eastAsia="宋体" w:cs="Times New Roman"/>
          <w:b/>
          <w:bCs/>
          <w:color w:val="auto"/>
          <w:highlight w:val="none"/>
        </w:rPr>
      </w:pPr>
      <w:bookmarkStart w:id="371" w:name="_Toc437"/>
      <w:bookmarkStart w:id="372" w:name="_Toc1263"/>
      <w:r>
        <w:rPr>
          <w:rFonts w:hint="default" w:ascii="Times New Roman" w:hAnsi="Times New Roman" w:eastAsia="宋体" w:cs="Times New Roman"/>
          <w:b/>
          <w:bCs/>
          <w:color w:val="auto"/>
          <w:highlight w:val="none"/>
        </w:rPr>
        <w:t>环境质量现状调查与评价</w:t>
      </w:r>
      <w:bookmarkEnd w:id="371"/>
      <w:bookmarkEnd w:id="372"/>
    </w:p>
    <w:p w14:paraId="502EF55D">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373" w:name="_Toc105659932"/>
      <w:bookmarkStart w:id="374" w:name="_Toc14959"/>
      <w:bookmarkStart w:id="375" w:name="_Toc3639"/>
      <w:bookmarkStart w:id="376" w:name="_Toc107238149"/>
      <w:bookmarkStart w:id="377" w:name="_Toc12634"/>
      <w:bookmarkStart w:id="378" w:name="_Toc10075"/>
      <w:r>
        <w:rPr>
          <w:rFonts w:hint="default" w:ascii="Times New Roman" w:hAnsi="Times New Roman" w:eastAsia="宋体" w:cs="Times New Roman"/>
          <w:color w:val="auto"/>
          <w:highlight w:val="none"/>
        </w:rPr>
        <w:t>环境空气质量现状</w:t>
      </w:r>
      <w:r>
        <w:rPr>
          <w:rFonts w:hint="default" w:ascii="Times New Roman" w:hAnsi="Times New Roman" w:eastAsia="宋体" w:cs="Times New Roman"/>
          <w:color w:val="auto"/>
          <w:highlight w:val="none"/>
          <w:lang w:val="en-US" w:eastAsia="zh-CN"/>
        </w:rPr>
        <w:t>调查与</w:t>
      </w:r>
      <w:r>
        <w:rPr>
          <w:rFonts w:hint="default" w:ascii="Times New Roman" w:hAnsi="Times New Roman" w:eastAsia="宋体" w:cs="Times New Roman"/>
          <w:color w:val="auto"/>
          <w:highlight w:val="none"/>
        </w:rPr>
        <w:t>评价</w:t>
      </w:r>
      <w:bookmarkEnd w:id="373"/>
      <w:bookmarkEnd w:id="374"/>
      <w:bookmarkEnd w:id="375"/>
      <w:bookmarkEnd w:id="376"/>
      <w:bookmarkEnd w:id="377"/>
      <w:bookmarkEnd w:id="378"/>
    </w:p>
    <w:p w14:paraId="24268C67">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根据《环境影响评价技术导则 大气环境》（HJ2.2-2018）中“6环境空气质量现状调查与评价中6.1.1一级评价项目要求”，一级评价项目需调查项目所在区域环境质量达标情况，作为项目所在区域是否为达标区的判断依据；调查评价范围内有环境质量标准的评价因子的环境质量监测数据或进行补充监测，用于评价项目所在区域污染物环境质量现状，以及计算环境空气保护目标和网格点的环境质量现状浓度。</w:t>
      </w:r>
    </w:p>
    <w:p w14:paraId="323E75A0">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本项目所在区域环境质量达标情况的判定采用</w:t>
      </w:r>
      <w:r>
        <w:rPr>
          <w:rFonts w:hint="eastAsia" w:ascii="Times New Roman" w:hAnsi="Times New Roman" w:eastAsia="宋体" w:cs="Times New Roman"/>
          <w:color w:val="auto"/>
          <w:highlight w:val="none"/>
          <w:lang w:val="en-US" w:eastAsia="zh-CN"/>
        </w:rPr>
        <w:t>佳木斯</w:t>
      </w:r>
      <w:r>
        <w:rPr>
          <w:rFonts w:hint="default" w:ascii="Times New Roman" w:hAnsi="Times New Roman" w:eastAsia="宋体" w:cs="Times New Roman"/>
          <w:color w:val="auto"/>
          <w:highlight w:val="none"/>
        </w:rPr>
        <w:t>市生态环境局2024年发布的《</w:t>
      </w:r>
      <w:r>
        <w:rPr>
          <w:rFonts w:hint="eastAsia" w:ascii="Times New Roman" w:hAnsi="Times New Roman" w:eastAsia="宋体" w:cs="Times New Roman"/>
          <w:color w:val="auto"/>
          <w:highlight w:val="none"/>
          <w:lang w:eastAsia="zh-CN"/>
        </w:rPr>
        <w:t>佳木斯市生态环境质量简报</w:t>
      </w:r>
      <w:r>
        <w:rPr>
          <w:rFonts w:hint="default" w:ascii="Times New Roman" w:hAnsi="Times New Roman" w:eastAsia="宋体" w:cs="Times New Roman"/>
          <w:color w:val="auto"/>
          <w:highlight w:val="none"/>
        </w:rPr>
        <w:t>（202</w:t>
      </w:r>
      <w:r>
        <w:rPr>
          <w:rFonts w:hint="eastAsia"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年度）》。根据《环境影响评价技术导则 大气环境》（HJ2.2-2018）中“6.3补充监测”要求，本项目排放的其他特征污染物TSP、NH</w:t>
      </w:r>
      <w:r>
        <w:rPr>
          <w:rFonts w:hint="default" w:ascii="Times New Roman" w:hAnsi="Times New Roman" w:eastAsia="宋体" w:cs="Times New Roman"/>
          <w:color w:val="auto"/>
          <w:highlight w:val="none"/>
          <w:vertAlign w:val="subscript"/>
        </w:rPr>
        <w:t>3</w:t>
      </w:r>
      <w:r>
        <w:rPr>
          <w:rFonts w:hint="default" w:ascii="Times New Roman" w:hAnsi="Times New Roman" w:eastAsia="宋体" w:cs="Times New Roman"/>
          <w:color w:val="auto"/>
          <w:highlight w:val="none"/>
        </w:rPr>
        <w:t>、Hg的环境质量现状数据委托黑龙江省瑞科检测技术有限公司进行检测。</w:t>
      </w:r>
    </w:p>
    <w:p w14:paraId="45D7D441">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项目所在区域</w:t>
      </w:r>
      <w:r>
        <w:rPr>
          <w:rFonts w:hint="default" w:ascii="Times New Roman" w:hAnsi="Times New Roman" w:eastAsia="宋体" w:cs="Times New Roman"/>
          <w:color w:val="auto"/>
          <w:highlight w:val="none"/>
          <w:lang w:val="en-US" w:eastAsia="zh-CN"/>
        </w:rPr>
        <w:t>环境</w:t>
      </w:r>
      <w:r>
        <w:rPr>
          <w:rFonts w:hint="default" w:ascii="Times New Roman" w:hAnsi="Times New Roman" w:eastAsia="宋体" w:cs="Times New Roman"/>
          <w:color w:val="auto"/>
          <w:highlight w:val="none"/>
          <w:lang w:eastAsia="zh-CN"/>
        </w:rPr>
        <w:t>空气质量达标区判断</w:t>
      </w:r>
    </w:p>
    <w:p w14:paraId="71982480">
      <w:pPr>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根据《环境空气质量监测点位布设技术规范》（HJ664-2013）和《环境影响评价技术导则 大气环境》</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HJ2.2-2018</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中要求 “6.2.1.1 项目所在区域达标判定，优先采用国家或地方生态环境主管部门公开发布的评价基准年环境，质量公告或环境质量报告中的数据或结论。”</w:t>
      </w:r>
    </w:p>
    <w:p w14:paraId="5D67EBFD">
      <w:pPr>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w:t>
      </w:r>
      <w:r>
        <w:rPr>
          <w:rFonts w:hint="eastAsia" w:ascii="Times New Roman" w:hAnsi="Times New Roman" w:eastAsia="宋体" w:cs="Times New Roman"/>
          <w:color w:val="auto"/>
          <w:sz w:val="24"/>
          <w:szCs w:val="24"/>
          <w:highlight w:val="none"/>
          <w:lang w:val="en-US" w:eastAsia="zh-CN"/>
        </w:rPr>
        <w:t>佳木斯市生态环境质量简报</w:t>
      </w:r>
      <w:r>
        <w:rPr>
          <w:rFonts w:hint="default" w:ascii="Times New Roman" w:hAnsi="Times New Roman" w:eastAsia="宋体" w:cs="Times New Roman"/>
          <w:color w:val="auto"/>
          <w:sz w:val="24"/>
          <w:szCs w:val="24"/>
          <w:highlight w:val="none"/>
          <w:lang w:val="en-US" w:eastAsia="zh-CN"/>
        </w:rPr>
        <w:t>（202</w:t>
      </w:r>
      <w:r>
        <w:rPr>
          <w:rFonts w:hint="eastAsia"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lang w:val="en-US" w:eastAsia="zh-CN"/>
        </w:rPr>
        <w:t>年度）》，</w:t>
      </w:r>
      <w:r>
        <w:rPr>
          <w:rFonts w:hint="eastAsia" w:ascii="Times New Roman" w:hAnsi="Times New Roman" w:eastAsia="宋体" w:cs="Times New Roman"/>
          <w:color w:val="auto"/>
          <w:kern w:val="2"/>
          <w:sz w:val="24"/>
          <w:szCs w:val="24"/>
          <w:highlight w:val="none"/>
          <w:lang w:val="en-US" w:eastAsia="zh-CN"/>
        </w:rPr>
        <w:t>佳木斯市区环境空气质量“优”天数236天，“良”天数106天，优良天数比例93.4%，同比下降0.3个百分点；轻度及以上污染天数24天。市区细颗粒物、可吸入颗粒物、二氧化硫、二氧化氮年均值，一氧化碳日均值及臭氧日最大8小时平均值浓度均达到《环境空气质量》（GB 3095-2012）及其修改单二级标准。</w:t>
      </w:r>
    </w:p>
    <w:p w14:paraId="6039F30F">
      <w:pPr>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eastAsia="zh-CN"/>
        </w:rPr>
        <w:t>本项目所在区域空气质量达标情况判定结果见表</w:t>
      </w:r>
      <w:r>
        <w:rPr>
          <w:rFonts w:hint="default" w:ascii="Times New Roman" w:hAnsi="Times New Roman" w:eastAsia="宋体" w:cs="Times New Roman"/>
          <w:color w:val="auto"/>
          <w:sz w:val="24"/>
          <w:szCs w:val="24"/>
          <w:highlight w:val="none"/>
          <w:lang w:val="en-US" w:eastAsia="zh-CN"/>
        </w:rPr>
        <w:t>5.2-1。</w:t>
      </w:r>
    </w:p>
    <w:p w14:paraId="239CB2D8">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szCs w:val="24"/>
          <w:highlight w:val="none"/>
          <w:lang w:val="en-US" w:eastAsia="zh-CN"/>
        </w:rPr>
        <w:t>表5.2-1  本项目所在区域空气质量现状评价表</w:t>
      </w:r>
    </w:p>
    <w:tbl>
      <w:tblPr>
        <w:tblStyle w:val="37"/>
        <w:tblW w:w="4998"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928"/>
        <w:gridCol w:w="3420"/>
        <w:gridCol w:w="1383"/>
        <w:gridCol w:w="1242"/>
        <w:gridCol w:w="1057"/>
        <w:gridCol w:w="815"/>
      </w:tblGrid>
      <w:tr w14:paraId="36A3F34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894" w:type="dxa"/>
            <w:tcBorders>
              <w:tl2br w:val="nil"/>
              <w:tr2bl w:val="nil"/>
            </w:tcBorders>
            <w:noWrap w:val="0"/>
            <w:vAlign w:val="center"/>
          </w:tcPr>
          <w:p w14:paraId="424C67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污染物</w:t>
            </w:r>
          </w:p>
        </w:tc>
        <w:tc>
          <w:tcPr>
            <w:tcW w:w="3294" w:type="dxa"/>
            <w:tcBorders>
              <w:tl2br w:val="nil"/>
              <w:tr2bl w:val="nil"/>
            </w:tcBorders>
            <w:noWrap w:val="0"/>
            <w:vAlign w:val="center"/>
          </w:tcPr>
          <w:p w14:paraId="199FA0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年评价指标</w:t>
            </w:r>
          </w:p>
        </w:tc>
        <w:tc>
          <w:tcPr>
            <w:tcW w:w="1332" w:type="dxa"/>
            <w:tcBorders>
              <w:tl2br w:val="nil"/>
              <w:tr2bl w:val="nil"/>
            </w:tcBorders>
            <w:noWrap w:val="0"/>
            <w:vAlign w:val="center"/>
          </w:tcPr>
          <w:p w14:paraId="04185A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现状浓度/</w:t>
            </w:r>
          </w:p>
          <w:p w14:paraId="4F237B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eastAsia="zh-CN"/>
              </w:rPr>
              <w:t>μg/m</w:t>
            </w:r>
            <w:r>
              <w:rPr>
                <w:rFonts w:hint="default" w:ascii="Times New Roman" w:hAnsi="Times New Roman" w:eastAsia="宋体" w:cs="Times New Roman"/>
                <w:color w:val="auto"/>
                <w:sz w:val="21"/>
                <w:szCs w:val="21"/>
                <w:highlight w:val="none"/>
                <w:vertAlign w:val="superscript"/>
                <w:lang w:eastAsia="zh-CN"/>
              </w:rPr>
              <w:t>3</w:t>
            </w:r>
            <w:r>
              <w:rPr>
                <w:rFonts w:hint="eastAsia" w:ascii="Times New Roman" w:hAnsi="Times New Roman" w:eastAsia="宋体" w:cs="Times New Roman"/>
                <w:color w:val="auto"/>
                <w:sz w:val="21"/>
                <w:szCs w:val="21"/>
                <w:highlight w:val="none"/>
                <w:vertAlign w:val="superscript"/>
                <w:lang w:eastAsia="zh-CN"/>
              </w:rPr>
              <w:t>)</w:t>
            </w:r>
          </w:p>
        </w:tc>
        <w:tc>
          <w:tcPr>
            <w:tcW w:w="1196" w:type="dxa"/>
            <w:tcBorders>
              <w:tl2br w:val="nil"/>
              <w:tr2bl w:val="nil"/>
            </w:tcBorders>
            <w:noWrap w:val="0"/>
            <w:vAlign w:val="center"/>
          </w:tcPr>
          <w:p w14:paraId="585507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标准值/</w:t>
            </w:r>
          </w:p>
          <w:p w14:paraId="30E64A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eastAsia="zh-CN"/>
              </w:rPr>
              <w:t>μg/m</w:t>
            </w:r>
            <w:r>
              <w:rPr>
                <w:rFonts w:hint="default" w:ascii="Times New Roman" w:hAnsi="Times New Roman" w:eastAsia="宋体" w:cs="Times New Roman"/>
                <w:color w:val="auto"/>
                <w:sz w:val="21"/>
                <w:szCs w:val="21"/>
                <w:highlight w:val="none"/>
                <w:vertAlign w:val="superscript"/>
                <w:lang w:eastAsia="zh-CN"/>
              </w:rPr>
              <w:t>3</w:t>
            </w:r>
            <w:r>
              <w:rPr>
                <w:rFonts w:hint="eastAsia" w:ascii="Times New Roman" w:hAnsi="Times New Roman" w:eastAsia="宋体" w:cs="Times New Roman"/>
                <w:color w:val="auto"/>
                <w:sz w:val="21"/>
                <w:szCs w:val="21"/>
                <w:highlight w:val="none"/>
                <w:vertAlign w:val="superscript"/>
                <w:lang w:eastAsia="zh-CN"/>
              </w:rPr>
              <w:t>)</w:t>
            </w:r>
          </w:p>
        </w:tc>
        <w:tc>
          <w:tcPr>
            <w:tcW w:w="1018" w:type="dxa"/>
            <w:tcBorders>
              <w:tl2br w:val="nil"/>
              <w:tr2bl w:val="nil"/>
            </w:tcBorders>
            <w:noWrap w:val="0"/>
            <w:vAlign w:val="center"/>
          </w:tcPr>
          <w:p w14:paraId="1C3380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占标率/%</w:t>
            </w:r>
          </w:p>
        </w:tc>
        <w:tc>
          <w:tcPr>
            <w:tcW w:w="785" w:type="dxa"/>
            <w:tcBorders>
              <w:tl2br w:val="nil"/>
              <w:tr2bl w:val="nil"/>
            </w:tcBorders>
            <w:noWrap w:val="0"/>
            <w:vAlign w:val="center"/>
          </w:tcPr>
          <w:p w14:paraId="7642E1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达标情况</w:t>
            </w:r>
          </w:p>
        </w:tc>
      </w:tr>
      <w:tr w14:paraId="423CC2C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894" w:type="dxa"/>
            <w:tcBorders>
              <w:tl2br w:val="nil"/>
              <w:tr2bl w:val="nil"/>
            </w:tcBorders>
            <w:noWrap w:val="0"/>
            <w:vAlign w:val="center"/>
          </w:tcPr>
          <w:p w14:paraId="114608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PM</w:t>
            </w:r>
            <w:r>
              <w:rPr>
                <w:rFonts w:hint="default" w:ascii="Times New Roman" w:hAnsi="Times New Roman" w:eastAsia="宋体" w:cs="Times New Roman"/>
                <w:color w:val="auto"/>
                <w:sz w:val="21"/>
                <w:szCs w:val="21"/>
                <w:highlight w:val="none"/>
                <w:vertAlign w:val="subscript"/>
                <w:lang w:eastAsia="zh-CN"/>
              </w:rPr>
              <w:t>2.5</w:t>
            </w:r>
          </w:p>
        </w:tc>
        <w:tc>
          <w:tcPr>
            <w:tcW w:w="3294" w:type="dxa"/>
            <w:tcBorders>
              <w:tl2br w:val="nil"/>
              <w:tr2bl w:val="nil"/>
            </w:tcBorders>
            <w:noWrap w:val="0"/>
            <w:vAlign w:val="center"/>
          </w:tcPr>
          <w:p w14:paraId="79356D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年平均质量浓度</w:t>
            </w:r>
          </w:p>
        </w:tc>
        <w:tc>
          <w:tcPr>
            <w:tcW w:w="1332" w:type="dxa"/>
            <w:tcBorders>
              <w:tl2br w:val="nil"/>
              <w:tr2bl w:val="nil"/>
            </w:tcBorders>
            <w:noWrap w:val="0"/>
            <w:vAlign w:val="center"/>
          </w:tcPr>
          <w:p w14:paraId="7493EE38">
            <w:pPr>
              <w:pStyle w:val="89"/>
              <w:keepNext w:val="0"/>
              <w:keepLines w:val="0"/>
              <w:pageBreakBefore w:val="0"/>
              <w:tabs>
                <w:tab w:val="center" w:pos="4153"/>
                <w:tab w:val="right" w:pos="8306"/>
              </w:tabs>
              <w:kinsoku/>
              <w:wordWrap/>
              <w:overflowPunct/>
              <w:topLinePunct w:val="0"/>
              <w:autoSpaceDE/>
              <w:autoSpaceDN/>
              <w:bidi w:val="0"/>
              <w:adjustRightInd/>
              <w:snapToGrid/>
              <w:spacing w:beforeLines="0" w:afterLines="0" w:line="240" w:lineRule="auto"/>
              <w:ind w:firstLine="0" w:firstLineChars="0"/>
              <w:contextualSpacing/>
              <w:jc w:val="center"/>
              <w:rPr>
                <w:rFonts w:hint="default" w:ascii="Times New Roman" w:hAnsi="Times New Roman" w:eastAsia="宋体" w:cs="Times New Roman"/>
                <w:color w:val="auto"/>
                <w:sz w:val="21"/>
                <w:szCs w:val="21"/>
                <w:highlight w:val="none"/>
                <w:lang w:val="en-US" w:eastAsia="zh-CN"/>
              </w:rPr>
            </w:pPr>
            <w:r>
              <w:rPr>
                <w:rFonts w:hint="eastAsia"/>
                <w:color w:val="auto"/>
                <w:sz w:val="21"/>
                <w:szCs w:val="21"/>
                <w:highlight w:val="none"/>
                <w:lang w:val="en-US" w:eastAsia="zh-CN"/>
              </w:rPr>
              <w:t>28</w:t>
            </w:r>
          </w:p>
        </w:tc>
        <w:tc>
          <w:tcPr>
            <w:tcW w:w="1196" w:type="dxa"/>
            <w:tcBorders>
              <w:tl2br w:val="nil"/>
              <w:tr2bl w:val="nil"/>
            </w:tcBorders>
            <w:noWrap w:val="0"/>
            <w:vAlign w:val="center"/>
          </w:tcPr>
          <w:p w14:paraId="0106208D">
            <w:pPr>
              <w:pStyle w:val="89"/>
              <w:keepNext w:val="0"/>
              <w:keepLines w:val="0"/>
              <w:pageBreakBefore w:val="0"/>
              <w:tabs>
                <w:tab w:val="center" w:pos="4153"/>
                <w:tab w:val="right" w:pos="8306"/>
              </w:tabs>
              <w:kinsoku/>
              <w:wordWrap/>
              <w:overflowPunct/>
              <w:topLinePunct w:val="0"/>
              <w:autoSpaceDE/>
              <w:autoSpaceDN/>
              <w:bidi w:val="0"/>
              <w:adjustRightInd/>
              <w:snapToGrid/>
              <w:spacing w:beforeLines="0" w:afterLines="0" w:line="240" w:lineRule="auto"/>
              <w:ind w:firstLine="0" w:firstLineChars="0"/>
              <w:contextualSpacing/>
              <w:jc w:val="center"/>
              <w:rPr>
                <w:rFonts w:hint="default" w:ascii="Times New Roman" w:hAnsi="Times New Roman" w:eastAsia="宋体" w:cs="Times New Roman"/>
                <w:color w:val="auto"/>
                <w:sz w:val="21"/>
                <w:szCs w:val="21"/>
                <w:highlight w:val="none"/>
                <w:lang w:val="en-US" w:eastAsia="zh-CN"/>
              </w:rPr>
            </w:pPr>
            <w:r>
              <w:rPr>
                <w:color w:val="auto"/>
                <w:sz w:val="21"/>
                <w:szCs w:val="21"/>
                <w:highlight w:val="none"/>
              </w:rPr>
              <w:t>35</w:t>
            </w:r>
          </w:p>
        </w:tc>
        <w:tc>
          <w:tcPr>
            <w:tcW w:w="1018" w:type="dxa"/>
            <w:tcBorders>
              <w:tl2br w:val="nil"/>
              <w:tr2bl w:val="nil"/>
            </w:tcBorders>
            <w:noWrap w:val="0"/>
            <w:vAlign w:val="center"/>
          </w:tcPr>
          <w:p w14:paraId="531501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80</w:t>
            </w:r>
          </w:p>
        </w:tc>
        <w:tc>
          <w:tcPr>
            <w:tcW w:w="785" w:type="dxa"/>
            <w:tcBorders>
              <w:tl2br w:val="nil"/>
              <w:tr2bl w:val="nil"/>
            </w:tcBorders>
            <w:noWrap w:val="0"/>
            <w:vAlign w:val="center"/>
          </w:tcPr>
          <w:p w14:paraId="7D3B0B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达标</w:t>
            </w:r>
          </w:p>
        </w:tc>
      </w:tr>
      <w:tr w14:paraId="2EB8B94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894" w:type="dxa"/>
            <w:tcBorders>
              <w:tl2br w:val="nil"/>
              <w:tr2bl w:val="nil"/>
            </w:tcBorders>
            <w:noWrap w:val="0"/>
            <w:vAlign w:val="center"/>
          </w:tcPr>
          <w:p w14:paraId="32D1A7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PM</w:t>
            </w:r>
            <w:r>
              <w:rPr>
                <w:rFonts w:hint="default" w:ascii="Times New Roman" w:hAnsi="Times New Roman" w:eastAsia="宋体" w:cs="Times New Roman"/>
                <w:color w:val="auto"/>
                <w:sz w:val="21"/>
                <w:szCs w:val="21"/>
                <w:highlight w:val="none"/>
                <w:vertAlign w:val="subscript"/>
                <w:lang w:eastAsia="zh-CN"/>
              </w:rPr>
              <w:t>10</w:t>
            </w:r>
          </w:p>
        </w:tc>
        <w:tc>
          <w:tcPr>
            <w:tcW w:w="3294" w:type="dxa"/>
            <w:tcBorders>
              <w:tl2br w:val="nil"/>
              <w:tr2bl w:val="nil"/>
            </w:tcBorders>
            <w:noWrap w:val="0"/>
            <w:vAlign w:val="center"/>
          </w:tcPr>
          <w:p w14:paraId="0160A7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年平均质量浓度</w:t>
            </w:r>
          </w:p>
        </w:tc>
        <w:tc>
          <w:tcPr>
            <w:tcW w:w="1332" w:type="dxa"/>
            <w:tcBorders>
              <w:tl2br w:val="nil"/>
              <w:tr2bl w:val="nil"/>
            </w:tcBorders>
            <w:noWrap w:val="0"/>
            <w:vAlign w:val="center"/>
          </w:tcPr>
          <w:p w14:paraId="47FF1FC6">
            <w:pPr>
              <w:pStyle w:val="89"/>
              <w:keepNext w:val="0"/>
              <w:keepLines w:val="0"/>
              <w:pageBreakBefore w:val="0"/>
              <w:tabs>
                <w:tab w:val="center" w:pos="4153"/>
                <w:tab w:val="right" w:pos="8306"/>
              </w:tabs>
              <w:kinsoku/>
              <w:wordWrap/>
              <w:overflowPunct/>
              <w:topLinePunct w:val="0"/>
              <w:autoSpaceDE/>
              <w:autoSpaceDN/>
              <w:bidi w:val="0"/>
              <w:adjustRightInd/>
              <w:snapToGrid/>
              <w:spacing w:beforeLines="0" w:afterLines="0" w:line="240" w:lineRule="auto"/>
              <w:ind w:firstLine="0" w:firstLineChars="0"/>
              <w:contextualSpacing/>
              <w:jc w:val="center"/>
              <w:rPr>
                <w:rFonts w:hint="default" w:ascii="Times New Roman" w:hAnsi="Times New Roman" w:eastAsia="宋体" w:cs="Times New Roman"/>
                <w:color w:val="auto"/>
                <w:sz w:val="21"/>
                <w:szCs w:val="21"/>
                <w:highlight w:val="none"/>
                <w:lang w:val="en-US" w:eastAsia="zh-CN"/>
              </w:rPr>
            </w:pPr>
            <w:r>
              <w:rPr>
                <w:rFonts w:hint="eastAsia"/>
                <w:color w:val="auto"/>
                <w:sz w:val="21"/>
                <w:szCs w:val="21"/>
                <w:highlight w:val="none"/>
                <w:lang w:val="en-US" w:eastAsia="zh-CN"/>
              </w:rPr>
              <w:t>39</w:t>
            </w:r>
          </w:p>
        </w:tc>
        <w:tc>
          <w:tcPr>
            <w:tcW w:w="1196" w:type="dxa"/>
            <w:tcBorders>
              <w:tl2br w:val="nil"/>
              <w:tr2bl w:val="nil"/>
            </w:tcBorders>
            <w:noWrap w:val="0"/>
            <w:vAlign w:val="center"/>
          </w:tcPr>
          <w:p w14:paraId="277CFBCF">
            <w:pPr>
              <w:pStyle w:val="89"/>
              <w:keepNext w:val="0"/>
              <w:keepLines w:val="0"/>
              <w:pageBreakBefore w:val="0"/>
              <w:tabs>
                <w:tab w:val="center" w:pos="4153"/>
                <w:tab w:val="right" w:pos="8306"/>
              </w:tabs>
              <w:kinsoku/>
              <w:wordWrap/>
              <w:overflowPunct/>
              <w:topLinePunct w:val="0"/>
              <w:autoSpaceDE/>
              <w:autoSpaceDN/>
              <w:bidi w:val="0"/>
              <w:adjustRightInd/>
              <w:snapToGrid/>
              <w:spacing w:beforeLines="0" w:afterLines="0" w:line="240" w:lineRule="auto"/>
              <w:ind w:firstLine="0" w:firstLineChars="0"/>
              <w:contextualSpacing/>
              <w:jc w:val="center"/>
              <w:rPr>
                <w:rFonts w:hint="default" w:ascii="Times New Roman" w:hAnsi="Times New Roman" w:eastAsia="宋体" w:cs="Times New Roman"/>
                <w:color w:val="auto"/>
                <w:sz w:val="21"/>
                <w:szCs w:val="21"/>
                <w:highlight w:val="none"/>
                <w:lang w:val="en-US" w:eastAsia="zh-CN"/>
              </w:rPr>
            </w:pPr>
            <w:r>
              <w:rPr>
                <w:color w:val="auto"/>
                <w:sz w:val="21"/>
                <w:szCs w:val="21"/>
                <w:highlight w:val="none"/>
              </w:rPr>
              <w:t>70</w:t>
            </w:r>
          </w:p>
        </w:tc>
        <w:tc>
          <w:tcPr>
            <w:tcW w:w="1018" w:type="dxa"/>
            <w:tcBorders>
              <w:tl2br w:val="nil"/>
              <w:tr2bl w:val="nil"/>
            </w:tcBorders>
            <w:noWrap w:val="0"/>
            <w:vAlign w:val="center"/>
          </w:tcPr>
          <w:p w14:paraId="6017A9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55.71</w:t>
            </w:r>
          </w:p>
        </w:tc>
        <w:tc>
          <w:tcPr>
            <w:tcW w:w="785" w:type="dxa"/>
            <w:tcBorders>
              <w:tl2br w:val="nil"/>
              <w:tr2bl w:val="nil"/>
            </w:tcBorders>
            <w:noWrap w:val="0"/>
            <w:vAlign w:val="center"/>
          </w:tcPr>
          <w:p w14:paraId="766761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达标</w:t>
            </w:r>
          </w:p>
        </w:tc>
      </w:tr>
      <w:tr w14:paraId="152D0E8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894" w:type="dxa"/>
            <w:tcBorders>
              <w:tl2br w:val="nil"/>
              <w:tr2bl w:val="nil"/>
            </w:tcBorders>
            <w:noWrap w:val="0"/>
            <w:vAlign w:val="center"/>
          </w:tcPr>
          <w:p w14:paraId="556881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NO</w:t>
            </w:r>
            <w:r>
              <w:rPr>
                <w:rFonts w:hint="default" w:ascii="Times New Roman" w:hAnsi="Times New Roman" w:eastAsia="宋体" w:cs="Times New Roman"/>
                <w:color w:val="auto"/>
                <w:sz w:val="21"/>
                <w:szCs w:val="21"/>
                <w:highlight w:val="none"/>
                <w:vertAlign w:val="subscript"/>
                <w:lang w:eastAsia="zh-CN"/>
              </w:rPr>
              <w:t>2</w:t>
            </w:r>
          </w:p>
        </w:tc>
        <w:tc>
          <w:tcPr>
            <w:tcW w:w="3294" w:type="dxa"/>
            <w:tcBorders>
              <w:tl2br w:val="nil"/>
              <w:tr2bl w:val="nil"/>
            </w:tcBorders>
            <w:noWrap w:val="0"/>
            <w:vAlign w:val="center"/>
          </w:tcPr>
          <w:p w14:paraId="4F31C8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年平均质量浓度</w:t>
            </w:r>
          </w:p>
        </w:tc>
        <w:tc>
          <w:tcPr>
            <w:tcW w:w="1332" w:type="dxa"/>
            <w:tcBorders>
              <w:tl2br w:val="nil"/>
              <w:tr2bl w:val="nil"/>
            </w:tcBorders>
            <w:noWrap w:val="0"/>
            <w:vAlign w:val="center"/>
          </w:tcPr>
          <w:p w14:paraId="2C6D9128">
            <w:pPr>
              <w:pStyle w:val="89"/>
              <w:keepNext w:val="0"/>
              <w:keepLines w:val="0"/>
              <w:pageBreakBefore w:val="0"/>
              <w:tabs>
                <w:tab w:val="center" w:pos="4153"/>
                <w:tab w:val="right" w:pos="8306"/>
              </w:tabs>
              <w:kinsoku/>
              <w:wordWrap/>
              <w:overflowPunct/>
              <w:topLinePunct w:val="0"/>
              <w:autoSpaceDE/>
              <w:autoSpaceDN/>
              <w:bidi w:val="0"/>
              <w:adjustRightInd/>
              <w:snapToGrid/>
              <w:spacing w:beforeLines="0" w:afterLines="0" w:line="240" w:lineRule="auto"/>
              <w:ind w:firstLine="0" w:firstLineChars="0"/>
              <w:contextualSpacing/>
              <w:jc w:val="center"/>
              <w:rPr>
                <w:rFonts w:hint="default" w:ascii="Times New Roman" w:hAnsi="Times New Roman" w:eastAsia="宋体" w:cs="Times New Roman"/>
                <w:color w:val="auto"/>
                <w:sz w:val="21"/>
                <w:szCs w:val="21"/>
                <w:highlight w:val="none"/>
                <w:lang w:val="en-US" w:eastAsia="zh-CN"/>
              </w:rPr>
            </w:pPr>
            <w:r>
              <w:rPr>
                <w:rFonts w:hint="eastAsia"/>
                <w:color w:val="auto"/>
                <w:sz w:val="21"/>
                <w:szCs w:val="21"/>
                <w:highlight w:val="none"/>
                <w:lang w:val="en-US" w:eastAsia="zh-CN"/>
              </w:rPr>
              <w:t>19</w:t>
            </w:r>
          </w:p>
        </w:tc>
        <w:tc>
          <w:tcPr>
            <w:tcW w:w="1196" w:type="dxa"/>
            <w:tcBorders>
              <w:tl2br w:val="nil"/>
              <w:tr2bl w:val="nil"/>
            </w:tcBorders>
            <w:noWrap w:val="0"/>
            <w:vAlign w:val="center"/>
          </w:tcPr>
          <w:p w14:paraId="5FA7B25D">
            <w:pPr>
              <w:pStyle w:val="89"/>
              <w:keepNext w:val="0"/>
              <w:keepLines w:val="0"/>
              <w:pageBreakBefore w:val="0"/>
              <w:tabs>
                <w:tab w:val="center" w:pos="4153"/>
                <w:tab w:val="right" w:pos="8306"/>
              </w:tabs>
              <w:kinsoku/>
              <w:wordWrap/>
              <w:overflowPunct/>
              <w:topLinePunct w:val="0"/>
              <w:autoSpaceDE/>
              <w:autoSpaceDN/>
              <w:bidi w:val="0"/>
              <w:adjustRightInd/>
              <w:snapToGrid/>
              <w:spacing w:beforeLines="0" w:afterLines="0" w:line="240" w:lineRule="auto"/>
              <w:ind w:firstLine="0" w:firstLineChars="0"/>
              <w:contextualSpacing/>
              <w:jc w:val="center"/>
              <w:rPr>
                <w:rFonts w:hint="default" w:ascii="Times New Roman" w:hAnsi="Times New Roman" w:eastAsia="宋体" w:cs="Times New Roman"/>
                <w:color w:val="auto"/>
                <w:sz w:val="21"/>
                <w:szCs w:val="21"/>
                <w:highlight w:val="none"/>
                <w:lang w:val="en-US" w:eastAsia="zh-CN"/>
              </w:rPr>
            </w:pPr>
            <w:r>
              <w:rPr>
                <w:color w:val="auto"/>
                <w:sz w:val="21"/>
                <w:szCs w:val="21"/>
                <w:highlight w:val="none"/>
              </w:rPr>
              <w:t>40</w:t>
            </w:r>
          </w:p>
        </w:tc>
        <w:tc>
          <w:tcPr>
            <w:tcW w:w="1018" w:type="dxa"/>
            <w:tcBorders>
              <w:tl2br w:val="nil"/>
              <w:tr2bl w:val="nil"/>
            </w:tcBorders>
            <w:noWrap w:val="0"/>
            <w:vAlign w:val="center"/>
          </w:tcPr>
          <w:p w14:paraId="04C859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47.5</w:t>
            </w:r>
            <w:r>
              <w:rPr>
                <w:rFonts w:hint="default" w:ascii="Times New Roman" w:hAnsi="Times New Roman" w:cs="Times New Roman"/>
                <w:i w:val="0"/>
                <w:iCs w:val="0"/>
                <w:color w:val="000000"/>
                <w:kern w:val="0"/>
                <w:sz w:val="21"/>
                <w:szCs w:val="21"/>
                <w:highlight w:val="none"/>
                <w:u w:val="none"/>
                <w:lang w:val="en-US" w:eastAsia="zh-CN" w:bidi="ar"/>
              </w:rPr>
              <w:t>0</w:t>
            </w:r>
          </w:p>
        </w:tc>
        <w:tc>
          <w:tcPr>
            <w:tcW w:w="785" w:type="dxa"/>
            <w:tcBorders>
              <w:tl2br w:val="nil"/>
              <w:tr2bl w:val="nil"/>
            </w:tcBorders>
            <w:noWrap w:val="0"/>
            <w:vAlign w:val="center"/>
          </w:tcPr>
          <w:p w14:paraId="4E2757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达标</w:t>
            </w:r>
          </w:p>
        </w:tc>
      </w:tr>
      <w:tr w14:paraId="7ACAD34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894" w:type="dxa"/>
            <w:tcBorders>
              <w:tl2br w:val="nil"/>
              <w:tr2bl w:val="nil"/>
            </w:tcBorders>
            <w:noWrap w:val="0"/>
            <w:vAlign w:val="center"/>
          </w:tcPr>
          <w:p w14:paraId="49D9D3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SO</w:t>
            </w:r>
            <w:r>
              <w:rPr>
                <w:rFonts w:hint="default" w:ascii="Times New Roman" w:hAnsi="Times New Roman" w:eastAsia="宋体" w:cs="Times New Roman"/>
                <w:color w:val="auto"/>
                <w:sz w:val="21"/>
                <w:szCs w:val="21"/>
                <w:highlight w:val="none"/>
                <w:vertAlign w:val="subscript"/>
                <w:lang w:eastAsia="zh-CN"/>
              </w:rPr>
              <w:t>2</w:t>
            </w:r>
          </w:p>
        </w:tc>
        <w:tc>
          <w:tcPr>
            <w:tcW w:w="3294" w:type="dxa"/>
            <w:tcBorders>
              <w:tl2br w:val="nil"/>
              <w:tr2bl w:val="nil"/>
            </w:tcBorders>
            <w:noWrap w:val="0"/>
            <w:vAlign w:val="center"/>
          </w:tcPr>
          <w:p w14:paraId="579578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年平均质量浓度</w:t>
            </w:r>
          </w:p>
        </w:tc>
        <w:tc>
          <w:tcPr>
            <w:tcW w:w="1332" w:type="dxa"/>
            <w:tcBorders>
              <w:tl2br w:val="nil"/>
              <w:tr2bl w:val="nil"/>
            </w:tcBorders>
            <w:noWrap w:val="0"/>
            <w:vAlign w:val="center"/>
          </w:tcPr>
          <w:p w14:paraId="38946282">
            <w:pPr>
              <w:pStyle w:val="89"/>
              <w:keepNext w:val="0"/>
              <w:keepLines w:val="0"/>
              <w:pageBreakBefore w:val="0"/>
              <w:tabs>
                <w:tab w:val="center" w:pos="4153"/>
                <w:tab w:val="right" w:pos="8306"/>
              </w:tabs>
              <w:kinsoku/>
              <w:wordWrap/>
              <w:overflowPunct/>
              <w:topLinePunct w:val="0"/>
              <w:autoSpaceDE/>
              <w:autoSpaceDN/>
              <w:bidi w:val="0"/>
              <w:adjustRightInd/>
              <w:snapToGrid/>
              <w:spacing w:beforeLines="0" w:afterLines="0" w:line="240" w:lineRule="auto"/>
              <w:ind w:firstLine="0" w:firstLineChars="0"/>
              <w:contextualSpacing/>
              <w:jc w:val="center"/>
              <w:rPr>
                <w:rFonts w:hint="default" w:ascii="Times New Roman" w:hAnsi="Times New Roman" w:eastAsia="宋体" w:cs="Times New Roman"/>
                <w:color w:val="auto"/>
                <w:sz w:val="21"/>
                <w:szCs w:val="21"/>
                <w:highlight w:val="none"/>
                <w:lang w:val="en-US" w:eastAsia="zh-CN"/>
              </w:rPr>
            </w:pPr>
            <w:r>
              <w:rPr>
                <w:rFonts w:hint="eastAsia"/>
                <w:color w:val="auto"/>
                <w:sz w:val="21"/>
                <w:szCs w:val="21"/>
                <w:highlight w:val="none"/>
                <w:lang w:val="en-US" w:eastAsia="zh-CN"/>
              </w:rPr>
              <w:t>7</w:t>
            </w:r>
          </w:p>
        </w:tc>
        <w:tc>
          <w:tcPr>
            <w:tcW w:w="1196" w:type="dxa"/>
            <w:tcBorders>
              <w:tl2br w:val="nil"/>
              <w:tr2bl w:val="nil"/>
            </w:tcBorders>
            <w:noWrap w:val="0"/>
            <w:vAlign w:val="center"/>
          </w:tcPr>
          <w:p w14:paraId="4F0F42C9">
            <w:pPr>
              <w:pStyle w:val="89"/>
              <w:keepNext w:val="0"/>
              <w:keepLines w:val="0"/>
              <w:pageBreakBefore w:val="0"/>
              <w:tabs>
                <w:tab w:val="center" w:pos="4153"/>
                <w:tab w:val="right" w:pos="8306"/>
              </w:tabs>
              <w:kinsoku/>
              <w:wordWrap/>
              <w:overflowPunct/>
              <w:topLinePunct w:val="0"/>
              <w:autoSpaceDE/>
              <w:autoSpaceDN/>
              <w:bidi w:val="0"/>
              <w:adjustRightInd/>
              <w:snapToGrid/>
              <w:spacing w:beforeLines="0" w:afterLines="0" w:line="240" w:lineRule="auto"/>
              <w:ind w:firstLine="0" w:firstLineChars="0"/>
              <w:contextualSpacing/>
              <w:jc w:val="center"/>
              <w:rPr>
                <w:rFonts w:hint="default" w:ascii="Times New Roman" w:hAnsi="Times New Roman" w:eastAsia="宋体" w:cs="Times New Roman"/>
                <w:color w:val="auto"/>
                <w:sz w:val="21"/>
                <w:szCs w:val="21"/>
                <w:highlight w:val="none"/>
                <w:lang w:val="en-US" w:eastAsia="zh-CN"/>
              </w:rPr>
            </w:pPr>
            <w:r>
              <w:rPr>
                <w:color w:val="auto"/>
                <w:sz w:val="21"/>
                <w:szCs w:val="21"/>
                <w:highlight w:val="none"/>
              </w:rPr>
              <w:t>60</w:t>
            </w:r>
          </w:p>
        </w:tc>
        <w:tc>
          <w:tcPr>
            <w:tcW w:w="1018" w:type="dxa"/>
            <w:tcBorders>
              <w:tl2br w:val="nil"/>
              <w:tr2bl w:val="nil"/>
            </w:tcBorders>
            <w:noWrap w:val="0"/>
            <w:vAlign w:val="center"/>
          </w:tcPr>
          <w:p w14:paraId="322214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11.67</w:t>
            </w:r>
          </w:p>
        </w:tc>
        <w:tc>
          <w:tcPr>
            <w:tcW w:w="785" w:type="dxa"/>
            <w:tcBorders>
              <w:tl2br w:val="nil"/>
              <w:tr2bl w:val="nil"/>
            </w:tcBorders>
            <w:noWrap w:val="0"/>
            <w:vAlign w:val="center"/>
          </w:tcPr>
          <w:p w14:paraId="08D1BD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达标</w:t>
            </w:r>
          </w:p>
        </w:tc>
      </w:tr>
      <w:tr w14:paraId="5E9DA7E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894" w:type="dxa"/>
            <w:tcBorders>
              <w:tl2br w:val="nil"/>
              <w:tr2bl w:val="nil"/>
            </w:tcBorders>
            <w:noWrap w:val="0"/>
            <w:vAlign w:val="center"/>
          </w:tcPr>
          <w:p w14:paraId="585FB0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CO</w:t>
            </w:r>
          </w:p>
        </w:tc>
        <w:tc>
          <w:tcPr>
            <w:tcW w:w="3294" w:type="dxa"/>
            <w:tcBorders>
              <w:tl2br w:val="nil"/>
              <w:tr2bl w:val="nil"/>
            </w:tcBorders>
            <w:noWrap w:val="0"/>
            <w:vAlign w:val="center"/>
          </w:tcPr>
          <w:p w14:paraId="4FD5B3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第95百分位数日平均质量浓度</w:t>
            </w:r>
          </w:p>
        </w:tc>
        <w:tc>
          <w:tcPr>
            <w:tcW w:w="1332" w:type="dxa"/>
            <w:tcBorders>
              <w:tl2br w:val="nil"/>
              <w:tr2bl w:val="nil"/>
            </w:tcBorders>
            <w:noWrap w:val="0"/>
            <w:vAlign w:val="center"/>
          </w:tcPr>
          <w:p w14:paraId="43D3ED71">
            <w:pPr>
              <w:pStyle w:val="89"/>
              <w:keepNext w:val="0"/>
              <w:keepLines w:val="0"/>
              <w:pageBreakBefore w:val="0"/>
              <w:tabs>
                <w:tab w:val="center" w:pos="4153"/>
                <w:tab w:val="right" w:pos="8306"/>
              </w:tabs>
              <w:kinsoku/>
              <w:wordWrap/>
              <w:overflowPunct/>
              <w:topLinePunct w:val="0"/>
              <w:autoSpaceDE/>
              <w:autoSpaceDN/>
              <w:bidi w:val="0"/>
              <w:adjustRightInd/>
              <w:snapToGrid/>
              <w:spacing w:beforeLines="0" w:afterLines="0" w:line="240" w:lineRule="auto"/>
              <w:ind w:firstLine="0" w:firstLineChars="0"/>
              <w:contextualSpacing/>
              <w:jc w:val="center"/>
              <w:rPr>
                <w:rFonts w:hint="default" w:ascii="Times New Roman" w:hAnsi="Times New Roman" w:eastAsia="宋体" w:cs="Times New Roman"/>
                <w:color w:val="auto"/>
                <w:sz w:val="21"/>
                <w:szCs w:val="21"/>
                <w:highlight w:val="none"/>
                <w:lang w:val="en-US" w:eastAsia="zh-CN"/>
              </w:rPr>
            </w:pPr>
            <w:r>
              <w:rPr>
                <w:rFonts w:hint="eastAsia"/>
                <w:color w:val="auto"/>
                <w:sz w:val="21"/>
                <w:szCs w:val="21"/>
                <w:highlight w:val="none"/>
                <w:lang w:val="en-US" w:eastAsia="zh-CN"/>
              </w:rPr>
              <w:t>900</w:t>
            </w:r>
          </w:p>
        </w:tc>
        <w:tc>
          <w:tcPr>
            <w:tcW w:w="1196" w:type="dxa"/>
            <w:tcBorders>
              <w:tl2br w:val="nil"/>
              <w:tr2bl w:val="nil"/>
            </w:tcBorders>
            <w:noWrap w:val="0"/>
            <w:vAlign w:val="center"/>
          </w:tcPr>
          <w:p w14:paraId="1B1BC12B">
            <w:pPr>
              <w:pStyle w:val="89"/>
              <w:keepNext w:val="0"/>
              <w:keepLines w:val="0"/>
              <w:pageBreakBefore w:val="0"/>
              <w:tabs>
                <w:tab w:val="center" w:pos="4153"/>
                <w:tab w:val="right" w:pos="8306"/>
              </w:tabs>
              <w:kinsoku/>
              <w:wordWrap/>
              <w:overflowPunct/>
              <w:topLinePunct w:val="0"/>
              <w:autoSpaceDE/>
              <w:autoSpaceDN/>
              <w:bidi w:val="0"/>
              <w:adjustRightInd/>
              <w:snapToGrid/>
              <w:spacing w:beforeLines="0" w:afterLines="0" w:line="240" w:lineRule="auto"/>
              <w:ind w:firstLine="0" w:firstLineChars="0"/>
              <w:contextualSpacing/>
              <w:jc w:val="center"/>
              <w:rPr>
                <w:rFonts w:hint="default" w:ascii="Times New Roman" w:hAnsi="Times New Roman" w:eastAsia="宋体" w:cs="Times New Roman"/>
                <w:color w:val="auto"/>
                <w:sz w:val="21"/>
                <w:szCs w:val="21"/>
                <w:highlight w:val="none"/>
                <w:lang w:val="en-US" w:eastAsia="zh-CN"/>
              </w:rPr>
            </w:pPr>
            <w:r>
              <w:rPr>
                <w:color w:val="auto"/>
                <w:sz w:val="21"/>
                <w:szCs w:val="21"/>
                <w:highlight w:val="none"/>
              </w:rPr>
              <w:t>4000</w:t>
            </w:r>
          </w:p>
        </w:tc>
        <w:tc>
          <w:tcPr>
            <w:tcW w:w="1018" w:type="dxa"/>
            <w:tcBorders>
              <w:tl2br w:val="nil"/>
              <w:tr2bl w:val="nil"/>
            </w:tcBorders>
            <w:noWrap w:val="0"/>
            <w:vAlign w:val="center"/>
          </w:tcPr>
          <w:p w14:paraId="693679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22.5</w:t>
            </w:r>
            <w:r>
              <w:rPr>
                <w:rFonts w:hint="default" w:ascii="Times New Roman" w:hAnsi="Times New Roman" w:cs="Times New Roman"/>
                <w:i w:val="0"/>
                <w:iCs w:val="0"/>
                <w:color w:val="000000"/>
                <w:kern w:val="0"/>
                <w:sz w:val="21"/>
                <w:szCs w:val="21"/>
                <w:highlight w:val="none"/>
                <w:u w:val="none"/>
                <w:lang w:val="en-US" w:eastAsia="zh-CN" w:bidi="ar"/>
              </w:rPr>
              <w:t>0</w:t>
            </w:r>
          </w:p>
        </w:tc>
        <w:tc>
          <w:tcPr>
            <w:tcW w:w="785" w:type="dxa"/>
            <w:tcBorders>
              <w:tl2br w:val="nil"/>
              <w:tr2bl w:val="nil"/>
            </w:tcBorders>
            <w:noWrap w:val="0"/>
            <w:vAlign w:val="center"/>
          </w:tcPr>
          <w:p w14:paraId="4CFCA7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达标</w:t>
            </w:r>
          </w:p>
        </w:tc>
      </w:tr>
      <w:tr w14:paraId="532F918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894" w:type="dxa"/>
            <w:tcBorders>
              <w:tl2br w:val="nil"/>
              <w:tr2bl w:val="nil"/>
            </w:tcBorders>
            <w:noWrap w:val="0"/>
            <w:vAlign w:val="center"/>
          </w:tcPr>
          <w:p w14:paraId="7F6FE5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O</w:t>
            </w:r>
            <w:r>
              <w:rPr>
                <w:rFonts w:hint="default" w:ascii="Times New Roman" w:hAnsi="Times New Roman" w:eastAsia="宋体" w:cs="Times New Roman"/>
                <w:color w:val="auto"/>
                <w:sz w:val="21"/>
                <w:szCs w:val="21"/>
                <w:highlight w:val="none"/>
                <w:vertAlign w:val="subscript"/>
                <w:lang w:eastAsia="zh-CN"/>
              </w:rPr>
              <w:t>3</w:t>
            </w:r>
          </w:p>
        </w:tc>
        <w:tc>
          <w:tcPr>
            <w:tcW w:w="3294" w:type="dxa"/>
            <w:tcBorders>
              <w:tl2br w:val="nil"/>
              <w:tr2bl w:val="nil"/>
            </w:tcBorders>
            <w:noWrap w:val="0"/>
            <w:vAlign w:val="center"/>
          </w:tcPr>
          <w:p w14:paraId="3E68E0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第90百分位数8h平均质量浓度</w:t>
            </w:r>
          </w:p>
        </w:tc>
        <w:tc>
          <w:tcPr>
            <w:tcW w:w="1332" w:type="dxa"/>
            <w:tcBorders>
              <w:tl2br w:val="nil"/>
              <w:tr2bl w:val="nil"/>
            </w:tcBorders>
            <w:noWrap w:val="0"/>
            <w:vAlign w:val="center"/>
          </w:tcPr>
          <w:p w14:paraId="51210DE6">
            <w:pPr>
              <w:pStyle w:val="89"/>
              <w:keepNext w:val="0"/>
              <w:keepLines w:val="0"/>
              <w:pageBreakBefore w:val="0"/>
              <w:tabs>
                <w:tab w:val="center" w:pos="4153"/>
                <w:tab w:val="right" w:pos="8306"/>
              </w:tabs>
              <w:kinsoku/>
              <w:wordWrap/>
              <w:overflowPunct/>
              <w:topLinePunct w:val="0"/>
              <w:autoSpaceDE/>
              <w:autoSpaceDN/>
              <w:bidi w:val="0"/>
              <w:adjustRightInd/>
              <w:snapToGrid/>
              <w:spacing w:beforeLines="0" w:afterLines="0" w:line="240" w:lineRule="auto"/>
              <w:ind w:firstLine="0" w:firstLineChars="0"/>
              <w:contextualSpacing/>
              <w:jc w:val="center"/>
              <w:rPr>
                <w:rFonts w:hint="default" w:ascii="Times New Roman" w:hAnsi="Times New Roman" w:eastAsia="宋体" w:cs="Times New Roman"/>
                <w:color w:val="auto"/>
                <w:sz w:val="21"/>
                <w:szCs w:val="21"/>
                <w:highlight w:val="none"/>
                <w:lang w:val="en-US" w:eastAsia="zh-CN"/>
              </w:rPr>
            </w:pPr>
            <w:r>
              <w:rPr>
                <w:rFonts w:hint="eastAsia"/>
                <w:color w:val="auto"/>
                <w:sz w:val="21"/>
                <w:szCs w:val="21"/>
                <w:highlight w:val="none"/>
                <w:lang w:val="en-US" w:eastAsia="zh-CN"/>
              </w:rPr>
              <w:t>107</w:t>
            </w:r>
          </w:p>
        </w:tc>
        <w:tc>
          <w:tcPr>
            <w:tcW w:w="1196" w:type="dxa"/>
            <w:tcBorders>
              <w:tl2br w:val="nil"/>
              <w:tr2bl w:val="nil"/>
            </w:tcBorders>
            <w:noWrap w:val="0"/>
            <w:vAlign w:val="center"/>
          </w:tcPr>
          <w:p w14:paraId="6B017663">
            <w:pPr>
              <w:pStyle w:val="89"/>
              <w:keepNext w:val="0"/>
              <w:keepLines w:val="0"/>
              <w:pageBreakBefore w:val="0"/>
              <w:tabs>
                <w:tab w:val="center" w:pos="4153"/>
                <w:tab w:val="right" w:pos="8306"/>
              </w:tabs>
              <w:kinsoku/>
              <w:wordWrap/>
              <w:overflowPunct/>
              <w:topLinePunct w:val="0"/>
              <w:autoSpaceDE/>
              <w:autoSpaceDN/>
              <w:bidi w:val="0"/>
              <w:adjustRightInd/>
              <w:snapToGrid/>
              <w:spacing w:beforeLines="0" w:afterLines="0" w:line="240" w:lineRule="auto"/>
              <w:ind w:firstLine="0" w:firstLineChars="0"/>
              <w:contextualSpacing/>
              <w:jc w:val="center"/>
              <w:rPr>
                <w:rFonts w:hint="default" w:ascii="Times New Roman" w:hAnsi="Times New Roman" w:eastAsia="宋体" w:cs="Times New Roman"/>
                <w:color w:val="auto"/>
                <w:sz w:val="21"/>
                <w:szCs w:val="21"/>
                <w:highlight w:val="none"/>
                <w:lang w:val="en-US" w:eastAsia="zh-CN"/>
              </w:rPr>
            </w:pPr>
            <w:r>
              <w:rPr>
                <w:color w:val="auto"/>
                <w:sz w:val="21"/>
                <w:szCs w:val="21"/>
                <w:highlight w:val="none"/>
              </w:rPr>
              <w:t>160</w:t>
            </w:r>
          </w:p>
        </w:tc>
        <w:tc>
          <w:tcPr>
            <w:tcW w:w="1018" w:type="dxa"/>
            <w:tcBorders>
              <w:tl2br w:val="nil"/>
              <w:tr2bl w:val="nil"/>
            </w:tcBorders>
            <w:noWrap w:val="0"/>
            <w:vAlign w:val="center"/>
          </w:tcPr>
          <w:p w14:paraId="48C973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66.8</w:t>
            </w:r>
            <w:r>
              <w:rPr>
                <w:rFonts w:hint="default" w:ascii="Times New Roman" w:hAnsi="Times New Roman" w:cs="Times New Roman"/>
                <w:i w:val="0"/>
                <w:iCs w:val="0"/>
                <w:color w:val="000000"/>
                <w:kern w:val="0"/>
                <w:sz w:val="21"/>
                <w:szCs w:val="21"/>
                <w:highlight w:val="none"/>
                <w:u w:val="none"/>
                <w:lang w:val="en-US" w:eastAsia="zh-CN" w:bidi="ar"/>
              </w:rPr>
              <w:t>8</w:t>
            </w:r>
          </w:p>
        </w:tc>
        <w:tc>
          <w:tcPr>
            <w:tcW w:w="785" w:type="dxa"/>
            <w:tcBorders>
              <w:tl2br w:val="nil"/>
              <w:tr2bl w:val="nil"/>
            </w:tcBorders>
            <w:noWrap w:val="0"/>
            <w:vAlign w:val="center"/>
          </w:tcPr>
          <w:p w14:paraId="750A0E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达标</w:t>
            </w:r>
          </w:p>
        </w:tc>
      </w:tr>
    </w:tbl>
    <w:p w14:paraId="42AFD6B6">
      <w:pPr>
        <w:pStyle w:val="53"/>
        <w:keepNext w:val="0"/>
        <w:keepLines w:val="0"/>
        <w:pageBreakBefore w:val="0"/>
        <w:kinsoku/>
        <w:wordWrap/>
        <w:overflowPunct/>
        <w:topLinePunct w:val="0"/>
        <w:autoSpaceDE/>
        <w:autoSpaceDN/>
        <w:bidi w:val="0"/>
        <w:textAlignment w:val="auto"/>
        <w:rPr>
          <w:rFonts w:hint="eastAsia"/>
          <w:color w:val="auto"/>
          <w:spacing w:val="0"/>
          <w:sz w:val="24"/>
          <w:highlight w:val="none"/>
          <w:lang w:val="en-US" w:eastAsia="zh-CN"/>
        </w:rPr>
      </w:pPr>
      <w:r>
        <w:rPr>
          <w:color w:val="auto"/>
          <w:spacing w:val="0"/>
          <w:sz w:val="24"/>
          <w:highlight w:val="none"/>
        </w:rPr>
        <w:t>由表</w:t>
      </w:r>
      <w:r>
        <w:rPr>
          <w:rFonts w:hint="eastAsia" w:ascii="Times New Roman" w:eastAsia="宋体"/>
          <w:color w:val="auto"/>
          <w:spacing w:val="0"/>
          <w:sz w:val="24"/>
          <w:highlight w:val="none"/>
          <w:lang w:val="en-US" w:eastAsia="zh-CN"/>
        </w:rPr>
        <w:t>5.2-1</w:t>
      </w:r>
      <w:r>
        <w:rPr>
          <w:color w:val="auto"/>
          <w:spacing w:val="0"/>
          <w:sz w:val="24"/>
          <w:highlight w:val="none"/>
        </w:rPr>
        <w:t>可知，</w:t>
      </w:r>
      <w:r>
        <w:rPr>
          <w:rFonts w:hint="eastAsia"/>
          <w:color w:val="auto"/>
          <w:spacing w:val="0"/>
          <w:sz w:val="24"/>
          <w:highlight w:val="none"/>
          <w:lang w:val="en-US" w:eastAsia="zh-CN"/>
        </w:rPr>
        <w:t>评价区环境空气质量能够满足环境空气二类功能区要求。项目所在区域为达标区。</w:t>
      </w:r>
    </w:p>
    <w:p w14:paraId="004A63EB">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项目所在区域特征污染物环境质量现状评价</w:t>
      </w:r>
    </w:p>
    <w:p w14:paraId="38ACA2C5">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（1）监测点位</w:t>
      </w:r>
    </w:p>
    <w:p w14:paraId="5462D202">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根据《环境影响评价技术导则 大气环境》（HJ2.2-2018）中“6.3补充监测</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补充监测点位以近20年统计的当地主导风向为轴向，在厂址及主导风向下风向5km范围内设置1</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2个监测点，补充监测应至少取得7天有效数据”。因此，本项目所在区域特征污染物的环境质量现状监测在项目主导风向下风向设置</w:t>
      </w:r>
      <w:r>
        <w:rPr>
          <w:rFonts w:hint="eastAsia"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个补充监测点位，环境质量现状监测点位情况见表5</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2-</w:t>
      </w:r>
      <w:r>
        <w:rPr>
          <w:rFonts w:hint="eastAsia"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及图5</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2-1。</w:t>
      </w:r>
    </w:p>
    <w:p w14:paraId="436300E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w:t>
      </w:r>
      <w:r>
        <w:rPr>
          <w:rFonts w:hint="default"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其他污染物补充监测点基本信息</w:t>
      </w:r>
    </w:p>
    <w:tbl>
      <w:tblPr>
        <w:tblStyle w:val="37"/>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1"/>
        <w:gridCol w:w="949"/>
        <w:gridCol w:w="899"/>
        <w:gridCol w:w="785"/>
        <w:gridCol w:w="3205"/>
        <w:gridCol w:w="949"/>
        <w:gridCol w:w="1111"/>
      </w:tblGrid>
      <w:tr w14:paraId="56B37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537" w:type="pct"/>
            <w:vMerge w:val="restart"/>
            <w:tcBorders>
              <w:top w:val="single" w:color="000000" w:sz="12" w:space="0"/>
              <w:left w:val="nil"/>
            </w:tcBorders>
            <w:vAlign w:val="center"/>
          </w:tcPr>
          <w:p w14:paraId="4EA376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监测点名称</w:t>
            </w:r>
          </w:p>
        </w:tc>
        <w:tc>
          <w:tcPr>
            <w:tcW w:w="1044" w:type="pct"/>
            <w:gridSpan w:val="2"/>
            <w:tcBorders>
              <w:top w:val="single" w:color="000000" w:sz="12" w:space="0"/>
              <w:bottom w:val="single" w:color="auto" w:sz="4" w:space="0"/>
            </w:tcBorders>
            <w:vAlign w:val="center"/>
          </w:tcPr>
          <w:p w14:paraId="3456F1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监测点坐标/°</w:t>
            </w:r>
          </w:p>
        </w:tc>
        <w:tc>
          <w:tcPr>
            <w:tcW w:w="443" w:type="pct"/>
            <w:vMerge w:val="restart"/>
            <w:tcBorders>
              <w:top w:val="single" w:color="000000" w:sz="12" w:space="0"/>
            </w:tcBorders>
            <w:vAlign w:val="center"/>
          </w:tcPr>
          <w:p w14:paraId="25443C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监测</w:t>
            </w:r>
          </w:p>
          <w:p w14:paraId="120795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因子</w:t>
            </w:r>
          </w:p>
        </w:tc>
        <w:tc>
          <w:tcPr>
            <w:tcW w:w="1810" w:type="pct"/>
            <w:vMerge w:val="restart"/>
            <w:tcBorders>
              <w:top w:val="single" w:color="000000" w:sz="12" w:space="0"/>
            </w:tcBorders>
            <w:vAlign w:val="center"/>
          </w:tcPr>
          <w:p w14:paraId="52F6318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监测时段</w:t>
            </w:r>
          </w:p>
        </w:tc>
        <w:tc>
          <w:tcPr>
            <w:tcW w:w="536" w:type="pct"/>
            <w:vMerge w:val="restart"/>
            <w:tcBorders>
              <w:top w:val="single" w:color="000000" w:sz="12" w:space="0"/>
            </w:tcBorders>
            <w:vAlign w:val="center"/>
          </w:tcPr>
          <w:p w14:paraId="32FB8A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相对厂址方位</w:t>
            </w:r>
          </w:p>
        </w:tc>
        <w:tc>
          <w:tcPr>
            <w:tcW w:w="627" w:type="pct"/>
            <w:vMerge w:val="restart"/>
            <w:tcBorders>
              <w:top w:val="single" w:color="000000" w:sz="12" w:space="0"/>
              <w:right w:val="nil"/>
            </w:tcBorders>
            <w:vAlign w:val="center"/>
          </w:tcPr>
          <w:p w14:paraId="786CF1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相对厂界距离/m</w:t>
            </w:r>
          </w:p>
        </w:tc>
      </w:tr>
      <w:tr w14:paraId="3F47C0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0" w:hRule="atLeast"/>
          <w:jc w:val="center"/>
        </w:trPr>
        <w:tc>
          <w:tcPr>
            <w:tcW w:w="537" w:type="pct"/>
            <w:vMerge w:val="continue"/>
            <w:tcBorders>
              <w:left w:val="nil"/>
            </w:tcBorders>
            <w:vAlign w:val="center"/>
          </w:tcPr>
          <w:p w14:paraId="4D01BE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536" w:type="pct"/>
            <w:tcBorders>
              <w:top w:val="single" w:color="auto" w:sz="4" w:space="0"/>
              <w:right w:val="single" w:color="auto" w:sz="4" w:space="0"/>
            </w:tcBorders>
            <w:vAlign w:val="center"/>
          </w:tcPr>
          <w:p w14:paraId="2A1360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X</w:t>
            </w:r>
          </w:p>
        </w:tc>
        <w:tc>
          <w:tcPr>
            <w:tcW w:w="508" w:type="pct"/>
            <w:tcBorders>
              <w:top w:val="single" w:color="auto" w:sz="4" w:space="0"/>
              <w:left w:val="single" w:color="auto" w:sz="4" w:space="0"/>
            </w:tcBorders>
            <w:vAlign w:val="center"/>
          </w:tcPr>
          <w:p w14:paraId="0C686E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Y</w:t>
            </w:r>
          </w:p>
        </w:tc>
        <w:tc>
          <w:tcPr>
            <w:tcW w:w="443" w:type="pct"/>
            <w:vMerge w:val="continue"/>
            <w:tcBorders>
              <w:bottom w:val="single" w:color="auto" w:sz="2" w:space="0"/>
            </w:tcBorders>
            <w:vAlign w:val="center"/>
          </w:tcPr>
          <w:p w14:paraId="4159AF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1810" w:type="pct"/>
            <w:vMerge w:val="continue"/>
            <w:vAlign w:val="center"/>
          </w:tcPr>
          <w:p w14:paraId="6BE971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536" w:type="pct"/>
            <w:vMerge w:val="continue"/>
            <w:vAlign w:val="center"/>
          </w:tcPr>
          <w:p w14:paraId="7EAB3D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627" w:type="pct"/>
            <w:vMerge w:val="continue"/>
            <w:tcBorders>
              <w:right w:val="nil"/>
            </w:tcBorders>
            <w:vAlign w:val="center"/>
          </w:tcPr>
          <w:p w14:paraId="1F3859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r>
      <w:tr w14:paraId="0AB6F6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3" w:hRule="atLeast"/>
          <w:jc w:val="center"/>
        </w:trPr>
        <w:tc>
          <w:tcPr>
            <w:tcW w:w="537" w:type="pct"/>
            <w:vMerge w:val="restart"/>
            <w:tcBorders>
              <w:left w:val="nil"/>
            </w:tcBorders>
            <w:vAlign w:val="center"/>
          </w:tcPr>
          <w:p w14:paraId="1B4BBF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w:t>
            </w:r>
            <w:r>
              <w:rPr>
                <w:rFonts w:hint="eastAsia" w:ascii="Times New Roman" w:hAnsi="Times New Roman" w:eastAsia="宋体" w:cs="Times New Roman"/>
                <w:color w:val="auto"/>
                <w:kern w:val="0"/>
                <w:sz w:val="21"/>
                <w:szCs w:val="21"/>
                <w:highlight w:val="none"/>
                <w:lang w:val="en-US" w:eastAsia="zh-CN"/>
              </w:rPr>
              <w:t>厂址</w:t>
            </w:r>
            <w:r>
              <w:rPr>
                <w:rFonts w:hint="default" w:ascii="Times New Roman" w:hAnsi="Times New Roman" w:eastAsia="宋体" w:cs="Times New Roman"/>
                <w:color w:val="auto"/>
                <w:kern w:val="0"/>
                <w:sz w:val="21"/>
                <w:szCs w:val="21"/>
                <w:highlight w:val="none"/>
                <w:lang w:eastAsia="zh-CN"/>
              </w:rPr>
              <w:t>下风向</w:t>
            </w:r>
          </w:p>
        </w:tc>
        <w:tc>
          <w:tcPr>
            <w:tcW w:w="536" w:type="pct"/>
            <w:vMerge w:val="restart"/>
            <w:tcBorders>
              <w:right w:val="single" w:color="auto" w:sz="4" w:space="0"/>
            </w:tcBorders>
            <w:vAlign w:val="center"/>
          </w:tcPr>
          <w:p w14:paraId="7C819E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130.30976876</w:t>
            </w:r>
          </w:p>
        </w:tc>
        <w:tc>
          <w:tcPr>
            <w:tcW w:w="508" w:type="pct"/>
            <w:vMerge w:val="restart"/>
            <w:tcBorders>
              <w:left w:val="single" w:color="auto" w:sz="4" w:space="0"/>
            </w:tcBorders>
            <w:vAlign w:val="center"/>
          </w:tcPr>
          <w:p w14:paraId="5259A9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46.82334938</w:t>
            </w:r>
          </w:p>
        </w:tc>
        <w:tc>
          <w:tcPr>
            <w:tcW w:w="443" w:type="pct"/>
            <w:tcBorders>
              <w:top w:val="single" w:color="auto" w:sz="2" w:space="0"/>
              <w:bottom w:val="single" w:color="auto" w:sz="2" w:space="0"/>
            </w:tcBorders>
            <w:vAlign w:val="center"/>
          </w:tcPr>
          <w:p w14:paraId="05B7044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TSP</w:t>
            </w:r>
          </w:p>
        </w:tc>
        <w:tc>
          <w:tcPr>
            <w:tcW w:w="1810" w:type="pct"/>
            <w:vMerge w:val="restart"/>
            <w:vAlign w:val="center"/>
          </w:tcPr>
          <w:p w14:paraId="71EE15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TSP、Hg：24小时平均值，连续监测7天，每天采样时间24h；NH</w:t>
            </w:r>
            <w:r>
              <w:rPr>
                <w:rFonts w:hint="default" w:ascii="Times New Roman" w:hAnsi="Times New Roman" w:eastAsia="宋体" w:cs="Times New Roman"/>
                <w:color w:val="auto"/>
                <w:sz w:val="21"/>
                <w:szCs w:val="21"/>
                <w:highlight w:val="none"/>
                <w:vertAlign w:val="subscript"/>
                <w:lang w:val="en-US" w:eastAsia="zh-CN"/>
              </w:rPr>
              <w:t>3</w:t>
            </w:r>
            <w:r>
              <w:rPr>
                <w:rFonts w:hint="eastAsia" w:ascii="Times New Roman" w:hAnsi="Times New Roman" w:eastAsia="宋体" w:cs="Times New Roman"/>
                <w:color w:val="auto"/>
                <w:sz w:val="21"/>
                <w:szCs w:val="21"/>
                <w:highlight w:val="none"/>
                <w:vertAlign w:val="subscript"/>
                <w:lang w:val="en-US" w:eastAsia="zh-CN"/>
              </w:rPr>
              <w:t>:</w:t>
            </w:r>
            <w:r>
              <w:rPr>
                <w:rFonts w:hint="default" w:ascii="Times New Roman" w:hAnsi="Times New Roman" w:eastAsia="宋体" w:cs="Times New Roman"/>
                <w:color w:val="auto"/>
                <w:sz w:val="21"/>
                <w:szCs w:val="21"/>
                <w:highlight w:val="none"/>
                <w:lang w:val="en-US" w:eastAsia="zh-CN"/>
              </w:rPr>
              <w:t>1小时平均浓度，连续监测7天，每天采样4次，时间为每日02、08、14、20时，每次至少有45min的采样时间。</w:t>
            </w:r>
          </w:p>
        </w:tc>
        <w:tc>
          <w:tcPr>
            <w:tcW w:w="536" w:type="pct"/>
            <w:vMerge w:val="restart"/>
            <w:vAlign w:val="center"/>
          </w:tcPr>
          <w:p w14:paraId="15C624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NE</w:t>
            </w:r>
          </w:p>
        </w:tc>
        <w:tc>
          <w:tcPr>
            <w:tcW w:w="627" w:type="pct"/>
            <w:vMerge w:val="restart"/>
            <w:tcBorders>
              <w:right w:val="nil"/>
            </w:tcBorders>
            <w:vAlign w:val="center"/>
          </w:tcPr>
          <w:p w14:paraId="584115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800</w:t>
            </w:r>
          </w:p>
        </w:tc>
      </w:tr>
      <w:tr w14:paraId="45759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2" w:hRule="atLeast"/>
          <w:jc w:val="center"/>
        </w:trPr>
        <w:tc>
          <w:tcPr>
            <w:tcW w:w="537" w:type="pct"/>
            <w:vMerge w:val="continue"/>
            <w:tcBorders>
              <w:left w:val="nil"/>
            </w:tcBorders>
            <w:vAlign w:val="center"/>
          </w:tcPr>
          <w:p w14:paraId="2AFD84B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536" w:type="pct"/>
            <w:vMerge w:val="continue"/>
            <w:tcBorders>
              <w:right w:val="single" w:color="auto" w:sz="4" w:space="0"/>
            </w:tcBorders>
            <w:vAlign w:val="center"/>
          </w:tcPr>
          <w:p w14:paraId="3128C3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508" w:type="pct"/>
            <w:vMerge w:val="continue"/>
            <w:tcBorders>
              <w:left w:val="single" w:color="auto" w:sz="4" w:space="0"/>
            </w:tcBorders>
            <w:vAlign w:val="center"/>
          </w:tcPr>
          <w:p w14:paraId="2AEAA9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443" w:type="pct"/>
            <w:tcBorders>
              <w:top w:val="single" w:color="auto" w:sz="2" w:space="0"/>
              <w:bottom w:val="single" w:color="auto" w:sz="2" w:space="0"/>
            </w:tcBorders>
            <w:vAlign w:val="center"/>
          </w:tcPr>
          <w:p w14:paraId="7C7D8F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NH</w:t>
            </w:r>
            <w:r>
              <w:rPr>
                <w:rFonts w:hint="default" w:ascii="Times New Roman" w:hAnsi="Times New Roman" w:eastAsia="宋体" w:cs="Times New Roman"/>
                <w:color w:val="auto"/>
                <w:kern w:val="0"/>
                <w:sz w:val="21"/>
                <w:szCs w:val="21"/>
                <w:highlight w:val="none"/>
                <w:vertAlign w:val="subscript"/>
              </w:rPr>
              <w:t>3</w:t>
            </w:r>
          </w:p>
        </w:tc>
        <w:tc>
          <w:tcPr>
            <w:tcW w:w="1810" w:type="pct"/>
            <w:vMerge w:val="continue"/>
            <w:vAlign w:val="center"/>
          </w:tcPr>
          <w:p w14:paraId="2A3E5BE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536" w:type="pct"/>
            <w:vMerge w:val="continue"/>
            <w:vAlign w:val="center"/>
          </w:tcPr>
          <w:p w14:paraId="7E80D8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627" w:type="pct"/>
            <w:vMerge w:val="continue"/>
            <w:tcBorders>
              <w:right w:val="nil"/>
            </w:tcBorders>
            <w:vAlign w:val="center"/>
          </w:tcPr>
          <w:p w14:paraId="7CBC0C5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r>
      <w:tr w14:paraId="1D6971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2" w:hRule="atLeast"/>
          <w:jc w:val="center"/>
        </w:trPr>
        <w:tc>
          <w:tcPr>
            <w:tcW w:w="537" w:type="pct"/>
            <w:vMerge w:val="continue"/>
            <w:tcBorders>
              <w:left w:val="nil"/>
            </w:tcBorders>
            <w:vAlign w:val="center"/>
          </w:tcPr>
          <w:p w14:paraId="2A9D51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536" w:type="pct"/>
            <w:vMerge w:val="continue"/>
            <w:tcBorders>
              <w:right w:val="single" w:color="auto" w:sz="4" w:space="0"/>
            </w:tcBorders>
            <w:vAlign w:val="center"/>
          </w:tcPr>
          <w:p w14:paraId="26D5B0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508" w:type="pct"/>
            <w:vMerge w:val="continue"/>
            <w:tcBorders>
              <w:left w:val="single" w:color="auto" w:sz="4" w:space="0"/>
            </w:tcBorders>
            <w:vAlign w:val="center"/>
          </w:tcPr>
          <w:p w14:paraId="7DA427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443" w:type="pct"/>
            <w:tcBorders>
              <w:top w:val="single" w:color="auto" w:sz="2" w:space="0"/>
              <w:bottom w:val="single" w:color="auto" w:sz="2" w:space="0"/>
            </w:tcBorders>
            <w:vAlign w:val="center"/>
          </w:tcPr>
          <w:p w14:paraId="54F096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汞</w:t>
            </w:r>
          </w:p>
        </w:tc>
        <w:tc>
          <w:tcPr>
            <w:tcW w:w="1810" w:type="pct"/>
            <w:vMerge w:val="continue"/>
            <w:vAlign w:val="center"/>
          </w:tcPr>
          <w:p w14:paraId="61ED7F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536" w:type="pct"/>
            <w:vMerge w:val="continue"/>
            <w:vAlign w:val="center"/>
          </w:tcPr>
          <w:p w14:paraId="019732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627" w:type="pct"/>
            <w:vMerge w:val="continue"/>
            <w:tcBorders>
              <w:right w:val="nil"/>
            </w:tcBorders>
            <w:vAlign w:val="center"/>
          </w:tcPr>
          <w:p w14:paraId="47F328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r>
    </w:tbl>
    <w:p w14:paraId="6CC7359B">
      <w:pPr>
        <w:keepNext w:val="0"/>
        <w:keepLines w:val="0"/>
        <w:pageBreakBefore w:val="0"/>
        <w:widowControl w:val="0"/>
        <w:kinsoku/>
        <w:wordWrap/>
        <w:overflowPunct/>
        <w:topLinePunct w:val="0"/>
        <w:autoSpaceDE/>
        <w:autoSpaceDN/>
        <w:bidi w:val="0"/>
        <w:adjustRightInd/>
        <w:snapToGrid/>
        <w:spacing w:before="0" w:beforeLines="50"/>
        <w:ind w:firstLine="0" w:firstLineChars="0"/>
        <w:jc w:val="center"/>
        <w:textAlignment w:val="auto"/>
        <w:rPr>
          <w:rFonts w:hint="eastAsia" w:ascii="Times New Roman" w:hAnsi="Times New Roman" w:cs="Times New Roman" w:eastAsiaTheme="minorEastAsia"/>
          <w:color w:val="auto"/>
          <w:highlight w:val="none"/>
          <w:lang w:eastAsia="zh-CN"/>
        </w:rPr>
      </w:pPr>
      <w:r>
        <w:rPr>
          <w:rFonts w:hint="default" w:ascii="Times New Roman" w:hAnsi="Times New Roman" w:eastAsia="宋体" w:cs="Times New Roman"/>
          <w:color w:val="auto"/>
          <w:highlight w:val="none"/>
        </w:rPr>
        <w:drawing>
          <wp:anchor distT="0" distB="0" distL="114300" distR="114300" simplePos="0" relativeHeight="251666432" behindDoc="0" locked="0" layoutInCell="1" allowOverlap="1">
            <wp:simplePos x="0" y="0"/>
            <wp:positionH relativeFrom="column">
              <wp:posOffset>158115</wp:posOffset>
            </wp:positionH>
            <wp:positionV relativeFrom="paragraph">
              <wp:posOffset>42545</wp:posOffset>
            </wp:positionV>
            <wp:extent cx="750570" cy="891540"/>
            <wp:effectExtent l="0" t="0" r="11430" b="3810"/>
            <wp:wrapNone/>
            <wp:docPr id="2"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9"/>
                    <pic:cNvPicPr>
                      <a:picLocks noChangeAspect="1"/>
                    </pic:cNvPicPr>
                  </pic:nvPicPr>
                  <pic:blipFill>
                    <a:blip r:embed="rId23"/>
                    <a:stretch>
                      <a:fillRect/>
                    </a:stretch>
                  </pic:blipFill>
                  <pic:spPr>
                    <a:xfrm>
                      <a:off x="0" y="0"/>
                      <a:ext cx="750570" cy="891540"/>
                    </a:xfrm>
                    <a:prstGeom prst="rect">
                      <a:avLst/>
                    </a:prstGeom>
                    <a:noFill/>
                    <a:ln>
                      <a:noFill/>
                    </a:ln>
                  </pic:spPr>
                </pic:pic>
              </a:graphicData>
            </a:graphic>
          </wp:anchor>
        </w:drawing>
      </w:r>
      <w:r>
        <w:rPr>
          <w:rFonts w:hint="eastAsia" w:ascii="Times New Roman" w:hAnsi="Times New Roman" w:cs="Times New Roman" w:eastAsiaTheme="minorEastAsia"/>
          <w:color w:val="auto"/>
          <w:highlight w:val="none"/>
          <w:lang w:eastAsia="zh-CN"/>
        </w:rPr>
        <w:drawing>
          <wp:inline distT="0" distB="0" distL="114300" distR="114300">
            <wp:extent cx="5276850" cy="3774440"/>
            <wp:effectExtent l="0" t="0" r="0" b="16510"/>
            <wp:docPr id="31"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8"/>
                    <pic:cNvPicPr>
                      <a:picLocks noChangeAspect="1"/>
                    </pic:cNvPicPr>
                  </pic:nvPicPr>
                  <pic:blipFill>
                    <a:blip r:embed="rId89"/>
                    <a:stretch>
                      <a:fillRect/>
                    </a:stretch>
                  </pic:blipFill>
                  <pic:spPr>
                    <a:xfrm>
                      <a:off x="0" y="0"/>
                      <a:ext cx="5276850" cy="3774440"/>
                    </a:xfrm>
                    <a:prstGeom prst="rect">
                      <a:avLst/>
                    </a:prstGeom>
                    <a:noFill/>
                    <a:ln>
                      <a:noFill/>
                    </a:ln>
                  </pic:spPr>
                </pic:pic>
              </a:graphicData>
            </a:graphic>
          </wp:inline>
        </w:drawing>
      </w:r>
    </w:p>
    <w:p w14:paraId="7D21A34E">
      <w:pPr>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图</w:t>
      </w:r>
      <w:r>
        <w:rPr>
          <w:rFonts w:hint="default"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-1本项目特征污染物的现状监测布点图</w:t>
      </w:r>
    </w:p>
    <w:p w14:paraId="73376F16">
      <w:pPr>
        <w:keepNext w:val="0"/>
        <w:keepLines w:val="0"/>
        <w:pageBreakBefore w:val="0"/>
        <w:widowControl w:val="0"/>
        <w:kinsoku/>
        <w:wordWrap/>
        <w:overflowPunct/>
        <w:topLinePunct w:val="0"/>
        <w:bidi w:val="0"/>
        <w:snapToGrid/>
        <w:spacing w:line="480" w:lineRule="exact"/>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（2）监测单位及时间频次</w:t>
      </w:r>
    </w:p>
    <w:p w14:paraId="4790C43C">
      <w:pPr>
        <w:keepNext w:val="0"/>
        <w:keepLines w:val="0"/>
        <w:pageBreakBefore w:val="0"/>
        <w:widowControl w:val="0"/>
        <w:kinsoku/>
        <w:wordWrap/>
        <w:overflowPunct/>
        <w:topLinePunct w:val="0"/>
        <w:bidi w:val="0"/>
        <w:snapToGrid/>
        <w:spacing w:line="480" w:lineRule="exact"/>
        <w:ind w:firstLine="480" w:firstLineChars="200"/>
        <w:jc w:val="both"/>
        <w:textAlignment w:val="auto"/>
        <w:rPr>
          <w:rFonts w:hint="default" w:ascii="Times New Roman" w:hAnsi="Times New Roman" w:eastAsia="宋体" w:cs="Times New Roman"/>
          <w:b w:val="0"/>
          <w:bCs w:val="0"/>
          <w:color w:val="auto"/>
          <w:spacing w:val="0"/>
          <w:sz w:val="24"/>
          <w:szCs w:val="24"/>
          <w:highlight w:val="none"/>
          <w:lang w:eastAsia="zh-CN"/>
        </w:rPr>
      </w:pPr>
      <w:r>
        <w:rPr>
          <w:rFonts w:hint="default" w:ascii="Times New Roman" w:hAnsi="Times New Roman" w:eastAsia="宋体" w:cs="Times New Roman"/>
          <w:color w:val="auto"/>
          <w:sz w:val="24"/>
          <w:szCs w:val="24"/>
          <w:highlight w:val="none"/>
          <w:lang w:val="en-US" w:eastAsia="zh-CN"/>
        </w:rPr>
        <w:t>TSP、NH</w:t>
      </w:r>
      <w:r>
        <w:rPr>
          <w:rFonts w:hint="default" w:ascii="Times New Roman" w:hAnsi="Times New Roman" w:eastAsia="宋体" w:cs="Times New Roman"/>
          <w:color w:val="auto"/>
          <w:sz w:val="24"/>
          <w:szCs w:val="24"/>
          <w:highlight w:val="none"/>
          <w:vertAlign w:val="subscript"/>
          <w:lang w:val="en-US" w:eastAsia="zh-CN"/>
        </w:rPr>
        <w:t>3</w:t>
      </w:r>
      <w:r>
        <w:rPr>
          <w:rFonts w:hint="eastAsia" w:ascii="Times New Roman" w:hAnsi="Times New Roman" w:eastAsia="宋体" w:cs="Times New Roman"/>
          <w:color w:val="auto"/>
          <w:sz w:val="24"/>
          <w:szCs w:val="24"/>
          <w:highlight w:val="none"/>
          <w:vertAlign w:val="baseline"/>
          <w:lang w:val="en-US" w:eastAsia="zh-CN"/>
        </w:rPr>
        <w:t>、</w:t>
      </w:r>
      <w:r>
        <w:rPr>
          <w:rFonts w:hint="default" w:ascii="Times New Roman" w:hAnsi="Times New Roman" w:eastAsia="宋体" w:cs="Times New Roman"/>
          <w:color w:val="auto"/>
          <w:sz w:val="24"/>
          <w:szCs w:val="24"/>
          <w:highlight w:val="none"/>
          <w:lang w:val="en-US" w:eastAsia="zh-CN"/>
        </w:rPr>
        <w:t>Hg委托</w:t>
      </w:r>
      <w:r>
        <w:rPr>
          <w:rFonts w:hint="eastAsia" w:ascii="Times New Roman" w:hAnsi="Times New Roman" w:eastAsia="宋体" w:cs="Times New Roman"/>
          <w:color w:val="auto"/>
          <w:sz w:val="24"/>
          <w:szCs w:val="24"/>
          <w:highlight w:val="none"/>
          <w:lang w:val="en-US" w:eastAsia="zh-CN"/>
        </w:rPr>
        <w:t>黑龙江省瑞科检测技术有限公司</w:t>
      </w:r>
      <w:r>
        <w:rPr>
          <w:rFonts w:hint="default" w:ascii="Times New Roman" w:hAnsi="Times New Roman" w:eastAsia="宋体" w:cs="Times New Roman"/>
          <w:color w:val="auto"/>
          <w:sz w:val="24"/>
          <w:szCs w:val="24"/>
          <w:highlight w:val="none"/>
          <w:lang w:val="en-US" w:eastAsia="zh-CN"/>
        </w:rPr>
        <w:t>于202</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年</w:t>
      </w:r>
      <w:r>
        <w:rPr>
          <w:rFonts w:hint="eastAsia" w:ascii="Times New Roman" w:hAnsi="Times New Roman" w:eastAsia="宋体" w:cs="Times New Roman"/>
          <w:color w:val="auto"/>
          <w:sz w:val="24"/>
          <w:szCs w:val="24"/>
          <w:highlight w:val="none"/>
          <w:lang w:val="en-US" w:eastAsia="zh-CN"/>
        </w:rPr>
        <w:t>12</w:t>
      </w:r>
      <w:r>
        <w:rPr>
          <w:rFonts w:hint="default" w:ascii="Times New Roman" w:hAnsi="Times New Roman" w:eastAsia="宋体" w:cs="Times New Roman"/>
          <w:color w:val="auto"/>
          <w:sz w:val="24"/>
          <w:szCs w:val="24"/>
          <w:highlight w:val="none"/>
          <w:lang w:val="en-US" w:eastAsia="zh-CN"/>
        </w:rPr>
        <w:t>月</w:t>
      </w:r>
      <w:r>
        <w:rPr>
          <w:rFonts w:hint="eastAsia" w:ascii="Times New Roman" w:hAnsi="Times New Roman" w:eastAsia="宋体" w:cs="Times New Roman"/>
          <w:color w:val="auto"/>
          <w:sz w:val="24"/>
          <w:szCs w:val="24"/>
          <w:highlight w:val="none"/>
          <w:lang w:val="en-US" w:eastAsia="zh-CN"/>
        </w:rPr>
        <w:t>11</w:t>
      </w:r>
      <w:r>
        <w:rPr>
          <w:rFonts w:hint="default" w:ascii="Times New Roman" w:hAnsi="Times New Roman" w:eastAsia="宋体" w:cs="Times New Roman"/>
          <w:color w:val="auto"/>
          <w:sz w:val="24"/>
          <w:szCs w:val="24"/>
          <w:highlight w:val="none"/>
          <w:lang w:val="en-US" w:eastAsia="zh-CN"/>
        </w:rPr>
        <w:t>日</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202</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年</w:t>
      </w:r>
      <w:r>
        <w:rPr>
          <w:rFonts w:hint="eastAsia" w:ascii="Times New Roman" w:hAnsi="Times New Roman" w:eastAsia="宋体" w:cs="Times New Roman"/>
          <w:color w:val="auto"/>
          <w:sz w:val="24"/>
          <w:szCs w:val="24"/>
          <w:highlight w:val="none"/>
          <w:lang w:val="en-US" w:eastAsia="zh-CN"/>
        </w:rPr>
        <w:t>12</w:t>
      </w:r>
      <w:r>
        <w:rPr>
          <w:rFonts w:hint="default" w:ascii="Times New Roman" w:hAnsi="Times New Roman" w:eastAsia="宋体" w:cs="Times New Roman"/>
          <w:color w:val="auto"/>
          <w:sz w:val="24"/>
          <w:szCs w:val="24"/>
          <w:highlight w:val="none"/>
          <w:lang w:val="en-US" w:eastAsia="zh-CN"/>
        </w:rPr>
        <w:t>月</w:t>
      </w:r>
      <w:r>
        <w:rPr>
          <w:rFonts w:hint="eastAsia" w:ascii="Times New Roman" w:hAnsi="Times New Roman" w:eastAsia="宋体" w:cs="Times New Roman"/>
          <w:color w:val="auto"/>
          <w:sz w:val="24"/>
          <w:szCs w:val="24"/>
          <w:highlight w:val="none"/>
          <w:lang w:val="en-US" w:eastAsia="zh-CN"/>
        </w:rPr>
        <w:t>17</w:t>
      </w:r>
      <w:r>
        <w:rPr>
          <w:rFonts w:hint="default" w:ascii="Times New Roman" w:hAnsi="Times New Roman" w:eastAsia="宋体" w:cs="Times New Roman"/>
          <w:color w:val="auto"/>
          <w:sz w:val="24"/>
          <w:szCs w:val="24"/>
          <w:highlight w:val="none"/>
          <w:lang w:val="en-US" w:eastAsia="zh-CN"/>
        </w:rPr>
        <w:t>日，连续监测7天。其中TSP的24</w:t>
      </w:r>
      <w:r>
        <w:rPr>
          <w:rFonts w:hint="default" w:ascii="Times New Roman" w:hAnsi="Times New Roman" w:eastAsia="宋体" w:cs="Times New Roman"/>
          <w:color w:val="auto"/>
          <w:sz w:val="24"/>
          <w:szCs w:val="24"/>
          <w:highlight w:val="none"/>
        </w:rPr>
        <w:t>小时平均值每天采样时间2</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h</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i w:val="0"/>
          <w:color w:val="auto"/>
          <w:kern w:val="0"/>
          <w:sz w:val="24"/>
          <w:szCs w:val="24"/>
          <w:highlight w:val="none"/>
          <w:u w:val="none"/>
          <w:lang w:val="en-US" w:eastAsia="zh-CN" w:bidi="ar"/>
        </w:rPr>
        <w:t>NH</w:t>
      </w:r>
      <w:r>
        <w:rPr>
          <w:rFonts w:hint="default" w:ascii="Times New Roman" w:hAnsi="Times New Roman" w:eastAsia="宋体" w:cs="Times New Roman"/>
          <w:i w:val="0"/>
          <w:color w:val="auto"/>
          <w:kern w:val="0"/>
          <w:sz w:val="24"/>
          <w:szCs w:val="24"/>
          <w:highlight w:val="none"/>
          <w:u w:val="none"/>
          <w:vertAlign w:val="subscript"/>
          <w:lang w:val="en-US" w:eastAsia="zh-CN" w:bidi="ar"/>
        </w:rPr>
        <w:t>3</w:t>
      </w:r>
      <w:r>
        <w:rPr>
          <w:rFonts w:hint="default" w:ascii="Times New Roman" w:hAnsi="Times New Roman" w:eastAsia="宋体" w:cs="Times New Roman"/>
          <w:color w:val="auto"/>
          <w:sz w:val="24"/>
          <w:szCs w:val="24"/>
          <w:highlight w:val="none"/>
          <w:lang w:val="en-US" w:eastAsia="zh-CN"/>
        </w:rPr>
        <w:t>、Hg</w:t>
      </w:r>
      <w:r>
        <w:rPr>
          <w:rFonts w:hint="default" w:ascii="Times New Roman" w:hAnsi="Times New Roman" w:eastAsia="宋体" w:cs="Times New Roman"/>
          <w:i w:val="0"/>
          <w:color w:val="auto"/>
          <w:kern w:val="0"/>
          <w:sz w:val="24"/>
          <w:szCs w:val="24"/>
          <w:highlight w:val="none"/>
          <w:u w:val="none"/>
          <w:lang w:val="en-US" w:eastAsia="zh-CN" w:bidi="ar"/>
        </w:rPr>
        <w:t>的</w:t>
      </w:r>
      <w:r>
        <w:rPr>
          <w:rFonts w:hint="default" w:ascii="Times New Roman" w:hAnsi="Times New Roman" w:eastAsia="宋体" w:cs="Times New Roman"/>
          <w:color w:val="auto"/>
          <w:sz w:val="24"/>
          <w:szCs w:val="24"/>
          <w:highlight w:val="none"/>
        </w:rPr>
        <w:t>1小时平均浓度每天采样4次</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b w:val="0"/>
          <w:bCs w:val="0"/>
          <w:color w:val="auto"/>
          <w:spacing w:val="0"/>
          <w:sz w:val="24"/>
          <w:szCs w:val="24"/>
          <w:highlight w:val="none"/>
        </w:rPr>
        <w:t>时间为每日02、08、14、20时，每次至少有45min的采样时间</w:t>
      </w:r>
      <w:r>
        <w:rPr>
          <w:rFonts w:hint="default" w:ascii="Times New Roman" w:hAnsi="Times New Roman" w:eastAsia="宋体" w:cs="Times New Roman"/>
          <w:b w:val="0"/>
          <w:bCs w:val="0"/>
          <w:color w:val="auto"/>
          <w:spacing w:val="0"/>
          <w:sz w:val="24"/>
          <w:szCs w:val="24"/>
          <w:highlight w:val="none"/>
          <w:lang w:eastAsia="zh-CN"/>
        </w:rPr>
        <w:t>。</w:t>
      </w:r>
    </w:p>
    <w:p w14:paraId="1DD8E0CF">
      <w:pPr>
        <w:pStyle w:val="47"/>
        <w:keepNext w:val="0"/>
        <w:keepLines w:val="0"/>
        <w:pageBreakBefore w:val="0"/>
        <w:widowControl w:val="0"/>
        <w:kinsoku/>
        <w:wordWrap/>
        <w:overflowPunct/>
        <w:topLinePunct w:val="0"/>
        <w:bidi w:val="0"/>
        <w:snapToGrid/>
        <w:spacing w:line="480" w:lineRule="exact"/>
        <w:ind w:firstLine="480" w:firstLineChars="200"/>
        <w:jc w:val="both"/>
        <w:textAlignment w:val="auto"/>
        <w:rPr>
          <w:rFonts w:hint="default" w:ascii="Times New Roman" w:hAnsi="Times New Roman" w:cs="Times New Roman"/>
          <w:b w:val="0"/>
          <w:bCs w:val="0"/>
          <w:color w:val="FF0000"/>
          <w:spacing w:val="0"/>
          <w:sz w:val="24"/>
          <w:szCs w:val="24"/>
          <w:highlight w:val="none"/>
          <w:lang w:val="en-US" w:eastAsia="zh-CN"/>
        </w:rPr>
      </w:pPr>
      <w:r>
        <w:rPr>
          <w:rFonts w:hint="eastAsia" w:ascii="Times New Roman" w:hAnsi="Times New Roman" w:cs="Times New Roman"/>
          <w:b w:val="0"/>
          <w:bCs w:val="0"/>
          <w:color w:val="FF0000"/>
          <w:spacing w:val="0"/>
          <w:sz w:val="24"/>
          <w:szCs w:val="24"/>
          <w:highlight w:val="none"/>
          <w:lang w:eastAsia="zh-CN"/>
        </w:rPr>
        <w:t>（</w:t>
      </w:r>
      <w:r>
        <w:rPr>
          <w:rFonts w:hint="eastAsia" w:ascii="Times New Roman" w:hAnsi="Times New Roman" w:cs="Times New Roman"/>
          <w:b w:val="0"/>
          <w:bCs w:val="0"/>
          <w:color w:val="FF0000"/>
          <w:spacing w:val="0"/>
          <w:sz w:val="24"/>
          <w:szCs w:val="24"/>
          <w:highlight w:val="none"/>
          <w:lang w:val="en-US" w:eastAsia="zh-CN"/>
        </w:rPr>
        <w:t>3</w:t>
      </w:r>
      <w:r>
        <w:rPr>
          <w:rFonts w:hint="eastAsia" w:ascii="Times New Roman" w:hAnsi="Times New Roman" w:cs="Times New Roman"/>
          <w:b w:val="0"/>
          <w:bCs w:val="0"/>
          <w:color w:val="FF0000"/>
          <w:spacing w:val="0"/>
          <w:sz w:val="24"/>
          <w:szCs w:val="24"/>
          <w:highlight w:val="none"/>
          <w:lang w:eastAsia="zh-CN"/>
        </w:rPr>
        <w:t>）</w:t>
      </w:r>
      <w:r>
        <w:rPr>
          <w:rFonts w:hint="eastAsia" w:ascii="Times New Roman" w:hAnsi="Times New Roman" w:cs="Times New Roman"/>
          <w:b w:val="0"/>
          <w:bCs w:val="0"/>
          <w:color w:val="FF0000"/>
          <w:spacing w:val="0"/>
          <w:sz w:val="24"/>
          <w:szCs w:val="24"/>
          <w:highlight w:val="none"/>
          <w:lang w:val="en-US" w:eastAsia="zh-CN"/>
        </w:rPr>
        <w:t>监测期间区域污染源运行状态</w:t>
      </w:r>
    </w:p>
    <w:p w14:paraId="2263A407">
      <w:pPr>
        <w:keepNext w:val="0"/>
        <w:keepLines w:val="0"/>
        <w:pageBreakBefore w:val="0"/>
        <w:widowControl w:val="0"/>
        <w:kinsoku/>
        <w:wordWrap/>
        <w:overflowPunct/>
        <w:topLinePunct w:val="0"/>
        <w:bidi w:val="0"/>
        <w:snapToGrid/>
        <w:spacing w:line="480" w:lineRule="exact"/>
        <w:ind w:left="0" w:leftChars="0" w:firstLine="0" w:firstLineChars="0"/>
        <w:jc w:val="center"/>
        <w:textAlignment w:val="auto"/>
        <w:rPr>
          <w:rFonts w:hint="eastAsia"/>
          <w:color w:val="FF0000"/>
          <w:highlight w:val="none"/>
          <w:lang w:val="en-US" w:eastAsia="zh-CN"/>
        </w:rPr>
      </w:pPr>
      <w:r>
        <w:rPr>
          <w:rFonts w:hint="default" w:ascii="Times New Roman" w:hAnsi="Times New Roman" w:cs="Times New Roman"/>
          <w:color w:val="FF0000"/>
          <w:highlight w:val="none"/>
          <w:lang w:val="en-US" w:eastAsia="zh-CN"/>
        </w:rPr>
        <w:t xml:space="preserve">表5.2-3 </w:t>
      </w:r>
      <w:r>
        <w:rPr>
          <w:rFonts w:hint="eastAsia"/>
          <w:color w:val="FF0000"/>
          <w:highlight w:val="none"/>
          <w:lang w:val="en-US" w:eastAsia="zh-CN"/>
        </w:rPr>
        <w:t xml:space="preserve"> 监测期间区域污染源运行状态</w:t>
      </w:r>
    </w:p>
    <w:tbl>
      <w:tblPr>
        <w:tblStyle w:val="38"/>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72"/>
        <w:gridCol w:w="2002"/>
        <w:gridCol w:w="3750"/>
        <w:gridCol w:w="1221"/>
      </w:tblGrid>
      <w:tr w14:paraId="72E933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058" w:type="pct"/>
            <w:tcBorders>
              <w:tl2br w:val="nil"/>
              <w:tr2bl w:val="nil"/>
            </w:tcBorders>
            <w:vAlign w:val="center"/>
          </w:tcPr>
          <w:p w14:paraId="4E86B8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Cs/>
                <w:color w:val="FF0000"/>
                <w:sz w:val="21"/>
                <w:szCs w:val="21"/>
                <w:highlight w:val="none"/>
                <w:vertAlign w:val="baseline"/>
                <w:lang w:val="en-US" w:eastAsia="zh-CN"/>
              </w:rPr>
            </w:pPr>
            <w:r>
              <w:rPr>
                <w:rFonts w:hint="eastAsia" w:ascii="Times New Roman" w:hAnsi="Times New Roman" w:eastAsia="宋体" w:cs="Times New Roman"/>
                <w:iCs/>
                <w:color w:val="FF0000"/>
                <w:sz w:val="21"/>
                <w:szCs w:val="21"/>
                <w:highlight w:val="none"/>
                <w:vertAlign w:val="baseline"/>
                <w:lang w:val="en-US" w:eastAsia="zh-CN"/>
              </w:rPr>
              <w:t>单位名称</w:t>
            </w:r>
          </w:p>
        </w:tc>
        <w:tc>
          <w:tcPr>
            <w:tcW w:w="1131" w:type="pct"/>
            <w:tcBorders>
              <w:tl2br w:val="nil"/>
              <w:tr2bl w:val="nil"/>
            </w:tcBorders>
            <w:shd w:val="clear" w:color="auto" w:fill="auto"/>
            <w:vAlign w:val="center"/>
          </w:tcPr>
          <w:p w14:paraId="52A2D60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Cs/>
                <w:color w:val="FF0000"/>
                <w:kern w:val="2"/>
                <w:sz w:val="21"/>
                <w:szCs w:val="21"/>
                <w:highlight w:val="none"/>
                <w:vertAlign w:val="baseline"/>
                <w:lang w:val="en-US" w:eastAsia="zh-CN" w:bidi="ar-SA"/>
              </w:rPr>
            </w:pPr>
            <w:r>
              <w:rPr>
                <w:rFonts w:hint="eastAsia" w:ascii="Times New Roman" w:hAnsi="Times New Roman" w:eastAsia="宋体" w:cs="Times New Roman"/>
                <w:iCs/>
                <w:color w:val="FF0000"/>
                <w:sz w:val="21"/>
                <w:szCs w:val="21"/>
                <w:highlight w:val="none"/>
                <w:vertAlign w:val="baseline"/>
                <w:lang w:val="en-US" w:eastAsia="zh-CN"/>
              </w:rPr>
              <w:t>污染物</w:t>
            </w:r>
          </w:p>
        </w:tc>
        <w:tc>
          <w:tcPr>
            <w:tcW w:w="2119" w:type="pct"/>
            <w:tcBorders>
              <w:tl2br w:val="nil"/>
              <w:tr2bl w:val="nil"/>
            </w:tcBorders>
            <w:vAlign w:val="center"/>
          </w:tcPr>
          <w:p w14:paraId="01666F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Cs/>
                <w:color w:val="FF0000"/>
                <w:sz w:val="21"/>
                <w:szCs w:val="21"/>
                <w:highlight w:val="none"/>
                <w:vertAlign w:val="baseline"/>
                <w:lang w:val="en-US" w:eastAsia="zh-CN"/>
              </w:rPr>
            </w:pPr>
            <w:r>
              <w:rPr>
                <w:rFonts w:hint="eastAsia" w:ascii="Times New Roman" w:hAnsi="Times New Roman" w:eastAsia="宋体" w:cs="Times New Roman"/>
                <w:iCs/>
                <w:color w:val="FF0000"/>
                <w:sz w:val="21"/>
                <w:szCs w:val="21"/>
                <w:highlight w:val="none"/>
                <w:vertAlign w:val="baseline"/>
                <w:lang w:val="en-US" w:eastAsia="zh-CN"/>
              </w:rPr>
              <w:t>污染源</w:t>
            </w:r>
          </w:p>
        </w:tc>
        <w:tc>
          <w:tcPr>
            <w:tcW w:w="690" w:type="pct"/>
            <w:tcBorders>
              <w:tl2br w:val="nil"/>
              <w:tr2bl w:val="nil"/>
            </w:tcBorders>
            <w:shd w:val="clear" w:color="auto" w:fill="auto"/>
            <w:vAlign w:val="center"/>
          </w:tcPr>
          <w:p w14:paraId="0CDE1CA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Cs/>
                <w:color w:val="FF0000"/>
                <w:kern w:val="2"/>
                <w:sz w:val="21"/>
                <w:szCs w:val="21"/>
                <w:highlight w:val="none"/>
                <w:vertAlign w:val="baseline"/>
                <w:lang w:val="en-US" w:eastAsia="zh-CN" w:bidi="ar-SA"/>
              </w:rPr>
            </w:pPr>
            <w:r>
              <w:rPr>
                <w:rFonts w:hint="eastAsia" w:ascii="Times New Roman" w:hAnsi="Times New Roman" w:eastAsia="宋体" w:cs="Times New Roman"/>
                <w:iCs/>
                <w:color w:val="FF0000"/>
                <w:kern w:val="2"/>
                <w:sz w:val="21"/>
                <w:szCs w:val="21"/>
                <w:highlight w:val="none"/>
                <w:vertAlign w:val="baseline"/>
                <w:lang w:val="en-US" w:eastAsia="zh-CN" w:bidi="ar-SA"/>
              </w:rPr>
              <w:t>运行状态</w:t>
            </w:r>
          </w:p>
        </w:tc>
      </w:tr>
      <w:tr w14:paraId="634A32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058" w:type="pct"/>
            <w:vMerge w:val="restart"/>
            <w:tcBorders>
              <w:tl2br w:val="nil"/>
              <w:tr2bl w:val="nil"/>
            </w:tcBorders>
            <w:vAlign w:val="center"/>
          </w:tcPr>
          <w:p w14:paraId="36FD2E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Cs/>
                <w:color w:val="FF0000"/>
                <w:sz w:val="21"/>
                <w:szCs w:val="21"/>
                <w:highlight w:val="none"/>
                <w:vertAlign w:val="baseline"/>
                <w:lang w:val="en-US" w:eastAsia="zh-CN"/>
              </w:rPr>
            </w:pPr>
            <w:r>
              <w:rPr>
                <w:rFonts w:hint="default" w:ascii="Times New Roman" w:hAnsi="Times New Roman" w:eastAsia="宋体" w:cs="Times New Roman"/>
                <w:iCs/>
                <w:color w:val="FF0000"/>
                <w:sz w:val="21"/>
                <w:szCs w:val="21"/>
                <w:highlight w:val="none"/>
                <w:vertAlign w:val="baseline"/>
                <w:lang w:val="en-US" w:eastAsia="zh-CN"/>
              </w:rPr>
              <w:t>佳木斯佳能热电有限公司</w:t>
            </w:r>
          </w:p>
        </w:tc>
        <w:tc>
          <w:tcPr>
            <w:tcW w:w="1131" w:type="pct"/>
            <w:vMerge w:val="restart"/>
            <w:tcBorders>
              <w:tl2br w:val="nil"/>
              <w:tr2bl w:val="nil"/>
            </w:tcBorders>
            <w:shd w:val="clear" w:color="auto" w:fill="auto"/>
            <w:vAlign w:val="center"/>
          </w:tcPr>
          <w:p w14:paraId="4CBB4A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Cs/>
                <w:color w:val="FF0000"/>
                <w:kern w:val="2"/>
                <w:sz w:val="21"/>
                <w:szCs w:val="21"/>
                <w:highlight w:val="none"/>
                <w:vertAlign w:val="baseline"/>
                <w:lang w:val="en-US" w:eastAsia="zh-CN" w:bidi="ar-SA"/>
              </w:rPr>
            </w:pPr>
            <w:r>
              <w:rPr>
                <w:rFonts w:hint="default" w:ascii="Times New Roman" w:hAnsi="Times New Roman" w:eastAsia="宋体" w:cs="Times New Roman"/>
                <w:iCs/>
                <w:color w:val="FF0000"/>
                <w:sz w:val="21"/>
                <w:szCs w:val="21"/>
                <w:highlight w:val="none"/>
                <w:vertAlign w:val="baseline"/>
                <w:lang w:val="en-US" w:eastAsia="zh-CN"/>
              </w:rPr>
              <w:t>TSP、烟尘、二氧化硫、氮氧化物、汞及其化合物</w:t>
            </w:r>
          </w:p>
        </w:tc>
        <w:tc>
          <w:tcPr>
            <w:tcW w:w="2119" w:type="pct"/>
            <w:tcBorders>
              <w:tl2br w:val="nil"/>
              <w:tr2bl w:val="nil"/>
            </w:tcBorders>
            <w:vAlign w:val="center"/>
          </w:tcPr>
          <w:p w14:paraId="05D2FC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Cs/>
                <w:color w:val="FF0000"/>
                <w:sz w:val="21"/>
                <w:szCs w:val="21"/>
                <w:highlight w:val="none"/>
                <w:vertAlign w:val="baseline"/>
                <w:lang w:val="en-US" w:eastAsia="zh-CN"/>
              </w:rPr>
            </w:pPr>
            <w:r>
              <w:rPr>
                <w:rFonts w:hint="eastAsia" w:ascii="Times New Roman" w:hAnsi="Times New Roman" w:eastAsia="宋体" w:cs="Times New Roman"/>
                <w:iCs/>
                <w:color w:val="FF0000"/>
                <w:sz w:val="21"/>
                <w:szCs w:val="21"/>
                <w:highlight w:val="none"/>
                <w:vertAlign w:val="baseline"/>
                <w:lang w:val="en-US" w:eastAsia="zh-CN"/>
              </w:rPr>
              <w:t>35t/h抛煤链条炉4台</w:t>
            </w:r>
          </w:p>
        </w:tc>
        <w:tc>
          <w:tcPr>
            <w:tcW w:w="690" w:type="pct"/>
            <w:tcBorders>
              <w:tl2br w:val="nil"/>
              <w:tr2bl w:val="nil"/>
            </w:tcBorders>
            <w:shd w:val="clear" w:color="auto" w:fill="auto"/>
            <w:vAlign w:val="center"/>
          </w:tcPr>
          <w:p w14:paraId="5457210F">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运行</w:t>
            </w:r>
          </w:p>
        </w:tc>
      </w:tr>
      <w:tr w14:paraId="0FD4ED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058" w:type="pct"/>
            <w:vMerge w:val="continue"/>
            <w:tcBorders>
              <w:tl2br w:val="nil"/>
              <w:tr2bl w:val="nil"/>
            </w:tcBorders>
            <w:vAlign w:val="center"/>
          </w:tcPr>
          <w:p w14:paraId="32E77E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Cs/>
                <w:color w:val="FF0000"/>
                <w:sz w:val="21"/>
                <w:szCs w:val="21"/>
                <w:highlight w:val="none"/>
                <w:vertAlign w:val="baseline"/>
                <w:lang w:val="en-US" w:eastAsia="zh-CN"/>
              </w:rPr>
            </w:pPr>
          </w:p>
        </w:tc>
        <w:tc>
          <w:tcPr>
            <w:tcW w:w="1131" w:type="pct"/>
            <w:vMerge w:val="continue"/>
            <w:tcBorders>
              <w:tl2br w:val="nil"/>
              <w:tr2bl w:val="nil"/>
            </w:tcBorders>
            <w:shd w:val="clear" w:color="auto" w:fill="auto"/>
            <w:vAlign w:val="center"/>
          </w:tcPr>
          <w:p w14:paraId="5F86AA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Cs/>
                <w:color w:val="FF0000"/>
                <w:sz w:val="21"/>
                <w:szCs w:val="21"/>
                <w:highlight w:val="none"/>
                <w:vertAlign w:val="baseline"/>
                <w:lang w:val="en-US" w:eastAsia="zh-CN"/>
              </w:rPr>
            </w:pPr>
          </w:p>
        </w:tc>
        <w:tc>
          <w:tcPr>
            <w:tcW w:w="2119" w:type="pct"/>
            <w:tcBorders>
              <w:tl2br w:val="nil"/>
              <w:tr2bl w:val="nil"/>
            </w:tcBorders>
            <w:vAlign w:val="center"/>
          </w:tcPr>
          <w:p w14:paraId="6D1D05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Cs/>
                <w:color w:val="FF0000"/>
                <w:sz w:val="21"/>
                <w:szCs w:val="21"/>
                <w:highlight w:val="none"/>
                <w:vertAlign w:val="baseline"/>
                <w:lang w:val="en-US" w:eastAsia="zh-CN"/>
              </w:rPr>
            </w:pPr>
            <w:r>
              <w:rPr>
                <w:rFonts w:hint="eastAsia" w:ascii="Times New Roman" w:hAnsi="Times New Roman" w:eastAsia="宋体" w:cs="Times New Roman"/>
                <w:iCs/>
                <w:color w:val="FF0000"/>
                <w:kern w:val="2"/>
                <w:sz w:val="21"/>
                <w:szCs w:val="21"/>
                <w:highlight w:val="none"/>
                <w:vertAlign w:val="baseline"/>
                <w:lang w:val="en-US" w:eastAsia="zh-CN" w:bidi="ar-SA"/>
              </w:rPr>
              <w:t>58MW燃煤锅炉1台</w:t>
            </w:r>
          </w:p>
        </w:tc>
        <w:tc>
          <w:tcPr>
            <w:tcW w:w="690" w:type="pct"/>
            <w:tcBorders>
              <w:tl2br w:val="nil"/>
              <w:tr2bl w:val="nil"/>
            </w:tcBorders>
            <w:shd w:val="clear" w:color="auto" w:fill="auto"/>
            <w:vAlign w:val="center"/>
          </w:tcPr>
          <w:p w14:paraId="6051B5B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Times New Roman" w:hAnsi="Times New Roman" w:eastAsia="宋体" w:cs="Times New Roman"/>
                <w:iCs/>
                <w:color w:val="FF0000"/>
                <w:kern w:val="2"/>
                <w:sz w:val="21"/>
                <w:szCs w:val="21"/>
                <w:highlight w:val="none"/>
                <w:vertAlign w:val="baseline"/>
                <w:lang w:val="en-US" w:eastAsia="zh-CN" w:bidi="ar-SA"/>
              </w:rPr>
            </w:pPr>
            <w:r>
              <w:rPr>
                <w:rFonts w:hint="eastAsia" w:ascii="Times New Roman" w:hAnsi="Times New Roman" w:eastAsia="宋体" w:cs="Times New Roman"/>
                <w:iCs/>
                <w:color w:val="FF0000"/>
                <w:kern w:val="2"/>
                <w:sz w:val="21"/>
                <w:szCs w:val="21"/>
                <w:highlight w:val="none"/>
                <w:vertAlign w:val="baseline"/>
                <w:lang w:val="en-US" w:eastAsia="zh-CN" w:bidi="ar-SA"/>
              </w:rPr>
              <w:t>运行</w:t>
            </w:r>
          </w:p>
        </w:tc>
      </w:tr>
      <w:tr w14:paraId="3C6ED9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058" w:type="pct"/>
            <w:vMerge w:val="restart"/>
            <w:tcBorders>
              <w:tl2br w:val="nil"/>
              <w:tr2bl w:val="nil"/>
            </w:tcBorders>
            <w:vAlign w:val="center"/>
          </w:tcPr>
          <w:p w14:paraId="7AD791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Cs/>
                <w:color w:val="FF0000"/>
                <w:sz w:val="21"/>
                <w:szCs w:val="21"/>
                <w:highlight w:val="none"/>
                <w:vertAlign w:val="baseline"/>
                <w:lang w:val="en-US" w:eastAsia="zh-CN"/>
              </w:rPr>
            </w:pPr>
            <w:r>
              <w:rPr>
                <w:rFonts w:hint="default" w:ascii="Times New Roman" w:hAnsi="Times New Roman" w:eastAsia="宋体" w:cs="Times New Roman"/>
                <w:iCs/>
                <w:color w:val="FF0000"/>
                <w:sz w:val="21"/>
                <w:szCs w:val="21"/>
                <w:highlight w:val="none"/>
                <w:vertAlign w:val="baseline"/>
                <w:lang w:val="en-US" w:eastAsia="zh-CN"/>
              </w:rPr>
              <w:t>佳木斯中恒热电有限公司</w:t>
            </w:r>
          </w:p>
        </w:tc>
        <w:tc>
          <w:tcPr>
            <w:tcW w:w="1131" w:type="pct"/>
            <w:vMerge w:val="restart"/>
            <w:tcBorders>
              <w:tl2br w:val="nil"/>
              <w:tr2bl w:val="nil"/>
            </w:tcBorders>
            <w:vAlign w:val="center"/>
          </w:tcPr>
          <w:p w14:paraId="23C2A2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Cs/>
                <w:color w:val="FF0000"/>
                <w:sz w:val="21"/>
                <w:szCs w:val="21"/>
                <w:highlight w:val="none"/>
                <w:vertAlign w:val="baseline"/>
                <w:lang w:val="en-US" w:eastAsia="zh-CN"/>
              </w:rPr>
            </w:pPr>
            <w:r>
              <w:rPr>
                <w:rFonts w:hint="default" w:ascii="Times New Roman" w:hAnsi="Times New Roman" w:eastAsia="宋体" w:cs="Times New Roman"/>
                <w:iCs/>
                <w:color w:val="FF0000"/>
                <w:sz w:val="21"/>
                <w:szCs w:val="21"/>
                <w:highlight w:val="none"/>
                <w:vertAlign w:val="baseline"/>
                <w:lang w:val="en-US" w:eastAsia="zh-CN"/>
              </w:rPr>
              <w:t>TSP、烟尘、二氧化硫、氮氧化物、汞及其化合物</w:t>
            </w:r>
          </w:p>
        </w:tc>
        <w:tc>
          <w:tcPr>
            <w:tcW w:w="2119" w:type="pct"/>
            <w:tcBorders>
              <w:tl2br w:val="nil"/>
              <w:tr2bl w:val="nil"/>
            </w:tcBorders>
            <w:shd w:val="clear" w:color="auto" w:fill="auto"/>
            <w:vAlign w:val="center"/>
          </w:tcPr>
          <w:p w14:paraId="5CC9F1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Cs/>
                <w:color w:val="FF0000"/>
                <w:sz w:val="21"/>
                <w:szCs w:val="21"/>
                <w:highlight w:val="none"/>
                <w:vertAlign w:val="baseline"/>
                <w:lang w:val="en-US" w:eastAsia="zh-CN"/>
              </w:rPr>
            </w:pPr>
            <w:r>
              <w:rPr>
                <w:rFonts w:hint="default" w:ascii="Times New Roman" w:hAnsi="Times New Roman" w:eastAsia="宋体" w:cs="Times New Roman"/>
                <w:iCs/>
                <w:color w:val="FF0000"/>
                <w:sz w:val="21"/>
                <w:szCs w:val="21"/>
                <w:highlight w:val="none"/>
                <w:vertAlign w:val="baseline"/>
                <w:lang w:val="en-US" w:eastAsia="zh-CN"/>
              </w:rPr>
              <w:t>240t/h高温高压流化床锅炉</w:t>
            </w:r>
            <w:r>
              <w:rPr>
                <w:rFonts w:hint="eastAsia" w:ascii="Times New Roman" w:hAnsi="Times New Roman" w:eastAsia="宋体" w:cs="Times New Roman"/>
                <w:iCs/>
                <w:color w:val="FF0000"/>
                <w:sz w:val="21"/>
                <w:szCs w:val="21"/>
                <w:highlight w:val="none"/>
                <w:vertAlign w:val="baseline"/>
                <w:lang w:val="en-US" w:eastAsia="zh-CN"/>
              </w:rPr>
              <w:t>2台</w:t>
            </w:r>
          </w:p>
        </w:tc>
        <w:tc>
          <w:tcPr>
            <w:tcW w:w="690" w:type="pct"/>
            <w:tcBorders>
              <w:tl2br w:val="nil"/>
              <w:tr2bl w:val="nil"/>
            </w:tcBorders>
            <w:shd w:val="clear" w:color="auto" w:fill="auto"/>
            <w:vAlign w:val="center"/>
          </w:tcPr>
          <w:p w14:paraId="61F655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Cs/>
                <w:color w:val="FF0000"/>
                <w:sz w:val="21"/>
                <w:szCs w:val="21"/>
                <w:highlight w:val="none"/>
                <w:vertAlign w:val="baseline"/>
                <w:lang w:val="en-US" w:eastAsia="zh-CN"/>
              </w:rPr>
            </w:pPr>
            <w:r>
              <w:rPr>
                <w:rFonts w:hint="default" w:ascii="Times New Roman" w:hAnsi="Times New Roman" w:eastAsia="宋体" w:cs="Times New Roman"/>
                <w:iCs/>
                <w:color w:val="FF0000"/>
                <w:sz w:val="21"/>
                <w:szCs w:val="21"/>
                <w:highlight w:val="none"/>
                <w:vertAlign w:val="baseline"/>
                <w:lang w:val="en-US" w:eastAsia="zh-CN"/>
              </w:rPr>
              <w:t>运行</w:t>
            </w:r>
          </w:p>
        </w:tc>
      </w:tr>
      <w:tr w14:paraId="41FB12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058" w:type="pct"/>
            <w:vMerge w:val="continue"/>
            <w:tcBorders>
              <w:tl2br w:val="nil"/>
              <w:tr2bl w:val="nil"/>
            </w:tcBorders>
            <w:vAlign w:val="center"/>
          </w:tcPr>
          <w:p w14:paraId="645C19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Cs/>
                <w:color w:val="FF0000"/>
                <w:sz w:val="21"/>
                <w:szCs w:val="21"/>
                <w:highlight w:val="none"/>
                <w:vertAlign w:val="baseline"/>
                <w:lang w:val="en-US" w:eastAsia="zh-CN"/>
              </w:rPr>
            </w:pPr>
          </w:p>
        </w:tc>
        <w:tc>
          <w:tcPr>
            <w:tcW w:w="1131" w:type="pct"/>
            <w:vMerge w:val="continue"/>
            <w:tcBorders>
              <w:tl2br w:val="nil"/>
              <w:tr2bl w:val="nil"/>
            </w:tcBorders>
            <w:vAlign w:val="center"/>
          </w:tcPr>
          <w:p w14:paraId="69D5D8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Cs/>
                <w:color w:val="FF0000"/>
                <w:sz w:val="21"/>
                <w:szCs w:val="21"/>
                <w:highlight w:val="none"/>
                <w:vertAlign w:val="baseline"/>
                <w:lang w:val="en-US" w:eastAsia="zh-CN"/>
              </w:rPr>
            </w:pPr>
          </w:p>
        </w:tc>
        <w:tc>
          <w:tcPr>
            <w:tcW w:w="2119" w:type="pct"/>
            <w:tcBorders>
              <w:tl2br w:val="nil"/>
              <w:tr2bl w:val="nil"/>
            </w:tcBorders>
            <w:shd w:val="clear" w:color="auto" w:fill="auto"/>
            <w:vAlign w:val="center"/>
          </w:tcPr>
          <w:p w14:paraId="2969E0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Cs/>
                <w:color w:val="FF0000"/>
                <w:sz w:val="21"/>
                <w:szCs w:val="21"/>
                <w:highlight w:val="none"/>
                <w:vertAlign w:val="baseline"/>
                <w:lang w:val="en-US" w:eastAsia="zh-CN"/>
              </w:rPr>
            </w:pPr>
            <w:r>
              <w:rPr>
                <w:rFonts w:hint="default" w:ascii="Times New Roman" w:hAnsi="Times New Roman" w:eastAsia="宋体" w:cs="Times New Roman"/>
                <w:iCs/>
                <w:color w:val="FF0000"/>
                <w:sz w:val="21"/>
                <w:szCs w:val="21"/>
                <w:highlight w:val="none"/>
                <w:vertAlign w:val="baseline"/>
                <w:lang w:val="en-US" w:eastAsia="zh-CN"/>
              </w:rPr>
              <w:t>154MW循环流化床热水锅炉</w:t>
            </w:r>
            <w:r>
              <w:rPr>
                <w:rFonts w:hint="eastAsia" w:ascii="Times New Roman" w:hAnsi="Times New Roman" w:eastAsia="宋体" w:cs="Times New Roman"/>
                <w:iCs/>
                <w:color w:val="FF0000"/>
                <w:sz w:val="21"/>
                <w:szCs w:val="21"/>
                <w:highlight w:val="none"/>
                <w:vertAlign w:val="baseline"/>
                <w:lang w:val="en-US" w:eastAsia="zh-CN"/>
              </w:rPr>
              <w:t>1台</w:t>
            </w:r>
          </w:p>
        </w:tc>
        <w:tc>
          <w:tcPr>
            <w:tcW w:w="690" w:type="pct"/>
            <w:tcBorders>
              <w:tl2br w:val="nil"/>
              <w:tr2bl w:val="nil"/>
            </w:tcBorders>
            <w:shd w:val="clear" w:color="auto" w:fill="auto"/>
            <w:vAlign w:val="center"/>
          </w:tcPr>
          <w:p w14:paraId="3B7F98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Cs/>
                <w:color w:val="FF0000"/>
                <w:sz w:val="21"/>
                <w:szCs w:val="21"/>
                <w:highlight w:val="none"/>
                <w:vertAlign w:val="baseline"/>
                <w:lang w:val="en-US" w:eastAsia="zh-CN"/>
              </w:rPr>
            </w:pPr>
            <w:r>
              <w:rPr>
                <w:rFonts w:hint="eastAsia" w:ascii="Times New Roman" w:hAnsi="Times New Roman" w:eastAsia="宋体" w:cs="Times New Roman"/>
                <w:iCs/>
                <w:color w:val="FF0000"/>
                <w:sz w:val="21"/>
                <w:szCs w:val="21"/>
                <w:highlight w:val="none"/>
                <w:vertAlign w:val="baseline"/>
                <w:lang w:val="en-US" w:eastAsia="zh-CN"/>
              </w:rPr>
              <w:t>未运行</w:t>
            </w:r>
          </w:p>
        </w:tc>
      </w:tr>
      <w:tr w14:paraId="72DC67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058" w:type="pct"/>
            <w:vMerge w:val="continue"/>
            <w:tcBorders>
              <w:tl2br w:val="nil"/>
              <w:tr2bl w:val="nil"/>
            </w:tcBorders>
            <w:vAlign w:val="center"/>
          </w:tcPr>
          <w:p w14:paraId="365946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Cs/>
                <w:color w:val="FF0000"/>
                <w:sz w:val="21"/>
                <w:szCs w:val="21"/>
                <w:highlight w:val="none"/>
                <w:vertAlign w:val="baseline"/>
                <w:lang w:val="en-US" w:eastAsia="zh-CN"/>
              </w:rPr>
            </w:pPr>
          </w:p>
        </w:tc>
        <w:tc>
          <w:tcPr>
            <w:tcW w:w="1131" w:type="pct"/>
            <w:vMerge w:val="continue"/>
            <w:tcBorders>
              <w:tl2br w:val="nil"/>
              <w:tr2bl w:val="nil"/>
            </w:tcBorders>
            <w:vAlign w:val="center"/>
          </w:tcPr>
          <w:p w14:paraId="321E4A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Cs/>
                <w:color w:val="FF0000"/>
                <w:sz w:val="21"/>
                <w:szCs w:val="21"/>
                <w:highlight w:val="none"/>
                <w:vertAlign w:val="baseline"/>
                <w:lang w:val="en-US" w:eastAsia="zh-CN"/>
              </w:rPr>
            </w:pPr>
          </w:p>
        </w:tc>
        <w:tc>
          <w:tcPr>
            <w:tcW w:w="2119" w:type="pct"/>
            <w:tcBorders>
              <w:tl2br w:val="nil"/>
              <w:tr2bl w:val="nil"/>
            </w:tcBorders>
            <w:shd w:val="clear" w:color="auto" w:fill="auto"/>
            <w:vAlign w:val="center"/>
          </w:tcPr>
          <w:p w14:paraId="78D6A9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Cs/>
                <w:color w:val="FF0000"/>
                <w:sz w:val="21"/>
                <w:szCs w:val="21"/>
                <w:highlight w:val="none"/>
                <w:vertAlign w:val="baseline"/>
                <w:lang w:val="en-US" w:eastAsia="zh-CN"/>
              </w:rPr>
            </w:pPr>
            <w:r>
              <w:rPr>
                <w:rFonts w:hint="default" w:ascii="Times New Roman" w:hAnsi="Times New Roman" w:eastAsia="宋体" w:cs="Times New Roman"/>
                <w:iCs/>
                <w:color w:val="FF0000"/>
                <w:sz w:val="21"/>
                <w:szCs w:val="21"/>
                <w:highlight w:val="none"/>
                <w:vertAlign w:val="baseline"/>
                <w:lang w:val="en-US" w:eastAsia="zh-CN"/>
              </w:rPr>
              <w:t>116MW循环流化床热水锅炉1台</w:t>
            </w:r>
          </w:p>
        </w:tc>
        <w:tc>
          <w:tcPr>
            <w:tcW w:w="690" w:type="pct"/>
            <w:tcBorders>
              <w:tl2br w:val="nil"/>
              <w:tr2bl w:val="nil"/>
            </w:tcBorders>
            <w:shd w:val="clear" w:color="auto" w:fill="auto"/>
            <w:vAlign w:val="center"/>
          </w:tcPr>
          <w:p w14:paraId="3F615F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Cs/>
                <w:color w:val="FF0000"/>
                <w:sz w:val="21"/>
                <w:szCs w:val="21"/>
                <w:highlight w:val="none"/>
                <w:vertAlign w:val="baseline"/>
                <w:lang w:val="en-US" w:eastAsia="zh-CN"/>
              </w:rPr>
            </w:pPr>
            <w:r>
              <w:rPr>
                <w:rFonts w:hint="eastAsia" w:ascii="Times New Roman" w:hAnsi="Times New Roman" w:eastAsia="宋体" w:cs="Times New Roman"/>
                <w:iCs/>
                <w:color w:val="FF0000"/>
                <w:sz w:val="21"/>
                <w:szCs w:val="21"/>
                <w:highlight w:val="none"/>
                <w:vertAlign w:val="baseline"/>
                <w:lang w:val="en-US" w:eastAsia="zh-CN"/>
              </w:rPr>
              <w:t>运行</w:t>
            </w:r>
          </w:p>
        </w:tc>
      </w:tr>
    </w:tbl>
    <w:p w14:paraId="5C264F16">
      <w:pPr>
        <w:pStyle w:val="47"/>
        <w:keepNext w:val="0"/>
        <w:keepLines w:val="0"/>
        <w:pageBreakBefore w:val="0"/>
        <w:widowControl w:val="0"/>
        <w:kinsoku/>
        <w:wordWrap/>
        <w:overflowPunct/>
        <w:topLinePunct w:val="0"/>
        <w:bidi w:val="0"/>
        <w:snapToGrid/>
        <w:spacing w:line="480" w:lineRule="exact"/>
        <w:ind w:firstLine="480" w:firstLineChars="200"/>
        <w:jc w:val="both"/>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b w:val="0"/>
          <w:bCs w:val="0"/>
          <w:color w:val="auto"/>
          <w:spacing w:val="0"/>
          <w:sz w:val="24"/>
          <w:szCs w:val="24"/>
          <w:highlight w:val="none"/>
          <w:lang w:eastAsia="zh-CN"/>
        </w:rPr>
        <w:t>（</w:t>
      </w:r>
      <w:r>
        <w:rPr>
          <w:rFonts w:hint="eastAsia" w:ascii="Times New Roman" w:hAnsi="Times New Roman" w:cs="Times New Roman"/>
          <w:b w:val="0"/>
          <w:bCs w:val="0"/>
          <w:color w:val="auto"/>
          <w:spacing w:val="0"/>
          <w:sz w:val="24"/>
          <w:szCs w:val="24"/>
          <w:highlight w:val="none"/>
          <w:lang w:val="en-US" w:eastAsia="zh-CN"/>
        </w:rPr>
        <w:t>4</w:t>
      </w:r>
      <w:r>
        <w:rPr>
          <w:rFonts w:hint="default" w:ascii="Times New Roman" w:hAnsi="Times New Roman" w:eastAsia="宋体" w:cs="Times New Roman"/>
          <w:b w:val="0"/>
          <w:bCs w:val="0"/>
          <w:color w:val="auto"/>
          <w:spacing w:val="0"/>
          <w:sz w:val="24"/>
          <w:szCs w:val="24"/>
          <w:highlight w:val="none"/>
          <w:lang w:eastAsia="zh-CN"/>
        </w:rPr>
        <w:t>）</w:t>
      </w:r>
      <w:r>
        <w:rPr>
          <w:rFonts w:hint="default" w:ascii="Times New Roman" w:hAnsi="Times New Roman" w:eastAsia="宋体" w:cs="Times New Roman"/>
          <w:b w:val="0"/>
          <w:bCs w:val="0"/>
          <w:color w:val="auto"/>
          <w:spacing w:val="0"/>
          <w:sz w:val="24"/>
          <w:szCs w:val="24"/>
          <w:highlight w:val="none"/>
          <w:lang w:val="en-US" w:eastAsia="zh-CN"/>
        </w:rPr>
        <w:t>现状监测结果</w:t>
      </w:r>
    </w:p>
    <w:p w14:paraId="0CB52E0D">
      <w:pPr>
        <w:keepNext w:val="0"/>
        <w:keepLines w:val="0"/>
        <w:pageBreakBefore w:val="0"/>
        <w:widowControl w:val="0"/>
        <w:kinsoku/>
        <w:wordWrap/>
        <w:overflowPunct/>
        <w:topLinePunct w:val="0"/>
        <w:bidi w:val="0"/>
        <w:snapToGrid/>
        <w:spacing w:line="48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szCs w:val="24"/>
          <w:highlight w:val="none"/>
          <w:lang w:val="en-US" w:eastAsia="zh-CN"/>
        </w:rPr>
        <w:t>本项目特征污染物环境空气质量现状</w:t>
      </w:r>
      <w:r>
        <w:rPr>
          <w:rFonts w:hint="default" w:ascii="Times New Roman" w:hAnsi="Times New Roman" w:eastAsia="宋体" w:cs="Times New Roman"/>
          <w:color w:val="auto"/>
          <w:sz w:val="24"/>
          <w:szCs w:val="24"/>
          <w:highlight w:val="none"/>
          <w:lang w:eastAsia="zh-CN"/>
        </w:rPr>
        <w:t>监测结果见</w:t>
      </w:r>
      <w:r>
        <w:rPr>
          <w:rFonts w:hint="default" w:ascii="Times New Roman" w:hAnsi="Times New Roman" w:eastAsia="宋体" w:cs="Times New Roman"/>
          <w:color w:val="auto"/>
          <w:sz w:val="24"/>
          <w:szCs w:val="24"/>
          <w:highlight w:val="none"/>
          <w:lang w:val="en-US" w:eastAsia="zh-CN"/>
        </w:rPr>
        <w:t>表5.2-</w:t>
      </w:r>
      <w:r>
        <w:rPr>
          <w:rFonts w:hint="eastAsia"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w:t>
      </w:r>
    </w:p>
    <w:p w14:paraId="0E148097">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w:t>
      </w:r>
      <w:r>
        <w:rPr>
          <w:rFonts w:hint="default" w:ascii="Times New Roman" w:hAnsi="Times New Roman" w:eastAsia="宋体" w:cs="Times New Roman"/>
          <w:color w:val="auto"/>
          <w:highlight w:val="none"/>
          <w:lang w:val="en-US" w:eastAsia="zh-CN"/>
        </w:rPr>
        <w:t>5.2</w:t>
      </w: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其他污染物环境质量现状表</w:t>
      </w:r>
    </w:p>
    <w:tbl>
      <w:tblPr>
        <w:tblStyle w:val="38"/>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16"/>
        <w:gridCol w:w="946"/>
        <w:gridCol w:w="882"/>
        <w:gridCol w:w="711"/>
        <w:gridCol w:w="1026"/>
        <w:gridCol w:w="899"/>
        <w:gridCol w:w="1368"/>
        <w:gridCol w:w="912"/>
        <w:gridCol w:w="682"/>
        <w:gridCol w:w="704"/>
      </w:tblGrid>
      <w:tr w14:paraId="00490F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404" w:type="pct"/>
            <w:vMerge w:val="restart"/>
            <w:tcBorders>
              <w:tl2br w:val="nil"/>
              <w:tr2bl w:val="nil"/>
            </w:tcBorders>
            <w:noWrap w:val="0"/>
            <w:vAlign w:val="center"/>
          </w:tcPr>
          <w:p w14:paraId="2F6FE3C5">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监测</w:t>
            </w:r>
          </w:p>
          <w:p w14:paraId="69D34DDA">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点位</w:t>
            </w:r>
          </w:p>
        </w:tc>
        <w:tc>
          <w:tcPr>
            <w:tcW w:w="1032" w:type="pct"/>
            <w:gridSpan w:val="2"/>
            <w:tcBorders>
              <w:tl2br w:val="nil"/>
              <w:tr2bl w:val="nil"/>
            </w:tcBorders>
            <w:noWrap w:val="0"/>
            <w:vAlign w:val="center"/>
          </w:tcPr>
          <w:p w14:paraId="5DD5AC6C">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监测点坐标/</w:t>
            </w:r>
          </w:p>
          <w:p w14:paraId="040C8377">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经纬度</w:t>
            </w:r>
          </w:p>
        </w:tc>
        <w:tc>
          <w:tcPr>
            <w:tcW w:w="402" w:type="pct"/>
            <w:vMerge w:val="restart"/>
            <w:tcBorders>
              <w:tl2br w:val="nil"/>
              <w:tr2bl w:val="nil"/>
            </w:tcBorders>
            <w:noWrap w:val="0"/>
            <w:vAlign w:val="center"/>
          </w:tcPr>
          <w:p w14:paraId="016B1BDD">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污染物</w:t>
            </w:r>
          </w:p>
        </w:tc>
        <w:tc>
          <w:tcPr>
            <w:tcW w:w="579" w:type="pct"/>
            <w:vMerge w:val="restart"/>
            <w:tcBorders>
              <w:tl2br w:val="nil"/>
              <w:tr2bl w:val="nil"/>
            </w:tcBorders>
            <w:noWrap w:val="0"/>
            <w:vAlign w:val="center"/>
          </w:tcPr>
          <w:p w14:paraId="7FD94E7A">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平均</w:t>
            </w:r>
          </w:p>
          <w:p w14:paraId="47441C3B">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时间</w:t>
            </w:r>
          </w:p>
        </w:tc>
        <w:tc>
          <w:tcPr>
            <w:tcW w:w="508" w:type="pct"/>
            <w:vMerge w:val="restart"/>
            <w:tcBorders>
              <w:tl2br w:val="nil"/>
              <w:tr2bl w:val="nil"/>
            </w:tcBorders>
            <w:noWrap w:val="0"/>
            <w:vAlign w:val="center"/>
          </w:tcPr>
          <w:p w14:paraId="55BBB618">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w:t>
            </w:r>
          </w:p>
          <w:p w14:paraId="0FB5F632">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标准</w:t>
            </w:r>
            <w:r>
              <w:rPr>
                <w:rFonts w:hint="default" w:ascii="Times New Roman" w:hAnsi="Times New Roman" w:eastAsia="宋体" w:cs="Times New Roman"/>
                <w:color w:val="auto"/>
                <w:sz w:val="21"/>
                <w:szCs w:val="21"/>
                <w:highlight w:val="none"/>
                <w:lang w:val="en-US" w:eastAsia="zh-CN"/>
              </w:rPr>
              <w:t>mg/m</w:t>
            </w:r>
            <w:r>
              <w:rPr>
                <w:rFonts w:hint="default" w:ascii="Times New Roman" w:hAnsi="Times New Roman" w:eastAsia="宋体" w:cs="Times New Roman"/>
                <w:color w:val="auto"/>
                <w:sz w:val="21"/>
                <w:szCs w:val="21"/>
                <w:highlight w:val="none"/>
                <w:vertAlign w:val="superscript"/>
                <w:lang w:val="en-US" w:eastAsia="zh-CN"/>
              </w:rPr>
              <w:t>3</w:t>
            </w:r>
          </w:p>
        </w:tc>
        <w:tc>
          <w:tcPr>
            <w:tcW w:w="772" w:type="pct"/>
            <w:vMerge w:val="restart"/>
            <w:tcBorders>
              <w:tl2br w:val="nil"/>
              <w:tr2bl w:val="nil"/>
            </w:tcBorders>
            <w:noWrap w:val="0"/>
            <w:vAlign w:val="center"/>
          </w:tcPr>
          <w:p w14:paraId="174A37BB">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监测</w:t>
            </w:r>
            <w:r>
              <w:rPr>
                <w:rFonts w:hint="default" w:ascii="Times New Roman" w:hAnsi="Times New Roman" w:eastAsia="宋体" w:cs="Times New Roman"/>
                <w:color w:val="auto"/>
                <w:sz w:val="21"/>
                <w:szCs w:val="21"/>
                <w:highlight w:val="none"/>
              </w:rPr>
              <w:t>浓度</w:t>
            </w:r>
            <w:r>
              <w:rPr>
                <w:rFonts w:hint="default" w:ascii="Times New Roman" w:hAnsi="Times New Roman" w:eastAsia="宋体" w:cs="Times New Roman"/>
                <w:color w:val="auto"/>
                <w:sz w:val="21"/>
                <w:szCs w:val="21"/>
                <w:highlight w:val="none"/>
                <w:lang w:val="en-US" w:eastAsia="zh-CN"/>
              </w:rPr>
              <w:t>范围mg/m</w:t>
            </w:r>
            <w:r>
              <w:rPr>
                <w:rFonts w:hint="default" w:ascii="Times New Roman" w:hAnsi="Times New Roman" w:eastAsia="宋体" w:cs="Times New Roman"/>
                <w:color w:val="auto"/>
                <w:sz w:val="21"/>
                <w:szCs w:val="21"/>
                <w:highlight w:val="none"/>
                <w:vertAlign w:val="superscript"/>
                <w:lang w:val="en-US" w:eastAsia="zh-CN"/>
              </w:rPr>
              <w:t>3</w:t>
            </w:r>
          </w:p>
        </w:tc>
        <w:tc>
          <w:tcPr>
            <w:tcW w:w="515" w:type="pct"/>
            <w:vMerge w:val="restart"/>
            <w:tcBorders>
              <w:tl2br w:val="nil"/>
              <w:tr2bl w:val="nil"/>
            </w:tcBorders>
            <w:noWrap w:val="0"/>
            <w:vAlign w:val="center"/>
          </w:tcPr>
          <w:p w14:paraId="4C29D130">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最大</w:t>
            </w:r>
            <w:r>
              <w:rPr>
                <w:rFonts w:hint="default" w:ascii="Times New Roman" w:hAnsi="Times New Roman" w:eastAsia="宋体" w:cs="Times New Roman"/>
                <w:color w:val="auto"/>
                <w:sz w:val="21"/>
                <w:szCs w:val="21"/>
                <w:highlight w:val="none"/>
                <w:lang w:val="en-US" w:eastAsia="zh-CN"/>
              </w:rPr>
              <w:t>浓度</w:t>
            </w:r>
            <w:r>
              <w:rPr>
                <w:rFonts w:hint="default" w:ascii="Times New Roman" w:hAnsi="Times New Roman" w:eastAsia="宋体" w:cs="Times New Roman"/>
                <w:color w:val="auto"/>
                <w:sz w:val="21"/>
                <w:szCs w:val="21"/>
                <w:highlight w:val="none"/>
              </w:rPr>
              <w:t>占标率%</w:t>
            </w:r>
          </w:p>
        </w:tc>
        <w:tc>
          <w:tcPr>
            <w:tcW w:w="385" w:type="pct"/>
            <w:vMerge w:val="restart"/>
            <w:tcBorders>
              <w:tl2br w:val="nil"/>
              <w:tr2bl w:val="nil"/>
            </w:tcBorders>
            <w:noWrap w:val="0"/>
            <w:vAlign w:val="center"/>
          </w:tcPr>
          <w:p w14:paraId="7C73A4F1">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超标</w:t>
            </w:r>
            <w:r>
              <w:rPr>
                <w:rFonts w:hint="default" w:ascii="Times New Roman" w:hAnsi="Times New Roman" w:eastAsia="宋体" w:cs="Times New Roman"/>
                <w:color w:val="auto"/>
                <w:sz w:val="21"/>
                <w:szCs w:val="21"/>
                <w:highlight w:val="none"/>
                <w:lang w:eastAsia="zh-CN"/>
              </w:rPr>
              <w:t>率</w:t>
            </w:r>
            <w:r>
              <w:rPr>
                <w:rFonts w:hint="default" w:ascii="Times New Roman" w:hAnsi="Times New Roman" w:eastAsia="宋体" w:cs="Times New Roman"/>
                <w:color w:val="auto"/>
                <w:sz w:val="21"/>
                <w:szCs w:val="21"/>
                <w:highlight w:val="none"/>
              </w:rPr>
              <w:t>%</w:t>
            </w:r>
          </w:p>
        </w:tc>
        <w:tc>
          <w:tcPr>
            <w:tcW w:w="397" w:type="pct"/>
            <w:vMerge w:val="restart"/>
            <w:tcBorders>
              <w:tl2br w:val="nil"/>
              <w:tr2bl w:val="nil"/>
            </w:tcBorders>
            <w:noWrap w:val="0"/>
            <w:vAlign w:val="center"/>
          </w:tcPr>
          <w:p w14:paraId="01C07BD8">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达标情况</w:t>
            </w:r>
          </w:p>
        </w:tc>
      </w:tr>
      <w:tr w14:paraId="3968FA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404" w:type="pct"/>
            <w:vMerge w:val="continue"/>
            <w:tcBorders>
              <w:tl2br w:val="nil"/>
              <w:tr2bl w:val="nil"/>
            </w:tcBorders>
            <w:noWrap w:val="0"/>
            <w:vAlign w:val="center"/>
          </w:tcPr>
          <w:p w14:paraId="2FD76D8C">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534" w:type="pct"/>
            <w:tcBorders>
              <w:tl2br w:val="nil"/>
              <w:tr2bl w:val="nil"/>
            </w:tcBorders>
            <w:noWrap w:val="0"/>
            <w:vAlign w:val="center"/>
          </w:tcPr>
          <w:p w14:paraId="646EE9E8">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X</w:t>
            </w:r>
          </w:p>
        </w:tc>
        <w:tc>
          <w:tcPr>
            <w:tcW w:w="498" w:type="pct"/>
            <w:tcBorders>
              <w:tl2br w:val="nil"/>
              <w:tr2bl w:val="nil"/>
            </w:tcBorders>
            <w:noWrap w:val="0"/>
            <w:vAlign w:val="center"/>
          </w:tcPr>
          <w:p w14:paraId="77C10244">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Y</w:t>
            </w:r>
          </w:p>
        </w:tc>
        <w:tc>
          <w:tcPr>
            <w:tcW w:w="402" w:type="pct"/>
            <w:vMerge w:val="continue"/>
            <w:tcBorders>
              <w:tl2br w:val="nil"/>
              <w:tr2bl w:val="nil"/>
            </w:tcBorders>
            <w:noWrap w:val="0"/>
            <w:vAlign w:val="center"/>
          </w:tcPr>
          <w:p w14:paraId="6CD2D014">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eastAsia="zh-CN"/>
              </w:rPr>
            </w:pPr>
          </w:p>
        </w:tc>
        <w:tc>
          <w:tcPr>
            <w:tcW w:w="579" w:type="pct"/>
            <w:vMerge w:val="continue"/>
            <w:tcBorders>
              <w:tl2br w:val="nil"/>
              <w:tr2bl w:val="nil"/>
            </w:tcBorders>
            <w:noWrap w:val="0"/>
            <w:vAlign w:val="center"/>
          </w:tcPr>
          <w:p w14:paraId="5C408306">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508" w:type="pct"/>
            <w:vMerge w:val="continue"/>
            <w:tcBorders>
              <w:tl2br w:val="nil"/>
              <w:tr2bl w:val="nil"/>
            </w:tcBorders>
            <w:noWrap w:val="0"/>
            <w:vAlign w:val="center"/>
          </w:tcPr>
          <w:p w14:paraId="0B44F267">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772" w:type="pct"/>
            <w:vMerge w:val="continue"/>
            <w:tcBorders>
              <w:tl2br w:val="nil"/>
              <w:tr2bl w:val="nil"/>
            </w:tcBorders>
            <w:noWrap w:val="0"/>
            <w:vAlign w:val="center"/>
          </w:tcPr>
          <w:p w14:paraId="70BA2120">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515" w:type="pct"/>
            <w:vMerge w:val="continue"/>
            <w:tcBorders>
              <w:tl2br w:val="nil"/>
              <w:tr2bl w:val="nil"/>
            </w:tcBorders>
            <w:noWrap w:val="0"/>
            <w:vAlign w:val="center"/>
          </w:tcPr>
          <w:p w14:paraId="5FDE41D2">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385" w:type="pct"/>
            <w:vMerge w:val="continue"/>
            <w:tcBorders>
              <w:tl2br w:val="nil"/>
              <w:tr2bl w:val="nil"/>
            </w:tcBorders>
            <w:noWrap w:val="0"/>
            <w:vAlign w:val="center"/>
          </w:tcPr>
          <w:p w14:paraId="495F6A54">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397" w:type="pct"/>
            <w:vMerge w:val="continue"/>
            <w:tcBorders>
              <w:tl2br w:val="nil"/>
              <w:tr2bl w:val="nil"/>
            </w:tcBorders>
            <w:noWrap w:val="0"/>
            <w:vAlign w:val="center"/>
          </w:tcPr>
          <w:p w14:paraId="5A95AA3C">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p>
        </w:tc>
      </w:tr>
      <w:tr w14:paraId="3402A0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4" w:type="pct"/>
            <w:vMerge w:val="restart"/>
            <w:tcBorders>
              <w:tl2br w:val="nil"/>
              <w:tr2bl w:val="nil"/>
            </w:tcBorders>
            <w:noWrap w:val="0"/>
            <w:vAlign w:val="center"/>
          </w:tcPr>
          <w:p w14:paraId="0F6151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rPr>
              <w:t>1#</w:t>
            </w:r>
            <w:r>
              <w:rPr>
                <w:rFonts w:hint="eastAsia" w:ascii="Times New Roman" w:hAnsi="Times New Roman" w:eastAsia="宋体" w:cs="Times New Roman"/>
                <w:color w:val="auto"/>
                <w:kern w:val="0"/>
                <w:sz w:val="21"/>
                <w:szCs w:val="21"/>
                <w:highlight w:val="none"/>
                <w:lang w:val="en-US" w:eastAsia="zh-CN"/>
              </w:rPr>
              <w:t>厂址</w:t>
            </w:r>
            <w:r>
              <w:rPr>
                <w:rFonts w:hint="default" w:ascii="Times New Roman" w:hAnsi="Times New Roman" w:eastAsia="宋体" w:cs="Times New Roman"/>
                <w:color w:val="auto"/>
                <w:kern w:val="0"/>
                <w:sz w:val="21"/>
                <w:szCs w:val="21"/>
                <w:highlight w:val="none"/>
                <w:lang w:eastAsia="zh-CN"/>
              </w:rPr>
              <w:t>下风向</w:t>
            </w:r>
          </w:p>
        </w:tc>
        <w:tc>
          <w:tcPr>
            <w:tcW w:w="534" w:type="pct"/>
            <w:vMerge w:val="restart"/>
            <w:tcBorders>
              <w:tl2br w:val="nil"/>
              <w:tr2bl w:val="nil"/>
            </w:tcBorders>
            <w:noWrap w:val="0"/>
            <w:vAlign w:val="center"/>
          </w:tcPr>
          <w:p w14:paraId="460426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rPr>
              <w:t>130.30976876</w:t>
            </w:r>
          </w:p>
        </w:tc>
        <w:tc>
          <w:tcPr>
            <w:tcW w:w="498" w:type="pct"/>
            <w:vMerge w:val="restart"/>
            <w:tcBorders>
              <w:tl2br w:val="nil"/>
              <w:tr2bl w:val="nil"/>
            </w:tcBorders>
            <w:noWrap w:val="0"/>
            <w:vAlign w:val="center"/>
          </w:tcPr>
          <w:p w14:paraId="6252415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rPr>
              <w:t>46.82334938</w:t>
            </w:r>
          </w:p>
        </w:tc>
        <w:tc>
          <w:tcPr>
            <w:tcW w:w="402" w:type="pct"/>
            <w:tcBorders>
              <w:tl2br w:val="nil"/>
              <w:tr2bl w:val="nil"/>
            </w:tcBorders>
            <w:noWrap w:val="0"/>
            <w:vAlign w:val="center"/>
          </w:tcPr>
          <w:p w14:paraId="05880CAD">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TSP</w:t>
            </w:r>
          </w:p>
        </w:tc>
        <w:tc>
          <w:tcPr>
            <w:tcW w:w="579" w:type="pct"/>
            <w:tcBorders>
              <w:tl2br w:val="nil"/>
              <w:tr2bl w:val="nil"/>
            </w:tcBorders>
            <w:noWrap w:val="0"/>
            <w:vAlign w:val="center"/>
          </w:tcPr>
          <w:p w14:paraId="102FC4D8">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24h</w:t>
            </w:r>
            <w:r>
              <w:rPr>
                <w:rFonts w:hint="default" w:ascii="Times New Roman" w:hAnsi="Times New Roman" w:eastAsia="宋体" w:cs="Times New Roman"/>
                <w:color w:val="auto"/>
                <w:sz w:val="21"/>
                <w:szCs w:val="21"/>
                <w:highlight w:val="none"/>
              </w:rPr>
              <w:t>平均</w:t>
            </w:r>
          </w:p>
        </w:tc>
        <w:tc>
          <w:tcPr>
            <w:tcW w:w="508" w:type="pct"/>
            <w:tcBorders>
              <w:tl2br w:val="nil"/>
              <w:tr2bl w:val="nil"/>
            </w:tcBorders>
            <w:noWrap w:val="0"/>
            <w:vAlign w:val="center"/>
          </w:tcPr>
          <w:p w14:paraId="3BFD3FF9">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0.3</w:t>
            </w:r>
          </w:p>
        </w:tc>
        <w:tc>
          <w:tcPr>
            <w:tcW w:w="772" w:type="pct"/>
            <w:tcBorders>
              <w:tl2br w:val="nil"/>
              <w:tr2bl w:val="nil"/>
            </w:tcBorders>
            <w:noWrap w:val="0"/>
            <w:vAlign w:val="center"/>
          </w:tcPr>
          <w:p w14:paraId="6A02D3E4">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0.183~0.186</w:t>
            </w:r>
          </w:p>
        </w:tc>
        <w:tc>
          <w:tcPr>
            <w:tcW w:w="515" w:type="pct"/>
            <w:tcBorders>
              <w:tl2br w:val="nil"/>
              <w:tr2bl w:val="nil"/>
            </w:tcBorders>
            <w:noWrap w:val="0"/>
            <w:vAlign w:val="center"/>
          </w:tcPr>
          <w:p w14:paraId="1261BA80">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62</w:t>
            </w:r>
          </w:p>
        </w:tc>
        <w:tc>
          <w:tcPr>
            <w:tcW w:w="385" w:type="pct"/>
            <w:tcBorders>
              <w:tl2br w:val="nil"/>
              <w:tr2bl w:val="nil"/>
            </w:tcBorders>
            <w:noWrap w:val="0"/>
            <w:vAlign w:val="center"/>
          </w:tcPr>
          <w:p w14:paraId="52F99E4F">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w:t>
            </w:r>
          </w:p>
        </w:tc>
        <w:tc>
          <w:tcPr>
            <w:tcW w:w="397" w:type="pct"/>
            <w:tcBorders>
              <w:tl2br w:val="nil"/>
              <w:tr2bl w:val="nil"/>
            </w:tcBorders>
            <w:noWrap w:val="0"/>
            <w:vAlign w:val="center"/>
          </w:tcPr>
          <w:p w14:paraId="6C803647">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达标</w:t>
            </w:r>
          </w:p>
        </w:tc>
      </w:tr>
      <w:tr w14:paraId="7F84E8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4" w:type="pct"/>
            <w:vMerge w:val="continue"/>
            <w:tcBorders>
              <w:tl2br w:val="nil"/>
              <w:tr2bl w:val="nil"/>
            </w:tcBorders>
            <w:noWrap w:val="0"/>
            <w:vAlign w:val="center"/>
          </w:tcPr>
          <w:p w14:paraId="7180C3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c>
          <w:tcPr>
            <w:tcW w:w="534" w:type="pct"/>
            <w:vMerge w:val="continue"/>
            <w:tcBorders>
              <w:tl2br w:val="nil"/>
              <w:tr2bl w:val="nil"/>
            </w:tcBorders>
            <w:noWrap w:val="0"/>
            <w:vAlign w:val="center"/>
          </w:tcPr>
          <w:p w14:paraId="051D687F">
            <w:pPr>
              <w:pStyle w:val="68"/>
              <w:keepNext w:val="0"/>
              <w:keepLines w:val="0"/>
              <w:pageBreakBefore w:val="0"/>
              <w:widowControl w:val="0"/>
              <w:tabs>
                <w:tab w:val="left" w:pos="146"/>
              </w:tabs>
              <w:kinsoku/>
              <w:wordWrap/>
              <w:overflowPunct/>
              <w:topLinePunct w:val="0"/>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p>
        </w:tc>
        <w:tc>
          <w:tcPr>
            <w:tcW w:w="498" w:type="pct"/>
            <w:vMerge w:val="continue"/>
            <w:tcBorders>
              <w:tl2br w:val="nil"/>
              <w:tr2bl w:val="nil"/>
            </w:tcBorders>
            <w:noWrap w:val="0"/>
            <w:vAlign w:val="center"/>
          </w:tcPr>
          <w:p w14:paraId="0007EC23">
            <w:pPr>
              <w:pStyle w:val="68"/>
              <w:keepNext w:val="0"/>
              <w:keepLines w:val="0"/>
              <w:pageBreakBefore w:val="0"/>
              <w:widowControl w:val="0"/>
              <w:tabs>
                <w:tab w:val="left" w:pos="146"/>
              </w:tabs>
              <w:kinsoku/>
              <w:wordWrap/>
              <w:overflowPunct/>
              <w:topLinePunct w:val="0"/>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p>
        </w:tc>
        <w:tc>
          <w:tcPr>
            <w:tcW w:w="402" w:type="pct"/>
            <w:tcBorders>
              <w:tl2br w:val="nil"/>
              <w:tr2bl w:val="nil"/>
            </w:tcBorders>
            <w:noWrap w:val="0"/>
            <w:vAlign w:val="center"/>
          </w:tcPr>
          <w:p w14:paraId="7FD22C80">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NH</w:t>
            </w:r>
            <w:r>
              <w:rPr>
                <w:rFonts w:hint="default" w:ascii="Times New Roman" w:hAnsi="Times New Roman" w:eastAsia="宋体" w:cs="Times New Roman"/>
                <w:color w:val="auto"/>
                <w:sz w:val="21"/>
                <w:szCs w:val="21"/>
                <w:highlight w:val="none"/>
                <w:vertAlign w:val="subscript"/>
              </w:rPr>
              <w:t>3</w:t>
            </w:r>
          </w:p>
        </w:tc>
        <w:tc>
          <w:tcPr>
            <w:tcW w:w="579" w:type="pct"/>
            <w:tcBorders>
              <w:tl2br w:val="nil"/>
              <w:tr2bl w:val="nil"/>
            </w:tcBorders>
            <w:noWrap w:val="0"/>
            <w:vAlign w:val="center"/>
          </w:tcPr>
          <w:p w14:paraId="33B2D838">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1</w:t>
            </w:r>
            <w:r>
              <w:rPr>
                <w:rFonts w:hint="default" w:ascii="Times New Roman" w:hAnsi="Times New Roman" w:eastAsia="宋体" w:cs="Times New Roman"/>
                <w:color w:val="auto"/>
                <w:sz w:val="21"/>
                <w:szCs w:val="21"/>
                <w:highlight w:val="none"/>
                <w:lang w:val="en-US" w:eastAsia="zh-CN"/>
              </w:rPr>
              <w:t>h</w:t>
            </w:r>
            <w:r>
              <w:rPr>
                <w:rFonts w:hint="default" w:ascii="Times New Roman" w:hAnsi="Times New Roman" w:eastAsia="宋体" w:cs="Times New Roman"/>
                <w:color w:val="auto"/>
                <w:sz w:val="21"/>
                <w:szCs w:val="21"/>
                <w:highlight w:val="none"/>
              </w:rPr>
              <w:t>平均</w:t>
            </w:r>
          </w:p>
        </w:tc>
        <w:tc>
          <w:tcPr>
            <w:tcW w:w="508" w:type="pct"/>
            <w:tcBorders>
              <w:tl2br w:val="nil"/>
              <w:tr2bl w:val="nil"/>
            </w:tcBorders>
            <w:noWrap w:val="0"/>
            <w:vAlign w:val="center"/>
          </w:tcPr>
          <w:p w14:paraId="752D3FBD">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0.2</w:t>
            </w:r>
          </w:p>
        </w:tc>
        <w:tc>
          <w:tcPr>
            <w:tcW w:w="772" w:type="pct"/>
            <w:tcBorders>
              <w:tl2br w:val="nil"/>
              <w:tr2bl w:val="nil"/>
            </w:tcBorders>
            <w:noWrap w:val="0"/>
            <w:vAlign w:val="center"/>
          </w:tcPr>
          <w:p w14:paraId="211CEE04">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&lt;0.01</w:t>
            </w:r>
          </w:p>
        </w:tc>
        <w:tc>
          <w:tcPr>
            <w:tcW w:w="515" w:type="pct"/>
            <w:tcBorders>
              <w:tl2br w:val="nil"/>
              <w:tr2bl w:val="nil"/>
            </w:tcBorders>
            <w:noWrap w:val="0"/>
            <w:vAlign w:val="center"/>
          </w:tcPr>
          <w:p w14:paraId="23CBA139">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c>
          <w:tcPr>
            <w:tcW w:w="385" w:type="pct"/>
            <w:tcBorders>
              <w:tl2br w:val="nil"/>
              <w:tr2bl w:val="nil"/>
            </w:tcBorders>
            <w:noWrap w:val="0"/>
            <w:vAlign w:val="center"/>
          </w:tcPr>
          <w:p w14:paraId="5CE6C00F">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w:t>
            </w:r>
          </w:p>
        </w:tc>
        <w:tc>
          <w:tcPr>
            <w:tcW w:w="397" w:type="pct"/>
            <w:tcBorders>
              <w:tl2br w:val="nil"/>
              <w:tr2bl w:val="nil"/>
            </w:tcBorders>
            <w:noWrap w:val="0"/>
            <w:vAlign w:val="center"/>
          </w:tcPr>
          <w:p w14:paraId="007E27FE">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达标</w:t>
            </w:r>
          </w:p>
        </w:tc>
      </w:tr>
      <w:tr w14:paraId="4FDCB4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4" w:type="pct"/>
            <w:vMerge w:val="continue"/>
            <w:tcBorders>
              <w:tl2br w:val="nil"/>
              <w:tr2bl w:val="nil"/>
            </w:tcBorders>
            <w:noWrap w:val="0"/>
            <w:vAlign w:val="center"/>
          </w:tcPr>
          <w:p w14:paraId="1D1BA23B">
            <w:pPr>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eastAsia="zh-CN"/>
              </w:rPr>
            </w:pPr>
          </w:p>
        </w:tc>
        <w:tc>
          <w:tcPr>
            <w:tcW w:w="534" w:type="pct"/>
            <w:vMerge w:val="continue"/>
            <w:tcBorders>
              <w:tl2br w:val="nil"/>
              <w:tr2bl w:val="nil"/>
            </w:tcBorders>
            <w:noWrap w:val="0"/>
            <w:vAlign w:val="center"/>
          </w:tcPr>
          <w:p w14:paraId="5EE19638">
            <w:pPr>
              <w:pStyle w:val="68"/>
              <w:keepNext w:val="0"/>
              <w:keepLines w:val="0"/>
              <w:pageBreakBefore w:val="0"/>
              <w:widowControl w:val="0"/>
              <w:tabs>
                <w:tab w:val="left" w:pos="146"/>
              </w:tabs>
              <w:kinsoku/>
              <w:wordWrap/>
              <w:overflowPunct/>
              <w:topLinePunct w:val="0"/>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p>
        </w:tc>
        <w:tc>
          <w:tcPr>
            <w:tcW w:w="498" w:type="pct"/>
            <w:vMerge w:val="continue"/>
            <w:tcBorders>
              <w:tl2br w:val="nil"/>
              <w:tr2bl w:val="nil"/>
            </w:tcBorders>
            <w:noWrap w:val="0"/>
            <w:vAlign w:val="center"/>
          </w:tcPr>
          <w:p w14:paraId="7A7B5D8D">
            <w:pPr>
              <w:pStyle w:val="68"/>
              <w:keepNext w:val="0"/>
              <w:keepLines w:val="0"/>
              <w:pageBreakBefore w:val="0"/>
              <w:widowControl w:val="0"/>
              <w:tabs>
                <w:tab w:val="left" w:pos="146"/>
              </w:tabs>
              <w:kinsoku/>
              <w:wordWrap/>
              <w:overflowPunct/>
              <w:topLinePunct w:val="0"/>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p>
        </w:tc>
        <w:tc>
          <w:tcPr>
            <w:tcW w:w="402" w:type="pct"/>
            <w:tcBorders>
              <w:tl2br w:val="nil"/>
              <w:tr2bl w:val="nil"/>
            </w:tcBorders>
            <w:noWrap w:val="0"/>
            <w:vAlign w:val="center"/>
          </w:tcPr>
          <w:p w14:paraId="1D50405B">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i w:val="0"/>
                <w:color w:val="auto"/>
                <w:kern w:val="0"/>
                <w:sz w:val="21"/>
                <w:szCs w:val="21"/>
                <w:highlight w:val="none"/>
                <w:u w:val="none"/>
                <w:lang w:val="en-US" w:eastAsia="zh-CN" w:bidi="ar"/>
              </w:rPr>
              <w:t>Hg</w:t>
            </w:r>
          </w:p>
        </w:tc>
        <w:tc>
          <w:tcPr>
            <w:tcW w:w="579" w:type="pct"/>
            <w:tcBorders>
              <w:tl2br w:val="nil"/>
              <w:tr2bl w:val="nil"/>
            </w:tcBorders>
            <w:noWrap w:val="0"/>
            <w:vAlign w:val="center"/>
          </w:tcPr>
          <w:p w14:paraId="6F6FDB7B">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val="en-US" w:eastAsia="zh-CN"/>
              </w:rPr>
              <w:t>h</w:t>
            </w:r>
            <w:r>
              <w:rPr>
                <w:rFonts w:hint="default" w:ascii="Times New Roman" w:hAnsi="Times New Roman" w:eastAsia="宋体" w:cs="Times New Roman"/>
                <w:color w:val="auto"/>
                <w:sz w:val="21"/>
                <w:szCs w:val="21"/>
                <w:highlight w:val="none"/>
              </w:rPr>
              <w:t>平均</w:t>
            </w:r>
          </w:p>
        </w:tc>
        <w:tc>
          <w:tcPr>
            <w:tcW w:w="508" w:type="pct"/>
            <w:tcBorders>
              <w:tl2br w:val="nil"/>
              <w:tr2bl w:val="nil"/>
            </w:tcBorders>
            <w:noWrap w:val="0"/>
            <w:vAlign w:val="center"/>
          </w:tcPr>
          <w:p w14:paraId="79B79AEA">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772" w:type="pct"/>
            <w:tcBorders>
              <w:tl2br w:val="nil"/>
              <w:tr2bl w:val="nil"/>
            </w:tcBorders>
            <w:noWrap w:val="0"/>
            <w:vAlign w:val="center"/>
          </w:tcPr>
          <w:p w14:paraId="69759ED5">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6.6×10</w:t>
            </w:r>
            <w:r>
              <w:rPr>
                <w:rFonts w:hint="default" w:ascii="Times New Roman" w:hAnsi="Times New Roman" w:eastAsia="宋体" w:cs="Times New Roman"/>
                <w:color w:val="auto"/>
                <w:sz w:val="21"/>
                <w:szCs w:val="21"/>
                <w:highlight w:val="none"/>
                <w:vertAlign w:val="superscript"/>
                <w:lang w:val="en-US" w:eastAsia="zh-CN"/>
              </w:rPr>
              <w:t>-6</w:t>
            </w:r>
          </w:p>
        </w:tc>
        <w:tc>
          <w:tcPr>
            <w:tcW w:w="515" w:type="pct"/>
            <w:tcBorders>
              <w:tl2br w:val="nil"/>
              <w:tr2bl w:val="nil"/>
            </w:tcBorders>
            <w:noWrap w:val="0"/>
            <w:vAlign w:val="center"/>
          </w:tcPr>
          <w:p w14:paraId="6A8D6720">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385" w:type="pct"/>
            <w:tcBorders>
              <w:tl2br w:val="nil"/>
              <w:tr2bl w:val="nil"/>
            </w:tcBorders>
            <w:noWrap w:val="0"/>
            <w:vAlign w:val="center"/>
          </w:tcPr>
          <w:p w14:paraId="6CD4B7EF">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w:t>
            </w:r>
          </w:p>
        </w:tc>
        <w:tc>
          <w:tcPr>
            <w:tcW w:w="397" w:type="pct"/>
            <w:tcBorders>
              <w:tl2br w:val="nil"/>
              <w:tr2bl w:val="nil"/>
            </w:tcBorders>
            <w:noWrap w:val="0"/>
            <w:vAlign w:val="center"/>
          </w:tcPr>
          <w:p w14:paraId="092A4AD7">
            <w:pPr>
              <w:pStyle w:val="47"/>
              <w:keepNext w:val="0"/>
              <w:keepLines w:val="0"/>
              <w:pageBreakBefore w:val="0"/>
              <w:kinsoku/>
              <w:wordWrap/>
              <w:overflowPunct/>
              <w:topLinePunct w:val="0"/>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达标</w:t>
            </w:r>
          </w:p>
        </w:tc>
      </w:tr>
    </w:tbl>
    <w:p w14:paraId="70C41B8A">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环境空气质量现状评价结论</w:t>
      </w:r>
    </w:p>
    <w:p w14:paraId="0F5FCA30">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sz w:val="24"/>
          <w:szCs w:val="24"/>
          <w:highlight w:val="none"/>
          <w:lang w:eastAsia="zh-CN"/>
        </w:rPr>
        <w:t>根据</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eastAsia="zh-CN"/>
        </w:rPr>
        <w:t>佳木斯市生态环境质量简报</w:t>
      </w:r>
      <w:r>
        <w:rPr>
          <w:rFonts w:hint="default" w:ascii="Times New Roman" w:hAnsi="Times New Roman" w:eastAsia="宋体" w:cs="Times New Roman"/>
          <w:color w:val="auto"/>
          <w:sz w:val="24"/>
          <w:szCs w:val="24"/>
          <w:highlight w:val="none"/>
        </w:rPr>
        <w:t>（202</w:t>
      </w:r>
      <w:r>
        <w:rPr>
          <w:rFonts w:hint="eastAsia"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年度）》</w:t>
      </w:r>
      <w:r>
        <w:rPr>
          <w:rFonts w:hint="eastAsia" w:ascii="Times New Roman" w:hAnsi="Times New Roman" w:eastAsia="宋体" w:cs="Times New Roman"/>
          <w:color w:val="auto"/>
          <w:sz w:val="24"/>
          <w:szCs w:val="24"/>
          <w:highlight w:val="none"/>
          <w:lang w:eastAsia="zh-CN"/>
        </w:rPr>
        <w:t>可知，项目所在区域</w:t>
      </w:r>
      <w:r>
        <w:rPr>
          <w:rFonts w:hint="default" w:ascii="Times New Roman" w:hAnsi="Times New Roman" w:eastAsia="宋体" w:cs="Times New Roman"/>
          <w:color w:val="auto"/>
          <w:sz w:val="24"/>
          <w:szCs w:val="24"/>
          <w:highlight w:val="none"/>
          <w:lang w:eastAsia="zh-CN"/>
        </w:rPr>
        <w:t>PM</w:t>
      </w:r>
      <w:r>
        <w:rPr>
          <w:rFonts w:hint="default" w:ascii="Times New Roman" w:hAnsi="Times New Roman" w:eastAsia="宋体" w:cs="Times New Roman"/>
          <w:color w:val="auto"/>
          <w:sz w:val="24"/>
          <w:szCs w:val="24"/>
          <w:highlight w:val="none"/>
          <w:vertAlign w:val="subscript"/>
          <w:lang w:eastAsia="zh-CN"/>
        </w:rPr>
        <w:t>2.5</w:t>
      </w:r>
      <w:r>
        <w:rPr>
          <w:rFonts w:hint="eastAsia" w:ascii="Times New Roman" w:hAnsi="Times New Roman" w:eastAsia="宋体" w:cs="Times New Roman"/>
          <w:color w:val="auto"/>
          <w:sz w:val="24"/>
          <w:szCs w:val="24"/>
          <w:highlight w:val="none"/>
          <w:vertAlign w:val="baseline"/>
          <w:lang w:eastAsia="zh-CN"/>
        </w:rPr>
        <w:t>、</w:t>
      </w:r>
      <w:r>
        <w:rPr>
          <w:rFonts w:hint="default" w:ascii="Times New Roman" w:hAnsi="Times New Roman" w:eastAsia="宋体" w:cs="Times New Roman"/>
          <w:color w:val="auto"/>
          <w:sz w:val="24"/>
          <w:szCs w:val="24"/>
          <w:highlight w:val="none"/>
          <w:lang w:eastAsia="zh-CN"/>
        </w:rPr>
        <w:t>PM</w:t>
      </w:r>
      <w:r>
        <w:rPr>
          <w:rFonts w:hint="default" w:ascii="Times New Roman" w:hAnsi="Times New Roman" w:eastAsia="宋体" w:cs="Times New Roman"/>
          <w:color w:val="auto"/>
          <w:sz w:val="24"/>
          <w:szCs w:val="24"/>
          <w:highlight w:val="none"/>
          <w:vertAlign w:val="subscript"/>
          <w:lang w:eastAsia="zh-CN"/>
        </w:rPr>
        <w:t>10</w:t>
      </w:r>
      <w:r>
        <w:rPr>
          <w:rFonts w:hint="eastAsia" w:ascii="Times New Roman" w:hAnsi="Times New Roman" w:eastAsia="宋体" w:cs="Times New Roman"/>
          <w:color w:val="auto"/>
          <w:sz w:val="24"/>
          <w:szCs w:val="24"/>
          <w:highlight w:val="none"/>
          <w:vertAlign w:val="baseline"/>
          <w:lang w:eastAsia="zh-CN"/>
        </w:rPr>
        <w:t>、</w:t>
      </w:r>
      <w:r>
        <w:rPr>
          <w:rFonts w:hint="default" w:ascii="Times New Roman" w:hAnsi="Times New Roman" w:eastAsia="宋体" w:cs="Times New Roman"/>
          <w:color w:val="auto"/>
          <w:sz w:val="24"/>
          <w:szCs w:val="24"/>
          <w:highlight w:val="none"/>
          <w:lang w:eastAsia="zh-CN"/>
        </w:rPr>
        <w:t>NO</w:t>
      </w:r>
      <w:r>
        <w:rPr>
          <w:rFonts w:hint="default" w:ascii="Times New Roman" w:hAnsi="Times New Roman" w:eastAsia="宋体" w:cs="Times New Roman"/>
          <w:color w:val="auto"/>
          <w:sz w:val="24"/>
          <w:szCs w:val="24"/>
          <w:highlight w:val="none"/>
          <w:vertAlign w:val="subscript"/>
          <w:lang w:eastAsia="zh-CN"/>
        </w:rPr>
        <w:t>2</w:t>
      </w:r>
      <w:r>
        <w:rPr>
          <w:rFonts w:hint="eastAsia" w:ascii="Times New Roman" w:hAnsi="Times New Roman" w:eastAsia="宋体" w:cs="Times New Roman"/>
          <w:color w:val="auto"/>
          <w:sz w:val="24"/>
          <w:szCs w:val="24"/>
          <w:highlight w:val="none"/>
          <w:vertAlign w:val="baseline"/>
          <w:lang w:eastAsia="zh-CN"/>
        </w:rPr>
        <w:t>、</w:t>
      </w:r>
      <w:r>
        <w:rPr>
          <w:rFonts w:hint="default" w:ascii="Times New Roman" w:hAnsi="Times New Roman" w:eastAsia="宋体" w:cs="Times New Roman"/>
          <w:color w:val="auto"/>
          <w:sz w:val="24"/>
          <w:szCs w:val="24"/>
          <w:highlight w:val="none"/>
          <w:lang w:eastAsia="zh-CN"/>
        </w:rPr>
        <w:t>SO</w:t>
      </w:r>
      <w:r>
        <w:rPr>
          <w:rFonts w:hint="default" w:ascii="Times New Roman" w:hAnsi="Times New Roman" w:eastAsia="宋体" w:cs="Times New Roman"/>
          <w:color w:val="auto"/>
          <w:sz w:val="24"/>
          <w:szCs w:val="24"/>
          <w:highlight w:val="none"/>
          <w:vertAlign w:val="subscript"/>
          <w:lang w:eastAsia="zh-CN"/>
        </w:rPr>
        <w:t>2</w:t>
      </w:r>
      <w:r>
        <w:rPr>
          <w:rFonts w:hint="eastAsia" w:ascii="Times New Roman" w:hAnsi="Times New Roman" w:eastAsia="宋体" w:cs="Times New Roman"/>
          <w:color w:val="auto"/>
          <w:sz w:val="24"/>
          <w:szCs w:val="24"/>
          <w:highlight w:val="none"/>
          <w:vertAlign w:val="baseline"/>
          <w:lang w:eastAsia="zh-CN"/>
        </w:rPr>
        <w:t>、</w:t>
      </w:r>
      <w:r>
        <w:rPr>
          <w:rFonts w:hint="default" w:ascii="Times New Roman" w:hAnsi="Times New Roman" w:eastAsia="宋体" w:cs="Times New Roman"/>
          <w:color w:val="auto"/>
          <w:sz w:val="24"/>
          <w:szCs w:val="24"/>
          <w:highlight w:val="none"/>
          <w:lang w:eastAsia="zh-CN"/>
        </w:rPr>
        <w:t>CO</w:t>
      </w:r>
      <w:r>
        <w:rPr>
          <w:rFonts w:hint="eastAsia" w:ascii="Times New Roman" w:hAnsi="Times New Roman" w:eastAsia="宋体" w:cs="Times New Roman"/>
          <w:color w:val="auto"/>
          <w:sz w:val="24"/>
          <w:szCs w:val="24"/>
          <w:highlight w:val="none"/>
          <w:vertAlign w:val="baseline"/>
          <w:lang w:eastAsia="zh-CN"/>
        </w:rPr>
        <w:t>、</w:t>
      </w:r>
      <w:r>
        <w:rPr>
          <w:rFonts w:hint="default" w:ascii="Times New Roman" w:hAnsi="Times New Roman" w:eastAsia="宋体" w:cs="Times New Roman"/>
          <w:color w:val="auto"/>
          <w:sz w:val="24"/>
          <w:szCs w:val="24"/>
          <w:highlight w:val="none"/>
          <w:lang w:eastAsia="zh-CN"/>
        </w:rPr>
        <w:t>O</w:t>
      </w:r>
      <w:r>
        <w:rPr>
          <w:rFonts w:hint="default" w:ascii="Times New Roman" w:hAnsi="Times New Roman" w:eastAsia="宋体" w:cs="Times New Roman"/>
          <w:color w:val="auto"/>
          <w:sz w:val="24"/>
          <w:szCs w:val="24"/>
          <w:highlight w:val="none"/>
          <w:vertAlign w:val="subscript"/>
          <w:lang w:eastAsia="zh-CN"/>
        </w:rPr>
        <w:t>3</w:t>
      </w:r>
      <w:r>
        <w:rPr>
          <w:rFonts w:hint="eastAsia" w:ascii="Times New Roman" w:hAnsi="Times New Roman" w:eastAsia="宋体" w:cs="Times New Roman"/>
          <w:color w:val="auto"/>
          <w:sz w:val="24"/>
          <w:szCs w:val="24"/>
          <w:highlight w:val="none"/>
          <w:vertAlign w:val="baseline"/>
          <w:lang w:eastAsia="zh-CN"/>
        </w:rPr>
        <w:t>、总体达标</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项目排放的其他特征污染物TSP现状监测值满足《环境空气质量标准》（GB3095-2012）及其修改单中二级标准，NH</w:t>
      </w:r>
      <w:r>
        <w:rPr>
          <w:rFonts w:hint="default" w:ascii="Times New Roman" w:hAnsi="Times New Roman" w:eastAsia="宋体" w:cs="Times New Roman"/>
          <w:color w:val="auto"/>
          <w:highlight w:val="none"/>
          <w:vertAlign w:val="subscript"/>
        </w:rPr>
        <w:t>3</w:t>
      </w:r>
      <w:r>
        <w:rPr>
          <w:rFonts w:hint="default" w:ascii="Times New Roman" w:hAnsi="Times New Roman" w:eastAsia="宋体" w:cs="Times New Roman"/>
          <w:color w:val="auto"/>
          <w:highlight w:val="none"/>
        </w:rPr>
        <w:t>现状监测值满足《环境影响评价技术导则 大气环境》（HJ2.2-2018）附录D要求</w:t>
      </w:r>
      <w:r>
        <w:rPr>
          <w:rFonts w:hint="eastAsia" w:ascii="Times New Roman" w:hAnsi="Times New Roman" w:eastAsia="宋体" w:cs="Times New Roman"/>
          <w:color w:val="auto"/>
          <w:highlight w:val="none"/>
          <w:lang w:eastAsia="zh-CN"/>
        </w:rPr>
        <w:t>，区域环境空气质量良好。</w:t>
      </w:r>
    </w:p>
    <w:p w14:paraId="6D698583">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379" w:name="_Toc31674"/>
      <w:bookmarkStart w:id="380" w:name="_Toc19096"/>
      <w:bookmarkStart w:id="381" w:name="_Toc16256"/>
      <w:r>
        <w:rPr>
          <w:rFonts w:hint="default" w:ascii="Times New Roman" w:hAnsi="Times New Roman" w:eastAsia="宋体" w:cs="Times New Roman"/>
          <w:color w:val="auto"/>
          <w:highlight w:val="none"/>
        </w:rPr>
        <w:t>地表水环境质量现状调查与评价</w:t>
      </w:r>
      <w:bookmarkEnd w:id="379"/>
      <w:bookmarkEnd w:id="380"/>
      <w:bookmarkEnd w:id="381"/>
    </w:p>
    <w:p w14:paraId="53C8D4C7">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本项目所在区域</w:t>
      </w:r>
      <w:r>
        <w:rPr>
          <w:rFonts w:hint="eastAsia" w:ascii="Times New Roman" w:hAnsi="Times New Roman" w:eastAsia="宋体" w:cs="Times New Roman"/>
          <w:color w:val="auto"/>
          <w:sz w:val="24"/>
          <w:szCs w:val="24"/>
          <w:highlight w:val="none"/>
          <w:lang w:val="en-US" w:eastAsia="zh-CN"/>
        </w:rPr>
        <w:t>纳污</w:t>
      </w:r>
      <w:r>
        <w:rPr>
          <w:rFonts w:hint="default" w:ascii="Times New Roman" w:hAnsi="Times New Roman" w:eastAsia="宋体" w:cs="Times New Roman"/>
          <w:color w:val="auto"/>
          <w:sz w:val="24"/>
          <w:szCs w:val="24"/>
          <w:highlight w:val="none"/>
        </w:rPr>
        <w:t>水体为</w:t>
      </w:r>
      <w:r>
        <w:rPr>
          <w:rFonts w:hint="eastAsia" w:ascii="Times New Roman" w:hAnsi="Times New Roman" w:eastAsia="宋体" w:cs="Times New Roman"/>
          <w:color w:val="auto"/>
          <w:sz w:val="24"/>
          <w:szCs w:val="24"/>
          <w:highlight w:val="none"/>
          <w:lang w:val="en-US" w:eastAsia="zh-CN"/>
        </w:rPr>
        <w:t>松花江</w:t>
      </w:r>
      <w:r>
        <w:rPr>
          <w:rFonts w:hint="default" w:ascii="Times New Roman" w:hAnsi="Times New Roman" w:eastAsia="宋体" w:cs="Times New Roman"/>
          <w:color w:val="auto"/>
          <w:sz w:val="24"/>
          <w:szCs w:val="24"/>
          <w:highlight w:val="none"/>
        </w:rPr>
        <w:t>。根据《全国重要江河湖泊水功能区划（2011</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2030年）》，项目区起始断面为汤旺河汇入口上1km、终止断面为佳木斯港务局断面，执行《地表水环境质量标准》（GB3838-2002）中Ⅳ类水体标准。</w:t>
      </w:r>
    </w:p>
    <w:p w14:paraId="7C5A9487">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根据《</w:t>
      </w:r>
      <w:r>
        <w:rPr>
          <w:rFonts w:hint="eastAsia" w:ascii="Times New Roman" w:hAnsi="Times New Roman" w:eastAsia="宋体" w:cs="Times New Roman"/>
          <w:color w:val="auto"/>
          <w:sz w:val="24"/>
          <w:szCs w:val="24"/>
          <w:highlight w:val="none"/>
          <w:lang w:eastAsia="zh-CN"/>
        </w:rPr>
        <w:t>佳木斯市生态环境质量简报</w:t>
      </w:r>
      <w:r>
        <w:rPr>
          <w:rFonts w:hint="default" w:ascii="Times New Roman" w:hAnsi="Times New Roman" w:eastAsia="宋体" w:cs="Times New Roman"/>
          <w:color w:val="auto"/>
          <w:sz w:val="24"/>
          <w:szCs w:val="24"/>
          <w:highlight w:val="none"/>
        </w:rPr>
        <w:t>（202</w:t>
      </w:r>
      <w:r>
        <w:rPr>
          <w:rFonts w:hint="eastAsia"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年度）》，</w:t>
      </w:r>
      <w:r>
        <w:rPr>
          <w:rFonts w:hint="default" w:ascii="Times New Roman" w:hAnsi="Times New Roman" w:eastAsia="宋体" w:cs="Times New Roman"/>
          <w:color w:val="auto"/>
          <w:sz w:val="24"/>
          <w:szCs w:val="24"/>
          <w:highlight w:val="none"/>
          <w:lang w:val="en-US" w:eastAsia="zh-CN"/>
        </w:rPr>
        <w:t>2024 年，佳木斯市国、省控河流断面共 12 个，Ⅰ~Ⅲ类水质（优良水体）断面10个，占83.3%，同比升高16.6个百分点；无劣Ⅴ类水质断面。2024年，松花江佳木斯江段干流及支流断面共6个，Ⅰ-Ⅲ类水质比例为100%。</w:t>
      </w:r>
    </w:p>
    <w:p w14:paraId="61C6DF73">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auto"/>
          <w:sz w:val="24"/>
          <w:szCs w:val="24"/>
          <w:highlight w:val="none"/>
          <w:lang w:eastAsia="zh-CN"/>
        </w:rPr>
      </w:pPr>
      <w:r>
        <w:rPr>
          <w:sz w:val="24"/>
          <w:highlight w:val="none"/>
        </w:rPr>
        <mc:AlternateContent>
          <mc:Choice Requires="wps">
            <w:drawing>
              <wp:anchor distT="0" distB="0" distL="114300" distR="114300" simplePos="0" relativeHeight="251664384" behindDoc="0" locked="0" layoutInCell="1" allowOverlap="1">
                <wp:simplePos x="0" y="0"/>
                <wp:positionH relativeFrom="column">
                  <wp:posOffset>3473450</wp:posOffset>
                </wp:positionH>
                <wp:positionV relativeFrom="paragraph">
                  <wp:posOffset>2489835</wp:posOffset>
                </wp:positionV>
                <wp:extent cx="193675" cy="180975"/>
                <wp:effectExtent l="12700" t="12700" r="22225" b="15875"/>
                <wp:wrapNone/>
                <wp:docPr id="24" name="五角星 24"/>
                <wp:cNvGraphicFramePr/>
                <a:graphic xmlns:a="http://schemas.openxmlformats.org/drawingml/2006/main">
                  <a:graphicData uri="http://schemas.microsoft.com/office/word/2010/wordprocessingShape">
                    <wps:wsp>
                      <wps:cNvSpPr/>
                      <wps:spPr>
                        <a:xfrm>
                          <a:off x="4629785" y="3371850"/>
                          <a:ext cx="193675" cy="180975"/>
                        </a:xfrm>
                        <a:prstGeom prst="star5">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73.5pt;margin-top:196.05pt;height:14.25pt;width:15.25pt;z-index:251664384;v-text-anchor:middle;mso-width-relative:page;mso-height-relative:page;" fillcolor="#FF0000" filled="t" stroked="t" coordsize="193675,180975" o:gfxdata="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K+xVpXZAAAACwEAAA8AAAAAAAAAAQAgAAAAIgAAAGRycy9k&#10;b3ducmV2LnhtbFBLAQIUABQAAAAIAIdO4kCtwfIdcwIAAO4EAAAOAAAAAAAAAAEAIAAAACgBAABk&#10;cnMvZTJvRG9jLnhtbFBLBQYAAAAABgAGAFkBAAANBgAAAAA=&#10;" path="m0,69126l73977,69126,96837,0,119697,69126,193674,69126,133825,111848,156686,180974,96837,138251,36988,180974,59849,111848xe">
                <v:path o:connectlocs="96837,0;0,69126;36988,180974;156686,180974;193674,69126" o:connectangles="247,164,82,82,0"/>
                <v:fill on="t" focussize="0,0"/>
                <v:stroke weight="2pt" color="#FF0000 [2404]" joinstyle="round"/>
                <v:imagedata o:title=""/>
                <o:lock v:ext="edit" aspectratio="f"/>
              </v:shape>
            </w:pict>
          </mc:Fallback>
        </mc:AlternateContent>
      </w:r>
      <w:r>
        <w:rPr>
          <w:rFonts w:hint="default" w:ascii="Times New Roman" w:hAnsi="Times New Roman" w:eastAsia="宋体" w:cs="Times New Roman"/>
          <w:color w:val="auto"/>
          <w:sz w:val="24"/>
          <w:szCs w:val="24"/>
          <w:highlight w:val="none"/>
          <w:lang w:eastAsia="zh-CN"/>
        </w:rPr>
        <w:drawing>
          <wp:inline distT="0" distB="0" distL="114300" distR="114300">
            <wp:extent cx="4793615" cy="4502785"/>
            <wp:effectExtent l="0" t="0" r="0" b="0"/>
            <wp:docPr id="20" name="图片 20" descr="2024年黑龙江省生态环境质量状况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2024年黑龙江省生态环境质量状况_13"/>
                    <pic:cNvPicPr>
                      <a:picLocks noChangeAspect="1"/>
                    </pic:cNvPicPr>
                  </pic:nvPicPr>
                  <pic:blipFill>
                    <a:blip r:embed="rId90"/>
                    <a:srcRect l="17320" t="45749" r="16748" b="10452"/>
                    <a:stretch>
                      <a:fillRect/>
                    </a:stretch>
                  </pic:blipFill>
                  <pic:spPr>
                    <a:xfrm>
                      <a:off x="0" y="0"/>
                      <a:ext cx="4793615" cy="4502785"/>
                    </a:xfrm>
                    <a:prstGeom prst="rect">
                      <a:avLst/>
                    </a:prstGeom>
                  </pic:spPr>
                </pic:pic>
              </a:graphicData>
            </a:graphic>
          </wp:inline>
        </w:drawing>
      </w:r>
    </w:p>
    <w:p w14:paraId="745A9F95">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center"/>
        <w:textAlignment w:val="auto"/>
        <w:rPr>
          <w:rFonts w:hint="eastAsia" w:ascii="Times New Roman" w:hAnsi="Times New Roman" w:eastAsia="宋体" w:cs="Times New Roman"/>
          <w:b w:val="0"/>
          <w:bCs w:val="0"/>
          <w:color w:val="auto"/>
          <w:sz w:val="24"/>
          <w:szCs w:val="24"/>
          <w:highlight w:val="none"/>
          <w:lang w:eastAsia="zh-CN"/>
        </w:rPr>
      </w:pPr>
      <w:r>
        <w:rPr>
          <w:rFonts w:hint="eastAsia" w:ascii="Times New Roman" w:hAnsi="Times New Roman" w:eastAsia="宋体" w:cs="Times New Roman"/>
          <w:b w:val="0"/>
          <w:bCs w:val="0"/>
          <w:color w:val="auto"/>
          <w:sz w:val="24"/>
          <w:szCs w:val="24"/>
          <w:highlight w:val="none"/>
          <w:lang w:eastAsia="zh-CN"/>
        </w:rPr>
        <w:t>图</w:t>
      </w:r>
      <w:r>
        <w:rPr>
          <w:rFonts w:hint="eastAsia" w:ascii="Times New Roman" w:hAnsi="Times New Roman" w:eastAsia="宋体" w:cs="Times New Roman"/>
          <w:b w:val="0"/>
          <w:bCs w:val="0"/>
          <w:color w:val="auto"/>
          <w:sz w:val="24"/>
          <w:szCs w:val="24"/>
          <w:highlight w:val="none"/>
          <w:lang w:val="en-US" w:eastAsia="zh-CN"/>
        </w:rPr>
        <w:t>5.2-2</w:t>
      </w:r>
      <w:r>
        <w:rPr>
          <w:rFonts w:hint="eastAsia" w:ascii="Times New Roman" w:hAnsi="Times New Roman" w:eastAsia="宋体" w:cs="Times New Roman"/>
          <w:b w:val="0"/>
          <w:bCs w:val="0"/>
          <w:color w:val="auto"/>
          <w:sz w:val="24"/>
          <w:szCs w:val="24"/>
          <w:highlight w:val="none"/>
          <w:lang w:eastAsia="zh-CN"/>
        </w:rPr>
        <w:t xml:space="preserve"> </w:t>
      </w:r>
      <w:r>
        <w:rPr>
          <w:rFonts w:hint="eastAsia" w:ascii="Times New Roman" w:hAnsi="Times New Roman" w:eastAsia="宋体" w:cs="Times New Roman"/>
          <w:b w:val="0"/>
          <w:bCs w:val="0"/>
          <w:color w:val="auto"/>
          <w:sz w:val="24"/>
          <w:szCs w:val="24"/>
          <w:highlight w:val="none"/>
          <w:lang w:val="en-US" w:eastAsia="zh-CN"/>
        </w:rPr>
        <w:t>本项目所在区域水质状况示意图</w:t>
      </w:r>
    </w:p>
    <w:p w14:paraId="4DB820DE">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382" w:name="_Toc7653"/>
      <w:bookmarkStart w:id="383" w:name="_Toc11402"/>
      <w:bookmarkStart w:id="384" w:name="_Toc12744"/>
      <w:r>
        <w:rPr>
          <w:rFonts w:hint="default" w:ascii="Times New Roman" w:hAnsi="Times New Roman" w:eastAsia="宋体" w:cs="Times New Roman"/>
          <w:color w:val="auto"/>
          <w:highlight w:val="none"/>
        </w:rPr>
        <w:t>声环境质量现状调查与评价</w:t>
      </w:r>
      <w:bookmarkEnd w:id="382"/>
      <w:bookmarkEnd w:id="383"/>
      <w:bookmarkEnd w:id="384"/>
    </w:p>
    <w:p w14:paraId="229DD1D7">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声环境质量现状监测</w:t>
      </w:r>
    </w:p>
    <w:p w14:paraId="57F8C684">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（1）监测点位、因子及监测时间</w:t>
      </w:r>
    </w:p>
    <w:p w14:paraId="2707FF38">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本项目声环境质量现状监测委托</w:t>
      </w:r>
      <w:r>
        <w:rPr>
          <w:rFonts w:hint="eastAsia" w:ascii="Times New Roman" w:hAnsi="Times New Roman" w:eastAsia="宋体" w:cs="Times New Roman"/>
          <w:color w:val="auto"/>
          <w:highlight w:val="none"/>
          <w:lang w:eastAsia="zh-CN"/>
        </w:rPr>
        <w:t>黑龙江省瑞科检测技术有限公司</w:t>
      </w:r>
      <w:r>
        <w:rPr>
          <w:rFonts w:hint="default" w:ascii="Times New Roman" w:hAnsi="Times New Roman" w:eastAsia="宋体" w:cs="Times New Roman"/>
          <w:color w:val="auto"/>
          <w:highlight w:val="none"/>
        </w:rPr>
        <w:t>对项目厂界及周边环境保护目标开展了声环境质量现状监测，监测因子为昼间等效A声级（Ld）、夜间等效A声级（Ln）。噪声监测时间为202</w:t>
      </w:r>
      <w:r>
        <w:rPr>
          <w:rFonts w:hint="eastAsia"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rPr>
        <w:t>年</w:t>
      </w:r>
      <w:r>
        <w:rPr>
          <w:rFonts w:hint="eastAsia" w:ascii="Times New Roman" w:hAnsi="Times New Roman" w:eastAsia="宋体" w:cs="Times New Roman"/>
          <w:color w:val="auto"/>
          <w:highlight w:val="none"/>
          <w:lang w:val="en-US" w:eastAsia="zh-CN"/>
        </w:rPr>
        <w:t>12</w:t>
      </w:r>
      <w:r>
        <w:rPr>
          <w:rFonts w:hint="default"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11</w:t>
      </w:r>
      <w:r>
        <w:rPr>
          <w:rFonts w:hint="default" w:ascii="Times New Roman" w:hAnsi="Times New Roman" w:eastAsia="宋体" w:cs="Times New Roman"/>
          <w:color w:val="auto"/>
          <w:highlight w:val="none"/>
        </w:rPr>
        <w:t>日</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202</w:t>
      </w:r>
      <w:r>
        <w:rPr>
          <w:rFonts w:hint="eastAsia"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rPr>
        <w:t>年</w:t>
      </w:r>
      <w:r>
        <w:rPr>
          <w:rFonts w:hint="eastAsia" w:ascii="Times New Roman" w:hAnsi="Times New Roman" w:eastAsia="宋体" w:cs="Times New Roman"/>
          <w:color w:val="auto"/>
          <w:highlight w:val="none"/>
          <w:lang w:val="en-US" w:eastAsia="zh-CN"/>
        </w:rPr>
        <w:t>12</w:t>
      </w:r>
      <w:r>
        <w:rPr>
          <w:rFonts w:hint="default"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12</w:t>
      </w:r>
      <w:r>
        <w:rPr>
          <w:rFonts w:hint="default" w:ascii="Times New Roman" w:hAnsi="Times New Roman" w:eastAsia="宋体" w:cs="Times New Roman"/>
          <w:color w:val="auto"/>
          <w:highlight w:val="none"/>
        </w:rPr>
        <w:t>日，连续监测2天，每天分昼、夜各一次。本项目共设置</w:t>
      </w:r>
      <w:r>
        <w:rPr>
          <w:rFonts w:hint="eastAsia" w:ascii="Times New Roman" w:hAnsi="Times New Roman" w:eastAsia="宋体" w:cs="Times New Roman"/>
          <w:color w:val="auto"/>
          <w:highlight w:val="none"/>
          <w:lang w:val="en-US" w:eastAsia="zh-CN"/>
        </w:rPr>
        <w:t>6</w:t>
      </w:r>
      <w:r>
        <w:rPr>
          <w:rFonts w:hint="default" w:ascii="Times New Roman" w:hAnsi="Times New Roman" w:eastAsia="宋体" w:cs="Times New Roman"/>
          <w:color w:val="auto"/>
          <w:highlight w:val="none"/>
        </w:rPr>
        <w:t>个声环境质量现状监测点位，监测点位见图5</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2-</w:t>
      </w:r>
      <w:r>
        <w:rPr>
          <w:rFonts w:hint="eastAsia"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w:t>
      </w:r>
    </w:p>
    <w:p w14:paraId="1075507F">
      <w:pPr>
        <w:ind w:firstLine="480"/>
        <w:rPr>
          <w:rFonts w:hint="eastAsia"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本项目评价范围内的声环境保护</w:t>
      </w:r>
      <w:r>
        <w:rPr>
          <w:rFonts w:hint="eastAsia" w:ascii="Times New Roman" w:hAnsi="Times New Roman" w:eastAsia="宋体" w:cs="Times New Roman"/>
          <w:color w:val="auto"/>
          <w:highlight w:val="none"/>
          <w:lang w:eastAsia="zh-CN"/>
        </w:rPr>
        <w:t>目标</w:t>
      </w:r>
      <w:r>
        <w:rPr>
          <w:rFonts w:hint="default" w:ascii="Times New Roman" w:hAnsi="Times New Roman" w:eastAsia="宋体" w:cs="Times New Roman"/>
          <w:color w:val="auto"/>
          <w:highlight w:val="none"/>
        </w:rPr>
        <w:t>包括</w:t>
      </w:r>
      <w:r>
        <w:rPr>
          <w:rFonts w:hint="eastAsia" w:ascii="Times New Roman" w:hAnsi="Times New Roman" w:eastAsia="宋体" w:cs="Times New Roman"/>
          <w:color w:val="auto"/>
          <w:highlight w:val="none"/>
          <w:lang w:val="en-US" w:eastAsia="zh-CN"/>
        </w:rPr>
        <w:t>厂址西侧的原热电厂家属区和厂址南侧的黑锻新城小区</w:t>
      </w:r>
      <w:r>
        <w:rPr>
          <w:rFonts w:hint="default" w:ascii="Times New Roman" w:hAnsi="Times New Roman" w:eastAsia="宋体" w:cs="Times New Roman"/>
          <w:color w:val="auto"/>
          <w:highlight w:val="none"/>
        </w:rPr>
        <w:t>作为代表性监测点。</w:t>
      </w:r>
    </w:p>
    <w:p w14:paraId="3D39A567">
      <w:pPr>
        <w:ind w:firstLine="0" w:firstLineChars="0"/>
        <w:jc w:val="center"/>
        <w:rPr>
          <w:rFonts w:hint="eastAsia" w:ascii="Times New Roman" w:hAnsi="Times New Roman" w:cs="Times New Roman" w:eastAsiaTheme="minorEastAsia"/>
          <w:color w:val="auto"/>
          <w:highlight w:val="none"/>
          <w:lang w:eastAsia="zh-CN"/>
        </w:rPr>
      </w:pPr>
      <w:r>
        <w:rPr>
          <w:rFonts w:hint="default" w:ascii="Times New Roman" w:hAnsi="Times New Roman" w:eastAsia="宋体" w:cs="Times New Roman"/>
          <w:color w:val="auto"/>
          <w:highlight w:val="none"/>
        </w:rPr>
        <w:drawing>
          <wp:anchor distT="0" distB="0" distL="114300" distR="114300" simplePos="0" relativeHeight="251667456" behindDoc="0" locked="0" layoutInCell="1" allowOverlap="1">
            <wp:simplePos x="0" y="0"/>
            <wp:positionH relativeFrom="column">
              <wp:posOffset>4507865</wp:posOffset>
            </wp:positionH>
            <wp:positionV relativeFrom="paragraph">
              <wp:posOffset>75565</wp:posOffset>
            </wp:positionV>
            <wp:extent cx="750570" cy="891540"/>
            <wp:effectExtent l="0" t="0" r="11430" b="3810"/>
            <wp:wrapNone/>
            <wp:docPr id="13"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9"/>
                    <pic:cNvPicPr>
                      <a:picLocks noChangeAspect="1"/>
                    </pic:cNvPicPr>
                  </pic:nvPicPr>
                  <pic:blipFill>
                    <a:blip r:embed="rId23"/>
                    <a:stretch>
                      <a:fillRect/>
                    </a:stretch>
                  </pic:blipFill>
                  <pic:spPr>
                    <a:xfrm>
                      <a:off x="0" y="0"/>
                      <a:ext cx="750570" cy="891540"/>
                    </a:xfrm>
                    <a:prstGeom prst="rect">
                      <a:avLst/>
                    </a:prstGeom>
                    <a:noFill/>
                    <a:ln>
                      <a:noFill/>
                    </a:ln>
                  </pic:spPr>
                </pic:pic>
              </a:graphicData>
            </a:graphic>
          </wp:anchor>
        </w:drawing>
      </w:r>
      <w:r>
        <w:rPr>
          <w:rFonts w:hint="eastAsia" w:ascii="Times New Roman" w:hAnsi="Times New Roman" w:cs="Times New Roman" w:eastAsiaTheme="minorEastAsia"/>
          <w:color w:val="auto"/>
          <w:highlight w:val="none"/>
          <w:lang w:eastAsia="zh-CN"/>
        </w:rPr>
        <w:drawing>
          <wp:inline distT="0" distB="0" distL="114300" distR="114300">
            <wp:extent cx="5272405" cy="5208905"/>
            <wp:effectExtent l="0" t="0" r="4445" b="10795"/>
            <wp:docPr id="35"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9"/>
                    <pic:cNvPicPr>
                      <a:picLocks noChangeAspect="1"/>
                    </pic:cNvPicPr>
                  </pic:nvPicPr>
                  <pic:blipFill>
                    <a:blip r:embed="rId91"/>
                    <a:stretch>
                      <a:fillRect/>
                    </a:stretch>
                  </pic:blipFill>
                  <pic:spPr>
                    <a:xfrm>
                      <a:off x="0" y="0"/>
                      <a:ext cx="5272405" cy="5208905"/>
                    </a:xfrm>
                    <a:prstGeom prst="rect">
                      <a:avLst/>
                    </a:prstGeom>
                    <a:noFill/>
                    <a:ln>
                      <a:noFill/>
                    </a:ln>
                  </pic:spPr>
                </pic:pic>
              </a:graphicData>
            </a:graphic>
          </wp:inline>
        </w:drawing>
      </w:r>
    </w:p>
    <w:p w14:paraId="3817B816">
      <w:pPr>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图</w:t>
      </w:r>
      <w:r>
        <w:rPr>
          <w:rFonts w:hint="default" w:ascii="Times New Roman" w:hAnsi="Times New Roman" w:eastAsia="宋体" w:cs="Times New Roman"/>
          <w:color w:val="auto"/>
          <w:highlight w:val="none"/>
          <w:lang w:val="en-US" w:eastAsia="zh-CN"/>
        </w:rPr>
        <w:t>5.2-</w:t>
      </w:r>
      <w:r>
        <w:rPr>
          <w:rFonts w:hint="eastAsia"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噪声监测布点示意图</w:t>
      </w:r>
    </w:p>
    <w:p w14:paraId="162EAE48">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（2）监测方法</w:t>
      </w:r>
    </w:p>
    <w:p w14:paraId="32C28EF7">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监测方法按照《声环境质量标准》（GB3096-2008）中规定的监测方法。</w:t>
      </w:r>
    </w:p>
    <w:p w14:paraId="4FF1D03D">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（3）监测结果</w:t>
      </w:r>
    </w:p>
    <w:p w14:paraId="51011FFC">
      <w:pPr>
        <w:ind w:firstLine="480"/>
        <w:rPr>
          <w:rFonts w:hint="default" w:ascii="Times New Roman" w:hAnsi="Times New Roman" w:eastAsia="宋体" w:cs="Times New Roman"/>
          <w:b/>
          <w:bCs/>
          <w:color w:val="auto"/>
          <w:highlight w:val="none"/>
        </w:rPr>
      </w:pPr>
      <w:r>
        <w:rPr>
          <w:rFonts w:hint="default" w:ascii="Times New Roman" w:hAnsi="Times New Roman" w:eastAsia="宋体" w:cs="Times New Roman"/>
          <w:color w:val="auto"/>
          <w:highlight w:val="none"/>
        </w:rPr>
        <w:t>现状监测结果分别见表</w:t>
      </w:r>
      <w:r>
        <w:rPr>
          <w:rFonts w:hint="default" w:ascii="Times New Roman" w:hAnsi="Times New Roman" w:eastAsia="宋体" w:cs="Times New Roman"/>
          <w:color w:val="auto"/>
          <w:highlight w:val="none"/>
          <w:lang w:val="en-US" w:eastAsia="zh-CN"/>
        </w:rPr>
        <w:t>5.2</w:t>
      </w: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w:t>
      </w:r>
    </w:p>
    <w:p w14:paraId="2419CA0C">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表5.2-</w:t>
      </w:r>
      <w:r>
        <w:rPr>
          <w:rFonts w:hint="eastAsia"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lang w:val="en-US" w:eastAsia="zh-CN"/>
        </w:rPr>
        <w:t xml:space="preserve">  厂界环境噪声监测结果</w:t>
      </w:r>
    </w:p>
    <w:tbl>
      <w:tblPr>
        <w:tblStyle w:val="37"/>
        <w:tblW w:w="903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2984"/>
        <w:gridCol w:w="1505"/>
        <w:gridCol w:w="1521"/>
        <w:gridCol w:w="1404"/>
        <w:gridCol w:w="1622"/>
      </w:tblGrid>
      <w:tr w14:paraId="072AD8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exact"/>
          <w:jc w:val="center"/>
        </w:trPr>
        <w:tc>
          <w:tcPr>
            <w:tcW w:w="2984" w:type="dxa"/>
            <w:vMerge w:val="restart"/>
            <w:tcBorders>
              <w:tl2br w:val="nil"/>
              <w:tr2bl w:val="nil"/>
            </w:tcBorders>
            <w:noWrap w:val="0"/>
            <w:vAlign w:val="center"/>
          </w:tcPr>
          <w:p w14:paraId="000D94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检测地点</w:t>
            </w:r>
          </w:p>
        </w:tc>
        <w:tc>
          <w:tcPr>
            <w:tcW w:w="3026" w:type="dxa"/>
            <w:gridSpan w:val="2"/>
            <w:tcBorders>
              <w:tl2br w:val="nil"/>
              <w:tr2bl w:val="nil"/>
            </w:tcBorders>
            <w:noWrap w:val="0"/>
            <w:vAlign w:val="center"/>
          </w:tcPr>
          <w:p w14:paraId="499ABC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1"/>
                <w:szCs w:val="21"/>
                <w:highlight w:val="none"/>
              </w:rPr>
              <w:t>202</w:t>
            </w:r>
            <w:r>
              <w:rPr>
                <w:rFonts w:hint="eastAsia"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年</w:t>
            </w:r>
            <w:r>
              <w:rPr>
                <w:rFonts w:hint="eastAsia" w:ascii="Times New Roman" w:hAnsi="Times New Roman" w:eastAsia="宋体" w:cs="Times New Roman"/>
                <w:color w:val="auto"/>
                <w:sz w:val="21"/>
                <w:szCs w:val="21"/>
                <w:highlight w:val="none"/>
                <w:lang w:val="en-US" w:eastAsia="zh-CN"/>
              </w:rPr>
              <w:t>12</w:t>
            </w:r>
            <w:r>
              <w:rPr>
                <w:rFonts w:hint="default" w:ascii="Times New Roman" w:hAnsi="Times New Roman" w:eastAsia="宋体" w:cs="Times New Roman"/>
                <w:color w:val="auto"/>
                <w:sz w:val="21"/>
                <w:szCs w:val="21"/>
                <w:highlight w:val="none"/>
              </w:rPr>
              <w:t>月</w:t>
            </w:r>
            <w:r>
              <w:rPr>
                <w:rFonts w:hint="eastAsia" w:ascii="Times New Roman" w:hAnsi="Times New Roman" w:eastAsia="宋体" w:cs="Times New Roman"/>
                <w:color w:val="auto"/>
                <w:sz w:val="21"/>
                <w:szCs w:val="21"/>
                <w:highlight w:val="none"/>
                <w:lang w:val="en-US" w:eastAsia="zh-CN"/>
              </w:rPr>
              <w:t>21</w:t>
            </w:r>
            <w:r>
              <w:rPr>
                <w:rFonts w:hint="default" w:ascii="Times New Roman" w:hAnsi="Times New Roman" w:eastAsia="宋体" w:cs="Times New Roman"/>
                <w:color w:val="auto"/>
                <w:sz w:val="21"/>
                <w:szCs w:val="21"/>
                <w:highlight w:val="none"/>
              </w:rPr>
              <w:t>日</w:t>
            </w:r>
          </w:p>
        </w:tc>
        <w:tc>
          <w:tcPr>
            <w:tcW w:w="3026" w:type="dxa"/>
            <w:gridSpan w:val="2"/>
            <w:tcBorders>
              <w:tl2br w:val="nil"/>
              <w:tr2bl w:val="nil"/>
            </w:tcBorders>
            <w:noWrap w:val="0"/>
            <w:vAlign w:val="center"/>
          </w:tcPr>
          <w:p w14:paraId="45113D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1"/>
                <w:szCs w:val="21"/>
                <w:highlight w:val="none"/>
              </w:rPr>
              <w:t>202</w:t>
            </w:r>
            <w:r>
              <w:rPr>
                <w:rFonts w:hint="eastAsia"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年</w:t>
            </w:r>
            <w:r>
              <w:rPr>
                <w:rFonts w:hint="eastAsia" w:ascii="Times New Roman" w:hAnsi="Times New Roman" w:eastAsia="宋体" w:cs="Times New Roman"/>
                <w:color w:val="auto"/>
                <w:sz w:val="21"/>
                <w:szCs w:val="21"/>
                <w:highlight w:val="none"/>
                <w:lang w:val="en-US" w:eastAsia="zh-CN"/>
              </w:rPr>
              <w:t>12</w:t>
            </w:r>
            <w:r>
              <w:rPr>
                <w:rFonts w:hint="default" w:ascii="Times New Roman" w:hAnsi="Times New Roman" w:eastAsia="宋体" w:cs="Times New Roman"/>
                <w:color w:val="auto"/>
                <w:sz w:val="21"/>
                <w:szCs w:val="21"/>
                <w:highlight w:val="none"/>
              </w:rPr>
              <w:t>月</w:t>
            </w:r>
            <w:r>
              <w:rPr>
                <w:rFonts w:hint="eastAsia" w:ascii="Times New Roman" w:hAnsi="Times New Roman" w:eastAsia="宋体" w:cs="Times New Roman"/>
                <w:color w:val="auto"/>
                <w:sz w:val="21"/>
                <w:szCs w:val="21"/>
                <w:highlight w:val="none"/>
                <w:lang w:val="en-US" w:eastAsia="zh-CN"/>
              </w:rPr>
              <w:t>22</w:t>
            </w:r>
            <w:r>
              <w:rPr>
                <w:rFonts w:hint="default" w:ascii="Times New Roman" w:hAnsi="Times New Roman" w:eastAsia="宋体" w:cs="Times New Roman"/>
                <w:color w:val="auto"/>
                <w:sz w:val="21"/>
                <w:szCs w:val="21"/>
                <w:highlight w:val="none"/>
              </w:rPr>
              <w:t>日</w:t>
            </w:r>
          </w:p>
        </w:tc>
      </w:tr>
      <w:tr w14:paraId="2D9763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exact"/>
          <w:jc w:val="center"/>
        </w:trPr>
        <w:tc>
          <w:tcPr>
            <w:tcW w:w="2984" w:type="dxa"/>
            <w:vMerge w:val="continue"/>
            <w:tcBorders>
              <w:tl2br w:val="nil"/>
              <w:tr2bl w:val="nil"/>
            </w:tcBorders>
            <w:noWrap w:val="0"/>
            <w:vAlign w:val="center"/>
          </w:tcPr>
          <w:p w14:paraId="544C96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p>
        </w:tc>
        <w:tc>
          <w:tcPr>
            <w:tcW w:w="1505" w:type="dxa"/>
            <w:tcBorders>
              <w:tl2br w:val="nil"/>
              <w:tr2bl w:val="nil"/>
            </w:tcBorders>
            <w:noWrap w:val="0"/>
            <w:vAlign w:val="center"/>
          </w:tcPr>
          <w:p w14:paraId="0F21FC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1"/>
                <w:szCs w:val="21"/>
                <w:highlight w:val="none"/>
              </w:rPr>
              <w:t>昼间dB(A)</w:t>
            </w:r>
          </w:p>
        </w:tc>
        <w:tc>
          <w:tcPr>
            <w:tcW w:w="1521" w:type="dxa"/>
            <w:tcBorders>
              <w:tl2br w:val="nil"/>
              <w:tr2bl w:val="nil"/>
            </w:tcBorders>
            <w:noWrap w:val="0"/>
            <w:vAlign w:val="center"/>
          </w:tcPr>
          <w:p w14:paraId="4806C5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1"/>
                <w:szCs w:val="21"/>
                <w:highlight w:val="none"/>
              </w:rPr>
              <w:t>夜间dB(A)</w:t>
            </w:r>
          </w:p>
        </w:tc>
        <w:tc>
          <w:tcPr>
            <w:tcW w:w="1404" w:type="dxa"/>
            <w:tcBorders>
              <w:tl2br w:val="nil"/>
              <w:tr2bl w:val="nil"/>
            </w:tcBorders>
            <w:noWrap w:val="0"/>
            <w:vAlign w:val="center"/>
          </w:tcPr>
          <w:p w14:paraId="27DA2F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1"/>
                <w:szCs w:val="21"/>
                <w:highlight w:val="none"/>
              </w:rPr>
              <w:t>昼间dB(A)</w:t>
            </w:r>
          </w:p>
        </w:tc>
        <w:tc>
          <w:tcPr>
            <w:tcW w:w="1622" w:type="dxa"/>
            <w:tcBorders>
              <w:tl2br w:val="nil"/>
              <w:tr2bl w:val="nil"/>
            </w:tcBorders>
            <w:noWrap w:val="0"/>
            <w:vAlign w:val="center"/>
          </w:tcPr>
          <w:p w14:paraId="24E676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1"/>
                <w:szCs w:val="21"/>
                <w:highlight w:val="none"/>
              </w:rPr>
              <w:t>夜间dB(A)</w:t>
            </w:r>
          </w:p>
        </w:tc>
      </w:tr>
      <w:tr w14:paraId="5F9E00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exact"/>
          <w:jc w:val="center"/>
        </w:trPr>
        <w:tc>
          <w:tcPr>
            <w:tcW w:w="2984" w:type="dxa"/>
            <w:tcBorders>
              <w:tl2br w:val="nil"/>
              <w:tr2bl w:val="nil"/>
            </w:tcBorders>
            <w:noWrap w:val="0"/>
            <w:vAlign w:val="center"/>
          </w:tcPr>
          <w:p w14:paraId="16D37D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1#厂界北侧1m外</w:t>
            </w:r>
          </w:p>
        </w:tc>
        <w:tc>
          <w:tcPr>
            <w:tcW w:w="1505" w:type="dxa"/>
            <w:tcBorders>
              <w:tl2br w:val="nil"/>
              <w:tr2bl w:val="nil"/>
            </w:tcBorders>
            <w:noWrap w:val="0"/>
            <w:vAlign w:val="center"/>
          </w:tcPr>
          <w:p w14:paraId="6791FD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51</w:t>
            </w:r>
          </w:p>
        </w:tc>
        <w:tc>
          <w:tcPr>
            <w:tcW w:w="1521" w:type="dxa"/>
            <w:tcBorders>
              <w:tl2br w:val="nil"/>
              <w:tr2bl w:val="nil"/>
            </w:tcBorders>
            <w:noWrap w:val="0"/>
            <w:vAlign w:val="center"/>
          </w:tcPr>
          <w:p w14:paraId="51ABE0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42</w:t>
            </w:r>
          </w:p>
        </w:tc>
        <w:tc>
          <w:tcPr>
            <w:tcW w:w="1404" w:type="dxa"/>
            <w:tcBorders>
              <w:tl2br w:val="nil"/>
              <w:tr2bl w:val="nil"/>
            </w:tcBorders>
            <w:noWrap w:val="0"/>
            <w:vAlign w:val="center"/>
          </w:tcPr>
          <w:p w14:paraId="4E18C9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51</w:t>
            </w:r>
          </w:p>
        </w:tc>
        <w:tc>
          <w:tcPr>
            <w:tcW w:w="1622" w:type="dxa"/>
            <w:tcBorders>
              <w:tl2br w:val="nil"/>
              <w:tr2bl w:val="nil"/>
            </w:tcBorders>
            <w:noWrap w:val="0"/>
            <w:vAlign w:val="center"/>
          </w:tcPr>
          <w:p w14:paraId="1E6D63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42</w:t>
            </w:r>
          </w:p>
        </w:tc>
      </w:tr>
      <w:tr w14:paraId="320315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exact"/>
          <w:jc w:val="center"/>
        </w:trPr>
        <w:tc>
          <w:tcPr>
            <w:tcW w:w="2984" w:type="dxa"/>
            <w:tcBorders>
              <w:tl2br w:val="nil"/>
              <w:tr2bl w:val="nil"/>
            </w:tcBorders>
            <w:noWrap w:val="0"/>
            <w:vAlign w:val="center"/>
          </w:tcPr>
          <w:p w14:paraId="462553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2#厂界东侧1m外</w:t>
            </w:r>
          </w:p>
        </w:tc>
        <w:tc>
          <w:tcPr>
            <w:tcW w:w="1505" w:type="dxa"/>
            <w:tcBorders>
              <w:tl2br w:val="nil"/>
              <w:tr2bl w:val="nil"/>
            </w:tcBorders>
            <w:noWrap w:val="0"/>
            <w:vAlign w:val="center"/>
          </w:tcPr>
          <w:p w14:paraId="50D0A8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52</w:t>
            </w:r>
          </w:p>
        </w:tc>
        <w:tc>
          <w:tcPr>
            <w:tcW w:w="1521" w:type="dxa"/>
            <w:tcBorders>
              <w:tl2br w:val="nil"/>
              <w:tr2bl w:val="nil"/>
            </w:tcBorders>
            <w:noWrap w:val="0"/>
            <w:vAlign w:val="center"/>
          </w:tcPr>
          <w:p w14:paraId="4AEF6E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43</w:t>
            </w:r>
          </w:p>
        </w:tc>
        <w:tc>
          <w:tcPr>
            <w:tcW w:w="1404" w:type="dxa"/>
            <w:tcBorders>
              <w:tl2br w:val="nil"/>
              <w:tr2bl w:val="nil"/>
            </w:tcBorders>
            <w:noWrap w:val="0"/>
            <w:vAlign w:val="center"/>
          </w:tcPr>
          <w:p w14:paraId="7B4013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51</w:t>
            </w:r>
          </w:p>
        </w:tc>
        <w:tc>
          <w:tcPr>
            <w:tcW w:w="1622" w:type="dxa"/>
            <w:tcBorders>
              <w:tl2br w:val="nil"/>
              <w:tr2bl w:val="nil"/>
            </w:tcBorders>
            <w:noWrap w:val="0"/>
            <w:vAlign w:val="center"/>
          </w:tcPr>
          <w:p w14:paraId="0F6393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42</w:t>
            </w:r>
          </w:p>
        </w:tc>
      </w:tr>
      <w:tr w14:paraId="4EA958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exact"/>
          <w:jc w:val="center"/>
        </w:trPr>
        <w:tc>
          <w:tcPr>
            <w:tcW w:w="2984" w:type="dxa"/>
            <w:tcBorders>
              <w:tl2br w:val="nil"/>
              <w:tr2bl w:val="nil"/>
            </w:tcBorders>
            <w:noWrap w:val="0"/>
            <w:vAlign w:val="center"/>
          </w:tcPr>
          <w:p w14:paraId="39BAA4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3#厂界南侧1m外</w:t>
            </w:r>
          </w:p>
        </w:tc>
        <w:tc>
          <w:tcPr>
            <w:tcW w:w="1505" w:type="dxa"/>
            <w:tcBorders>
              <w:tl2br w:val="nil"/>
              <w:tr2bl w:val="nil"/>
            </w:tcBorders>
            <w:noWrap w:val="0"/>
            <w:vAlign w:val="center"/>
          </w:tcPr>
          <w:p w14:paraId="263CD2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53</w:t>
            </w:r>
          </w:p>
        </w:tc>
        <w:tc>
          <w:tcPr>
            <w:tcW w:w="1521" w:type="dxa"/>
            <w:tcBorders>
              <w:tl2br w:val="nil"/>
              <w:tr2bl w:val="nil"/>
            </w:tcBorders>
            <w:noWrap w:val="0"/>
            <w:vAlign w:val="center"/>
          </w:tcPr>
          <w:p w14:paraId="3DE70D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44</w:t>
            </w:r>
          </w:p>
        </w:tc>
        <w:tc>
          <w:tcPr>
            <w:tcW w:w="1404" w:type="dxa"/>
            <w:tcBorders>
              <w:tl2br w:val="nil"/>
              <w:tr2bl w:val="nil"/>
            </w:tcBorders>
            <w:noWrap w:val="0"/>
            <w:vAlign w:val="center"/>
          </w:tcPr>
          <w:p w14:paraId="02B505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53</w:t>
            </w:r>
          </w:p>
        </w:tc>
        <w:tc>
          <w:tcPr>
            <w:tcW w:w="1622" w:type="dxa"/>
            <w:tcBorders>
              <w:tl2br w:val="nil"/>
              <w:tr2bl w:val="nil"/>
            </w:tcBorders>
            <w:noWrap w:val="0"/>
            <w:vAlign w:val="center"/>
          </w:tcPr>
          <w:p w14:paraId="684D1B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43</w:t>
            </w:r>
          </w:p>
        </w:tc>
      </w:tr>
      <w:tr w14:paraId="4CE5CB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exact"/>
          <w:jc w:val="center"/>
        </w:trPr>
        <w:tc>
          <w:tcPr>
            <w:tcW w:w="2984" w:type="dxa"/>
            <w:tcBorders>
              <w:tl2br w:val="nil"/>
              <w:tr2bl w:val="nil"/>
            </w:tcBorders>
            <w:noWrap w:val="0"/>
            <w:vAlign w:val="center"/>
          </w:tcPr>
          <w:p w14:paraId="7F61E2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4#厂界西侧1m外</w:t>
            </w:r>
          </w:p>
        </w:tc>
        <w:tc>
          <w:tcPr>
            <w:tcW w:w="1505" w:type="dxa"/>
            <w:tcBorders>
              <w:tl2br w:val="nil"/>
              <w:tr2bl w:val="nil"/>
            </w:tcBorders>
            <w:noWrap w:val="0"/>
            <w:vAlign w:val="center"/>
          </w:tcPr>
          <w:p w14:paraId="37A051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52</w:t>
            </w:r>
          </w:p>
        </w:tc>
        <w:tc>
          <w:tcPr>
            <w:tcW w:w="1521" w:type="dxa"/>
            <w:tcBorders>
              <w:tl2br w:val="nil"/>
              <w:tr2bl w:val="nil"/>
            </w:tcBorders>
            <w:noWrap w:val="0"/>
            <w:vAlign w:val="center"/>
          </w:tcPr>
          <w:p w14:paraId="2ADE19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42</w:t>
            </w:r>
          </w:p>
        </w:tc>
        <w:tc>
          <w:tcPr>
            <w:tcW w:w="1404" w:type="dxa"/>
            <w:tcBorders>
              <w:tl2br w:val="nil"/>
              <w:tr2bl w:val="nil"/>
            </w:tcBorders>
            <w:noWrap w:val="0"/>
            <w:vAlign w:val="center"/>
          </w:tcPr>
          <w:p w14:paraId="4F984B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52</w:t>
            </w:r>
          </w:p>
        </w:tc>
        <w:tc>
          <w:tcPr>
            <w:tcW w:w="1622" w:type="dxa"/>
            <w:tcBorders>
              <w:tl2br w:val="nil"/>
              <w:tr2bl w:val="nil"/>
            </w:tcBorders>
            <w:noWrap w:val="0"/>
            <w:vAlign w:val="center"/>
          </w:tcPr>
          <w:p w14:paraId="3AC028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41</w:t>
            </w:r>
          </w:p>
        </w:tc>
      </w:tr>
      <w:tr w14:paraId="0BCD9C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exact"/>
          <w:jc w:val="center"/>
        </w:trPr>
        <w:tc>
          <w:tcPr>
            <w:tcW w:w="2984" w:type="dxa"/>
            <w:tcBorders>
              <w:tl2br w:val="nil"/>
              <w:tr2bl w:val="nil"/>
            </w:tcBorders>
            <w:noWrap w:val="0"/>
            <w:vAlign w:val="center"/>
          </w:tcPr>
          <w:p w14:paraId="35D24AC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5#原热电家属楼1层</w:t>
            </w:r>
          </w:p>
        </w:tc>
        <w:tc>
          <w:tcPr>
            <w:tcW w:w="1505" w:type="dxa"/>
            <w:tcBorders>
              <w:tl2br w:val="nil"/>
              <w:tr2bl w:val="nil"/>
            </w:tcBorders>
            <w:noWrap w:val="0"/>
            <w:vAlign w:val="center"/>
          </w:tcPr>
          <w:p w14:paraId="5ADD50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48</w:t>
            </w:r>
          </w:p>
        </w:tc>
        <w:tc>
          <w:tcPr>
            <w:tcW w:w="1521" w:type="dxa"/>
            <w:tcBorders>
              <w:tl2br w:val="nil"/>
              <w:tr2bl w:val="nil"/>
            </w:tcBorders>
            <w:noWrap w:val="0"/>
            <w:vAlign w:val="center"/>
          </w:tcPr>
          <w:p w14:paraId="416499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44</w:t>
            </w:r>
          </w:p>
        </w:tc>
        <w:tc>
          <w:tcPr>
            <w:tcW w:w="1404" w:type="dxa"/>
            <w:tcBorders>
              <w:tl2br w:val="nil"/>
              <w:tr2bl w:val="nil"/>
            </w:tcBorders>
            <w:noWrap w:val="0"/>
            <w:vAlign w:val="center"/>
          </w:tcPr>
          <w:p w14:paraId="4614AD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48</w:t>
            </w:r>
          </w:p>
        </w:tc>
        <w:tc>
          <w:tcPr>
            <w:tcW w:w="1622" w:type="dxa"/>
            <w:tcBorders>
              <w:tl2br w:val="nil"/>
              <w:tr2bl w:val="nil"/>
            </w:tcBorders>
            <w:noWrap w:val="0"/>
            <w:vAlign w:val="center"/>
          </w:tcPr>
          <w:p w14:paraId="1BA428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43</w:t>
            </w:r>
          </w:p>
        </w:tc>
      </w:tr>
      <w:tr w14:paraId="0AA503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exact"/>
          <w:jc w:val="center"/>
        </w:trPr>
        <w:tc>
          <w:tcPr>
            <w:tcW w:w="2984" w:type="dxa"/>
            <w:tcBorders>
              <w:tl2br w:val="nil"/>
              <w:tr2bl w:val="nil"/>
            </w:tcBorders>
            <w:noWrap w:val="0"/>
            <w:vAlign w:val="center"/>
          </w:tcPr>
          <w:p w14:paraId="1892B3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6#原热电家属楼3层</w:t>
            </w:r>
          </w:p>
        </w:tc>
        <w:tc>
          <w:tcPr>
            <w:tcW w:w="1505" w:type="dxa"/>
            <w:tcBorders>
              <w:tl2br w:val="nil"/>
              <w:tr2bl w:val="nil"/>
            </w:tcBorders>
            <w:noWrap w:val="0"/>
            <w:vAlign w:val="center"/>
          </w:tcPr>
          <w:p w14:paraId="12D0F8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49</w:t>
            </w:r>
          </w:p>
        </w:tc>
        <w:tc>
          <w:tcPr>
            <w:tcW w:w="1521" w:type="dxa"/>
            <w:tcBorders>
              <w:tl2br w:val="nil"/>
              <w:tr2bl w:val="nil"/>
            </w:tcBorders>
            <w:noWrap w:val="0"/>
            <w:vAlign w:val="center"/>
          </w:tcPr>
          <w:p w14:paraId="022EDB3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45</w:t>
            </w:r>
          </w:p>
        </w:tc>
        <w:tc>
          <w:tcPr>
            <w:tcW w:w="1404" w:type="dxa"/>
            <w:tcBorders>
              <w:tl2br w:val="nil"/>
              <w:tr2bl w:val="nil"/>
            </w:tcBorders>
            <w:noWrap w:val="0"/>
            <w:vAlign w:val="center"/>
          </w:tcPr>
          <w:p w14:paraId="547F1E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49</w:t>
            </w:r>
          </w:p>
        </w:tc>
        <w:tc>
          <w:tcPr>
            <w:tcW w:w="1622" w:type="dxa"/>
            <w:tcBorders>
              <w:tl2br w:val="nil"/>
              <w:tr2bl w:val="nil"/>
            </w:tcBorders>
            <w:noWrap w:val="0"/>
            <w:vAlign w:val="center"/>
          </w:tcPr>
          <w:p w14:paraId="60B0B4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43</w:t>
            </w:r>
          </w:p>
        </w:tc>
      </w:tr>
      <w:tr w14:paraId="45C329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exact"/>
          <w:jc w:val="center"/>
        </w:trPr>
        <w:tc>
          <w:tcPr>
            <w:tcW w:w="2984" w:type="dxa"/>
            <w:tcBorders>
              <w:tl2br w:val="nil"/>
              <w:tr2bl w:val="nil"/>
            </w:tcBorders>
            <w:noWrap w:val="0"/>
            <w:vAlign w:val="center"/>
          </w:tcPr>
          <w:p w14:paraId="21FDE7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7#原热电家属楼5层</w:t>
            </w:r>
          </w:p>
        </w:tc>
        <w:tc>
          <w:tcPr>
            <w:tcW w:w="1505" w:type="dxa"/>
            <w:tcBorders>
              <w:tl2br w:val="nil"/>
              <w:tr2bl w:val="nil"/>
            </w:tcBorders>
            <w:noWrap w:val="0"/>
            <w:vAlign w:val="center"/>
          </w:tcPr>
          <w:p w14:paraId="3FBB80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49</w:t>
            </w:r>
          </w:p>
        </w:tc>
        <w:tc>
          <w:tcPr>
            <w:tcW w:w="1521" w:type="dxa"/>
            <w:tcBorders>
              <w:tl2br w:val="nil"/>
              <w:tr2bl w:val="nil"/>
            </w:tcBorders>
            <w:noWrap w:val="0"/>
            <w:vAlign w:val="center"/>
          </w:tcPr>
          <w:p w14:paraId="18BA822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45</w:t>
            </w:r>
          </w:p>
        </w:tc>
        <w:tc>
          <w:tcPr>
            <w:tcW w:w="1404" w:type="dxa"/>
            <w:tcBorders>
              <w:tl2br w:val="nil"/>
              <w:tr2bl w:val="nil"/>
            </w:tcBorders>
            <w:noWrap w:val="0"/>
            <w:vAlign w:val="center"/>
          </w:tcPr>
          <w:p w14:paraId="46B5C25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49</w:t>
            </w:r>
          </w:p>
        </w:tc>
        <w:tc>
          <w:tcPr>
            <w:tcW w:w="1622" w:type="dxa"/>
            <w:tcBorders>
              <w:tl2br w:val="nil"/>
              <w:tr2bl w:val="nil"/>
            </w:tcBorders>
            <w:noWrap w:val="0"/>
            <w:vAlign w:val="center"/>
          </w:tcPr>
          <w:p w14:paraId="4C97EB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45</w:t>
            </w:r>
          </w:p>
        </w:tc>
      </w:tr>
      <w:tr w14:paraId="5C9084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exact"/>
          <w:jc w:val="center"/>
        </w:trPr>
        <w:tc>
          <w:tcPr>
            <w:tcW w:w="2984" w:type="dxa"/>
            <w:tcBorders>
              <w:tl2br w:val="nil"/>
              <w:tr2bl w:val="nil"/>
            </w:tcBorders>
            <w:noWrap w:val="0"/>
            <w:vAlign w:val="center"/>
          </w:tcPr>
          <w:p w14:paraId="37355C1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8#黑锻新城1层</w:t>
            </w:r>
          </w:p>
        </w:tc>
        <w:tc>
          <w:tcPr>
            <w:tcW w:w="1505" w:type="dxa"/>
            <w:tcBorders>
              <w:tl2br w:val="nil"/>
              <w:tr2bl w:val="nil"/>
            </w:tcBorders>
            <w:noWrap w:val="0"/>
            <w:vAlign w:val="center"/>
          </w:tcPr>
          <w:p w14:paraId="78F34D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48</w:t>
            </w:r>
          </w:p>
        </w:tc>
        <w:tc>
          <w:tcPr>
            <w:tcW w:w="1521" w:type="dxa"/>
            <w:tcBorders>
              <w:tl2br w:val="nil"/>
              <w:tr2bl w:val="nil"/>
            </w:tcBorders>
            <w:noWrap w:val="0"/>
            <w:vAlign w:val="center"/>
          </w:tcPr>
          <w:p w14:paraId="552A9C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44</w:t>
            </w:r>
          </w:p>
        </w:tc>
        <w:tc>
          <w:tcPr>
            <w:tcW w:w="1404" w:type="dxa"/>
            <w:tcBorders>
              <w:tl2br w:val="nil"/>
              <w:tr2bl w:val="nil"/>
            </w:tcBorders>
            <w:noWrap w:val="0"/>
            <w:vAlign w:val="center"/>
          </w:tcPr>
          <w:p w14:paraId="3F40BA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47</w:t>
            </w:r>
          </w:p>
        </w:tc>
        <w:tc>
          <w:tcPr>
            <w:tcW w:w="1622" w:type="dxa"/>
            <w:tcBorders>
              <w:tl2br w:val="nil"/>
              <w:tr2bl w:val="nil"/>
            </w:tcBorders>
            <w:noWrap w:val="0"/>
            <w:vAlign w:val="center"/>
          </w:tcPr>
          <w:p w14:paraId="524390D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43</w:t>
            </w:r>
          </w:p>
        </w:tc>
      </w:tr>
      <w:tr w14:paraId="4C480C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exact"/>
          <w:jc w:val="center"/>
        </w:trPr>
        <w:tc>
          <w:tcPr>
            <w:tcW w:w="2984" w:type="dxa"/>
            <w:tcBorders>
              <w:tl2br w:val="nil"/>
              <w:tr2bl w:val="nil"/>
            </w:tcBorders>
            <w:noWrap w:val="0"/>
            <w:vAlign w:val="center"/>
          </w:tcPr>
          <w:p w14:paraId="034E0C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9#黑锻新城3层</w:t>
            </w:r>
          </w:p>
        </w:tc>
        <w:tc>
          <w:tcPr>
            <w:tcW w:w="1505" w:type="dxa"/>
            <w:tcBorders>
              <w:tl2br w:val="nil"/>
              <w:tr2bl w:val="nil"/>
            </w:tcBorders>
            <w:noWrap w:val="0"/>
            <w:vAlign w:val="center"/>
          </w:tcPr>
          <w:p w14:paraId="133A27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48</w:t>
            </w:r>
          </w:p>
        </w:tc>
        <w:tc>
          <w:tcPr>
            <w:tcW w:w="1521" w:type="dxa"/>
            <w:tcBorders>
              <w:tl2br w:val="nil"/>
              <w:tr2bl w:val="nil"/>
            </w:tcBorders>
            <w:noWrap w:val="0"/>
            <w:vAlign w:val="center"/>
          </w:tcPr>
          <w:p w14:paraId="55D67A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44</w:t>
            </w:r>
          </w:p>
        </w:tc>
        <w:tc>
          <w:tcPr>
            <w:tcW w:w="1404" w:type="dxa"/>
            <w:tcBorders>
              <w:tl2br w:val="nil"/>
              <w:tr2bl w:val="nil"/>
            </w:tcBorders>
            <w:noWrap w:val="0"/>
            <w:vAlign w:val="center"/>
          </w:tcPr>
          <w:p w14:paraId="77253E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47</w:t>
            </w:r>
          </w:p>
        </w:tc>
        <w:tc>
          <w:tcPr>
            <w:tcW w:w="1622" w:type="dxa"/>
            <w:tcBorders>
              <w:tl2br w:val="nil"/>
              <w:tr2bl w:val="nil"/>
            </w:tcBorders>
            <w:noWrap w:val="0"/>
            <w:vAlign w:val="center"/>
          </w:tcPr>
          <w:p w14:paraId="6B9339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43</w:t>
            </w:r>
          </w:p>
        </w:tc>
      </w:tr>
      <w:tr w14:paraId="37FC95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exact"/>
          <w:jc w:val="center"/>
        </w:trPr>
        <w:tc>
          <w:tcPr>
            <w:tcW w:w="2984" w:type="dxa"/>
            <w:tcBorders>
              <w:tl2br w:val="nil"/>
              <w:tr2bl w:val="nil"/>
            </w:tcBorders>
            <w:noWrap w:val="0"/>
            <w:vAlign w:val="center"/>
          </w:tcPr>
          <w:p w14:paraId="484F6C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10#黑锻新城5层</w:t>
            </w:r>
          </w:p>
        </w:tc>
        <w:tc>
          <w:tcPr>
            <w:tcW w:w="1505" w:type="dxa"/>
            <w:tcBorders>
              <w:tl2br w:val="nil"/>
              <w:tr2bl w:val="nil"/>
            </w:tcBorders>
            <w:noWrap w:val="0"/>
            <w:vAlign w:val="center"/>
          </w:tcPr>
          <w:p w14:paraId="67D12E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49</w:t>
            </w:r>
          </w:p>
        </w:tc>
        <w:tc>
          <w:tcPr>
            <w:tcW w:w="1521" w:type="dxa"/>
            <w:tcBorders>
              <w:tl2br w:val="nil"/>
              <w:tr2bl w:val="nil"/>
            </w:tcBorders>
            <w:noWrap w:val="0"/>
            <w:vAlign w:val="center"/>
          </w:tcPr>
          <w:p w14:paraId="2C591B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45</w:t>
            </w:r>
          </w:p>
        </w:tc>
        <w:tc>
          <w:tcPr>
            <w:tcW w:w="1404" w:type="dxa"/>
            <w:tcBorders>
              <w:tl2br w:val="nil"/>
              <w:tr2bl w:val="nil"/>
            </w:tcBorders>
            <w:noWrap w:val="0"/>
            <w:vAlign w:val="center"/>
          </w:tcPr>
          <w:p w14:paraId="3ACA2B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48</w:t>
            </w:r>
          </w:p>
        </w:tc>
        <w:tc>
          <w:tcPr>
            <w:tcW w:w="1622" w:type="dxa"/>
            <w:tcBorders>
              <w:tl2br w:val="nil"/>
              <w:tr2bl w:val="nil"/>
            </w:tcBorders>
            <w:noWrap w:val="0"/>
            <w:vAlign w:val="center"/>
          </w:tcPr>
          <w:p w14:paraId="409C5A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45</w:t>
            </w:r>
          </w:p>
        </w:tc>
      </w:tr>
      <w:tr w14:paraId="656182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exact"/>
          <w:jc w:val="center"/>
        </w:trPr>
        <w:tc>
          <w:tcPr>
            <w:tcW w:w="2984" w:type="dxa"/>
            <w:tcBorders>
              <w:tl2br w:val="nil"/>
              <w:tr2bl w:val="nil"/>
            </w:tcBorders>
            <w:noWrap w:val="0"/>
            <w:vAlign w:val="center"/>
          </w:tcPr>
          <w:p w14:paraId="4F1AA1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11#黑锻新城7层</w:t>
            </w:r>
          </w:p>
        </w:tc>
        <w:tc>
          <w:tcPr>
            <w:tcW w:w="1505" w:type="dxa"/>
            <w:tcBorders>
              <w:tl2br w:val="nil"/>
              <w:tr2bl w:val="nil"/>
            </w:tcBorders>
            <w:noWrap w:val="0"/>
            <w:vAlign w:val="center"/>
          </w:tcPr>
          <w:p w14:paraId="4C0F1E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49</w:t>
            </w:r>
          </w:p>
        </w:tc>
        <w:tc>
          <w:tcPr>
            <w:tcW w:w="1521" w:type="dxa"/>
            <w:tcBorders>
              <w:tl2br w:val="nil"/>
              <w:tr2bl w:val="nil"/>
            </w:tcBorders>
            <w:noWrap w:val="0"/>
            <w:vAlign w:val="center"/>
          </w:tcPr>
          <w:p w14:paraId="21B691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46</w:t>
            </w:r>
          </w:p>
        </w:tc>
        <w:tc>
          <w:tcPr>
            <w:tcW w:w="1404" w:type="dxa"/>
            <w:tcBorders>
              <w:tl2br w:val="nil"/>
              <w:tr2bl w:val="nil"/>
            </w:tcBorders>
            <w:noWrap w:val="0"/>
            <w:vAlign w:val="center"/>
          </w:tcPr>
          <w:p w14:paraId="4DF331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48</w:t>
            </w:r>
          </w:p>
        </w:tc>
        <w:tc>
          <w:tcPr>
            <w:tcW w:w="1622" w:type="dxa"/>
            <w:tcBorders>
              <w:tl2br w:val="nil"/>
              <w:tr2bl w:val="nil"/>
            </w:tcBorders>
            <w:noWrap w:val="0"/>
            <w:vAlign w:val="center"/>
          </w:tcPr>
          <w:p w14:paraId="2C75B1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46</w:t>
            </w:r>
          </w:p>
        </w:tc>
      </w:tr>
      <w:tr w14:paraId="1E74ED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exact"/>
          <w:jc w:val="center"/>
        </w:trPr>
        <w:tc>
          <w:tcPr>
            <w:tcW w:w="2984" w:type="dxa"/>
            <w:tcBorders>
              <w:tl2br w:val="nil"/>
              <w:tr2bl w:val="nil"/>
            </w:tcBorders>
            <w:noWrap w:val="0"/>
            <w:vAlign w:val="center"/>
          </w:tcPr>
          <w:p w14:paraId="0515E6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12#黑锻新城9层</w:t>
            </w:r>
          </w:p>
        </w:tc>
        <w:tc>
          <w:tcPr>
            <w:tcW w:w="1505" w:type="dxa"/>
            <w:tcBorders>
              <w:tl2br w:val="nil"/>
              <w:tr2bl w:val="nil"/>
            </w:tcBorders>
            <w:noWrap w:val="0"/>
            <w:vAlign w:val="center"/>
          </w:tcPr>
          <w:p w14:paraId="4918D1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49</w:t>
            </w:r>
          </w:p>
        </w:tc>
        <w:tc>
          <w:tcPr>
            <w:tcW w:w="1521" w:type="dxa"/>
            <w:tcBorders>
              <w:tl2br w:val="nil"/>
              <w:tr2bl w:val="nil"/>
            </w:tcBorders>
            <w:noWrap w:val="0"/>
            <w:vAlign w:val="center"/>
          </w:tcPr>
          <w:p w14:paraId="4C084D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45</w:t>
            </w:r>
          </w:p>
        </w:tc>
        <w:tc>
          <w:tcPr>
            <w:tcW w:w="1404" w:type="dxa"/>
            <w:tcBorders>
              <w:tl2br w:val="nil"/>
              <w:tr2bl w:val="nil"/>
            </w:tcBorders>
            <w:noWrap w:val="0"/>
            <w:vAlign w:val="center"/>
          </w:tcPr>
          <w:p w14:paraId="40A026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49</w:t>
            </w:r>
          </w:p>
        </w:tc>
        <w:tc>
          <w:tcPr>
            <w:tcW w:w="1622" w:type="dxa"/>
            <w:tcBorders>
              <w:tl2br w:val="nil"/>
              <w:tr2bl w:val="nil"/>
            </w:tcBorders>
            <w:noWrap w:val="0"/>
            <w:vAlign w:val="center"/>
          </w:tcPr>
          <w:p w14:paraId="09C372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44</w:t>
            </w:r>
          </w:p>
        </w:tc>
      </w:tr>
      <w:tr w14:paraId="1759A1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exact"/>
          <w:jc w:val="center"/>
        </w:trPr>
        <w:tc>
          <w:tcPr>
            <w:tcW w:w="2984" w:type="dxa"/>
            <w:tcBorders>
              <w:tl2br w:val="nil"/>
              <w:tr2bl w:val="nil"/>
            </w:tcBorders>
            <w:noWrap w:val="0"/>
            <w:vAlign w:val="center"/>
          </w:tcPr>
          <w:p w14:paraId="06E37B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13#黑锻新城11层</w:t>
            </w:r>
          </w:p>
        </w:tc>
        <w:tc>
          <w:tcPr>
            <w:tcW w:w="1505" w:type="dxa"/>
            <w:tcBorders>
              <w:tl2br w:val="nil"/>
              <w:tr2bl w:val="nil"/>
            </w:tcBorders>
            <w:noWrap w:val="0"/>
            <w:vAlign w:val="center"/>
          </w:tcPr>
          <w:p w14:paraId="6B47D4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50</w:t>
            </w:r>
          </w:p>
        </w:tc>
        <w:tc>
          <w:tcPr>
            <w:tcW w:w="1521" w:type="dxa"/>
            <w:tcBorders>
              <w:tl2br w:val="nil"/>
              <w:tr2bl w:val="nil"/>
            </w:tcBorders>
            <w:noWrap w:val="0"/>
            <w:vAlign w:val="center"/>
          </w:tcPr>
          <w:p w14:paraId="18F9DC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46</w:t>
            </w:r>
          </w:p>
        </w:tc>
        <w:tc>
          <w:tcPr>
            <w:tcW w:w="1404" w:type="dxa"/>
            <w:tcBorders>
              <w:tl2br w:val="nil"/>
              <w:tr2bl w:val="nil"/>
            </w:tcBorders>
            <w:noWrap w:val="0"/>
            <w:vAlign w:val="center"/>
          </w:tcPr>
          <w:p w14:paraId="6DC24B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49</w:t>
            </w:r>
          </w:p>
        </w:tc>
        <w:tc>
          <w:tcPr>
            <w:tcW w:w="1622" w:type="dxa"/>
            <w:tcBorders>
              <w:tl2br w:val="nil"/>
              <w:tr2bl w:val="nil"/>
            </w:tcBorders>
            <w:noWrap w:val="0"/>
            <w:vAlign w:val="center"/>
          </w:tcPr>
          <w:p w14:paraId="45EB9D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46</w:t>
            </w:r>
          </w:p>
        </w:tc>
      </w:tr>
      <w:tr w14:paraId="7A2388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exact"/>
          <w:jc w:val="center"/>
        </w:trPr>
        <w:tc>
          <w:tcPr>
            <w:tcW w:w="2984" w:type="dxa"/>
            <w:tcBorders>
              <w:tl2br w:val="nil"/>
              <w:tr2bl w:val="nil"/>
            </w:tcBorders>
            <w:noWrap w:val="0"/>
            <w:vAlign w:val="center"/>
          </w:tcPr>
          <w:p w14:paraId="47E990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14#黑锻新城13层</w:t>
            </w:r>
          </w:p>
        </w:tc>
        <w:tc>
          <w:tcPr>
            <w:tcW w:w="1505" w:type="dxa"/>
            <w:tcBorders>
              <w:tl2br w:val="nil"/>
              <w:tr2bl w:val="nil"/>
            </w:tcBorders>
            <w:noWrap w:val="0"/>
            <w:vAlign w:val="center"/>
          </w:tcPr>
          <w:p w14:paraId="0AE29F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50</w:t>
            </w:r>
          </w:p>
        </w:tc>
        <w:tc>
          <w:tcPr>
            <w:tcW w:w="1521" w:type="dxa"/>
            <w:tcBorders>
              <w:tl2br w:val="nil"/>
              <w:tr2bl w:val="nil"/>
            </w:tcBorders>
            <w:noWrap w:val="0"/>
            <w:vAlign w:val="center"/>
          </w:tcPr>
          <w:p w14:paraId="488AF25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47</w:t>
            </w:r>
          </w:p>
        </w:tc>
        <w:tc>
          <w:tcPr>
            <w:tcW w:w="1404" w:type="dxa"/>
            <w:tcBorders>
              <w:tl2br w:val="nil"/>
              <w:tr2bl w:val="nil"/>
            </w:tcBorders>
            <w:noWrap w:val="0"/>
            <w:vAlign w:val="center"/>
          </w:tcPr>
          <w:p w14:paraId="327EAE4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50</w:t>
            </w:r>
          </w:p>
        </w:tc>
        <w:tc>
          <w:tcPr>
            <w:tcW w:w="1622" w:type="dxa"/>
            <w:tcBorders>
              <w:tl2br w:val="nil"/>
              <w:tr2bl w:val="nil"/>
            </w:tcBorders>
            <w:noWrap w:val="0"/>
            <w:vAlign w:val="center"/>
          </w:tcPr>
          <w:p w14:paraId="0863DC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46</w:t>
            </w:r>
          </w:p>
        </w:tc>
      </w:tr>
      <w:tr w14:paraId="14A2BB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exact"/>
          <w:jc w:val="center"/>
        </w:trPr>
        <w:tc>
          <w:tcPr>
            <w:tcW w:w="2984" w:type="dxa"/>
            <w:tcBorders>
              <w:tl2br w:val="nil"/>
              <w:tr2bl w:val="nil"/>
            </w:tcBorders>
            <w:noWrap w:val="0"/>
            <w:vAlign w:val="center"/>
          </w:tcPr>
          <w:p w14:paraId="0E9976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15#黑锻新城15层</w:t>
            </w:r>
          </w:p>
        </w:tc>
        <w:tc>
          <w:tcPr>
            <w:tcW w:w="1505" w:type="dxa"/>
            <w:tcBorders>
              <w:tl2br w:val="nil"/>
              <w:tr2bl w:val="nil"/>
            </w:tcBorders>
            <w:noWrap w:val="0"/>
            <w:vAlign w:val="center"/>
          </w:tcPr>
          <w:p w14:paraId="1C11FF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51</w:t>
            </w:r>
          </w:p>
        </w:tc>
        <w:tc>
          <w:tcPr>
            <w:tcW w:w="1521" w:type="dxa"/>
            <w:tcBorders>
              <w:tl2br w:val="nil"/>
              <w:tr2bl w:val="nil"/>
            </w:tcBorders>
            <w:noWrap w:val="0"/>
            <w:vAlign w:val="center"/>
          </w:tcPr>
          <w:p w14:paraId="313426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46</w:t>
            </w:r>
          </w:p>
        </w:tc>
        <w:tc>
          <w:tcPr>
            <w:tcW w:w="1404" w:type="dxa"/>
            <w:tcBorders>
              <w:tl2br w:val="nil"/>
              <w:tr2bl w:val="nil"/>
            </w:tcBorders>
            <w:noWrap w:val="0"/>
            <w:vAlign w:val="center"/>
          </w:tcPr>
          <w:p w14:paraId="612418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51</w:t>
            </w:r>
          </w:p>
        </w:tc>
        <w:tc>
          <w:tcPr>
            <w:tcW w:w="1622" w:type="dxa"/>
            <w:tcBorders>
              <w:tl2br w:val="nil"/>
              <w:tr2bl w:val="nil"/>
            </w:tcBorders>
            <w:noWrap w:val="0"/>
            <w:vAlign w:val="center"/>
          </w:tcPr>
          <w:p w14:paraId="3B6184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47</w:t>
            </w:r>
          </w:p>
        </w:tc>
      </w:tr>
    </w:tbl>
    <w:p w14:paraId="1B5DF120">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声环境质量现状评价</w:t>
      </w:r>
    </w:p>
    <w:p w14:paraId="05366D85">
      <w:pPr>
        <w:ind w:firstLine="480"/>
        <w:rPr>
          <w:rFonts w:hint="eastAsia"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b w:val="0"/>
          <w:bCs w:val="0"/>
          <w:color w:val="auto"/>
          <w:kern w:val="2"/>
          <w:sz w:val="24"/>
          <w:szCs w:val="24"/>
          <w:highlight w:val="none"/>
        </w:rPr>
        <w:t>根据</w:t>
      </w:r>
      <w:r>
        <w:rPr>
          <w:rFonts w:hint="default" w:ascii="Times New Roman" w:hAnsi="Times New Roman" w:eastAsia="宋体" w:cs="Times New Roman"/>
          <w:color w:val="auto"/>
          <w:kern w:val="2"/>
          <w:sz w:val="24"/>
          <w:szCs w:val="24"/>
          <w:highlight w:val="none"/>
          <w:lang w:val="en-US" w:eastAsia="zh-CN"/>
        </w:rPr>
        <w:t>《</w:t>
      </w:r>
      <w:r>
        <w:rPr>
          <w:rFonts w:hint="eastAsia" w:ascii="Times New Roman" w:hAnsi="Times New Roman" w:eastAsia="宋体" w:cs="Times New Roman"/>
          <w:color w:val="auto"/>
          <w:kern w:val="2"/>
          <w:sz w:val="24"/>
          <w:szCs w:val="24"/>
          <w:highlight w:val="none"/>
          <w:lang w:val="en-US" w:eastAsia="zh-CN"/>
        </w:rPr>
        <w:t>佳木斯市生态环境</w:t>
      </w:r>
      <w:r>
        <w:rPr>
          <w:rFonts w:hint="default" w:ascii="Times New Roman" w:hAnsi="Times New Roman" w:eastAsia="宋体" w:cs="Times New Roman"/>
          <w:color w:val="auto"/>
          <w:kern w:val="2"/>
          <w:sz w:val="24"/>
          <w:szCs w:val="24"/>
          <w:highlight w:val="none"/>
          <w:lang w:val="en-US" w:eastAsia="zh-CN"/>
        </w:rPr>
        <w:t>质量简报（2024年度）》：2024年，佳木斯市功能区声环境质量平均等效声级昼间为55.1分贝，夜间为46.8分贝。昼间功能区声环境质量平均等效声级范围为52.1-59.9分贝，夜间范围为41.4-51.8分贝。与上年相比，昼间、夜间平均等效声级保持稳定，均无明显变化</w:t>
      </w:r>
      <w:r>
        <w:rPr>
          <w:rFonts w:hint="eastAsia" w:ascii="Times New Roman" w:hAnsi="Times New Roman" w:eastAsia="宋体" w:cs="Times New Roman"/>
          <w:color w:val="auto"/>
          <w:kern w:val="2"/>
          <w:sz w:val="24"/>
          <w:szCs w:val="24"/>
          <w:highlight w:val="none"/>
          <w:lang w:val="en-US" w:eastAsia="zh-CN"/>
        </w:rPr>
        <w:t>。</w:t>
      </w:r>
    </w:p>
    <w:p w14:paraId="57E25EC6">
      <w:pPr>
        <w:pStyle w:val="102"/>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bottom"/>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（1）评价方法</w:t>
      </w:r>
    </w:p>
    <w:p w14:paraId="0924460B">
      <w:pPr>
        <w:pStyle w:val="102"/>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bottom"/>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根据噪声现状的监测统计结果，采用与评价标准直接比较的方法对评价范围内的声环境质量现状进行评价。</w:t>
      </w:r>
    </w:p>
    <w:p w14:paraId="6E45FA26">
      <w:pPr>
        <w:pStyle w:val="102"/>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bottom"/>
        <w:rPr>
          <w:rFonts w:hint="default" w:ascii="Times New Roman" w:hAnsi="Times New Roman" w:eastAsia="宋体" w:cs="Times New Roman"/>
          <w:color w:val="auto"/>
          <w:szCs w:val="24"/>
          <w:highlight w:val="none"/>
        </w:rPr>
      </w:pPr>
      <w:bookmarkStart w:id="385" w:name="_Toc241037561"/>
      <w:r>
        <w:rPr>
          <w:rFonts w:hint="default" w:ascii="Times New Roman" w:hAnsi="Times New Roman" w:eastAsia="宋体" w:cs="Times New Roman"/>
          <w:color w:val="auto"/>
          <w:szCs w:val="24"/>
          <w:highlight w:val="none"/>
        </w:rPr>
        <w:t>（2）评价标准</w:t>
      </w:r>
      <w:bookmarkEnd w:id="385"/>
    </w:p>
    <w:p w14:paraId="0E78E8BD">
      <w:pPr>
        <w:keepNext w:val="0"/>
        <w:keepLines w:val="0"/>
        <w:pageBreakBefore w:val="0"/>
        <w:widowControl w:val="0"/>
        <w:kinsoku/>
        <w:wordWrap/>
        <w:overflowPunct/>
        <w:topLinePunct w:val="0"/>
        <w:autoSpaceDE w:val="0"/>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以等效连续A声级Leq为评价量，评价标准执行《声环境质量标准》（GB3096-2008）</w:t>
      </w:r>
      <w:r>
        <w:rPr>
          <w:rFonts w:hint="default" w:ascii="Times New Roman" w:hAnsi="Times New Roman" w:eastAsia="宋体" w:cs="Times New Roman"/>
          <w:b w:val="0"/>
          <w:bCs w:val="0"/>
          <w:color w:val="auto"/>
          <w:spacing w:val="0"/>
          <w:sz w:val="24"/>
          <w:szCs w:val="24"/>
          <w:highlight w:val="none"/>
          <w:lang w:val="en-US" w:eastAsia="zh-CN"/>
        </w:rPr>
        <w:t>表1环境噪声限值中的2类标准</w:t>
      </w:r>
      <w:r>
        <w:rPr>
          <w:rFonts w:hint="default" w:ascii="Times New Roman" w:hAnsi="Times New Roman" w:eastAsia="宋体" w:cs="Times New Roman"/>
          <w:color w:val="auto"/>
          <w:sz w:val="24"/>
          <w:szCs w:val="24"/>
          <w:highlight w:val="none"/>
        </w:rPr>
        <w:t>。</w:t>
      </w:r>
    </w:p>
    <w:p w14:paraId="64AFF2A9">
      <w:pPr>
        <w:pStyle w:val="102"/>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bottom"/>
        <w:rPr>
          <w:rFonts w:hint="default" w:ascii="Times New Roman" w:hAnsi="Times New Roman" w:eastAsia="宋体" w:cs="Times New Roman"/>
          <w:color w:val="auto"/>
          <w:szCs w:val="24"/>
          <w:highlight w:val="none"/>
        </w:rPr>
      </w:pPr>
      <w:bookmarkStart w:id="386" w:name="_Toc176865927"/>
      <w:bookmarkStart w:id="387" w:name="_Toc186283774"/>
      <w:bookmarkStart w:id="388" w:name="_Toc233536384"/>
      <w:bookmarkStart w:id="389" w:name="_Toc234557190"/>
      <w:bookmarkStart w:id="390" w:name="_Toc186283572"/>
      <w:bookmarkStart w:id="391" w:name="_Toc241037562"/>
      <w:bookmarkStart w:id="392" w:name="_Toc188855746"/>
      <w:r>
        <w:rPr>
          <w:rFonts w:hint="default" w:ascii="Times New Roman" w:hAnsi="Times New Roman" w:eastAsia="宋体" w:cs="Times New Roman"/>
          <w:color w:val="auto"/>
          <w:szCs w:val="24"/>
          <w:highlight w:val="none"/>
        </w:rPr>
        <w:t>（3）现状评价结论</w:t>
      </w:r>
      <w:bookmarkEnd w:id="386"/>
      <w:bookmarkEnd w:id="387"/>
      <w:bookmarkEnd w:id="388"/>
      <w:bookmarkEnd w:id="389"/>
      <w:bookmarkEnd w:id="390"/>
      <w:bookmarkEnd w:id="391"/>
      <w:bookmarkEnd w:id="392"/>
    </w:p>
    <w:p w14:paraId="44C3BC23">
      <w:pPr>
        <w:keepNext w:val="0"/>
        <w:keepLines w:val="0"/>
        <w:pageBreakBefore w:val="0"/>
        <w:widowControl w:val="0"/>
        <w:kinsoku/>
        <w:wordWrap/>
        <w:overflowPunct/>
        <w:topLinePunct w:val="0"/>
        <w:bidi w:val="0"/>
        <w:adjustRightInd/>
        <w:snapToGrid/>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结合</w:t>
      </w:r>
      <w:r>
        <w:rPr>
          <w:rFonts w:hint="default" w:ascii="Times New Roman" w:hAnsi="Times New Roman" w:eastAsia="宋体" w:cs="Times New Roman"/>
          <w:color w:val="auto"/>
          <w:sz w:val="24"/>
          <w:szCs w:val="24"/>
          <w:highlight w:val="none"/>
        </w:rPr>
        <w:t>噪声现状监测结果，</w:t>
      </w:r>
      <w:r>
        <w:rPr>
          <w:rFonts w:hint="default" w:ascii="Times New Roman" w:hAnsi="Times New Roman" w:eastAsia="宋体" w:cs="Times New Roman"/>
          <w:color w:val="auto"/>
          <w:sz w:val="24"/>
          <w:szCs w:val="24"/>
          <w:highlight w:val="none"/>
          <w:lang w:val="en-US" w:eastAsia="zh-CN"/>
        </w:rPr>
        <w:t>厂界</w:t>
      </w:r>
      <w:r>
        <w:rPr>
          <w:rFonts w:hint="default" w:ascii="Times New Roman" w:hAnsi="Times New Roman" w:eastAsia="宋体" w:cs="Times New Roman"/>
          <w:color w:val="auto"/>
          <w:sz w:val="24"/>
          <w:szCs w:val="24"/>
          <w:highlight w:val="none"/>
        </w:rPr>
        <w:t>噪声监测点的</w:t>
      </w:r>
      <w:r>
        <w:rPr>
          <w:rFonts w:hint="default" w:ascii="Times New Roman" w:hAnsi="Times New Roman" w:eastAsia="宋体" w:cs="Times New Roman"/>
          <w:color w:val="auto"/>
          <w:sz w:val="24"/>
          <w:szCs w:val="24"/>
          <w:highlight w:val="none"/>
          <w:lang w:val="en-US" w:eastAsia="zh-CN"/>
        </w:rPr>
        <w:t>昼间等效A声级</w:t>
      </w:r>
      <w:r>
        <w:rPr>
          <w:rFonts w:hint="default" w:ascii="Times New Roman" w:hAnsi="Times New Roman" w:eastAsia="宋体" w:cs="Times New Roman"/>
          <w:color w:val="auto"/>
          <w:sz w:val="24"/>
          <w:szCs w:val="24"/>
          <w:highlight w:val="none"/>
        </w:rPr>
        <w:t>在</w:t>
      </w:r>
      <w:r>
        <w:rPr>
          <w:rFonts w:hint="eastAsia" w:ascii="Times New Roman" w:hAnsi="Times New Roman" w:eastAsia="宋体" w:cs="Times New Roman"/>
          <w:color w:val="auto"/>
          <w:sz w:val="24"/>
          <w:szCs w:val="24"/>
          <w:highlight w:val="none"/>
          <w:lang w:val="en-US" w:eastAsia="zh-CN"/>
        </w:rPr>
        <w:t>51</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5</w:t>
      </w:r>
      <w:r>
        <w:rPr>
          <w:rFonts w:hint="eastAsia"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dB</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A</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之间，夜间</w:t>
      </w:r>
      <w:r>
        <w:rPr>
          <w:rFonts w:hint="default" w:ascii="Times New Roman" w:hAnsi="Times New Roman" w:eastAsia="宋体" w:cs="Times New Roman"/>
          <w:color w:val="auto"/>
          <w:sz w:val="24"/>
          <w:szCs w:val="24"/>
          <w:highlight w:val="none"/>
          <w:lang w:val="en-US" w:eastAsia="zh-CN"/>
        </w:rPr>
        <w:t>等效A声级</w:t>
      </w:r>
      <w:r>
        <w:rPr>
          <w:rFonts w:hint="default" w:ascii="Times New Roman" w:hAnsi="Times New Roman" w:eastAsia="宋体" w:cs="Times New Roman"/>
          <w:color w:val="auto"/>
          <w:sz w:val="24"/>
          <w:szCs w:val="24"/>
          <w:highlight w:val="none"/>
        </w:rPr>
        <w:t>在</w:t>
      </w:r>
      <w:r>
        <w:rPr>
          <w:rFonts w:hint="default" w:ascii="Times New Roman" w:hAnsi="Times New Roman" w:eastAsia="宋体" w:cs="Times New Roman"/>
          <w:color w:val="auto"/>
          <w:sz w:val="24"/>
          <w:szCs w:val="24"/>
          <w:highlight w:val="none"/>
          <w:lang w:val="en-US" w:eastAsia="zh-CN"/>
        </w:rPr>
        <w:t>4</w:t>
      </w:r>
      <w:r>
        <w:rPr>
          <w:rFonts w:hint="eastAsia"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4</w:t>
      </w:r>
      <w:r>
        <w:rPr>
          <w:rFonts w:hint="eastAsia"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dB</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A</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之间，</w:t>
      </w:r>
      <w:r>
        <w:rPr>
          <w:rFonts w:hint="default" w:ascii="Times New Roman" w:hAnsi="Times New Roman" w:eastAsia="宋体" w:cs="Times New Roman"/>
          <w:color w:val="auto"/>
          <w:sz w:val="24"/>
          <w:szCs w:val="24"/>
          <w:highlight w:val="none"/>
          <w:lang w:val="en-US" w:eastAsia="zh-CN"/>
        </w:rPr>
        <w:t>满足</w:t>
      </w:r>
      <w:r>
        <w:rPr>
          <w:rFonts w:hint="default" w:ascii="Times New Roman" w:hAnsi="Times New Roman" w:eastAsia="宋体" w:cs="Times New Roman"/>
          <w:color w:val="auto"/>
          <w:kern w:val="0"/>
          <w:sz w:val="24"/>
          <w:szCs w:val="24"/>
          <w:highlight w:val="none"/>
        </w:rPr>
        <w:t>《声环境质量标准》（GB3096-2008）</w:t>
      </w:r>
      <w:r>
        <w:rPr>
          <w:rFonts w:hint="default" w:ascii="Times New Roman" w:hAnsi="Times New Roman" w:eastAsia="宋体" w:cs="Times New Roman"/>
          <w:b w:val="0"/>
          <w:bCs w:val="0"/>
          <w:color w:val="auto"/>
          <w:spacing w:val="0"/>
          <w:sz w:val="24"/>
          <w:szCs w:val="24"/>
          <w:highlight w:val="none"/>
          <w:lang w:val="en-US" w:eastAsia="zh-CN"/>
        </w:rPr>
        <w:t>表1环境噪声限值中的</w:t>
      </w:r>
      <w:r>
        <w:rPr>
          <w:rFonts w:hint="eastAsia" w:ascii="Times New Roman" w:hAnsi="Times New Roman" w:eastAsia="宋体" w:cs="Times New Roman"/>
          <w:b w:val="0"/>
          <w:bCs w:val="0"/>
          <w:color w:val="auto"/>
          <w:spacing w:val="0"/>
          <w:sz w:val="24"/>
          <w:szCs w:val="24"/>
          <w:highlight w:val="none"/>
          <w:lang w:val="en-US" w:eastAsia="zh-CN"/>
        </w:rPr>
        <w:t>3</w:t>
      </w:r>
      <w:r>
        <w:rPr>
          <w:rFonts w:hint="default" w:ascii="Times New Roman" w:hAnsi="Times New Roman" w:eastAsia="宋体" w:cs="Times New Roman"/>
          <w:b w:val="0"/>
          <w:bCs w:val="0"/>
          <w:color w:val="auto"/>
          <w:spacing w:val="0"/>
          <w:sz w:val="24"/>
          <w:szCs w:val="24"/>
          <w:highlight w:val="none"/>
          <w:lang w:val="en-US" w:eastAsia="zh-CN"/>
        </w:rPr>
        <w:t>类标准</w:t>
      </w:r>
      <w:r>
        <w:rPr>
          <w:rFonts w:hint="eastAsia" w:ascii="Times New Roman" w:hAnsi="Times New Roman" w:eastAsia="宋体" w:cs="Times New Roman"/>
          <w:b w:val="0"/>
          <w:bCs w:val="0"/>
          <w:color w:val="auto"/>
          <w:spacing w:val="0"/>
          <w:sz w:val="24"/>
          <w:szCs w:val="24"/>
          <w:highlight w:val="none"/>
          <w:lang w:val="en-US" w:eastAsia="zh-CN"/>
        </w:rPr>
        <w:t>。</w:t>
      </w:r>
    </w:p>
    <w:p w14:paraId="15EDB9AF">
      <w:pPr>
        <w:keepNext w:val="0"/>
        <w:keepLines w:val="0"/>
        <w:pageBreakBefore w:val="0"/>
        <w:widowControl w:val="0"/>
        <w:kinsoku/>
        <w:wordWrap/>
        <w:overflowPunct/>
        <w:topLinePunct w:val="0"/>
        <w:bidi w:val="0"/>
        <w:adjustRightInd/>
        <w:snapToGrid/>
        <w:spacing w:line="360" w:lineRule="auto"/>
        <w:ind w:firstLine="480" w:firstLineChars="200"/>
        <w:rPr>
          <w:rFonts w:hint="eastAsia" w:ascii="Times New Roman" w:hAnsi="Times New Roman" w:eastAsia="宋体" w:cs="Times New Roman"/>
          <w:b w:val="0"/>
          <w:bCs w:val="0"/>
          <w:color w:val="auto"/>
          <w:spacing w:val="0"/>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声环境保护目标</w:t>
      </w:r>
      <w:r>
        <w:rPr>
          <w:rFonts w:hint="eastAsia" w:ascii="Times New Roman" w:hAnsi="Times New Roman" w:eastAsia="宋体" w:cs="Times New Roman"/>
          <w:color w:val="auto"/>
          <w:sz w:val="24"/>
          <w:szCs w:val="24"/>
          <w:highlight w:val="none"/>
          <w:lang w:val="en-US" w:eastAsia="zh-CN"/>
        </w:rPr>
        <w:t>为黑锻新城小区和原热电厂家属区，声环境保护目标</w:t>
      </w:r>
      <w:r>
        <w:rPr>
          <w:rFonts w:hint="default" w:ascii="Times New Roman" w:hAnsi="Times New Roman" w:eastAsia="宋体" w:cs="Times New Roman"/>
          <w:color w:val="auto"/>
          <w:sz w:val="24"/>
          <w:szCs w:val="24"/>
          <w:highlight w:val="none"/>
          <w:lang w:val="en-US" w:eastAsia="zh-CN"/>
        </w:rPr>
        <w:t>昼间等效A声级</w:t>
      </w:r>
      <w:r>
        <w:rPr>
          <w:rFonts w:hint="eastAsia" w:ascii="Times New Roman" w:hAnsi="Times New Roman" w:eastAsia="宋体" w:cs="Times New Roman"/>
          <w:color w:val="auto"/>
          <w:sz w:val="24"/>
          <w:szCs w:val="24"/>
          <w:highlight w:val="none"/>
          <w:lang w:val="en-US" w:eastAsia="zh-CN"/>
        </w:rPr>
        <w:t>为47~51</w:t>
      </w:r>
      <w:r>
        <w:rPr>
          <w:rFonts w:hint="default" w:ascii="Times New Roman" w:hAnsi="Times New Roman" w:eastAsia="宋体" w:cs="Times New Roman"/>
          <w:color w:val="auto"/>
          <w:sz w:val="24"/>
          <w:szCs w:val="24"/>
          <w:highlight w:val="none"/>
        </w:rPr>
        <w:t>dB</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A</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，夜间</w:t>
      </w:r>
      <w:r>
        <w:rPr>
          <w:rFonts w:hint="default" w:ascii="Times New Roman" w:hAnsi="Times New Roman" w:eastAsia="宋体" w:cs="Times New Roman"/>
          <w:color w:val="auto"/>
          <w:sz w:val="24"/>
          <w:szCs w:val="24"/>
          <w:highlight w:val="none"/>
          <w:lang w:val="en-US" w:eastAsia="zh-CN"/>
        </w:rPr>
        <w:t>等效A声级</w:t>
      </w:r>
      <w:r>
        <w:rPr>
          <w:rFonts w:hint="eastAsia" w:ascii="Times New Roman" w:hAnsi="Times New Roman" w:eastAsia="宋体" w:cs="Times New Roman"/>
          <w:color w:val="auto"/>
          <w:sz w:val="24"/>
          <w:szCs w:val="24"/>
          <w:highlight w:val="none"/>
          <w:lang w:val="en-US" w:eastAsia="zh-CN"/>
        </w:rPr>
        <w:t>为43~47</w:t>
      </w:r>
      <w:r>
        <w:rPr>
          <w:rFonts w:hint="default" w:ascii="Times New Roman" w:hAnsi="Times New Roman" w:eastAsia="宋体" w:cs="Times New Roman"/>
          <w:color w:val="auto"/>
          <w:sz w:val="24"/>
          <w:szCs w:val="24"/>
          <w:highlight w:val="none"/>
        </w:rPr>
        <w:t>dB</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A</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满足</w:t>
      </w:r>
      <w:r>
        <w:rPr>
          <w:rFonts w:hint="default" w:ascii="Times New Roman" w:hAnsi="Times New Roman" w:eastAsia="宋体" w:cs="Times New Roman"/>
          <w:color w:val="auto"/>
          <w:kern w:val="0"/>
          <w:sz w:val="24"/>
          <w:szCs w:val="24"/>
          <w:highlight w:val="none"/>
        </w:rPr>
        <w:t>《声环境质量标准》（GB3096-2008）</w:t>
      </w:r>
      <w:r>
        <w:rPr>
          <w:rFonts w:hint="default" w:ascii="Times New Roman" w:hAnsi="Times New Roman" w:eastAsia="宋体" w:cs="Times New Roman"/>
          <w:b w:val="0"/>
          <w:bCs w:val="0"/>
          <w:color w:val="auto"/>
          <w:spacing w:val="0"/>
          <w:sz w:val="24"/>
          <w:szCs w:val="24"/>
          <w:highlight w:val="none"/>
          <w:lang w:val="en-US" w:eastAsia="zh-CN"/>
        </w:rPr>
        <w:t>表1环境噪声限值中的2类标准</w:t>
      </w:r>
      <w:r>
        <w:rPr>
          <w:rFonts w:hint="eastAsia" w:ascii="Times New Roman" w:hAnsi="Times New Roman" w:eastAsia="宋体" w:cs="Times New Roman"/>
          <w:b w:val="0"/>
          <w:bCs w:val="0"/>
          <w:color w:val="auto"/>
          <w:spacing w:val="0"/>
          <w:sz w:val="24"/>
          <w:szCs w:val="24"/>
          <w:highlight w:val="none"/>
          <w:lang w:val="en-US" w:eastAsia="zh-CN"/>
        </w:rPr>
        <w:t>。</w:t>
      </w:r>
    </w:p>
    <w:p w14:paraId="0232ED24">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393" w:name="_Toc8625"/>
      <w:bookmarkStart w:id="394" w:name="_Toc25386"/>
      <w:bookmarkStart w:id="395" w:name="_Toc8945"/>
      <w:r>
        <w:rPr>
          <w:rFonts w:hint="default" w:ascii="Times New Roman" w:hAnsi="Times New Roman" w:eastAsia="宋体" w:cs="Times New Roman"/>
          <w:color w:val="auto"/>
          <w:highlight w:val="none"/>
        </w:rPr>
        <w:t>土壤环境质量现状调查与评价</w:t>
      </w:r>
      <w:bookmarkEnd w:id="393"/>
      <w:bookmarkEnd w:id="394"/>
      <w:bookmarkEnd w:id="395"/>
    </w:p>
    <w:p w14:paraId="5A73151E">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监测点位</w:t>
      </w:r>
    </w:p>
    <w:p w14:paraId="685EDDBA">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依据《环境影响评价技术导则 土壤环境（试行）》（HJ964-2018）中“7.4.2布点原则”要求，土壤环境现状监测点布设应根据建设项目土壤环境影响类型、评价工作等级和土地利用类型确定，采用均布性与代表性相结合的原则。调查评价范围内的每种土壤类型应至少设置1个表层样监测点，应尽量设置在未受人为污染或相对未受污染的区域。涉及大气沉降影响的，应在占地范围外主导风向的上、下风向各设置1个表层样监测点。</w:t>
      </w:r>
    </w:p>
    <w:p w14:paraId="26D8F443">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本项目土壤环境影响类型为污染影响型，土壤评价等级为三级，本项目评价范围内涉及大气沉降影响。因此，本项目土壤环境质量监测在厂址占地范围内布设3个表层样点</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占地范围外主导风向的上、下风向各设置1个表层样监测点</w:t>
      </w:r>
      <w:r>
        <w:rPr>
          <w:rFonts w:hint="default" w:ascii="Times New Roman" w:hAnsi="Times New Roman" w:eastAsia="宋体" w:cs="Times New Roman"/>
          <w:color w:val="auto"/>
          <w:highlight w:val="none"/>
        </w:rPr>
        <w:t>，土壤监测点位情况见表5</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2-</w:t>
      </w:r>
      <w:r>
        <w:rPr>
          <w:rFonts w:hint="eastAsia"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rPr>
        <w:t>及图5</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2-</w:t>
      </w:r>
      <w:r>
        <w:rPr>
          <w:rFonts w:hint="eastAsia"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w:t>
      </w:r>
    </w:p>
    <w:p w14:paraId="5BE81D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w:t>
      </w:r>
      <w:r>
        <w:rPr>
          <w:rFonts w:hint="default" w:ascii="Times New Roman" w:hAnsi="Times New Roman" w:eastAsia="宋体" w:cs="Times New Roman"/>
          <w:color w:val="auto"/>
          <w:highlight w:val="none"/>
          <w:lang w:val="en-US" w:eastAsia="zh-CN"/>
        </w:rPr>
        <w:t>5.2</w:t>
      </w: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lang w:val="en-US" w:eastAsia="zh-CN"/>
        </w:rPr>
        <w:t xml:space="preserve">  本项目土壤环境质量现状监测布点</w:t>
      </w:r>
    </w:p>
    <w:tbl>
      <w:tblPr>
        <w:tblStyle w:val="37"/>
        <w:tblW w:w="507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41"/>
        <w:gridCol w:w="668"/>
        <w:gridCol w:w="693"/>
        <w:gridCol w:w="1354"/>
        <w:gridCol w:w="3936"/>
        <w:gridCol w:w="659"/>
        <w:gridCol w:w="1226"/>
      </w:tblGrid>
      <w:tr w14:paraId="0743F0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246" w:type="pct"/>
            <w:tcBorders>
              <w:tl2br w:val="nil"/>
              <w:tr2bl w:val="nil"/>
            </w:tcBorders>
            <w:noWrap w:val="0"/>
            <w:vAlign w:val="center"/>
          </w:tcPr>
          <w:p w14:paraId="6800759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编号</w:t>
            </w:r>
          </w:p>
        </w:tc>
        <w:tc>
          <w:tcPr>
            <w:tcW w:w="372" w:type="pct"/>
            <w:tcBorders>
              <w:tl2br w:val="nil"/>
              <w:tr2bl w:val="nil"/>
            </w:tcBorders>
            <w:noWrap w:val="0"/>
            <w:vAlign w:val="center"/>
          </w:tcPr>
          <w:p w14:paraId="065858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采样</w:t>
            </w:r>
          </w:p>
          <w:p w14:paraId="147619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单元</w:t>
            </w:r>
          </w:p>
        </w:tc>
        <w:tc>
          <w:tcPr>
            <w:tcW w:w="386" w:type="pct"/>
            <w:tcBorders>
              <w:tl2br w:val="nil"/>
              <w:tr2bl w:val="nil"/>
            </w:tcBorders>
            <w:noWrap w:val="0"/>
            <w:vAlign w:val="center"/>
          </w:tcPr>
          <w:p w14:paraId="141748A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土壤</w:t>
            </w:r>
          </w:p>
          <w:p w14:paraId="2732A5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类型</w:t>
            </w:r>
          </w:p>
        </w:tc>
        <w:tc>
          <w:tcPr>
            <w:tcW w:w="754" w:type="pct"/>
            <w:tcBorders>
              <w:tl2br w:val="nil"/>
              <w:tr2bl w:val="nil"/>
            </w:tcBorders>
            <w:noWrap w:val="0"/>
            <w:vAlign w:val="center"/>
          </w:tcPr>
          <w:p w14:paraId="4157FB3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采样点位置</w:t>
            </w:r>
          </w:p>
        </w:tc>
        <w:tc>
          <w:tcPr>
            <w:tcW w:w="2192" w:type="pct"/>
            <w:tcBorders>
              <w:tl2br w:val="nil"/>
              <w:tr2bl w:val="nil"/>
            </w:tcBorders>
            <w:noWrap w:val="0"/>
            <w:vAlign w:val="center"/>
          </w:tcPr>
          <w:p w14:paraId="67BDF32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监测因子</w:t>
            </w:r>
          </w:p>
        </w:tc>
        <w:tc>
          <w:tcPr>
            <w:tcW w:w="367" w:type="pct"/>
            <w:tcBorders>
              <w:tl2br w:val="nil"/>
              <w:tr2bl w:val="nil"/>
            </w:tcBorders>
            <w:noWrap w:val="0"/>
            <w:vAlign w:val="center"/>
          </w:tcPr>
          <w:p w14:paraId="3A1E742B">
            <w:pPr>
              <w:pStyle w:val="112"/>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rFonts w:hint="default" w:ascii="Times New Roman" w:hAnsi="Times New Roman" w:eastAsia="宋体" w:cs="Times New Roman"/>
                <w:bCs/>
                <w:color w:val="auto"/>
                <w:sz w:val="21"/>
                <w:szCs w:val="21"/>
                <w:highlight w:val="none"/>
                <w:lang w:eastAsia="zh-CN"/>
              </w:rPr>
            </w:pPr>
            <w:r>
              <w:rPr>
                <w:rFonts w:hint="default" w:ascii="Times New Roman" w:hAnsi="Times New Roman" w:eastAsia="宋体" w:cs="Times New Roman"/>
                <w:bCs/>
                <w:color w:val="auto"/>
                <w:sz w:val="21"/>
                <w:szCs w:val="21"/>
                <w:highlight w:val="none"/>
                <w:lang w:eastAsia="zh-CN"/>
              </w:rPr>
              <w:t>监测布点类型</w:t>
            </w:r>
          </w:p>
        </w:tc>
        <w:tc>
          <w:tcPr>
            <w:tcW w:w="680" w:type="pct"/>
            <w:tcBorders>
              <w:tl2br w:val="nil"/>
              <w:tr2bl w:val="nil"/>
            </w:tcBorders>
            <w:noWrap w:val="0"/>
            <w:vAlign w:val="center"/>
          </w:tcPr>
          <w:p w14:paraId="6AFC2F20">
            <w:pPr>
              <w:pStyle w:val="112"/>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测点取土样深度</w:t>
            </w:r>
          </w:p>
        </w:tc>
      </w:tr>
      <w:tr w14:paraId="00C596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7"/>
            <w:tcBorders>
              <w:tl2br w:val="nil"/>
              <w:tr2bl w:val="nil"/>
            </w:tcBorders>
            <w:noWrap w:val="0"/>
            <w:vAlign w:val="center"/>
          </w:tcPr>
          <w:p w14:paraId="2E9A6BF3">
            <w:pPr>
              <w:pStyle w:val="112"/>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厂区占地范围内</w:t>
            </w:r>
          </w:p>
        </w:tc>
      </w:tr>
      <w:tr w14:paraId="62D183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6" w:type="pct"/>
            <w:tcBorders>
              <w:tl2br w:val="nil"/>
              <w:tr2bl w:val="nil"/>
            </w:tcBorders>
            <w:noWrap w:val="0"/>
            <w:vAlign w:val="center"/>
          </w:tcPr>
          <w:p w14:paraId="33FA83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1</w:t>
            </w:r>
            <w:r>
              <w:rPr>
                <w:rFonts w:hint="default" w:ascii="Times New Roman" w:hAnsi="Times New Roman" w:eastAsia="宋体" w:cs="Times New Roman"/>
                <w:color w:val="auto"/>
                <w:sz w:val="21"/>
                <w:szCs w:val="21"/>
                <w:highlight w:val="none"/>
                <w:lang w:val="en-US" w:eastAsia="zh-CN"/>
              </w:rPr>
              <w:t>#</w:t>
            </w:r>
          </w:p>
        </w:tc>
        <w:tc>
          <w:tcPr>
            <w:tcW w:w="372" w:type="pct"/>
            <w:tcBorders>
              <w:tl2br w:val="nil"/>
              <w:tr2bl w:val="nil"/>
            </w:tcBorders>
            <w:noWrap w:val="0"/>
            <w:vAlign w:val="center"/>
          </w:tcPr>
          <w:p w14:paraId="721BC2D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386" w:type="pct"/>
            <w:tcBorders>
              <w:tl2br w:val="nil"/>
              <w:tr2bl w:val="nil"/>
            </w:tcBorders>
            <w:noWrap w:val="0"/>
            <w:vAlign w:val="center"/>
          </w:tcPr>
          <w:p w14:paraId="393835B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草甸</w:t>
            </w:r>
            <w:r>
              <w:rPr>
                <w:rFonts w:hint="eastAsia" w:ascii="Times New Roman" w:hAnsi="Times New Roman" w:eastAsia="宋体" w:cs="Times New Roman"/>
                <w:color w:val="auto"/>
                <w:spacing w:val="0"/>
                <w:sz w:val="21"/>
                <w:szCs w:val="21"/>
                <w:highlight w:val="none"/>
                <w:lang w:val="en-US" w:eastAsia="zh-CN"/>
              </w:rPr>
              <w:t>黑土</w:t>
            </w:r>
          </w:p>
        </w:tc>
        <w:tc>
          <w:tcPr>
            <w:tcW w:w="754" w:type="pct"/>
            <w:tcBorders>
              <w:tl2br w:val="nil"/>
              <w:tr2bl w:val="nil"/>
            </w:tcBorders>
            <w:noWrap w:val="0"/>
            <w:vAlign w:val="center"/>
          </w:tcPr>
          <w:p w14:paraId="57E284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储煤场</w:t>
            </w:r>
          </w:p>
        </w:tc>
        <w:tc>
          <w:tcPr>
            <w:tcW w:w="2192" w:type="pct"/>
            <w:vMerge w:val="restart"/>
            <w:tcBorders>
              <w:tl2br w:val="nil"/>
              <w:tr2bl w:val="nil"/>
            </w:tcBorders>
            <w:noWrap w:val="0"/>
            <w:vAlign w:val="center"/>
          </w:tcPr>
          <w:p w14:paraId="6A9A2D98">
            <w:pPr>
              <w:pStyle w:val="112"/>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rFonts w:hint="default" w:ascii="Times New Roman" w:hAnsi="Times New Roman" w:eastAsia="宋体" w:cs="Times New Roman"/>
                <w:b w:val="0"/>
                <w:bCs w:val="0"/>
                <w:color w:val="auto"/>
                <w:sz w:val="21"/>
                <w:szCs w:val="21"/>
                <w:highlight w:val="none"/>
                <w:lang w:val="en-US"/>
              </w:rPr>
            </w:pPr>
            <w:r>
              <w:rPr>
                <w:rFonts w:hint="default" w:ascii="Times New Roman" w:hAnsi="Times New Roman" w:eastAsia="宋体" w:cs="Times New Roman"/>
                <w:b w:val="0"/>
                <w:bCs w:val="0"/>
                <w:color w:val="auto"/>
                <w:sz w:val="21"/>
                <w:szCs w:val="21"/>
                <w:highlight w:val="none"/>
              </w:rPr>
              <w:t>砷、镉、铬（六价）、铜、铅、汞、镍、四氯化碳、氯仿、氯甲烷、1,1-二氯乙烷、1,2-二氯乙烷、1,1-二氯乙烯、顺-1,2-二氯乙烯、反-1,2-二氯乙烯、二氯甲烷、1,2-二氯丙烷、1,1,1,2-四氯乙烷、1,1,2,2-四氯乙烷、四氯乙烯、1,1,1-三氯乙烷、1,1,2-三氯乙烷、三氯乙烯、1,2,3-三氯丙烷、氯乙烯、苯、氯苯、1,2-二氯苯、1,4-二氯苯、乙苯、苯乙烯、甲苯、间二甲苯+对二甲苯、邻二甲苯、硝基苯、苯胺、2-氯酚、苯并[a]蒽、苯并[a]芘、苯并[b]荧蒽、苯并[k]荧蒽、䓛（又名1，2-苯并菲）、二苯并[a,h]蒽、茚并[1,2,3-cd]芘、萘</w:t>
            </w:r>
            <w:r>
              <w:rPr>
                <w:rFonts w:hint="default" w:ascii="Times New Roman" w:hAnsi="Times New Roman" w:eastAsia="宋体" w:cs="Times New Roman"/>
                <w:b w:val="0"/>
                <w:bCs w:val="0"/>
                <w:color w:val="auto"/>
                <w:sz w:val="21"/>
                <w:szCs w:val="21"/>
                <w:highlight w:val="none"/>
                <w:lang w:eastAsia="zh-CN"/>
              </w:rPr>
              <w:t>、</w:t>
            </w:r>
            <w:r>
              <w:rPr>
                <w:rFonts w:hint="default" w:ascii="Times New Roman" w:hAnsi="Times New Roman" w:eastAsia="宋体" w:cs="Times New Roman"/>
                <w:b w:val="0"/>
                <w:bCs w:val="0"/>
                <w:color w:val="auto"/>
                <w:sz w:val="21"/>
                <w:szCs w:val="21"/>
                <w:highlight w:val="none"/>
                <w:lang w:val="en-US" w:eastAsia="zh-CN"/>
              </w:rPr>
              <w:t>pH、石油烃</w:t>
            </w:r>
          </w:p>
        </w:tc>
        <w:tc>
          <w:tcPr>
            <w:tcW w:w="367" w:type="pct"/>
            <w:tcBorders>
              <w:tl2br w:val="nil"/>
              <w:tr2bl w:val="nil"/>
            </w:tcBorders>
            <w:noWrap w:val="0"/>
            <w:vAlign w:val="center"/>
          </w:tcPr>
          <w:p w14:paraId="2C911C00">
            <w:pPr>
              <w:pStyle w:val="112"/>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表层样</w:t>
            </w:r>
          </w:p>
        </w:tc>
        <w:tc>
          <w:tcPr>
            <w:tcW w:w="680" w:type="pct"/>
            <w:tcBorders>
              <w:tl2br w:val="nil"/>
              <w:tr2bl w:val="nil"/>
            </w:tcBorders>
            <w:noWrap w:val="0"/>
            <w:vAlign w:val="center"/>
          </w:tcPr>
          <w:p w14:paraId="679FDA73">
            <w:pPr>
              <w:pStyle w:val="112"/>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0~0.2 m</w:t>
            </w:r>
          </w:p>
        </w:tc>
      </w:tr>
      <w:tr w14:paraId="08AAD5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246" w:type="pct"/>
            <w:tcBorders>
              <w:tl2br w:val="nil"/>
              <w:tr2bl w:val="nil"/>
            </w:tcBorders>
            <w:noWrap w:val="0"/>
            <w:vAlign w:val="center"/>
          </w:tcPr>
          <w:p w14:paraId="5244784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372" w:type="pct"/>
            <w:tcBorders>
              <w:tl2br w:val="nil"/>
              <w:tr2bl w:val="nil"/>
            </w:tcBorders>
            <w:noWrap w:val="0"/>
            <w:vAlign w:val="center"/>
          </w:tcPr>
          <w:p w14:paraId="2DD32B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386" w:type="pct"/>
            <w:tcBorders>
              <w:tl2br w:val="nil"/>
              <w:tr2bl w:val="nil"/>
            </w:tcBorders>
            <w:noWrap w:val="0"/>
            <w:vAlign w:val="center"/>
          </w:tcPr>
          <w:p w14:paraId="053796F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草甸</w:t>
            </w:r>
            <w:r>
              <w:rPr>
                <w:rFonts w:hint="eastAsia" w:ascii="Times New Roman" w:hAnsi="Times New Roman" w:eastAsia="宋体" w:cs="Times New Roman"/>
                <w:color w:val="auto"/>
                <w:spacing w:val="0"/>
                <w:sz w:val="21"/>
                <w:szCs w:val="21"/>
                <w:highlight w:val="none"/>
                <w:lang w:val="en-US" w:eastAsia="zh-CN"/>
              </w:rPr>
              <w:t>黑土</w:t>
            </w:r>
          </w:p>
        </w:tc>
        <w:tc>
          <w:tcPr>
            <w:tcW w:w="754" w:type="pct"/>
            <w:tcBorders>
              <w:tl2br w:val="nil"/>
              <w:tr2bl w:val="nil"/>
            </w:tcBorders>
            <w:noWrap w:val="0"/>
            <w:vAlign w:val="center"/>
          </w:tcPr>
          <w:p w14:paraId="71319A3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水处理间东侧</w:t>
            </w:r>
          </w:p>
        </w:tc>
        <w:tc>
          <w:tcPr>
            <w:tcW w:w="2192" w:type="pct"/>
            <w:vMerge w:val="continue"/>
            <w:tcBorders>
              <w:tl2br w:val="nil"/>
              <w:tr2bl w:val="nil"/>
            </w:tcBorders>
            <w:noWrap w:val="0"/>
            <w:vAlign w:val="center"/>
          </w:tcPr>
          <w:p w14:paraId="3E4F428E">
            <w:pPr>
              <w:pStyle w:val="112"/>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rFonts w:hint="default" w:ascii="Times New Roman" w:hAnsi="Times New Roman" w:eastAsia="宋体" w:cs="Times New Roman"/>
                <w:b w:val="0"/>
                <w:bCs w:val="0"/>
                <w:color w:val="auto"/>
                <w:sz w:val="21"/>
                <w:szCs w:val="21"/>
                <w:highlight w:val="none"/>
              </w:rPr>
            </w:pPr>
          </w:p>
        </w:tc>
        <w:tc>
          <w:tcPr>
            <w:tcW w:w="367" w:type="pct"/>
            <w:tcBorders>
              <w:tl2br w:val="nil"/>
              <w:tr2bl w:val="nil"/>
            </w:tcBorders>
            <w:noWrap w:val="0"/>
            <w:vAlign w:val="center"/>
          </w:tcPr>
          <w:p w14:paraId="68E335C1">
            <w:pPr>
              <w:pStyle w:val="112"/>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表层样</w:t>
            </w:r>
          </w:p>
        </w:tc>
        <w:tc>
          <w:tcPr>
            <w:tcW w:w="680" w:type="pct"/>
            <w:tcBorders>
              <w:tl2br w:val="nil"/>
              <w:tr2bl w:val="nil"/>
            </w:tcBorders>
            <w:noWrap w:val="0"/>
            <w:vAlign w:val="center"/>
          </w:tcPr>
          <w:p w14:paraId="564B656B">
            <w:pPr>
              <w:pStyle w:val="112"/>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0~0.2 m</w:t>
            </w:r>
          </w:p>
        </w:tc>
      </w:tr>
      <w:tr w14:paraId="379C6C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6" w:type="pct"/>
            <w:tcBorders>
              <w:tl2br w:val="nil"/>
              <w:tr2bl w:val="nil"/>
            </w:tcBorders>
            <w:noWrap w:val="0"/>
            <w:vAlign w:val="center"/>
          </w:tcPr>
          <w:p w14:paraId="0A36243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w:t>
            </w:r>
          </w:p>
        </w:tc>
        <w:tc>
          <w:tcPr>
            <w:tcW w:w="372" w:type="pct"/>
            <w:tcBorders>
              <w:tl2br w:val="nil"/>
              <w:tr2bl w:val="nil"/>
            </w:tcBorders>
            <w:noWrap w:val="0"/>
            <w:vAlign w:val="center"/>
          </w:tcPr>
          <w:p w14:paraId="26A2FB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386" w:type="pct"/>
            <w:tcBorders>
              <w:tl2br w:val="nil"/>
              <w:tr2bl w:val="nil"/>
            </w:tcBorders>
            <w:noWrap w:val="0"/>
            <w:vAlign w:val="center"/>
          </w:tcPr>
          <w:p w14:paraId="7401590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草甸</w:t>
            </w:r>
            <w:r>
              <w:rPr>
                <w:rFonts w:hint="eastAsia" w:ascii="Times New Roman" w:hAnsi="Times New Roman" w:eastAsia="宋体" w:cs="Times New Roman"/>
                <w:color w:val="auto"/>
                <w:spacing w:val="0"/>
                <w:sz w:val="21"/>
                <w:szCs w:val="21"/>
                <w:highlight w:val="none"/>
                <w:lang w:val="en-US" w:eastAsia="zh-CN"/>
              </w:rPr>
              <w:t>黑土</w:t>
            </w:r>
          </w:p>
        </w:tc>
        <w:tc>
          <w:tcPr>
            <w:tcW w:w="754" w:type="pct"/>
            <w:tcBorders>
              <w:tl2br w:val="nil"/>
              <w:tr2bl w:val="nil"/>
            </w:tcBorders>
            <w:noWrap w:val="0"/>
            <w:vAlign w:val="center"/>
          </w:tcPr>
          <w:p w14:paraId="52D3841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危废贮存库北侧</w:t>
            </w:r>
          </w:p>
        </w:tc>
        <w:tc>
          <w:tcPr>
            <w:tcW w:w="2192" w:type="pct"/>
            <w:vMerge w:val="continue"/>
            <w:tcBorders>
              <w:tl2br w:val="nil"/>
              <w:tr2bl w:val="nil"/>
            </w:tcBorders>
            <w:noWrap w:val="0"/>
            <w:vAlign w:val="center"/>
          </w:tcPr>
          <w:p w14:paraId="1DADE025">
            <w:pPr>
              <w:pStyle w:val="112"/>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rFonts w:hint="default" w:ascii="Times New Roman" w:hAnsi="Times New Roman" w:eastAsia="宋体" w:cs="Times New Roman"/>
                <w:b w:val="0"/>
                <w:bCs w:val="0"/>
                <w:color w:val="auto"/>
                <w:sz w:val="21"/>
                <w:szCs w:val="21"/>
                <w:highlight w:val="none"/>
                <w:lang w:eastAsia="zh-CN"/>
              </w:rPr>
            </w:pPr>
          </w:p>
        </w:tc>
        <w:tc>
          <w:tcPr>
            <w:tcW w:w="367" w:type="pct"/>
            <w:tcBorders>
              <w:tl2br w:val="nil"/>
              <w:tr2bl w:val="nil"/>
            </w:tcBorders>
            <w:noWrap w:val="0"/>
            <w:vAlign w:val="center"/>
          </w:tcPr>
          <w:p w14:paraId="31B7E2AC">
            <w:pPr>
              <w:pStyle w:val="112"/>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表层样</w:t>
            </w:r>
          </w:p>
        </w:tc>
        <w:tc>
          <w:tcPr>
            <w:tcW w:w="680" w:type="pct"/>
            <w:tcBorders>
              <w:tl2br w:val="nil"/>
              <w:tr2bl w:val="nil"/>
            </w:tcBorders>
            <w:noWrap w:val="0"/>
            <w:vAlign w:val="center"/>
          </w:tcPr>
          <w:p w14:paraId="09AF0B6B">
            <w:pPr>
              <w:pStyle w:val="112"/>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0~0.2 m</w:t>
            </w:r>
          </w:p>
        </w:tc>
      </w:tr>
      <w:tr w14:paraId="6D0D68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6" w:type="pct"/>
            <w:tcBorders>
              <w:tl2br w:val="nil"/>
              <w:tr2bl w:val="nil"/>
            </w:tcBorders>
            <w:noWrap w:val="0"/>
            <w:vAlign w:val="center"/>
          </w:tcPr>
          <w:p w14:paraId="415879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w:t>
            </w:r>
          </w:p>
        </w:tc>
        <w:tc>
          <w:tcPr>
            <w:tcW w:w="372" w:type="pct"/>
            <w:tcBorders>
              <w:tl2br w:val="nil"/>
              <w:tr2bl w:val="nil"/>
            </w:tcBorders>
            <w:noWrap w:val="0"/>
            <w:vAlign w:val="center"/>
          </w:tcPr>
          <w:p w14:paraId="05E215A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386" w:type="pct"/>
            <w:tcBorders>
              <w:tl2br w:val="nil"/>
              <w:tr2bl w:val="nil"/>
            </w:tcBorders>
            <w:noWrap w:val="0"/>
            <w:vAlign w:val="center"/>
          </w:tcPr>
          <w:p w14:paraId="3B95404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草甸</w:t>
            </w:r>
            <w:r>
              <w:rPr>
                <w:rFonts w:hint="eastAsia" w:ascii="Times New Roman" w:hAnsi="Times New Roman" w:eastAsia="宋体" w:cs="Times New Roman"/>
                <w:color w:val="auto"/>
                <w:spacing w:val="0"/>
                <w:sz w:val="21"/>
                <w:szCs w:val="21"/>
                <w:highlight w:val="none"/>
                <w:lang w:val="en-US" w:eastAsia="zh-CN"/>
              </w:rPr>
              <w:t>黑土</w:t>
            </w:r>
          </w:p>
        </w:tc>
        <w:tc>
          <w:tcPr>
            <w:tcW w:w="754" w:type="pct"/>
            <w:tcBorders>
              <w:tl2br w:val="nil"/>
              <w:tr2bl w:val="nil"/>
            </w:tcBorders>
            <w:noWrap w:val="0"/>
            <w:vAlign w:val="center"/>
          </w:tcPr>
          <w:p w14:paraId="42DE03A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厂址上风向</w:t>
            </w:r>
          </w:p>
        </w:tc>
        <w:tc>
          <w:tcPr>
            <w:tcW w:w="2192" w:type="pct"/>
            <w:vMerge w:val="continue"/>
            <w:tcBorders>
              <w:tl2br w:val="nil"/>
              <w:tr2bl w:val="nil"/>
            </w:tcBorders>
            <w:noWrap w:val="0"/>
            <w:vAlign w:val="center"/>
          </w:tcPr>
          <w:p w14:paraId="327CCE28">
            <w:pPr>
              <w:pStyle w:val="112"/>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rFonts w:hint="default" w:ascii="Times New Roman" w:hAnsi="Times New Roman" w:eastAsia="宋体" w:cs="Times New Roman"/>
                <w:b w:val="0"/>
                <w:bCs w:val="0"/>
                <w:color w:val="auto"/>
                <w:sz w:val="21"/>
                <w:szCs w:val="21"/>
                <w:highlight w:val="none"/>
                <w:lang w:eastAsia="zh-CN"/>
              </w:rPr>
            </w:pPr>
          </w:p>
        </w:tc>
        <w:tc>
          <w:tcPr>
            <w:tcW w:w="367" w:type="pct"/>
            <w:tcBorders>
              <w:tl2br w:val="nil"/>
              <w:tr2bl w:val="nil"/>
            </w:tcBorders>
            <w:noWrap w:val="0"/>
            <w:vAlign w:val="center"/>
          </w:tcPr>
          <w:p w14:paraId="65D4899B">
            <w:pPr>
              <w:pStyle w:val="112"/>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表层样</w:t>
            </w:r>
          </w:p>
        </w:tc>
        <w:tc>
          <w:tcPr>
            <w:tcW w:w="680" w:type="pct"/>
            <w:tcBorders>
              <w:tl2br w:val="nil"/>
              <w:tr2bl w:val="nil"/>
            </w:tcBorders>
            <w:noWrap w:val="0"/>
            <w:vAlign w:val="center"/>
          </w:tcPr>
          <w:p w14:paraId="536C1376">
            <w:pPr>
              <w:pStyle w:val="112"/>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0~0.2 m</w:t>
            </w:r>
          </w:p>
        </w:tc>
      </w:tr>
      <w:tr w14:paraId="19CE6B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6" w:type="pct"/>
            <w:tcBorders>
              <w:tl2br w:val="nil"/>
              <w:tr2bl w:val="nil"/>
            </w:tcBorders>
            <w:noWrap w:val="0"/>
            <w:vAlign w:val="center"/>
          </w:tcPr>
          <w:p w14:paraId="20F6B9F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w:t>
            </w:r>
          </w:p>
        </w:tc>
        <w:tc>
          <w:tcPr>
            <w:tcW w:w="372" w:type="pct"/>
            <w:tcBorders>
              <w:tl2br w:val="nil"/>
              <w:tr2bl w:val="nil"/>
            </w:tcBorders>
            <w:noWrap w:val="0"/>
            <w:vAlign w:val="center"/>
          </w:tcPr>
          <w:p w14:paraId="6448128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386" w:type="pct"/>
            <w:tcBorders>
              <w:tl2br w:val="nil"/>
              <w:tr2bl w:val="nil"/>
            </w:tcBorders>
            <w:noWrap w:val="0"/>
            <w:vAlign w:val="center"/>
          </w:tcPr>
          <w:p w14:paraId="75125DA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草甸黑土</w:t>
            </w:r>
          </w:p>
        </w:tc>
        <w:tc>
          <w:tcPr>
            <w:tcW w:w="754" w:type="pct"/>
            <w:tcBorders>
              <w:tl2br w:val="nil"/>
              <w:tr2bl w:val="nil"/>
            </w:tcBorders>
            <w:noWrap w:val="0"/>
            <w:vAlign w:val="center"/>
          </w:tcPr>
          <w:p w14:paraId="46676E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厂址下风向</w:t>
            </w:r>
          </w:p>
        </w:tc>
        <w:tc>
          <w:tcPr>
            <w:tcW w:w="2192" w:type="pct"/>
            <w:tcBorders>
              <w:tl2br w:val="nil"/>
              <w:tr2bl w:val="nil"/>
            </w:tcBorders>
            <w:noWrap w:val="0"/>
            <w:vAlign w:val="center"/>
          </w:tcPr>
          <w:p w14:paraId="766CEACB">
            <w:pPr>
              <w:pStyle w:val="112"/>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lang w:val="en-US" w:eastAsia="zh-CN"/>
              </w:rPr>
              <w:t>pH</w:t>
            </w:r>
            <w:r>
              <w:rPr>
                <w:rFonts w:hint="default" w:ascii="Times New Roman" w:hAnsi="Times New Roman" w:eastAsia="宋体" w:cs="Times New Roman"/>
                <w:b w:val="0"/>
                <w:bCs w:val="0"/>
                <w:color w:val="auto"/>
                <w:sz w:val="21"/>
                <w:szCs w:val="21"/>
                <w:highlight w:val="none"/>
                <w:lang w:eastAsia="zh-CN"/>
              </w:rPr>
              <w:t>、镉、汞、砷、铅、铬、铜、镍、锌</w:t>
            </w:r>
          </w:p>
        </w:tc>
        <w:tc>
          <w:tcPr>
            <w:tcW w:w="367" w:type="pct"/>
            <w:tcBorders>
              <w:tl2br w:val="nil"/>
              <w:tr2bl w:val="nil"/>
            </w:tcBorders>
            <w:noWrap w:val="0"/>
            <w:vAlign w:val="center"/>
          </w:tcPr>
          <w:p w14:paraId="496B41D2">
            <w:pPr>
              <w:pStyle w:val="112"/>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表层样</w:t>
            </w:r>
          </w:p>
        </w:tc>
        <w:tc>
          <w:tcPr>
            <w:tcW w:w="680" w:type="pct"/>
            <w:tcBorders>
              <w:tl2br w:val="nil"/>
              <w:tr2bl w:val="nil"/>
            </w:tcBorders>
            <w:noWrap w:val="0"/>
            <w:vAlign w:val="center"/>
          </w:tcPr>
          <w:p w14:paraId="095D2A7F">
            <w:pPr>
              <w:pStyle w:val="112"/>
              <w:keepNext w:val="0"/>
              <w:keepLines w:val="0"/>
              <w:pageBreakBefore w:val="0"/>
              <w:widowControl w:val="0"/>
              <w:kinsoku/>
              <w:wordWrap/>
              <w:overflowPunct/>
              <w:topLinePunct w:val="0"/>
              <w:autoSpaceDE/>
              <w:autoSpaceDN/>
              <w:bidi w:val="0"/>
              <w:adjustRightInd w:val="0"/>
              <w:snapToGrid w:val="0"/>
              <w:spacing w:before="0" w:after="0" w:line="240" w:lineRule="auto"/>
              <w:ind w:firstLine="0" w:firstLineChars="0"/>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0~0.2 m</w:t>
            </w:r>
          </w:p>
        </w:tc>
      </w:tr>
    </w:tbl>
    <w:p w14:paraId="3A939A14">
      <w:pPr>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drawing>
          <wp:anchor distT="0" distB="0" distL="114300" distR="114300" simplePos="0" relativeHeight="251668480" behindDoc="0" locked="0" layoutInCell="1" allowOverlap="1">
            <wp:simplePos x="0" y="0"/>
            <wp:positionH relativeFrom="column">
              <wp:posOffset>22860</wp:posOffset>
            </wp:positionH>
            <wp:positionV relativeFrom="paragraph">
              <wp:posOffset>47625</wp:posOffset>
            </wp:positionV>
            <wp:extent cx="750570" cy="891540"/>
            <wp:effectExtent l="0" t="0" r="11430" b="3810"/>
            <wp:wrapNone/>
            <wp:docPr id="14"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9"/>
                    <pic:cNvPicPr>
                      <a:picLocks noChangeAspect="1"/>
                    </pic:cNvPicPr>
                  </pic:nvPicPr>
                  <pic:blipFill>
                    <a:blip r:embed="rId23"/>
                    <a:stretch>
                      <a:fillRect/>
                    </a:stretch>
                  </pic:blipFill>
                  <pic:spPr>
                    <a:xfrm>
                      <a:off x="0" y="0"/>
                      <a:ext cx="750570" cy="891540"/>
                    </a:xfrm>
                    <a:prstGeom prst="rect">
                      <a:avLst/>
                    </a:prstGeom>
                    <a:noFill/>
                    <a:ln>
                      <a:noFill/>
                    </a:ln>
                  </pic:spPr>
                </pic:pic>
              </a:graphicData>
            </a:graphic>
          </wp:anchor>
        </w:drawing>
      </w:r>
      <w:r>
        <w:rPr>
          <w:rFonts w:hint="eastAsia" w:ascii="Times New Roman" w:hAnsi="Times New Roman" w:cs="Times New Roman" w:eastAsiaTheme="minorEastAsia"/>
          <w:color w:val="auto"/>
          <w:highlight w:val="none"/>
          <w:lang w:eastAsia="zh-CN"/>
        </w:rPr>
        <w:drawing>
          <wp:inline distT="0" distB="0" distL="114300" distR="114300">
            <wp:extent cx="4805680" cy="5024755"/>
            <wp:effectExtent l="0" t="0" r="13970" b="4445"/>
            <wp:docPr id="12"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8"/>
                    <pic:cNvPicPr>
                      <a:picLocks noChangeAspect="1"/>
                    </pic:cNvPicPr>
                  </pic:nvPicPr>
                  <pic:blipFill>
                    <a:blip r:embed="rId92"/>
                    <a:stretch>
                      <a:fillRect/>
                    </a:stretch>
                  </pic:blipFill>
                  <pic:spPr>
                    <a:xfrm>
                      <a:off x="0" y="0"/>
                      <a:ext cx="4805680" cy="5024755"/>
                    </a:xfrm>
                    <a:prstGeom prst="rect">
                      <a:avLst/>
                    </a:prstGeom>
                    <a:noFill/>
                    <a:ln>
                      <a:noFill/>
                    </a:ln>
                  </pic:spPr>
                </pic:pic>
              </a:graphicData>
            </a:graphic>
          </wp:inline>
        </w:drawing>
      </w:r>
    </w:p>
    <w:p w14:paraId="3A6C7DB2">
      <w:pPr>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图</w:t>
      </w:r>
      <w:r>
        <w:rPr>
          <w:rFonts w:hint="default" w:ascii="Times New Roman" w:hAnsi="Times New Roman" w:eastAsia="宋体" w:cs="Times New Roman"/>
          <w:color w:val="auto"/>
          <w:highlight w:val="none"/>
          <w:lang w:val="en-US" w:eastAsia="zh-CN"/>
        </w:rPr>
        <w:t>5.2-</w:t>
      </w:r>
      <w:r>
        <w:rPr>
          <w:rFonts w:hint="eastAsia"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厂内土壤监测点位布置图</w:t>
      </w:r>
    </w:p>
    <w:p w14:paraId="33AE4D2C">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监测项目</w:t>
      </w:r>
    </w:p>
    <w:p w14:paraId="5FCB5F54">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建设用地监测因子：砷、镉、铬（六价）、铜、铅、汞、镍、四氯化碳、氯仿、氯甲烷、1,1-二氯乙烷、1,2-二氯乙烷、1,1-二氯乙烯、顺-1,2-二氯乙烯、反-1,2-二氯乙烯、二氯甲烷、1,2-二氯丙烷、1,1,1,2-四氯乙烷、1,1,2,2-四氯乙烷、四氯乙烯、1,1,1-三氯乙烷、1,1,2-三氯乙烷、三氯乙烯、1,2,3-三氯丙烷、氯乙烯、氯苯、1,2-二氯苯、1,4-二氯苯、乙苯、苯乙烯、硝基苯、苯胺、2-氯酚、苯并[a]蒽、苯并[a]芘、苯并[b]荧蒽、苯并[k]荧蒽、䓛（又名1，2-苯并菲）、二苯并[a,h]蒽、茚并[1,2,3-cd]芘、萘、苯、甲苯、间二甲苯+对二甲苯、邻二甲苯、pH共4</w:t>
      </w:r>
      <w:r>
        <w:rPr>
          <w:rFonts w:hint="default" w:ascii="Times New Roman" w:hAnsi="Times New Roman" w:eastAsia="宋体" w:cs="Times New Roman"/>
          <w:color w:val="auto"/>
          <w:highlight w:val="none"/>
          <w:lang w:val="en-US" w:eastAsia="zh-CN"/>
        </w:rPr>
        <w:t>6</w:t>
      </w:r>
      <w:r>
        <w:rPr>
          <w:rFonts w:hint="default" w:ascii="Times New Roman" w:hAnsi="Times New Roman" w:eastAsia="宋体" w:cs="Times New Roman"/>
          <w:color w:val="auto"/>
          <w:highlight w:val="none"/>
        </w:rPr>
        <w:t>项。</w:t>
      </w:r>
    </w:p>
    <w:p w14:paraId="04AB52B1">
      <w:pPr>
        <w:ind w:firstLine="48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农用地监测因子：pH、镉、汞、砷、铅、铬、铜、镍、锌共9项。</w:t>
      </w:r>
    </w:p>
    <w:p w14:paraId="73B8AB5D">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现状监测结果</w:t>
      </w:r>
    </w:p>
    <w:p w14:paraId="6CFDA916">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土壤环境现状监测结果见</w:t>
      </w:r>
      <w:r>
        <w:rPr>
          <w:rFonts w:hint="eastAsia" w:ascii="Times New Roman" w:hAnsi="Times New Roman" w:eastAsia="宋体" w:cs="Times New Roman"/>
          <w:color w:val="auto"/>
          <w:highlight w:val="none"/>
          <w:lang w:val="en-US" w:eastAsia="zh-CN"/>
        </w:rPr>
        <w:t>下表</w:t>
      </w:r>
      <w:r>
        <w:rPr>
          <w:rFonts w:hint="default" w:ascii="Times New Roman" w:hAnsi="Times New Roman" w:eastAsia="宋体" w:cs="Times New Roman"/>
          <w:color w:val="auto"/>
          <w:highlight w:val="none"/>
        </w:rPr>
        <w:t>。</w:t>
      </w:r>
    </w:p>
    <w:p w14:paraId="218FC7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表5.2-</w:t>
      </w:r>
      <w:r>
        <w:rPr>
          <w:rFonts w:hint="eastAsia" w:ascii="Times New Roman" w:hAnsi="Times New Roman" w:eastAsia="宋体" w:cs="Times New Roman"/>
          <w:color w:val="auto"/>
          <w:highlight w:val="none"/>
          <w:lang w:val="en-US" w:eastAsia="zh-CN"/>
        </w:rPr>
        <w:t>6</w:t>
      </w:r>
      <w:r>
        <w:rPr>
          <w:rFonts w:hint="default" w:ascii="Times New Roman" w:hAnsi="Times New Roman" w:eastAsia="宋体" w:cs="Times New Roman"/>
          <w:color w:val="auto"/>
          <w:highlight w:val="none"/>
          <w:lang w:val="en-US" w:eastAsia="zh-CN"/>
        </w:rPr>
        <w:t xml:space="preserve"> </w:t>
      </w:r>
      <w:r>
        <w:rPr>
          <w:rFonts w:hint="eastAsia"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lang w:val="en-US" w:eastAsia="zh-CN"/>
        </w:rPr>
        <w:t>1#～</w:t>
      </w:r>
      <w:r>
        <w:rPr>
          <w:rFonts w:hint="eastAsia"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lang w:val="en-US" w:eastAsia="zh-CN"/>
        </w:rPr>
        <w:t>#监测点土壤监测结果表</w:t>
      </w:r>
    </w:p>
    <w:tbl>
      <w:tblPr>
        <w:tblStyle w:val="3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20"/>
        <w:gridCol w:w="1119"/>
        <w:gridCol w:w="1210"/>
        <w:gridCol w:w="1316"/>
        <w:gridCol w:w="1225"/>
        <w:gridCol w:w="937"/>
        <w:gridCol w:w="1023"/>
      </w:tblGrid>
      <w:tr w14:paraId="5B516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41" w:type="pct"/>
            <w:tcBorders>
              <w:top w:val="single" w:color="000000" w:sz="12" w:space="0"/>
              <w:left w:val="nil"/>
              <w:bottom w:val="single" w:color="000000" w:sz="4" w:space="0"/>
              <w:right w:val="single" w:color="000000" w:sz="4" w:space="0"/>
            </w:tcBorders>
            <w:shd w:val="clear" w:color="auto" w:fill="auto"/>
            <w:noWrap/>
            <w:vAlign w:val="center"/>
          </w:tcPr>
          <w:p w14:paraId="344B0A6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21"/>
                <w:szCs w:val="21"/>
                <w:highlight w:val="none"/>
                <w:u w:val="none"/>
                <w:lang w:val="en-US" w:eastAsia="zh-CN"/>
              </w:rPr>
            </w:pPr>
            <w:r>
              <w:rPr>
                <w:rFonts w:hint="default" w:ascii="Times New Roman" w:hAnsi="Times New Roman" w:eastAsia="宋体" w:cs="Times New Roman"/>
                <w:i w:val="0"/>
                <w:iCs w:val="0"/>
                <w:color w:val="000000"/>
                <w:sz w:val="21"/>
                <w:szCs w:val="21"/>
                <w:highlight w:val="none"/>
                <w:u w:val="none"/>
                <w:lang w:val="en-US" w:eastAsia="zh-CN"/>
              </w:rPr>
              <w:t>检测项目</w:t>
            </w:r>
          </w:p>
        </w:tc>
        <w:tc>
          <w:tcPr>
            <w:tcW w:w="632" w:type="pct"/>
            <w:tcBorders>
              <w:top w:val="single" w:color="000000" w:sz="12" w:space="0"/>
              <w:left w:val="single" w:color="000000" w:sz="4" w:space="0"/>
              <w:bottom w:val="single" w:color="000000" w:sz="4" w:space="0"/>
              <w:right w:val="single" w:color="000000" w:sz="4" w:space="0"/>
            </w:tcBorders>
            <w:shd w:val="clear" w:color="auto" w:fill="auto"/>
            <w:noWrap/>
            <w:vAlign w:val="center"/>
          </w:tcPr>
          <w:p w14:paraId="603658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1#厂区</w:t>
            </w:r>
          </w:p>
          <w:p w14:paraId="5CF571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北侧空地</w:t>
            </w:r>
          </w:p>
        </w:tc>
        <w:tc>
          <w:tcPr>
            <w:tcW w:w="683" w:type="pct"/>
            <w:tcBorders>
              <w:top w:val="single" w:color="000000" w:sz="12" w:space="0"/>
              <w:left w:val="single" w:color="000000" w:sz="4" w:space="0"/>
              <w:bottom w:val="single" w:color="000000" w:sz="4" w:space="0"/>
              <w:right w:val="single" w:color="000000" w:sz="4" w:space="0"/>
            </w:tcBorders>
            <w:shd w:val="clear" w:color="auto" w:fill="auto"/>
            <w:noWrap/>
            <w:vAlign w:val="center"/>
          </w:tcPr>
          <w:p w14:paraId="23D0AE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2#厂区</w:t>
            </w:r>
          </w:p>
          <w:p w14:paraId="06D940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中部空地</w:t>
            </w:r>
          </w:p>
        </w:tc>
        <w:tc>
          <w:tcPr>
            <w:tcW w:w="743" w:type="pct"/>
            <w:tcBorders>
              <w:top w:val="single" w:color="000000" w:sz="12" w:space="0"/>
              <w:left w:val="single" w:color="000000" w:sz="4" w:space="0"/>
              <w:bottom w:val="single" w:color="000000" w:sz="4" w:space="0"/>
              <w:right w:val="single" w:color="000000" w:sz="4" w:space="0"/>
            </w:tcBorders>
            <w:shd w:val="clear" w:color="auto" w:fill="auto"/>
            <w:noWrap/>
            <w:vAlign w:val="center"/>
          </w:tcPr>
          <w:p w14:paraId="206DCA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3#厂区</w:t>
            </w:r>
          </w:p>
          <w:p w14:paraId="219266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南侧空地</w:t>
            </w:r>
          </w:p>
        </w:tc>
        <w:tc>
          <w:tcPr>
            <w:tcW w:w="692" w:type="pct"/>
            <w:tcBorders>
              <w:top w:val="single" w:color="000000" w:sz="12" w:space="0"/>
              <w:left w:val="single" w:color="000000" w:sz="4" w:space="0"/>
              <w:bottom w:val="single" w:color="000000" w:sz="4" w:space="0"/>
              <w:right w:val="single" w:color="000000" w:sz="4" w:space="0"/>
            </w:tcBorders>
            <w:shd w:val="clear" w:color="auto" w:fill="auto"/>
            <w:noWrap/>
            <w:vAlign w:val="center"/>
          </w:tcPr>
          <w:p w14:paraId="47517D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4#厂址</w:t>
            </w:r>
          </w:p>
          <w:p w14:paraId="037CB7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上风向</w:t>
            </w:r>
          </w:p>
        </w:tc>
        <w:tc>
          <w:tcPr>
            <w:tcW w:w="529" w:type="pct"/>
            <w:tcBorders>
              <w:top w:val="single" w:color="000000" w:sz="12" w:space="0"/>
              <w:left w:val="single" w:color="000000" w:sz="4" w:space="0"/>
              <w:bottom w:val="single" w:color="000000" w:sz="4" w:space="0"/>
              <w:right w:val="single" w:color="000000" w:sz="4" w:space="0"/>
            </w:tcBorders>
            <w:shd w:val="clear" w:color="auto" w:fill="auto"/>
            <w:noWrap/>
            <w:vAlign w:val="center"/>
          </w:tcPr>
          <w:p w14:paraId="13AC6E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标准</w:t>
            </w:r>
          </w:p>
          <w:p w14:paraId="18FC16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限值</w:t>
            </w:r>
          </w:p>
        </w:tc>
        <w:tc>
          <w:tcPr>
            <w:tcW w:w="577" w:type="pct"/>
            <w:tcBorders>
              <w:top w:val="single" w:color="000000" w:sz="12" w:space="0"/>
              <w:left w:val="single" w:color="000000" w:sz="4" w:space="0"/>
              <w:bottom w:val="single" w:color="000000" w:sz="4" w:space="0"/>
              <w:right w:val="nil"/>
            </w:tcBorders>
            <w:shd w:val="clear" w:color="auto" w:fill="auto"/>
            <w:noWrap/>
            <w:vAlign w:val="center"/>
          </w:tcPr>
          <w:p w14:paraId="7E26EB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单位</w:t>
            </w:r>
          </w:p>
        </w:tc>
      </w:tr>
      <w:tr w14:paraId="56667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72C2F6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铜</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FB4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36</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B44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16</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E79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63</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AEF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19</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F46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18000</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17A02C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mg/kg</w:t>
            </w:r>
          </w:p>
        </w:tc>
      </w:tr>
      <w:tr w14:paraId="66E4D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11FDB1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镍</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A97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21</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354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15</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319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26</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BDE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15</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6B6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900</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3068EA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mg/kg</w:t>
            </w:r>
          </w:p>
        </w:tc>
      </w:tr>
      <w:tr w14:paraId="26FEC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52B25E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铅</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547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22</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58E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29</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ECD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B1A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22</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52F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800</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1219C1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mg/kg</w:t>
            </w:r>
          </w:p>
        </w:tc>
      </w:tr>
      <w:tr w14:paraId="4B73C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155AE7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镉</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47C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0.26</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056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0.15</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C66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0.22</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F45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0.17</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DD6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65</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496E49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mg/kg</w:t>
            </w:r>
          </w:p>
        </w:tc>
      </w:tr>
      <w:tr w14:paraId="190D7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307A95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六价铬</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4B2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ND(0.5)</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BEF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ND(0.5)</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006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ND(0.5)</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C50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ND(0.5)</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1D6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5.7</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56616F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mg/kg</w:t>
            </w:r>
          </w:p>
        </w:tc>
      </w:tr>
      <w:tr w14:paraId="1DB35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7AF359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pH值</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02A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7.34</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B17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7.76</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116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7.39</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9EB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7.52</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54B5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21"/>
                <w:szCs w:val="21"/>
                <w:highlight w:val="none"/>
                <w:u w:val="none"/>
              </w:rPr>
            </w:pPr>
          </w:p>
        </w:tc>
        <w:tc>
          <w:tcPr>
            <w:tcW w:w="577" w:type="pct"/>
            <w:tcBorders>
              <w:top w:val="single" w:color="000000" w:sz="4" w:space="0"/>
              <w:left w:val="single" w:color="000000" w:sz="4" w:space="0"/>
              <w:bottom w:val="single" w:color="000000" w:sz="4" w:space="0"/>
              <w:right w:val="nil"/>
            </w:tcBorders>
            <w:shd w:val="clear" w:color="auto" w:fill="auto"/>
            <w:vAlign w:val="center"/>
          </w:tcPr>
          <w:p w14:paraId="53BF15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无量纲</w:t>
            </w:r>
          </w:p>
        </w:tc>
      </w:tr>
      <w:tr w14:paraId="54B64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31FC97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阳离子交换量</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3C0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16.4</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D29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10.2</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0A4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28.6</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887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10.5</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8F17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21"/>
                <w:szCs w:val="21"/>
                <w:highlight w:val="none"/>
                <w:u w:val="none"/>
              </w:rPr>
            </w:pPr>
          </w:p>
        </w:tc>
        <w:tc>
          <w:tcPr>
            <w:tcW w:w="577" w:type="pct"/>
            <w:tcBorders>
              <w:top w:val="single" w:color="000000" w:sz="4" w:space="0"/>
              <w:left w:val="single" w:color="000000" w:sz="4" w:space="0"/>
              <w:bottom w:val="single" w:color="000000" w:sz="4" w:space="0"/>
              <w:right w:val="nil"/>
            </w:tcBorders>
            <w:shd w:val="clear" w:color="auto" w:fill="auto"/>
            <w:vAlign w:val="center"/>
          </w:tcPr>
          <w:p w14:paraId="014D8C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cmol/kg</w:t>
            </w:r>
          </w:p>
        </w:tc>
      </w:tr>
      <w:tr w14:paraId="3C576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06E952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砷</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116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6.84</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DB8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5.73</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4F9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6.94</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A62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4.01</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47D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60</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56DF43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mg/kg</w:t>
            </w:r>
          </w:p>
        </w:tc>
      </w:tr>
      <w:tr w14:paraId="2D93E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26008B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汞</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7A4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0.322</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59E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0.055</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A92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0.08</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D54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0.049</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71A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38</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0D7E11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mg/kg</w:t>
            </w:r>
          </w:p>
        </w:tc>
      </w:tr>
      <w:tr w14:paraId="38589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5DC600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石油烃</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E9B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153</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E07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32</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46A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33</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C83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29</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B74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4500</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5D5C9F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mg/kg</w:t>
            </w:r>
          </w:p>
        </w:tc>
      </w:tr>
      <w:tr w14:paraId="41381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0BAAA0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四氯化碳</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A96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ND(2.1)</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A59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ND(2.1)</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569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ND(2.1)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8C6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ND(2.1)</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7BA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2.8</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6AE13A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μg/kg</w:t>
            </w:r>
          </w:p>
        </w:tc>
      </w:tr>
      <w:tr w14:paraId="7B582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3307C3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氯仿</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85F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ND(1.5)</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273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ND(1.5)</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19B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ND(1.5)</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EC0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ND(1.5)</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58D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0.9</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1F4BA9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μg/kg</w:t>
            </w:r>
          </w:p>
        </w:tc>
      </w:tr>
      <w:tr w14:paraId="3BD11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378BB3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氯甲烷</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D0C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ND(3)</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0E7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ND(3)</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1C6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ND(3)</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ED9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ND(3)</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FFC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37</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3BE9A0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μg/kg</w:t>
            </w:r>
          </w:p>
        </w:tc>
      </w:tr>
      <w:tr w14:paraId="35617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148524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1,1-二氯乙烷</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788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ND(1.6)</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63D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ND(1.6)</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6B1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ND(1.6)</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B03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ND(1.6)</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D2D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9</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6778EB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μg/kg</w:t>
            </w:r>
          </w:p>
        </w:tc>
      </w:tr>
      <w:tr w14:paraId="37135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1F53F6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1,2-二氯乙烷</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99C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ND(1.3)</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F5E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ND(1.3)</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015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ND(1.3)</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629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ND(1.3)</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FCC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5</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50C62E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μg/kg</w:t>
            </w:r>
          </w:p>
        </w:tc>
      </w:tr>
      <w:tr w14:paraId="291E2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08CC51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1,1-二氯乙烯</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8E5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ND(0.8)</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97B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ND(0.8)</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4BF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ND(0.8)</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29B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ND(0.8)</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E1E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66</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17615B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μg/kg</w:t>
            </w:r>
          </w:p>
        </w:tc>
      </w:tr>
      <w:tr w14:paraId="247D2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1DC924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顺-1,2-二氯乙烯</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23D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ND(0.9)</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9E9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ND(0.9)</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77B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ND(0.9)</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9B7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ND(0.9)</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005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596</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50944C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μg/kg</w:t>
            </w:r>
          </w:p>
        </w:tc>
      </w:tr>
      <w:tr w14:paraId="68191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550DDD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反-1,2-二氯乙烯</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004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ND(0.9)</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B33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ND(0.9)</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F85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ND(0.9)</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748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ND(0.9)</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C93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54</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0925DB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μg/kg</w:t>
            </w:r>
          </w:p>
        </w:tc>
      </w:tr>
      <w:tr w14:paraId="74E2A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5E079D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二氯甲烷</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B9B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ND(2.6)</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EFF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ND(2.6)</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48A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ND(2.6)</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DD3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ND(2.6)</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834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616</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4DB614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μg/kg</w:t>
            </w:r>
          </w:p>
        </w:tc>
      </w:tr>
      <w:tr w14:paraId="4E7C3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5754A1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1,2-二氯丙烷</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D16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ND(1.9)</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4A2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ND(1.9)</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4D7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ND(1.9)</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B1C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ND(1.9)</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7F5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5</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5A49B1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μg/kg</w:t>
            </w:r>
          </w:p>
        </w:tc>
      </w:tr>
      <w:tr w14:paraId="5AB86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253148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1,1,1,2-四氯乙烷</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7A2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ND(1.0)</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383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ND(1.0)</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47C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ND(1.0)</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3F3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ND(1.0)</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05E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10</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6942E9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μg/kg</w:t>
            </w:r>
          </w:p>
        </w:tc>
      </w:tr>
      <w:tr w14:paraId="67672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5F6A1A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1,1,2,2-四氯乙烷</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35B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ND(1.0)</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D85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ND(1.0)</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9E2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ND(1.0)</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57F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ND(1.0)</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567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6.8</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5FE697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μg/kg</w:t>
            </w:r>
          </w:p>
        </w:tc>
      </w:tr>
      <w:tr w14:paraId="375C5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083077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四氯乙烯</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2C6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ND(0.8)</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491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ND(0.8)</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727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ND(0.8)</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0E8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ND(0.8)</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8D1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53</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054112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μg/kg</w:t>
            </w:r>
          </w:p>
        </w:tc>
      </w:tr>
      <w:tr w14:paraId="07F98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5B2E92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1,1,1-三氯乙烷</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D8A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ND(1.1)</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41E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ND(1.1)</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547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A0D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ND(1.1)</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0B8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840</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1D139D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μg/kg</w:t>
            </w:r>
          </w:p>
        </w:tc>
      </w:tr>
      <w:tr w14:paraId="69F63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5A22D4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1,1,2-三氯乙烷</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598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ND(1.4)</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403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ND(1.4)</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0B4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ND(1.4)</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D45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ND(1.4)</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B5A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2.8</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6EEB7D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μg/kg</w:t>
            </w:r>
          </w:p>
        </w:tc>
      </w:tr>
      <w:tr w14:paraId="24FFF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21E551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三氯乙烯</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6C9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ND(0.9)</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745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ND(0.9)</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8F5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ND(0.9)</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A74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ND(0.9)</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58A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2.8</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565CB8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μg/kg</w:t>
            </w:r>
          </w:p>
        </w:tc>
      </w:tr>
      <w:tr w14:paraId="2C025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7CC45C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1,2,3-三氯丙烷</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A6C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ND(1.0)</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C11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ND(1.0)</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9C0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ND(1.0)</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A5C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ND(1.0)</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370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0.5</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56EB58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μg/kg</w:t>
            </w:r>
          </w:p>
        </w:tc>
      </w:tr>
      <w:tr w14:paraId="4E52D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3A05CB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氯乙烯</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47A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ND(1.5)</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8EA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ND(1.5)</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A64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ND(1.5)</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D60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ND(1.5)</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553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0.43</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627380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μg/kg</w:t>
            </w:r>
          </w:p>
        </w:tc>
      </w:tr>
      <w:tr w14:paraId="27428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17131C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苯</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CE2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ND(1.6)</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7C5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ND(1.6)</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B34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ND(1.6)</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233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ND(1.6)</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D46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4</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5D6200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μg/kg</w:t>
            </w:r>
          </w:p>
        </w:tc>
      </w:tr>
      <w:tr w14:paraId="68F7D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7C336E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氯苯</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819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ND(1.1)</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8CB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ND(1.1)</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867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E27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ND(1.1)</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DFB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270</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18E54E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μg/kg</w:t>
            </w:r>
          </w:p>
        </w:tc>
      </w:tr>
      <w:tr w14:paraId="41F7E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4924D0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1,2-二氯苯</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A73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ND(1.0)</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A0A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ND(1.0)</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A30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ND(1.0)</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15E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ND(1.0)</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6E6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560</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0FEBEE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μg/kg</w:t>
            </w:r>
          </w:p>
        </w:tc>
      </w:tr>
      <w:tr w14:paraId="79B0F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4F2A71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1,4-二氯苯</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556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ND(1.2)</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F65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ND(1.2)</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8A7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ND(1.2)</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EC0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ND(1.2)</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09C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20</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2F76F1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μg/kg</w:t>
            </w:r>
          </w:p>
        </w:tc>
      </w:tr>
      <w:tr w14:paraId="6E472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41BE02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乙苯</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6FC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ND(1.2)</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046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ND(1.2)</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AC4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ND(1.2)</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B94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ND(1.2)</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46F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28</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5F79EB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μg/kg</w:t>
            </w:r>
          </w:p>
        </w:tc>
      </w:tr>
      <w:tr w14:paraId="31C04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6E3E8A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苯乙烯</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B9D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ND(1.6)</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F69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ND(1.6)</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205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ND(1.6)</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15A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ND(1.6)</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F2C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1290</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6839BE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μg/kg</w:t>
            </w:r>
          </w:p>
        </w:tc>
      </w:tr>
      <w:tr w14:paraId="3E76A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4D8BD0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甲苯</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3A5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ND(2.0)</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0F8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ND(2.0)</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D44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ND(2.0)</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B58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ND(2.0)</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776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1200</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652F8B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μg/kg</w:t>
            </w:r>
          </w:p>
        </w:tc>
      </w:tr>
      <w:tr w14:paraId="57394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70D587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间二甲苯+对二甲苯</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793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ND(3.6)</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C98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ND(3.6)</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651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ND(3.6)</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448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ND(3.6)</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C43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570</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4FC831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μg/kg</w:t>
            </w:r>
          </w:p>
        </w:tc>
      </w:tr>
      <w:tr w14:paraId="7D424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0A87E0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邻二甲苯</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3F6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ND(1.3)</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F28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ND(1.3)</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EFB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ND(1.3)</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C24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ND(1.3)</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15E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640</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6547EB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μg/kg</w:t>
            </w:r>
          </w:p>
        </w:tc>
      </w:tr>
      <w:tr w14:paraId="764FD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5E8FD3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硝基苯</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01C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ND(0.09)</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CA1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ND(0.09)</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13D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ND(0.09)</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0DF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ND(0.09)</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20F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76</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1AF21D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mg/kg</w:t>
            </w:r>
          </w:p>
        </w:tc>
      </w:tr>
      <w:tr w14:paraId="2FDD4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501940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苯胺</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64A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ND(0.08)</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5B9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ND(0.08)</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710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ND(0.08)</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FCF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ND(0.08)</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E1B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260</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745404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mg/kg</w:t>
            </w:r>
          </w:p>
        </w:tc>
      </w:tr>
      <w:tr w14:paraId="2E119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3C0C13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2-氯苯酚</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D8A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ND(0.06)</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E0A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ND(0.06)</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A6C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ND(0.06)</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FDD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ND(0.06)</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499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2256</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3E60E0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mg/kg</w:t>
            </w:r>
          </w:p>
        </w:tc>
      </w:tr>
      <w:tr w14:paraId="72FE2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41F9FE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苯并[a]蔥</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48B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ND(0.1)</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D92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ND(0.1)</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DAE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304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ND(0.1)</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BA5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15</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7F6EA9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mg/kg</w:t>
            </w:r>
          </w:p>
        </w:tc>
      </w:tr>
      <w:tr w14:paraId="4C667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0DE0D6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苯并[a]芘</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FE1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ND(0.1)</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6D0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ND(0.1)</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21B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298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ND(0.1)</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191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1.5</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4EDADC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mg/kg</w:t>
            </w:r>
          </w:p>
        </w:tc>
      </w:tr>
      <w:tr w14:paraId="7F395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4A0721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苯并[b]荧蔥</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57A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ND(0.2)</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40D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ND(0.2)</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A3D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ND(0.2)</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A67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ND(0.2)</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92F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15</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27F044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mg/kg</w:t>
            </w:r>
          </w:p>
        </w:tc>
      </w:tr>
      <w:tr w14:paraId="0DD69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35159B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苯并[k]荧蔥</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0FC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ND(0.1)</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CB5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ND(0.1)</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948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3BB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ND(0.1)</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3DF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151</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0C260A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mg/kg</w:t>
            </w:r>
          </w:p>
        </w:tc>
      </w:tr>
      <w:tr w14:paraId="36BEB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3475B3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䓛</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419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ND(0.1)</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313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ND(0.1)</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DF5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205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ND(0.1)</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9FC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1293</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284096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mg/kg</w:t>
            </w:r>
          </w:p>
        </w:tc>
      </w:tr>
      <w:tr w14:paraId="7EFB3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04572B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二苯并[a，h]蔥</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470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ND(0.1)</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DB2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ND(0.1)</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EDD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203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ND(0.1)</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B40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1.5</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620341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mg/kg</w:t>
            </w:r>
          </w:p>
        </w:tc>
      </w:tr>
      <w:tr w14:paraId="2F382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141" w:type="pct"/>
            <w:tcBorders>
              <w:top w:val="single" w:color="000000" w:sz="4" w:space="0"/>
              <w:left w:val="nil"/>
              <w:bottom w:val="single" w:color="000000" w:sz="4" w:space="0"/>
              <w:right w:val="single" w:color="000000" w:sz="4" w:space="0"/>
            </w:tcBorders>
            <w:shd w:val="clear" w:color="auto" w:fill="auto"/>
            <w:vAlign w:val="center"/>
          </w:tcPr>
          <w:p w14:paraId="3832CE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茚并[1,2,3-cd]芘</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CF5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ND(0.1)</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446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ND(0.1)</w:t>
            </w:r>
          </w:p>
        </w:tc>
        <w:tc>
          <w:tcPr>
            <w:tcW w:w="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5AB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ND(0.1)</w:t>
            </w:r>
          </w:p>
        </w:tc>
        <w:tc>
          <w:tcPr>
            <w:tcW w:w="6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F5E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ND(0.1)</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CC8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15</w:t>
            </w:r>
          </w:p>
        </w:tc>
        <w:tc>
          <w:tcPr>
            <w:tcW w:w="577" w:type="pct"/>
            <w:tcBorders>
              <w:top w:val="single" w:color="000000" w:sz="4" w:space="0"/>
              <w:left w:val="single" w:color="000000" w:sz="4" w:space="0"/>
              <w:bottom w:val="single" w:color="000000" w:sz="4" w:space="0"/>
              <w:right w:val="nil"/>
            </w:tcBorders>
            <w:shd w:val="clear" w:color="auto" w:fill="auto"/>
            <w:vAlign w:val="center"/>
          </w:tcPr>
          <w:p w14:paraId="2AA262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mg/kg</w:t>
            </w:r>
          </w:p>
        </w:tc>
      </w:tr>
      <w:tr w14:paraId="26078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141" w:type="pct"/>
            <w:tcBorders>
              <w:top w:val="single" w:color="000000" w:sz="4" w:space="0"/>
              <w:left w:val="nil"/>
              <w:bottom w:val="single" w:color="000000" w:sz="12" w:space="0"/>
              <w:right w:val="single" w:color="000000" w:sz="4" w:space="0"/>
            </w:tcBorders>
            <w:shd w:val="clear" w:color="auto" w:fill="auto"/>
            <w:vAlign w:val="center"/>
          </w:tcPr>
          <w:p w14:paraId="1AABDD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萘</w:t>
            </w:r>
          </w:p>
        </w:tc>
        <w:tc>
          <w:tcPr>
            <w:tcW w:w="632" w:type="pct"/>
            <w:tcBorders>
              <w:top w:val="single" w:color="000000" w:sz="4" w:space="0"/>
              <w:left w:val="single" w:color="000000" w:sz="4" w:space="0"/>
              <w:bottom w:val="single" w:color="000000" w:sz="12" w:space="0"/>
              <w:right w:val="single" w:color="000000" w:sz="4" w:space="0"/>
            </w:tcBorders>
            <w:shd w:val="clear" w:color="auto" w:fill="auto"/>
            <w:vAlign w:val="center"/>
          </w:tcPr>
          <w:p w14:paraId="3121AB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ND(0.09)</w:t>
            </w:r>
          </w:p>
        </w:tc>
        <w:tc>
          <w:tcPr>
            <w:tcW w:w="683" w:type="pct"/>
            <w:tcBorders>
              <w:top w:val="single" w:color="000000" w:sz="4" w:space="0"/>
              <w:left w:val="single" w:color="000000" w:sz="4" w:space="0"/>
              <w:bottom w:val="single" w:color="000000" w:sz="12" w:space="0"/>
              <w:right w:val="single" w:color="000000" w:sz="4" w:space="0"/>
            </w:tcBorders>
            <w:shd w:val="clear" w:color="auto" w:fill="auto"/>
            <w:vAlign w:val="center"/>
          </w:tcPr>
          <w:p w14:paraId="6DA217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ND(0.09)</w:t>
            </w:r>
          </w:p>
        </w:tc>
        <w:tc>
          <w:tcPr>
            <w:tcW w:w="743" w:type="pct"/>
            <w:tcBorders>
              <w:top w:val="single" w:color="000000" w:sz="4" w:space="0"/>
              <w:left w:val="single" w:color="000000" w:sz="4" w:space="0"/>
              <w:bottom w:val="single" w:color="000000" w:sz="12" w:space="0"/>
              <w:right w:val="single" w:color="000000" w:sz="4" w:space="0"/>
            </w:tcBorders>
            <w:shd w:val="clear" w:color="auto" w:fill="auto"/>
            <w:vAlign w:val="center"/>
          </w:tcPr>
          <w:p w14:paraId="7929FA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ND(0.09)</w:t>
            </w:r>
          </w:p>
        </w:tc>
        <w:tc>
          <w:tcPr>
            <w:tcW w:w="692" w:type="pct"/>
            <w:tcBorders>
              <w:top w:val="single" w:color="000000" w:sz="4" w:space="0"/>
              <w:left w:val="single" w:color="000000" w:sz="4" w:space="0"/>
              <w:bottom w:val="single" w:color="000000" w:sz="12" w:space="0"/>
              <w:right w:val="single" w:color="000000" w:sz="4" w:space="0"/>
            </w:tcBorders>
            <w:shd w:val="clear" w:color="auto" w:fill="auto"/>
            <w:vAlign w:val="center"/>
          </w:tcPr>
          <w:p w14:paraId="7C8659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ND(0.09)</w:t>
            </w:r>
          </w:p>
        </w:tc>
        <w:tc>
          <w:tcPr>
            <w:tcW w:w="529" w:type="pct"/>
            <w:tcBorders>
              <w:top w:val="single" w:color="000000" w:sz="4" w:space="0"/>
              <w:left w:val="single" w:color="000000" w:sz="4" w:space="0"/>
              <w:bottom w:val="single" w:color="000000" w:sz="12" w:space="0"/>
              <w:right w:val="single" w:color="000000" w:sz="4" w:space="0"/>
            </w:tcBorders>
            <w:shd w:val="clear" w:color="auto" w:fill="auto"/>
            <w:noWrap/>
            <w:vAlign w:val="center"/>
          </w:tcPr>
          <w:p w14:paraId="1171AA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70</w:t>
            </w:r>
          </w:p>
        </w:tc>
        <w:tc>
          <w:tcPr>
            <w:tcW w:w="577" w:type="pct"/>
            <w:tcBorders>
              <w:top w:val="single" w:color="000000" w:sz="4" w:space="0"/>
              <w:left w:val="single" w:color="000000" w:sz="4" w:space="0"/>
              <w:bottom w:val="single" w:color="000000" w:sz="12" w:space="0"/>
              <w:right w:val="nil"/>
            </w:tcBorders>
            <w:shd w:val="clear" w:color="auto" w:fill="auto"/>
            <w:vAlign w:val="center"/>
          </w:tcPr>
          <w:p w14:paraId="334F7C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mg/kg</w:t>
            </w:r>
          </w:p>
        </w:tc>
      </w:tr>
    </w:tbl>
    <w:p w14:paraId="26A1CD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表5.2-</w:t>
      </w:r>
      <w:r>
        <w:rPr>
          <w:rFonts w:hint="eastAsia" w:ascii="Times New Roman" w:hAnsi="Times New Roman" w:eastAsia="宋体" w:cs="Times New Roman"/>
          <w:color w:val="auto"/>
          <w:highlight w:val="none"/>
          <w:lang w:val="en-US" w:eastAsia="zh-CN"/>
        </w:rPr>
        <w:t>7</w:t>
      </w:r>
      <w:r>
        <w:rPr>
          <w:rFonts w:hint="default" w:ascii="Times New Roman" w:hAnsi="Times New Roman" w:eastAsia="宋体" w:cs="Times New Roman"/>
          <w:color w:val="auto"/>
          <w:highlight w:val="none"/>
          <w:lang w:val="en-US" w:eastAsia="zh-CN"/>
        </w:rPr>
        <w:t xml:space="preserve">  </w:t>
      </w:r>
      <w:r>
        <w:rPr>
          <w:rFonts w:hint="eastAsia"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lang w:val="en-US" w:eastAsia="zh-CN"/>
        </w:rPr>
        <w:t>#监测点土壤监测结果表</w:t>
      </w:r>
    </w:p>
    <w:tbl>
      <w:tblPr>
        <w:tblStyle w:val="3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08"/>
        <w:gridCol w:w="2074"/>
        <w:gridCol w:w="2227"/>
        <w:gridCol w:w="2037"/>
      </w:tblGrid>
      <w:tr w14:paraId="782B4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417" w:type="pct"/>
            <w:tcBorders>
              <w:top w:val="single" w:color="000000" w:sz="12" w:space="0"/>
              <w:left w:val="nil"/>
              <w:bottom w:val="single" w:color="000000" w:sz="4" w:space="0"/>
              <w:right w:val="single" w:color="000000" w:sz="4" w:space="0"/>
            </w:tcBorders>
            <w:shd w:val="clear" w:color="auto" w:fill="auto"/>
            <w:noWrap/>
            <w:vAlign w:val="center"/>
          </w:tcPr>
          <w:p w14:paraId="6843E1C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21"/>
                <w:szCs w:val="21"/>
                <w:highlight w:val="none"/>
                <w:u w:val="none"/>
              </w:rPr>
            </w:pPr>
          </w:p>
        </w:tc>
        <w:tc>
          <w:tcPr>
            <w:tcW w:w="1172" w:type="pct"/>
            <w:tcBorders>
              <w:top w:val="single" w:color="000000" w:sz="12" w:space="0"/>
              <w:left w:val="single" w:color="000000" w:sz="4" w:space="0"/>
              <w:bottom w:val="single" w:color="000000" w:sz="4" w:space="0"/>
              <w:right w:val="single" w:color="000000" w:sz="4" w:space="0"/>
            </w:tcBorders>
            <w:shd w:val="clear" w:color="auto" w:fill="auto"/>
            <w:noWrap/>
            <w:vAlign w:val="center"/>
          </w:tcPr>
          <w:p w14:paraId="7DBC3D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5#厂址下风向</w:t>
            </w:r>
          </w:p>
        </w:tc>
        <w:tc>
          <w:tcPr>
            <w:tcW w:w="1258" w:type="pct"/>
            <w:tcBorders>
              <w:top w:val="single" w:color="000000" w:sz="12" w:space="0"/>
              <w:left w:val="single" w:color="000000" w:sz="4" w:space="0"/>
              <w:bottom w:val="single" w:color="000000" w:sz="4" w:space="0"/>
              <w:right w:val="single" w:color="000000" w:sz="4" w:space="0"/>
            </w:tcBorders>
            <w:shd w:val="clear" w:color="auto" w:fill="auto"/>
            <w:noWrap/>
            <w:vAlign w:val="center"/>
          </w:tcPr>
          <w:p w14:paraId="3E49A9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标准限值</w:t>
            </w:r>
          </w:p>
        </w:tc>
        <w:tc>
          <w:tcPr>
            <w:tcW w:w="1151" w:type="pct"/>
            <w:tcBorders>
              <w:top w:val="single" w:color="000000" w:sz="12" w:space="0"/>
              <w:left w:val="single" w:color="000000" w:sz="4" w:space="0"/>
              <w:bottom w:val="single" w:color="000000" w:sz="4" w:space="0"/>
              <w:right w:val="nil"/>
            </w:tcBorders>
            <w:shd w:val="clear" w:color="auto" w:fill="auto"/>
            <w:noWrap/>
            <w:vAlign w:val="center"/>
          </w:tcPr>
          <w:p w14:paraId="3BE1F5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单位</w:t>
            </w:r>
          </w:p>
        </w:tc>
      </w:tr>
      <w:tr w14:paraId="47190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417" w:type="pct"/>
            <w:tcBorders>
              <w:top w:val="single" w:color="000000" w:sz="4" w:space="0"/>
              <w:left w:val="nil"/>
              <w:bottom w:val="single" w:color="000000" w:sz="4" w:space="0"/>
              <w:right w:val="single" w:color="000000" w:sz="4" w:space="0"/>
            </w:tcBorders>
            <w:shd w:val="clear" w:color="auto" w:fill="auto"/>
            <w:noWrap/>
            <w:vAlign w:val="center"/>
          </w:tcPr>
          <w:p w14:paraId="214EFC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pH</w:t>
            </w:r>
          </w:p>
        </w:tc>
        <w:tc>
          <w:tcPr>
            <w:tcW w:w="1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586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7.41</w:t>
            </w:r>
          </w:p>
        </w:tc>
        <w:tc>
          <w:tcPr>
            <w:tcW w:w="1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88E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w:t>
            </w:r>
          </w:p>
        </w:tc>
        <w:tc>
          <w:tcPr>
            <w:tcW w:w="1151" w:type="pct"/>
            <w:tcBorders>
              <w:top w:val="single" w:color="000000" w:sz="4" w:space="0"/>
              <w:left w:val="single" w:color="000000" w:sz="4" w:space="0"/>
              <w:bottom w:val="single" w:color="000000" w:sz="4" w:space="0"/>
              <w:right w:val="nil"/>
            </w:tcBorders>
            <w:shd w:val="clear" w:color="auto" w:fill="auto"/>
            <w:noWrap/>
            <w:vAlign w:val="center"/>
          </w:tcPr>
          <w:p w14:paraId="053599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无量纲</w:t>
            </w:r>
          </w:p>
        </w:tc>
      </w:tr>
      <w:tr w14:paraId="55003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17" w:type="pct"/>
            <w:tcBorders>
              <w:top w:val="single" w:color="000000" w:sz="4" w:space="0"/>
              <w:left w:val="nil"/>
              <w:bottom w:val="single" w:color="000000" w:sz="4" w:space="0"/>
              <w:right w:val="single" w:color="000000" w:sz="4" w:space="0"/>
            </w:tcBorders>
            <w:shd w:val="clear" w:color="auto" w:fill="auto"/>
            <w:noWrap/>
            <w:vAlign w:val="center"/>
          </w:tcPr>
          <w:p w14:paraId="0EC875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镉</w:t>
            </w:r>
          </w:p>
        </w:tc>
        <w:tc>
          <w:tcPr>
            <w:tcW w:w="1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79E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0.13</w:t>
            </w:r>
          </w:p>
        </w:tc>
        <w:tc>
          <w:tcPr>
            <w:tcW w:w="1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ED3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0.3</w:t>
            </w:r>
          </w:p>
        </w:tc>
        <w:tc>
          <w:tcPr>
            <w:tcW w:w="1151" w:type="pct"/>
            <w:tcBorders>
              <w:top w:val="single" w:color="000000" w:sz="4" w:space="0"/>
              <w:left w:val="single" w:color="000000" w:sz="4" w:space="0"/>
              <w:bottom w:val="single" w:color="000000" w:sz="4" w:space="0"/>
              <w:right w:val="nil"/>
            </w:tcBorders>
            <w:shd w:val="clear" w:color="auto" w:fill="auto"/>
            <w:vAlign w:val="center"/>
          </w:tcPr>
          <w:p w14:paraId="734C7E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mg/kg</w:t>
            </w:r>
          </w:p>
        </w:tc>
      </w:tr>
      <w:tr w14:paraId="6D4BE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417" w:type="pct"/>
            <w:tcBorders>
              <w:top w:val="single" w:color="000000" w:sz="4" w:space="0"/>
              <w:left w:val="nil"/>
              <w:bottom w:val="single" w:color="000000" w:sz="4" w:space="0"/>
              <w:right w:val="single" w:color="000000" w:sz="4" w:space="0"/>
            </w:tcBorders>
            <w:shd w:val="clear" w:color="auto" w:fill="auto"/>
            <w:noWrap/>
            <w:vAlign w:val="center"/>
          </w:tcPr>
          <w:p w14:paraId="247DB0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汞</w:t>
            </w:r>
          </w:p>
        </w:tc>
        <w:tc>
          <w:tcPr>
            <w:tcW w:w="1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21C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0.081</w:t>
            </w:r>
          </w:p>
        </w:tc>
        <w:tc>
          <w:tcPr>
            <w:tcW w:w="1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47D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2.4</w:t>
            </w:r>
          </w:p>
        </w:tc>
        <w:tc>
          <w:tcPr>
            <w:tcW w:w="1151" w:type="pct"/>
            <w:tcBorders>
              <w:top w:val="single" w:color="000000" w:sz="4" w:space="0"/>
              <w:left w:val="single" w:color="000000" w:sz="4" w:space="0"/>
              <w:bottom w:val="single" w:color="000000" w:sz="4" w:space="0"/>
              <w:right w:val="nil"/>
            </w:tcBorders>
            <w:shd w:val="clear" w:color="auto" w:fill="auto"/>
            <w:vAlign w:val="center"/>
          </w:tcPr>
          <w:p w14:paraId="060995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mg/kg</w:t>
            </w:r>
          </w:p>
        </w:tc>
      </w:tr>
      <w:tr w14:paraId="0C97F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417" w:type="pct"/>
            <w:tcBorders>
              <w:top w:val="single" w:color="000000" w:sz="4" w:space="0"/>
              <w:left w:val="nil"/>
              <w:bottom w:val="single" w:color="000000" w:sz="4" w:space="0"/>
              <w:right w:val="single" w:color="000000" w:sz="4" w:space="0"/>
            </w:tcBorders>
            <w:shd w:val="clear" w:color="auto" w:fill="auto"/>
            <w:noWrap/>
            <w:vAlign w:val="center"/>
          </w:tcPr>
          <w:p w14:paraId="04EBE0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砷</w:t>
            </w:r>
          </w:p>
        </w:tc>
        <w:tc>
          <w:tcPr>
            <w:tcW w:w="11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ED1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10.5</w:t>
            </w:r>
          </w:p>
        </w:tc>
        <w:tc>
          <w:tcPr>
            <w:tcW w:w="1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3C3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30</w:t>
            </w:r>
          </w:p>
        </w:tc>
        <w:tc>
          <w:tcPr>
            <w:tcW w:w="1151" w:type="pct"/>
            <w:tcBorders>
              <w:top w:val="single" w:color="000000" w:sz="4" w:space="0"/>
              <w:left w:val="single" w:color="000000" w:sz="4" w:space="0"/>
              <w:bottom w:val="single" w:color="000000" w:sz="4" w:space="0"/>
              <w:right w:val="nil"/>
            </w:tcBorders>
            <w:shd w:val="clear" w:color="auto" w:fill="auto"/>
            <w:vAlign w:val="center"/>
          </w:tcPr>
          <w:p w14:paraId="79C9DE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mg/kg</w:t>
            </w:r>
          </w:p>
        </w:tc>
      </w:tr>
      <w:tr w14:paraId="0CFB2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417" w:type="pct"/>
            <w:tcBorders>
              <w:top w:val="single" w:color="000000" w:sz="4" w:space="0"/>
              <w:left w:val="nil"/>
              <w:bottom w:val="single" w:color="000000" w:sz="4" w:space="0"/>
              <w:right w:val="single" w:color="000000" w:sz="4" w:space="0"/>
            </w:tcBorders>
            <w:shd w:val="clear" w:color="auto" w:fill="auto"/>
            <w:noWrap/>
            <w:vAlign w:val="center"/>
          </w:tcPr>
          <w:p w14:paraId="0A8583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铅</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506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25</w:t>
            </w:r>
          </w:p>
        </w:tc>
        <w:tc>
          <w:tcPr>
            <w:tcW w:w="1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081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120</w:t>
            </w:r>
          </w:p>
        </w:tc>
        <w:tc>
          <w:tcPr>
            <w:tcW w:w="1151" w:type="pct"/>
            <w:tcBorders>
              <w:top w:val="single" w:color="000000" w:sz="4" w:space="0"/>
              <w:left w:val="single" w:color="000000" w:sz="4" w:space="0"/>
              <w:bottom w:val="single" w:color="000000" w:sz="4" w:space="0"/>
              <w:right w:val="nil"/>
            </w:tcBorders>
            <w:shd w:val="clear" w:color="auto" w:fill="auto"/>
            <w:vAlign w:val="center"/>
          </w:tcPr>
          <w:p w14:paraId="18E8AA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mg/kg</w:t>
            </w:r>
          </w:p>
        </w:tc>
      </w:tr>
      <w:tr w14:paraId="57729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417" w:type="pct"/>
            <w:tcBorders>
              <w:top w:val="single" w:color="000000" w:sz="4" w:space="0"/>
              <w:left w:val="nil"/>
              <w:bottom w:val="single" w:color="000000" w:sz="4" w:space="0"/>
              <w:right w:val="single" w:color="000000" w:sz="4" w:space="0"/>
            </w:tcBorders>
            <w:shd w:val="clear" w:color="auto" w:fill="auto"/>
            <w:noWrap/>
            <w:vAlign w:val="center"/>
          </w:tcPr>
          <w:p w14:paraId="317E1B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铬</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A43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52</w:t>
            </w:r>
          </w:p>
        </w:tc>
        <w:tc>
          <w:tcPr>
            <w:tcW w:w="1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37B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200</w:t>
            </w:r>
          </w:p>
        </w:tc>
        <w:tc>
          <w:tcPr>
            <w:tcW w:w="1151" w:type="pct"/>
            <w:tcBorders>
              <w:top w:val="single" w:color="000000" w:sz="4" w:space="0"/>
              <w:left w:val="single" w:color="000000" w:sz="4" w:space="0"/>
              <w:bottom w:val="single" w:color="000000" w:sz="4" w:space="0"/>
              <w:right w:val="nil"/>
            </w:tcBorders>
            <w:shd w:val="clear" w:color="auto" w:fill="auto"/>
            <w:vAlign w:val="center"/>
          </w:tcPr>
          <w:p w14:paraId="66B4BA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mg/kg</w:t>
            </w:r>
          </w:p>
        </w:tc>
      </w:tr>
      <w:tr w14:paraId="17527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417" w:type="pct"/>
            <w:tcBorders>
              <w:top w:val="single" w:color="000000" w:sz="4" w:space="0"/>
              <w:left w:val="nil"/>
              <w:bottom w:val="single" w:color="000000" w:sz="4" w:space="0"/>
              <w:right w:val="single" w:color="000000" w:sz="4" w:space="0"/>
            </w:tcBorders>
            <w:shd w:val="clear" w:color="auto" w:fill="auto"/>
            <w:noWrap/>
            <w:vAlign w:val="center"/>
          </w:tcPr>
          <w:p w14:paraId="71E184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铜</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A81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19</w:t>
            </w:r>
          </w:p>
        </w:tc>
        <w:tc>
          <w:tcPr>
            <w:tcW w:w="1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1B0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100</w:t>
            </w:r>
          </w:p>
        </w:tc>
        <w:tc>
          <w:tcPr>
            <w:tcW w:w="1151" w:type="pct"/>
            <w:tcBorders>
              <w:top w:val="single" w:color="000000" w:sz="4" w:space="0"/>
              <w:left w:val="single" w:color="000000" w:sz="4" w:space="0"/>
              <w:bottom w:val="single" w:color="000000" w:sz="4" w:space="0"/>
              <w:right w:val="nil"/>
            </w:tcBorders>
            <w:shd w:val="clear" w:color="auto" w:fill="auto"/>
            <w:vAlign w:val="center"/>
          </w:tcPr>
          <w:p w14:paraId="2836F9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mg/kg</w:t>
            </w:r>
          </w:p>
        </w:tc>
      </w:tr>
      <w:tr w14:paraId="26B01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417" w:type="pct"/>
            <w:tcBorders>
              <w:top w:val="single" w:color="000000" w:sz="4" w:space="0"/>
              <w:left w:val="nil"/>
              <w:bottom w:val="single" w:color="000000" w:sz="4" w:space="0"/>
              <w:right w:val="single" w:color="000000" w:sz="4" w:space="0"/>
            </w:tcBorders>
            <w:shd w:val="clear" w:color="auto" w:fill="auto"/>
            <w:noWrap/>
            <w:vAlign w:val="center"/>
          </w:tcPr>
          <w:p w14:paraId="47CCDB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镍</w:t>
            </w:r>
          </w:p>
        </w:tc>
        <w:tc>
          <w:tcPr>
            <w:tcW w:w="11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667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22</w:t>
            </w:r>
          </w:p>
        </w:tc>
        <w:tc>
          <w:tcPr>
            <w:tcW w:w="12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1D6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100</w:t>
            </w:r>
          </w:p>
        </w:tc>
        <w:tc>
          <w:tcPr>
            <w:tcW w:w="1151" w:type="pct"/>
            <w:tcBorders>
              <w:top w:val="single" w:color="000000" w:sz="4" w:space="0"/>
              <w:left w:val="single" w:color="000000" w:sz="4" w:space="0"/>
              <w:bottom w:val="single" w:color="000000" w:sz="4" w:space="0"/>
              <w:right w:val="nil"/>
            </w:tcBorders>
            <w:shd w:val="clear" w:color="auto" w:fill="auto"/>
            <w:vAlign w:val="center"/>
          </w:tcPr>
          <w:p w14:paraId="15093E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mg/kg</w:t>
            </w:r>
          </w:p>
        </w:tc>
      </w:tr>
      <w:tr w14:paraId="126B5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417" w:type="pct"/>
            <w:tcBorders>
              <w:top w:val="single" w:color="000000" w:sz="4" w:space="0"/>
              <w:left w:val="nil"/>
              <w:bottom w:val="single" w:color="000000" w:sz="12" w:space="0"/>
              <w:right w:val="single" w:color="000000" w:sz="4" w:space="0"/>
            </w:tcBorders>
            <w:shd w:val="clear" w:color="auto" w:fill="auto"/>
            <w:noWrap/>
            <w:vAlign w:val="center"/>
          </w:tcPr>
          <w:p w14:paraId="130728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锌</w:t>
            </w:r>
          </w:p>
        </w:tc>
        <w:tc>
          <w:tcPr>
            <w:tcW w:w="1172" w:type="pct"/>
            <w:tcBorders>
              <w:top w:val="single" w:color="000000" w:sz="4" w:space="0"/>
              <w:left w:val="single" w:color="000000" w:sz="4" w:space="0"/>
              <w:bottom w:val="single" w:color="000000" w:sz="12" w:space="0"/>
              <w:right w:val="single" w:color="000000" w:sz="4" w:space="0"/>
            </w:tcBorders>
            <w:shd w:val="clear" w:color="auto" w:fill="auto"/>
            <w:noWrap/>
            <w:vAlign w:val="center"/>
          </w:tcPr>
          <w:p w14:paraId="3C9926F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104</w:t>
            </w:r>
          </w:p>
        </w:tc>
        <w:tc>
          <w:tcPr>
            <w:tcW w:w="1258" w:type="pct"/>
            <w:tcBorders>
              <w:top w:val="single" w:color="000000" w:sz="4" w:space="0"/>
              <w:left w:val="single" w:color="000000" w:sz="4" w:space="0"/>
              <w:bottom w:val="single" w:color="000000" w:sz="12" w:space="0"/>
              <w:right w:val="single" w:color="000000" w:sz="4" w:space="0"/>
            </w:tcBorders>
            <w:shd w:val="clear" w:color="auto" w:fill="auto"/>
            <w:noWrap/>
            <w:vAlign w:val="center"/>
          </w:tcPr>
          <w:p w14:paraId="5759F2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250</w:t>
            </w:r>
          </w:p>
        </w:tc>
        <w:tc>
          <w:tcPr>
            <w:tcW w:w="1151" w:type="pct"/>
            <w:tcBorders>
              <w:top w:val="single" w:color="000000" w:sz="4" w:space="0"/>
              <w:left w:val="single" w:color="000000" w:sz="4" w:space="0"/>
              <w:bottom w:val="single" w:color="000000" w:sz="12" w:space="0"/>
              <w:right w:val="nil"/>
            </w:tcBorders>
            <w:shd w:val="clear" w:color="auto" w:fill="auto"/>
            <w:noWrap/>
            <w:vAlign w:val="center"/>
          </w:tcPr>
          <w:p w14:paraId="7380A9A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sz w:val="21"/>
                <w:szCs w:val="21"/>
                <w:highlight w:val="none"/>
                <w:u w:val="none"/>
                <w:lang w:val="en-US" w:eastAsia="zh-CN"/>
              </w:rPr>
              <w:t>mg/kg</w:t>
            </w:r>
          </w:p>
        </w:tc>
      </w:tr>
    </w:tbl>
    <w:p w14:paraId="1F0712AD">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土壤环境现状评价</w:t>
      </w:r>
    </w:p>
    <w:p w14:paraId="03EB1852">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（1）评价方法</w:t>
      </w:r>
    </w:p>
    <w:p w14:paraId="029093DD">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本次土壤环境质量评价采用单因子标准指数法。单项土壤监测因子i在第j点的污染指数。</w:t>
      </w:r>
    </w:p>
    <w:p w14:paraId="37749EDC">
      <w:pPr>
        <w:ind w:left="0" w:leftChars="0" w:firstLine="0" w:firstLineChars="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position w:val="-12"/>
          <w:highlight w:val="none"/>
        </w:rPr>
        <w:object>
          <v:shape id="_x0000_i1050" o:spt="75" type="#_x0000_t75" style="height:18pt;width:55pt;" o:ole="t" filled="f" o:preferrelative="t" stroked="f" coordsize="21600,21600">
            <v:path/>
            <v:fill on="f" focussize="0,0"/>
            <v:stroke on="f"/>
            <v:imagedata r:id="rId94" o:title=""/>
            <o:lock v:ext="edit" aspectratio="t"/>
            <w10:wrap type="none"/>
            <w10:anchorlock/>
          </v:shape>
          <o:OLEObject Type="Embed" ProgID="Equation.KSEE3" ShapeID="_x0000_i1050" DrawAspect="Content" ObjectID="_1468075750" r:id="rId93">
            <o:LockedField>false</o:LockedField>
          </o:OLEObject>
        </w:object>
      </w:r>
    </w:p>
    <w:p w14:paraId="7A3E883A">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式中：Si—土壤中i污染物的污染指数；</w:t>
      </w:r>
    </w:p>
    <w:p w14:paraId="13794663">
      <w:pPr>
        <w:ind w:firstLine="1200" w:firstLineChars="5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Ci—第i种污染物的实测浓度，（mg/L）；</w:t>
      </w:r>
    </w:p>
    <w:p w14:paraId="5F3F1BCD">
      <w:pPr>
        <w:ind w:firstLine="1200" w:firstLineChars="5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C0—第i种污染物的评价标准，（mg/L）。</w:t>
      </w:r>
    </w:p>
    <w:p w14:paraId="3516F242">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土壤污染因子的标准指数大于1，表明该污染物超过了规定的标准限值，标准指数越大，说明超标越严重。</w:t>
      </w:r>
    </w:p>
    <w:p w14:paraId="4406E2D1">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（2）评价标准</w:t>
      </w:r>
    </w:p>
    <w:p w14:paraId="72BA4B2B">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本项目所在区域土壤环境执行《土壤环境质量 建设用地土壤污染风险管控标准（试行）》（GB36600-2018）第二类用地筛选值中的标准限值。</w:t>
      </w:r>
    </w:p>
    <w:p w14:paraId="74684EB7">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（3）评价结果</w:t>
      </w:r>
    </w:p>
    <w:p w14:paraId="218A3688">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土壤现状评价结果见表</w:t>
      </w:r>
      <w:r>
        <w:rPr>
          <w:rFonts w:hint="default" w:ascii="Times New Roman" w:hAnsi="Times New Roman" w:eastAsia="宋体" w:cs="Times New Roman"/>
          <w:color w:val="auto"/>
          <w:highlight w:val="none"/>
          <w:lang w:val="en-US" w:eastAsia="zh-CN"/>
        </w:rPr>
        <w:t>5.2</w:t>
      </w: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8</w:t>
      </w:r>
      <w:r>
        <w:rPr>
          <w:rFonts w:hint="default" w:ascii="Times New Roman" w:hAnsi="Times New Roman" w:eastAsia="宋体" w:cs="Times New Roman"/>
          <w:color w:val="auto"/>
          <w:highlight w:val="none"/>
        </w:rPr>
        <w:t>。</w:t>
      </w:r>
    </w:p>
    <w:p w14:paraId="5820B4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表5.2-</w:t>
      </w:r>
      <w:r>
        <w:rPr>
          <w:rFonts w:hint="eastAsia" w:ascii="Times New Roman" w:hAnsi="Times New Roman" w:eastAsia="宋体" w:cs="Times New Roman"/>
          <w:color w:val="auto"/>
          <w:highlight w:val="none"/>
          <w:lang w:val="en-US" w:eastAsia="zh-CN"/>
        </w:rPr>
        <w:t xml:space="preserve">8  </w:t>
      </w:r>
      <w:r>
        <w:rPr>
          <w:rFonts w:hint="default" w:ascii="Times New Roman" w:hAnsi="Times New Roman" w:eastAsia="宋体" w:cs="Times New Roman"/>
          <w:color w:val="auto"/>
          <w:highlight w:val="none"/>
          <w:lang w:val="en-US" w:eastAsia="zh-CN"/>
        </w:rPr>
        <w:t>1#～</w:t>
      </w:r>
      <w:r>
        <w:rPr>
          <w:rFonts w:hint="eastAsia"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lang w:val="en-US" w:eastAsia="zh-CN"/>
        </w:rPr>
        <w:t>#监测点土壤评价结果表</w:t>
      </w:r>
    </w:p>
    <w:tbl>
      <w:tblPr>
        <w:tblStyle w:val="37"/>
        <w:tblW w:w="5185" w:type="pct"/>
        <w:tblInd w:w="-108"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2147"/>
        <w:gridCol w:w="1845"/>
        <w:gridCol w:w="1860"/>
        <w:gridCol w:w="1769"/>
        <w:gridCol w:w="1558"/>
      </w:tblGrid>
      <w:tr w14:paraId="364A9C1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0" w:hRule="atLeast"/>
        </w:trPr>
        <w:tc>
          <w:tcPr>
            <w:tcW w:w="1169" w:type="pct"/>
            <w:tcBorders>
              <w:tl2br w:val="nil"/>
              <w:tr2bl w:val="nil"/>
            </w:tcBorders>
            <w:shd w:val="clear" w:color="auto" w:fill="auto"/>
            <w:noWrap/>
            <w:vAlign w:val="center"/>
          </w:tcPr>
          <w:p w14:paraId="28102B8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22"/>
                <w:szCs w:val="22"/>
                <w:highlight w:val="none"/>
                <w:u w:val="none"/>
                <w:lang w:val="en-US" w:eastAsia="zh-CN"/>
              </w:rPr>
            </w:pPr>
            <w:r>
              <w:rPr>
                <w:rFonts w:hint="default" w:ascii="Times New Roman" w:hAnsi="Times New Roman" w:eastAsia="宋体" w:cs="Times New Roman"/>
                <w:i w:val="0"/>
                <w:iCs w:val="0"/>
                <w:color w:val="000000"/>
                <w:sz w:val="22"/>
                <w:szCs w:val="22"/>
                <w:highlight w:val="none"/>
                <w:u w:val="none"/>
                <w:lang w:val="en-US" w:eastAsia="zh-CN"/>
              </w:rPr>
              <w:t>监测项目</w:t>
            </w:r>
          </w:p>
        </w:tc>
        <w:tc>
          <w:tcPr>
            <w:tcW w:w="1005" w:type="pct"/>
            <w:tcBorders>
              <w:tl2br w:val="nil"/>
              <w:tr2bl w:val="nil"/>
            </w:tcBorders>
            <w:shd w:val="clear" w:color="auto" w:fill="auto"/>
            <w:noWrap/>
            <w:vAlign w:val="center"/>
          </w:tcPr>
          <w:p w14:paraId="381DF9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1#厂区北侧空地</w:t>
            </w:r>
          </w:p>
        </w:tc>
        <w:tc>
          <w:tcPr>
            <w:tcW w:w="1013" w:type="pct"/>
            <w:tcBorders>
              <w:tl2br w:val="nil"/>
              <w:tr2bl w:val="nil"/>
            </w:tcBorders>
            <w:shd w:val="clear" w:color="auto" w:fill="auto"/>
            <w:noWrap/>
            <w:vAlign w:val="center"/>
          </w:tcPr>
          <w:p w14:paraId="7550DA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2#厂区中部空地</w:t>
            </w:r>
          </w:p>
        </w:tc>
        <w:tc>
          <w:tcPr>
            <w:tcW w:w="963" w:type="pct"/>
            <w:tcBorders>
              <w:tl2br w:val="nil"/>
              <w:tr2bl w:val="nil"/>
            </w:tcBorders>
            <w:shd w:val="clear" w:color="auto" w:fill="auto"/>
            <w:noWrap/>
            <w:vAlign w:val="center"/>
          </w:tcPr>
          <w:p w14:paraId="7A4A89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3#厂区南侧空地</w:t>
            </w:r>
          </w:p>
        </w:tc>
        <w:tc>
          <w:tcPr>
            <w:tcW w:w="848" w:type="pct"/>
            <w:tcBorders>
              <w:tl2br w:val="nil"/>
              <w:tr2bl w:val="nil"/>
            </w:tcBorders>
            <w:shd w:val="clear" w:color="auto" w:fill="auto"/>
            <w:noWrap/>
            <w:vAlign w:val="center"/>
          </w:tcPr>
          <w:p w14:paraId="0662B4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4#厂址上风向</w:t>
            </w:r>
          </w:p>
        </w:tc>
      </w:tr>
      <w:tr w14:paraId="6AF93B4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169" w:type="pct"/>
            <w:tcBorders>
              <w:tl2br w:val="nil"/>
              <w:tr2bl w:val="nil"/>
            </w:tcBorders>
            <w:shd w:val="clear" w:color="auto" w:fill="auto"/>
            <w:vAlign w:val="center"/>
          </w:tcPr>
          <w:p w14:paraId="7EB2C6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铜</w:t>
            </w:r>
          </w:p>
        </w:tc>
        <w:tc>
          <w:tcPr>
            <w:tcW w:w="1005" w:type="pct"/>
            <w:tcBorders>
              <w:tl2br w:val="nil"/>
              <w:tr2bl w:val="nil"/>
            </w:tcBorders>
            <w:shd w:val="clear" w:color="auto" w:fill="auto"/>
            <w:vAlign w:val="center"/>
          </w:tcPr>
          <w:p w14:paraId="4FFE5F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0.00</w:t>
            </w:r>
          </w:p>
        </w:tc>
        <w:tc>
          <w:tcPr>
            <w:tcW w:w="1013" w:type="pct"/>
            <w:tcBorders>
              <w:tl2br w:val="nil"/>
              <w:tr2bl w:val="nil"/>
            </w:tcBorders>
            <w:shd w:val="clear" w:color="auto" w:fill="auto"/>
            <w:vAlign w:val="center"/>
          </w:tcPr>
          <w:p w14:paraId="46D098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0.00</w:t>
            </w:r>
          </w:p>
        </w:tc>
        <w:tc>
          <w:tcPr>
            <w:tcW w:w="963" w:type="pct"/>
            <w:tcBorders>
              <w:tl2br w:val="nil"/>
              <w:tr2bl w:val="nil"/>
            </w:tcBorders>
            <w:shd w:val="clear" w:color="auto" w:fill="auto"/>
            <w:vAlign w:val="center"/>
          </w:tcPr>
          <w:p w14:paraId="04C1A4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0.00</w:t>
            </w:r>
          </w:p>
        </w:tc>
        <w:tc>
          <w:tcPr>
            <w:tcW w:w="848" w:type="pct"/>
            <w:tcBorders>
              <w:tl2br w:val="nil"/>
              <w:tr2bl w:val="nil"/>
            </w:tcBorders>
            <w:shd w:val="clear" w:color="auto" w:fill="auto"/>
            <w:vAlign w:val="center"/>
          </w:tcPr>
          <w:p w14:paraId="31F4AE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0.00</w:t>
            </w:r>
          </w:p>
        </w:tc>
      </w:tr>
      <w:tr w14:paraId="34B2EF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3BDF70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镍</w:t>
            </w:r>
          </w:p>
        </w:tc>
        <w:tc>
          <w:tcPr>
            <w:tcW w:w="1005" w:type="pct"/>
            <w:tcBorders>
              <w:tl2br w:val="nil"/>
              <w:tr2bl w:val="nil"/>
            </w:tcBorders>
            <w:shd w:val="clear" w:color="auto" w:fill="auto"/>
            <w:vAlign w:val="center"/>
          </w:tcPr>
          <w:p w14:paraId="57EC9E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0.02</w:t>
            </w:r>
          </w:p>
        </w:tc>
        <w:tc>
          <w:tcPr>
            <w:tcW w:w="1013" w:type="pct"/>
            <w:tcBorders>
              <w:tl2br w:val="nil"/>
              <w:tr2bl w:val="nil"/>
            </w:tcBorders>
            <w:shd w:val="clear" w:color="auto" w:fill="auto"/>
            <w:vAlign w:val="center"/>
          </w:tcPr>
          <w:p w14:paraId="3D46DB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0.02</w:t>
            </w:r>
          </w:p>
        </w:tc>
        <w:tc>
          <w:tcPr>
            <w:tcW w:w="963" w:type="pct"/>
            <w:tcBorders>
              <w:tl2br w:val="nil"/>
              <w:tr2bl w:val="nil"/>
            </w:tcBorders>
            <w:shd w:val="clear" w:color="auto" w:fill="auto"/>
            <w:vAlign w:val="center"/>
          </w:tcPr>
          <w:p w14:paraId="43A0A3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0.03</w:t>
            </w:r>
          </w:p>
        </w:tc>
        <w:tc>
          <w:tcPr>
            <w:tcW w:w="848" w:type="pct"/>
            <w:tcBorders>
              <w:tl2br w:val="nil"/>
              <w:tr2bl w:val="nil"/>
            </w:tcBorders>
            <w:shd w:val="clear" w:color="auto" w:fill="auto"/>
            <w:vAlign w:val="center"/>
          </w:tcPr>
          <w:p w14:paraId="3B0D15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0.02</w:t>
            </w:r>
          </w:p>
        </w:tc>
      </w:tr>
      <w:tr w14:paraId="44BFC01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650BF1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铅</w:t>
            </w:r>
          </w:p>
        </w:tc>
        <w:tc>
          <w:tcPr>
            <w:tcW w:w="1005" w:type="pct"/>
            <w:tcBorders>
              <w:tl2br w:val="nil"/>
              <w:tr2bl w:val="nil"/>
            </w:tcBorders>
            <w:shd w:val="clear" w:color="auto" w:fill="auto"/>
            <w:vAlign w:val="center"/>
          </w:tcPr>
          <w:p w14:paraId="555A72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0.03</w:t>
            </w:r>
          </w:p>
        </w:tc>
        <w:tc>
          <w:tcPr>
            <w:tcW w:w="1013" w:type="pct"/>
            <w:tcBorders>
              <w:tl2br w:val="nil"/>
              <w:tr2bl w:val="nil"/>
            </w:tcBorders>
            <w:shd w:val="clear" w:color="auto" w:fill="auto"/>
            <w:vAlign w:val="center"/>
          </w:tcPr>
          <w:p w14:paraId="2C398E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0.04</w:t>
            </w:r>
          </w:p>
        </w:tc>
        <w:tc>
          <w:tcPr>
            <w:tcW w:w="963" w:type="pct"/>
            <w:tcBorders>
              <w:tl2br w:val="nil"/>
              <w:tr2bl w:val="nil"/>
            </w:tcBorders>
            <w:shd w:val="clear" w:color="auto" w:fill="auto"/>
            <w:vAlign w:val="center"/>
          </w:tcPr>
          <w:p w14:paraId="5FD389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0.03</w:t>
            </w:r>
          </w:p>
        </w:tc>
        <w:tc>
          <w:tcPr>
            <w:tcW w:w="848" w:type="pct"/>
            <w:tcBorders>
              <w:tl2br w:val="nil"/>
              <w:tr2bl w:val="nil"/>
            </w:tcBorders>
            <w:shd w:val="clear" w:color="auto" w:fill="auto"/>
            <w:vAlign w:val="center"/>
          </w:tcPr>
          <w:p w14:paraId="307E91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0.03</w:t>
            </w:r>
          </w:p>
        </w:tc>
      </w:tr>
      <w:tr w14:paraId="0A3573B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75480B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镉</w:t>
            </w:r>
          </w:p>
        </w:tc>
        <w:tc>
          <w:tcPr>
            <w:tcW w:w="1005" w:type="pct"/>
            <w:tcBorders>
              <w:tl2br w:val="nil"/>
              <w:tr2bl w:val="nil"/>
            </w:tcBorders>
            <w:shd w:val="clear" w:color="auto" w:fill="auto"/>
            <w:vAlign w:val="center"/>
          </w:tcPr>
          <w:p w14:paraId="2630F9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0.00</w:t>
            </w:r>
          </w:p>
        </w:tc>
        <w:tc>
          <w:tcPr>
            <w:tcW w:w="1013" w:type="pct"/>
            <w:tcBorders>
              <w:tl2br w:val="nil"/>
              <w:tr2bl w:val="nil"/>
            </w:tcBorders>
            <w:shd w:val="clear" w:color="auto" w:fill="auto"/>
            <w:vAlign w:val="center"/>
          </w:tcPr>
          <w:p w14:paraId="0C3647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0.00</w:t>
            </w:r>
          </w:p>
        </w:tc>
        <w:tc>
          <w:tcPr>
            <w:tcW w:w="963" w:type="pct"/>
            <w:tcBorders>
              <w:tl2br w:val="nil"/>
              <w:tr2bl w:val="nil"/>
            </w:tcBorders>
            <w:shd w:val="clear" w:color="auto" w:fill="auto"/>
            <w:vAlign w:val="center"/>
          </w:tcPr>
          <w:p w14:paraId="3BB964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0.00</w:t>
            </w:r>
          </w:p>
        </w:tc>
        <w:tc>
          <w:tcPr>
            <w:tcW w:w="848" w:type="pct"/>
            <w:tcBorders>
              <w:tl2br w:val="nil"/>
              <w:tr2bl w:val="nil"/>
            </w:tcBorders>
            <w:shd w:val="clear" w:color="auto" w:fill="auto"/>
            <w:vAlign w:val="center"/>
          </w:tcPr>
          <w:p w14:paraId="32744D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0.00</w:t>
            </w:r>
          </w:p>
        </w:tc>
      </w:tr>
      <w:tr w14:paraId="79C3CED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3396E5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六价铬</w:t>
            </w:r>
          </w:p>
        </w:tc>
        <w:tc>
          <w:tcPr>
            <w:tcW w:w="1005" w:type="pct"/>
            <w:tcBorders>
              <w:tl2br w:val="nil"/>
              <w:tr2bl w:val="nil"/>
            </w:tcBorders>
            <w:shd w:val="clear" w:color="auto" w:fill="auto"/>
            <w:vAlign w:val="center"/>
          </w:tcPr>
          <w:p w14:paraId="2D1487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7890BC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16C4F2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369CD7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19C5F41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544E6C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砷</w:t>
            </w:r>
          </w:p>
        </w:tc>
        <w:tc>
          <w:tcPr>
            <w:tcW w:w="1005" w:type="pct"/>
            <w:tcBorders>
              <w:tl2br w:val="nil"/>
              <w:tr2bl w:val="nil"/>
            </w:tcBorders>
            <w:shd w:val="clear" w:color="auto" w:fill="auto"/>
            <w:vAlign w:val="center"/>
          </w:tcPr>
          <w:p w14:paraId="1AB58E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0.11</w:t>
            </w:r>
          </w:p>
        </w:tc>
        <w:tc>
          <w:tcPr>
            <w:tcW w:w="1013" w:type="pct"/>
            <w:tcBorders>
              <w:tl2br w:val="nil"/>
              <w:tr2bl w:val="nil"/>
            </w:tcBorders>
            <w:shd w:val="clear" w:color="auto" w:fill="auto"/>
            <w:vAlign w:val="center"/>
          </w:tcPr>
          <w:p w14:paraId="6AAD72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0.10</w:t>
            </w:r>
          </w:p>
        </w:tc>
        <w:tc>
          <w:tcPr>
            <w:tcW w:w="963" w:type="pct"/>
            <w:tcBorders>
              <w:tl2br w:val="nil"/>
              <w:tr2bl w:val="nil"/>
            </w:tcBorders>
            <w:shd w:val="clear" w:color="auto" w:fill="auto"/>
            <w:vAlign w:val="center"/>
          </w:tcPr>
          <w:p w14:paraId="326FBF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0.12</w:t>
            </w:r>
          </w:p>
        </w:tc>
        <w:tc>
          <w:tcPr>
            <w:tcW w:w="848" w:type="pct"/>
            <w:tcBorders>
              <w:tl2br w:val="nil"/>
              <w:tr2bl w:val="nil"/>
            </w:tcBorders>
            <w:shd w:val="clear" w:color="auto" w:fill="auto"/>
            <w:vAlign w:val="center"/>
          </w:tcPr>
          <w:p w14:paraId="3AAAF0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0.07</w:t>
            </w:r>
          </w:p>
        </w:tc>
      </w:tr>
      <w:tr w14:paraId="5066844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52641F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汞</w:t>
            </w:r>
          </w:p>
        </w:tc>
        <w:tc>
          <w:tcPr>
            <w:tcW w:w="1005" w:type="pct"/>
            <w:tcBorders>
              <w:tl2br w:val="nil"/>
              <w:tr2bl w:val="nil"/>
            </w:tcBorders>
            <w:shd w:val="clear" w:color="auto" w:fill="auto"/>
            <w:vAlign w:val="center"/>
          </w:tcPr>
          <w:p w14:paraId="076D71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0.01</w:t>
            </w:r>
          </w:p>
        </w:tc>
        <w:tc>
          <w:tcPr>
            <w:tcW w:w="1013" w:type="pct"/>
            <w:tcBorders>
              <w:tl2br w:val="nil"/>
              <w:tr2bl w:val="nil"/>
            </w:tcBorders>
            <w:shd w:val="clear" w:color="auto" w:fill="auto"/>
            <w:vAlign w:val="center"/>
          </w:tcPr>
          <w:p w14:paraId="18AA23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0.00</w:t>
            </w:r>
          </w:p>
        </w:tc>
        <w:tc>
          <w:tcPr>
            <w:tcW w:w="963" w:type="pct"/>
            <w:tcBorders>
              <w:tl2br w:val="nil"/>
              <w:tr2bl w:val="nil"/>
            </w:tcBorders>
            <w:shd w:val="clear" w:color="auto" w:fill="auto"/>
            <w:vAlign w:val="center"/>
          </w:tcPr>
          <w:p w14:paraId="604241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0.00</w:t>
            </w:r>
          </w:p>
        </w:tc>
        <w:tc>
          <w:tcPr>
            <w:tcW w:w="848" w:type="pct"/>
            <w:tcBorders>
              <w:tl2br w:val="nil"/>
              <w:tr2bl w:val="nil"/>
            </w:tcBorders>
            <w:shd w:val="clear" w:color="auto" w:fill="auto"/>
            <w:vAlign w:val="center"/>
          </w:tcPr>
          <w:p w14:paraId="2E7C8F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0.00</w:t>
            </w:r>
          </w:p>
        </w:tc>
      </w:tr>
      <w:tr w14:paraId="6AE6223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4F891B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石油烃</w:t>
            </w:r>
          </w:p>
        </w:tc>
        <w:tc>
          <w:tcPr>
            <w:tcW w:w="1005" w:type="pct"/>
            <w:tcBorders>
              <w:tl2br w:val="nil"/>
              <w:tr2bl w:val="nil"/>
            </w:tcBorders>
            <w:shd w:val="clear" w:color="auto" w:fill="auto"/>
            <w:vAlign w:val="center"/>
          </w:tcPr>
          <w:p w14:paraId="131324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0.03</w:t>
            </w:r>
          </w:p>
        </w:tc>
        <w:tc>
          <w:tcPr>
            <w:tcW w:w="1013" w:type="pct"/>
            <w:tcBorders>
              <w:tl2br w:val="nil"/>
              <w:tr2bl w:val="nil"/>
            </w:tcBorders>
            <w:shd w:val="clear" w:color="auto" w:fill="auto"/>
            <w:vAlign w:val="center"/>
          </w:tcPr>
          <w:p w14:paraId="56AB85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0.01</w:t>
            </w:r>
          </w:p>
        </w:tc>
        <w:tc>
          <w:tcPr>
            <w:tcW w:w="963" w:type="pct"/>
            <w:tcBorders>
              <w:tl2br w:val="nil"/>
              <w:tr2bl w:val="nil"/>
            </w:tcBorders>
            <w:shd w:val="clear" w:color="auto" w:fill="auto"/>
            <w:vAlign w:val="center"/>
          </w:tcPr>
          <w:p w14:paraId="283A0D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0.01</w:t>
            </w:r>
          </w:p>
        </w:tc>
        <w:tc>
          <w:tcPr>
            <w:tcW w:w="848" w:type="pct"/>
            <w:tcBorders>
              <w:tl2br w:val="nil"/>
              <w:tr2bl w:val="nil"/>
            </w:tcBorders>
            <w:shd w:val="clear" w:color="auto" w:fill="auto"/>
            <w:vAlign w:val="center"/>
          </w:tcPr>
          <w:p w14:paraId="13C5FC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0.01</w:t>
            </w:r>
          </w:p>
        </w:tc>
      </w:tr>
      <w:tr w14:paraId="273DDC5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668AAF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四氯化碳</w:t>
            </w:r>
          </w:p>
        </w:tc>
        <w:tc>
          <w:tcPr>
            <w:tcW w:w="1005" w:type="pct"/>
            <w:tcBorders>
              <w:tl2br w:val="nil"/>
              <w:tr2bl w:val="nil"/>
            </w:tcBorders>
            <w:shd w:val="clear" w:color="auto" w:fill="auto"/>
            <w:vAlign w:val="center"/>
          </w:tcPr>
          <w:p w14:paraId="34C0A8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1FA117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401241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0039F9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23EC630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21FA35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氯仿</w:t>
            </w:r>
          </w:p>
        </w:tc>
        <w:tc>
          <w:tcPr>
            <w:tcW w:w="1005" w:type="pct"/>
            <w:tcBorders>
              <w:tl2br w:val="nil"/>
              <w:tr2bl w:val="nil"/>
            </w:tcBorders>
            <w:shd w:val="clear" w:color="auto" w:fill="auto"/>
            <w:vAlign w:val="center"/>
          </w:tcPr>
          <w:p w14:paraId="209826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3590F7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07B697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315E37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72F5F7D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740CC0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氯甲烷</w:t>
            </w:r>
          </w:p>
        </w:tc>
        <w:tc>
          <w:tcPr>
            <w:tcW w:w="1005" w:type="pct"/>
            <w:tcBorders>
              <w:tl2br w:val="nil"/>
              <w:tr2bl w:val="nil"/>
            </w:tcBorders>
            <w:shd w:val="clear" w:color="auto" w:fill="auto"/>
            <w:vAlign w:val="center"/>
          </w:tcPr>
          <w:p w14:paraId="12D1BE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01F954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350255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21F506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17CD946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47CFA8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1,1-二氯乙烷</w:t>
            </w:r>
          </w:p>
        </w:tc>
        <w:tc>
          <w:tcPr>
            <w:tcW w:w="1005" w:type="pct"/>
            <w:tcBorders>
              <w:tl2br w:val="nil"/>
              <w:tr2bl w:val="nil"/>
            </w:tcBorders>
            <w:shd w:val="clear" w:color="auto" w:fill="auto"/>
            <w:vAlign w:val="center"/>
          </w:tcPr>
          <w:p w14:paraId="4FCD49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40417A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4813BA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6245DC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2579EE5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0FBCD7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1,2-二氯乙烷</w:t>
            </w:r>
          </w:p>
        </w:tc>
        <w:tc>
          <w:tcPr>
            <w:tcW w:w="1005" w:type="pct"/>
            <w:tcBorders>
              <w:tl2br w:val="nil"/>
              <w:tr2bl w:val="nil"/>
            </w:tcBorders>
            <w:shd w:val="clear" w:color="auto" w:fill="auto"/>
            <w:vAlign w:val="center"/>
          </w:tcPr>
          <w:p w14:paraId="01F08B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1FFDEC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14FF0F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35E6D6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42BE8B7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76A789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1,1-二氯乙烯</w:t>
            </w:r>
          </w:p>
        </w:tc>
        <w:tc>
          <w:tcPr>
            <w:tcW w:w="1005" w:type="pct"/>
            <w:tcBorders>
              <w:tl2br w:val="nil"/>
              <w:tr2bl w:val="nil"/>
            </w:tcBorders>
            <w:shd w:val="clear" w:color="auto" w:fill="auto"/>
            <w:vAlign w:val="center"/>
          </w:tcPr>
          <w:p w14:paraId="683E40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004346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027B24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6B9768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0EC88BD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44FB70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顺-1,2-二氯乙烯</w:t>
            </w:r>
          </w:p>
        </w:tc>
        <w:tc>
          <w:tcPr>
            <w:tcW w:w="1005" w:type="pct"/>
            <w:tcBorders>
              <w:tl2br w:val="nil"/>
              <w:tr2bl w:val="nil"/>
            </w:tcBorders>
            <w:shd w:val="clear" w:color="auto" w:fill="auto"/>
            <w:vAlign w:val="center"/>
          </w:tcPr>
          <w:p w14:paraId="3BC493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2B0D9F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213341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34F709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4A4D903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2D1A41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反-1,2-二氯乙烯</w:t>
            </w:r>
          </w:p>
        </w:tc>
        <w:tc>
          <w:tcPr>
            <w:tcW w:w="1005" w:type="pct"/>
            <w:tcBorders>
              <w:tl2br w:val="nil"/>
              <w:tr2bl w:val="nil"/>
            </w:tcBorders>
            <w:shd w:val="clear" w:color="auto" w:fill="auto"/>
            <w:vAlign w:val="center"/>
          </w:tcPr>
          <w:p w14:paraId="698DE0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76E24B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467E31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0B431D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2A3D446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23D141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二氯甲烷</w:t>
            </w:r>
          </w:p>
        </w:tc>
        <w:tc>
          <w:tcPr>
            <w:tcW w:w="1005" w:type="pct"/>
            <w:tcBorders>
              <w:tl2br w:val="nil"/>
              <w:tr2bl w:val="nil"/>
            </w:tcBorders>
            <w:shd w:val="clear" w:color="auto" w:fill="auto"/>
            <w:vAlign w:val="center"/>
          </w:tcPr>
          <w:p w14:paraId="287780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32998B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70BF89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33E227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52798E1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2BA6F6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1,2-二氯丙烷</w:t>
            </w:r>
          </w:p>
        </w:tc>
        <w:tc>
          <w:tcPr>
            <w:tcW w:w="1005" w:type="pct"/>
            <w:tcBorders>
              <w:tl2br w:val="nil"/>
              <w:tr2bl w:val="nil"/>
            </w:tcBorders>
            <w:shd w:val="clear" w:color="auto" w:fill="auto"/>
            <w:vAlign w:val="center"/>
          </w:tcPr>
          <w:p w14:paraId="7B36AE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34823A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61FF05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6C53D4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593FB33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07772D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1,1,1,2-四氯乙烷</w:t>
            </w:r>
          </w:p>
        </w:tc>
        <w:tc>
          <w:tcPr>
            <w:tcW w:w="1005" w:type="pct"/>
            <w:tcBorders>
              <w:tl2br w:val="nil"/>
              <w:tr2bl w:val="nil"/>
            </w:tcBorders>
            <w:shd w:val="clear" w:color="auto" w:fill="auto"/>
            <w:vAlign w:val="center"/>
          </w:tcPr>
          <w:p w14:paraId="75FFC4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37038E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73DC5F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78A6D2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12F8310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2E316D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1,1,2,2-四氯乙烷</w:t>
            </w:r>
          </w:p>
        </w:tc>
        <w:tc>
          <w:tcPr>
            <w:tcW w:w="1005" w:type="pct"/>
            <w:tcBorders>
              <w:tl2br w:val="nil"/>
              <w:tr2bl w:val="nil"/>
            </w:tcBorders>
            <w:shd w:val="clear" w:color="auto" w:fill="auto"/>
            <w:vAlign w:val="center"/>
          </w:tcPr>
          <w:p w14:paraId="0ED408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7EA3BE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451FBE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477C39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2D5428D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7366B1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四氯乙烯</w:t>
            </w:r>
          </w:p>
        </w:tc>
        <w:tc>
          <w:tcPr>
            <w:tcW w:w="1005" w:type="pct"/>
            <w:tcBorders>
              <w:tl2br w:val="nil"/>
              <w:tr2bl w:val="nil"/>
            </w:tcBorders>
            <w:shd w:val="clear" w:color="auto" w:fill="auto"/>
            <w:vAlign w:val="center"/>
          </w:tcPr>
          <w:p w14:paraId="747B2A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2BAD1E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3A5104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632274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7374C5A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113E1B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1,1,1-三氯乙烷</w:t>
            </w:r>
          </w:p>
        </w:tc>
        <w:tc>
          <w:tcPr>
            <w:tcW w:w="1005" w:type="pct"/>
            <w:tcBorders>
              <w:tl2br w:val="nil"/>
              <w:tr2bl w:val="nil"/>
            </w:tcBorders>
            <w:shd w:val="clear" w:color="auto" w:fill="auto"/>
            <w:vAlign w:val="center"/>
          </w:tcPr>
          <w:p w14:paraId="320A90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78BCF6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2D1AFF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252D7E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358CB96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7A6CF7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1,1,2-三氯乙烷</w:t>
            </w:r>
          </w:p>
        </w:tc>
        <w:tc>
          <w:tcPr>
            <w:tcW w:w="1005" w:type="pct"/>
            <w:tcBorders>
              <w:tl2br w:val="nil"/>
              <w:tr2bl w:val="nil"/>
            </w:tcBorders>
            <w:shd w:val="clear" w:color="auto" w:fill="auto"/>
            <w:vAlign w:val="center"/>
          </w:tcPr>
          <w:p w14:paraId="698EFF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06F568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235492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08CF81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67691A3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52CAF8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三氯乙烯</w:t>
            </w:r>
          </w:p>
        </w:tc>
        <w:tc>
          <w:tcPr>
            <w:tcW w:w="1005" w:type="pct"/>
            <w:tcBorders>
              <w:tl2br w:val="nil"/>
              <w:tr2bl w:val="nil"/>
            </w:tcBorders>
            <w:shd w:val="clear" w:color="auto" w:fill="auto"/>
            <w:vAlign w:val="center"/>
          </w:tcPr>
          <w:p w14:paraId="10BFBF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301D90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18F93D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7BF6DB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54987AF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0682FD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1,2,3-三氯丙烷</w:t>
            </w:r>
          </w:p>
        </w:tc>
        <w:tc>
          <w:tcPr>
            <w:tcW w:w="1005" w:type="pct"/>
            <w:tcBorders>
              <w:tl2br w:val="nil"/>
              <w:tr2bl w:val="nil"/>
            </w:tcBorders>
            <w:shd w:val="clear" w:color="auto" w:fill="auto"/>
            <w:vAlign w:val="center"/>
          </w:tcPr>
          <w:p w14:paraId="59B910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0E116F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028395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41BFD8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4029D9F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258505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氯乙烯</w:t>
            </w:r>
          </w:p>
        </w:tc>
        <w:tc>
          <w:tcPr>
            <w:tcW w:w="1005" w:type="pct"/>
            <w:tcBorders>
              <w:tl2br w:val="nil"/>
              <w:tr2bl w:val="nil"/>
            </w:tcBorders>
            <w:shd w:val="clear" w:color="auto" w:fill="auto"/>
            <w:vAlign w:val="center"/>
          </w:tcPr>
          <w:p w14:paraId="2C7B4A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05F389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009520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028D24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4C4826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0472CF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苯</w:t>
            </w:r>
          </w:p>
        </w:tc>
        <w:tc>
          <w:tcPr>
            <w:tcW w:w="1005" w:type="pct"/>
            <w:tcBorders>
              <w:tl2br w:val="nil"/>
              <w:tr2bl w:val="nil"/>
            </w:tcBorders>
            <w:shd w:val="clear" w:color="auto" w:fill="auto"/>
            <w:vAlign w:val="center"/>
          </w:tcPr>
          <w:p w14:paraId="1643D4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2AEA59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7D2150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6C01D3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0C9871B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7B9FF4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氯苯</w:t>
            </w:r>
          </w:p>
        </w:tc>
        <w:tc>
          <w:tcPr>
            <w:tcW w:w="1005" w:type="pct"/>
            <w:tcBorders>
              <w:tl2br w:val="nil"/>
              <w:tr2bl w:val="nil"/>
            </w:tcBorders>
            <w:shd w:val="clear" w:color="auto" w:fill="auto"/>
            <w:vAlign w:val="center"/>
          </w:tcPr>
          <w:p w14:paraId="7F852C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74F2F8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256CDE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192CB3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45E8911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3BD62C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1,2-二氯苯</w:t>
            </w:r>
          </w:p>
        </w:tc>
        <w:tc>
          <w:tcPr>
            <w:tcW w:w="1005" w:type="pct"/>
            <w:tcBorders>
              <w:tl2br w:val="nil"/>
              <w:tr2bl w:val="nil"/>
            </w:tcBorders>
            <w:shd w:val="clear" w:color="auto" w:fill="auto"/>
            <w:vAlign w:val="center"/>
          </w:tcPr>
          <w:p w14:paraId="3FE8D5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587AAD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12A726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70DD52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3003B96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03A675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1,4-二氯苯</w:t>
            </w:r>
          </w:p>
        </w:tc>
        <w:tc>
          <w:tcPr>
            <w:tcW w:w="1005" w:type="pct"/>
            <w:tcBorders>
              <w:tl2br w:val="nil"/>
              <w:tr2bl w:val="nil"/>
            </w:tcBorders>
            <w:shd w:val="clear" w:color="auto" w:fill="auto"/>
            <w:vAlign w:val="center"/>
          </w:tcPr>
          <w:p w14:paraId="058C89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624506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4B7468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53AF6F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2BEED5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6C851F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乙苯</w:t>
            </w:r>
          </w:p>
        </w:tc>
        <w:tc>
          <w:tcPr>
            <w:tcW w:w="1005" w:type="pct"/>
            <w:tcBorders>
              <w:tl2br w:val="nil"/>
              <w:tr2bl w:val="nil"/>
            </w:tcBorders>
            <w:shd w:val="clear" w:color="auto" w:fill="auto"/>
            <w:vAlign w:val="center"/>
          </w:tcPr>
          <w:p w14:paraId="6F5FA3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1D31E3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013453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2FF357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61E36D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2605A1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苯乙烯</w:t>
            </w:r>
          </w:p>
        </w:tc>
        <w:tc>
          <w:tcPr>
            <w:tcW w:w="1005" w:type="pct"/>
            <w:tcBorders>
              <w:tl2br w:val="nil"/>
              <w:tr2bl w:val="nil"/>
            </w:tcBorders>
            <w:shd w:val="clear" w:color="auto" w:fill="auto"/>
            <w:vAlign w:val="center"/>
          </w:tcPr>
          <w:p w14:paraId="52CA21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6BC78D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6524E0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1E53CD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6E9885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5A9427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甲苯</w:t>
            </w:r>
          </w:p>
        </w:tc>
        <w:tc>
          <w:tcPr>
            <w:tcW w:w="1005" w:type="pct"/>
            <w:tcBorders>
              <w:tl2br w:val="nil"/>
              <w:tr2bl w:val="nil"/>
            </w:tcBorders>
            <w:shd w:val="clear" w:color="auto" w:fill="auto"/>
            <w:vAlign w:val="center"/>
          </w:tcPr>
          <w:p w14:paraId="5AE6E9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192B83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147D3C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312017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4CECB83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2B28AA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间二甲苯+对二甲苯</w:t>
            </w:r>
          </w:p>
        </w:tc>
        <w:tc>
          <w:tcPr>
            <w:tcW w:w="1005" w:type="pct"/>
            <w:tcBorders>
              <w:tl2br w:val="nil"/>
              <w:tr2bl w:val="nil"/>
            </w:tcBorders>
            <w:shd w:val="clear" w:color="auto" w:fill="auto"/>
            <w:vAlign w:val="center"/>
          </w:tcPr>
          <w:p w14:paraId="076E07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5A0311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3DD093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0AC4FF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4C1140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7F3150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邻二甲苯</w:t>
            </w:r>
          </w:p>
        </w:tc>
        <w:tc>
          <w:tcPr>
            <w:tcW w:w="1005" w:type="pct"/>
            <w:tcBorders>
              <w:tl2br w:val="nil"/>
              <w:tr2bl w:val="nil"/>
            </w:tcBorders>
            <w:shd w:val="clear" w:color="auto" w:fill="auto"/>
            <w:vAlign w:val="center"/>
          </w:tcPr>
          <w:p w14:paraId="6CBF01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37900E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31816B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1605F3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664FCE4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1B3A87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硝基苯</w:t>
            </w:r>
          </w:p>
        </w:tc>
        <w:tc>
          <w:tcPr>
            <w:tcW w:w="1005" w:type="pct"/>
            <w:tcBorders>
              <w:tl2br w:val="nil"/>
              <w:tr2bl w:val="nil"/>
            </w:tcBorders>
            <w:shd w:val="clear" w:color="auto" w:fill="auto"/>
            <w:vAlign w:val="center"/>
          </w:tcPr>
          <w:p w14:paraId="713CD1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005C00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24BA54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72FF61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46C0E8B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67E3FB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苯胺</w:t>
            </w:r>
          </w:p>
        </w:tc>
        <w:tc>
          <w:tcPr>
            <w:tcW w:w="1005" w:type="pct"/>
            <w:tcBorders>
              <w:tl2br w:val="nil"/>
              <w:tr2bl w:val="nil"/>
            </w:tcBorders>
            <w:shd w:val="clear" w:color="auto" w:fill="auto"/>
            <w:vAlign w:val="center"/>
          </w:tcPr>
          <w:p w14:paraId="0FE246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59D00F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7FECA8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19B844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334509E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39D104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2-氯苯酚</w:t>
            </w:r>
          </w:p>
        </w:tc>
        <w:tc>
          <w:tcPr>
            <w:tcW w:w="1005" w:type="pct"/>
            <w:tcBorders>
              <w:tl2br w:val="nil"/>
              <w:tr2bl w:val="nil"/>
            </w:tcBorders>
            <w:shd w:val="clear" w:color="auto" w:fill="auto"/>
            <w:vAlign w:val="center"/>
          </w:tcPr>
          <w:p w14:paraId="1D094D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0D7C18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55BE47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12EEC7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3043284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2BBF88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苯并[a]蔥</w:t>
            </w:r>
          </w:p>
        </w:tc>
        <w:tc>
          <w:tcPr>
            <w:tcW w:w="1005" w:type="pct"/>
            <w:tcBorders>
              <w:tl2br w:val="nil"/>
              <w:tr2bl w:val="nil"/>
            </w:tcBorders>
            <w:shd w:val="clear" w:color="auto" w:fill="auto"/>
            <w:vAlign w:val="center"/>
          </w:tcPr>
          <w:p w14:paraId="4A083C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2C799D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77CEF3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6958BE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640A19A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30A7B9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苯并[a]芘</w:t>
            </w:r>
          </w:p>
        </w:tc>
        <w:tc>
          <w:tcPr>
            <w:tcW w:w="1005" w:type="pct"/>
            <w:tcBorders>
              <w:tl2br w:val="nil"/>
              <w:tr2bl w:val="nil"/>
            </w:tcBorders>
            <w:shd w:val="clear" w:color="auto" w:fill="auto"/>
            <w:vAlign w:val="center"/>
          </w:tcPr>
          <w:p w14:paraId="43C3E1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7F2BC8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3D3DDF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479A1D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6676775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5D2386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苯并[b]荧蔥</w:t>
            </w:r>
          </w:p>
        </w:tc>
        <w:tc>
          <w:tcPr>
            <w:tcW w:w="1005" w:type="pct"/>
            <w:tcBorders>
              <w:tl2br w:val="nil"/>
              <w:tr2bl w:val="nil"/>
            </w:tcBorders>
            <w:shd w:val="clear" w:color="auto" w:fill="auto"/>
            <w:vAlign w:val="center"/>
          </w:tcPr>
          <w:p w14:paraId="3C8617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55A8AE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1256DE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7A5D49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6F9522B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170E9A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苯并[k]荧蔥</w:t>
            </w:r>
          </w:p>
        </w:tc>
        <w:tc>
          <w:tcPr>
            <w:tcW w:w="1005" w:type="pct"/>
            <w:tcBorders>
              <w:tl2br w:val="nil"/>
              <w:tr2bl w:val="nil"/>
            </w:tcBorders>
            <w:shd w:val="clear" w:color="auto" w:fill="auto"/>
            <w:vAlign w:val="center"/>
          </w:tcPr>
          <w:p w14:paraId="766474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7F2B29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4FD9FF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0E0FFB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03FA500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51C7D6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䓛</w:t>
            </w:r>
          </w:p>
        </w:tc>
        <w:tc>
          <w:tcPr>
            <w:tcW w:w="1005" w:type="pct"/>
            <w:tcBorders>
              <w:tl2br w:val="nil"/>
              <w:tr2bl w:val="nil"/>
            </w:tcBorders>
            <w:shd w:val="clear" w:color="auto" w:fill="auto"/>
            <w:vAlign w:val="center"/>
          </w:tcPr>
          <w:p w14:paraId="6B8BE1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695D8E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5C51D0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41DE66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4A2C2EE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2DEEE8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二苯并[a，h]蔥</w:t>
            </w:r>
          </w:p>
        </w:tc>
        <w:tc>
          <w:tcPr>
            <w:tcW w:w="1005" w:type="pct"/>
            <w:tcBorders>
              <w:tl2br w:val="nil"/>
              <w:tr2bl w:val="nil"/>
            </w:tcBorders>
            <w:shd w:val="clear" w:color="auto" w:fill="auto"/>
            <w:vAlign w:val="center"/>
          </w:tcPr>
          <w:p w14:paraId="093561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0C2127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488871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019880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7613B2F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1169" w:type="pct"/>
            <w:tcBorders>
              <w:tl2br w:val="nil"/>
              <w:tr2bl w:val="nil"/>
            </w:tcBorders>
            <w:shd w:val="clear" w:color="auto" w:fill="auto"/>
            <w:vAlign w:val="center"/>
          </w:tcPr>
          <w:p w14:paraId="0BE66A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茚并[1,2,3-cd]芘</w:t>
            </w:r>
          </w:p>
        </w:tc>
        <w:tc>
          <w:tcPr>
            <w:tcW w:w="1005" w:type="pct"/>
            <w:tcBorders>
              <w:tl2br w:val="nil"/>
              <w:tr2bl w:val="nil"/>
            </w:tcBorders>
            <w:shd w:val="clear" w:color="auto" w:fill="auto"/>
            <w:vAlign w:val="center"/>
          </w:tcPr>
          <w:p w14:paraId="579883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6B8BE6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6587FD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2E3678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r w14:paraId="4FF5544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trPr>
        <w:tc>
          <w:tcPr>
            <w:tcW w:w="1169" w:type="pct"/>
            <w:tcBorders>
              <w:tl2br w:val="nil"/>
              <w:tr2bl w:val="nil"/>
            </w:tcBorders>
            <w:shd w:val="clear" w:color="auto" w:fill="auto"/>
            <w:vAlign w:val="center"/>
          </w:tcPr>
          <w:p w14:paraId="1E77E5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萘</w:t>
            </w:r>
          </w:p>
        </w:tc>
        <w:tc>
          <w:tcPr>
            <w:tcW w:w="1005" w:type="pct"/>
            <w:tcBorders>
              <w:tl2br w:val="nil"/>
              <w:tr2bl w:val="nil"/>
            </w:tcBorders>
            <w:shd w:val="clear" w:color="auto" w:fill="auto"/>
            <w:vAlign w:val="center"/>
          </w:tcPr>
          <w:p w14:paraId="2A86F0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1013" w:type="pct"/>
            <w:tcBorders>
              <w:tl2br w:val="nil"/>
              <w:tr2bl w:val="nil"/>
            </w:tcBorders>
            <w:shd w:val="clear" w:color="auto" w:fill="auto"/>
            <w:vAlign w:val="center"/>
          </w:tcPr>
          <w:p w14:paraId="764C9C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963" w:type="pct"/>
            <w:tcBorders>
              <w:tl2br w:val="nil"/>
              <w:tr2bl w:val="nil"/>
            </w:tcBorders>
            <w:shd w:val="clear" w:color="auto" w:fill="auto"/>
            <w:vAlign w:val="center"/>
          </w:tcPr>
          <w:p w14:paraId="7981B1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c>
          <w:tcPr>
            <w:tcW w:w="848" w:type="pct"/>
            <w:tcBorders>
              <w:tl2br w:val="nil"/>
              <w:tr2bl w:val="nil"/>
            </w:tcBorders>
            <w:shd w:val="clear" w:color="auto" w:fill="auto"/>
            <w:vAlign w:val="center"/>
          </w:tcPr>
          <w:p w14:paraId="183E99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未检出</w:t>
            </w:r>
          </w:p>
        </w:tc>
      </w:tr>
    </w:tbl>
    <w:p w14:paraId="6346EC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表5.2-</w:t>
      </w:r>
      <w:r>
        <w:rPr>
          <w:rFonts w:hint="eastAsia" w:ascii="Times New Roman" w:hAnsi="Times New Roman" w:eastAsia="宋体" w:cs="Times New Roman"/>
          <w:color w:val="auto"/>
          <w:highlight w:val="none"/>
          <w:lang w:val="en-US" w:eastAsia="zh-CN"/>
        </w:rPr>
        <w:t>9</w:t>
      </w:r>
      <w:r>
        <w:rPr>
          <w:rFonts w:hint="default" w:ascii="Times New Roman" w:hAnsi="Times New Roman" w:eastAsia="宋体" w:cs="Times New Roman"/>
          <w:color w:val="auto"/>
          <w:highlight w:val="none"/>
          <w:lang w:val="en-US" w:eastAsia="zh-CN"/>
        </w:rPr>
        <w:t xml:space="preserve">  </w:t>
      </w:r>
      <w:r>
        <w:rPr>
          <w:rFonts w:hint="eastAsia"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lang w:val="en-US" w:eastAsia="zh-CN"/>
        </w:rPr>
        <w:t>#监测点土壤评价结果表</w:t>
      </w:r>
    </w:p>
    <w:tbl>
      <w:tblPr>
        <w:tblStyle w:val="37"/>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3681"/>
        <w:gridCol w:w="5165"/>
      </w:tblGrid>
      <w:tr w14:paraId="4228CCE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2080" w:type="pct"/>
            <w:tcBorders>
              <w:tl2br w:val="nil"/>
              <w:tr2bl w:val="nil"/>
            </w:tcBorders>
            <w:shd w:val="clear" w:color="auto" w:fill="auto"/>
            <w:noWrap/>
            <w:vAlign w:val="center"/>
          </w:tcPr>
          <w:p w14:paraId="0E8C984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000000"/>
                <w:sz w:val="22"/>
                <w:szCs w:val="22"/>
                <w:highlight w:val="none"/>
                <w:u w:val="none"/>
              </w:rPr>
            </w:pPr>
          </w:p>
        </w:tc>
        <w:tc>
          <w:tcPr>
            <w:tcW w:w="2919" w:type="pct"/>
            <w:tcBorders>
              <w:tl2br w:val="nil"/>
              <w:tr2bl w:val="nil"/>
            </w:tcBorders>
            <w:shd w:val="clear" w:color="auto" w:fill="auto"/>
            <w:noWrap/>
            <w:vAlign w:val="center"/>
          </w:tcPr>
          <w:p w14:paraId="13095F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5#厂址下风向</w:t>
            </w:r>
          </w:p>
        </w:tc>
      </w:tr>
      <w:tr w14:paraId="38D3CDB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2080" w:type="pct"/>
            <w:tcBorders>
              <w:tl2br w:val="nil"/>
              <w:tr2bl w:val="nil"/>
            </w:tcBorders>
            <w:shd w:val="clear" w:color="auto" w:fill="auto"/>
            <w:noWrap/>
            <w:vAlign w:val="center"/>
          </w:tcPr>
          <w:p w14:paraId="014B62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镉</w:t>
            </w:r>
          </w:p>
        </w:tc>
        <w:tc>
          <w:tcPr>
            <w:tcW w:w="2919" w:type="pct"/>
            <w:tcBorders>
              <w:tl2br w:val="nil"/>
              <w:tr2bl w:val="nil"/>
            </w:tcBorders>
            <w:shd w:val="clear" w:color="auto" w:fill="auto"/>
            <w:noWrap/>
            <w:vAlign w:val="center"/>
          </w:tcPr>
          <w:p w14:paraId="16F68E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0.433</w:t>
            </w:r>
          </w:p>
        </w:tc>
      </w:tr>
      <w:tr w14:paraId="43ED5F1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2080" w:type="pct"/>
            <w:tcBorders>
              <w:tl2br w:val="nil"/>
              <w:tr2bl w:val="nil"/>
            </w:tcBorders>
            <w:shd w:val="clear" w:color="auto" w:fill="auto"/>
            <w:noWrap/>
            <w:vAlign w:val="center"/>
          </w:tcPr>
          <w:p w14:paraId="430526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汞</w:t>
            </w:r>
          </w:p>
        </w:tc>
        <w:tc>
          <w:tcPr>
            <w:tcW w:w="2919" w:type="pct"/>
            <w:tcBorders>
              <w:tl2br w:val="nil"/>
              <w:tr2bl w:val="nil"/>
            </w:tcBorders>
            <w:shd w:val="clear" w:color="auto" w:fill="auto"/>
            <w:noWrap/>
            <w:vAlign w:val="center"/>
          </w:tcPr>
          <w:p w14:paraId="175949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0.034</w:t>
            </w:r>
          </w:p>
        </w:tc>
      </w:tr>
      <w:tr w14:paraId="76D38ED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rPr>
        <w:tc>
          <w:tcPr>
            <w:tcW w:w="2080" w:type="pct"/>
            <w:tcBorders>
              <w:tl2br w:val="nil"/>
              <w:tr2bl w:val="nil"/>
            </w:tcBorders>
            <w:shd w:val="clear" w:color="auto" w:fill="auto"/>
            <w:noWrap/>
            <w:vAlign w:val="center"/>
          </w:tcPr>
          <w:p w14:paraId="5146F0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砷</w:t>
            </w:r>
          </w:p>
        </w:tc>
        <w:tc>
          <w:tcPr>
            <w:tcW w:w="2919" w:type="pct"/>
            <w:tcBorders>
              <w:tl2br w:val="nil"/>
              <w:tr2bl w:val="nil"/>
            </w:tcBorders>
            <w:shd w:val="clear" w:color="auto" w:fill="auto"/>
            <w:noWrap/>
            <w:vAlign w:val="center"/>
          </w:tcPr>
          <w:p w14:paraId="0E9EBE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0.350</w:t>
            </w:r>
          </w:p>
        </w:tc>
      </w:tr>
      <w:tr w14:paraId="769E591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2080" w:type="pct"/>
            <w:tcBorders>
              <w:tl2br w:val="nil"/>
              <w:tr2bl w:val="nil"/>
            </w:tcBorders>
            <w:shd w:val="clear" w:color="auto" w:fill="auto"/>
            <w:noWrap/>
            <w:vAlign w:val="center"/>
          </w:tcPr>
          <w:p w14:paraId="3BF97F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铅</w:t>
            </w:r>
          </w:p>
        </w:tc>
        <w:tc>
          <w:tcPr>
            <w:tcW w:w="2919" w:type="pct"/>
            <w:tcBorders>
              <w:tl2br w:val="nil"/>
              <w:tr2bl w:val="nil"/>
            </w:tcBorders>
            <w:shd w:val="clear" w:color="auto" w:fill="auto"/>
            <w:noWrap/>
            <w:vAlign w:val="center"/>
          </w:tcPr>
          <w:p w14:paraId="049B87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0.208</w:t>
            </w:r>
          </w:p>
        </w:tc>
      </w:tr>
      <w:tr w14:paraId="7A41F53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trPr>
        <w:tc>
          <w:tcPr>
            <w:tcW w:w="2080" w:type="pct"/>
            <w:tcBorders>
              <w:tl2br w:val="nil"/>
              <w:tr2bl w:val="nil"/>
            </w:tcBorders>
            <w:shd w:val="clear" w:color="auto" w:fill="auto"/>
            <w:noWrap/>
            <w:vAlign w:val="center"/>
          </w:tcPr>
          <w:p w14:paraId="346955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铬</w:t>
            </w:r>
          </w:p>
        </w:tc>
        <w:tc>
          <w:tcPr>
            <w:tcW w:w="2919" w:type="pct"/>
            <w:tcBorders>
              <w:tl2br w:val="nil"/>
              <w:tr2bl w:val="nil"/>
            </w:tcBorders>
            <w:shd w:val="clear" w:color="auto" w:fill="auto"/>
            <w:vAlign w:val="center"/>
          </w:tcPr>
          <w:p w14:paraId="3EA661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1"/>
                <w:szCs w:val="21"/>
                <w:highlight w:val="none"/>
                <w:u w:val="none"/>
                <w:lang w:val="en-US"/>
              </w:rPr>
            </w:pPr>
            <w:r>
              <w:rPr>
                <w:rFonts w:hint="eastAsia" w:ascii="Times New Roman" w:hAnsi="Times New Roman" w:eastAsia="宋体" w:cs="Times New Roman"/>
                <w:i w:val="0"/>
                <w:iCs w:val="0"/>
                <w:color w:val="000000"/>
                <w:kern w:val="0"/>
                <w:sz w:val="21"/>
                <w:szCs w:val="21"/>
                <w:highlight w:val="none"/>
                <w:u w:val="none"/>
                <w:lang w:val="en-US" w:eastAsia="zh-CN" w:bidi="ar"/>
              </w:rPr>
              <w:t>0.26</w:t>
            </w:r>
          </w:p>
        </w:tc>
      </w:tr>
      <w:tr w14:paraId="2AAC922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2080" w:type="pct"/>
            <w:tcBorders>
              <w:tl2br w:val="nil"/>
              <w:tr2bl w:val="nil"/>
            </w:tcBorders>
            <w:shd w:val="clear" w:color="auto" w:fill="auto"/>
            <w:noWrap/>
            <w:vAlign w:val="center"/>
          </w:tcPr>
          <w:p w14:paraId="0DDD39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铜</w:t>
            </w:r>
          </w:p>
        </w:tc>
        <w:tc>
          <w:tcPr>
            <w:tcW w:w="2919" w:type="pct"/>
            <w:tcBorders>
              <w:tl2br w:val="nil"/>
              <w:tr2bl w:val="nil"/>
            </w:tcBorders>
            <w:shd w:val="clear" w:color="auto" w:fill="auto"/>
            <w:noWrap/>
            <w:vAlign w:val="center"/>
          </w:tcPr>
          <w:p w14:paraId="56C086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0.19</w:t>
            </w:r>
          </w:p>
        </w:tc>
      </w:tr>
      <w:tr w14:paraId="1D06987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2080" w:type="pct"/>
            <w:tcBorders>
              <w:tl2br w:val="nil"/>
              <w:tr2bl w:val="nil"/>
            </w:tcBorders>
            <w:shd w:val="clear" w:color="auto" w:fill="auto"/>
            <w:noWrap/>
            <w:vAlign w:val="center"/>
          </w:tcPr>
          <w:p w14:paraId="7925F7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镍</w:t>
            </w:r>
          </w:p>
        </w:tc>
        <w:tc>
          <w:tcPr>
            <w:tcW w:w="2919" w:type="pct"/>
            <w:tcBorders>
              <w:tl2br w:val="nil"/>
              <w:tr2bl w:val="nil"/>
            </w:tcBorders>
            <w:shd w:val="clear" w:color="auto" w:fill="auto"/>
            <w:noWrap/>
            <w:vAlign w:val="center"/>
          </w:tcPr>
          <w:p w14:paraId="7EC389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0.22</w:t>
            </w:r>
          </w:p>
        </w:tc>
      </w:tr>
      <w:tr w14:paraId="5F5F2D5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2080" w:type="pct"/>
            <w:tcBorders>
              <w:tl2br w:val="nil"/>
              <w:tr2bl w:val="nil"/>
            </w:tcBorders>
            <w:shd w:val="clear" w:color="auto" w:fill="auto"/>
            <w:noWrap/>
            <w:vAlign w:val="center"/>
          </w:tcPr>
          <w:p w14:paraId="63D8E4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锌</w:t>
            </w:r>
          </w:p>
        </w:tc>
        <w:tc>
          <w:tcPr>
            <w:tcW w:w="2919" w:type="pct"/>
            <w:tcBorders>
              <w:tl2br w:val="nil"/>
              <w:tr2bl w:val="nil"/>
            </w:tcBorders>
            <w:shd w:val="clear" w:color="auto" w:fill="auto"/>
            <w:noWrap/>
            <w:vAlign w:val="center"/>
          </w:tcPr>
          <w:p w14:paraId="538589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000000"/>
                <w:sz w:val="22"/>
                <w:szCs w:val="22"/>
                <w:highlight w:val="none"/>
                <w:u w:val="none"/>
                <w:lang w:val="en-US"/>
              </w:rPr>
            </w:pPr>
            <w:r>
              <w:rPr>
                <w:rFonts w:hint="eastAsia" w:ascii="Times New Roman" w:hAnsi="Times New Roman" w:eastAsia="宋体" w:cs="Times New Roman"/>
                <w:i w:val="0"/>
                <w:iCs w:val="0"/>
                <w:color w:val="000000"/>
                <w:kern w:val="0"/>
                <w:sz w:val="22"/>
                <w:szCs w:val="22"/>
                <w:highlight w:val="none"/>
                <w:u w:val="none"/>
                <w:lang w:val="en-US" w:eastAsia="zh-CN" w:bidi="ar"/>
              </w:rPr>
              <w:t>0.416</w:t>
            </w:r>
          </w:p>
        </w:tc>
      </w:tr>
    </w:tbl>
    <w:p w14:paraId="04D5B9A7">
      <w:pPr>
        <w:pStyle w:val="7"/>
        <w:numPr>
          <w:ilvl w:val="3"/>
          <w:numId w:val="3"/>
        </w:numPr>
        <w:bidi w:val="0"/>
        <w:ind w:left="850" w:leftChars="0" w:hanging="85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土壤环境质量现状评价结论</w:t>
      </w:r>
    </w:p>
    <w:p w14:paraId="327872BA">
      <w:pPr>
        <w:ind w:firstLine="48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监测</w:t>
      </w:r>
      <w:r>
        <w:rPr>
          <w:rFonts w:hint="default" w:ascii="Times New Roman" w:hAnsi="Times New Roman" w:eastAsia="宋体" w:cs="Times New Roman"/>
          <w:color w:val="auto"/>
          <w:highlight w:val="none"/>
        </w:rPr>
        <w:t>结果表明，本次土壤现状监测因子标准指数均小于1，</w:t>
      </w:r>
      <w:r>
        <w:rPr>
          <w:rFonts w:hint="eastAsia" w:ascii="Times New Roman" w:hAnsi="Times New Roman" w:eastAsia="宋体" w:cs="Times New Roman"/>
          <w:color w:val="auto"/>
          <w:highlight w:val="none"/>
          <w:lang w:val="en-US" w:eastAsia="zh-CN"/>
        </w:rPr>
        <w:t>建设用地</w:t>
      </w:r>
      <w:r>
        <w:rPr>
          <w:rFonts w:hint="default" w:ascii="Times New Roman" w:hAnsi="Times New Roman" w:eastAsia="宋体" w:cs="Times New Roman"/>
          <w:color w:val="auto"/>
          <w:highlight w:val="none"/>
        </w:rPr>
        <w:t>各监测点位各项指标均达到《土壤环境质量 建设用地土壤污染风险管控标准（试行）》（GB36600-2018）</w:t>
      </w:r>
      <w:r>
        <w:rPr>
          <w:rFonts w:hint="eastAsia" w:ascii="Times New Roman" w:hAnsi="Times New Roman" w:eastAsia="宋体" w:cs="Times New Roman"/>
          <w:color w:val="auto"/>
          <w:highlight w:val="none"/>
          <w:lang w:val="en-US" w:eastAsia="zh-CN"/>
        </w:rPr>
        <w:t>第一类和</w:t>
      </w:r>
      <w:r>
        <w:rPr>
          <w:rFonts w:hint="default" w:ascii="Times New Roman" w:hAnsi="Times New Roman" w:eastAsia="宋体" w:cs="Times New Roman"/>
          <w:color w:val="auto"/>
          <w:highlight w:val="none"/>
        </w:rPr>
        <w:t>第二类用地筛选值中的标准限值</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农用地监测点位各项指标均达到</w:t>
      </w:r>
      <w:r>
        <w:rPr>
          <w:rFonts w:hint="default" w:ascii="Times New Roman" w:hAnsi="Times New Roman" w:eastAsia="宋体" w:cs="Times New Roman"/>
          <w:color w:val="auto"/>
          <w:highlight w:val="none"/>
        </w:rPr>
        <w:t>《土壤环境质量 农用地土壤污染风险管控标准</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试行</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GB 15618-2018</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土壤污染风险筛选值</w:t>
      </w:r>
      <w:r>
        <w:rPr>
          <w:rFonts w:hint="default" w:ascii="Times New Roman" w:hAnsi="Times New Roman" w:eastAsia="宋体" w:cs="Times New Roman"/>
          <w:color w:val="auto"/>
          <w:highlight w:val="none"/>
        </w:rPr>
        <w:t>，项目所在地土壤环境质量现状较好。</w:t>
      </w:r>
    </w:p>
    <w:p w14:paraId="401EC9E8">
      <w:pPr>
        <w:pStyle w:val="6"/>
        <w:numPr>
          <w:ilvl w:val="2"/>
          <w:numId w:val="3"/>
        </w:numPr>
        <w:ind w:left="709" w:leftChars="0" w:hanging="709" w:firstLineChars="0"/>
        <w:rPr>
          <w:rFonts w:hint="default" w:ascii="Times New Roman" w:hAnsi="Times New Roman" w:eastAsia="宋体" w:cs="Times New Roman"/>
          <w:color w:val="auto"/>
          <w:highlight w:val="none"/>
          <w:lang w:eastAsia="zh-CN"/>
        </w:rPr>
      </w:pPr>
      <w:bookmarkStart w:id="396" w:name="_Toc1211"/>
      <w:bookmarkStart w:id="397" w:name="_Toc14359"/>
      <w:bookmarkStart w:id="398" w:name="_Toc22784"/>
      <w:r>
        <w:rPr>
          <w:rFonts w:hint="default" w:ascii="Times New Roman" w:hAnsi="Times New Roman" w:eastAsia="宋体" w:cs="Times New Roman"/>
          <w:color w:val="auto"/>
          <w:highlight w:val="none"/>
          <w:lang w:val="en-US" w:eastAsia="zh-CN"/>
        </w:rPr>
        <w:t>生态环境</w:t>
      </w:r>
      <w:r>
        <w:rPr>
          <w:rFonts w:hint="default" w:ascii="Times New Roman" w:hAnsi="Times New Roman" w:eastAsia="宋体" w:cs="Times New Roman"/>
          <w:color w:val="auto"/>
          <w:highlight w:val="none"/>
        </w:rPr>
        <w:t>现状</w:t>
      </w:r>
      <w:r>
        <w:rPr>
          <w:rFonts w:hint="default" w:ascii="Times New Roman" w:hAnsi="Times New Roman" w:eastAsia="宋体" w:cs="Times New Roman"/>
          <w:color w:val="auto"/>
          <w:highlight w:val="none"/>
          <w:lang w:eastAsia="zh-CN"/>
        </w:rPr>
        <w:t>调查与评价</w:t>
      </w:r>
      <w:bookmarkEnd w:id="396"/>
      <w:bookmarkEnd w:id="397"/>
      <w:bookmarkEnd w:id="398"/>
    </w:p>
    <w:p w14:paraId="7906CB0C">
      <w:pPr>
        <w:keepNext w:val="0"/>
        <w:keepLines w:val="0"/>
        <w:pageBreakBefore w:val="0"/>
        <w:widowControl w:val="0"/>
        <w:kinsoku/>
        <w:wordWrap/>
        <w:overflowPunct/>
        <w:topLinePunct w:val="0"/>
        <w:autoSpaceDE/>
        <w:autoSpaceDN/>
        <w:bidi w:val="0"/>
        <w:adjustRightInd/>
        <w:snapToGrid/>
        <w:spacing w:line="480" w:lineRule="exact"/>
        <w:ind w:firstLine="454"/>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本项目位于城市建设区范围内</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由于多年的开发活动，本</w:t>
      </w:r>
      <w:r>
        <w:rPr>
          <w:rFonts w:hint="default" w:ascii="Times New Roman" w:hAnsi="Times New Roman" w:eastAsia="宋体" w:cs="Times New Roman"/>
          <w:color w:val="auto"/>
          <w:sz w:val="24"/>
          <w:szCs w:val="24"/>
          <w:highlight w:val="none"/>
          <w:lang w:val="en-US" w:eastAsia="zh-CN"/>
        </w:rPr>
        <w:t>项目所在区域</w:t>
      </w:r>
      <w:r>
        <w:rPr>
          <w:rFonts w:hint="default" w:ascii="Times New Roman" w:hAnsi="Times New Roman" w:eastAsia="宋体" w:cs="Times New Roman"/>
          <w:color w:val="auto"/>
          <w:sz w:val="24"/>
          <w:szCs w:val="24"/>
          <w:highlight w:val="none"/>
        </w:rPr>
        <w:t>自然生态环境已被人工生态环境所取代。</w:t>
      </w:r>
      <w:r>
        <w:rPr>
          <w:rFonts w:hint="default" w:ascii="Times New Roman" w:hAnsi="Times New Roman" w:eastAsia="宋体" w:cs="Times New Roman"/>
          <w:color w:val="auto"/>
          <w:sz w:val="24"/>
          <w:szCs w:val="24"/>
          <w:highlight w:val="none"/>
          <w:lang w:val="en-US" w:eastAsia="zh-CN"/>
        </w:rPr>
        <w:t>区域内</w:t>
      </w:r>
      <w:r>
        <w:rPr>
          <w:rFonts w:hint="default" w:ascii="Times New Roman" w:hAnsi="Times New Roman" w:eastAsia="宋体" w:cs="Times New Roman"/>
          <w:color w:val="auto"/>
          <w:sz w:val="24"/>
          <w:szCs w:val="24"/>
          <w:highlight w:val="none"/>
        </w:rPr>
        <w:t>土地肥沃，植被主要以水稻、玉米、大豆等粮食作物为主，其他农作物主要为蔬菜。此外，道路两旁及房前屋后</w:t>
      </w:r>
      <w:r>
        <w:rPr>
          <w:rFonts w:hint="default" w:ascii="Times New Roman" w:hAnsi="Times New Roman" w:eastAsia="宋体" w:cs="Times New Roman"/>
          <w:color w:val="auto"/>
          <w:sz w:val="24"/>
          <w:szCs w:val="24"/>
          <w:highlight w:val="none"/>
          <w:lang w:val="en-US" w:eastAsia="zh-CN"/>
        </w:rPr>
        <w:t>栽种</w:t>
      </w:r>
      <w:r>
        <w:rPr>
          <w:rFonts w:hint="default" w:ascii="Times New Roman" w:hAnsi="Times New Roman" w:eastAsia="宋体" w:cs="Times New Roman"/>
          <w:color w:val="auto"/>
          <w:sz w:val="24"/>
          <w:szCs w:val="24"/>
          <w:highlight w:val="none"/>
        </w:rPr>
        <w:t>的各种绿化或经济林木也有效地改善了生态环境质量。本区陆生动物除了人工饲养的牛、猪、鸡、兔、羊之外，还有少量的野生动物，包括鸟、鼠、蛙、昆虫等，无大型野生哺乳动物</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本项目区域范围内不涉及</w:t>
      </w:r>
      <w:r>
        <w:rPr>
          <w:rFonts w:hint="eastAsia" w:ascii="Times New Roman" w:hAnsi="Times New Roman" w:eastAsia="宋体" w:cs="Times New Roman"/>
          <w:color w:val="auto"/>
          <w:sz w:val="24"/>
          <w:szCs w:val="24"/>
          <w:highlight w:val="none"/>
          <w:lang w:eastAsia="zh-CN"/>
        </w:rPr>
        <w:t>珍稀</w:t>
      </w:r>
      <w:r>
        <w:rPr>
          <w:rFonts w:hint="default" w:ascii="Times New Roman" w:hAnsi="Times New Roman" w:eastAsia="宋体" w:cs="Times New Roman"/>
          <w:color w:val="auto"/>
          <w:sz w:val="24"/>
          <w:szCs w:val="24"/>
          <w:highlight w:val="none"/>
        </w:rPr>
        <w:t>野生保护植物及动物</w:t>
      </w:r>
      <w:r>
        <w:rPr>
          <w:rFonts w:hint="default" w:ascii="Times New Roman" w:hAnsi="Times New Roman" w:eastAsia="宋体" w:cs="Times New Roman"/>
          <w:color w:val="auto"/>
          <w:sz w:val="24"/>
          <w:szCs w:val="24"/>
          <w:highlight w:val="none"/>
          <w:lang w:eastAsia="zh-CN"/>
        </w:rPr>
        <w:t>。</w:t>
      </w:r>
    </w:p>
    <w:p w14:paraId="3E1F50D1">
      <w:pPr>
        <w:pStyle w:val="4"/>
        <w:numPr>
          <w:ilvl w:val="1"/>
          <w:numId w:val="3"/>
        </w:numPr>
        <w:ind w:left="567" w:leftChars="0" w:hanging="567" w:firstLineChars="0"/>
        <w:rPr>
          <w:rFonts w:hint="default" w:ascii="Times New Roman" w:hAnsi="Times New Roman" w:eastAsia="宋体" w:cs="Times New Roman"/>
          <w:b/>
          <w:bCs/>
          <w:color w:val="auto"/>
          <w:highlight w:val="none"/>
        </w:rPr>
      </w:pPr>
      <w:bookmarkStart w:id="399" w:name="_Toc372"/>
      <w:bookmarkStart w:id="400" w:name="_Toc5880"/>
      <w:r>
        <w:rPr>
          <w:rFonts w:hint="default" w:ascii="Times New Roman" w:hAnsi="Times New Roman" w:eastAsia="宋体" w:cs="Times New Roman"/>
          <w:b/>
          <w:bCs/>
          <w:color w:val="auto"/>
          <w:highlight w:val="none"/>
        </w:rPr>
        <w:t>区域环境保护目标调查</w:t>
      </w:r>
      <w:bookmarkEnd w:id="399"/>
      <w:bookmarkEnd w:id="400"/>
    </w:p>
    <w:p w14:paraId="76BD8486">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401" w:name="_Toc107238146"/>
      <w:bookmarkStart w:id="402" w:name="_Toc15814"/>
      <w:bookmarkStart w:id="403" w:name="_Toc105659929"/>
      <w:bookmarkStart w:id="404" w:name="_Toc253"/>
      <w:bookmarkStart w:id="405" w:name="_Toc52"/>
      <w:bookmarkStart w:id="406" w:name="_Toc29827"/>
      <w:r>
        <w:rPr>
          <w:rFonts w:hint="default" w:ascii="Times New Roman" w:hAnsi="Times New Roman" w:eastAsia="宋体" w:cs="Times New Roman"/>
          <w:color w:val="auto"/>
          <w:highlight w:val="none"/>
        </w:rPr>
        <w:t>环境功能区划</w:t>
      </w:r>
      <w:bookmarkEnd w:id="401"/>
      <w:bookmarkEnd w:id="402"/>
      <w:bookmarkEnd w:id="403"/>
      <w:bookmarkEnd w:id="404"/>
      <w:bookmarkEnd w:id="405"/>
      <w:bookmarkEnd w:id="406"/>
    </w:p>
    <w:p w14:paraId="381031F8">
      <w:pPr>
        <w:ind w:firstLine="480"/>
        <w:rPr>
          <w:rFonts w:hint="eastAsia"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（1）水环境：地表水环境执行《地表水环境质量标准》（GB3838-2002）表1地表水环境质量标准基本项目标准限值中Ⅳ类标准</w:t>
      </w:r>
      <w:r>
        <w:rPr>
          <w:rFonts w:hint="eastAsia" w:ascii="Times New Roman" w:hAnsi="Times New Roman" w:eastAsia="宋体" w:cs="Times New Roman"/>
          <w:color w:val="auto"/>
          <w:highlight w:val="none"/>
          <w:lang w:eastAsia="zh-CN"/>
        </w:rPr>
        <w:t>。</w:t>
      </w:r>
    </w:p>
    <w:p w14:paraId="0A503A27">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（2）环境空气：本项目所在区域为二类功能区，环境空气质量标准执行国家《环境空气质量标准》（GB3095-2012）中二级标准。</w:t>
      </w:r>
    </w:p>
    <w:p w14:paraId="17A4CA76">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（3）声环境：项目所在地划分为2类声环境功能区，本项目所在区域执行《声环境质量标准》</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GB3096-2008</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中2类标准。</w:t>
      </w:r>
    </w:p>
    <w:p w14:paraId="6D3A9CB2">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（4）土壤环境：项目所在区域</w:t>
      </w:r>
      <w:r>
        <w:rPr>
          <w:rFonts w:hint="eastAsia" w:ascii="Times New Roman" w:hAnsi="Times New Roman" w:eastAsia="宋体" w:cs="Times New Roman"/>
          <w:color w:val="auto"/>
          <w:highlight w:val="none"/>
          <w:lang w:val="en-US" w:eastAsia="zh-CN"/>
        </w:rPr>
        <w:t>为</w:t>
      </w:r>
      <w:r>
        <w:rPr>
          <w:rFonts w:hint="default" w:ascii="Times New Roman" w:hAnsi="Times New Roman" w:eastAsia="宋体" w:cs="Times New Roman"/>
          <w:color w:val="auto"/>
          <w:highlight w:val="none"/>
        </w:rPr>
        <w:t>工业用地</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土壤执行《土壤环境质量 建设用地土壤污染风险管控标准（试行）》（GB36600-2018）第二类用地标准。</w:t>
      </w:r>
    </w:p>
    <w:p w14:paraId="3D159006">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407" w:name="_Toc25530"/>
      <w:bookmarkStart w:id="408" w:name="_Toc23641"/>
      <w:bookmarkStart w:id="409" w:name="_Toc21001"/>
      <w:r>
        <w:rPr>
          <w:rFonts w:hint="default" w:ascii="Times New Roman" w:hAnsi="Times New Roman" w:eastAsia="宋体" w:cs="Times New Roman"/>
          <w:color w:val="auto"/>
          <w:highlight w:val="none"/>
        </w:rPr>
        <w:t>环境保护目标调查</w:t>
      </w:r>
      <w:bookmarkEnd w:id="407"/>
      <w:bookmarkEnd w:id="408"/>
      <w:bookmarkEnd w:id="409"/>
    </w:p>
    <w:p w14:paraId="62DB064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本项目评价范围为边长5km矩形区域，因此本项目评价范围内无国家、省、市级自然保护区、风景名胜区、名胜古迹、疗养院以及重要的政治文化设施和饮用水水源保护区等保护目标</w:t>
      </w:r>
      <w:r>
        <w:rPr>
          <w:rFonts w:hint="default" w:ascii="Times New Roman" w:hAnsi="Times New Roman" w:eastAsia="宋体" w:cs="Times New Roman"/>
          <w:color w:val="auto"/>
          <w:sz w:val="24"/>
          <w:szCs w:val="24"/>
          <w:highlight w:val="none"/>
          <w:vertAlign w:val="baseline"/>
          <w:lang w:val="en-US" w:eastAsia="zh-CN"/>
        </w:rPr>
        <w:t>。</w:t>
      </w:r>
      <w:r>
        <w:rPr>
          <w:rFonts w:hint="eastAsia" w:ascii="Times New Roman" w:hAnsi="Times New Roman" w:eastAsia="宋体" w:cs="Times New Roman"/>
          <w:color w:val="auto"/>
          <w:sz w:val="24"/>
          <w:szCs w:val="24"/>
          <w:highlight w:val="none"/>
          <w:vertAlign w:val="baseline"/>
          <w:lang w:val="en-US" w:eastAsia="zh-CN"/>
        </w:rPr>
        <w:t>本工程主要环境保护对象及目标主要为本工程所在地周围居民区环境空气质量和声环境质量。</w:t>
      </w:r>
    </w:p>
    <w:p w14:paraId="55A520FD">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厂区</w:t>
      </w:r>
      <w:r>
        <w:rPr>
          <w:rFonts w:hint="eastAsia" w:ascii="Times New Roman" w:hAnsi="Times New Roman" w:eastAsia="宋体" w:cs="Times New Roman"/>
          <w:color w:val="auto"/>
          <w:sz w:val="24"/>
          <w:szCs w:val="24"/>
          <w:highlight w:val="none"/>
          <w:vertAlign w:val="baseline"/>
          <w:lang w:val="en-US" w:eastAsia="zh-CN"/>
        </w:rPr>
        <w:t>东北侧4.3k</w:t>
      </w:r>
      <w:r>
        <w:rPr>
          <w:rFonts w:hint="default" w:ascii="Times New Roman" w:hAnsi="Times New Roman" w:eastAsia="宋体" w:cs="Times New Roman"/>
          <w:color w:val="auto"/>
          <w:sz w:val="24"/>
          <w:szCs w:val="24"/>
          <w:highlight w:val="none"/>
          <w:vertAlign w:val="baseline"/>
          <w:lang w:val="en-US" w:eastAsia="zh-CN"/>
        </w:rPr>
        <w:t>m为</w:t>
      </w:r>
      <w:r>
        <w:rPr>
          <w:rFonts w:hint="eastAsia" w:ascii="Times New Roman" w:hAnsi="Times New Roman" w:eastAsia="宋体" w:cs="Times New Roman"/>
          <w:color w:val="auto"/>
          <w:sz w:val="24"/>
          <w:szCs w:val="24"/>
          <w:highlight w:val="none"/>
          <w:vertAlign w:val="baseline"/>
          <w:lang w:val="en-US" w:eastAsia="zh-CN"/>
        </w:rPr>
        <w:t>柳树岛风景名胜区</w:t>
      </w:r>
      <w:r>
        <w:rPr>
          <w:rFonts w:hint="default" w:ascii="Times New Roman" w:hAnsi="Times New Roman" w:eastAsia="宋体" w:cs="Times New Roman"/>
          <w:color w:val="auto"/>
          <w:sz w:val="24"/>
          <w:szCs w:val="24"/>
          <w:highlight w:val="none"/>
          <w:vertAlign w:val="baseline"/>
          <w:lang w:val="en-US" w:eastAsia="zh-CN"/>
        </w:rPr>
        <w:t>； 厂区东北侧7.1</w:t>
      </w:r>
      <w:r>
        <w:rPr>
          <w:rFonts w:hint="eastAsia" w:ascii="Times New Roman" w:hAnsi="Times New Roman" w:eastAsia="宋体" w:cs="Times New Roman"/>
          <w:color w:val="auto"/>
          <w:sz w:val="24"/>
          <w:szCs w:val="24"/>
          <w:highlight w:val="none"/>
          <w:vertAlign w:val="baseline"/>
          <w:lang w:val="en-US" w:eastAsia="zh-CN"/>
        </w:rPr>
        <w:t>km</w:t>
      </w:r>
      <w:r>
        <w:rPr>
          <w:rFonts w:hint="default" w:ascii="Times New Roman" w:hAnsi="Times New Roman" w:eastAsia="宋体" w:cs="Times New Roman"/>
          <w:color w:val="auto"/>
          <w:sz w:val="24"/>
          <w:szCs w:val="24"/>
          <w:highlight w:val="none"/>
          <w:vertAlign w:val="baseline"/>
          <w:lang w:val="en-US" w:eastAsia="zh-CN"/>
        </w:rPr>
        <w:t>为沿江湿地自然保护区。</w:t>
      </w:r>
      <w:r>
        <w:rPr>
          <w:rFonts w:hint="default" w:ascii="Times New Roman" w:hAnsi="Times New Roman" w:eastAsia="宋体" w:cs="Times New Roman"/>
          <w:color w:val="FF0000"/>
          <w:sz w:val="24"/>
          <w:szCs w:val="24"/>
          <w:highlight w:val="none"/>
          <w:vertAlign w:val="baseline"/>
          <w:lang w:val="en-US" w:eastAsia="zh-CN"/>
        </w:rPr>
        <w:t>各环境保护目标位置</w:t>
      </w:r>
      <w:r>
        <w:rPr>
          <w:rFonts w:hint="eastAsia" w:ascii="Times New Roman" w:hAnsi="Times New Roman" w:eastAsia="宋体" w:cs="Times New Roman"/>
          <w:color w:val="FF0000"/>
          <w:sz w:val="24"/>
          <w:szCs w:val="24"/>
          <w:highlight w:val="none"/>
          <w:vertAlign w:val="baseline"/>
          <w:lang w:val="en-US" w:eastAsia="zh-CN"/>
        </w:rPr>
        <w:t>与本项目相对位置</w:t>
      </w:r>
      <w:r>
        <w:rPr>
          <w:rFonts w:hint="default" w:ascii="Times New Roman" w:hAnsi="Times New Roman" w:eastAsia="宋体" w:cs="Times New Roman"/>
          <w:color w:val="FF0000"/>
          <w:sz w:val="24"/>
          <w:szCs w:val="24"/>
          <w:highlight w:val="none"/>
          <w:vertAlign w:val="baseline"/>
          <w:lang w:val="en-US" w:eastAsia="zh-CN"/>
        </w:rPr>
        <w:t>示意图见图4.2-1</w:t>
      </w:r>
      <w:r>
        <w:rPr>
          <w:rFonts w:hint="default" w:ascii="Times New Roman" w:hAnsi="Times New Roman" w:eastAsia="宋体" w:cs="Times New Roman"/>
          <w:color w:val="auto"/>
          <w:sz w:val="24"/>
          <w:szCs w:val="24"/>
          <w:highlight w:val="none"/>
          <w:vertAlign w:val="baseline"/>
          <w:lang w:val="en-US" w:eastAsia="zh-CN"/>
        </w:rPr>
        <w:t>。</w:t>
      </w:r>
    </w:p>
    <w:p w14:paraId="1ED55EA4">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Times New Roman" w:hAnsi="Times New Roman" w:eastAsia="宋体" w:cs="Times New Roman"/>
          <w:color w:val="auto"/>
          <w:sz w:val="24"/>
          <w:szCs w:val="24"/>
          <w:highlight w:val="none"/>
          <w:vertAlign w:val="baseline"/>
          <w:lang w:val="en-US" w:eastAsia="zh-CN"/>
        </w:rPr>
      </w:pPr>
      <w:r>
        <w:rPr>
          <w:sz w:val="24"/>
        </w:rPr>
        <mc:AlternateContent>
          <mc:Choice Requires="wps">
            <w:drawing>
              <wp:anchor distT="0" distB="0" distL="114300" distR="114300" simplePos="0" relativeHeight="251756544" behindDoc="0" locked="0" layoutInCell="1" allowOverlap="1">
                <wp:simplePos x="0" y="0"/>
                <wp:positionH relativeFrom="column">
                  <wp:posOffset>1033145</wp:posOffset>
                </wp:positionH>
                <wp:positionV relativeFrom="paragraph">
                  <wp:posOffset>1788160</wp:posOffset>
                </wp:positionV>
                <wp:extent cx="1790065" cy="338455"/>
                <wp:effectExtent l="0" t="0" r="0" b="0"/>
                <wp:wrapNone/>
                <wp:docPr id="161" name="圆角矩形标注 161"/>
                <wp:cNvGraphicFramePr/>
                <a:graphic xmlns:a="http://schemas.openxmlformats.org/drawingml/2006/main">
                  <a:graphicData uri="http://schemas.microsoft.com/office/word/2010/wordprocessingShape">
                    <wps:wsp>
                      <wps:cNvSpPr/>
                      <wps:spPr>
                        <a:xfrm>
                          <a:off x="0" y="0"/>
                          <a:ext cx="1790065" cy="338455"/>
                        </a:xfrm>
                        <a:prstGeom prst="wedgeRoundRectCallou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0B0DEED4">
                            <w:pPr>
                              <w:rPr>
                                <w:rFonts w:hint="eastAsia"/>
                                <w:sz w:val="24"/>
                                <w:szCs w:val="24"/>
                              </w:rPr>
                            </w:pPr>
                            <w:r>
                              <w:rPr>
                                <w:rFonts w:hint="eastAsia"/>
                                <w:sz w:val="24"/>
                                <w:szCs w:val="24"/>
                                <w:lang w:val="en-US" w:eastAsia="zh-CN"/>
                              </w:rPr>
                              <w:t>柳树岛风景名胜区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81.35pt;margin-top:140.8pt;height:26.65pt;width:140.95pt;z-index:251756544;v-text-anchor:middle;mso-width-relative:page;mso-height-relative:page;" filled="f" stroked="f" coordsize="21600,21600" o:gfxdata="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&#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ALT74G2QAAAAsBAAAPAAAAAAAAAAEAIAAAACIAAABk&#10;cnMvZG93bnJldi54bWxQSwECFAAUAAAACACHTuJAHEztD3cCAAC3BAAADgAAAAAAAAABACAAAAAo&#10;AQAAZHJzL2Uyb0RvYy54bWxQSwUGAAAAAAYABgBZAQAAEQYAAAAA&#10;" adj="6300,24300,14400">
                <v:fill on="f" focussize="0,0"/>
                <v:stroke on="f" weight="2pt"/>
                <v:imagedata o:title=""/>
                <o:lock v:ext="edit" aspectratio="f"/>
                <v:textbox>
                  <w:txbxContent>
                    <w:p w14:paraId="0B0DEED4">
                      <w:pPr>
                        <w:rPr>
                          <w:rFonts w:hint="eastAsia"/>
                          <w:sz w:val="24"/>
                          <w:szCs w:val="24"/>
                        </w:rPr>
                      </w:pPr>
                      <w:r>
                        <w:rPr>
                          <w:rFonts w:hint="eastAsia"/>
                          <w:sz w:val="24"/>
                          <w:szCs w:val="24"/>
                          <w:lang w:val="en-US" w:eastAsia="zh-CN"/>
                        </w:rPr>
                        <w:t>柳树岛风景名胜区</w:t>
                      </w:r>
                    </w:p>
                  </w:txbxContent>
                </v:textbox>
              </v:shape>
            </w:pict>
          </mc:Fallback>
        </mc:AlternateContent>
      </w:r>
      <w:r>
        <w:rPr>
          <w:sz w:val="24"/>
        </w:rPr>
        <mc:AlternateContent>
          <mc:Choice Requires="wps">
            <w:drawing>
              <wp:anchor distT="0" distB="0" distL="114300" distR="114300" simplePos="0" relativeHeight="251761664" behindDoc="0" locked="0" layoutInCell="1" allowOverlap="1">
                <wp:simplePos x="0" y="0"/>
                <wp:positionH relativeFrom="column">
                  <wp:posOffset>1245235</wp:posOffset>
                </wp:positionH>
                <wp:positionV relativeFrom="paragraph">
                  <wp:posOffset>2339975</wp:posOffset>
                </wp:positionV>
                <wp:extent cx="1007110" cy="338455"/>
                <wp:effectExtent l="0" t="0" r="0" b="0"/>
                <wp:wrapNone/>
                <wp:docPr id="166" name="圆角矩形标注 166"/>
                <wp:cNvGraphicFramePr/>
                <a:graphic xmlns:a="http://schemas.openxmlformats.org/drawingml/2006/main">
                  <a:graphicData uri="http://schemas.microsoft.com/office/word/2010/wordprocessingShape">
                    <wps:wsp>
                      <wps:cNvSpPr/>
                      <wps:spPr>
                        <a:xfrm rot="21120000">
                          <a:off x="0" y="0"/>
                          <a:ext cx="1007110" cy="338455"/>
                        </a:xfrm>
                        <a:prstGeom prst="wedgeRoundRectCallou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0599C32C">
                            <w:pPr>
                              <w:jc w:val="both"/>
                              <w:rPr>
                                <w:rFonts w:hint="default"/>
                                <w:b/>
                                <w:bCs/>
                                <w:color w:val="FFFFFF" w:themeColor="background1"/>
                                <w:sz w:val="24"/>
                                <w:szCs w:val="24"/>
                                <w:lang w:val="en-US"/>
                                <w14:textFill>
                                  <w14:solidFill>
                                    <w14:schemeClr w14:val="bg1"/>
                                  </w14:solidFill>
                                </w14:textFill>
                              </w:rPr>
                            </w:pPr>
                            <w:r>
                              <w:rPr>
                                <w:rFonts w:hint="eastAsia"/>
                                <w:b/>
                                <w:bCs/>
                                <w:color w:val="FFFFFF" w:themeColor="background1"/>
                                <w:sz w:val="24"/>
                                <w:szCs w:val="24"/>
                                <w:lang w:val="en-US" w:eastAsia="zh-CN"/>
                                <w14:textFill>
                                  <w14:solidFill>
                                    <w14:schemeClr w14:val="bg1"/>
                                  </w14:solidFill>
                                </w14:textFill>
                              </w:rPr>
                              <w:t>10km</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98.05pt;margin-top:184.25pt;height:26.65pt;width:79.3pt;rotation:-524288f;z-index:251761664;v-text-anchor:middle;mso-width-relative:page;mso-height-relative:page;" filled="f" stroked="f" coordsize="21600,21600" o:gfxdata="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WEwpntsAAAALAQAADwAAAAAAAAAB&#10;ACAAAAAiAAAAZHJzL2Rvd25yZXYueG1sUEsBAhQAFAAAAAgAh07iQA/D/qd/AgAAxgQAAA4AAAAA&#10;AAAAAQAgAAAAKgEAAGRycy9lMm9Eb2MueG1sUEsFBgAAAAAGAAYAWQEAABsGAAAAAA==&#10;" adj="6300,24300,14400">
                <v:fill on="f" focussize="0,0"/>
                <v:stroke on="f" weight="2pt"/>
                <v:imagedata o:title=""/>
                <o:lock v:ext="edit" aspectratio="f"/>
                <v:textbox>
                  <w:txbxContent>
                    <w:p w14:paraId="0599C32C">
                      <w:pPr>
                        <w:jc w:val="both"/>
                        <w:rPr>
                          <w:rFonts w:hint="default"/>
                          <w:b/>
                          <w:bCs/>
                          <w:color w:val="FFFFFF" w:themeColor="background1"/>
                          <w:sz w:val="24"/>
                          <w:szCs w:val="24"/>
                          <w:lang w:val="en-US"/>
                          <w14:textFill>
                            <w14:solidFill>
                              <w14:schemeClr w14:val="bg1"/>
                            </w14:solidFill>
                          </w14:textFill>
                        </w:rPr>
                      </w:pPr>
                      <w:r>
                        <w:rPr>
                          <w:rFonts w:hint="eastAsia"/>
                          <w:b/>
                          <w:bCs/>
                          <w:color w:val="FFFFFF" w:themeColor="background1"/>
                          <w:sz w:val="24"/>
                          <w:szCs w:val="24"/>
                          <w:lang w:val="en-US" w:eastAsia="zh-CN"/>
                          <w14:textFill>
                            <w14:solidFill>
                              <w14:schemeClr w14:val="bg1"/>
                            </w14:solidFill>
                          </w14:textFill>
                        </w:rPr>
                        <w:t>10km</w:t>
                      </w:r>
                    </w:p>
                  </w:txbxContent>
                </v:textbox>
              </v:shape>
            </w:pict>
          </mc:Fallback>
        </mc:AlternateContent>
      </w:r>
      <w:r>
        <w:rPr>
          <w:sz w:val="24"/>
        </w:rPr>
        <mc:AlternateContent>
          <mc:Choice Requires="wps">
            <w:drawing>
              <wp:anchor distT="0" distB="0" distL="114300" distR="114300" simplePos="0" relativeHeight="251759616" behindDoc="0" locked="0" layoutInCell="1" allowOverlap="1">
                <wp:simplePos x="0" y="0"/>
                <wp:positionH relativeFrom="column">
                  <wp:posOffset>-18415</wp:posOffset>
                </wp:positionH>
                <wp:positionV relativeFrom="paragraph">
                  <wp:posOffset>2261235</wp:posOffset>
                </wp:positionV>
                <wp:extent cx="1007110" cy="338455"/>
                <wp:effectExtent l="0" t="0" r="0" b="0"/>
                <wp:wrapNone/>
                <wp:docPr id="164" name="圆角矩形标注 164"/>
                <wp:cNvGraphicFramePr/>
                <a:graphic xmlns:a="http://schemas.openxmlformats.org/drawingml/2006/main">
                  <a:graphicData uri="http://schemas.microsoft.com/office/word/2010/wordprocessingShape">
                    <wps:wsp>
                      <wps:cNvSpPr/>
                      <wps:spPr>
                        <a:xfrm rot="21120000">
                          <a:off x="0" y="0"/>
                          <a:ext cx="1007110" cy="338455"/>
                        </a:xfrm>
                        <a:prstGeom prst="wedgeRoundRectCallou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3CB82EB6">
                            <w:pPr>
                              <w:jc w:val="both"/>
                              <w:rPr>
                                <w:rFonts w:hint="default"/>
                                <w:b/>
                                <w:bCs/>
                                <w:color w:val="FFFFFF" w:themeColor="background1"/>
                                <w:sz w:val="24"/>
                                <w:szCs w:val="24"/>
                                <w:lang w:val="en-US"/>
                                <w14:textFill>
                                  <w14:solidFill>
                                    <w14:schemeClr w14:val="bg1"/>
                                  </w14:solidFill>
                                </w14:textFill>
                              </w:rPr>
                            </w:pPr>
                            <w:r>
                              <w:rPr>
                                <w:rFonts w:hint="eastAsia"/>
                                <w:b/>
                                <w:bCs/>
                                <w:color w:val="FFFFFF" w:themeColor="background1"/>
                                <w:sz w:val="24"/>
                                <w:szCs w:val="24"/>
                                <w:lang w:val="en-US" w:eastAsia="zh-CN"/>
                                <w14:textFill>
                                  <w14:solidFill>
                                    <w14:schemeClr w14:val="bg1"/>
                                  </w14:solidFill>
                                </w14:textFill>
                              </w:rPr>
                              <w:t>4.6km</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1.45pt;margin-top:178.05pt;height:26.65pt;width:79.3pt;rotation:-524288f;z-index:251759616;v-text-anchor:middle;mso-width-relative:page;mso-height-relative:page;" filled="f" stroked="f" coordsize="21600,21600" o:gfxdata="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Bf0ZQ72gAAAAoBAAAPAAAAAAAAAAEA&#10;IAAAACIAAABkcnMvZG93bnJldi54bWxQSwECFAAUAAAACACHTuJAXw0Umn8CAADGBAAADgAAAAAA&#10;AAABACAAAAApAQAAZHJzL2Uyb0RvYy54bWxQSwUGAAAAAAYABgBZAQAAGgYAAAAA&#10;" adj="6300,24300,14400">
                <v:fill on="f" focussize="0,0"/>
                <v:stroke on="f" weight="2pt"/>
                <v:imagedata o:title=""/>
                <o:lock v:ext="edit" aspectratio="f"/>
                <v:textbox>
                  <w:txbxContent>
                    <w:p w14:paraId="3CB82EB6">
                      <w:pPr>
                        <w:jc w:val="both"/>
                        <w:rPr>
                          <w:rFonts w:hint="default"/>
                          <w:b/>
                          <w:bCs/>
                          <w:color w:val="FFFFFF" w:themeColor="background1"/>
                          <w:sz w:val="24"/>
                          <w:szCs w:val="24"/>
                          <w:lang w:val="en-US"/>
                          <w14:textFill>
                            <w14:solidFill>
                              <w14:schemeClr w14:val="bg1"/>
                            </w14:solidFill>
                          </w14:textFill>
                        </w:rPr>
                      </w:pPr>
                      <w:r>
                        <w:rPr>
                          <w:rFonts w:hint="eastAsia"/>
                          <w:b/>
                          <w:bCs/>
                          <w:color w:val="FFFFFF" w:themeColor="background1"/>
                          <w:sz w:val="24"/>
                          <w:szCs w:val="24"/>
                          <w:lang w:val="en-US" w:eastAsia="zh-CN"/>
                          <w14:textFill>
                            <w14:solidFill>
                              <w14:schemeClr w14:val="bg1"/>
                            </w14:solidFill>
                          </w14:textFill>
                        </w:rPr>
                        <w:t>4.6km</w:t>
                      </w:r>
                    </w:p>
                  </w:txbxContent>
                </v:textbox>
              </v:shape>
            </w:pict>
          </mc:Fallback>
        </mc:AlternateContent>
      </w:r>
      <w:r>
        <w:rPr>
          <w:sz w:val="24"/>
        </w:rPr>
        <mc:AlternateContent>
          <mc:Choice Requires="wps">
            <w:drawing>
              <wp:anchor distT="0" distB="0" distL="114300" distR="114300" simplePos="0" relativeHeight="251760640" behindDoc="0" locked="0" layoutInCell="1" allowOverlap="1">
                <wp:simplePos x="0" y="0"/>
                <wp:positionH relativeFrom="column">
                  <wp:posOffset>429895</wp:posOffset>
                </wp:positionH>
                <wp:positionV relativeFrom="paragraph">
                  <wp:posOffset>2065655</wp:posOffset>
                </wp:positionV>
                <wp:extent cx="2603500" cy="635000"/>
                <wp:effectExtent l="3175" t="12065" r="3175" b="19685"/>
                <wp:wrapNone/>
                <wp:docPr id="165" name="直接连接符 165"/>
                <wp:cNvGraphicFramePr/>
                <a:graphic xmlns:a="http://schemas.openxmlformats.org/drawingml/2006/main">
                  <a:graphicData uri="http://schemas.microsoft.com/office/word/2010/wordprocessingShape">
                    <wps:wsp>
                      <wps:cNvCnPr/>
                      <wps:spPr>
                        <a:xfrm flipV="1">
                          <a:off x="0" y="0"/>
                          <a:ext cx="2603500" cy="63500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33.85pt;margin-top:162.65pt;height:50pt;width:205pt;z-index:251760640;mso-width-relative:page;mso-height-relative:page;" filled="f" stroked="t" coordsize="21600,21600" o:gfxdata="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8pjYX&#10;2AAAAAoBAAAPAAAAAAAAAAEAIAAAACIAAABkcnMvZG93bnJldi54bWxQSwECFAAUAAAACACHTuJA&#10;TMNvI+gBAACuAwAADgAAAAAAAAABACAAAAAnAQAAZHJzL2Uyb0RvYy54bWxQSwUGAAAAAAYABgBZ&#10;AQAAgQUAAAAA&#10;">
                <v:fill on="f" focussize="0,0"/>
                <v:stroke weight="2pt" color="#4F81BD [3204]" joinstyle="round"/>
                <v:imagedata o:title=""/>
                <o:lock v:ext="edit" aspectratio="f"/>
              </v:line>
            </w:pict>
          </mc:Fallback>
        </mc:AlternateContent>
      </w:r>
      <w:r>
        <w:rPr>
          <w:sz w:val="24"/>
        </w:rPr>
        <mc:AlternateContent>
          <mc:Choice Requires="wps">
            <w:drawing>
              <wp:anchor distT="0" distB="0" distL="114300" distR="114300" simplePos="0" relativeHeight="251758592" behindDoc="0" locked="0" layoutInCell="1" allowOverlap="1">
                <wp:simplePos x="0" y="0"/>
                <wp:positionH relativeFrom="column">
                  <wp:posOffset>419100</wp:posOffset>
                </wp:positionH>
                <wp:positionV relativeFrom="paragraph">
                  <wp:posOffset>2388235</wp:posOffset>
                </wp:positionV>
                <wp:extent cx="1143000" cy="190500"/>
                <wp:effectExtent l="1905" t="12700" r="17145" b="25400"/>
                <wp:wrapNone/>
                <wp:docPr id="163" name="直接连接符 163"/>
                <wp:cNvGraphicFramePr/>
                <a:graphic xmlns:a="http://schemas.openxmlformats.org/drawingml/2006/main">
                  <a:graphicData uri="http://schemas.microsoft.com/office/word/2010/wordprocessingShape">
                    <wps:wsp>
                      <wps:cNvCnPr/>
                      <wps:spPr>
                        <a:xfrm flipV="1">
                          <a:off x="1564005" y="5734050"/>
                          <a:ext cx="1143000" cy="19050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33pt;margin-top:188.05pt;height:15pt;width:90pt;z-index:251758592;mso-width-relative:page;mso-height-relative:page;" filled="f" stroked="t" coordsize="21600,21600" o:gfxdata="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6VcHY2AAAAAoBAAAPAAAAAAAAAAEAIAAAACIAAABkcnMvZG93bnJldi54bWxQSwEC&#10;FAAUAAAACACHTuJAG0CTDPQBAAC6AwAADgAAAAAAAAABACAAAAAnAQAAZHJzL2Uyb0RvYy54bWxQ&#10;SwUGAAAAAAYABgBZAQAAjQUAAAAA&#10;">
                <v:fill on="f" focussize="0,0"/>
                <v:stroke weight="2pt" color="#4F81BD [3204]" joinstyle="round"/>
                <v:imagedata o:title=""/>
                <o:lock v:ext="edit" aspectratio="f"/>
              </v:line>
            </w:pict>
          </mc:Fallback>
        </mc:AlternateContent>
      </w:r>
      <w:r>
        <w:rPr>
          <w:sz w:val="24"/>
        </w:rPr>
        <mc:AlternateContent>
          <mc:Choice Requires="wps">
            <w:drawing>
              <wp:anchor distT="0" distB="0" distL="114300" distR="114300" simplePos="0" relativeHeight="251757568" behindDoc="0" locked="0" layoutInCell="1" allowOverlap="1">
                <wp:simplePos x="0" y="0"/>
                <wp:positionH relativeFrom="column">
                  <wp:posOffset>-261620</wp:posOffset>
                </wp:positionH>
                <wp:positionV relativeFrom="paragraph">
                  <wp:posOffset>2651760</wp:posOffset>
                </wp:positionV>
                <wp:extent cx="1790065" cy="338455"/>
                <wp:effectExtent l="0" t="0" r="0" b="0"/>
                <wp:wrapNone/>
                <wp:docPr id="162" name="圆角矩形标注 162"/>
                <wp:cNvGraphicFramePr/>
                <a:graphic xmlns:a="http://schemas.openxmlformats.org/drawingml/2006/main">
                  <a:graphicData uri="http://schemas.microsoft.com/office/word/2010/wordprocessingShape">
                    <wps:wsp>
                      <wps:cNvSpPr/>
                      <wps:spPr>
                        <a:xfrm>
                          <a:off x="0" y="0"/>
                          <a:ext cx="1790065" cy="338455"/>
                        </a:xfrm>
                        <a:prstGeom prst="wedgeRoundRectCallou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69B91DFD">
                            <w:pPr>
                              <w:rPr>
                                <w:rFonts w:hint="default"/>
                                <w:sz w:val="24"/>
                                <w:szCs w:val="24"/>
                                <w:lang w:val="en-US"/>
                              </w:rPr>
                            </w:pPr>
                            <w:r>
                              <w:rPr>
                                <w:rFonts w:hint="eastAsia"/>
                                <w:sz w:val="24"/>
                                <w:szCs w:val="24"/>
                                <w:lang w:val="en-US" w:eastAsia="zh-CN"/>
                              </w:rPr>
                              <w:t>本项目位置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20.6pt;margin-top:208.8pt;height:26.65pt;width:140.95pt;z-index:251757568;v-text-anchor:middle;mso-width-relative:page;mso-height-relative:page;" filled="f" stroked="f" coordsize="21600,21600" o:gfxdata="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Aaft4k2QAAAAsBAAAPAAAAAAAAAAEAIAAAACIAAABk&#10;cnMvZG93bnJldi54bWxQSwECFAAUAAAACACHTuJA8MOSwHcCAAC3BAAADgAAAAAAAAABACAAAAAo&#10;AQAAZHJzL2Uyb0RvYy54bWxQSwUGAAAAAAYABgBZAQAAEQYAAAAA&#10;" adj="6300,24300,14400">
                <v:fill on="f" focussize="0,0"/>
                <v:stroke on="f" weight="2pt"/>
                <v:imagedata o:title=""/>
                <o:lock v:ext="edit" aspectratio="f"/>
                <v:textbox>
                  <w:txbxContent>
                    <w:p w14:paraId="69B91DFD">
                      <w:pPr>
                        <w:rPr>
                          <w:rFonts w:hint="default"/>
                          <w:sz w:val="24"/>
                          <w:szCs w:val="24"/>
                          <w:lang w:val="en-US"/>
                        </w:rPr>
                      </w:pPr>
                      <w:r>
                        <w:rPr>
                          <w:rFonts w:hint="eastAsia"/>
                          <w:sz w:val="24"/>
                          <w:szCs w:val="24"/>
                          <w:lang w:val="en-US" w:eastAsia="zh-CN"/>
                        </w:rPr>
                        <w:t>本项目位置</w:t>
                      </w:r>
                    </w:p>
                  </w:txbxContent>
                </v:textbox>
              </v:shape>
            </w:pict>
          </mc:Fallback>
        </mc:AlternateContent>
      </w:r>
      <w:r>
        <w:rPr>
          <w:sz w:val="24"/>
        </w:rPr>
        <mc:AlternateContent>
          <mc:Choice Requires="wps">
            <w:drawing>
              <wp:anchor distT="0" distB="0" distL="114300" distR="114300" simplePos="0" relativeHeight="251755520" behindDoc="0" locked="0" layoutInCell="1" allowOverlap="1">
                <wp:simplePos x="0" y="0"/>
                <wp:positionH relativeFrom="column">
                  <wp:posOffset>2661920</wp:posOffset>
                </wp:positionH>
                <wp:positionV relativeFrom="paragraph">
                  <wp:posOffset>738505</wp:posOffset>
                </wp:positionV>
                <wp:extent cx="3027680" cy="338455"/>
                <wp:effectExtent l="0" t="0" r="0" b="0"/>
                <wp:wrapNone/>
                <wp:docPr id="160" name="圆角矩形标注 160"/>
                <wp:cNvGraphicFramePr/>
                <a:graphic xmlns:a="http://schemas.openxmlformats.org/drawingml/2006/main">
                  <a:graphicData uri="http://schemas.microsoft.com/office/word/2010/wordprocessingShape">
                    <wps:wsp>
                      <wps:cNvSpPr/>
                      <wps:spPr>
                        <a:xfrm>
                          <a:off x="4410710" y="4115435"/>
                          <a:ext cx="3027680" cy="338455"/>
                        </a:xfrm>
                        <a:prstGeom prst="wedgeRoundRectCallou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38DADF0C">
                            <w:pPr>
                              <w:jc w:val="center"/>
                            </w:pPr>
                            <w:r>
                              <w:rPr>
                                <w:rFonts w:hint="eastAsia"/>
                              </w:rPr>
                              <w:t>黑龙江佳木斯沿江湿地保护区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209.6pt;margin-top:58.15pt;height:26.65pt;width:238.4pt;z-index:251755520;v-text-anchor:middle;mso-width-relative:page;mso-height-relative:page;" filled="f" stroked="f" coordsize="21600,21600" o:gfxdata="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BtPEd3YAAAACwEAAA8AAAAAAAAA&#10;AQAgAAAAIgAAAGRycy9kb3ducmV2LnhtbFBLAQIUABQAAAAIAIdO4kD0/8rpgwIAAMMEAAAOAAAA&#10;AAAAAAEAIAAAACcBAABkcnMvZTJvRG9jLnhtbFBLBQYAAAAABgAGAFkBAAAcBgAAAAA=&#10;" adj="6300,24300,14400">
                <v:fill on="f" focussize="0,0"/>
                <v:stroke on="f" weight="2pt"/>
                <v:imagedata o:title=""/>
                <o:lock v:ext="edit" aspectratio="f"/>
                <v:textbox>
                  <w:txbxContent>
                    <w:p w14:paraId="38DADF0C">
                      <w:pPr>
                        <w:jc w:val="center"/>
                      </w:pPr>
                      <w:r>
                        <w:rPr>
                          <w:rFonts w:hint="eastAsia"/>
                        </w:rPr>
                        <w:t>黑龙江佳木斯沿江湿地保护区</w:t>
                      </w:r>
                    </w:p>
                  </w:txbxContent>
                </v:textbox>
              </v:shape>
            </w:pict>
          </mc:Fallback>
        </mc:AlternateContent>
      </w:r>
      <w:r>
        <w:rPr>
          <w:rFonts w:hint="default" w:ascii="Times New Roman" w:hAnsi="Times New Roman" w:eastAsia="宋体" w:cs="Times New Roman"/>
          <w:color w:val="auto"/>
          <w:sz w:val="24"/>
          <w:szCs w:val="24"/>
          <w:highlight w:val="none"/>
          <w:vertAlign w:val="baseline"/>
          <w:lang w:val="en-US" w:eastAsia="zh-CN"/>
        </w:rPr>
        <w:drawing>
          <wp:anchor distT="0" distB="0" distL="114300" distR="114300" simplePos="0" relativeHeight="251754496" behindDoc="0" locked="0" layoutInCell="1" allowOverlap="1">
            <wp:simplePos x="0" y="0"/>
            <wp:positionH relativeFrom="column">
              <wp:posOffset>-44450</wp:posOffset>
            </wp:positionH>
            <wp:positionV relativeFrom="paragraph">
              <wp:posOffset>36195</wp:posOffset>
            </wp:positionV>
            <wp:extent cx="5480050" cy="3071495"/>
            <wp:effectExtent l="0" t="0" r="6350" b="14605"/>
            <wp:wrapTopAndBottom/>
            <wp:docPr id="159"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45"/>
                    <pic:cNvPicPr>
                      <a:picLocks noChangeAspect="1"/>
                    </pic:cNvPicPr>
                  </pic:nvPicPr>
                  <pic:blipFill>
                    <a:blip r:embed="rId95"/>
                    <a:stretch>
                      <a:fillRect/>
                    </a:stretch>
                  </pic:blipFill>
                  <pic:spPr>
                    <a:xfrm>
                      <a:off x="0" y="0"/>
                      <a:ext cx="5480050" cy="3071495"/>
                    </a:xfrm>
                    <a:prstGeom prst="rect">
                      <a:avLst/>
                    </a:prstGeom>
                    <a:noFill/>
                    <a:ln>
                      <a:noFill/>
                    </a:ln>
                  </pic:spPr>
                </pic:pic>
              </a:graphicData>
            </a:graphic>
          </wp:anchor>
        </w:drawing>
      </w:r>
      <w:r>
        <w:rPr>
          <w:rFonts w:hint="eastAsia" w:ascii="Times New Roman" w:hAnsi="Times New Roman" w:eastAsia="宋体" w:cs="Times New Roman"/>
          <w:color w:val="auto"/>
          <w:sz w:val="24"/>
          <w:szCs w:val="24"/>
          <w:highlight w:val="none"/>
          <w:vertAlign w:val="baseline"/>
          <w:lang w:val="en-US" w:eastAsia="zh-CN"/>
        </w:rPr>
        <w:t>图4.2-1  环境保护目标位置与本项目相对位置示意图</w:t>
      </w:r>
    </w:p>
    <w:p w14:paraId="0EEEDBB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1.黑龙江佳木斯沿江湿地保护区：</w:t>
      </w:r>
    </w:p>
    <w:p w14:paraId="7CC2711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（1）保护区概况</w:t>
      </w:r>
    </w:p>
    <w:p w14:paraId="784139D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 xml:space="preserve">沿江湿地自然保护区位于黑龙江省佳木斯市东北部，松花江下游北岸。保护 </w:t>
      </w:r>
    </w:p>
    <w:p w14:paraId="214F0D39">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区沿松花江东北西南带状延伸，其地理坐标</w:t>
      </w:r>
      <w:r>
        <w:rPr>
          <w:rFonts w:hint="default" w:ascii="Times New Roman" w:hAnsi="Times New Roman" w:eastAsia="宋体" w:cs="Times New Roman"/>
          <w:color w:val="auto"/>
          <w:sz w:val="24"/>
          <w:szCs w:val="24"/>
          <w:highlight w:val="none"/>
          <w:vertAlign w:val="baseline"/>
          <w:lang w:val="en-US" w:eastAsia="zh-CN"/>
        </w:rPr>
        <w:t>为N46°50'42″－47°02'55″， E130°25'14″－130°36'08″，保护区长26km，总面积为 11267km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vertAlign w:val="baseline"/>
          <w:lang w:val="en-US" w:eastAsia="zh-CN"/>
        </w:rPr>
        <w:t xml:space="preserve">。 </w:t>
      </w:r>
    </w:p>
    <w:p w14:paraId="51725C6B">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佳木斯沿江湿地自然保护区成立于 2007年8月，由黑龙江省人民政府批准为省级自然保护区（黑政函〔2007〕57号），保护区总面积为15723hm</w:t>
      </w:r>
      <w:r>
        <w:rPr>
          <w:rFonts w:hint="eastAsia" w:ascii="Times New Roman" w:hAnsi="Times New Roman" w:eastAsia="宋体" w:cs="Times New Roman"/>
          <w:color w:val="auto"/>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vertAlign w:val="baseline"/>
          <w:lang w:val="en-US" w:eastAsia="zh-CN"/>
        </w:rPr>
        <w:t>。保护区成立后，得到上级主管部门的高度重视和大力支持，经过保护区全体职工的艰苦奋斗与不懈努力，在资源保护和本底调查等方面做了大量工作，取得了可喜的成绩，各项事业得到了蓬勃的发展。2012年12月又对保护区范围和功能区划进行了调整（黑政函〔2012〕160号），保护区总面积为11267hm</w:t>
      </w:r>
      <w:r>
        <w:rPr>
          <w:rFonts w:hint="eastAsia" w:ascii="Times New Roman" w:hAnsi="Times New Roman" w:eastAsia="宋体" w:cs="Times New Roman"/>
          <w:color w:val="auto"/>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vertAlign w:val="baseline"/>
          <w:lang w:val="en-US" w:eastAsia="zh-CN"/>
        </w:rPr>
        <w:t>。</w:t>
      </w:r>
    </w:p>
    <w:p w14:paraId="7C75BBA4">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（2）保护对象</w:t>
      </w:r>
    </w:p>
    <w:p w14:paraId="3EF81BB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黑龙江佳木斯沿江湿地自然区的主要保护对象是内陆湿地生态系统及其栖息的珍稀水禽。据初步调查统计佳木斯沿江湿地自然保护区植被组成中共有高等植物114科263属463种，三江平原分布的大部分植物在保护区内均有分布。黑龙江佳木斯沿江湿地自然保护区在动物地理区划上属古北界东北区长白山亚区。脊椎动物资源以温带栖息类型的动物为主。据统计全区共有脊椎动物6纲32目70科170属295种。</w:t>
      </w:r>
    </w:p>
    <w:p w14:paraId="60C9BE0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（3）功能区划</w:t>
      </w:r>
    </w:p>
    <w:p w14:paraId="7F41B9E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 xml:space="preserve">佳木斯沿江湿地自然保护区北部与佳郊的莲江口镇、平安乡相连，南与佳木 斯市区和松江乡、建国乡由松花江相连，东部与桦川县接壤。根据自然保护区功 能区划的理论与原则，为使本区域自然生态系统得到更好地保护，结合佳木斯沿 江湿地自然保护区资源分布特点及生态保护功能与其它功能协调统一的需要，现 将保护区按核心区、缓冲区、实验区三个功能区进行划分。为了便于管理，保护 </w:t>
      </w:r>
    </w:p>
    <w:p w14:paraId="36DB9549">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 xml:space="preserve">区各功能区边界主要以土地利用斑块为区划界限，其区划结果如下： </w:t>
      </w:r>
    </w:p>
    <w:p w14:paraId="3CF09D6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保护区总面积为 11267hm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vertAlign w:val="baseline"/>
          <w:lang w:val="en-US" w:eastAsia="zh-CN"/>
        </w:rPr>
        <w:t>。其中，核心区面积 4227hm</w:t>
      </w:r>
      <w:r>
        <w:rPr>
          <w:rFonts w:hint="eastAsia"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vertAlign w:val="baseline"/>
          <w:lang w:val="en-US" w:eastAsia="zh-CN"/>
        </w:rPr>
        <w:t>，占保护区总面积 的37.5%，缓冲区面积2169hm²，占保护区总面积的19.3%，实验区面积4871hm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vertAlign w:val="baseline"/>
          <w:lang w:val="en-US" w:eastAsia="zh-CN"/>
        </w:rPr>
        <w:t xml:space="preserve">， </w:t>
      </w:r>
    </w:p>
    <w:p w14:paraId="1CE7DCC9">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vertAlign w:val="baseline"/>
          <w:lang w:val="en-US" w:eastAsia="zh-CN"/>
        </w:rPr>
        <w:t>占保护区总面积的43.2%。</w:t>
      </w:r>
    </w:p>
    <w:p w14:paraId="058FAFD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jc w:val="both"/>
        <w:textAlignment w:val="auto"/>
        <w:rPr>
          <w:rFonts w:hint="eastAsia" w:ascii="Times New Roman" w:hAnsi="Times New Roman" w:eastAsia="宋体" w:cs="Times New Roman"/>
          <w:color w:val="FF0000"/>
          <w:sz w:val="24"/>
          <w:szCs w:val="24"/>
          <w:highlight w:val="none"/>
          <w:vertAlign w:val="baseline"/>
          <w:lang w:val="en-US" w:eastAsia="zh-CN"/>
        </w:rPr>
      </w:pPr>
      <w:r>
        <w:rPr>
          <w:rFonts w:hint="eastAsia" w:ascii="Times New Roman" w:hAnsi="Times New Roman" w:eastAsia="宋体" w:cs="Times New Roman"/>
          <w:color w:val="FF0000"/>
          <w:sz w:val="24"/>
          <w:szCs w:val="24"/>
          <w:highlight w:val="none"/>
          <w:vertAlign w:val="baseline"/>
          <w:lang w:val="en-US" w:eastAsia="zh-CN"/>
        </w:rPr>
        <w:t>2.柳树岛风景名胜区</w:t>
      </w:r>
    </w:p>
    <w:p w14:paraId="711A028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jc w:val="both"/>
        <w:textAlignment w:val="auto"/>
        <w:rPr>
          <w:rFonts w:hint="default" w:ascii="Times New Roman" w:hAnsi="Times New Roman" w:eastAsia="宋体" w:cs="Times New Roman"/>
          <w:color w:val="FF0000"/>
          <w:sz w:val="24"/>
          <w:szCs w:val="24"/>
          <w:highlight w:val="none"/>
          <w:vertAlign w:val="baseline"/>
          <w:lang w:val="en-US" w:eastAsia="zh-CN"/>
        </w:rPr>
      </w:pPr>
      <w:r>
        <w:rPr>
          <w:rFonts w:hint="default" w:ascii="Times New Roman" w:hAnsi="Times New Roman" w:eastAsia="宋体" w:cs="Times New Roman"/>
          <w:color w:val="FF0000"/>
          <w:sz w:val="24"/>
          <w:szCs w:val="24"/>
          <w:highlight w:val="none"/>
          <w:vertAlign w:val="baseline"/>
          <w:lang w:val="en-US" w:eastAsia="zh-CN"/>
        </w:rPr>
        <w:t>柳树岛风景名胜区，又名晨星岛，是位于黑龙江省佳木斯市城区北侧松花江中的江心岛，也是松花江流域最大的江心岛</w:t>
      </w:r>
      <w:r>
        <w:rPr>
          <w:rFonts w:hint="eastAsia" w:ascii="Times New Roman" w:hAnsi="Times New Roman" w:eastAsia="宋体" w:cs="Times New Roman"/>
          <w:color w:val="FF0000"/>
          <w:sz w:val="24"/>
          <w:szCs w:val="24"/>
          <w:highlight w:val="none"/>
          <w:vertAlign w:val="baseline"/>
          <w:lang w:val="en-US" w:eastAsia="zh-CN"/>
        </w:rPr>
        <w:t>，总面积约11.24平方公里。</w:t>
      </w:r>
    </w:p>
    <w:p w14:paraId="21C1B8CB">
      <w:pPr>
        <w:pStyle w:val="4"/>
        <w:numPr>
          <w:ilvl w:val="1"/>
          <w:numId w:val="3"/>
        </w:numPr>
        <w:ind w:left="567" w:leftChars="0" w:hanging="567" w:firstLineChars="0"/>
        <w:rPr>
          <w:rFonts w:hint="default" w:ascii="Times New Roman" w:hAnsi="Times New Roman" w:eastAsia="宋体" w:cs="Times New Roman"/>
          <w:b/>
          <w:bCs/>
          <w:color w:val="auto"/>
          <w:highlight w:val="none"/>
        </w:rPr>
      </w:pPr>
      <w:bookmarkStart w:id="410" w:name="_Toc13497"/>
      <w:bookmarkStart w:id="411" w:name="_Toc21473"/>
      <w:r>
        <w:rPr>
          <w:rFonts w:hint="default" w:ascii="Times New Roman" w:hAnsi="Times New Roman" w:eastAsia="宋体" w:cs="Times New Roman"/>
          <w:b/>
          <w:bCs/>
          <w:color w:val="auto"/>
          <w:highlight w:val="none"/>
        </w:rPr>
        <w:t>区域污染源调查</w:t>
      </w:r>
      <w:bookmarkEnd w:id="410"/>
      <w:bookmarkEnd w:id="411"/>
    </w:p>
    <w:p w14:paraId="02C66CCD">
      <w:pPr>
        <w:keepNext/>
        <w:keepLines/>
        <w:widowControl w:val="0"/>
        <w:numPr>
          <w:ilvl w:val="2"/>
          <w:numId w:val="3"/>
        </w:numPr>
        <w:spacing w:before="100" w:after="100" w:line="240" w:lineRule="auto"/>
        <w:ind w:left="709" w:leftChars="0" w:hanging="709" w:firstLineChars="0"/>
        <w:jc w:val="both"/>
        <w:outlineLvl w:val="2"/>
        <w:rPr>
          <w:rFonts w:hint="default" w:ascii="Times New Roman" w:hAnsi="Times New Roman" w:eastAsia="宋体" w:cs="Times New Roman"/>
          <w:b/>
          <w:bCs/>
          <w:color w:val="auto"/>
          <w:kern w:val="2"/>
          <w:sz w:val="28"/>
          <w:szCs w:val="28"/>
          <w:highlight w:val="none"/>
          <w:lang w:val="en-US" w:eastAsia="zh-CN" w:bidi="ar-SA"/>
        </w:rPr>
      </w:pPr>
      <w:r>
        <w:rPr>
          <w:rFonts w:hint="default" w:ascii="Times New Roman" w:hAnsi="Times New Roman" w:eastAsia="宋体" w:cs="Times New Roman"/>
          <w:b/>
          <w:bCs/>
          <w:color w:val="auto"/>
          <w:kern w:val="2"/>
          <w:sz w:val="28"/>
          <w:szCs w:val="28"/>
          <w:highlight w:val="none"/>
          <w:lang w:val="en-US" w:eastAsia="zh-CN" w:bidi="ar-SA"/>
        </w:rPr>
        <w:t>区域现有污染源调查</w:t>
      </w:r>
    </w:p>
    <w:p w14:paraId="0F1CB418">
      <w:pPr>
        <w:pStyle w:val="97"/>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iCs/>
          <w:color w:val="auto"/>
          <w:sz w:val="24"/>
          <w:szCs w:val="24"/>
          <w:highlight w:val="none"/>
          <w:lang w:val="en-US" w:eastAsia="zh-CN"/>
        </w:rPr>
      </w:pPr>
      <w:r>
        <w:rPr>
          <w:rFonts w:hint="eastAsia" w:ascii="Times New Roman" w:hAnsi="Times New Roman" w:eastAsia="宋体" w:cs="Times New Roman"/>
          <w:iCs/>
          <w:color w:val="auto"/>
          <w:sz w:val="24"/>
          <w:szCs w:val="24"/>
          <w:highlight w:val="none"/>
          <w:lang w:val="en-US" w:eastAsia="zh-CN"/>
        </w:rPr>
        <w:t>通过查询</w:t>
      </w:r>
      <w:r>
        <w:rPr>
          <w:rFonts w:hint="default" w:ascii="Times New Roman" w:hAnsi="Times New Roman" w:eastAsia="宋体" w:cs="Times New Roman"/>
          <w:iCs/>
          <w:color w:val="auto"/>
          <w:sz w:val="24"/>
          <w:szCs w:val="24"/>
          <w:highlight w:val="none"/>
          <w:lang w:val="en-US" w:eastAsia="zh-CN"/>
        </w:rPr>
        <w:t>佳木斯市生态环境局的审批公示信息以及排污许可证管理信息平台</w:t>
      </w:r>
      <w:r>
        <w:rPr>
          <w:rFonts w:hint="eastAsia" w:ascii="Times New Roman" w:hAnsi="Times New Roman" w:eastAsia="宋体" w:cs="Times New Roman"/>
          <w:iCs/>
          <w:color w:val="auto"/>
          <w:sz w:val="24"/>
          <w:szCs w:val="24"/>
          <w:highlight w:val="none"/>
          <w:lang w:val="en-US" w:eastAsia="zh-CN"/>
        </w:rPr>
        <w:t>，结合现场踏查，本项目评价范围内现有污染源调查结果如下：</w:t>
      </w:r>
    </w:p>
    <w:p w14:paraId="38958665">
      <w:pPr>
        <w:pStyle w:val="97"/>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iCs/>
          <w:color w:val="auto"/>
          <w:sz w:val="24"/>
          <w:szCs w:val="24"/>
          <w:highlight w:val="none"/>
          <w:lang w:val="en-US" w:eastAsia="zh-CN"/>
        </w:rPr>
      </w:pPr>
      <w:r>
        <w:rPr>
          <w:rFonts w:hint="default" w:ascii="Times New Roman" w:hAnsi="Times New Roman" w:eastAsia="宋体" w:cs="Times New Roman"/>
          <w:iCs/>
          <w:color w:val="auto"/>
          <w:sz w:val="24"/>
          <w:szCs w:val="24"/>
          <w:highlight w:val="none"/>
          <w:lang w:val="en-US" w:eastAsia="zh-CN"/>
        </w:rPr>
        <w:t>（1）大气污染源</w:t>
      </w:r>
    </w:p>
    <w:p w14:paraId="2F94C564">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Times New Roman" w:hAnsi="Times New Roman" w:eastAsia="宋体" w:cs="Times New Roman"/>
          <w:iCs/>
          <w:color w:val="auto"/>
          <w:sz w:val="24"/>
          <w:szCs w:val="24"/>
          <w:highlight w:val="none"/>
          <w:lang w:val="en-US" w:eastAsia="zh-CN"/>
        </w:rPr>
      </w:pPr>
      <w:r>
        <w:rPr>
          <w:rFonts w:hint="eastAsia" w:ascii="Times New Roman" w:hAnsi="Times New Roman" w:eastAsia="宋体" w:cs="Times New Roman"/>
          <w:iCs/>
          <w:color w:val="auto"/>
          <w:sz w:val="24"/>
          <w:szCs w:val="24"/>
          <w:highlight w:val="none"/>
          <w:lang w:val="en-US" w:eastAsia="zh-CN"/>
        </w:rPr>
        <w:t>表5.4-1  评价范围内现有大气污染源</w:t>
      </w:r>
    </w:p>
    <w:tbl>
      <w:tblPr>
        <w:tblStyle w:val="3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950"/>
        <w:gridCol w:w="2950"/>
        <w:gridCol w:w="2950"/>
      </w:tblGrid>
      <w:tr w14:paraId="1D58FD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6" w:type="pct"/>
            <w:tcBorders>
              <w:tl2br w:val="nil"/>
              <w:tr2bl w:val="nil"/>
            </w:tcBorders>
            <w:vAlign w:val="center"/>
          </w:tcPr>
          <w:p w14:paraId="3AE32C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Cs/>
                <w:color w:val="auto"/>
                <w:sz w:val="24"/>
                <w:szCs w:val="24"/>
                <w:highlight w:val="none"/>
                <w:vertAlign w:val="baseline"/>
                <w:lang w:val="en-US" w:eastAsia="zh-CN"/>
              </w:rPr>
            </w:pPr>
            <w:r>
              <w:rPr>
                <w:rFonts w:hint="eastAsia" w:ascii="Times New Roman" w:hAnsi="Times New Roman" w:eastAsia="宋体" w:cs="Times New Roman"/>
                <w:iCs/>
                <w:color w:val="auto"/>
                <w:sz w:val="24"/>
                <w:szCs w:val="24"/>
                <w:highlight w:val="none"/>
                <w:vertAlign w:val="baseline"/>
                <w:lang w:val="en-US" w:eastAsia="zh-CN"/>
              </w:rPr>
              <w:t>单位名称</w:t>
            </w:r>
          </w:p>
        </w:tc>
        <w:tc>
          <w:tcPr>
            <w:tcW w:w="1666" w:type="pct"/>
            <w:tcBorders>
              <w:tl2br w:val="nil"/>
              <w:tr2bl w:val="nil"/>
            </w:tcBorders>
            <w:vAlign w:val="center"/>
          </w:tcPr>
          <w:p w14:paraId="019A86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Cs/>
                <w:color w:val="auto"/>
                <w:sz w:val="24"/>
                <w:szCs w:val="24"/>
                <w:highlight w:val="none"/>
                <w:vertAlign w:val="baseline"/>
                <w:lang w:val="en-US" w:eastAsia="zh-CN"/>
              </w:rPr>
            </w:pPr>
            <w:r>
              <w:rPr>
                <w:rFonts w:hint="eastAsia" w:ascii="Times New Roman" w:hAnsi="Times New Roman" w:eastAsia="宋体" w:cs="Times New Roman"/>
                <w:iCs/>
                <w:color w:val="auto"/>
                <w:sz w:val="24"/>
                <w:szCs w:val="24"/>
                <w:highlight w:val="none"/>
                <w:vertAlign w:val="baseline"/>
                <w:lang w:val="en-US" w:eastAsia="zh-CN"/>
              </w:rPr>
              <w:t>污染源</w:t>
            </w:r>
          </w:p>
        </w:tc>
        <w:tc>
          <w:tcPr>
            <w:tcW w:w="1666" w:type="pct"/>
            <w:tcBorders>
              <w:tl2br w:val="nil"/>
              <w:tr2bl w:val="nil"/>
            </w:tcBorders>
            <w:vAlign w:val="center"/>
          </w:tcPr>
          <w:p w14:paraId="2277CA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Cs/>
                <w:color w:val="auto"/>
                <w:sz w:val="24"/>
                <w:szCs w:val="24"/>
                <w:highlight w:val="none"/>
                <w:vertAlign w:val="baseline"/>
                <w:lang w:val="en-US" w:eastAsia="zh-CN"/>
              </w:rPr>
            </w:pPr>
            <w:r>
              <w:rPr>
                <w:rFonts w:hint="eastAsia" w:ascii="Times New Roman" w:hAnsi="Times New Roman" w:eastAsia="宋体" w:cs="Times New Roman"/>
                <w:iCs/>
                <w:color w:val="auto"/>
                <w:sz w:val="24"/>
                <w:szCs w:val="24"/>
                <w:highlight w:val="none"/>
                <w:vertAlign w:val="baseline"/>
                <w:lang w:val="en-US" w:eastAsia="zh-CN"/>
              </w:rPr>
              <w:t>污染物</w:t>
            </w:r>
          </w:p>
        </w:tc>
      </w:tr>
      <w:tr w14:paraId="261A46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666" w:type="pct"/>
            <w:tcBorders>
              <w:tl2br w:val="nil"/>
              <w:tr2bl w:val="nil"/>
            </w:tcBorders>
            <w:vAlign w:val="center"/>
          </w:tcPr>
          <w:p w14:paraId="572D10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Cs/>
                <w:color w:val="auto"/>
                <w:sz w:val="24"/>
                <w:szCs w:val="24"/>
                <w:highlight w:val="none"/>
                <w:vertAlign w:val="baseline"/>
                <w:lang w:val="en-US" w:eastAsia="zh-CN"/>
              </w:rPr>
            </w:pPr>
            <w:r>
              <w:rPr>
                <w:rFonts w:hint="default" w:ascii="Times New Roman" w:hAnsi="Times New Roman" w:eastAsia="宋体" w:cs="Times New Roman"/>
                <w:iCs/>
                <w:color w:val="auto"/>
                <w:sz w:val="24"/>
                <w:szCs w:val="24"/>
                <w:highlight w:val="none"/>
                <w:vertAlign w:val="baseline"/>
                <w:lang w:val="en-US" w:eastAsia="zh-CN"/>
              </w:rPr>
              <w:t>佳木斯佳能热电有限公司</w:t>
            </w:r>
          </w:p>
        </w:tc>
        <w:tc>
          <w:tcPr>
            <w:tcW w:w="1666" w:type="pct"/>
            <w:tcBorders>
              <w:tl2br w:val="nil"/>
              <w:tr2bl w:val="nil"/>
            </w:tcBorders>
            <w:vAlign w:val="center"/>
          </w:tcPr>
          <w:p w14:paraId="38C20B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iCs/>
                <w:color w:val="auto"/>
                <w:sz w:val="24"/>
                <w:szCs w:val="24"/>
                <w:highlight w:val="none"/>
                <w:vertAlign w:val="baseline"/>
                <w:lang w:val="en-US" w:eastAsia="zh-CN"/>
              </w:rPr>
            </w:pPr>
            <w:r>
              <w:rPr>
                <w:rFonts w:hint="eastAsia" w:ascii="Times New Roman" w:hAnsi="Times New Roman" w:eastAsia="宋体" w:cs="Times New Roman"/>
                <w:iCs/>
                <w:color w:val="auto"/>
                <w:sz w:val="24"/>
                <w:szCs w:val="24"/>
                <w:highlight w:val="none"/>
                <w:vertAlign w:val="baseline"/>
                <w:lang w:val="en-US" w:eastAsia="zh-CN"/>
              </w:rPr>
              <w:t>35t/h抛煤链条炉4台</w:t>
            </w:r>
          </w:p>
          <w:p w14:paraId="65B5476C">
            <w:pPr>
              <w:pStyle w:val="35"/>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highlight w:val="none"/>
                <w:lang w:val="en-US" w:eastAsia="zh-CN"/>
              </w:rPr>
            </w:pPr>
            <w:r>
              <w:rPr>
                <w:rFonts w:hint="eastAsia" w:cs="Times New Roman"/>
                <w:iCs/>
                <w:color w:val="auto"/>
                <w:sz w:val="24"/>
                <w:szCs w:val="24"/>
                <w:highlight w:val="none"/>
                <w:vertAlign w:val="baseline"/>
                <w:lang w:val="en-US" w:eastAsia="zh-CN"/>
              </w:rPr>
              <w:t>58MW燃煤锅炉1台</w:t>
            </w:r>
          </w:p>
        </w:tc>
        <w:tc>
          <w:tcPr>
            <w:tcW w:w="1666" w:type="pct"/>
            <w:tcBorders>
              <w:tl2br w:val="nil"/>
              <w:tr2bl w:val="nil"/>
            </w:tcBorders>
            <w:vAlign w:val="center"/>
          </w:tcPr>
          <w:p w14:paraId="0D0ED6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Cs/>
                <w:color w:val="auto"/>
                <w:sz w:val="24"/>
                <w:szCs w:val="24"/>
                <w:highlight w:val="none"/>
                <w:vertAlign w:val="baseline"/>
                <w:lang w:val="en-US" w:eastAsia="zh-CN"/>
              </w:rPr>
            </w:pPr>
            <w:r>
              <w:rPr>
                <w:rFonts w:hint="default" w:ascii="Times New Roman" w:hAnsi="Times New Roman" w:eastAsia="宋体" w:cs="Times New Roman"/>
                <w:iCs/>
                <w:color w:val="auto"/>
                <w:sz w:val="24"/>
                <w:szCs w:val="24"/>
                <w:highlight w:val="none"/>
                <w:vertAlign w:val="baseline"/>
                <w:lang w:val="en-US" w:eastAsia="zh-CN"/>
              </w:rPr>
              <w:t>TSP、烟尘、二氧化硫、氮氧化物、汞及其化合物</w:t>
            </w:r>
          </w:p>
        </w:tc>
      </w:tr>
      <w:tr w14:paraId="0C1132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6" w:type="pct"/>
            <w:tcBorders>
              <w:tl2br w:val="nil"/>
              <w:tr2bl w:val="nil"/>
            </w:tcBorders>
            <w:vAlign w:val="center"/>
          </w:tcPr>
          <w:p w14:paraId="39C2A1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Cs/>
                <w:color w:val="auto"/>
                <w:sz w:val="24"/>
                <w:szCs w:val="24"/>
                <w:highlight w:val="none"/>
                <w:vertAlign w:val="baseline"/>
                <w:lang w:val="en-US" w:eastAsia="zh-CN"/>
              </w:rPr>
            </w:pPr>
            <w:r>
              <w:rPr>
                <w:rFonts w:hint="default" w:ascii="Times New Roman" w:hAnsi="Times New Roman" w:eastAsia="宋体" w:cs="Times New Roman"/>
                <w:iCs/>
                <w:color w:val="auto"/>
                <w:sz w:val="24"/>
                <w:szCs w:val="24"/>
                <w:highlight w:val="none"/>
                <w:vertAlign w:val="baseline"/>
                <w:lang w:val="en-US" w:eastAsia="zh-CN"/>
              </w:rPr>
              <w:t>佳木斯中恒热电有限公司</w:t>
            </w:r>
          </w:p>
        </w:tc>
        <w:tc>
          <w:tcPr>
            <w:tcW w:w="1666" w:type="pct"/>
            <w:tcBorders>
              <w:tl2br w:val="nil"/>
              <w:tr2bl w:val="nil"/>
            </w:tcBorders>
            <w:vAlign w:val="center"/>
          </w:tcPr>
          <w:p w14:paraId="4A9E22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Cs/>
                <w:color w:val="auto"/>
                <w:sz w:val="24"/>
                <w:szCs w:val="24"/>
                <w:highlight w:val="none"/>
                <w:vertAlign w:val="baseline"/>
                <w:lang w:val="en-US" w:eastAsia="zh-CN"/>
              </w:rPr>
            </w:pPr>
            <w:r>
              <w:rPr>
                <w:rFonts w:hint="default" w:ascii="Times New Roman" w:hAnsi="Times New Roman" w:eastAsia="宋体" w:cs="Times New Roman"/>
                <w:iCs/>
                <w:color w:val="auto"/>
                <w:sz w:val="24"/>
                <w:szCs w:val="24"/>
                <w:highlight w:val="none"/>
                <w:vertAlign w:val="baseline"/>
                <w:lang w:val="en-US" w:eastAsia="zh-CN"/>
              </w:rPr>
              <w:t>240t/h高温高压流化床锅炉</w:t>
            </w:r>
            <w:r>
              <w:rPr>
                <w:rFonts w:hint="eastAsia" w:ascii="Times New Roman" w:hAnsi="Times New Roman" w:eastAsia="宋体" w:cs="Times New Roman"/>
                <w:iCs/>
                <w:color w:val="auto"/>
                <w:sz w:val="24"/>
                <w:szCs w:val="24"/>
                <w:highlight w:val="none"/>
                <w:vertAlign w:val="baseline"/>
                <w:lang w:val="en-US" w:eastAsia="zh-CN"/>
              </w:rPr>
              <w:t>2台</w:t>
            </w:r>
            <w:r>
              <w:rPr>
                <w:rFonts w:hint="default" w:ascii="Times New Roman" w:hAnsi="Times New Roman" w:eastAsia="宋体" w:cs="Times New Roman"/>
                <w:iCs/>
                <w:color w:val="auto"/>
                <w:sz w:val="24"/>
                <w:szCs w:val="24"/>
                <w:highlight w:val="none"/>
                <w:vertAlign w:val="baseline"/>
                <w:lang w:val="en-US" w:eastAsia="zh-CN"/>
              </w:rPr>
              <w:t>、154MW循环流化床热水锅炉</w:t>
            </w:r>
            <w:r>
              <w:rPr>
                <w:rFonts w:hint="eastAsia" w:ascii="Times New Roman" w:hAnsi="Times New Roman" w:eastAsia="宋体" w:cs="Times New Roman"/>
                <w:iCs/>
                <w:color w:val="auto"/>
                <w:sz w:val="24"/>
                <w:szCs w:val="24"/>
                <w:highlight w:val="none"/>
                <w:vertAlign w:val="baseline"/>
                <w:lang w:val="en-US" w:eastAsia="zh-CN"/>
              </w:rPr>
              <w:t>1台、</w:t>
            </w:r>
            <w:r>
              <w:rPr>
                <w:rFonts w:hint="default" w:ascii="Times New Roman" w:hAnsi="Times New Roman" w:eastAsia="宋体" w:cs="Times New Roman"/>
                <w:iCs/>
                <w:color w:val="auto"/>
                <w:sz w:val="24"/>
                <w:szCs w:val="24"/>
                <w:highlight w:val="none"/>
                <w:vertAlign w:val="baseline"/>
                <w:lang w:val="en-US" w:eastAsia="zh-CN"/>
              </w:rPr>
              <w:t>116MW循环流化床热水锅炉1台</w:t>
            </w:r>
          </w:p>
        </w:tc>
        <w:tc>
          <w:tcPr>
            <w:tcW w:w="1666" w:type="pct"/>
            <w:tcBorders>
              <w:tl2br w:val="nil"/>
              <w:tr2bl w:val="nil"/>
            </w:tcBorders>
            <w:shd w:val="clear" w:color="auto" w:fill="auto"/>
            <w:vAlign w:val="center"/>
          </w:tcPr>
          <w:p w14:paraId="7A6D2B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Cs/>
                <w:color w:val="auto"/>
                <w:kern w:val="2"/>
                <w:sz w:val="24"/>
                <w:szCs w:val="24"/>
                <w:highlight w:val="none"/>
                <w:vertAlign w:val="baseline"/>
                <w:lang w:val="en-US" w:eastAsia="zh-CN" w:bidi="ar-SA"/>
              </w:rPr>
            </w:pPr>
            <w:r>
              <w:rPr>
                <w:rFonts w:hint="default" w:ascii="Times New Roman" w:hAnsi="Times New Roman" w:eastAsia="宋体" w:cs="Times New Roman"/>
                <w:iCs/>
                <w:color w:val="auto"/>
                <w:sz w:val="24"/>
                <w:szCs w:val="24"/>
                <w:highlight w:val="none"/>
                <w:vertAlign w:val="baseline"/>
                <w:lang w:val="en-US" w:eastAsia="zh-CN"/>
              </w:rPr>
              <w:t>TSP、烟尘、二氧化硫、氮氧化物、汞及其化合物</w:t>
            </w:r>
          </w:p>
        </w:tc>
      </w:tr>
    </w:tbl>
    <w:p w14:paraId="12182BDA">
      <w:pPr>
        <w:pStyle w:val="97"/>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iCs/>
          <w:color w:val="auto"/>
          <w:sz w:val="24"/>
          <w:szCs w:val="24"/>
          <w:highlight w:val="none"/>
          <w:lang w:val="en-US" w:eastAsia="zh-CN"/>
        </w:rPr>
      </w:pPr>
      <w:r>
        <w:rPr>
          <w:rFonts w:hint="default" w:ascii="Times New Roman" w:hAnsi="Times New Roman" w:eastAsia="宋体" w:cs="Times New Roman"/>
          <w:iCs/>
          <w:color w:val="auto"/>
          <w:sz w:val="24"/>
          <w:szCs w:val="24"/>
          <w:highlight w:val="none"/>
          <w:lang w:val="en-US" w:eastAsia="zh-CN"/>
        </w:rPr>
        <w:t>（2）地表水污染源</w:t>
      </w:r>
    </w:p>
    <w:p w14:paraId="002CFE74">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jc w:val="both"/>
        <w:textAlignment w:val="auto"/>
        <w:rPr>
          <w:rFonts w:hint="default" w:ascii="Times New Roman" w:hAnsi="Times New Roman" w:eastAsia="宋体" w:cs="Times New Roman"/>
          <w:b w:val="0"/>
          <w:bCs w:val="0"/>
          <w:color w:val="auto"/>
          <w:spacing w:val="0"/>
          <w:w w:val="100"/>
          <w:sz w:val="24"/>
          <w:szCs w:val="24"/>
          <w:highlight w:val="none"/>
        </w:rPr>
      </w:pPr>
      <w:r>
        <w:rPr>
          <w:rFonts w:hint="default" w:ascii="Times New Roman" w:hAnsi="Times New Roman" w:eastAsia="宋体" w:cs="Times New Roman"/>
          <w:color w:val="auto"/>
          <w:spacing w:val="0"/>
          <w:w w:val="100"/>
          <w:sz w:val="24"/>
          <w:szCs w:val="24"/>
          <w:highlight w:val="none"/>
          <w:lang w:val="en-US" w:eastAsia="zh-CN"/>
        </w:rPr>
        <w:t>现有区域生活污水排入</w:t>
      </w:r>
      <w:r>
        <w:rPr>
          <w:rFonts w:hint="eastAsia" w:ascii="Times New Roman" w:hAnsi="Times New Roman" w:eastAsia="宋体" w:cs="Times New Roman"/>
          <w:color w:val="auto"/>
          <w:spacing w:val="0"/>
          <w:w w:val="100"/>
          <w:sz w:val="24"/>
          <w:szCs w:val="24"/>
          <w:highlight w:val="none"/>
          <w:lang w:val="en-US" w:eastAsia="zh-CN"/>
        </w:rPr>
        <w:t>佳木斯西区污水处理厂</w:t>
      </w:r>
      <w:r>
        <w:rPr>
          <w:rFonts w:hint="default" w:ascii="Times New Roman" w:hAnsi="Times New Roman" w:eastAsia="宋体" w:cs="Times New Roman"/>
          <w:color w:val="auto"/>
          <w:spacing w:val="0"/>
          <w:w w:val="100"/>
          <w:sz w:val="24"/>
          <w:szCs w:val="24"/>
          <w:highlight w:val="none"/>
          <w:lang w:val="en-US" w:eastAsia="zh-CN"/>
        </w:rPr>
        <w:t>处理</w:t>
      </w:r>
      <w:r>
        <w:rPr>
          <w:rFonts w:hint="default" w:ascii="Times New Roman" w:hAnsi="Times New Roman" w:eastAsia="宋体" w:cs="Times New Roman"/>
          <w:color w:val="auto"/>
          <w:spacing w:val="0"/>
          <w:w w:val="100"/>
          <w:sz w:val="24"/>
          <w:szCs w:val="24"/>
          <w:highlight w:val="none"/>
        </w:rPr>
        <w:t>，经处理后污水</w:t>
      </w:r>
      <w:r>
        <w:rPr>
          <w:rFonts w:hint="default" w:ascii="Times New Roman" w:hAnsi="Times New Roman" w:eastAsia="宋体" w:cs="Times New Roman"/>
          <w:color w:val="auto"/>
          <w:spacing w:val="0"/>
          <w:w w:val="100"/>
          <w:sz w:val="24"/>
          <w:szCs w:val="24"/>
          <w:highlight w:val="none"/>
          <w:lang w:val="en-US" w:eastAsia="zh-CN"/>
        </w:rPr>
        <w:t>污染物</w:t>
      </w:r>
      <w:r>
        <w:rPr>
          <w:rFonts w:hint="default" w:ascii="Times New Roman" w:hAnsi="Times New Roman" w:eastAsia="宋体" w:cs="Times New Roman"/>
          <w:color w:val="auto"/>
          <w:spacing w:val="0"/>
          <w:w w:val="100"/>
          <w:sz w:val="24"/>
          <w:szCs w:val="24"/>
          <w:highlight w:val="none"/>
        </w:rPr>
        <w:t>排放浓度达到《城镇污水处理厂污染物排放标准》（GB18918-2002）</w:t>
      </w:r>
      <w:r>
        <w:rPr>
          <w:rFonts w:hint="default" w:ascii="Times New Roman" w:hAnsi="Times New Roman" w:eastAsia="宋体" w:cs="Times New Roman"/>
          <w:color w:val="auto"/>
          <w:sz w:val="24"/>
          <w:szCs w:val="24"/>
          <w:highlight w:val="none"/>
          <w:lang w:val="en-US" w:eastAsia="zh-CN"/>
        </w:rPr>
        <w:t>表1基本控制项目最高允许排放浓度（日均值）</w:t>
      </w:r>
      <w:r>
        <w:rPr>
          <w:rFonts w:hint="default" w:ascii="Times New Roman" w:hAnsi="Times New Roman" w:eastAsia="宋体" w:cs="Times New Roman"/>
          <w:color w:val="auto"/>
          <w:spacing w:val="0"/>
          <w:w w:val="100"/>
          <w:sz w:val="24"/>
          <w:szCs w:val="24"/>
          <w:highlight w:val="none"/>
        </w:rPr>
        <w:t>一级</w:t>
      </w:r>
      <w:r>
        <w:rPr>
          <w:rFonts w:hint="default" w:ascii="Times New Roman" w:hAnsi="Times New Roman" w:eastAsia="宋体" w:cs="Times New Roman"/>
          <w:color w:val="auto"/>
          <w:spacing w:val="0"/>
          <w:w w:val="100"/>
          <w:sz w:val="24"/>
          <w:szCs w:val="24"/>
          <w:highlight w:val="none"/>
          <w:lang w:val="en-US" w:eastAsia="zh-CN"/>
        </w:rPr>
        <w:t>A</w:t>
      </w:r>
      <w:r>
        <w:rPr>
          <w:rFonts w:hint="default" w:ascii="Times New Roman" w:hAnsi="Times New Roman" w:eastAsia="宋体" w:cs="Times New Roman"/>
          <w:color w:val="auto"/>
          <w:spacing w:val="0"/>
          <w:w w:val="100"/>
          <w:sz w:val="24"/>
          <w:szCs w:val="24"/>
          <w:highlight w:val="none"/>
        </w:rPr>
        <w:t>标准</w:t>
      </w:r>
      <w:r>
        <w:rPr>
          <w:rFonts w:hint="default" w:ascii="Times New Roman" w:hAnsi="Times New Roman" w:eastAsia="宋体" w:cs="Times New Roman"/>
          <w:color w:val="auto"/>
          <w:spacing w:val="0"/>
          <w:w w:val="100"/>
          <w:sz w:val="24"/>
          <w:szCs w:val="24"/>
          <w:highlight w:val="none"/>
          <w:lang w:val="en-US" w:eastAsia="zh-CN"/>
        </w:rPr>
        <w:t>后</w:t>
      </w:r>
      <w:r>
        <w:rPr>
          <w:rFonts w:hint="default" w:ascii="Times New Roman" w:hAnsi="Times New Roman" w:eastAsia="宋体" w:cs="Times New Roman"/>
          <w:b w:val="0"/>
          <w:bCs w:val="0"/>
          <w:color w:val="auto"/>
          <w:spacing w:val="0"/>
          <w:w w:val="100"/>
          <w:sz w:val="24"/>
          <w:szCs w:val="24"/>
          <w:highlight w:val="none"/>
        </w:rPr>
        <w:t>排入</w:t>
      </w:r>
      <w:r>
        <w:rPr>
          <w:rFonts w:hint="eastAsia" w:ascii="Times New Roman" w:hAnsi="Times New Roman" w:eastAsia="宋体" w:cs="Times New Roman"/>
          <w:b w:val="0"/>
          <w:bCs w:val="0"/>
          <w:color w:val="auto"/>
          <w:spacing w:val="0"/>
          <w:w w:val="100"/>
          <w:sz w:val="24"/>
          <w:szCs w:val="24"/>
          <w:highlight w:val="none"/>
          <w:lang w:val="en-US" w:eastAsia="zh-CN"/>
        </w:rPr>
        <w:t>松花江</w:t>
      </w:r>
      <w:r>
        <w:rPr>
          <w:rFonts w:hint="default" w:ascii="Times New Roman" w:hAnsi="Times New Roman" w:eastAsia="宋体" w:cs="Times New Roman"/>
          <w:b w:val="0"/>
          <w:bCs w:val="0"/>
          <w:color w:val="auto"/>
          <w:spacing w:val="0"/>
          <w:w w:val="100"/>
          <w:sz w:val="24"/>
          <w:szCs w:val="24"/>
          <w:highlight w:val="none"/>
        </w:rPr>
        <w:t>。</w:t>
      </w:r>
    </w:p>
    <w:p w14:paraId="414BB7A9">
      <w:pPr>
        <w:pStyle w:val="97"/>
        <w:keepNext w:val="0"/>
        <w:keepLines w:val="0"/>
        <w:pageBreakBefore w:val="0"/>
        <w:widowControl w:val="0"/>
        <w:numPr>
          <w:ilvl w:val="0"/>
          <w:numId w:val="0"/>
        </w:numPr>
        <w:kinsoku/>
        <w:wordWrap/>
        <w:overflowPunct/>
        <w:topLinePunct w:val="0"/>
        <w:bidi w:val="0"/>
        <w:snapToGrid/>
        <w:spacing w:line="480" w:lineRule="exact"/>
        <w:ind w:leftChars="0" w:firstLine="480" w:firstLineChars="200"/>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b w:val="0"/>
          <w:bCs w:val="0"/>
          <w:color w:val="auto"/>
          <w:spacing w:val="0"/>
          <w:w w:val="100"/>
          <w:sz w:val="24"/>
          <w:szCs w:val="24"/>
          <w:highlight w:val="none"/>
          <w:lang w:val="en-US" w:eastAsia="zh-CN"/>
        </w:rPr>
        <w:t>（3）地下水污染源</w:t>
      </w:r>
    </w:p>
    <w:p w14:paraId="368ABA0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经现场踏查，评价区范围内项目所在区域不属于生活供水水源地准保护区，不属于热水、矿泉水、温泉等特殊地下水源保护区，也不属于补给径流区。</w:t>
      </w:r>
    </w:p>
    <w:p w14:paraId="75D58820">
      <w:pPr>
        <w:pStyle w:val="97"/>
        <w:keepNext w:val="0"/>
        <w:keepLines w:val="0"/>
        <w:pageBreakBefore w:val="0"/>
        <w:widowControl w:val="0"/>
        <w:numPr>
          <w:ilvl w:val="0"/>
          <w:numId w:val="8"/>
        </w:numPr>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噪声污染源</w:t>
      </w:r>
    </w:p>
    <w:p w14:paraId="46167CFF">
      <w:pPr>
        <w:pStyle w:val="97"/>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bCs/>
          <w:color w:val="auto"/>
          <w:kern w:val="2"/>
          <w:sz w:val="28"/>
          <w:szCs w:val="28"/>
          <w:highlight w:val="none"/>
          <w:lang w:val="en-US" w:eastAsia="zh-CN" w:bidi="ar-SA"/>
        </w:rPr>
      </w:pPr>
      <w:r>
        <w:rPr>
          <w:rFonts w:hint="default" w:ascii="Times New Roman" w:hAnsi="Times New Roman" w:eastAsia="宋体" w:cs="Times New Roman"/>
          <w:color w:val="auto"/>
          <w:sz w:val="24"/>
          <w:szCs w:val="24"/>
          <w:highlight w:val="none"/>
          <w:lang w:val="en-US" w:eastAsia="zh-CN"/>
        </w:rPr>
        <w:t>本项目区域噪声执行《声环境质量标准》（GB3096-2008）</w:t>
      </w:r>
      <w:r>
        <w:rPr>
          <w:rFonts w:hint="default" w:ascii="Times New Roman" w:hAnsi="Times New Roman" w:eastAsia="宋体" w:cs="Times New Roman"/>
          <w:b w:val="0"/>
          <w:bCs w:val="0"/>
          <w:color w:val="auto"/>
          <w:spacing w:val="0"/>
          <w:sz w:val="24"/>
          <w:szCs w:val="24"/>
          <w:highlight w:val="none"/>
          <w:lang w:val="en-US" w:eastAsia="zh-CN"/>
        </w:rPr>
        <w:t>表1环境噪声限值中的</w:t>
      </w:r>
      <w:r>
        <w:rPr>
          <w:rFonts w:hint="eastAsia"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类标准</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sz w:val="24"/>
          <w:szCs w:val="24"/>
          <w:highlight w:val="none"/>
          <w:lang w:val="en-US" w:eastAsia="zh-CN"/>
        </w:rPr>
        <w:t>声环境质量背景较好</w:t>
      </w:r>
      <w:r>
        <w:rPr>
          <w:rFonts w:hint="eastAsia" w:ascii="Times New Roman" w:hAnsi="Times New Roman" w:eastAsia="宋体" w:cs="Times New Roman"/>
          <w:color w:val="auto"/>
          <w:sz w:val="24"/>
          <w:szCs w:val="24"/>
          <w:highlight w:val="none"/>
          <w:lang w:val="en-US" w:eastAsia="zh-CN"/>
        </w:rPr>
        <w:t>。</w:t>
      </w:r>
    </w:p>
    <w:p w14:paraId="5D41C92D">
      <w:pPr>
        <w:keepNext/>
        <w:keepLines/>
        <w:widowControl w:val="0"/>
        <w:numPr>
          <w:ilvl w:val="2"/>
          <w:numId w:val="3"/>
        </w:numPr>
        <w:spacing w:before="100" w:after="100" w:line="240" w:lineRule="auto"/>
        <w:ind w:left="709" w:leftChars="0" w:hanging="709" w:firstLineChars="0"/>
        <w:jc w:val="both"/>
        <w:outlineLvl w:val="2"/>
        <w:rPr>
          <w:rFonts w:hint="default" w:ascii="Times New Roman" w:hAnsi="Times New Roman" w:eastAsia="宋体" w:cs="Times New Roman"/>
          <w:b/>
          <w:bCs/>
          <w:color w:val="auto"/>
          <w:kern w:val="2"/>
          <w:sz w:val="28"/>
          <w:szCs w:val="28"/>
          <w:highlight w:val="none"/>
          <w:lang w:val="en-US" w:eastAsia="zh-CN" w:bidi="ar-SA"/>
        </w:rPr>
      </w:pPr>
      <w:r>
        <w:rPr>
          <w:rFonts w:hint="default" w:ascii="Times New Roman" w:hAnsi="Times New Roman" w:eastAsia="宋体" w:cs="Times New Roman"/>
          <w:b/>
          <w:bCs/>
          <w:color w:val="auto"/>
          <w:kern w:val="2"/>
          <w:sz w:val="28"/>
          <w:szCs w:val="28"/>
          <w:highlight w:val="none"/>
          <w:lang w:val="en-US" w:eastAsia="zh-CN" w:bidi="ar-SA"/>
        </w:rPr>
        <w:t>区域拟建在建污染源调查</w:t>
      </w:r>
    </w:p>
    <w:p w14:paraId="47E19C27">
      <w:pPr>
        <w:pStyle w:val="97"/>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iCs/>
          <w:color w:val="auto"/>
          <w:sz w:val="24"/>
          <w:szCs w:val="24"/>
          <w:highlight w:val="none"/>
          <w:lang w:val="en-US" w:eastAsia="zh-CN"/>
        </w:rPr>
      </w:pPr>
      <w:bookmarkStart w:id="412" w:name="_Toc28581"/>
      <w:bookmarkStart w:id="413" w:name="_Toc854"/>
      <w:bookmarkStart w:id="414" w:name="_Toc27790"/>
      <w:r>
        <w:rPr>
          <w:rFonts w:hint="default" w:ascii="Times New Roman" w:hAnsi="Times New Roman" w:eastAsia="宋体" w:cs="Times New Roman"/>
          <w:color w:val="auto"/>
          <w:highlight w:val="none"/>
          <w:lang w:val="en-US" w:eastAsia="zh-CN"/>
        </w:rPr>
        <w:t>根据现场调查，本项目大气评价范围内</w:t>
      </w:r>
      <w:r>
        <w:rPr>
          <w:rFonts w:hint="eastAsia" w:ascii="Times New Roman" w:hAnsi="Times New Roman" w:eastAsia="宋体" w:cs="Times New Roman"/>
          <w:color w:val="auto"/>
          <w:highlight w:val="none"/>
          <w:lang w:val="en-US" w:eastAsia="zh-CN"/>
        </w:rPr>
        <w:t>无</w:t>
      </w:r>
      <w:r>
        <w:rPr>
          <w:rFonts w:hint="default" w:ascii="Times New Roman" w:hAnsi="Times New Roman" w:eastAsia="宋体" w:cs="Times New Roman"/>
          <w:color w:val="auto"/>
          <w:highlight w:val="none"/>
          <w:lang w:val="en-US" w:eastAsia="zh-CN"/>
        </w:rPr>
        <w:t>拟建、在建污染源。</w:t>
      </w:r>
    </w:p>
    <w:bookmarkEnd w:id="412"/>
    <w:bookmarkEnd w:id="413"/>
    <w:bookmarkEnd w:id="414"/>
    <w:p w14:paraId="18A69582">
      <w:pPr>
        <w:pStyle w:val="3"/>
        <w:numPr>
          <w:ilvl w:val="0"/>
          <w:numId w:val="3"/>
        </w:numPr>
        <w:ind w:left="425" w:leftChars="0" w:hanging="425" w:firstLineChars="0"/>
        <w:rPr>
          <w:rFonts w:hint="default" w:ascii="Times New Roman" w:hAnsi="Times New Roman" w:eastAsia="宋体" w:cs="Times New Roman"/>
          <w:color w:val="auto"/>
          <w:highlight w:val="none"/>
        </w:rPr>
      </w:pPr>
      <w:bookmarkStart w:id="415" w:name="_Toc24074"/>
      <w:bookmarkStart w:id="416" w:name="_Toc26497"/>
      <w:r>
        <w:rPr>
          <w:rFonts w:hint="default" w:ascii="Times New Roman" w:hAnsi="Times New Roman" w:eastAsia="宋体" w:cs="Times New Roman"/>
          <w:color w:val="auto"/>
          <w:highlight w:val="none"/>
        </w:rPr>
        <w:t>环境影响预测与评价</w:t>
      </w:r>
      <w:bookmarkEnd w:id="415"/>
      <w:bookmarkEnd w:id="416"/>
    </w:p>
    <w:p w14:paraId="7853942F">
      <w:pPr>
        <w:pStyle w:val="4"/>
        <w:numPr>
          <w:ilvl w:val="1"/>
          <w:numId w:val="3"/>
        </w:numPr>
        <w:ind w:left="567" w:leftChars="0" w:hanging="567" w:firstLineChars="0"/>
        <w:rPr>
          <w:rFonts w:hint="default" w:ascii="Times New Roman" w:hAnsi="Times New Roman" w:eastAsia="宋体" w:cs="Times New Roman"/>
          <w:b/>
          <w:bCs/>
          <w:color w:val="auto"/>
          <w:highlight w:val="none"/>
        </w:rPr>
      </w:pPr>
      <w:bookmarkStart w:id="417" w:name="_Toc6129"/>
      <w:bookmarkStart w:id="418" w:name="_Toc26883"/>
      <w:r>
        <w:rPr>
          <w:rFonts w:hint="default" w:ascii="Times New Roman" w:hAnsi="Times New Roman" w:eastAsia="宋体" w:cs="Times New Roman"/>
          <w:b/>
          <w:bCs/>
          <w:color w:val="auto"/>
          <w:highlight w:val="none"/>
        </w:rPr>
        <w:t>施工期环境影响预测</w:t>
      </w:r>
      <w:bookmarkEnd w:id="417"/>
      <w:bookmarkEnd w:id="418"/>
    </w:p>
    <w:p w14:paraId="38968E0F">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419" w:name="_Toc2776"/>
      <w:bookmarkStart w:id="420" w:name="_Toc17221"/>
      <w:bookmarkStart w:id="421" w:name="_Toc5511"/>
      <w:r>
        <w:rPr>
          <w:rFonts w:hint="default" w:ascii="Times New Roman" w:hAnsi="Times New Roman" w:eastAsia="宋体" w:cs="Times New Roman"/>
          <w:color w:val="auto"/>
          <w:highlight w:val="none"/>
        </w:rPr>
        <w:t>大气环境影响评价</w:t>
      </w:r>
      <w:bookmarkEnd w:id="419"/>
      <w:bookmarkEnd w:id="420"/>
      <w:bookmarkEnd w:id="421"/>
    </w:p>
    <w:p w14:paraId="5693AE9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本项目施工期扬尘主要来自</w:t>
      </w:r>
      <w:r>
        <w:rPr>
          <w:rFonts w:hint="default" w:ascii="Times New Roman" w:hAnsi="Times New Roman" w:eastAsia="宋体" w:cs="Times New Roman"/>
          <w:color w:val="auto"/>
          <w:sz w:val="24"/>
          <w:highlight w:val="none"/>
          <w:lang w:eastAsia="zh-CN"/>
        </w:rPr>
        <w:t>施工厂房内</w:t>
      </w:r>
      <w:r>
        <w:rPr>
          <w:rFonts w:hint="default" w:ascii="Times New Roman" w:hAnsi="Times New Roman" w:eastAsia="宋体" w:cs="Times New Roman"/>
          <w:color w:val="auto"/>
          <w:sz w:val="24"/>
          <w:highlight w:val="none"/>
        </w:rPr>
        <w:t>建筑材料（白灰、水泥、沙子等）的现场搬运及堆放扬尘；施工现场道路扬尘。其扬尘量的大小与施工现场条件、管理水平、机械化程度及施工季节、土质及天气等诸多因素有关。本次评价采用类比法对施工期扬尘进行分析，类比资料</w:t>
      </w:r>
      <w:r>
        <w:rPr>
          <w:rFonts w:hint="default" w:ascii="Times New Roman" w:hAnsi="Times New Roman" w:eastAsia="宋体" w:cs="Times New Roman"/>
          <w:color w:val="auto"/>
          <w:sz w:val="24"/>
          <w:highlight w:val="none"/>
          <w:lang w:val="en-US" w:eastAsia="zh-CN"/>
        </w:rPr>
        <w:t>来源于北京市环境保护科学研究院对建筑工程施工工地的扬尘情况监测数据，</w:t>
      </w:r>
      <w:r>
        <w:rPr>
          <w:rFonts w:hint="default" w:ascii="Times New Roman" w:hAnsi="Times New Roman" w:eastAsia="宋体" w:cs="Times New Roman"/>
          <w:color w:val="auto"/>
          <w:sz w:val="24"/>
          <w:highlight w:val="none"/>
        </w:rPr>
        <w:t>见表6</w:t>
      </w:r>
      <w:r>
        <w:rPr>
          <w:rFonts w:hint="default"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rPr>
        <w:t>1-1。</w:t>
      </w:r>
    </w:p>
    <w:p w14:paraId="411A9E8A">
      <w:pPr>
        <w:spacing w:line="480" w:lineRule="exact"/>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表6</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1-1  建筑施工现场扬尘（TSP）对环境的污染状况（mg/m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p>
    <w:tbl>
      <w:tblPr>
        <w:tblStyle w:val="37"/>
        <w:tblW w:w="4998"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autofit"/>
        <w:tblCellMar>
          <w:top w:w="0" w:type="dxa"/>
          <w:left w:w="108" w:type="dxa"/>
          <w:bottom w:w="0" w:type="dxa"/>
          <w:right w:w="108" w:type="dxa"/>
        </w:tblCellMar>
      </w:tblPr>
      <w:tblGrid>
        <w:gridCol w:w="1492"/>
        <w:gridCol w:w="823"/>
        <w:gridCol w:w="823"/>
        <w:gridCol w:w="823"/>
        <w:gridCol w:w="823"/>
        <w:gridCol w:w="823"/>
        <w:gridCol w:w="837"/>
        <w:gridCol w:w="1179"/>
        <w:gridCol w:w="1223"/>
      </w:tblGrid>
      <w:tr w14:paraId="2759F74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cantSplit/>
          <w:trHeight w:val="397" w:hRule="atLeast"/>
          <w:jc w:val="center"/>
        </w:trPr>
        <w:tc>
          <w:tcPr>
            <w:tcW w:w="843" w:type="pct"/>
            <w:vMerge w:val="restart"/>
            <w:tcBorders>
              <w:tl2br w:val="nil"/>
              <w:tr2bl w:val="nil"/>
            </w:tcBorders>
            <w:noWrap w:val="0"/>
            <w:vAlign w:val="center"/>
          </w:tcPr>
          <w:p w14:paraId="1E92308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防尘措施</w:t>
            </w:r>
          </w:p>
        </w:tc>
        <w:tc>
          <w:tcPr>
            <w:tcW w:w="2798" w:type="pct"/>
            <w:gridSpan w:val="6"/>
            <w:tcBorders>
              <w:tl2br w:val="nil"/>
              <w:tr2bl w:val="nil"/>
            </w:tcBorders>
            <w:noWrap w:val="0"/>
            <w:vAlign w:val="center"/>
          </w:tcPr>
          <w:p w14:paraId="64FD8FA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工地下风向距离</w:t>
            </w:r>
          </w:p>
        </w:tc>
        <w:tc>
          <w:tcPr>
            <w:tcW w:w="666" w:type="pct"/>
            <w:vMerge w:val="restart"/>
            <w:tcBorders>
              <w:tl2br w:val="nil"/>
              <w:tr2bl w:val="nil"/>
            </w:tcBorders>
            <w:noWrap w:val="0"/>
            <w:vAlign w:val="center"/>
          </w:tcPr>
          <w:p w14:paraId="6EB5686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工地上</w:t>
            </w:r>
          </w:p>
          <w:p w14:paraId="5F52DE9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风向</w:t>
            </w:r>
          </w:p>
          <w:p w14:paraId="31D1D1B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（对照点）</w:t>
            </w:r>
          </w:p>
        </w:tc>
        <w:tc>
          <w:tcPr>
            <w:tcW w:w="691" w:type="pct"/>
            <w:vMerge w:val="restart"/>
            <w:tcBorders>
              <w:tl2br w:val="nil"/>
              <w:tr2bl w:val="nil"/>
            </w:tcBorders>
            <w:noWrap w:val="0"/>
            <w:vAlign w:val="center"/>
          </w:tcPr>
          <w:p w14:paraId="5E985F7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无组织排放监控浓度限值</w:t>
            </w:r>
          </w:p>
        </w:tc>
      </w:tr>
      <w:tr w14:paraId="03E9ACB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cantSplit/>
          <w:trHeight w:val="397" w:hRule="atLeast"/>
          <w:jc w:val="center"/>
        </w:trPr>
        <w:tc>
          <w:tcPr>
            <w:tcW w:w="843" w:type="pct"/>
            <w:vMerge w:val="continue"/>
            <w:tcBorders>
              <w:tl2br w:val="nil"/>
              <w:tr2bl w:val="nil"/>
            </w:tcBorders>
            <w:noWrap w:val="0"/>
            <w:vAlign w:val="center"/>
          </w:tcPr>
          <w:p w14:paraId="7009FFF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c>
          <w:tcPr>
            <w:tcW w:w="465" w:type="pct"/>
            <w:tcBorders>
              <w:tl2br w:val="nil"/>
              <w:tr2bl w:val="nil"/>
            </w:tcBorders>
            <w:noWrap w:val="0"/>
            <w:vAlign w:val="center"/>
          </w:tcPr>
          <w:p w14:paraId="27B1F1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20m</w:t>
            </w:r>
          </w:p>
        </w:tc>
        <w:tc>
          <w:tcPr>
            <w:tcW w:w="465" w:type="pct"/>
            <w:tcBorders>
              <w:tl2br w:val="nil"/>
              <w:tr2bl w:val="nil"/>
            </w:tcBorders>
            <w:noWrap w:val="0"/>
            <w:vAlign w:val="center"/>
          </w:tcPr>
          <w:p w14:paraId="4193F5E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50m</w:t>
            </w:r>
          </w:p>
        </w:tc>
        <w:tc>
          <w:tcPr>
            <w:tcW w:w="465" w:type="pct"/>
            <w:tcBorders>
              <w:tl2br w:val="nil"/>
              <w:tr2bl w:val="nil"/>
            </w:tcBorders>
            <w:noWrap w:val="0"/>
            <w:vAlign w:val="center"/>
          </w:tcPr>
          <w:p w14:paraId="3C5E356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100m</w:t>
            </w:r>
          </w:p>
        </w:tc>
        <w:tc>
          <w:tcPr>
            <w:tcW w:w="465" w:type="pct"/>
            <w:tcBorders>
              <w:tl2br w:val="nil"/>
              <w:tr2bl w:val="nil"/>
            </w:tcBorders>
            <w:noWrap w:val="0"/>
            <w:vAlign w:val="center"/>
          </w:tcPr>
          <w:p w14:paraId="78D8A01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150m</w:t>
            </w:r>
          </w:p>
        </w:tc>
        <w:tc>
          <w:tcPr>
            <w:tcW w:w="465" w:type="pct"/>
            <w:tcBorders>
              <w:tl2br w:val="nil"/>
              <w:tr2bl w:val="nil"/>
            </w:tcBorders>
            <w:noWrap w:val="0"/>
            <w:vAlign w:val="center"/>
          </w:tcPr>
          <w:p w14:paraId="37E67F4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200m</w:t>
            </w:r>
          </w:p>
        </w:tc>
        <w:tc>
          <w:tcPr>
            <w:tcW w:w="469" w:type="pct"/>
            <w:tcBorders>
              <w:tl2br w:val="nil"/>
              <w:tr2bl w:val="nil"/>
            </w:tcBorders>
            <w:noWrap w:val="0"/>
            <w:vAlign w:val="center"/>
          </w:tcPr>
          <w:p w14:paraId="1A9C56C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250m</w:t>
            </w:r>
          </w:p>
        </w:tc>
        <w:tc>
          <w:tcPr>
            <w:tcW w:w="666" w:type="pct"/>
            <w:vMerge w:val="continue"/>
            <w:tcBorders>
              <w:tl2br w:val="nil"/>
              <w:tr2bl w:val="nil"/>
            </w:tcBorders>
            <w:noWrap w:val="0"/>
            <w:vAlign w:val="center"/>
          </w:tcPr>
          <w:p w14:paraId="1FDB580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c>
          <w:tcPr>
            <w:tcW w:w="691" w:type="pct"/>
            <w:vMerge w:val="continue"/>
            <w:tcBorders>
              <w:tl2br w:val="nil"/>
              <w:tr2bl w:val="nil"/>
            </w:tcBorders>
            <w:noWrap w:val="0"/>
            <w:vAlign w:val="center"/>
          </w:tcPr>
          <w:p w14:paraId="45B30B0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r w14:paraId="40E5634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cantSplit/>
          <w:trHeight w:val="397" w:hRule="atLeast"/>
          <w:jc w:val="center"/>
        </w:trPr>
        <w:tc>
          <w:tcPr>
            <w:tcW w:w="843" w:type="pct"/>
            <w:tcBorders>
              <w:tl2br w:val="nil"/>
              <w:tr2bl w:val="nil"/>
            </w:tcBorders>
            <w:noWrap w:val="0"/>
            <w:vAlign w:val="center"/>
          </w:tcPr>
          <w:p w14:paraId="7B46203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无防护措施</w:t>
            </w:r>
          </w:p>
        </w:tc>
        <w:tc>
          <w:tcPr>
            <w:tcW w:w="465" w:type="pct"/>
            <w:tcBorders>
              <w:tl2br w:val="nil"/>
              <w:tr2bl w:val="nil"/>
            </w:tcBorders>
            <w:noWrap w:val="0"/>
            <w:vAlign w:val="center"/>
          </w:tcPr>
          <w:p w14:paraId="75E5216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1.303</w:t>
            </w:r>
          </w:p>
        </w:tc>
        <w:tc>
          <w:tcPr>
            <w:tcW w:w="465" w:type="pct"/>
            <w:tcBorders>
              <w:tl2br w:val="nil"/>
              <w:tr2bl w:val="nil"/>
            </w:tcBorders>
            <w:noWrap w:val="0"/>
            <w:vAlign w:val="center"/>
          </w:tcPr>
          <w:p w14:paraId="370AF0C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0.722</w:t>
            </w:r>
          </w:p>
        </w:tc>
        <w:tc>
          <w:tcPr>
            <w:tcW w:w="465" w:type="pct"/>
            <w:tcBorders>
              <w:tl2br w:val="nil"/>
              <w:tr2bl w:val="nil"/>
            </w:tcBorders>
            <w:noWrap w:val="0"/>
            <w:vAlign w:val="center"/>
          </w:tcPr>
          <w:p w14:paraId="5E502CA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0.402</w:t>
            </w:r>
          </w:p>
        </w:tc>
        <w:tc>
          <w:tcPr>
            <w:tcW w:w="465" w:type="pct"/>
            <w:tcBorders>
              <w:tl2br w:val="nil"/>
              <w:tr2bl w:val="nil"/>
            </w:tcBorders>
            <w:noWrap w:val="0"/>
            <w:vAlign w:val="center"/>
          </w:tcPr>
          <w:p w14:paraId="5502819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0.311</w:t>
            </w:r>
          </w:p>
        </w:tc>
        <w:tc>
          <w:tcPr>
            <w:tcW w:w="465" w:type="pct"/>
            <w:tcBorders>
              <w:tl2br w:val="nil"/>
              <w:tr2bl w:val="nil"/>
            </w:tcBorders>
            <w:noWrap w:val="0"/>
            <w:vAlign w:val="center"/>
          </w:tcPr>
          <w:p w14:paraId="6CE04E4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0.270</w:t>
            </w:r>
          </w:p>
        </w:tc>
        <w:tc>
          <w:tcPr>
            <w:tcW w:w="469" w:type="pct"/>
            <w:tcBorders>
              <w:tl2br w:val="nil"/>
              <w:tr2bl w:val="nil"/>
            </w:tcBorders>
            <w:noWrap w:val="0"/>
            <w:vAlign w:val="center"/>
          </w:tcPr>
          <w:p w14:paraId="7B30CCB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0.210</w:t>
            </w:r>
          </w:p>
        </w:tc>
        <w:tc>
          <w:tcPr>
            <w:tcW w:w="666" w:type="pct"/>
            <w:vMerge w:val="restart"/>
            <w:tcBorders>
              <w:tl2br w:val="nil"/>
              <w:tr2bl w:val="nil"/>
            </w:tcBorders>
            <w:noWrap w:val="0"/>
            <w:vAlign w:val="center"/>
          </w:tcPr>
          <w:p w14:paraId="5683F70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0.204</w:t>
            </w:r>
          </w:p>
        </w:tc>
        <w:tc>
          <w:tcPr>
            <w:tcW w:w="691" w:type="pct"/>
            <w:vMerge w:val="restart"/>
            <w:tcBorders>
              <w:tl2br w:val="nil"/>
              <w:tr2bl w:val="nil"/>
            </w:tcBorders>
            <w:noWrap w:val="0"/>
            <w:vAlign w:val="center"/>
          </w:tcPr>
          <w:p w14:paraId="5B66FA3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r>
      <w:tr w14:paraId="32872A4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cantSplit/>
          <w:trHeight w:val="397" w:hRule="atLeast"/>
          <w:jc w:val="center"/>
        </w:trPr>
        <w:tc>
          <w:tcPr>
            <w:tcW w:w="843" w:type="pct"/>
            <w:tcBorders>
              <w:tl2br w:val="nil"/>
              <w:tr2bl w:val="nil"/>
            </w:tcBorders>
            <w:noWrap w:val="0"/>
            <w:vAlign w:val="center"/>
          </w:tcPr>
          <w:p w14:paraId="2C68E87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有（围金属板）</w:t>
            </w:r>
          </w:p>
        </w:tc>
        <w:tc>
          <w:tcPr>
            <w:tcW w:w="465" w:type="pct"/>
            <w:tcBorders>
              <w:tl2br w:val="nil"/>
              <w:tr2bl w:val="nil"/>
            </w:tcBorders>
            <w:noWrap w:val="0"/>
            <w:vAlign w:val="center"/>
          </w:tcPr>
          <w:p w14:paraId="2177251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0.824</w:t>
            </w:r>
          </w:p>
        </w:tc>
        <w:tc>
          <w:tcPr>
            <w:tcW w:w="465" w:type="pct"/>
            <w:tcBorders>
              <w:tl2br w:val="nil"/>
              <w:tr2bl w:val="nil"/>
            </w:tcBorders>
            <w:noWrap w:val="0"/>
            <w:vAlign w:val="center"/>
          </w:tcPr>
          <w:p w14:paraId="0E8A04F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0.426</w:t>
            </w:r>
          </w:p>
        </w:tc>
        <w:tc>
          <w:tcPr>
            <w:tcW w:w="465" w:type="pct"/>
            <w:tcBorders>
              <w:tl2br w:val="nil"/>
              <w:tr2bl w:val="nil"/>
            </w:tcBorders>
            <w:noWrap w:val="0"/>
            <w:vAlign w:val="center"/>
          </w:tcPr>
          <w:p w14:paraId="65B4538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0.235</w:t>
            </w:r>
          </w:p>
        </w:tc>
        <w:tc>
          <w:tcPr>
            <w:tcW w:w="465" w:type="pct"/>
            <w:tcBorders>
              <w:tl2br w:val="nil"/>
              <w:tr2bl w:val="nil"/>
            </w:tcBorders>
            <w:noWrap w:val="0"/>
            <w:vAlign w:val="center"/>
          </w:tcPr>
          <w:p w14:paraId="12FE772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0.221</w:t>
            </w:r>
          </w:p>
        </w:tc>
        <w:tc>
          <w:tcPr>
            <w:tcW w:w="465" w:type="pct"/>
            <w:tcBorders>
              <w:tl2br w:val="nil"/>
              <w:tr2bl w:val="nil"/>
            </w:tcBorders>
            <w:noWrap w:val="0"/>
            <w:vAlign w:val="center"/>
          </w:tcPr>
          <w:p w14:paraId="5900DAB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0.215</w:t>
            </w:r>
          </w:p>
        </w:tc>
        <w:tc>
          <w:tcPr>
            <w:tcW w:w="469" w:type="pct"/>
            <w:tcBorders>
              <w:tl2br w:val="nil"/>
              <w:tr2bl w:val="nil"/>
            </w:tcBorders>
            <w:noWrap w:val="0"/>
            <w:vAlign w:val="center"/>
          </w:tcPr>
          <w:p w14:paraId="046206A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0.206</w:t>
            </w:r>
          </w:p>
        </w:tc>
        <w:tc>
          <w:tcPr>
            <w:tcW w:w="666" w:type="pct"/>
            <w:vMerge w:val="continue"/>
            <w:tcBorders>
              <w:tl2br w:val="nil"/>
              <w:tr2bl w:val="nil"/>
            </w:tcBorders>
            <w:noWrap w:val="0"/>
            <w:vAlign w:val="center"/>
          </w:tcPr>
          <w:p w14:paraId="33E405E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c>
          <w:tcPr>
            <w:tcW w:w="691" w:type="pct"/>
            <w:vMerge w:val="continue"/>
            <w:tcBorders>
              <w:tl2br w:val="nil"/>
              <w:tr2bl w:val="nil"/>
            </w:tcBorders>
            <w:noWrap w:val="0"/>
            <w:vAlign w:val="center"/>
          </w:tcPr>
          <w:p w14:paraId="3A7932D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eastAsia="宋体" w:cs="Times New Roman"/>
                <w:color w:val="auto"/>
                <w:sz w:val="21"/>
                <w:szCs w:val="21"/>
                <w:highlight w:val="none"/>
              </w:rPr>
            </w:pPr>
          </w:p>
        </w:tc>
      </w:tr>
    </w:tbl>
    <w:p w14:paraId="7DD1F4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由表6-1-1可以看出，在无任何防尘措施的情况下，施工现场对周围环境的影响较严重，污染范围在200m范围内，TSP最大污染物浓度是对照点TSP浓度值的6.39倍；而在有防尘措施的情况下，污染范围降至20m范围内，最高污染浓度是对照点的4.04倍，最大污染浓度较无防尘措施降低了0.479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p>
    <w:p w14:paraId="5B87E92A">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施工扬尘对环境有一定影响，其影响将在1.0mg/m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以上，通过在厂界周围设置2.5m高金属</w:t>
      </w:r>
      <w:r>
        <w:rPr>
          <w:rFonts w:hint="eastAsia" w:ascii="Times New Roman" w:hAnsi="Times New Roman" w:eastAsia="宋体" w:cs="Times New Roman"/>
          <w:color w:val="auto"/>
          <w:sz w:val="24"/>
          <w:szCs w:val="24"/>
          <w:highlight w:val="none"/>
          <w:lang w:eastAsia="zh-CN"/>
        </w:rPr>
        <w:t>挡板</w:t>
      </w:r>
      <w:r>
        <w:rPr>
          <w:rFonts w:hint="default" w:ascii="Times New Roman" w:hAnsi="Times New Roman" w:eastAsia="宋体" w:cs="Times New Roman"/>
          <w:color w:val="auto"/>
          <w:sz w:val="24"/>
          <w:szCs w:val="24"/>
          <w:highlight w:val="none"/>
        </w:rPr>
        <w:t>后，扬尘（TSP）浓度低于0.824mg/m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，低于《大气污染物综合排放标准》（GB16297-1996）中规定的颗粒物无组织排放监控浓度限值的要求。本项目施工期间产生的扬尘对周围环境影响是可以接受的。</w:t>
      </w:r>
    </w:p>
    <w:p w14:paraId="09649FEC">
      <w:pPr>
        <w:pStyle w:val="6"/>
        <w:numPr>
          <w:ilvl w:val="2"/>
          <w:numId w:val="3"/>
        </w:numPr>
        <w:bidi w:val="0"/>
        <w:ind w:left="709" w:leftChars="0" w:hanging="709" w:firstLineChars="0"/>
        <w:rPr>
          <w:rFonts w:hint="default" w:ascii="Times New Roman" w:hAnsi="Times New Roman" w:eastAsia="宋体" w:cs="Times New Roman"/>
          <w:color w:val="auto"/>
          <w:highlight w:val="none"/>
        </w:rPr>
      </w:pPr>
      <w:bookmarkStart w:id="422" w:name="_Toc18106"/>
      <w:bookmarkStart w:id="423" w:name="_Toc6072"/>
      <w:bookmarkStart w:id="424" w:name="_Toc10335"/>
      <w:r>
        <w:rPr>
          <w:rFonts w:hint="default" w:ascii="Times New Roman" w:hAnsi="Times New Roman" w:eastAsia="宋体" w:cs="Times New Roman"/>
          <w:color w:val="auto"/>
          <w:highlight w:val="none"/>
        </w:rPr>
        <w:t>地表水环境影响评价</w:t>
      </w:r>
      <w:bookmarkEnd w:id="422"/>
      <w:bookmarkEnd w:id="423"/>
      <w:bookmarkEnd w:id="424"/>
    </w:p>
    <w:p w14:paraId="33966482">
      <w:pPr>
        <w:ind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施工单位使用的施工机械为先进设备，施工机械不进行现场维修，定期送至维修点维修，不产生含油废水。土建施工砂石骨料冲洗、混凝土养生将产生工业废水，施工废水主要污染因子为SS，经过沉淀池处理后用于施工场地降尘，禁止散排。因此施工生产废水不会对地表水环境产生影响。</w:t>
      </w:r>
    </w:p>
    <w:p w14:paraId="528069CA">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szCs w:val="24"/>
          <w:highlight w:val="none"/>
        </w:rPr>
        <w:t>施工人员入驻施工现场，将产生生活污水，主要污染因子为COD、SS和氨氮，施工人员</w:t>
      </w:r>
      <w:r>
        <w:rPr>
          <w:rFonts w:hint="eastAsia" w:ascii="Times New Roman" w:hAnsi="Times New Roman" w:eastAsia="宋体" w:cs="Times New Roman"/>
          <w:color w:val="auto"/>
          <w:sz w:val="24"/>
          <w:szCs w:val="24"/>
          <w:highlight w:val="none"/>
          <w:lang w:val="en-US" w:eastAsia="zh-CN"/>
        </w:rPr>
        <w:t>25</w:t>
      </w:r>
      <w:r>
        <w:rPr>
          <w:rFonts w:hint="default" w:ascii="Times New Roman" w:hAnsi="Times New Roman" w:eastAsia="宋体" w:cs="Times New Roman"/>
          <w:color w:val="auto"/>
          <w:sz w:val="24"/>
          <w:szCs w:val="24"/>
          <w:highlight w:val="none"/>
        </w:rPr>
        <w:t>人，用水量按30L/人·d计算，用水量为</w:t>
      </w:r>
      <w:r>
        <w:rPr>
          <w:rFonts w:hint="eastAsia" w:ascii="Times New Roman" w:hAnsi="Times New Roman" w:eastAsia="宋体" w:cs="Times New Roman"/>
          <w:color w:val="auto"/>
          <w:sz w:val="24"/>
          <w:szCs w:val="24"/>
          <w:highlight w:val="none"/>
          <w:lang w:val="en-US" w:eastAsia="zh-CN"/>
        </w:rPr>
        <w:t>0.75</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/d，污水排放量为</w:t>
      </w:r>
      <w:r>
        <w:rPr>
          <w:rFonts w:hint="eastAsia" w:ascii="Times New Roman" w:hAnsi="Times New Roman" w:eastAsia="宋体" w:cs="Times New Roman"/>
          <w:color w:val="auto"/>
          <w:sz w:val="24"/>
          <w:szCs w:val="24"/>
          <w:highlight w:val="none"/>
          <w:lang w:val="en-US" w:eastAsia="zh-CN"/>
        </w:rPr>
        <w:t>0.6</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/d，施工期施工人员产生的生活污水经市政污水管网排入</w:t>
      </w:r>
      <w:r>
        <w:rPr>
          <w:rFonts w:hint="eastAsia" w:ascii="Times New Roman" w:hAnsi="Times New Roman" w:eastAsia="宋体" w:cs="Times New Roman"/>
          <w:color w:val="auto"/>
          <w:sz w:val="24"/>
          <w:szCs w:val="24"/>
          <w:highlight w:val="none"/>
          <w:lang w:val="en-US" w:eastAsia="zh-CN"/>
        </w:rPr>
        <w:t>佳木斯西区污水处理厂</w:t>
      </w:r>
      <w:r>
        <w:rPr>
          <w:rFonts w:hint="default" w:ascii="Times New Roman" w:hAnsi="Times New Roman" w:eastAsia="宋体" w:cs="Times New Roman"/>
          <w:color w:val="auto"/>
          <w:sz w:val="24"/>
          <w:szCs w:val="24"/>
          <w:highlight w:val="none"/>
        </w:rPr>
        <w:t>处理，不会对地表水环境产生影响。</w:t>
      </w:r>
    </w:p>
    <w:p w14:paraId="5713F19A">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425" w:name="_Toc19893"/>
      <w:bookmarkStart w:id="426" w:name="_Toc12707"/>
      <w:bookmarkStart w:id="427" w:name="_Toc8361"/>
      <w:r>
        <w:rPr>
          <w:rFonts w:hint="default" w:ascii="Times New Roman" w:hAnsi="Times New Roman" w:eastAsia="宋体" w:cs="Times New Roman"/>
          <w:color w:val="auto"/>
          <w:highlight w:val="none"/>
        </w:rPr>
        <w:t>声环境影响评价</w:t>
      </w:r>
      <w:bookmarkEnd w:id="425"/>
      <w:bookmarkEnd w:id="426"/>
      <w:bookmarkEnd w:id="427"/>
    </w:p>
    <w:p w14:paraId="45950E26">
      <w:pPr>
        <w:adjustRightInd w:val="0"/>
        <w:snapToGrid w:val="0"/>
        <w:spacing w:line="48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本项目</w:t>
      </w:r>
      <w:r>
        <w:rPr>
          <w:rFonts w:hint="default" w:ascii="Times New Roman" w:hAnsi="Times New Roman" w:eastAsia="宋体" w:cs="Times New Roman"/>
          <w:color w:val="auto"/>
          <w:sz w:val="24"/>
          <w:szCs w:val="24"/>
          <w:highlight w:val="none"/>
        </w:rPr>
        <w:t>施工期噪声主要来源于</w:t>
      </w:r>
      <w:r>
        <w:rPr>
          <w:rFonts w:hint="eastAsia" w:ascii="Times New Roman" w:hAnsi="Times New Roman" w:eastAsia="宋体" w:cs="Times New Roman"/>
          <w:color w:val="auto"/>
          <w:sz w:val="24"/>
          <w:szCs w:val="24"/>
          <w:highlight w:val="none"/>
          <w:lang w:val="en-US" w:eastAsia="zh-CN"/>
        </w:rPr>
        <w:t>施工</w:t>
      </w:r>
      <w:r>
        <w:rPr>
          <w:rFonts w:hint="default" w:ascii="Times New Roman" w:hAnsi="Times New Roman" w:eastAsia="宋体" w:cs="Times New Roman"/>
          <w:color w:val="auto"/>
          <w:sz w:val="24"/>
          <w:szCs w:val="24"/>
          <w:highlight w:val="none"/>
          <w:lang w:eastAsia="zh-CN"/>
        </w:rPr>
        <w:t>过程中使用的机械设备</w:t>
      </w:r>
      <w:r>
        <w:rPr>
          <w:rFonts w:hint="default" w:ascii="Times New Roman" w:hAnsi="Times New Roman" w:eastAsia="宋体" w:cs="Times New Roman"/>
          <w:color w:val="auto"/>
          <w:sz w:val="24"/>
          <w:szCs w:val="24"/>
          <w:highlight w:val="none"/>
        </w:rPr>
        <w:t>，具有高噪声、无规律的特点，它对外环境的影响是暂时的，随施工结束而消失。根据</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大型机械噪声源分析</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华侨大学机电及自动化学院</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等有关资料，</w:t>
      </w:r>
      <w:r>
        <w:rPr>
          <w:rFonts w:hint="default" w:ascii="Times New Roman" w:hAnsi="Times New Roman" w:eastAsia="宋体" w:cs="Times New Roman"/>
          <w:color w:val="auto"/>
          <w:sz w:val="24"/>
          <w:szCs w:val="24"/>
          <w:highlight w:val="none"/>
        </w:rPr>
        <w:t>将主要施工机械产生的噪声状况列于表6</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1-2。</w:t>
      </w:r>
    </w:p>
    <w:p w14:paraId="18FC17F9">
      <w:pPr>
        <w:spacing w:line="480" w:lineRule="exact"/>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表6</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1-2  施工机械噪声源源强   单位：dB(A)</w:t>
      </w:r>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216"/>
        <w:gridCol w:w="4634"/>
      </w:tblGrid>
      <w:tr w14:paraId="5C45502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316" w:type="dxa"/>
            <w:tcBorders>
              <w:top w:val="single" w:color="auto" w:sz="12" w:space="0"/>
              <w:left w:val="nil"/>
            </w:tcBorders>
            <w:noWrap w:val="0"/>
            <w:vAlign w:val="center"/>
          </w:tcPr>
          <w:p w14:paraId="28C77D38">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施工设备名称</w:t>
            </w:r>
          </w:p>
        </w:tc>
        <w:tc>
          <w:tcPr>
            <w:tcW w:w="4744" w:type="dxa"/>
            <w:tcBorders>
              <w:top w:val="single" w:color="auto" w:sz="12" w:space="0"/>
              <w:right w:val="nil"/>
            </w:tcBorders>
            <w:noWrap w:val="0"/>
            <w:vAlign w:val="center"/>
          </w:tcPr>
          <w:p w14:paraId="2BF07EC3">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 xml:space="preserve">距设备5m处平均A声级 </w:t>
            </w:r>
          </w:p>
        </w:tc>
      </w:tr>
      <w:tr w14:paraId="3CDC33A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316" w:type="dxa"/>
            <w:tcBorders>
              <w:left w:val="nil"/>
            </w:tcBorders>
            <w:noWrap w:val="0"/>
            <w:vAlign w:val="center"/>
          </w:tcPr>
          <w:p w14:paraId="1F5CF59B">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lang w:eastAsia="zh-CN"/>
              </w:rPr>
            </w:pPr>
            <w:r>
              <w:rPr>
                <w:rFonts w:hint="default" w:ascii="Times New Roman" w:hAnsi="Times New Roman" w:eastAsia="宋体" w:cs="Times New Roman"/>
                <w:color w:val="auto"/>
                <w:kern w:val="2"/>
                <w:sz w:val="21"/>
                <w:szCs w:val="21"/>
                <w:highlight w:val="none"/>
                <w:lang w:eastAsia="zh-CN"/>
              </w:rPr>
              <w:t>切割机</w:t>
            </w:r>
          </w:p>
        </w:tc>
        <w:tc>
          <w:tcPr>
            <w:tcW w:w="4744" w:type="dxa"/>
            <w:tcBorders>
              <w:right w:val="nil"/>
            </w:tcBorders>
            <w:noWrap w:val="0"/>
            <w:vAlign w:val="center"/>
          </w:tcPr>
          <w:p w14:paraId="5FC6520B">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85</w:t>
            </w:r>
          </w:p>
        </w:tc>
      </w:tr>
      <w:tr w14:paraId="777AD4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316" w:type="dxa"/>
            <w:tcBorders>
              <w:left w:val="nil"/>
            </w:tcBorders>
            <w:noWrap w:val="0"/>
            <w:vAlign w:val="center"/>
          </w:tcPr>
          <w:p w14:paraId="0FBA1AC3">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lang w:eastAsia="zh-CN"/>
              </w:rPr>
            </w:pPr>
            <w:r>
              <w:rPr>
                <w:rFonts w:hint="default" w:ascii="Times New Roman" w:hAnsi="Times New Roman" w:eastAsia="宋体" w:cs="Times New Roman"/>
                <w:color w:val="auto"/>
                <w:kern w:val="2"/>
                <w:sz w:val="21"/>
                <w:szCs w:val="21"/>
                <w:highlight w:val="none"/>
                <w:lang w:eastAsia="zh-CN"/>
              </w:rPr>
              <w:t>焊接机</w:t>
            </w:r>
          </w:p>
        </w:tc>
        <w:tc>
          <w:tcPr>
            <w:tcW w:w="4744" w:type="dxa"/>
            <w:tcBorders>
              <w:right w:val="nil"/>
            </w:tcBorders>
            <w:noWrap w:val="0"/>
            <w:vAlign w:val="center"/>
          </w:tcPr>
          <w:p w14:paraId="24979763">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80</w:t>
            </w:r>
          </w:p>
        </w:tc>
      </w:tr>
      <w:tr w14:paraId="272B0A1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316" w:type="dxa"/>
            <w:tcBorders>
              <w:left w:val="nil"/>
            </w:tcBorders>
            <w:noWrap w:val="0"/>
            <w:vAlign w:val="center"/>
          </w:tcPr>
          <w:p w14:paraId="2E13B621">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lang w:eastAsia="zh-CN"/>
              </w:rPr>
            </w:pPr>
            <w:r>
              <w:rPr>
                <w:rFonts w:hint="default" w:ascii="Times New Roman" w:hAnsi="Times New Roman" w:eastAsia="宋体" w:cs="Times New Roman"/>
                <w:color w:val="auto"/>
                <w:kern w:val="2"/>
                <w:sz w:val="21"/>
                <w:szCs w:val="21"/>
                <w:highlight w:val="none"/>
                <w:lang w:eastAsia="zh-CN"/>
              </w:rPr>
              <w:t>钻孔机</w:t>
            </w:r>
          </w:p>
        </w:tc>
        <w:tc>
          <w:tcPr>
            <w:tcW w:w="4744" w:type="dxa"/>
            <w:tcBorders>
              <w:right w:val="nil"/>
            </w:tcBorders>
            <w:noWrap w:val="0"/>
            <w:vAlign w:val="center"/>
          </w:tcPr>
          <w:p w14:paraId="5C54F84A">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87</w:t>
            </w:r>
          </w:p>
        </w:tc>
      </w:tr>
      <w:tr w14:paraId="531E4D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316" w:type="dxa"/>
            <w:tcBorders>
              <w:left w:val="nil"/>
              <w:bottom w:val="single" w:color="auto" w:sz="12" w:space="0"/>
            </w:tcBorders>
            <w:noWrap w:val="0"/>
            <w:vAlign w:val="center"/>
          </w:tcPr>
          <w:p w14:paraId="44CA9BED">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lang w:eastAsia="zh-CN"/>
              </w:rPr>
            </w:pPr>
            <w:r>
              <w:rPr>
                <w:rFonts w:hint="default" w:ascii="Times New Roman" w:hAnsi="Times New Roman" w:eastAsia="宋体" w:cs="Times New Roman"/>
                <w:color w:val="auto"/>
                <w:kern w:val="2"/>
                <w:sz w:val="21"/>
                <w:szCs w:val="21"/>
                <w:highlight w:val="none"/>
                <w:lang w:eastAsia="zh-CN"/>
              </w:rPr>
              <w:t>空压机</w:t>
            </w:r>
          </w:p>
        </w:tc>
        <w:tc>
          <w:tcPr>
            <w:tcW w:w="4744" w:type="dxa"/>
            <w:tcBorders>
              <w:bottom w:val="single" w:color="auto" w:sz="12" w:space="0"/>
              <w:right w:val="nil"/>
            </w:tcBorders>
            <w:noWrap w:val="0"/>
            <w:vAlign w:val="center"/>
          </w:tcPr>
          <w:p w14:paraId="6424D261">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90</w:t>
            </w:r>
          </w:p>
        </w:tc>
      </w:tr>
    </w:tbl>
    <w:p w14:paraId="79F087C9">
      <w:pPr>
        <w:adjustRightInd w:val="0"/>
        <w:snapToGrid w:val="0"/>
        <w:spacing w:line="48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由6-1-2可以看出，现场施工机械设备噪声很高，而且实际施工过程中，往往是多种机械同时工作，各种噪声源辐射的相互叠加，噪声级将更高，辐射范围亦更大。施工噪声对周围区域声环境的影响，采用</w:t>
      </w:r>
      <w:r>
        <w:rPr>
          <w:rFonts w:hint="eastAsia" w:ascii="Times New Roman" w:hAnsi="Times New Roman" w:eastAsia="宋体" w:cs="Times New Roman"/>
          <w:color w:val="auto"/>
          <w:sz w:val="24"/>
          <w:szCs w:val="24"/>
          <w:highlight w:val="none"/>
          <w:lang w:eastAsia="zh-CN"/>
        </w:rPr>
        <w:t>《建筑施工噪声排放标准》（GB12523-2025）</w:t>
      </w:r>
      <w:r>
        <w:rPr>
          <w:rFonts w:hint="default" w:ascii="Times New Roman" w:hAnsi="Times New Roman" w:eastAsia="宋体" w:cs="Times New Roman"/>
          <w:color w:val="auto"/>
          <w:sz w:val="24"/>
          <w:szCs w:val="24"/>
          <w:highlight w:val="none"/>
        </w:rPr>
        <w:t>（昼间70dB（A），夜间55dB（A））进行评价。</w:t>
      </w:r>
    </w:p>
    <w:p w14:paraId="21D72669">
      <w:pPr>
        <w:adjustRightInd w:val="0"/>
        <w:snapToGrid w:val="0"/>
        <w:spacing w:line="48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本项目施工过程中使用的施工机械所产生的噪声主要属于中低频噪声，因此，只考虑其扩散衰减，即预模型可选用：</w:t>
      </w:r>
      <w:r>
        <w:rPr>
          <w:rFonts w:hint="default" w:ascii="Times New Roman" w:hAnsi="Times New Roman" w:eastAsia="宋体" w:cs="Times New Roman"/>
          <w:i/>
          <w:color w:val="auto"/>
          <w:sz w:val="24"/>
          <w:szCs w:val="24"/>
          <w:highlight w:val="none"/>
        </w:rPr>
        <w:t>L</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i/>
          <w:color w:val="auto"/>
          <w:sz w:val="24"/>
          <w:szCs w:val="24"/>
          <w:highlight w:val="none"/>
        </w:rPr>
        <w:t>L</w:t>
      </w:r>
      <w:r>
        <w:rPr>
          <w:rFonts w:hint="default" w:ascii="Times New Roman" w:hAnsi="Times New Roman" w:eastAsia="宋体" w:cs="Times New Roman"/>
          <w:color w:val="auto"/>
          <w:sz w:val="24"/>
          <w:szCs w:val="24"/>
          <w:highlight w:val="none"/>
          <w:vertAlign w:val="subscript"/>
        </w:rPr>
        <w:t>1</w:t>
      </w:r>
      <w:r>
        <w:rPr>
          <w:rFonts w:hint="default" w:ascii="Times New Roman" w:hAnsi="Times New Roman" w:eastAsia="宋体" w:cs="Times New Roman"/>
          <w:color w:val="auto"/>
          <w:sz w:val="24"/>
          <w:szCs w:val="24"/>
          <w:highlight w:val="none"/>
        </w:rPr>
        <w:t>-20lg</w:t>
      </w:r>
      <w:r>
        <w:rPr>
          <w:rFonts w:hint="default" w:ascii="Times New Roman" w:hAnsi="Times New Roman" w:eastAsia="宋体" w:cs="Times New Roman"/>
          <w:i/>
          <w:color w:val="auto"/>
          <w:sz w:val="24"/>
          <w:szCs w:val="24"/>
          <w:highlight w:val="none"/>
        </w:rPr>
        <w:t>r</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i/>
          <w:color w:val="auto"/>
          <w:sz w:val="24"/>
          <w:szCs w:val="24"/>
          <w:highlight w:val="none"/>
        </w:rPr>
        <w:t>r</w:t>
      </w:r>
      <w:r>
        <w:rPr>
          <w:rFonts w:hint="default" w:ascii="Times New Roman" w:hAnsi="Times New Roman" w:eastAsia="宋体" w:cs="Times New Roman"/>
          <w:color w:val="auto"/>
          <w:sz w:val="24"/>
          <w:szCs w:val="24"/>
          <w:highlight w:val="none"/>
          <w:vertAlign w:val="subscript"/>
        </w:rPr>
        <w:t xml:space="preserve">1   </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i/>
          <w:color w:val="auto"/>
          <w:sz w:val="24"/>
          <w:szCs w:val="24"/>
          <w:highlight w:val="none"/>
        </w:rPr>
        <w:t>r</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&gt;</w:t>
      </w:r>
      <w:r>
        <w:rPr>
          <w:rFonts w:hint="default" w:ascii="Times New Roman" w:hAnsi="Times New Roman" w:eastAsia="宋体" w:cs="Times New Roman"/>
          <w:i/>
          <w:color w:val="auto"/>
          <w:sz w:val="24"/>
          <w:szCs w:val="24"/>
          <w:highlight w:val="none"/>
        </w:rPr>
        <w:t>r</w:t>
      </w:r>
      <w:r>
        <w:rPr>
          <w:rFonts w:hint="default" w:ascii="Times New Roman" w:hAnsi="Times New Roman" w:eastAsia="宋体" w:cs="Times New Roman"/>
          <w:color w:val="auto"/>
          <w:sz w:val="24"/>
          <w:szCs w:val="24"/>
          <w:highlight w:val="none"/>
          <w:vertAlign w:val="subscript"/>
        </w:rPr>
        <w:t>1</w:t>
      </w:r>
      <w:r>
        <w:rPr>
          <w:rFonts w:hint="default" w:ascii="Times New Roman" w:hAnsi="Times New Roman" w:eastAsia="宋体" w:cs="Times New Roman"/>
          <w:color w:val="auto"/>
          <w:sz w:val="24"/>
          <w:szCs w:val="24"/>
          <w:highlight w:val="none"/>
        </w:rPr>
        <w:t>)</w:t>
      </w:r>
    </w:p>
    <w:p w14:paraId="3BAD0272">
      <w:pPr>
        <w:adjustRightInd w:val="0"/>
        <w:snapToGrid w:val="0"/>
        <w:spacing w:line="480" w:lineRule="exact"/>
        <w:ind w:firstLine="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i/>
          <w:color w:val="auto"/>
          <w:sz w:val="24"/>
          <w:szCs w:val="24"/>
          <w:highlight w:val="none"/>
        </w:rPr>
        <w:t>L</w:t>
      </w:r>
      <w:r>
        <w:rPr>
          <w:rFonts w:hint="default" w:ascii="Times New Roman" w:hAnsi="Times New Roman" w:eastAsia="宋体" w:cs="Times New Roman"/>
          <w:color w:val="auto"/>
          <w:sz w:val="24"/>
          <w:szCs w:val="24"/>
          <w:highlight w:val="none"/>
          <w:vertAlign w:val="subscript"/>
        </w:rPr>
        <w:t>1</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i/>
          <w:color w:val="auto"/>
          <w:sz w:val="24"/>
          <w:szCs w:val="24"/>
          <w:highlight w:val="none"/>
        </w:rPr>
        <w:t>L</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—距声源</w:t>
      </w:r>
      <w:r>
        <w:rPr>
          <w:rFonts w:hint="default" w:ascii="Times New Roman" w:hAnsi="Times New Roman" w:eastAsia="宋体" w:cs="Times New Roman"/>
          <w:i/>
          <w:color w:val="auto"/>
          <w:sz w:val="24"/>
          <w:szCs w:val="24"/>
          <w:highlight w:val="none"/>
        </w:rPr>
        <w:t>r</w:t>
      </w:r>
      <w:r>
        <w:rPr>
          <w:rFonts w:hint="default" w:ascii="Times New Roman" w:hAnsi="Times New Roman" w:eastAsia="宋体" w:cs="Times New Roman"/>
          <w:color w:val="auto"/>
          <w:sz w:val="24"/>
          <w:szCs w:val="24"/>
          <w:highlight w:val="none"/>
          <w:vertAlign w:val="subscript"/>
        </w:rPr>
        <w:t>1</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i/>
          <w:color w:val="auto"/>
          <w:sz w:val="24"/>
          <w:szCs w:val="24"/>
          <w:highlight w:val="none"/>
        </w:rPr>
        <w:t>r</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处的</w:t>
      </w:r>
      <w:r>
        <w:rPr>
          <w:rFonts w:hint="default" w:ascii="Times New Roman" w:hAnsi="Times New Roman" w:eastAsia="宋体" w:cs="Times New Roman"/>
          <w:color w:val="auto"/>
          <w:sz w:val="24"/>
          <w:szCs w:val="24"/>
          <w:highlight w:val="none"/>
          <w:lang w:eastAsia="zh-CN"/>
        </w:rPr>
        <w:t>等效A声级</w:t>
      </w:r>
      <w:r>
        <w:rPr>
          <w:rFonts w:hint="default" w:ascii="Times New Roman" w:hAnsi="Times New Roman" w:eastAsia="宋体" w:cs="Times New Roman"/>
          <w:color w:val="auto"/>
          <w:sz w:val="24"/>
          <w:szCs w:val="24"/>
          <w:highlight w:val="none"/>
        </w:rPr>
        <w:t>，dB(A</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w:t>
      </w:r>
    </w:p>
    <w:p w14:paraId="72D1581E">
      <w:pPr>
        <w:adjustRightInd w:val="0"/>
        <w:snapToGrid w:val="0"/>
        <w:spacing w:line="480" w:lineRule="exact"/>
        <w:ind w:firstLine="960" w:firstLineChars="4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i/>
          <w:color w:val="auto"/>
          <w:sz w:val="24"/>
          <w:szCs w:val="24"/>
          <w:highlight w:val="none"/>
        </w:rPr>
        <w:t>r</w:t>
      </w:r>
      <w:r>
        <w:rPr>
          <w:rFonts w:hint="default" w:ascii="Times New Roman" w:hAnsi="Times New Roman" w:eastAsia="宋体" w:cs="Times New Roman"/>
          <w:color w:val="auto"/>
          <w:sz w:val="24"/>
          <w:szCs w:val="24"/>
          <w:highlight w:val="none"/>
          <w:vertAlign w:val="subscript"/>
        </w:rPr>
        <w:t>1</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i/>
          <w:color w:val="auto"/>
          <w:sz w:val="24"/>
          <w:szCs w:val="24"/>
          <w:highlight w:val="none"/>
        </w:rPr>
        <w:t>r</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—接受点距声源的距离，m。</w:t>
      </w:r>
    </w:p>
    <w:p w14:paraId="16918357">
      <w:pPr>
        <w:adjustRightInd w:val="0"/>
        <w:snapToGrid w:val="0"/>
        <w:spacing w:line="48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由上式可推出噪声随距离增加而衰减的量△L：△</w:t>
      </w:r>
      <w:r>
        <w:rPr>
          <w:rFonts w:hint="default" w:ascii="Times New Roman" w:hAnsi="Times New Roman" w:eastAsia="宋体" w:cs="Times New Roman"/>
          <w:i/>
          <w:color w:val="auto"/>
          <w:sz w:val="24"/>
          <w:szCs w:val="24"/>
          <w:highlight w:val="none"/>
        </w:rPr>
        <w:t>L</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i/>
          <w:color w:val="auto"/>
          <w:sz w:val="24"/>
          <w:szCs w:val="24"/>
          <w:highlight w:val="none"/>
        </w:rPr>
        <w:t>L</w:t>
      </w:r>
      <w:r>
        <w:rPr>
          <w:rFonts w:hint="default" w:ascii="Times New Roman" w:hAnsi="Times New Roman" w:eastAsia="宋体" w:cs="Times New Roman"/>
          <w:color w:val="auto"/>
          <w:sz w:val="24"/>
          <w:szCs w:val="24"/>
          <w:highlight w:val="none"/>
          <w:vertAlign w:val="subscript"/>
        </w:rPr>
        <w:t>1</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i/>
          <w:color w:val="auto"/>
          <w:sz w:val="24"/>
          <w:szCs w:val="24"/>
          <w:highlight w:val="none"/>
        </w:rPr>
        <w:t>L</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=20lg</w:t>
      </w:r>
      <w:r>
        <w:rPr>
          <w:rFonts w:hint="default" w:ascii="Times New Roman" w:hAnsi="Times New Roman" w:eastAsia="宋体" w:cs="Times New Roman"/>
          <w:i/>
          <w:color w:val="auto"/>
          <w:sz w:val="24"/>
          <w:szCs w:val="24"/>
          <w:highlight w:val="none"/>
        </w:rPr>
        <w:t>r</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i/>
          <w:color w:val="auto"/>
          <w:sz w:val="24"/>
          <w:szCs w:val="24"/>
          <w:highlight w:val="none"/>
        </w:rPr>
        <w:t>r</w:t>
      </w:r>
      <w:r>
        <w:rPr>
          <w:rFonts w:hint="default" w:ascii="Times New Roman" w:hAnsi="Times New Roman" w:eastAsia="宋体" w:cs="Times New Roman"/>
          <w:color w:val="auto"/>
          <w:sz w:val="24"/>
          <w:szCs w:val="24"/>
          <w:highlight w:val="none"/>
          <w:vertAlign w:val="subscript"/>
        </w:rPr>
        <w:t>1</w:t>
      </w:r>
    </w:p>
    <w:p w14:paraId="7CA8C88E">
      <w:pPr>
        <w:spacing w:line="48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由上式可计算出噪声值随距离衰减的情况，结果见表6</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1-3。</w:t>
      </w:r>
    </w:p>
    <w:p w14:paraId="38B71268">
      <w:pPr>
        <w:pStyle w:val="116"/>
        <w:adjustRightInd w:val="0"/>
        <w:snapToGrid w:val="0"/>
        <w:spacing w:line="480" w:lineRule="exac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表6</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1-3  噪声值随距离的衰减关系</w:t>
      </w:r>
    </w:p>
    <w:tbl>
      <w:tblPr>
        <w:tblStyle w:val="37"/>
        <w:tblW w:w="4996"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700"/>
        <w:gridCol w:w="794"/>
        <w:gridCol w:w="781"/>
        <w:gridCol w:w="805"/>
        <w:gridCol w:w="795"/>
        <w:gridCol w:w="795"/>
        <w:gridCol w:w="795"/>
        <w:gridCol w:w="795"/>
        <w:gridCol w:w="795"/>
        <w:gridCol w:w="788"/>
      </w:tblGrid>
      <w:tr w14:paraId="039549A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61" w:type="pct"/>
            <w:tcBorders>
              <w:top w:val="single" w:color="auto" w:sz="12" w:space="0"/>
              <w:left w:val="nil"/>
            </w:tcBorders>
            <w:noWrap w:val="0"/>
            <w:vAlign w:val="center"/>
          </w:tcPr>
          <w:p w14:paraId="2B820ACC">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距离</w:t>
            </w:r>
            <w:r>
              <w:rPr>
                <w:rFonts w:hint="eastAsia" w:eastAsia="宋体" w:cs="Times New Roman"/>
                <w:color w:val="auto"/>
                <w:kern w:val="2"/>
                <w:sz w:val="21"/>
                <w:szCs w:val="21"/>
                <w:highlight w:val="none"/>
                <w:lang w:eastAsia="zh-CN"/>
              </w:rPr>
              <w:t>（</w:t>
            </w:r>
            <w:r>
              <w:rPr>
                <w:rFonts w:hint="default" w:ascii="Times New Roman" w:hAnsi="Times New Roman" w:eastAsia="宋体" w:cs="Times New Roman"/>
                <w:color w:val="auto"/>
                <w:kern w:val="2"/>
                <w:sz w:val="21"/>
                <w:szCs w:val="21"/>
                <w:highlight w:val="none"/>
              </w:rPr>
              <w:t>m</w:t>
            </w:r>
            <w:r>
              <w:rPr>
                <w:rFonts w:hint="eastAsia" w:eastAsia="宋体" w:cs="Times New Roman"/>
                <w:color w:val="auto"/>
                <w:kern w:val="2"/>
                <w:sz w:val="21"/>
                <w:szCs w:val="21"/>
                <w:highlight w:val="none"/>
                <w:lang w:eastAsia="zh-CN"/>
              </w:rPr>
              <w:t>）</w:t>
            </w:r>
          </w:p>
        </w:tc>
        <w:tc>
          <w:tcPr>
            <w:tcW w:w="449" w:type="pct"/>
            <w:tcBorders>
              <w:top w:val="single" w:color="auto" w:sz="12" w:space="0"/>
            </w:tcBorders>
            <w:noWrap w:val="0"/>
            <w:vAlign w:val="center"/>
          </w:tcPr>
          <w:p w14:paraId="3EF2BAC7">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10</w:t>
            </w:r>
          </w:p>
        </w:tc>
        <w:tc>
          <w:tcPr>
            <w:tcW w:w="441" w:type="pct"/>
            <w:tcBorders>
              <w:top w:val="single" w:color="auto" w:sz="12" w:space="0"/>
            </w:tcBorders>
            <w:noWrap w:val="0"/>
            <w:vAlign w:val="center"/>
          </w:tcPr>
          <w:p w14:paraId="4AF05B02">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50</w:t>
            </w:r>
          </w:p>
        </w:tc>
        <w:tc>
          <w:tcPr>
            <w:tcW w:w="455" w:type="pct"/>
            <w:tcBorders>
              <w:top w:val="single" w:color="auto" w:sz="12" w:space="0"/>
            </w:tcBorders>
            <w:noWrap w:val="0"/>
            <w:vAlign w:val="center"/>
          </w:tcPr>
          <w:p w14:paraId="0DD03B9F">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100</w:t>
            </w:r>
          </w:p>
        </w:tc>
        <w:tc>
          <w:tcPr>
            <w:tcW w:w="449" w:type="pct"/>
            <w:tcBorders>
              <w:top w:val="single" w:color="auto" w:sz="12" w:space="0"/>
            </w:tcBorders>
            <w:noWrap w:val="0"/>
            <w:vAlign w:val="center"/>
          </w:tcPr>
          <w:p w14:paraId="4FA7765E">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150</w:t>
            </w:r>
          </w:p>
        </w:tc>
        <w:tc>
          <w:tcPr>
            <w:tcW w:w="449" w:type="pct"/>
            <w:tcBorders>
              <w:top w:val="single" w:color="auto" w:sz="12" w:space="0"/>
            </w:tcBorders>
            <w:noWrap w:val="0"/>
            <w:vAlign w:val="center"/>
          </w:tcPr>
          <w:p w14:paraId="4B2C398F">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200</w:t>
            </w:r>
          </w:p>
        </w:tc>
        <w:tc>
          <w:tcPr>
            <w:tcW w:w="449" w:type="pct"/>
            <w:tcBorders>
              <w:top w:val="single" w:color="auto" w:sz="12" w:space="0"/>
            </w:tcBorders>
            <w:noWrap w:val="0"/>
            <w:vAlign w:val="center"/>
          </w:tcPr>
          <w:p w14:paraId="66F07A98">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250</w:t>
            </w:r>
          </w:p>
        </w:tc>
        <w:tc>
          <w:tcPr>
            <w:tcW w:w="449" w:type="pct"/>
            <w:tcBorders>
              <w:top w:val="single" w:color="auto" w:sz="12" w:space="0"/>
            </w:tcBorders>
            <w:noWrap w:val="0"/>
            <w:vAlign w:val="center"/>
          </w:tcPr>
          <w:p w14:paraId="7913E812">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300</w:t>
            </w:r>
          </w:p>
        </w:tc>
        <w:tc>
          <w:tcPr>
            <w:tcW w:w="449" w:type="pct"/>
            <w:tcBorders>
              <w:top w:val="single" w:color="auto" w:sz="12" w:space="0"/>
            </w:tcBorders>
            <w:noWrap w:val="0"/>
            <w:vAlign w:val="center"/>
          </w:tcPr>
          <w:p w14:paraId="3F80BC64">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400</w:t>
            </w:r>
          </w:p>
        </w:tc>
        <w:tc>
          <w:tcPr>
            <w:tcW w:w="445" w:type="pct"/>
            <w:tcBorders>
              <w:top w:val="single" w:color="auto" w:sz="12" w:space="0"/>
              <w:right w:val="nil"/>
            </w:tcBorders>
            <w:noWrap w:val="0"/>
            <w:vAlign w:val="center"/>
          </w:tcPr>
          <w:p w14:paraId="1875FFBD">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500</w:t>
            </w:r>
          </w:p>
        </w:tc>
      </w:tr>
      <w:tr w14:paraId="26EE886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61" w:type="pct"/>
            <w:tcBorders>
              <w:left w:val="nil"/>
              <w:bottom w:val="single" w:color="auto" w:sz="12" w:space="0"/>
            </w:tcBorders>
            <w:noWrap w:val="0"/>
            <w:vAlign w:val="center"/>
          </w:tcPr>
          <w:p w14:paraId="1955BE8B">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△L dB(A)</w:t>
            </w:r>
          </w:p>
        </w:tc>
        <w:tc>
          <w:tcPr>
            <w:tcW w:w="449" w:type="pct"/>
            <w:tcBorders>
              <w:bottom w:val="single" w:color="auto" w:sz="12" w:space="0"/>
            </w:tcBorders>
            <w:noWrap w:val="0"/>
            <w:vAlign w:val="center"/>
          </w:tcPr>
          <w:p w14:paraId="00BB1F85">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6.0</w:t>
            </w:r>
          </w:p>
        </w:tc>
        <w:tc>
          <w:tcPr>
            <w:tcW w:w="441" w:type="pct"/>
            <w:tcBorders>
              <w:bottom w:val="single" w:color="auto" w:sz="12" w:space="0"/>
            </w:tcBorders>
            <w:noWrap w:val="0"/>
            <w:vAlign w:val="center"/>
          </w:tcPr>
          <w:p w14:paraId="3888BC70">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20.0</w:t>
            </w:r>
          </w:p>
        </w:tc>
        <w:tc>
          <w:tcPr>
            <w:tcW w:w="455" w:type="pct"/>
            <w:tcBorders>
              <w:bottom w:val="single" w:color="auto" w:sz="12" w:space="0"/>
            </w:tcBorders>
            <w:noWrap w:val="0"/>
            <w:vAlign w:val="center"/>
          </w:tcPr>
          <w:p w14:paraId="07AA1B65">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26.0</w:t>
            </w:r>
          </w:p>
        </w:tc>
        <w:tc>
          <w:tcPr>
            <w:tcW w:w="449" w:type="pct"/>
            <w:tcBorders>
              <w:bottom w:val="single" w:color="auto" w:sz="12" w:space="0"/>
            </w:tcBorders>
            <w:noWrap w:val="0"/>
            <w:vAlign w:val="center"/>
          </w:tcPr>
          <w:p w14:paraId="4C0F73A2">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29.5</w:t>
            </w:r>
          </w:p>
        </w:tc>
        <w:tc>
          <w:tcPr>
            <w:tcW w:w="449" w:type="pct"/>
            <w:tcBorders>
              <w:bottom w:val="single" w:color="auto" w:sz="12" w:space="0"/>
            </w:tcBorders>
            <w:noWrap w:val="0"/>
            <w:vAlign w:val="center"/>
          </w:tcPr>
          <w:p w14:paraId="558D95EA">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32.0</w:t>
            </w:r>
          </w:p>
        </w:tc>
        <w:tc>
          <w:tcPr>
            <w:tcW w:w="449" w:type="pct"/>
            <w:tcBorders>
              <w:bottom w:val="single" w:color="auto" w:sz="12" w:space="0"/>
            </w:tcBorders>
            <w:noWrap w:val="0"/>
            <w:vAlign w:val="center"/>
          </w:tcPr>
          <w:p w14:paraId="785D8A28">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34.0</w:t>
            </w:r>
          </w:p>
        </w:tc>
        <w:tc>
          <w:tcPr>
            <w:tcW w:w="449" w:type="pct"/>
            <w:tcBorders>
              <w:bottom w:val="single" w:color="auto" w:sz="12" w:space="0"/>
            </w:tcBorders>
            <w:noWrap w:val="0"/>
            <w:vAlign w:val="center"/>
          </w:tcPr>
          <w:p w14:paraId="723CF764">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35.6</w:t>
            </w:r>
          </w:p>
        </w:tc>
        <w:tc>
          <w:tcPr>
            <w:tcW w:w="449" w:type="pct"/>
            <w:tcBorders>
              <w:bottom w:val="single" w:color="auto" w:sz="12" w:space="0"/>
            </w:tcBorders>
            <w:noWrap w:val="0"/>
            <w:vAlign w:val="center"/>
          </w:tcPr>
          <w:p w14:paraId="5AA90201">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38.1</w:t>
            </w:r>
          </w:p>
        </w:tc>
        <w:tc>
          <w:tcPr>
            <w:tcW w:w="445" w:type="pct"/>
            <w:tcBorders>
              <w:bottom w:val="single" w:color="auto" w:sz="12" w:space="0"/>
              <w:right w:val="nil"/>
            </w:tcBorders>
            <w:noWrap w:val="0"/>
            <w:vAlign w:val="center"/>
          </w:tcPr>
          <w:p w14:paraId="22ABE85A">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40.0</w:t>
            </w:r>
          </w:p>
        </w:tc>
      </w:tr>
    </w:tbl>
    <w:p w14:paraId="7F43BF4F">
      <w:pPr>
        <w:keepNext w:val="0"/>
        <w:keepLines w:val="0"/>
        <w:pageBreakBefore w:val="0"/>
        <w:widowControl w:val="0"/>
        <w:kinsoku/>
        <w:wordWrap/>
        <w:overflowPunct/>
        <w:topLinePunct w:val="0"/>
        <w:autoSpaceDE/>
        <w:autoSpaceDN/>
        <w:bidi w:val="0"/>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若按表6</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1-2中</w:t>
      </w:r>
      <w:r>
        <w:rPr>
          <w:rFonts w:hint="default" w:ascii="Times New Roman" w:hAnsi="Times New Roman" w:eastAsia="宋体" w:cs="Times New Roman"/>
          <w:color w:val="auto"/>
          <w:sz w:val="24"/>
          <w:szCs w:val="24"/>
          <w:highlight w:val="none"/>
          <w:lang w:val="en-US" w:eastAsia="zh-CN"/>
        </w:rPr>
        <w:t>设备</w:t>
      </w:r>
      <w:r>
        <w:rPr>
          <w:rFonts w:hint="default" w:ascii="Times New Roman" w:hAnsi="Times New Roman" w:eastAsia="宋体" w:cs="Times New Roman"/>
          <w:color w:val="auto"/>
          <w:sz w:val="24"/>
          <w:szCs w:val="24"/>
          <w:highlight w:val="none"/>
        </w:rPr>
        <w:t>计算，工程施工噪声随距离衰减后的情况如表6</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1-4所示。</w:t>
      </w:r>
    </w:p>
    <w:p w14:paraId="641F2092">
      <w:pPr>
        <w:pStyle w:val="116"/>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表6</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1-4  施工噪声值随距离的衰减值</w:t>
      </w:r>
    </w:p>
    <w:tbl>
      <w:tblPr>
        <w:tblStyle w:val="37"/>
        <w:tblW w:w="4995"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128"/>
        <w:gridCol w:w="822"/>
        <w:gridCol w:w="588"/>
        <w:gridCol w:w="804"/>
        <w:gridCol w:w="804"/>
        <w:gridCol w:w="804"/>
        <w:gridCol w:w="802"/>
        <w:gridCol w:w="802"/>
        <w:gridCol w:w="802"/>
        <w:gridCol w:w="802"/>
        <w:gridCol w:w="683"/>
      </w:tblGrid>
      <w:tr w14:paraId="284C1B1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38" w:type="pct"/>
            <w:tcBorders>
              <w:top w:val="single" w:color="auto" w:sz="12" w:space="0"/>
              <w:left w:val="nil"/>
              <w:right w:val="single" w:color="auto" w:sz="4" w:space="0"/>
            </w:tcBorders>
            <w:noWrap w:val="0"/>
            <w:vAlign w:val="center"/>
          </w:tcPr>
          <w:p w14:paraId="27279BD7">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距离</w:t>
            </w:r>
            <w:r>
              <w:rPr>
                <w:rFonts w:hint="eastAsia" w:eastAsia="宋体" w:cs="Times New Roman"/>
                <w:color w:val="auto"/>
                <w:kern w:val="2"/>
                <w:sz w:val="21"/>
                <w:szCs w:val="21"/>
                <w:highlight w:val="none"/>
                <w:lang w:eastAsia="zh-CN"/>
              </w:rPr>
              <w:t>（</w:t>
            </w:r>
            <w:r>
              <w:rPr>
                <w:rFonts w:hint="default" w:ascii="Times New Roman" w:hAnsi="Times New Roman" w:eastAsia="宋体" w:cs="Times New Roman"/>
                <w:color w:val="auto"/>
                <w:kern w:val="2"/>
                <w:sz w:val="21"/>
                <w:szCs w:val="21"/>
                <w:highlight w:val="none"/>
              </w:rPr>
              <w:t>m</w:t>
            </w:r>
            <w:r>
              <w:rPr>
                <w:rFonts w:hint="eastAsia" w:eastAsia="宋体" w:cs="Times New Roman"/>
                <w:color w:val="auto"/>
                <w:kern w:val="2"/>
                <w:sz w:val="21"/>
                <w:szCs w:val="21"/>
                <w:highlight w:val="none"/>
                <w:lang w:eastAsia="zh-CN"/>
              </w:rPr>
              <w:t>）</w:t>
            </w:r>
          </w:p>
        </w:tc>
        <w:tc>
          <w:tcPr>
            <w:tcW w:w="465" w:type="pct"/>
            <w:tcBorders>
              <w:top w:val="single" w:color="auto" w:sz="12" w:space="0"/>
              <w:left w:val="single" w:color="auto" w:sz="4" w:space="0"/>
              <w:right w:val="single" w:color="auto" w:sz="4" w:space="0"/>
            </w:tcBorders>
            <w:noWrap w:val="0"/>
            <w:vAlign w:val="center"/>
          </w:tcPr>
          <w:p w14:paraId="06AE0487">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5</w:t>
            </w:r>
          </w:p>
        </w:tc>
        <w:tc>
          <w:tcPr>
            <w:tcW w:w="332" w:type="pct"/>
            <w:tcBorders>
              <w:top w:val="single" w:color="auto" w:sz="12" w:space="0"/>
              <w:left w:val="single" w:color="auto" w:sz="4" w:space="0"/>
              <w:right w:val="single" w:color="auto" w:sz="4" w:space="0"/>
            </w:tcBorders>
            <w:noWrap w:val="0"/>
            <w:vAlign w:val="center"/>
          </w:tcPr>
          <w:p w14:paraId="1A7DBCE3">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10</w:t>
            </w:r>
          </w:p>
        </w:tc>
        <w:tc>
          <w:tcPr>
            <w:tcW w:w="454" w:type="pct"/>
            <w:tcBorders>
              <w:top w:val="single" w:color="auto" w:sz="12" w:space="0"/>
              <w:left w:val="single" w:color="auto" w:sz="4" w:space="0"/>
              <w:right w:val="single" w:color="auto" w:sz="4" w:space="0"/>
            </w:tcBorders>
            <w:noWrap w:val="0"/>
            <w:vAlign w:val="center"/>
          </w:tcPr>
          <w:p w14:paraId="0227BA5F">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50</w:t>
            </w:r>
          </w:p>
        </w:tc>
        <w:tc>
          <w:tcPr>
            <w:tcW w:w="454" w:type="pct"/>
            <w:tcBorders>
              <w:top w:val="single" w:color="auto" w:sz="12" w:space="0"/>
              <w:left w:val="single" w:color="auto" w:sz="4" w:space="0"/>
              <w:right w:val="single" w:color="auto" w:sz="4" w:space="0"/>
            </w:tcBorders>
            <w:noWrap w:val="0"/>
            <w:vAlign w:val="center"/>
          </w:tcPr>
          <w:p w14:paraId="1CAD3317">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100</w:t>
            </w:r>
          </w:p>
        </w:tc>
        <w:tc>
          <w:tcPr>
            <w:tcW w:w="454" w:type="pct"/>
            <w:tcBorders>
              <w:top w:val="single" w:color="auto" w:sz="12" w:space="0"/>
              <w:left w:val="single" w:color="auto" w:sz="4" w:space="0"/>
              <w:right w:val="single" w:color="auto" w:sz="4" w:space="0"/>
            </w:tcBorders>
            <w:noWrap w:val="0"/>
            <w:vAlign w:val="center"/>
          </w:tcPr>
          <w:p w14:paraId="64E05562">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150</w:t>
            </w:r>
          </w:p>
        </w:tc>
        <w:tc>
          <w:tcPr>
            <w:tcW w:w="453" w:type="pct"/>
            <w:tcBorders>
              <w:top w:val="single" w:color="auto" w:sz="12" w:space="0"/>
              <w:left w:val="single" w:color="auto" w:sz="4" w:space="0"/>
              <w:right w:val="single" w:color="auto" w:sz="4" w:space="0"/>
            </w:tcBorders>
            <w:noWrap w:val="0"/>
            <w:vAlign w:val="center"/>
          </w:tcPr>
          <w:p w14:paraId="6995C328">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200</w:t>
            </w:r>
          </w:p>
        </w:tc>
        <w:tc>
          <w:tcPr>
            <w:tcW w:w="453" w:type="pct"/>
            <w:tcBorders>
              <w:top w:val="single" w:color="auto" w:sz="12" w:space="0"/>
              <w:left w:val="single" w:color="auto" w:sz="4" w:space="0"/>
              <w:right w:val="single" w:color="auto" w:sz="4" w:space="0"/>
            </w:tcBorders>
            <w:noWrap w:val="0"/>
            <w:vAlign w:val="center"/>
          </w:tcPr>
          <w:p w14:paraId="4327D4DD">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250</w:t>
            </w:r>
          </w:p>
        </w:tc>
        <w:tc>
          <w:tcPr>
            <w:tcW w:w="453" w:type="pct"/>
            <w:tcBorders>
              <w:top w:val="single" w:color="auto" w:sz="12" w:space="0"/>
              <w:left w:val="single" w:color="auto" w:sz="4" w:space="0"/>
              <w:right w:val="single" w:color="auto" w:sz="4" w:space="0"/>
            </w:tcBorders>
            <w:noWrap w:val="0"/>
            <w:vAlign w:val="center"/>
          </w:tcPr>
          <w:p w14:paraId="37D0F3FC">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300</w:t>
            </w:r>
          </w:p>
        </w:tc>
        <w:tc>
          <w:tcPr>
            <w:tcW w:w="453" w:type="pct"/>
            <w:tcBorders>
              <w:top w:val="single" w:color="auto" w:sz="12" w:space="0"/>
              <w:left w:val="single" w:color="auto" w:sz="4" w:space="0"/>
              <w:right w:val="single" w:color="auto" w:sz="4" w:space="0"/>
            </w:tcBorders>
            <w:noWrap w:val="0"/>
            <w:vAlign w:val="center"/>
          </w:tcPr>
          <w:p w14:paraId="17E241CB">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400</w:t>
            </w:r>
          </w:p>
        </w:tc>
        <w:tc>
          <w:tcPr>
            <w:tcW w:w="386" w:type="pct"/>
            <w:tcBorders>
              <w:top w:val="single" w:color="auto" w:sz="12" w:space="0"/>
              <w:left w:val="single" w:color="auto" w:sz="4" w:space="0"/>
              <w:right w:val="nil"/>
            </w:tcBorders>
            <w:noWrap w:val="0"/>
            <w:vAlign w:val="center"/>
          </w:tcPr>
          <w:p w14:paraId="2D3F0108">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500</w:t>
            </w:r>
          </w:p>
        </w:tc>
      </w:tr>
      <w:tr w14:paraId="05AE001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38" w:type="pct"/>
            <w:tcBorders>
              <w:left w:val="nil"/>
              <w:right w:val="single" w:color="auto" w:sz="4" w:space="0"/>
            </w:tcBorders>
            <w:noWrap w:val="0"/>
            <w:vAlign w:val="center"/>
          </w:tcPr>
          <w:p w14:paraId="13F7881D">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eastAsia="zh-CN"/>
              </w:rPr>
              <w:t>切割机</w:t>
            </w:r>
          </w:p>
        </w:tc>
        <w:tc>
          <w:tcPr>
            <w:tcW w:w="465" w:type="pct"/>
            <w:tcBorders>
              <w:left w:val="single" w:color="auto" w:sz="4" w:space="0"/>
              <w:right w:val="single" w:color="auto" w:sz="4" w:space="0"/>
            </w:tcBorders>
            <w:noWrap w:val="0"/>
            <w:vAlign w:val="center"/>
          </w:tcPr>
          <w:p w14:paraId="3C0252C7">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85</w:t>
            </w:r>
          </w:p>
        </w:tc>
        <w:tc>
          <w:tcPr>
            <w:tcW w:w="332" w:type="pct"/>
            <w:tcBorders>
              <w:left w:val="single" w:color="auto" w:sz="4" w:space="0"/>
              <w:right w:val="single" w:color="auto" w:sz="4" w:space="0"/>
            </w:tcBorders>
            <w:noWrap w:val="0"/>
            <w:vAlign w:val="center"/>
          </w:tcPr>
          <w:p w14:paraId="2179C1C0">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79</w:t>
            </w:r>
          </w:p>
        </w:tc>
        <w:tc>
          <w:tcPr>
            <w:tcW w:w="454" w:type="pct"/>
            <w:tcBorders>
              <w:left w:val="single" w:color="auto" w:sz="4" w:space="0"/>
              <w:right w:val="single" w:color="auto" w:sz="4" w:space="0"/>
            </w:tcBorders>
            <w:noWrap w:val="0"/>
            <w:vAlign w:val="center"/>
          </w:tcPr>
          <w:p w14:paraId="6150D5A0">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65</w:t>
            </w:r>
          </w:p>
        </w:tc>
        <w:tc>
          <w:tcPr>
            <w:tcW w:w="454" w:type="pct"/>
            <w:tcBorders>
              <w:left w:val="single" w:color="auto" w:sz="4" w:space="0"/>
              <w:right w:val="single" w:color="auto" w:sz="4" w:space="0"/>
            </w:tcBorders>
            <w:noWrap w:val="0"/>
            <w:vAlign w:val="center"/>
          </w:tcPr>
          <w:p w14:paraId="7A6A8A15">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59</w:t>
            </w:r>
          </w:p>
        </w:tc>
        <w:tc>
          <w:tcPr>
            <w:tcW w:w="454" w:type="pct"/>
            <w:tcBorders>
              <w:left w:val="single" w:color="auto" w:sz="4" w:space="0"/>
              <w:right w:val="single" w:color="auto" w:sz="4" w:space="0"/>
            </w:tcBorders>
            <w:noWrap w:val="0"/>
            <w:vAlign w:val="center"/>
          </w:tcPr>
          <w:p w14:paraId="2C90C92C">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55.5</w:t>
            </w:r>
          </w:p>
        </w:tc>
        <w:tc>
          <w:tcPr>
            <w:tcW w:w="453" w:type="pct"/>
            <w:tcBorders>
              <w:left w:val="single" w:color="auto" w:sz="4" w:space="0"/>
              <w:right w:val="single" w:color="auto" w:sz="4" w:space="0"/>
            </w:tcBorders>
            <w:noWrap w:val="0"/>
            <w:vAlign w:val="center"/>
          </w:tcPr>
          <w:p w14:paraId="65D13C75">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53</w:t>
            </w:r>
          </w:p>
        </w:tc>
        <w:tc>
          <w:tcPr>
            <w:tcW w:w="453" w:type="pct"/>
            <w:tcBorders>
              <w:left w:val="single" w:color="auto" w:sz="4" w:space="0"/>
              <w:right w:val="single" w:color="auto" w:sz="4" w:space="0"/>
            </w:tcBorders>
            <w:noWrap w:val="0"/>
            <w:vAlign w:val="center"/>
          </w:tcPr>
          <w:p w14:paraId="219DEB42">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51</w:t>
            </w:r>
          </w:p>
        </w:tc>
        <w:tc>
          <w:tcPr>
            <w:tcW w:w="453" w:type="pct"/>
            <w:tcBorders>
              <w:left w:val="single" w:color="auto" w:sz="4" w:space="0"/>
              <w:right w:val="single" w:color="auto" w:sz="4" w:space="0"/>
            </w:tcBorders>
            <w:noWrap w:val="0"/>
            <w:vAlign w:val="center"/>
          </w:tcPr>
          <w:p w14:paraId="045A9F52">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49.4</w:t>
            </w:r>
          </w:p>
        </w:tc>
        <w:tc>
          <w:tcPr>
            <w:tcW w:w="453" w:type="pct"/>
            <w:tcBorders>
              <w:left w:val="single" w:color="auto" w:sz="4" w:space="0"/>
              <w:right w:val="single" w:color="auto" w:sz="4" w:space="0"/>
            </w:tcBorders>
            <w:noWrap w:val="0"/>
            <w:vAlign w:val="center"/>
          </w:tcPr>
          <w:p w14:paraId="03C44F7F">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46.9</w:t>
            </w:r>
          </w:p>
        </w:tc>
        <w:tc>
          <w:tcPr>
            <w:tcW w:w="386" w:type="pct"/>
            <w:tcBorders>
              <w:left w:val="single" w:color="auto" w:sz="4" w:space="0"/>
              <w:right w:val="nil"/>
            </w:tcBorders>
            <w:noWrap w:val="0"/>
            <w:vAlign w:val="center"/>
          </w:tcPr>
          <w:p w14:paraId="514442EA">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45</w:t>
            </w:r>
          </w:p>
        </w:tc>
      </w:tr>
      <w:tr w14:paraId="0EB672C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38" w:type="pct"/>
            <w:tcBorders>
              <w:left w:val="nil"/>
              <w:right w:val="single" w:color="auto" w:sz="4" w:space="0"/>
            </w:tcBorders>
            <w:noWrap w:val="0"/>
            <w:vAlign w:val="center"/>
          </w:tcPr>
          <w:p w14:paraId="0C08681D">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eastAsia="zh-CN"/>
              </w:rPr>
              <w:t>焊接机</w:t>
            </w:r>
          </w:p>
        </w:tc>
        <w:tc>
          <w:tcPr>
            <w:tcW w:w="465" w:type="pct"/>
            <w:tcBorders>
              <w:left w:val="single" w:color="auto" w:sz="4" w:space="0"/>
              <w:right w:val="single" w:color="auto" w:sz="4" w:space="0"/>
            </w:tcBorders>
            <w:noWrap w:val="0"/>
            <w:vAlign w:val="center"/>
          </w:tcPr>
          <w:p w14:paraId="4FAC78D4">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80</w:t>
            </w:r>
          </w:p>
        </w:tc>
        <w:tc>
          <w:tcPr>
            <w:tcW w:w="332" w:type="pct"/>
            <w:tcBorders>
              <w:left w:val="single" w:color="auto" w:sz="4" w:space="0"/>
              <w:right w:val="single" w:color="auto" w:sz="4" w:space="0"/>
            </w:tcBorders>
            <w:noWrap w:val="0"/>
            <w:vAlign w:val="center"/>
          </w:tcPr>
          <w:p w14:paraId="021682EC">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74</w:t>
            </w:r>
          </w:p>
        </w:tc>
        <w:tc>
          <w:tcPr>
            <w:tcW w:w="454" w:type="pct"/>
            <w:tcBorders>
              <w:left w:val="single" w:color="auto" w:sz="4" w:space="0"/>
              <w:right w:val="single" w:color="auto" w:sz="4" w:space="0"/>
            </w:tcBorders>
            <w:noWrap w:val="0"/>
            <w:vAlign w:val="center"/>
          </w:tcPr>
          <w:p w14:paraId="6DB937C0">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60</w:t>
            </w:r>
          </w:p>
        </w:tc>
        <w:tc>
          <w:tcPr>
            <w:tcW w:w="454" w:type="pct"/>
            <w:tcBorders>
              <w:left w:val="single" w:color="auto" w:sz="4" w:space="0"/>
              <w:right w:val="single" w:color="auto" w:sz="4" w:space="0"/>
            </w:tcBorders>
            <w:noWrap w:val="0"/>
            <w:vAlign w:val="center"/>
          </w:tcPr>
          <w:p w14:paraId="6530DCAC">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54</w:t>
            </w:r>
          </w:p>
        </w:tc>
        <w:tc>
          <w:tcPr>
            <w:tcW w:w="454" w:type="pct"/>
            <w:tcBorders>
              <w:left w:val="single" w:color="auto" w:sz="4" w:space="0"/>
              <w:right w:val="single" w:color="auto" w:sz="4" w:space="0"/>
            </w:tcBorders>
            <w:noWrap w:val="0"/>
            <w:vAlign w:val="center"/>
          </w:tcPr>
          <w:p w14:paraId="219759D4">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50.5</w:t>
            </w:r>
          </w:p>
        </w:tc>
        <w:tc>
          <w:tcPr>
            <w:tcW w:w="453" w:type="pct"/>
            <w:tcBorders>
              <w:left w:val="single" w:color="auto" w:sz="4" w:space="0"/>
              <w:right w:val="single" w:color="auto" w:sz="4" w:space="0"/>
            </w:tcBorders>
            <w:noWrap w:val="0"/>
            <w:vAlign w:val="center"/>
          </w:tcPr>
          <w:p w14:paraId="02955177">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48</w:t>
            </w:r>
          </w:p>
        </w:tc>
        <w:tc>
          <w:tcPr>
            <w:tcW w:w="453" w:type="pct"/>
            <w:tcBorders>
              <w:left w:val="single" w:color="auto" w:sz="4" w:space="0"/>
              <w:right w:val="single" w:color="auto" w:sz="4" w:space="0"/>
            </w:tcBorders>
            <w:noWrap w:val="0"/>
            <w:vAlign w:val="center"/>
          </w:tcPr>
          <w:p w14:paraId="64701979">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46</w:t>
            </w:r>
          </w:p>
        </w:tc>
        <w:tc>
          <w:tcPr>
            <w:tcW w:w="453" w:type="pct"/>
            <w:tcBorders>
              <w:left w:val="single" w:color="auto" w:sz="4" w:space="0"/>
              <w:right w:val="single" w:color="auto" w:sz="4" w:space="0"/>
            </w:tcBorders>
            <w:noWrap w:val="0"/>
            <w:vAlign w:val="center"/>
          </w:tcPr>
          <w:p w14:paraId="5AC1BA48">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44.4</w:t>
            </w:r>
          </w:p>
        </w:tc>
        <w:tc>
          <w:tcPr>
            <w:tcW w:w="453" w:type="pct"/>
            <w:tcBorders>
              <w:left w:val="single" w:color="auto" w:sz="4" w:space="0"/>
              <w:right w:val="single" w:color="auto" w:sz="4" w:space="0"/>
            </w:tcBorders>
            <w:noWrap w:val="0"/>
            <w:vAlign w:val="center"/>
          </w:tcPr>
          <w:p w14:paraId="753E6078">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41.9</w:t>
            </w:r>
          </w:p>
        </w:tc>
        <w:tc>
          <w:tcPr>
            <w:tcW w:w="386" w:type="pct"/>
            <w:tcBorders>
              <w:left w:val="single" w:color="auto" w:sz="4" w:space="0"/>
              <w:right w:val="nil"/>
            </w:tcBorders>
            <w:noWrap w:val="0"/>
            <w:vAlign w:val="center"/>
          </w:tcPr>
          <w:p w14:paraId="340EAAD1">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40</w:t>
            </w:r>
          </w:p>
        </w:tc>
      </w:tr>
      <w:tr w14:paraId="1ADC15D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38" w:type="pct"/>
            <w:tcBorders>
              <w:left w:val="nil"/>
              <w:right w:val="single" w:color="auto" w:sz="4" w:space="0"/>
            </w:tcBorders>
            <w:noWrap w:val="0"/>
            <w:vAlign w:val="center"/>
          </w:tcPr>
          <w:p w14:paraId="3955A134">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eastAsia="zh-CN"/>
              </w:rPr>
              <w:t>钻孔机</w:t>
            </w:r>
          </w:p>
        </w:tc>
        <w:tc>
          <w:tcPr>
            <w:tcW w:w="465" w:type="pct"/>
            <w:tcBorders>
              <w:left w:val="single" w:color="auto" w:sz="4" w:space="0"/>
              <w:right w:val="single" w:color="auto" w:sz="4" w:space="0"/>
            </w:tcBorders>
            <w:noWrap w:val="0"/>
            <w:vAlign w:val="center"/>
          </w:tcPr>
          <w:p w14:paraId="03B9AC95">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rPr>
              <w:t>8</w:t>
            </w:r>
            <w:r>
              <w:rPr>
                <w:rFonts w:hint="default" w:ascii="Times New Roman" w:hAnsi="Times New Roman" w:eastAsia="宋体" w:cs="Times New Roman"/>
                <w:color w:val="auto"/>
                <w:kern w:val="2"/>
                <w:sz w:val="21"/>
                <w:szCs w:val="21"/>
                <w:highlight w:val="none"/>
                <w:lang w:val="en-US" w:eastAsia="zh-CN"/>
              </w:rPr>
              <w:t>7</w:t>
            </w:r>
          </w:p>
        </w:tc>
        <w:tc>
          <w:tcPr>
            <w:tcW w:w="332" w:type="pct"/>
            <w:tcBorders>
              <w:left w:val="single" w:color="auto" w:sz="4" w:space="0"/>
              <w:right w:val="single" w:color="auto" w:sz="4" w:space="0"/>
            </w:tcBorders>
            <w:noWrap w:val="0"/>
            <w:vAlign w:val="center"/>
          </w:tcPr>
          <w:p w14:paraId="6C40FBA5">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72</w:t>
            </w:r>
          </w:p>
        </w:tc>
        <w:tc>
          <w:tcPr>
            <w:tcW w:w="454" w:type="pct"/>
            <w:tcBorders>
              <w:left w:val="single" w:color="auto" w:sz="4" w:space="0"/>
              <w:right w:val="single" w:color="auto" w:sz="4" w:space="0"/>
            </w:tcBorders>
            <w:noWrap w:val="0"/>
            <w:vAlign w:val="center"/>
          </w:tcPr>
          <w:p w14:paraId="3D7A096D">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58</w:t>
            </w:r>
          </w:p>
        </w:tc>
        <w:tc>
          <w:tcPr>
            <w:tcW w:w="454" w:type="pct"/>
            <w:tcBorders>
              <w:left w:val="single" w:color="auto" w:sz="4" w:space="0"/>
              <w:right w:val="single" w:color="auto" w:sz="4" w:space="0"/>
            </w:tcBorders>
            <w:noWrap w:val="0"/>
            <w:vAlign w:val="center"/>
          </w:tcPr>
          <w:p w14:paraId="44B0ADC2">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52</w:t>
            </w:r>
          </w:p>
        </w:tc>
        <w:tc>
          <w:tcPr>
            <w:tcW w:w="454" w:type="pct"/>
            <w:tcBorders>
              <w:left w:val="single" w:color="auto" w:sz="4" w:space="0"/>
              <w:right w:val="single" w:color="auto" w:sz="4" w:space="0"/>
            </w:tcBorders>
            <w:noWrap w:val="0"/>
            <w:vAlign w:val="center"/>
          </w:tcPr>
          <w:p w14:paraId="2FF9861F">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48.5</w:t>
            </w:r>
          </w:p>
        </w:tc>
        <w:tc>
          <w:tcPr>
            <w:tcW w:w="453" w:type="pct"/>
            <w:tcBorders>
              <w:left w:val="single" w:color="auto" w:sz="4" w:space="0"/>
              <w:right w:val="single" w:color="auto" w:sz="4" w:space="0"/>
            </w:tcBorders>
            <w:noWrap w:val="0"/>
            <w:vAlign w:val="center"/>
          </w:tcPr>
          <w:p w14:paraId="38A5A20B">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46</w:t>
            </w:r>
          </w:p>
        </w:tc>
        <w:tc>
          <w:tcPr>
            <w:tcW w:w="453" w:type="pct"/>
            <w:tcBorders>
              <w:left w:val="single" w:color="auto" w:sz="4" w:space="0"/>
              <w:right w:val="single" w:color="auto" w:sz="4" w:space="0"/>
            </w:tcBorders>
            <w:noWrap w:val="0"/>
            <w:vAlign w:val="center"/>
          </w:tcPr>
          <w:p w14:paraId="663B1680">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44</w:t>
            </w:r>
          </w:p>
        </w:tc>
        <w:tc>
          <w:tcPr>
            <w:tcW w:w="453" w:type="pct"/>
            <w:tcBorders>
              <w:left w:val="single" w:color="auto" w:sz="4" w:space="0"/>
              <w:right w:val="single" w:color="auto" w:sz="4" w:space="0"/>
            </w:tcBorders>
            <w:noWrap w:val="0"/>
            <w:vAlign w:val="center"/>
          </w:tcPr>
          <w:p w14:paraId="7A6839FA">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42.4</w:t>
            </w:r>
          </w:p>
        </w:tc>
        <w:tc>
          <w:tcPr>
            <w:tcW w:w="453" w:type="pct"/>
            <w:tcBorders>
              <w:left w:val="single" w:color="auto" w:sz="4" w:space="0"/>
              <w:right w:val="single" w:color="auto" w:sz="4" w:space="0"/>
            </w:tcBorders>
            <w:noWrap w:val="0"/>
            <w:vAlign w:val="center"/>
          </w:tcPr>
          <w:p w14:paraId="442FA479">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39.9</w:t>
            </w:r>
          </w:p>
        </w:tc>
        <w:tc>
          <w:tcPr>
            <w:tcW w:w="386" w:type="pct"/>
            <w:tcBorders>
              <w:left w:val="single" w:color="auto" w:sz="4" w:space="0"/>
              <w:right w:val="nil"/>
            </w:tcBorders>
            <w:noWrap w:val="0"/>
            <w:vAlign w:val="center"/>
          </w:tcPr>
          <w:p w14:paraId="5DE7ADF9">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38</w:t>
            </w:r>
          </w:p>
        </w:tc>
      </w:tr>
      <w:tr w14:paraId="6BF322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38" w:type="pct"/>
            <w:tcBorders>
              <w:left w:val="nil"/>
              <w:bottom w:val="single" w:color="auto" w:sz="12" w:space="0"/>
              <w:right w:val="single" w:color="auto" w:sz="4" w:space="0"/>
            </w:tcBorders>
            <w:noWrap w:val="0"/>
            <w:vAlign w:val="center"/>
          </w:tcPr>
          <w:p w14:paraId="14BC0FFF">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eastAsia="zh-CN"/>
              </w:rPr>
              <w:t>空压机</w:t>
            </w:r>
          </w:p>
        </w:tc>
        <w:tc>
          <w:tcPr>
            <w:tcW w:w="465" w:type="pct"/>
            <w:tcBorders>
              <w:left w:val="single" w:color="auto" w:sz="4" w:space="0"/>
              <w:bottom w:val="single" w:color="auto" w:sz="12" w:space="0"/>
              <w:right w:val="single" w:color="auto" w:sz="4" w:space="0"/>
            </w:tcBorders>
            <w:noWrap w:val="0"/>
            <w:vAlign w:val="center"/>
          </w:tcPr>
          <w:p w14:paraId="68FFB74E">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90</w:t>
            </w:r>
          </w:p>
        </w:tc>
        <w:tc>
          <w:tcPr>
            <w:tcW w:w="332" w:type="pct"/>
            <w:tcBorders>
              <w:left w:val="single" w:color="auto" w:sz="4" w:space="0"/>
              <w:bottom w:val="single" w:color="auto" w:sz="12" w:space="0"/>
              <w:right w:val="single" w:color="auto" w:sz="4" w:space="0"/>
            </w:tcBorders>
            <w:noWrap w:val="0"/>
            <w:vAlign w:val="center"/>
          </w:tcPr>
          <w:p w14:paraId="1290CBBE">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lang w:val="en-US" w:eastAsia="zh-CN"/>
              </w:rPr>
              <w:t>8</w:t>
            </w:r>
            <w:r>
              <w:rPr>
                <w:rFonts w:hint="default" w:ascii="Times New Roman" w:hAnsi="Times New Roman" w:eastAsia="宋体" w:cs="Times New Roman"/>
                <w:color w:val="auto"/>
                <w:kern w:val="2"/>
                <w:sz w:val="21"/>
                <w:szCs w:val="21"/>
                <w:highlight w:val="none"/>
              </w:rPr>
              <w:t>4</w:t>
            </w:r>
          </w:p>
        </w:tc>
        <w:tc>
          <w:tcPr>
            <w:tcW w:w="454" w:type="pct"/>
            <w:tcBorders>
              <w:left w:val="single" w:color="auto" w:sz="4" w:space="0"/>
              <w:bottom w:val="single" w:color="auto" w:sz="12" w:space="0"/>
              <w:right w:val="single" w:color="auto" w:sz="4" w:space="0"/>
            </w:tcBorders>
            <w:noWrap w:val="0"/>
            <w:vAlign w:val="center"/>
          </w:tcPr>
          <w:p w14:paraId="60DB4E06">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60</w:t>
            </w:r>
          </w:p>
        </w:tc>
        <w:tc>
          <w:tcPr>
            <w:tcW w:w="454" w:type="pct"/>
            <w:tcBorders>
              <w:left w:val="single" w:color="auto" w:sz="4" w:space="0"/>
              <w:bottom w:val="single" w:color="auto" w:sz="12" w:space="0"/>
              <w:right w:val="single" w:color="auto" w:sz="4" w:space="0"/>
            </w:tcBorders>
            <w:noWrap w:val="0"/>
            <w:vAlign w:val="center"/>
          </w:tcPr>
          <w:p w14:paraId="4AA25815">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54</w:t>
            </w:r>
          </w:p>
        </w:tc>
        <w:tc>
          <w:tcPr>
            <w:tcW w:w="454" w:type="pct"/>
            <w:tcBorders>
              <w:left w:val="single" w:color="auto" w:sz="4" w:space="0"/>
              <w:bottom w:val="single" w:color="auto" w:sz="12" w:space="0"/>
              <w:right w:val="single" w:color="auto" w:sz="4" w:space="0"/>
            </w:tcBorders>
            <w:noWrap w:val="0"/>
            <w:vAlign w:val="center"/>
          </w:tcPr>
          <w:p w14:paraId="2F0911A3">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51.5</w:t>
            </w:r>
          </w:p>
        </w:tc>
        <w:tc>
          <w:tcPr>
            <w:tcW w:w="453" w:type="pct"/>
            <w:tcBorders>
              <w:left w:val="single" w:color="auto" w:sz="4" w:space="0"/>
              <w:bottom w:val="single" w:color="auto" w:sz="12" w:space="0"/>
              <w:right w:val="single" w:color="auto" w:sz="4" w:space="0"/>
            </w:tcBorders>
            <w:noWrap w:val="0"/>
            <w:vAlign w:val="center"/>
          </w:tcPr>
          <w:p w14:paraId="0AF3D301">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49</w:t>
            </w:r>
          </w:p>
        </w:tc>
        <w:tc>
          <w:tcPr>
            <w:tcW w:w="453" w:type="pct"/>
            <w:tcBorders>
              <w:left w:val="single" w:color="auto" w:sz="4" w:space="0"/>
              <w:bottom w:val="single" w:color="auto" w:sz="12" w:space="0"/>
              <w:right w:val="single" w:color="auto" w:sz="4" w:space="0"/>
            </w:tcBorders>
            <w:noWrap w:val="0"/>
            <w:vAlign w:val="center"/>
          </w:tcPr>
          <w:p w14:paraId="63D2DD87">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47</w:t>
            </w:r>
          </w:p>
        </w:tc>
        <w:tc>
          <w:tcPr>
            <w:tcW w:w="453" w:type="pct"/>
            <w:tcBorders>
              <w:left w:val="single" w:color="auto" w:sz="4" w:space="0"/>
              <w:bottom w:val="single" w:color="auto" w:sz="12" w:space="0"/>
              <w:right w:val="single" w:color="auto" w:sz="4" w:space="0"/>
            </w:tcBorders>
            <w:noWrap w:val="0"/>
            <w:vAlign w:val="center"/>
          </w:tcPr>
          <w:p w14:paraId="2DA758F2">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45.4</w:t>
            </w:r>
          </w:p>
        </w:tc>
        <w:tc>
          <w:tcPr>
            <w:tcW w:w="453" w:type="pct"/>
            <w:tcBorders>
              <w:left w:val="single" w:color="auto" w:sz="4" w:space="0"/>
              <w:bottom w:val="single" w:color="auto" w:sz="12" w:space="0"/>
              <w:right w:val="single" w:color="auto" w:sz="4" w:space="0"/>
            </w:tcBorders>
            <w:noWrap w:val="0"/>
            <w:vAlign w:val="center"/>
          </w:tcPr>
          <w:p w14:paraId="5D5EF1CE">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42.9</w:t>
            </w:r>
          </w:p>
        </w:tc>
        <w:tc>
          <w:tcPr>
            <w:tcW w:w="386" w:type="pct"/>
            <w:tcBorders>
              <w:left w:val="single" w:color="auto" w:sz="4" w:space="0"/>
              <w:bottom w:val="single" w:color="auto" w:sz="12" w:space="0"/>
              <w:right w:val="nil"/>
            </w:tcBorders>
            <w:noWrap w:val="0"/>
            <w:vAlign w:val="center"/>
          </w:tcPr>
          <w:p w14:paraId="6A26414B">
            <w:pPr>
              <w:pStyle w:val="115"/>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outlineLvl w:val="9"/>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41</w:t>
            </w:r>
          </w:p>
        </w:tc>
      </w:tr>
    </w:tbl>
    <w:p w14:paraId="161D78E9">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szCs w:val="24"/>
          <w:highlight w:val="none"/>
        </w:rPr>
        <w:t>由上表6-1-4计算结果可知，昼间施工机械超标范围为100m以内，夜间施工机械超标范围为250m以内。随着施工竣工，施工噪声的影响将不再存在。</w:t>
      </w:r>
    </w:p>
    <w:p w14:paraId="4AB85C1C">
      <w:pPr>
        <w:pStyle w:val="6"/>
        <w:numPr>
          <w:ilvl w:val="2"/>
          <w:numId w:val="3"/>
        </w:numPr>
        <w:ind w:left="709" w:leftChars="0" w:hanging="709" w:firstLineChars="0"/>
        <w:rPr>
          <w:rFonts w:hint="default" w:ascii="Times New Roman" w:hAnsi="Times New Roman" w:eastAsia="宋体" w:cs="Times New Roman"/>
          <w:color w:val="auto"/>
          <w:highlight w:val="none"/>
        </w:rPr>
      </w:pPr>
      <w:bookmarkStart w:id="428" w:name="_Toc14600"/>
      <w:bookmarkStart w:id="429" w:name="_Toc19760"/>
      <w:bookmarkStart w:id="430" w:name="_Toc21038"/>
      <w:r>
        <w:rPr>
          <w:rFonts w:hint="default" w:ascii="Times New Roman" w:hAnsi="Times New Roman" w:eastAsia="宋体" w:cs="Times New Roman"/>
          <w:color w:val="auto"/>
          <w:highlight w:val="none"/>
        </w:rPr>
        <w:t>固体废物影响评价</w:t>
      </w:r>
      <w:bookmarkEnd w:id="428"/>
      <w:bookmarkEnd w:id="429"/>
      <w:bookmarkEnd w:id="430"/>
    </w:p>
    <w:p w14:paraId="50209C9C">
      <w:pPr>
        <w:pStyle w:val="14"/>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施工期固体废物主要为土建施工、设备安装施工产生的建筑垃圾、施工人员产生的生活垃圾等。建筑垃圾运至管理部门指定地点处理，不得随意丢弃堆放。生活垃圾统一收集委托环卫部门清运处置，本项目施工产生的固体废物经妥善、及时处置后不会产生环境影响。</w:t>
      </w:r>
    </w:p>
    <w:p w14:paraId="1B6FEB19">
      <w:pPr>
        <w:pStyle w:val="4"/>
        <w:numPr>
          <w:ilvl w:val="1"/>
          <w:numId w:val="3"/>
        </w:numPr>
        <w:bidi w:val="0"/>
        <w:rPr>
          <w:rFonts w:hint="default" w:ascii="Times New Roman" w:hAnsi="Times New Roman" w:eastAsia="宋体" w:cs="Times New Roman"/>
          <w:b/>
          <w:bCs/>
          <w:color w:val="auto"/>
          <w:highlight w:val="none"/>
        </w:rPr>
      </w:pPr>
      <w:bookmarkStart w:id="431" w:name="_Toc32223"/>
      <w:bookmarkStart w:id="432" w:name="_Toc2822"/>
      <w:r>
        <w:rPr>
          <w:rFonts w:hint="default" w:ascii="Times New Roman" w:hAnsi="Times New Roman" w:eastAsia="宋体" w:cs="Times New Roman"/>
          <w:b/>
          <w:bCs/>
          <w:color w:val="auto"/>
          <w:highlight w:val="none"/>
        </w:rPr>
        <w:t>运营期环境影响预测</w:t>
      </w:r>
      <w:bookmarkEnd w:id="431"/>
      <w:bookmarkEnd w:id="432"/>
    </w:p>
    <w:p w14:paraId="596699D8">
      <w:pPr>
        <w:pStyle w:val="6"/>
        <w:numPr>
          <w:ilvl w:val="2"/>
          <w:numId w:val="3"/>
        </w:numPr>
        <w:bidi w:val="0"/>
        <w:ind w:left="709" w:leftChars="0" w:hanging="709" w:firstLineChars="0"/>
        <w:rPr>
          <w:rFonts w:hint="default" w:ascii="Times New Roman" w:hAnsi="Times New Roman" w:eastAsia="宋体" w:cs="Times New Roman"/>
          <w:color w:val="auto"/>
          <w:highlight w:val="none"/>
        </w:rPr>
      </w:pPr>
      <w:bookmarkStart w:id="433" w:name="_Toc22844"/>
      <w:bookmarkStart w:id="434" w:name="_Toc30286"/>
      <w:bookmarkStart w:id="435" w:name="_Toc30736"/>
      <w:r>
        <w:rPr>
          <w:rFonts w:hint="default" w:ascii="Times New Roman" w:hAnsi="Times New Roman" w:eastAsia="宋体" w:cs="Times New Roman"/>
          <w:color w:val="auto"/>
          <w:highlight w:val="none"/>
        </w:rPr>
        <w:t>大气环境影响预测与评价</w:t>
      </w:r>
      <w:bookmarkEnd w:id="433"/>
      <w:bookmarkEnd w:id="434"/>
      <w:bookmarkEnd w:id="435"/>
    </w:p>
    <w:p w14:paraId="7E899F31">
      <w:pPr>
        <w:pStyle w:val="7"/>
        <w:numPr>
          <w:ilvl w:val="3"/>
          <w:numId w:val="3"/>
        </w:numPr>
        <w:bidi w:val="0"/>
        <w:ind w:left="850" w:leftChars="0" w:hanging="850" w:firstLineChars="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正常工况</w:t>
      </w:r>
      <w:r>
        <w:rPr>
          <w:rFonts w:hint="default" w:ascii="Times New Roman" w:hAnsi="Times New Roman" w:eastAsia="宋体" w:cs="Times New Roman"/>
          <w:color w:val="auto"/>
          <w:highlight w:val="none"/>
        </w:rPr>
        <w:t>排放预测</w:t>
      </w:r>
      <w:r>
        <w:rPr>
          <w:rFonts w:hint="default" w:ascii="Times New Roman" w:hAnsi="Times New Roman" w:eastAsia="宋体" w:cs="Times New Roman"/>
          <w:color w:val="auto"/>
          <w:highlight w:val="none"/>
          <w:lang w:val="en-US" w:eastAsia="zh-CN"/>
        </w:rPr>
        <w:t>分析</w:t>
      </w:r>
    </w:p>
    <w:p w14:paraId="3C8092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outlineLvl w:val="9"/>
        <w:rPr>
          <w:rFonts w:hint="eastAsia" w:ascii="Times New Roman" w:hAnsi="Times New Roman" w:eastAsia="宋体" w:cs="Times New Roman"/>
          <w:color w:val="auto"/>
          <w:sz w:val="24"/>
          <w:highlight w:val="none"/>
          <w:u w:val="none" w:color="auto"/>
          <w:lang w:val="en-US" w:eastAsia="zh-CN"/>
        </w:rPr>
      </w:pPr>
      <w:bookmarkStart w:id="436" w:name="_Toc13987"/>
      <w:bookmarkStart w:id="437" w:name="_Toc25484"/>
      <w:bookmarkStart w:id="438" w:name="_Toc24383"/>
      <w:bookmarkStart w:id="439" w:name="_Toc23217"/>
      <w:r>
        <w:rPr>
          <w:rFonts w:hint="eastAsia" w:ascii="Times New Roman" w:hAnsi="Times New Roman" w:eastAsia="宋体" w:cs="Times New Roman"/>
          <w:color w:val="auto"/>
          <w:sz w:val="24"/>
          <w:highlight w:val="none"/>
          <w:u w:val="none" w:color="auto"/>
          <w:lang w:val="en-US" w:eastAsia="zh-CN"/>
        </w:rPr>
        <w:t>（1）气象地面特征</w:t>
      </w:r>
    </w:p>
    <w:p w14:paraId="6A1992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outlineLvl w:val="9"/>
        <w:rPr>
          <w:rFonts w:hint="eastAsia" w:ascii="Times New Roman" w:hAnsi="Times New Roman" w:eastAsia="宋体" w:cs="Times New Roman"/>
          <w:color w:val="auto"/>
          <w:sz w:val="24"/>
          <w:highlight w:val="none"/>
          <w:u w:val="none" w:color="auto"/>
          <w:lang w:val="en-US" w:eastAsia="zh-CN"/>
        </w:rPr>
      </w:pPr>
      <w:r>
        <w:rPr>
          <w:rFonts w:hint="eastAsia" w:ascii="Times New Roman" w:hAnsi="Times New Roman" w:eastAsia="宋体" w:cs="Times New Roman"/>
          <w:color w:val="auto"/>
          <w:sz w:val="24"/>
          <w:highlight w:val="none"/>
          <w:u w:val="none" w:color="auto"/>
          <w:lang w:val="en-US" w:eastAsia="zh-CN"/>
        </w:rPr>
        <w:t>①气象站基本信息</w:t>
      </w:r>
    </w:p>
    <w:p w14:paraId="198DCE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outlineLvl w:val="9"/>
        <w:rPr>
          <w:rFonts w:hint="eastAsia" w:ascii="Times New Roman" w:hAnsi="Times New Roman" w:eastAsia="宋体" w:cs="Times New Roman"/>
          <w:color w:val="auto"/>
          <w:sz w:val="24"/>
          <w:highlight w:val="none"/>
          <w:u w:val="none" w:color="auto"/>
          <w:lang w:eastAsia="zh-CN"/>
        </w:rPr>
      </w:pPr>
      <w:r>
        <w:rPr>
          <w:rFonts w:hint="eastAsia" w:ascii="Times New Roman" w:hAnsi="Times New Roman" w:eastAsia="宋体" w:cs="Times New Roman"/>
          <w:color w:val="auto"/>
          <w:sz w:val="24"/>
          <w:highlight w:val="none"/>
          <w:u w:val="none" w:color="auto"/>
          <w:lang w:eastAsia="zh-CN"/>
        </w:rPr>
        <w:t>本项目厂区地理坐标经度</w:t>
      </w:r>
      <w:r>
        <w:rPr>
          <w:rFonts w:hint="eastAsia" w:ascii="Times New Roman" w:hAnsi="Times New Roman" w:eastAsia="宋体" w:cs="Times New Roman"/>
          <w:color w:val="auto"/>
          <w:sz w:val="24"/>
          <w:highlight w:val="none"/>
          <w:u w:val="none" w:color="auto"/>
          <w:lang w:val="en-US" w:eastAsia="zh-CN"/>
        </w:rPr>
        <w:t>130</w:t>
      </w:r>
      <w:r>
        <w:rPr>
          <w:rFonts w:hint="eastAsia" w:ascii="Times New Roman" w:hAnsi="Times New Roman" w:eastAsia="宋体" w:cs="Times New Roman"/>
          <w:color w:val="auto"/>
          <w:sz w:val="24"/>
          <w:highlight w:val="none"/>
          <w:u w:val="none" w:color="auto"/>
          <w:lang w:eastAsia="zh-CN"/>
        </w:rPr>
        <w:t>度</w:t>
      </w:r>
      <w:r>
        <w:rPr>
          <w:rFonts w:hint="eastAsia" w:ascii="Times New Roman" w:hAnsi="Times New Roman" w:eastAsia="宋体" w:cs="Times New Roman"/>
          <w:color w:val="auto"/>
          <w:sz w:val="24"/>
          <w:highlight w:val="none"/>
          <w:u w:val="none" w:color="auto"/>
          <w:lang w:val="en-US" w:eastAsia="zh-CN"/>
        </w:rPr>
        <w:t>17</w:t>
      </w:r>
      <w:r>
        <w:rPr>
          <w:rFonts w:hint="eastAsia" w:ascii="Times New Roman" w:hAnsi="Times New Roman" w:eastAsia="宋体" w:cs="Times New Roman"/>
          <w:color w:val="auto"/>
          <w:sz w:val="24"/>
          <w:highlight w:val="none"/>
          <w:u w:val="none" w:color="auto"/>
          <w:lang w:eastAsia="zh-CN"/>
        </w:rPr>
        <w:t>分</w:t>
      </w:r>
      <w:r>
        <w:rPr>
          <w:rFonts w:hint="eastAsia" w:ascii="Times New Roman" w:hAnsi="Times New Roman" w:eastAsia="宋体" w:cs="Times New Roman"/>
          <w:color w:val="auto"/>
          <w:sz w:val="24"/>
          <w:highlight w:val="none"/>
          <w:u w:val="none" w:color="auto"/>
          <w:lang w:val="en-US" w:eastAsia="zh-CN"/>
        </w:rPr>
        <w:t>44</w:t>
      </w:r>
      <w:r>
        <w:rPr>
          <w:rFonts w:hint="eastAsia" w:ascii="Times New Roman" w:hAnsi="Times New Roman" w:eastAsia="宋体" w:cs="Times New Roman"/>
          <w:color w:val="auto"/>
          <w:sz w:val="24"/>
          <w:highlight w:val="none"/>
          <w:u w:val="none" w:color="auto"/>
          <w:lang w:eastAsia="zh-CN"/>
        </w:rPr>
        <w:t>秒，纬度4</w:t>
      </w:r>
      <w:r>
        <w:rPr>
          <w:rFonts w:hint="eastAsia" w:ascii="Times New Roman" w:hAnsi="Times New Roman" w:eastAsia="宋体" w:cs="Times New Roman"/>
          <w:color w:val="auto"/>
          <w:sz w:val="24"/>
          <w:highlight w:val="none"/>
          <w:u w:val="none" w:color="auto"/>
          <w:lang w:val="en-US" w:eastAsia="zh-CN"/>
        </w:rPr>
        <w:t>6</w:t>
      </w:r>
      <w:r>
        <w:rPr>
          <w:rFonts w:hint="eastAsia" w:ascii="Times New Roman" w:hAnsi="Times New Roman" w:eastAsia="宋体" w:cs="Times New Roman"/>
          <w:color w:val="auto"/>
          <w:sz w:val="24"/>
          <w:highlight w:val="none"/>
          <w:u w:val="none" w:color="auto"/>
          <w:lang w:eastAsia="zh-CN"/>
        </w:rPr>
        <w:t>度</w:t>
      </w:r>
      <w:r>
        <w:rPr>
          <w:rFonts w:hint="eastAsia" w:ascii="Times New Roman" w:hAnsi="Times New Roman" w:eastAsia="宋体" w:cs="Times New Roman"/>
          <w:color w:val="auto"/>
          <w:sz w:val="24"/>
          <w:highlight w:val="none"/>
          <w:u w:val="none" w:color="auto"/>
          <w:lang w:val="en-US" w:eastAsia="zh-CN"/>
        </w:rPr>
        <w:t>49</w:t>
      </w:r>
      <w:r>
        <w:rPr>
          <w:rFonts w:hint="eastAsia" w:ascii="Times New Roman" w:hAnsi="Times New Roman" w:eastAsia="宋体" w:cs="Times New Roman"/>
          <w:color w:val="auto"/>
          <w:sz w:val="24"/>
          <w:highlight w:val="none"/>
          <w:u w:val="none" w:color="auto"/>
          <w:lang w:eastAsia="zh-CN"/>
        </w:rPr>
        <w:t>分</w:t>
      </w:r>
      <w:r>
        <w:rPr>
          <w:rFonts w:hint="eastAsia" w:ascii="Times New Roman" w:hAnsi="Times New Roman" w:eastAsia="宋体" w:cs="Times New Roman"/>
          <w:color w:val="auto"/>
          <w:sz w:val="24"/>
          <w:highlight w:val="none"/>
          <w:u w:val="none" w:color="auto"/>
          <w:lang w:val="en-US" w:eastAsia="zh-CN"/>
        </w:rPr>
        <w:t>7</w:t>
      </w:r>
      <w:r>
        <w:rPr>
          <w:rFonts w:hint="eastAsia" w:ascii="Times New Roman" w:hAnsi="Times New Roman" w:eastAsia="宋体" w:cs="Times New Roman"/>
          <w:color w:val="auto"/>
          <w:sz w:val="24"/>
          <w:highlight w:val="none"/>
          <w:u w:val="none" w:color="auto"/>
          <w:lang w:eastAsia="zh-CN"/>
        </w:rPr>
        <w:t>秒。本项目采用的是</w:t>
      </w:r>
      <w:r>
        <w:rPr>
          <w:rFonts w:hint="eastAsia" w:ascii="Times New Roman" w:hAnsi="Times New Roman" w:eastAsia="宋体" w:cs="Times New Roman"/>
          <w:color w:val="auto"/>
          <w:sz w:val="24"/>
          <w:highlight w:val="none"/>
          <w:lang w:val="en-US" w:eastAsia="zh-CN"/>
        </w:rPr>
        <w:t>佳木斯</w:t>
      </w:r>
      <w:r>
        <w:rPr>
          <w:rFonts w:hint="default" w:ascii="Times New Roman" w:hAnsi="Times New Roman" w:eastAsia="宋体" w:cs="Times New Roman"/>
          <w:color w:val="auto"/>
          <w:sz w:val="24"/>
          <w:highlight w:val="none"/>
        </w:rPr>
        <w:t>气象站站台编号5</w:t>
      </w:r>
      <w:r>
        <w:rPr>
          <w:rFonts w:hint="eastAsia" w:ascii="Times New Roman" w:hAnsi="Times New Roman" w:eastAsia="宋体" w:cs="Times New Roman"/>
          <w:color w:val="auto"/>
          <w:sz w:val="24"/>
          <w:highlight w:val="none"/>
          <w:lang w:val="en-US" w:eastAsia="zh-CN"/>
        </w:rPr>
        <w:t>0873</w:t>
      </w:r>
      <w:r>
        <w:rPr>
          <w:rFonts w:hint="default"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u w:val="none" w:color="auto"/>
          <w:lang w:eastAsia="zh-CN"/>
        </w:rPr>
        <w:t>气象站位于</w:t>
      </w:r>
      <w:r>
        <w:rPr>
          <w:rFonts w:hint="eastAsia" w:ascii="Times New Roman" w:hAnsi="Times New Roman" w:cs="Times New Roman"/>
          <w:color w:val="auto"/>
          <w:sz w:val="24"/>
          <w:highlight w:val="none"/>
          <w:u w:val="none" w:color="auto"/>
          <w:lang w:val="en-US" w:eastAsia="zh-CN"/>
        </w:rPr>
        <w:t>黑龙江</w:t>
      </w:r>
      <w:r>
        <w:rPr>
          <w:rFonts w:hint="eastAsia" w:ascii="Times New Roman" w:hAnsi="Times New Roman" w:eastAsia="宋体" w:cs="Times New Roman"/>
          <w:color w:val="auto"/>
          <w:sz w:val="24"/>
          <w:highlight w:val="none"/>
          <w:u w:val="none" w:color="auto"/>
          <w:lang w:eastAsia="zh-CN"/>
        </w:rPr>
        <w:t>省</w:t>
      </w:r>
      <w:r>
        <w:rPr>
          <w:rFonts w:hint="eastAsia" w:ascii="Times New Roman" w:hAnsi="Times New Roman" w:cs="Times New Roman"/>
          <w:color w:val="auto"/>
          <w:sz w:val="24"/>
          <w:highlight w:val="none"/>
          <w:u w:val="none" w:color="auto"/>
          <w:lang w:val="en-US" w:eastAsia="zh-CN"/>
        </w:rPr>
        <w:t>佳木斯</w:t>
      </w:r>
      <w:r>
        <w:rPr>
          <w:rFonts w:hint="eastAsia" w:ascii="Times New Roman" w:hAnsi="Times New Roman" w:cs="Times New Roman"/>
          <w:color w:val="auto"/>
          <w:sz w:val="24"/>
          <w:highlight w:val="none"/>
          <w:u w:val="none" w:color="auto"/>
          <w:lang w:eastAsia="zh-CN"/>
        </w:rPr>
        <w:t>市</w:t>
      </w:r>
      <w:r>
        <w:rPr>
          <w:rFonts w:hint="eastAsia" w:ascii="Times New Roman" w:hAnsi="Times New Roman" w:eastAsia="宋体" w:cs="Times New Roman"/>
          <w:color w:val="auto"/>
          <w:sz w:val="24"/>
          <w:highlight w:val="none"/>
          <w:u w:val="none" w:color="auto"/>
          <w:lang w:eastAsia="zh-CN"/>
        </w:rPr>
        <w:t>，</w:t>
      </w:r>
      <w:r>
        <w:rPr>
          <w:rFonts w:hint="default" w:ascii="Times New Roman" w:hAnsi="Times New Roman" w:eastAsia="宋体" w:cs="Times New Roman"/>
          <w:color w:val="auto"/>
          <w:sz w:val="24"/>
          <w:highlight w:val="none"/>
        </w:rPr>
        <w:t>站点经纬度为东经</w:t>
      </w:r>
      <w:r>
        <w:rPr>
          <w:rFonts w:hint="eastAsia" w:ascii="Times New Roman" w:hAnsi="Times New Roman" w:eastAsia="宋体" w:cs="Times New Roman"/>
          <w:bCs/>
          <w:color w:val="auto"/>
          <w:sz w:val="24"/>
          <w:szCs w:val="20"/>
          <w:highlight w:val="none"/>
          <w:lang w:val="en-US" w:eastAsia="zh-CN"/>
        </w:rPr>
        <w:t>130.2970</w:t>
      </w:r>
      <w:r>
        <w:rPr>
          <w:rFonts w:hint="default" w:ascii="Times New Roman" w:hAnsi="Times New Roman" w:eastAsia="宋体" w:cs="Times New Roman"/>
          <w:color w:val="auto"/>
          <w:sz w:val="24"/>
          <w:highlight w:val="none"/>
        </w:rPr>
        <w:t>°、北纬</w:t>
      </w:r>
      <w:r>
        <w:rPr>
          <w:rFonts w:hint="eastAsia" w:ascii="Times New Roman" w:hAnsi="Times New Roman" w:eastAsia="宋体" w:cs="Times New Roman"/>
          <w:bCs/>
          <w:color w:val="auto"/>
          <w:sz w:val="24"/>
          <w:szCs w:val="20"/>
          <w:highlight w:val="none"/>
          <w:lang w:val="en-US" w:eastAsia="zh-CN"/>
        </w:rPr>
        <w:t>46.7839</w:t>
      </w:r>
      <w:r>
        <w:rPr>
          <w:rFonts w:hint="default" w:ascii="Times New Roman" w:hAnsi="Times New Roman" w:eastAsia="宋体" w:cs="Times New Roman"/>
          <w:color w:val="auto"/>
          <w:sz w:val="24"/>
          <w:highlight w:val="none"/>
        </w:rPr>
        <w:t>°</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u w:val="none" w:color="auto"/>
          <w:lang w:eastAsia="zh-CN"/>
        </w:rPr>
        <w:t>高程</w:t>
      </w:r>
      <w:r>
        <w:rPr>
          <w:rFonts w:hint="eastAsia" w:ascii="Times New Roman" w:hAnsi="Times New Roman" w:cs="Times New Roman"/>
          <w:color w:val="auto"/>
          <w:sz w:val="24"/>
          <w:highlight w:val="none"/>
          <w:u w:val="none" w:color="auto"/>
          <w:lang w:val="en-US" w:eastAsia="zh-CN"/>
        </w:rPr>
        <w:t>82</w:t>
      </w:r>
      <w:r>
        <w:rPr>
          <w:rFonts w:hint="eastAsia" w:ascii="Times New Roman" w:hAnsi="Times New Roman" w:eastAsia="宋体" w:cs="Times New Roman"/>
          <w:color w:val="auto"/>
          <w:sz w:val="24"/>
          <w:highlight w:val="none"/>
          <w:u w:val="none" w:color="auto"/>
          <w:lang w:eastAsia="zh-CN"/>
        </w:rPr>
        <w:t>m。</w:t>
      </w:r>
    </w:p>
    <w:p w14:paraId="2A08DE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outlineLvl w:val="9"/>
        <w:rPr>
          <w:rFonts w:hint="eastAsia" w:ascii="Times New Roman" w:hAnsi="Times New Roman" w:eastAsia="宋体" w:cs="Times New Roman"/>
          <w:color w:val="auto"/>
          <w:sz w:val="24"/>
          <w:highlight w:val="none"/>
          <w:u w:val="none" w:color="auto"/>
          <w:lang w:eastAsia="zh-CN"/>
        </w:rPr>
      </w:pPr>
      <w:r>
        <w:rPr>
          <w:rFonts w:hint="eastAsia" w:ascii="Times New Roman" w:hAnsi="Times New Roman" w:cs="Times New Roman"/>
          <w:color w:val="auto"/>
          <w:sz w:val="24"/>
          <w:highlight w:val="none"/>
          <w:u w:val="none" w:color="auto"/>
          <w:lang w:val="en-US" w:eastAsia="zh-CN"/>
        </w:rPr>
        <w:t>②</w:t>
      </w:r>
      <w:r>
        <w:rPr>
          <w:rFonts w:hint="eastAsia" w:ascii="Times New Roman" w:hAnsi="Times New Roman" w:eastAsia="宋体" w:cs="Times New Roman"/>
          <w:color w:val="auto"/>
          <w:sz w:val="24"/>
          <w:highlight w:val="none"/>
          <w:u w:val="none" w:color="auto"/>
          <w:lang w:eastAsia="zh-CN"/>
        </w:rPr>
        <w:t>地面气象观测资料</w:t>
      </w:r>
    </w:p>
    <w:p w14:paraId="15256A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outlineLvl w:val="9"/>
        <w:rPr>
          <w:rFonts w:hint="default" w:ascii="Times New Roman" w:hAnsi="Times New Roman" w:eastAsia="宋体" w:cs="Times New Roman"/>
          <w:color w:val="auto"/>
          <w:kern w:val="2"/>
          <w:sz w:val="24"/>
          <w:szCs w:val="24"/>
          <w:highlight w:val="none"/>
          <w:lang w:val="zh-CN" w:eastAsia="zh-CN" w:bidi="ar-SA"/>
        </w:rPr>
      </w:pPr>
      <w:r>
        <w:rPr>
          <w:rFonts w:hint="default" w:ascii="Times New Roman" w:hAnsi="Times New Roman" w:eastAsia="宋体" w:cs="Times New Roman"/>
          <w:color w:val="auto"/>
          <w:sz w:val="24"/>
          <w:highlight w:val="none"/>
        </w:rPr>
        <w:t>地面气象资料来源于</w:t>
      </w:r>
      <w:r>
        <w:rPr>
          <w:rFonts w:hint="eastAsia" w:ascii="Times New Roman" w:hAnsi="Times New Roman" w:eastAsia="宋体" w:cs="Times New Roman"/>
          <w:color w:val="auto"/>
          <w:sz w:val="24"/>
          <w:highlight w:val="none"/>
          <w:lang w:val="en-US" w:eastAsia="zh-CN"/>
        </w:rPr>
        <w:t>佳木斯</w:t>
      </w:r>
      <w:r>
        <w:rPr>
          <w:rFonts w:hint="default" w:ascii="Times New Roman" w:hAnsi="Times New Roman" w:eastAsia="宋体" w:cs="Times New Roman"/>
          <w:color w:val="auto"/>
          <w:sz w:val="24"/>
          <w:highlight w:val="none"/>
        </w:rPr>
        <w:t>市气象站，本评价预测地面气象资料输入</w:t>
      </w:r>
      <w:r>
        <w:rPr>
          <w:rFonts w:hint="eastAsia" w:ascii="Times New Roman" w:hAnsi="Times New Roman" w:eastAsia="宋体" w:cs="Times New Roman"/>
          <w:color w:val="auto"/>
          <w:sz w:val="24"/>
          <w:highlight w:val="none"/>
          <w:lang w:val="en-US" w:eastAsia="zh-CN"/>
        </w:rPr>
        <w:t>佳木斯</w:t>
      </w:r>
      <w:r>
        <w:rPr>
          <w:rFonts w:hint="default" w:ascii="Times New Roman" w:hAnsi="Times New Roman" w:eastAsia="宋体" w:cs="Times New Roman"/>
          <w:color w:val="auto"/>
          <w:sz w:val="24"/>
          <w:highlight w:val="none"/>
        </w:rPr>
        <w:t>气象站202</w:t>
      </w:r>
      <w:r>
        <w:rPr>
          <w:rFonts w:hint="eastAsia" w:ascii="Times New Roman" w:hAnsi="Times New Roman" w:eastAsia="宋体" w:cs="Times New Roman"/>
          <w:color w:val="auto"/>
          <w:sz w:val="24"/>
          <w:highlight w:val="none"/>
          <w:lang w:val="en-US" w:eastAsia="zh-CN"/>
        </w:rPr>
        <w:t>4</w:t>
      </w:r>
      <w:r>
        <w:rPr>
          <w:rFonts w:hint="default" w:ascii="Times New Roman" w:hAnsi="Times New Roman" w:eastAsia="宋体" w:cs="Times New Roman"/>
          <w:color w:val="auto"/>
          <w:sz w:val="24"/>
          <w:highlight w:val="none"/>
        </w:rPr>
        <w:t>年1月1日至202</w:t>
      </w:r>
      <w:r>
        <w:rPr>
          <w:rFonts w:hint="eastAsia" w:ascii="Times New Roman" w:hAnsi="Times New Roman" w:eastAsia="宋体" w:cs="Times New Roman"/>
          <w:color w:val="auto"/>
          <w:sz w:val="24"/>
          <w:highlight w:val="none"/>
          <w:lang w:val="en-US" w:eastAsia="zh-CN"/>
        </w:rPr>
        <w:t>4</w:t>
      </w:r>
      <w:r>
        <w:rPr>
          <w:rFonts w:hint="default" w:ascii="Times New Roman" w:hAnsi="Times New Roman" w:eastAsia="宋体" w:cs="Times New Roman"/>
          <w:color w:val="auto"/>
          <w:sz w:val="24"/>
          <w:highlight w:val="none"/>
        </w:rPr>
        <w:t>年12月31日全年地面逐时气象资料，其中包括温度、风速、风向、总云量、低云量，按AERMET参数格式生成地面逐时气象输入文件。</w:t>
      </w:r>
      <w:r>
        <w:rPr>
          <w:rFonts w:hint="eastAsia" w:ascii="Times New Roman" w:hAnsi="Times New Roman" w:eastAsia="宋体" w:cs="Times New Roman"/>
          <w:color w:val="auto"/>
          <w:sz w:val="24"/>
          <w:highlight w:val="none"/>
          <w:u w:val="none" w:color="auto"/>
          <w:lang w:eastAsia="zh-CN"/>
        </w:rPr>
        <w:t>气象数据信息见表</w:t>
      </w:r>
      <w:r>
        <w:rPr>
          <w:rFonts w:hint="eastAsia" w:ascii="Times New Roman" w:hAnsi="Times New Roman" w:eastAsia="宋体" w:cs="Times New Roman"/>
          <w:color w:val="auto"/>
          <w:sz w:val="24"/>
          <w:highlight w:val="none"/>
          <w:u w:val="none" w:color="auto"/>
          <w:lang w:val="en-US" w:eastAsia="zh-CN"/>
        </w:rPr>
        <w:t>6.</w:t>
      </w:r>
      <w:r>
        <w:rPr>
          <w:rFonts w:hint="eastAsia" w:ascii="Times New Roman" w:hAnsi="Times New Roman" w:eastAsia="宋体" w:cs="Times New Roman"/>
          <w:color w:val="auto"/>
          <w:kern w:val="2"/>
          <w:sz w:val="24"/>
          <w:szCs w:val="24"/>
          <w:highlight w:val="none"/>
          <w:lang w:val="en-US" w:eastAsia="zh-CN" w:bidi="ar-SA"/>
        </w:rPr>
        <w:t>2-1。</w:t>
      </w:r>
    </w:p>
    <w:p w14:paraId="751CFCE4">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default" w:ascii="Times New Roman" w:hAnsi="Times New Roman" w:eastAsia="宋体" w:cs="Times New Roman"/>
          <w:color w:val="auto"/>
          <w:kern w:val="2"/>
          <w:sz w:val="24"/>
          <w:szCs w:val="24"/>
          <w:highlight w:val="none"/>
          <w:lang w:val="zh-CN" w:eastAsia="zh-CN" w:bidi="ar-SA"/>
        </w:rPr>
      </w:pPr>
      <w:r>
        <w:rPr>
          <w:rFonts w:hint="default" w:ascii="Times New Roman" w:hAnsi="Times New Roman" w:eastAsia="宋体" w:cs="Times New Roman"/>
          <w:color w:val="auto"/>
          <w:kern w:val="2"/>
          <w:sz w:val="24"/>
          <w:szCs w:val="24"/>
          <w:highlight w:val="none"/>
          <w:lang w:val="zh-CN" w:eastAsia="zh-CN" w:bidi="ar-SA"/>
        </w:rPr>
        <w:t>表</w:t>
      </w:r>
      <w:r>
        <w:rPr>
          <w:rFonts w:hint="eastAsia" w:ascii="Times New Roman" w:hAnsi="Times New Roman" w:eastAsia="宋体" w:cs="Times New Roman"/>
          <w:color w:val="auto"/>
          <w:kern w:val="2"/>
          <w:sz w:val="24"/>
          <w:szCs w:val="24"/>
          <w:highlight w:val="none"/>
          <w:lang w:val="en-US" w:eastAsia="zh-CN" w:bidi="ar-SA"/>
        </w:rPr>
        <w:t>6.2</w:t>
      </w:r>
      <w:r>
        <w:rPr>
          <w:rFonts w:hint="default" w:ascii="Times New Roman" w:hAnsi="Times New Roman" w:eastAsia="宋体" w:cs="Times New Roman"/>
          <w:color w:val="auto"/>
          <w:kern w:val="2"/>
          <w:sz w:val="24"/>
          <w:szCs w:val="24"/>
          <w:highlight w:val="none"/>
          <w:lang w:val="zh-CN" w:eastAsia="zh-CN" w:bidi="ar-SA"/>
        </w:rPr>
        <w:t>-</w:t>
      </w:r>
      <w:r>
        <w:rPr>
          <w:rFonts w:hint="eastAsia" w:ascii="Times New Roman" w:hAnsi="Times New Roman" w:eastAsia="宋体" w:cs="Times New Roman"/>
          <w:color w:val="auto"/>
          <w:kern w:val="2"/>
          <w:sz w:val="24"/>
          <w:szCs w:val="24"/>
          <w:highlight w:val="none"/>
          <w:lang w:val="en-US" w:eastAsia="zh-CN" w:bidi="ar-SA"/>
        </w:rPr>
        <w:t>1</w:t>
      </w:r>
      <w:r>
        <w:rPr>
          <w:rFonts w:hint="default" w:ascii="Times New Roman" w:hAnsi="Times New Roman" w:eastAsia="宋体" w:cs="Times New Roman"/>
          <w:color w:val="auto"/>
          <w:kern w:val="2"/>
          <w:sz w:val="24"/>
          <w:szCs w:val="24"/>
          <w:highlight w:val="none"/>
          <w:lang w:val="zh-CN" w:eastAsia="zh-CN" w:bidi="ar-SA"/>
        </w:rPr>
        <w:t xml:space="preserve">  </w:t>
      </w:r>
      <w:r>
        <w:rPr>
          <w:rFonts w:hint="eastAsia" w:ascii="Times New Roman" w:hAnsi="Times New Roman" w:eastAsia="宋体" w:cs="Times New Roman"/>
          <w:color w:val="auto"/>
          <w:kern w:val="2"/>
          <w:sz w:val="24"/>
          <w:szCs w:val="24"/>
          <w:highlight w:val="none"/>
          <w:lang w:val="en-US" w:eastAsia="zh-CN" w:bidi="ar-SA"/>
        </w:rPr>
        <w:t>佳木斯</w:t>
      </w:r>
      <w:r>
        <w:rPr>
          <w:rFonts w:hint="eastAsia" w:ascii="Times New Roman" w:hAnsi="Times New Roman" w:eastAsia="宋体" w:cs="Times New Roman"/>
          <w:color w:val="auto"/>
          <w:kern w:val="2"/>
          <w:sz w:val="24"/>
          <w:szCs w:val="24"/>
          <w:highlight w:val="none"/>
          <w:lang w:val="zh-CN" w:eastAsia="zh-CN" w:bidi="ar-SA"/>
        </w:rPr>
        <w:t>市</w:t>
      </w:r>
      <w:r>
        <w:rPr>
          <w:rFonts w:hint="default" w:ascii="Times New Roman" w:hAnsi="Times New Roman" w:eastAsia="宋体" w:cs="Times New Roman"/>
          <w:color w:val="auto"/>
          <w:kern w:val="2"/>
          <w:sz w:val="24"/>
          <w:szCs w:val="24"/>
          <w:highlight w:val="none"/>
          <w:lang w:val="zh-CN" w:eastAsia="zh-CN" w:bidi="ar-SA"/>
        </w:rPr>
        <w:t>气象站气象数据信息表</w:t>
      </w:r>
    </w:p>
    <w:tbl>
      <w:tblPr>
        <w:tblStyle w:val="37"/>
        <w:tblW w:w="8821"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066"/>
        <w:gridCol w:w="885"/>
        <w:gridCol w:w="855"/>
        <w:gridCol w:w="807"/>
        <w:gridCol w:w="724"/>
        <w:gridCol w:w="1095"/>
        <w:gridCol w:w="1095"/>
        <w:gridCol w:w="1080"/>
        <w:gridCol w:w="1214"/>
      </w:tblGrid>
      <w:tr w14:paraId="0817A2B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66" w:type="dxa"/>
            <w:vMerge w:val="restart"/>
            <w:noWrap w:val="0"/>
            <w:vAlign w:val="center"/>
          </w:tcPr>
          <w:p w14:paraId="10BE41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color w:val="auto"/>
                <w:sz w:val="21"/>
                <w:szCs w:val="21"/>
                <w:highlight w:val="none"/>
                <w:u w:val="none" w:color="auto"/>
              </w:rPr>
            </w:pPr>
            <w:r>
              <w:rPr>
                <w:rFonts w:hint="default" w:ascii="Times New Roman" w:hAnsi="Times New Roman" w:eastAsia="宋体" w:cs="Times New Roman"/>
                <w:color w:val="auto"/>
                <w:sz w:val="21"/>
                <w:szCs w:val="21"/>
                <w:highlight w:val="none"/>
                <w:vertAlign w:val="baseline"/>
                <w:lang w:eastAsia="zh-CN"/>
              </w:rPr>
              <w:t>气象站名称</w:t>
            </w:r>
          </w:p>
        </w:tc>
        <w:tc>
          <w:tcPr>
            <w:tcW w:w="885" w:type="dxa"/>
            <w:vMerge w:val="restart"/>
            <w:noWrap w:val="0"/>
            <w:vAlign w:val="center"/>
          </w:tcPr>
          <w:p w14:paraId="60FF72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color w:val="auto"/>
                <w:sz w:val="21"/>
                <w:szCs w:val="21"/>
                <w:highlight w:val="none"/>
                <w:u w:val="none" w:color="auto"/>
              </w:rPr>
            </w:pPr>
            <w:r>
              <w:rPr>
                <w:rFonts w:hint="default" w:ascii="Times New Roman" w:hAnsi="Times New Roman" w:eastAsia="宋体" w:cs="Times New Roman"/>
                <w:color w:val="auto"/>
                <w:sz w:val="21"/>
                <w:szCs w:val="21"/>
                <w:highlight w:val="none"/>
                <w:vertAlign w:val="baseline"/>
                <w:lang w:eastAsia="zh-CN"/>
              </w:rPr>
              <w:t>气象站编号</w:t>
            </w:r>
          </w:p>
        </w:tc>
        <w:tc>
          <w:tcPr>
            <w:tcW w:w="855" w:type="dxa"/>
            <w:vMerge w:val="restart"/>
            <w:noWrap w:val="0"/>
            <w:vAlign w:val="center"/>
          </w:tcPr>
          <w:p w14:paraId="38B5FA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color w:val="auto"/>
                <w:sz w:val="21"/>
                <w:szCs w:val="21"/>
                <w:highlight w:val="none"/>
                <w:u w:val="none" w:color="auto"/>
              </w:rPr>
            </w:pPr>
            <w:r>
              <w:rPr>
                <w:rFonts w:hint="default" w:ascii="Times New Roman" w:hAnsi="Times New Roman" w:eastAsia="宋体" w:cs="Times New Roman"/>
                <w:color w:val="auto"/>
                <w:sz w:val="21"/>
                <w:szCs w:val="21"/>
                <w:highlight w:val="none"/>
                <w:vertAlign w:val="baseline"/>
                <w:lang w:eastAsia="zh-CN"/>
              </w:rPr>
              <w:t>气象站等级</w:t>
            </w:r>
          </w:p>
        </w:tc>
        <w:tc>
          <w:tcPr>
            <w:tcW w:w="1531" w:type="dxa"/>
            <w:gridSpan w:val="2"/>
            <w:noWrap w:val="0"/>
            <w:vAlign w:val="center"/>
          </w:tcPr>
          <w:p w14:paraId="548CFD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color w:val="auto"/>
                <w:sz w:val="21"/>
                <w:szCs w:val="21"/>
                <w:highlight w:val="none"/>
                <w:u w:val="none" w:color="auto"/>
              </w:rPr>
            </w:pPr>
            <w:r>
              <w:rPr>
                <w:rFonts w:hint="default" w:ascii="Times New Roman" w:hAnsi="Times New Roman" w:eastAsia="宋体" w:cs="Times New Roman"/>
                <w:color w:val="auto"/>
                <w:sz w:val="21"/>
                <w:szCs w:val="21"/>
                <w:highlight w:val="none"/>
                <w:vertAlign w:val="baseline"/>
                <w:lang w:eastAsia="zh-CN"/>
              </w:rPr>
              <w:t>经纬度°</w:t>
            </w:r>
          </w:p>
        </w:tc>
        <w:tc>
          <w:tcPr>
            <w:tcW w:w="1095" w:type="dxa"/>
            <w:vMerge w:val="restart"/>
            <w:noWrap w:val="0"/>
            <w:vAlign w:val="center"/>
          </w:tcPr>
          <w:p w14:paraId="14657B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相对</w:t>
            </w:r>
          </w:p>
          <w:p w14:paraId="12F6DD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距离</w:t>
            </w:r>
          </w:p>
          <w:p w14:paraId="489271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color w:val="auto"/>
                <w:sz w:val="21"/>
                <w:szCs w:val="21"/>
                <w:highlight w:val="none"/>
                <w:u w:val="none" w:color="auto"/>
              </w:rPr>
            </w:pPr>
            <w:r>
              <w:rPr>
                <w:rFonts w:hint="default" w:ascii="Times New Roman" w:hAnsi="Times New Roman" w:eastAsia="宋体" w:cs="Times New Roman"/>
                <w:color w:val="auto"/>
                <w:sz w:val="21"/>
                <w:szCs w:val="21"/>
                <w:highlight w:val="none"/>
                <w:vertAlign w:val="baseline"/>
                <w:lang w:eastAsia="zh-CN"/>
              </w:rPr>
              <w:t>/km</w:t>
            </w:r>
          </w:p>
        </w:tc>
        <w:tc>
          <w:tcPr>
            <w:tcW w:w="1095" w:type="dxa"/>
            <w:vMerge w:val="restart"/>
            <w:noWrap w:val="0"/>
            <w:vAlign w:val="center"/>
          </w:tcPr>
          <w:p w14:paraId="214656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color w:val="auto"/>
                <w:sz w:val="21"/>
                <w:szCs w:val="21"/>
                <w:highlight w:val="none"/>
                <w:u w:val="none" w:color="auto"/>
              </w:rPr>
            </w:pPr>
            <w:r>
              <w:rPr>
                <w:rFonts w:hint="eastAsia" w:ascii="Times New Roman" w:hAnsi="Times New Roman" w:eastAsia="宋体" w:cs="Times New Roman"/>
                <w:color w:val="auto"/>
                <w:sz w:val="21"/>
                <w:szCs w:val="21"/>
                <w:highlight w:val="none"/>
                <w:vertAlign w:val="baseline"/>
                <w:lang w:eastAsia="zh-CN"/>
              </w:rPr>
              <w:t>海拔高度</w:t>
            </w:r>
            <w:r>
              <w:rPr>
                <w:rFonts w:hint="default" w:ascii="Times New Roman" w:hAnsi="Times New Roman" w:eastAsia="宋体" w:cs="Times New Roman"/>
                <w:color w:val="auto"/>
                <w:sz w:val="21"/>
                <w:szCs w:val="21"/>
                <w:highlight w:val="none"/>
                <w:vertAlign w:val="baseline"/>
                <w:lang w:eastAsia="zh-CN"/>
              </w:rPr>
              <w:t>/m</w:t>
            </w:r>
          </w:p>
        </w:tc>
        <w:tc>
          <w:tcPr>
            <w:tcW w:w="1080" w:type="dxa"/>
            <w:vMerge w:val="restart"/>
            <w:noWrap w:val="0"/>
            <w:vAlign w:val="center"/>
          </w:tcPr>
          <w:p w14:paraId="35F775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数据</w:t>
            </w:r>
          </w:p>
          <w:p w14:paraId="118E74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年份</w:t>
            </w:r>
          </w:p>
          <w:p w14:paraId="1E9B6D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color w:val="auto"/>
                <w:sz w:val="21"/>
                <w:szCs w:val="21"/>
                <w:highlight w:val="none"/>
                <w:u w:val="none" w:color="auto"/>
              </w:rPr>
            </w:pPr>
            <w:r>
              <w:rPr>
                <w:rFonts w:hint="default" w:ascii="Times New Roman" w:hAnsi="Times New Roman" w:eastAsia="宋体" w:cs="Times New Roman"/>
                <w:color w:val="auto"/>
                <w:sz w:val="21"/>
                <w:szCs w:val="21"/>
                <w:highlight w:val="none"/>
                <w:vertAlign w:val="baseline"/>
                <w:lang w:eastAsia="zh-CN"/>
              </w:rPr>
              <w:t>/年</w:t>
            </w:r>
          </w:p>
        </w:tc>
        <w:tc>
          <w:tcPr>
            <w:tcW w:w="1214" w:type="dxa"/>
            <w:vMerge w:val="restart"/>
            <w:noWrap w:val="0"/>
            <w:vAlign w:val="center"/>
          </w:tcPr>
          <w:p w14:paraId="418795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color w:val="auto"/>
                <w:sz w:val="21"/>
                <w:szCs w:val="21"/>
                <w:highlight w:val="none"/>
                <w:u w:val="none" w:color="auto"/>
              </w:rPr>
            </w:pPr>
            <w:r>
              <w:rPr>
                <w:rFonts w:hint="default" w:ascii="Times New Roman" w:hAnsi="Times New Roman" w:eastAsia="宋体" w:cs="Times New Roman"/>
                <w:color w:val="auto"/>
                <w:sz w:val="21"/>
                <w:szCs w:val="21"/>
                <w:highlight w:val="none"/>
                <w:vertAlign w:val="baseline"/>
                <w:lang w:eastAsia="zh-CN"/>
              </w:rPr>
              <w:t>气象要素</w:t>
            </w:r>
          </w:p>
        </w:tc>
      </w:tr>
      <w:tr w14:paraId="65D88B2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66" w:type="dxa"/>
            <w:vMerge w:val="continue"/>
            <w:noWrap w:val="0"/>
            <w:vAlign w:val="center"/>
          </w:tcPr>
          <w:p w14:paraId="56D1D2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u w:val="none" w:color="auto"/>
              </w:rPr>
            </w:pPr>
          </w:p>
        </w:tc>
        <w:tc>
          <w:tcPr>
            <w:tcW w:w="885" w:type="dxa"/>
            <w:vMerge w:val="continue"/>
            <w:noWrap w:val="0"/>
            <w:vAlign w:val="center"/>
          </w:tcPr>
          <w:p w14:paraId="2AA5CB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u w:val="none" w:color="auto"/>
              </w:rPr>
            </w:pPr>
          </w:p>
        </w:tc>
        <w:tc>
          <w:tcPr>
            <w:tcW w:w="855" w:type="dxa"/>
            <w:vMerge w:val="continue"/>
            <w:noWrap w:val="0"/>
            <w:vAlign w:val="center"/>
          </w:tcPr>
          <w:p w14:paraId="5A0599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u w:val="none" w:color="auto"/>
              </w:rPr>
            </w:pPr>
          </w:p>
        </w:tc>
        <w:tc>
          <w:tcPr>
            <w:tcW w:w="807" w:type="dxa"/>
            <w:noWrap w:val="0"/>
            <w:vAlign w:val="center"/>
          </w:tcPr>
          <w:p w14:paraId="2F2B3F9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color w:val="auto"/>
                <w:sz w:val="21"/>
                <w:szCs w:val="21"/>
                <w:highlight w:val="none"/>
                <w:u w:val="none" w:color="auto"/>
              </w:rPr>
            </w:pPr>
            <w:r>
              <w:rPr>
                <w:rFonts w:hint="default" w:ascii="Times New Roman" w:hAnsi="Times New Roman" w:eastAsia="宋体" w:cs="Times New Roman"/>
                <w:color w:val="auto"/>
                <w:sz w:val="21"/>
                <w:szCs w:val="21"/>
                <w:highlight w:val="none"/>
                <w:vertAlign w:val="baseline"/>
                <w:lang w:eastAsia="zh-CN"/>
              </w:rPr>
              <w:t>经度</w:t>
            </w:r>
          </w:p>
        </w:tc>
        <w:tc>
          <w:tcPr>
            <w:tcW w:w="724" w:type="dxa"/>
            <w:noWrap w:val="0"/>
            <w:vAlign w:val="center"/>
          </w:tcPr>
          <w:p w14:paraId="0FA49D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color w:val="auto"/>
                <w:sz w:val="21"/>
                <w:szCs w:val="21"/>
                <w:highlight w:val="none"/>
                <w:u w:val="none" w:color="auto"/>
              </w:rPr>
            </w:pPr>
            <w:r>
              <w:rPr>
                <w:rFonts w:hint="default" w:ascii="Times New Roman" w:hAnsi="Times New Roman" w:eastAsia="宋体" w:cs="Times New Roman"/>
                <w:color w:val="auto"/>
                <w:sz w:val="21"/>
                <w:szCs w:val="21"/>
                <w:highlight w:val="none"/>
                <w:vertAlign w:val="baseline"/>
                <w:lang w:eastAsia="zh-CN"/>
              </w:rPr>
              <w:t>纬度</w:t>
            </w:r>
          </w:p>
        </w:tc>
        <w:tc>
          <w:tcPr>
            <w:tcW w:w="1095" w:type="dxa"/>
            <w:vMerge w:val="continue"/>
            <w:noWrap w:val="0"/>
            <w:vAlign w:val="center"/>
          </w:tcPr>
          <w:p w14:paraId="6B5B79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u w:val="none" w:color="auto"/>
              </w:rPr>
            </w:pPr>
          </w:p>
        </w:tc>
        <w:tc>
          <w:tcPr>
            <w:tcW w:w="1095" w:type="dxa"/>
            <w:vMerge w:val="continue"/>
            <w:noWrap w:val="0"/>
            <w:vAlign w:val="center"/>
          </w:tcPr>
          <w:p w14:paraId="775E14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u w:val="none" w:color="auto"/>
              </w:rPr>
            </w:pPr>
          </w:p>
        </w:tc>
        <w:tc>
          <w:tcPr>
            <w:tcW w:w="1080" w:type="dxa"/>
            <w:vMerge w:val="continue"/>
            <w:noWrap w:val="0"/>
            <w:vAlign w:val="center"/>
          </w:tcPr>
          <w:p w14:paraId="053951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u w:val="none" w:color="auto"/>
              </w:rPr>
            </w:pPr>
          </w:p>
        </w:tc>
        <w:tc>
          <w:tcPr>
            <w:tcW w:w="1214" w:type="dxa"/>
            <w:vMerge w:val="continue"/>
            <w:noWrap w:val="0"/>
            <w:vAlign w:val="center"/>
          </w:tcPr>
          <w:p w14:paraId="1A32D2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u w:val="none" w:color="auto"/>
              </w:rPr>
            </w:pPr>
          </w:p>
        </w:tc>
      </w:tr>
      <w:tr w14:paraId="24C5489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66" w:type="dxa"/>
            <w:noWrap w:val="0"/>
            <w:vAlign w:val="center"/>
          </w:tcPr>
          <w:p w14:paraId="42C1F8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u w:val="none" w:color="auto"/>
              </w:rPr>
            </w:pPr>
            <w:r>
              <w:rPr>
                <w:rFonts w:hint="eastAsia" w:ascii="Times New Roman" w:hAnsi="Times New Roman" w:eastAsia="宋体" w:cs="Times New Roman"/>
                <w:color w:val="auto"/>
                <w:sz w:val="21"/>
                <w:szCs w:val="21"/>
                <w:highlight w:val="none"/>
                <w:vertAlign w:val="baseline"/>
                <w:lang w:val="en-US" w:eastAsia="zh-CN"/>
              </w:rPr>
              <w:t>佳木斯</w:t>
            </w:r>
            <w:r>
              <w:rPr>
                <w:rFonts w:hint="default" w:ascii="Times New Roman" w:hAnsi="Times New Roman" w:eastAsia="宋体" w:cs="Times New Roman"/>
                <w:color w:val="auto"/>
                <w:sz w:val="21"/>
                <w:szCs w:val="21"/>
                <w:highlight w:val="none"/>
                <w:vertAlign w:val="baseline"/>
                <w:lang w:eastAsia="zh-CN"/>
              </w:rPr>
              <w:t>气象站</w:t>
            </w:r>
          </w:p>
        </w:tc>
        <w:tc>
          <w:tcPr>
            <w:tcW w:w="885" w:type="dxa"/>
            <w:noWrap w:val="0"/>
            <w:vAlign w:val="center"/>
          </w:tcPr>
          <w:p w14:paraId="76DFC7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eastAsia="宋体" w:cs="Times New Roman"/>
                <w:color w:val="auto"/>
                <w:sz w:val="21"/>
                <w:szCs w:val="21"/>
                <w:highlight w:val="none"/>
                <w:vertAlign w:val="baseline"/>
                <w:lang w:eastAsia="zh-CN"/>
              </w:rPr>
              <w:t>5</w:t>
            </w:r>
            <w:r>
              <w:rPr>
                <w:rFonts w:hint="eastAsia" w:ascii="Times New Roman" w:hAnsi="Times New Roman" w:eastAsia="宋体" w:cs="Times New Roman"/>
                <w:color w:val="auto"/>
                <w:sz w:val="21"/>
                <w:szCs w:val="21"/>
                <w:highlight w:val="none"/>
                <w:vertAlign w:val="baseline"/>
                <w:lang w:val="en-US" w:eastAsia="zh-CN"/>
              </w:rPr>
              <w:t>4094</w:t>
            </w:r>
          </w:p>
        </w:tc>
        <w:tc>
          <w:tcPr>
            <w:tcW w:w="855" w:type="dxa"/>
            <w:noWrap w:val="0"/>
            <w:vAlign w:val="center"/>
          </w:tcPr>
          <w:p w14:paraId="1F3EEA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u w:val="none" w:color="auto"/>
              </w:rPr>
            </w:pPr>
            <w:r>
              <w:rPr>
                <w:rFonts w:hint="eastAsia" w:ascii="Times New Roman" w:hAnsi="Times New Roman" w:eastAsia="宋体" w:cs="Times New Roman"/>
                <w:color w:val="auto"/>
                <w:sz w:val="21"/>
                <w:szCs w:val="21"/>
                <w:highlight w:val="none"/>
                <w:vertAlign w:val="baseline"/>
                <w:lang w:val="en-US" w:eastAsia="zh-CN"/>
              </w:rPr>
              <w:t>基本站</w:t>
            </w:r>
          </w:p>
        </w:tc>
        <w:tc>
          <w:tcPr>
            <w:tcW w:w="807" w:type="dxa"/>
            <w:noWrap w:val="0"/>
            <w:vAlign w:val="center"/>
          </w:tcPr>
          <w:p w14:paraId="7B6C5F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130.2970</w:t>
            </w:r>
            <w:r>
              <w:rPr>
                <w:rFonts w:hint="default" w:ascii="Times New Roman" w:hAnsi="Times New Roman" w:eastAsia="宋体" w:cs="Times New Roman"/>
                <w:color w:val="auto"/>
                <w:sz w:val="21"/>
                <w:szCs w:val="21"/>
                <w:highlight w:val="none"/>
                <w:vertAlign w:val="baseline"/>
                <w:lang w:val="en-US" w:eastAsia="zh-CN"/>
              </w:rPr>
              <w:t>E</w:t>
            </w:r>
          </w:p>
        </w:tc>
        <w:tc>
          <w:tcPr>
            <w:tcW w:w="724" w:type="dxa"/>
            <w:noWrap w:val="0"/>
            <w:vAlign w:val="center"/>
          </w:tcPr>
          <w:p w14:paraId="5999D5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46.7839</w:t>
            </w:r>
            <w:r>
              <w:rPr>
                <w:rFonts w:hint="default" w:ascii="Times New Roman" w:hAnsi="Times New Roman" w:eastAsia="宋体" w:cs="Times New Roman"/>
                <w:color w:val="auto"/>
                <w:sz w:val="21"/>
                <w:szCs w:val="21"/>
                <w:highlight w:val="none"/>
                <w:vertAlign w:val="baseline"/>
                <w:lang w:val="en-US" w:eastAsia="zh-CN"/>
              </w:rPr>
              <w:t>N</w:t>
            </w:r>
          </w:p>
        </w:tc>
        <w:tc>
          <w:tcPr>
            <w:tcW w:w="1095" w:type="dxa"/>
            <w:noWrap w:val="0"/>
            <w:vAlign w:val="center"/>
          </w:tcPr>
          <w:p w14:paraId="5AF3F9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3.6</w:t>
            </w:r>
          </w:p>
        </w:tc>
        <w:tc>
          <w:tcPr>
            <w:tcW w:w="1095" w:type="dxa"/>
            <w:noWrap w:val="0"/>
            <w:vAlign w:val="center"/>
          </w:tcPr>
          <w:p w14:paraId="213A7B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80</w:t>
            </w:r>
          </w:p>
        </w:tc>
        <w:tc>
          <w:tcPr>
            <w:tcW w:w="1080" w:type="dxa"/>
            <w:noWrap w:val="0"/>
            <w:vAlign w:val="center"/>
          </w:tcPr>
          <w:p w14:paraId="15C898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u w:val="none" w:color="auto"/>
              </w:rPr>
            </w:pPr>
            <w:r>
              <w:rPr>
                <w:rFonts w:hint="default" w:ascii="Times New Roman" w:hAnsi="Times New Roman" w:eastAsia="宋体" w:cs="Times New Roman"/>
                <w:color w:val="auto"/>
                <w:sz w:val="21"/>
                <w:szCs w:val="21"/>
                <w:highlight w:val="none"/>
                <w:vertAlign w:val="baseline"/>
                <w:lang w:eastAsia="zh-CN"/>
              </w:rPr>
              <w:t>202</w:t>
            </w:r>
            <w:r>
              <w:rPr>
                <w:rFonts w:hint="eastAsia" w:ascii="Times New Roman" w:hAnsi="Times New Roman" w:eastAsia="宋体" w:cs="Times New Roman"/>
                <w:color w:val="auto"/>
                <w:sz w:val="21"/>
                <w:szCs w:val="21"/>
                <w:highlight w:val="none"/>
                <w:vertAlign w:val="baseline"/>
                <w:lang w:val="en-US" w:eastAsia="zh-CN"/>
              </w:rPr>
              <w:t>4</w:t>
            </w:r>
          </w:p>
        </w:tc>
        <w:tc>
          <w:tcPr>
            <w:tcW w:w="1214" w:type="dxa"/>
            <w:noWrap w:val="0"/>
            <w:vAlign w:val="center"/>
          </w:tcPr>
          <w:p w14:paraId="2FA215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温度、风速、</w:t>
            </w:r>
          </w:p>
          <w:p w14:paraId="14DA4C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u w:val="none" w:color="auto"/>
              </w:rPr>
            </w:pPr>
            <w:r>
              <w:rPr>
                <w:rFonts w:hint="default" w:ascii="Times New Roman" w:hAnsi="Times New Roman" w:eastAsia="宋体" w:cs="Times New Roman"/>
                <w:color w:val="auto"/>
                <w:sz w:val="21"/>
                <w:szCs w:val="21"/>
                <w:highlight w:val="none"/>
                <w:vertAlign w:val="baseline"/>
                <w:lang w:eastAsia="zh-CN"/>
              </w:rPr>
              <w:t>风向、总云量、低云量</w:t>
            </w:r>
          </w:p>
        </w:tc>
      </w:tr>
    </w:tbl>
    <w:p w14:paraId="0C96CD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outlineLvl w:val="9"/>
        <w:rPr>
          <w:rFonts w:hint="eastAsia" w:ascii="Times New Roman" w:hAnsi="Times New Roman" w:eastAsia="宋体" w:cs="Times New Roman"/>
          <w:color w:val="auto"/>
          <w:sz w:val="24"/>
          <w:highlight w:val="none"/>
          <w:u w:val="none" w:color="auto"/>
          <w:lang w:eastAsia="zh-CN"/>
        </w:rPr>
      </w:pPr>
      <w:r>
        <w:rPr>
          <w:rFonts w:hint="eastAsia" w:ascii="Times New Roman" w:hAnsi="Times New Roman" w:cs="Times New Roman"/>
          <w:color w:val="auto"/>
          <w:sz w:val="24"/>
          <w:highlight w:val="none"/>
          <w:u w:val="none" w:color="auto"/>
          <w:lang w:val="en-US" w:eastAsia="zh-CN"/>
        </w:rPr>
        <w:t>③</w:t>
      </w:r>
      <w:r>
        <w:rPr>
          <w:rFonts w:hint="eastAsia" w:ascii="Times New Roman" w:hAnsi="Times New Roman" w:eastAsia="宋体" w:cs="Times New Roman"/>
          <w:color w:val="auto"/>
          <w:sz w:val="24"/>
          <w:highlight w:val="none"/>
          <w:u w:val="none" w:color="auto"/>
          <w:lang w:eastAsia="zh-CN"/>
        </w:rPr>
        <w:t>高空气象探测资料</w:t>
      </w:r>
    </w:p>
    <w:p w14:paraId="06B4EE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outlineLvl w:val="9"/>
        <w:rPr>
          <w:rFonts w:hint="default" w:ascii="Times New Roman" w:hAnsi="Times New Roman" w:eastAsia="黑体" w:cs="Times New Roman"/>
          <w:b/>
          <w:bCs/>
          <w:color w:val="auto"/>
          <w:sz w:val="21"/>
          <w:szCs w:val="21"/>
          <w:highlight w:val="none"/>
          <w:u w:val="none" w:color="auto"/>
          <w:lang w:val="zh-CN"/>
        </w:rPr>
      </w:pPr>
      <w:r>
        <w:rPr>
          <w:rFonts w:hint="default" w:ascii="Times New Roman" w:hAnsi="Times New Roman" w:eastAsia="宋体" w:cs="Times New Roman"/>
          <w:color w:val="auto"/>
          <w:sz w:val="24"/>
          <w:highlight w:val="none"/>
        </w:rPr>
        <w:t>本评价预测采用的高空数据是采用大气环境影响评价数值模式WRF模拟生成，包括大气压、高度、干球温度、露点温度、风向、风速。</w:t>
      </w:r>
    </w:p>
    <w:p w14:paraId="06E67E45">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default" w:ascii="Times New Roman" w:hAnsi="Times New Roman" w:eastAsia="宋体" w:cs="Times New Roman"/>
          <w:color w:val="auto"/>
          <w:kern w:val="2"/>
          <w:sz w:val="24"/>
          <w:szCs w:val="24"/>
          <w:highlight w:val="none"/>
          <w:lang w:val="zh-CN" w:eastAsia="zh-CN" w:bidi="ar-SA"/>
        </w:rPr>
      </w:pPr>
      <w:r>
        <w:rPr>
          <w:rFonts w:hint="default" w:ascii="Times New Roman" w:hAnsi="Times New Roman" w:eastAsia="宋体" w:cs="Times New Roman"/>
          <w:color w:val="auto"/>
          <w:kern w:val="2"/>
          <w:sz w:val="24"/>
          <w:szCs w:val="24"/>
          <w:highlight w:val="none"/>
          <w:lang w:val="zh-CN" w:eastAsia="zh-CN" w:bidi="ar-SA"/>
        </w:rPr>
        <w:t>表</w:t>
      </w:r>
      <w:r>
        <w:rPr>
          <w:rFonts w:hint="eastAsia" w:ascii="Times New Roman" w:hAnsi="Times New Roman" w:eastAsia="宋体" w:cs="Times New Roman"/>
          <w:color w:val="auto"/>
          <w:kern w:val="2"/>
          <w:sz w:val="24"/>
          <w:szCs w:val="24"/>
          <w:highlight w:val="none"/>
          <w:lang w:val="en-US" w:eastAsia="zh-CN" w:bidi="ar-SA"/>
        </w:rPr>
        <w:t>6.2</w:t>
      </w:r>
      <w:r>
        <w:rPr>
          <w:rFonts w:hint="default" w:ascii="Times New Roman" w:hAnsi="Times New Roman" w:eastAsia="宋体" w:cs="Times New Roman"/>
          <w:color w:val="auto"/>
          <w:kern w:val="2"/>
          <w:sz w:val="24"/>
          <w:szCs w:val="24"/>
          <w:highlight w:val="none"/>
          <w:lang w:val="zh-CN" w:eastAsia="zh-CN" w:bidi="ar-SA"/>
        </w:rPr>
        <w:t>-</w:t>
      </w:r>
      <w:r>
        <w:rPr>
          <w:rFonts w:hint="eastAsia" w:ascii="Times New Roman" w:hAnsi="Times New Roman" w:eastAsia="宋体" w:cs="Times New Roman"/>
          <w:color w:val="auto"/>
          <w:kern w:val="2"/>
          <w:sz w:val="24"/>
          <w:szCs w:val="24"/>
          <w:highlight w:val="none"/>
          <w:lang w:val="en-US" w:eastAsia="zh-CN" w:bidi="ar-SA"/>
        </w:rPr>
        <w:t>2</w:t>
      </w:r>
      <w:r>
        <w:rPr>
          <w:rFonts w:hint="default" w:ascii="Times New Roman" w:hAnsi="Times New Roman" w:eastAsia="宋体" w:cs="Times New Roman"/>
          <w:color w:val="auto"/>
          <w:kern w:val="2"/>
          <w:sz w:val="24"/>
          <w:szCs w:val="24"/>
          <w:highlight w:val="none"/>
          <w:lang w:val="zh-CN" w:eastAsia="zh-CN" w:bidi="ar-SA"/>
        </w:rPr>
        <w:t xml:space="preserve">  高空气象数据信息表</w:t>
      </w:r>
    </w:p>
    <w:tbl>
      <w:tblPr>
        <w:tblStyle w:val="37"/>
        <w:tblW w:w="5301"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56"/>
        <w:gridCol w:w="1111"/>
        <w:gridCol w:w="1073"/>
        <w:gridCol w:w="827"/>
        <w:gridCol w:w="1056"/>
        <w:gridCol w:w="740"/>
        <w:gridCol w:w="1710"/>
        <w:gridCol w:w="1910"/>
      </w:tblGrid>
      <w:tr w14:paraId="07BAD4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509" w:type="pct"/>
            <w:vMerge w:val="restart"/>
            <w:vAlign w:val="center"/>
          </w:tcPr>
          <w:p w14:paraId="4D02C9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气象站编号</w:t>
            </w:r>
          </w:p>
        </w:tc>
        <w:tc>
          <w:tcPr>
            <w:tcW w:w="1163" w:type="pct"/>
            <w:gridSpan w:val="2"/>
            <w:vAlign w:val="center"/>
          </w:tcPr>
          <w:p w14:paraId="6544B9E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经纬度°</w:t>
            </w:r>
          </w:p>
        </w:tc>
        <w:tc>
          <w:tcPr>
            <w:tcW w:w="440" w:type="pct"/>
            <w:vMerge w:val="restart"/>
            <w:vAlign w:val="center"/>
          </w:tcPr>
          <w:p w14:paraId="2C959A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相对</w:t>
            </w:r>
          </w:p>
          <w:p w14:paraId="514E43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距离</w:t>
            </w:r>
          </w:p>
          <w:p w14:paraId="6E6B08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/km</w:t>
            </w:r>
          </w:p>
        </w:tc>
        <w:tc>
          <w:tcPr>
            <w:tcW w:w="562" w:type="pct"/>
            <w:vMerge w:val="restart"/>
            <w:vAlign w:val="center"/>
          </w:tcPr>
          <w:p w14:paraId="3ABAB3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海拔</w:t>
            </w:r>
          </w:p>
          <w:p w14:paraId="213BCC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高度/m</w:t>
            </w:r>
          </w:p>
        </w:tc>
        <w:tc>
          <w:tcPr>
            <w:tcW w:w="394" w:type="pct"/>
            <w:vMerge w:val="restart"/>
            <w:vAlign w:val="center"/>
          </w:tcPr>
          <w:p w14:paraId="5D92BA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数据</w:t>
            </w:r>
          </w:p>
          <w:p w14:paraId="50B885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年份</w:t>
            </w:r>
          </w:p>
          <w:p w14:paraId="021198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/年</w:t>
            </w:r>
          </w:p>
        </w:tc>
        <w:tc>
          <w:tcPr>
            <w:tcW w:w="911" w:type="pct"/>
            <w:vMerge w:val="restart"/>
            <w:vAlign w:val="center"/>
          </w:tcPr>
          <w:p w14:paraId="518AB3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模拟气象要素</w:t>
            </w:r>
          </w:p>
        </w:tc>
        <w:tc>
          <w:tcPr>
            <w:tcW w:w="1017" w:type="pct"/>
            <w:vMerge w:val="restart"/>
            <w:vAlign w:val="center"/>
          </w:tcPr>
          <w:p w14:paraId="41BA44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模拟方式</w:t>
            </w:r>
          </w:p>
        </w:tc>
      </w:tr>
      <w:tr w14:paraId="74CC1E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509" w:type="pct"/>
            <w:vMerge w:val="continue"/>
            <w:vAlign w:val="center"/>
          </w:tcPr>
          <w:p w14:paraId="5882FD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p>
        </w:tc>
        <w:tc>
          <w:tcPr>
            <w:tcW w:w="592" w:type="pct"/>
            <w:vAlign w:val="center"/>
          </w:tcPr>
          <w:p w14:paraId="6A4123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经度</w:t>
            </w:r>
          </w:p>
        </w:tc>
        <w:tc>
          <w:tcPr>
            <w:tcW w:w="571" w:type="pct"/>
            <w:vAlign w:val="center"/>
          </w:tcPr>
          <w:p w14:paraId="7E1C8E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纬度</w:t>
            </w:r>
          </w:p>
        </w:tc>
        <w:tc>
          <w:tcPr>
            <w:tcW w:w="440" w:type="pct"/>
            <w:vMerge w:val="continue"/>
            <w:vAlign w:val="center"/>
          </w:tcPr>
          <w:p w14:paraId="0A10DB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p>
        </w:tc>
        <w:tc>
          <w:tcPr>
            <w:tcW w:w="562" w:type="pct"/>
            <w:vMerge w:val="continue"/>
            <w:vAlign w:val="center"/>
          </w:tcPr>
          <w:p w14:paraId="466E49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p>
        </w:tc>
        <w:tc>
          <w:tcPr>
            <w:tcW w:w="394" w:type="pct"/>
            <w:vMerge w:val="continue"/>
            <w:vAlign w:val="center"/>
          </w:tcPr>
          <w:p w14:paraId="5B1A39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p>
        </w:tc>
        <w:tc>
          <w:tcPr>
            <w:tcW w:w="911" w:type="pct"/>
            <w:vMerge w:val="continue"/>
            <w:vAlign w:val="center"/>
          </w:tcPr>
          <w:p w14:paraId="40B8A9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p>
        </w:tc>
        <w:tc>
          <w:tcPr>
            <w:tcW w:w="1017" w:type="pct"/>
            <w:vMerge w:val="continue"/>
            <w:vAlign w:val="center"/>
          </w:tcPr>
          <w:p w14:paraId="67E500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p>
        </w:tc>
      </w:tr>
      <w:tr w14:paraId="11D1F8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97" w:hRule="atLeast"/>
          <w:jc w:val="center"/>
        </w:trPr>
        <w:tc>
          <w:tcPr>
            <w:tcW w:w="509" w:type="pct"/>
            <w:vAlign w:val="center"/>
          </w:tcPr>
          <w:p w14:paraId="17C9DE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eastAsia="zh-CN"/>
              </w:rPr>
              <w:t>5</w:t>
            </w:r>
            <w:r>
              <w:rPr>
                <w:rFonts w:hint="eastAsia" w:ascii="Times New Roman" w:hAnsi="Times New Roman" w:eastAsia="宋体" w:cs="Times New Roman"/>
                <w:color w:val="auto"/>
                <w:sz w:val="21"/>
                <w:szCs w:val="21"/>
                <w:highlight w:val="none"/>
                <w:vertAlign w:val="baseline"/>
                <w:lang w:val="en-US" w:eastAsia="zh-CN"/>
              </w:rPr>
              <w:t>4094</w:t>
            </w:r>
          </w:p>
        </w:tc>
        <w:tc>
          <w:tcPr>
            <w:tcW w:w="1070" w:type="dxa"/>
            <w:vAlign w:val="center"/>
          </w:tcPr>
          <w:p w14:paraId="1B49F0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130.2970</w:t>
            </w:r>
            <w:r>
              <w:rPr>
                <w:rFonts w:hint="default" w:ascii="Times New Roman" w:hAnsi="Times New Roman" w:eastAsia="宋体" w:cs="Times New Roman"/>
                <w:color w:val="auto"/>
                <w:sz w:val="21"/>
                <w:szCs w:val="21"/>
                <w:highlight w:val="none"/>
                <w:vertAlign w:val="baseline"/>
                <w:lang w:val="en-US" w:eastAsia="zh-CN"/>
              </w:rPr>
              <w:t>E</w:t>
            </w:r>
          </w:p>
        </w:tc>
        <w:tc>
          <w:tcPr>
            <w:tcW w:w="1033" w:type="dxa"/>
            <w:vAlign w:val="center"/>
          </w:tcPr>
          <w:p w14:paraId="2B8903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46.7839</w:t>
            </w:r>
            <w:r>
              <w:rPr>
                <w:rFonts w:hint="default" w:ascii="Times New Roman" w:hAnsi="Times New Roman" w:eastAsia="宋体" w:cs="Times New Roman"/>
                <w:color w:val="auto"/>
                <w:sz w:val="21"/>
                <w:szCs w:val="21"/>
                <w:highlight w:val="none"/>
                <w:vertAlign w:val="baseline"/>
                <w:lang w:val="en-US" w:eastAsia="zh-CN"/>
              </w:rPr>
              <w:t>N</w:t>
            </w:r>
          </w:p>
        </w:tc>
        <w:tc>
          <w:tcPr>
            <w:tcW w:w="440" w:type="pct"/>
            <w:vAlign w:val="center"/>
          </w:tcPr>
          <w:p w14:paraId="5E0813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3.6</w:t>
            </w:r>
          </w:p>
        </w:tc>
        <w:tc>
          <w:tcPr>
            <w:tcW w:w="562" w:type="pct"/>
            <w:vAlign w:val="center"/>
          </w:tcPr>
          <w:p w14:paraId="77883E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80</w:t>
            </w:r>
          </w:p>
        </w:tc>
        <w:tc>
          <w:tcPr>
            <w:tcW w:w="394" w:type="pct"/>
            <w:vAlign w:val="center"/>
          </w:tcPr>
          <w:p w14:paraId="33CC32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2024</w:t>
            </w:r>
          </w:p>
        </w:tc>
        <w:tc>
          <w:tcPr>
            <w:tcW w:w="911" w:type="pct"/>
            <w:vAlign w:val="center"/>
          </w:tcPr>
          <w:p w14:paraId="41BFB65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大气压、高度、干球温度、露点温度、风向、风速</w:t>
            </w:r>
          </w:p>
        </w:tc>
        <w:tc>
          <w:tcPr>
            <w:tcW w:w="1017" w:type="pct"/>
            <w:vAlign w:val="center"/>
          </w:tcPr>
          <w:p w14:paraId="3A7EA7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val="en-US" w:eastAsia="zh-CN"/>
              </w:rPr>
              <w:t>大气环境影响评价数值模式WRF模拟生成</w:t>
            </w:r>
          </w:p>
        </w:tc>
      </w:tr>
      <w:bookmarkEnd w:id="436"/>
      <w:bookmarkEnd w:id="437"/>
      <w:bookmarkEnd w:id="438"/>
      <w:bookmarkEnd w:id="439"/>
    </w:tbl>
    <w:p w14:paraId="16DE9063">
      <w:pPr>
        <w:keepNext w:val="0"/>
        <w:keepLines w:val="0"/>
        <w:pageBreakBefore w:val="0"/>
        <w:widowControl w:val="0"/>
        <w:kinsoku/>
        <w:wordWrap/>
        <w:overflowPunct/>
        <w:topLinePunct w:val="0"/>
        <w:autoSpaceDE w:val="0"/>
        <w:autoSpaceDN w:val="0"/>
        <w:bidi w:val="0"/>
        <w:adjustRightInd w:val="0"/>
        <w:snapToGrid/>
        <w:spacing w:line="480" w:lineRule="exact"/>
        <w:ind w:left="0" w:leftChars="0" w:firstLine="480" w:firstLineChars="200"/>
        <w:jc w:val="both"/>
        <w:textAlignment w:val="bottom"/>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w:t>
      </w:r>
      <w:r>
        <w:rPr>
          <w:rFonts w:hint="eastAsia" w:ascii="Times New Roman" w:hAnsi="Times New Roman" w:eastAsia="宋体" w:cs="Times New Roman"/>
          <w:color w:val="auto"/>
          <w:kern w:val="0"/>
          <w:sz w:val="24"/>
          <w:szCs w:val="24"/>
          <w:highlight w:val="none"/>
          <w:lang w:val="en-US" w:eastAsia="zh-CN"/>
        </w:rPr>
        <w:t>2</w:t>
      </w:r>
      <w:r>
        <w:rPr>
          <w:rFonts w:hint="default" w:ascii="Times New Roman" w:hAnsi="Times New Roman" w:eastAsia="宋体" w:cs="Times New Roman"/>
          <w:color w:val="auto"/>
          <w:kern w:val="0"/>
          <w:sz w:val="24"/>
          <w:szCs w:val="24"/>
          <w:highlight w:val="none"/>
        </w:rPr>
        <w:t>）预测因子</w:t>
      </w:r>
    </w:p>
    <w:p w14:paraId="2EDCC7CF">
      <w:pPr>
        <w:keepNext w:val="0"/>
        <w:keepLines w:val="0"/>
        <w:pageBreakBefore w:val="0"/>
        <w:widowControl w:val="0"/>
        <w:kinsoku/>
        <w:wordWrap/>
        <w:overflowPunct/>
        <w:topLinePunct w:val="0"/>
        <w:autoSpaceDE/>
        <w:autoSpaceDN/>
        <w:bidi w:val="0"/>
        <w:adjustRightInd/>
        <w:snapToGrid/>
        <w:spacing w:line="480" w:lineRule="exact"/>
        <w:ind w:leftChars="0" w:firstLine="480" w:firstLineChars="200"/>
        <w:jc w:val="both"/>
        <w:textAlignment w:val="auto"/>
        <w:outlineLvl w:val="9"/>
        <w:rPr>
          <w:rFonts w:hint="default" w:ascii="Times New Roman" w:hAnsi="Times New Roman" w:eastAsia="宋体" w:cs="Times New Roman"/>
          <w:iCs/>
          <w:color w:val="auto"/>
          <w:spacing w:val="0"/>
          <w:kern w:val="0"/>
          <w:sz w:val="24"/>
          <w:szCs w:val="24"/>
          <w:highlight w:val="none"/>
          <w:lang w:val="en-US" w:eastAsia="zh-CN" w:bidi="ar-SA"/>
        </w:rPr>
      </w:pPr>
      <w:bookmarkStart w:id="440" w:name="_Toc3856"/>
      <w:bookmarkStart w:id="441" w:name="_Toc2755"/>
      <w:bookmarkStart w:id="442" w:name="_Toc22677"/>
      <w:r>
        <w:rPr>
          <w:rFonts w:hint="default" w:ascii="Times New Roman" w:hAnsi="Times New Roman" w:eastAsia="宋体" w:cs="Times New Roman"/>
          <w:color w:val="auto"/>
          <w:spacing w:val="0"/>
          <w:kern w:val="2"/>
          <w:sz w:val="24"/>
          <w:szCs w:val="24"/>
          <w:highlight w:val="none"/>
          <w:vertAlign w:val="baseline"/>
          <w:lang w:val="en-US" w:eastAsia="zh-CN" w:bidi="ar-SA"/>
        </w:rPr>
        <w:t>根据</w:t>
      </w:r>
      <w:r>
        <w:rPr>
          <w:rFonts w:hint="default" w:ascii="Times New Roman" w:hAnsi="Times New Roman" w:eastAsia="宋体" w:cs="Times New Roman"/>
          <w:color w:val="auto"/>
          <w:spacing w:val="0"/>
          <w:kern w:val="2"/>
          <w:sz w:val="24"/>
          <w:szCs w:val="20"/>
          <w:highlight w:val="none"/>
          <w:lang w:val="en-US" w:eastAsia="zh-CN" w:bidi="ar-SA"/>
        </w:rPr>
        <w:t>《环境影响评价技术导则 大气环境》（HJ2.2-2018）中8.2预测因子要求：</w:t>
      </w:r>
      <w:r>
        <w:rPr>
          <w:rFonts w:hint="default" w:ascii="Times New Roman" w:hAnsi="Times New Roman" w:eastAsia="宋体" w:cs="Times New Roman"/>
          <w:color w:val="auto"/>
          <w:spacing w:val="0"/>
          <w:kern w:val="2"/>
          <w:sz w:val="24"/>
          <w:szCs w:val="24"/>
          <w:highlight w:val="none"/>
          <w:lang w:val="en-US" w:eastAsia="zh-CN" w:bidi="ar-SA"/>
        </w:rPr>
        <w:t>预测因子根据评价因子而定，选取有环境质量标准的评价因子作为预测因子。</w:t>
      </w:r>
      <w:r>
        <w:rPr>
          <w:rFonts w:hint="default" w:ascii="Times New Roman" w:hAnsi="Times New Roman" w:eastAsia="宋体" w:cs="Times New Roman"/>
          <w:color w:val="auto"/>
          <w:spacing w:val="0"/>
          <w:kern w:val="2"/>
          <w:sz w:val="24"/>
          <w:szCs w:val="24"/>
          <w:highlight w:val="none"/>
          <w:vertAlign w:val="baseline"/>
          <w:lang w:val="en-US" w:eastAsia="zh-CN" w:bidi="ar-SA"/>
        </w:rPr>
        <w:t>本项目大气环境影响评价因子为</w:t>
      </w:r>
      <w:r>
        <w:rPr>
          <w:rFonts w:hint="default" w:ascii="Times New Roman" w:hAnsi="Times New Roman" w:eastAsia="宋体" w:cs="Times New Roman"/>
          <w:iCs/>
          <w:color w:val="auto"/>
          <w:spacing w:val="0"/>
          <w:kern w:val="0"/>
          <w:sz w:val="24"/>
          <w:szCs w:val="24"/>
          <w:highlight w:val="none"/>
          <w:lang w:val="en-US" w:eastAsia="zh-CN" w:bidi="ar-SA"/>
        </w:rPr>
        <w:t>PM</w:t>
      </w:r>
      <w:r>
        <w:rPr>
          <w:rFonts w:hint="default" w:ascii="Times New Roman" w:hAnsi="Times New Roman" w:eastAsia="宋体" w:cs="Times New Roman"/>
          <w:iCs/>
          <w:color w:val="auto"/>
          <w:spacing w:val="0"/>
          <w:kern w:val="0"/>
          <w:sz w:val="24"/>
          <w:szCs w:val="24"/>
          <w:highlight w:val="none"/>
          <w:vertAlign w:val="subscript"/>
          <w:lang w:val="en-US" w:eastAsia="zh-CN" w:bidi="ar-SA"/>
        </w:rPr>
        <w:t>10</w:t>
      </w:r>
      <w:r>
        <w:rPr>
          <w:rFonts w:hint="default" w:ascii="Times New Roman" w:hAnsi="Times New Roman" w:eastAsia="宋体" w:cs="Times New Roman"/>
          <w:iCs/>
          <w:color w:val="auto"/>
          <w:spacing w:val="0"/>
          <w:kern w:val="0"/>
          <w:sz w:val="24"/>
          <w:szCs w:val="24"/>
          <w:highlight w:val="none"/>
          <w:lang w:val="en-US" w:eastAsia="zh-CN" w:bidi="ar-SA"/>
        </w:rPr>
        <w:t>、一次PM</w:t>
      </w:r>
      <w:r>
        <w:rPr>
          <w:rFonts w:hint="default" w:ascii="Times New Roman" w:hAnsi="Times New Roman" w:eastAsia="宋体" w:cs="Times New Roman"/>
          <w:iCs/>
          <w:color w:val="auto"/>
          <w:spacing w:val="0"/>
          <w:kern w:val="0"/>
          <w:sz w:val="24"/>
          <w:szCs w:val="24"/>
          <w:highlight w:val="none"/>
          <w:vertAlign w:val="subscript"/>
          <w:lang w:val="en-US" w:eastAsia="zh-CN" w:bidi="ar-SA"/>
        </w:rPr>
        <w:t>2.5</w:t>
      </w:r>
      <w:r>
        <w:rPr>
          <w:rFonts w:hint="default" w:ascii="Times New Roman" w:hAnsi="Times New Roman" w:eastAsia="宋体" w:cs="Times New Roman"/>
          <w:iCs/>
          <w:color w:val="auto"/>
          <w:spacing w:val="0"/>
          <w:kern w:val="0"/>
          <w:sz w:val="24"/>
          <w:szCs w:val="24"/>
          <w:highlight w:val="none"/>
          <w:lang w:val="en-US" w:eastAsia="zh-CN" w:bidi="ar-SA"/>
        </w:rPr>
        <w:t>、SO</w:t>
      </w:r>
      <w:r>
        <w:rPr>
          <w:rFonts w:hint="default" w:ascii="Times New Roman" w:hAnsi="Times New Roman" w:eastAsia="宋体" w:cs="Times New Roman"/>
          <w:iCs/>
          <w:color w:val="auto"/>
          <w:spacing w:val="0"/>
          <w:kern w:val="0"/>
          <w:sz w:val="24"/>
          <w:szCs w:val="24"/>
          <w:highlight w:val="none"/>
          <w:vertAlign w:val="subscript"/>
          <w:lang w:val="en-US" w:eastAsia="zh-CN" w:bidi="ar-SA"/>
        </w:rPr>
        <w:t>2</w:t>
      </w:r>
      <w:r>
        <w:rPr>
          <w:rFonts w:hint="default" w:ascii="Times New Roman" w:hAnsi="Times New Roman" w:eastAsia="宋体" w:cs="Times New Roman"/>
          <w:iCs/>
          <w:color w:val="auto"/>
          <w:spacing w:val="0"/>
          <w:kern w:val="0"/>
          <w:sz w:val="24"/>
          <w:szCs w:val="24"/>
          <w:highlight w:val="none"/>
          <w:lang w:val="en-US" w:eastAsia="zh-CN" w:bidi="ar-SA"/>
        </w:rPr>
        <w:t>、NO</w:t>
      </w:r>
      <w:r>
        <w:rPr>
          <w:rFonts w:hint="default" w:ascii="Times New Roman" w:hAnsi="Times New Roman" w:eastAsia="宋体" w:cs="Times New Roman"/>
          <w:iCs/>
          <w:color w:val="auto"/>
          <w:spacing w:val="0"/>
          <w:kern w:val="0"/>
          <w:sz w:val="24"/>
          <w:szCs w:val="24"/>
          <w:highlight w:val="none"/>
          <w:vertAlign w:val="subscript"/>
          <w:lang w:val="en-US" w:eastAsia="zh-CN" w:bidi="ar-SA"/>
        </w:rPr>
        <w:t>2</w:t>
      </w:r>
      <w:r>
        <w:rPr>
          <w:rFonts w:hint="default" w:ascii="Times New Roman" w:hAnsi="Times New Roman" w:eastAsia="宋体" w:cs="Times New Roman"/>
          <w:iCs/>
          <w:color w:val="auto"/>
          <w:spacing w:val="0"/>
          <w:kern w:val="0"/>
          <w:sz w:val="24"/>
          <w:szCs w:val="24"/>
          <w:highlight w:val="none"/>
          <w:lang w:val="en-US" w:eastAsia="zh-CN" w:bidi="ar-SA"/>
        </w:rPr>
        <w:t>、汞、TSP和NH</w:t>
      </w:r>
      <w:r>
        <w:rPr>
          <w:rFonts w:hint="default" w:ascii="Times New Roman" w:hAnsi="Times New Roman" w:eastAsia="宋体" w:cs="Times New Roman"/>
          <w:iCs/>
          <w:color w:val="auto"/>
          <w:spacing w:val="0"/>
          <w:kern w:val="0"/>
          <w:sz w:val="24"/>
          <w:szCs w:val="24"/>
          <w:highlight w:val="none"/>
          <w:vertAlign w:val="subscript"/>
          <w:lang w:val="en-US" w:eastAsia="zh-CN" w:bidi="ar-SA"/>
        </w:rPr>
        <w:t>3</w:t>
      </w:r>
      <w:r>
        <w:rPr>
          <w:rFonts w:hint="default" w:ascii="Times New Roman" w:hAnsi="Times New Roman" w:eastAsia="宋体" w:cs="Times New Roman"/>
          <w:iCs/>
          <w:color w:val="auto"/>
          <w:spacing w:val="0"/>
          <w:kern w:val="0"/>
          <w:sz w:val="24"/>
          <w:szCs w:val="24"/>
          <w:highlight w:val="none"/>
          <w:lang w:val="en-US" w:eastAsia="zh-CN" w:bidi="ar-SA"/>
        </w:rPr>
        <w:t>，同时</w:t>
      </w:r>
      <w:r>
        <w:rPr>
          <w:rFonts w:hint="default" w:ascii="Times New Roman" w:hAnsi="Times New Roman" w:eastAsia="宋体" w:cs="Times New Roman"/>
          <w:color w:val="auto"/>
          <w:spacing w:val="0"/>
          <w:kern w:val="2"/>
          <w:sz w:val="24"/>
          <w:szCs w:val="24"/>
          <w:highlight w:val="none"/>
          <w:lang w:val="en-US" w:eastAsia="zh-CN" w:bidi="ar-SA"/>
        </w:rPr>
        <w:t>本项目SO</w:t>
      </w:r>
      <w:r>
        <w:rPr>
          <w:rFonts w:hint="default" w:ascii="Times New Roman" w:hAnsi="Times New Roman" w:eastAsia="宋体" w:cs="Times New Roman"/>
          <w:color w:val="auto"/>
          <w:spacing w:val="0"/>
          <w:kern w:val="2"/>
          <w:sz w:val="24"/>
          <w:szCs w:val="24"/>
          <w:highlight w:val="none"/>
          <w:vertAlign w:val="subscript"/>
          <w:lang w:val="en-US" w:eastAsia="zh-CN" w:bidi="ar-SA"/>
        </w:rPr>
        <w:t>2</w:t>
      </w:r>
      <w:r>
        <w:rPr>
          <w:rFonts w:hint="default" w:ascii="Times New Roman" w:hAnsi="Times New Roman" w:eastAsia="宋体" w:cs="Times New Roman"/>
          <w:color w:val="auto"/>
          <w:spacing w:val="0"/>
          <w:kern w:val="2"/>
          <w:sz w:val="24"/>
          <w:szCs w:val="24"/>
          <w:highlight w:val="none"/>
          <w:lang w:val="en-US" w:eastAsia="zh-CN" w:bidi="ar-SA"/>
        </w:rPr>
        <w:t>和NO</w:t>
      </w:r>
      <w:r>
        <w:rPr>
          <w:rFonts w:hint="default" w:ascii="Times New Roman" w:hAnsi="Times New Roman" w:eastAsia="宋体" w:cs="Times New Roman"/>
          <w:color w:val="auto"/>
          <w:spacing w:val="0"/>
          <w:kern w:val="2"/>
          <w:sz w:val="24"/>
          <w:szCs w:val="24"/>
          <w:highlight w:val="none"/>
          <w:vertAlign w:val="subscript"/>
          <w:lang w:val="en-US" w:eastAsia="zh-CN" w:bidi="ar-SA"/>
        </w:rPr>
        <w:t>x</w:t>
      </w:r>
      <w:r>
        <w:rPr>
          <w:rFonts w:hint="default" w:ascii="Times New Roman" w:hAnsi="Times New Roman" w:eastAsia="宋体" w:cs="Times New Roman"/>
          <w:color w:val="auto"/>
          <w:spacing w:val="0"/>
          <w:kern w:val="2"/>
          <w:sz w:val="24"/>
          <w:szCs w:val="24"/>
          <w:highlight w:val="none"/>
          <w:vertAlign w:val="baseline"/>
          <w:lang w:val="en-US" w:eastAsia="zh-CN" w:bidi="ar-SA"/>
        </w:rPr>
        <w:t>核定的年排放量之和小于500t/a，根据</w:t>
      </w:r>
      <w:r>
        <w:rPr>
          <w:rFonts w:hint="default" w:ascii="Times New Roman" w:hAnsi="Times New Roman" w:eastAsia="宋体" w:cs="Times New Roman"/>
          <w:color w:val="auto"/>
          <w:spacing w:val="0"/>
          <w:kern w:val="2"/>
          <w:sz w:val="24"/>
          <w:szCs w:val="20"/>
          <w:highlight w:val="none"/>
          <w:lang w:val="en-US" w:eastAsia="zh-CN" w:bidi="ar-SA"/>
        </w:rPr>
        <w:t>《环境影响评价技术导则 大气环境（HJ2.2-2018）》5.1章节要求，本次</w:t>
      </w:r>
      <w:r>
        <w:rPr>
          <w:rFonts w:hint="default" w:ascii="Times New Roman" w:hAnsi="Times New Roman" w:eastAsia="宋体" w:cs="Times New Roman"/>
          <w:color w:val="auto"/>
          <w:spacing w:val="0"/>
          <w:kern w:val="2"/>
          <w:sz w:val="24"/>
          <w:szCs w:val="24"/>
          <w:highlight w:val="none"/>
          <w:vertAlign w:val="baseline"/>
          <w:lang w:val="en-US" w:eastAsia="zh-CN" w:bidi="ar-SA"/>
        </w:rPr>
        <w:t>评价因子不需要增加二次</w:t>
      </w:r>
      <w:r>
        <w:rPr>
          <w:rFonts w:hint="default" w:ascii="Times New Roman" w:hAnsi="Times New Roman" w:eastAsia="宋体" w:cs="Times New Roman"/>
          <w:color w:val="auto"/>
          <w:spacing w:val="0"/>
          <w:kern w:val="2"/>
          <w:sz w:val="24"/>
          <w:szCs w:val="24"/>
          <w:highlight w:val="none"/>
          <w:lang w:val="en-US" w:eastAsia="zh-CN" w:bidi="ar-SA"/>
        </w:rPr>
        <w:t>PM</w:t>
      </w:r>
      <w:r>
        <w:rPr>
          <w:rFonts w:hint="default" w:ascii="Times New Roman" w:hAnsi="Times New Roman" w:eastAsia="宋体" w:cs="Times New Roman"/>
          <w:color w:val="auto"/>
          <w:spacing w:val="0"/>
          <w:kern w:val="2"/>
          <w:sz w:val="24"/>
          <w:szCs w:val="24"/>
          <w:highlight w:val="none"/>
          <w:vertAlign w:val="subscript"/>
          <w:lang w:val="en-US" w:eastAsia="zh-CN" w:bidi="ar-SA"/>
        </w:rPr>
        <w:t>2.5</w:t>
      </w:r>
      <w:r>
        <w:rPr>
          <w:rFonts w:hint="default" w:ascii="Times New Roman" w:hAnsi="Times New Roman" w:eastAsia="宋体" w:cs="Times New Roman"/>
          <w:color w:val="auto"/>
          <w:spacing w:val="0"/>
          <w:kern w:val="2"/>
          <w:sz w:val="24"/>
          <w:szCs w:val="24"/>
          <w:highlight w:val="none"/>
          <w:vertAlign w:val="baseline"/>
          <w:lang w:val="en-US" w:eastAsia="zh-CN" w:bidi="ar-SA"/>
        </w:rPr>
        <w:t>。因此，本项目大气环境影响预测因子为</w:t>
      </w:r>
      <w:r>
        <w:rPr>
          <w:rFonts w:hint="default" w:ascii="Times New Roman" w:hAnsi="Times New Roman" w:eastAsia="宋体" w:cs="Times New Roman"/>
          <w:iCs/>
          <w:color w:val="auto"/>
          <w:spacing w:val="0"/>
          <w:kern w:val="0"/>
          <w:sz w:val="24"/>
          <w:szCs w:val="24"/>
          <w:highlight w:val="none"/>
          <w:lang w:val="en-US" w:eastAsia="zh-CN" w:bidi="ar-SA"/>
        </w:rPr>
        <w:t>PM</w:t>
      </w:r>
      <w:r>
        <w:rPr>
          <w:rFonts w:hint="default" w:ascii="Times New Roman" w:hAnsi="Times New Roman" w:eastAsia="宋体" w:cs="Times New Roman"/>
          <w:iCs/>
          <w:color w:val="auto"/>
          <w:spacing w:val="0"/>
          <w:kern w:val="0"/>
          <w:sz w:val="24"/>
          <w:szCs w:val="24"/>
          <w:highlight w:val="none"/>
          <w:vertAlign w:val="subscript"/>
          <w:lang w:val="en-US" w:eastAsia="zh-CN" w:bidi="ar-SA"/>
        </w:rPr>
        <w:t>10</w:t>
      </w:r>
      <w:r>
        <w:rPr>
          <w:rFonts w:hint="default" w:ascii="Times New Roman" w:hAnsi="Times New Roman" w:eastAsia="宋体" w:cs="Times New Roman"/>
          <w:iCs/>
          <w:color w:val="auto"/>
          <w:spacing w:val="0"/>
          <w:kern w:val="0"/>
          <w:sz w:val="24"/>
          <w:szCs w:val="24"/>
          <w:highlight w:val="none"/>
          <w:lang w:val="en-US" w:eastAsia="zh-CN" w:bidi="ar-SA"/>
        </w:rPr>
        <w:t>、一次PM</w:t>
      </w:r>
      <w:r>
        <w:rPr>
          <w:rFonts w:hint="default" w:ascii="Times New Roman" w:hAnsi="Times New Roman" w:eastAsia="宋体" w:cs="Times New Roman"/>
          <w:iCs/>
          <w:color w:val="auto"/>
          <w:spacing w:val="0"/>
          <w:kern w:val="0"/>
          <w:sz w:val="24"/>
          <w:szCs w:val="24"/>
          <w:highlight w:val="none"/>
          <w:vertAlign w:val="subscript"/>
          <w:lang w:val="en-US" w:eastAsia="zh-CN" w:bidi="ar-SA"/>
        </w:rPr>
        <w:t>2.5</w:t>
      </w:r>
      <w:r>
        <w:rPr>
          <w:rFonts w:hint="default" w:ascii="Times New Roman" w:hAnsi="Times New Roman" w:eastAsia="宋体" w:cs="Times New Roman"/>
          <w:iCs/>
          <w:color w:val="auto"/>
          <w:spacing w:val="0"/>
          <w:kern w:val="0"/>
          <w:sz w:val="24"/>
          <w:szCs w:val="24"/>
          <w:highlight w:val="none"/>
          <w:lang w:val="en-US" w:eastAsia="zh-CN" w:bidi="ar-SA"/>
        </w:rPr>
        <w:t>、SO</w:t>
      </w:r>
      <w:r>
        <w:rPr>
          <w:rFonts w:hint="default" w:ascii="Times New Roman" w:hAnsi="Times New Roman" w:eastAsia="宋体" w:cs="Times New Roman"/>
          <w:iCs/>
          <w:color w:val="auto"/>
          <w:spacing w:val="0"/>
          <w:kern w:val="0"/>
          <w:sz w:val="24"/>
          <w:szCs w:val="24"/>
          <w:highlight w:val="none"/>
          <w:vertAlign w:val="subscript"/>
          <w:lang w:val="en-US" w:eastAsia="zh-CN" w:bidi="ar-SA"/>
        </w:rPr>
        <w:t>2</w:t>
      </w:r>
      <w:r>
        <w:rPr>
          <w:rFonts w:hint="default" w:ascii="Times New Roman" w:hAnsi="Times New Roman" w:eastAsia="宋体" w:cs="Times New Roman"/>
          <w:iCs/>
          <w:color w:val="auto"/>
          <w:spacing w:val="0"/>
          <w:kern w:val="0"/>
          <w:sz w:val="24"/>
          <w:szCs w:val="24"/>
          <w:highlight w:val="none"/>
          <w:lang w:val="en-US" w:eastAsia="zh-CN" w:bidi="ar-SA"/>
        </w:rPr>
        <w:t>、NO</w:t>
      </w:r>
      <w:r>
        <w:rPr>
          <w:rFonts w:hint="default" w:ascii="Times New Roman" w:hAnsi="Times New Roman" w:eastAsia="宋体" w:cs="Times New Roman"/>
          <w:iCs/>
          <w:color w:val="auto"/>
          <w:spacing w:val="0"/>
          <w:kern w:val="0"/>
          <w:sz w:val="24"/>
          <w:szCs w:val="24"/>
          <w:highlight w:val="none"/>
          <w:vertAlign w:val="subscript"/>
          <w:lang w:val="en-US" w:eastAsia="zh-CN" w:bidi="ar-SA"/>
        </w:rPr>
        <w:t>2</w:t>
      </w:r>
      <w:r>
        <w:rPr>
          <w:rFonts w:hint="default" w:ascii="Times New Roman" w:hAnsi="Times New Roman" w:eastAsia="宋体" w:cs="Times New Roman"/>
          <w:iCs/>
          <w:color w:val="auto"/>
          <w:spacing w:val="0"/>
          <w:kern w:val="0"/>
          <w:sz w:val="24"/>
          <w:szCs w:val="24"/>
          <w:highlight w:val="none"/>
          <w:lang w:val="en-US" w:eastAsia="zh-CN" w:bidi="ar-SA"/>
        </w:rPr>
        <w:t>、汞、TSP和NH</w:t>
      </w:r>
      <w:r>
        <w:rPr>
          <w:rFonts w:hint="default" w:ascii="Times New Roman" w:hAnsi="Times New Roman" w:eastAsia="宋体" w:cs="Times New Roman"/>
          <w:iCs/>
          <w:color w:val="auto"/>
          <w:spacing w:val="0"/>
          <w:kern w:val="0"/>
          <w:sz w:val="24"/>
          <w:szCs w:val="24"/>
          <w:highlight w:val="none"/>
          <w:vertAlign w:val="subscript"/>
          <w:lang w:val="en-US" w:eastAsia="zh-CN" w:bidi="ar-SA"/>
        </w:rPr>
        <w:t>3</w:t>
      </w:r>
      <w:r>
        <w:rPr>
          <w:rFonts w:hint="default" w:ascii="Times New Roman" w:hAnsi="Times New Roman" w:eastAsia="宋体" w:cs="Times New Roman"/>
          <w:iCs/>
          <w:color w:val="auto"/>
          <w:spacing w:val="0"/>
          <w:kern w:val="0"/>
          <w:sz w:val="24"/>
          <w:szCs w:val="24"/>
          <w:highlight w:val="none"/>
          <w:lang w:val="en-US" w:eastAsia="zh-CN" w:bidi="ar-SA"/>
        </w:rPr>
        <w:t>。</w:t>
      </w:r>
    </w:p>
    <w:p w14:paraId="361F0AF1">
      <w:pPr>
        <w:keepNext w:val="0"/>
        <w:keepLines w:val="0"/>
        <w:pageBreakBefore w:val="0"/>
        <w:widowControl w:val="0"/>
        <w:kinsoku/>
        <w:wordWrap/>
        <w:overflowPunct/>
        <w:topLinePunct w:val="0"/>
        <w:autoSpaceDE w:val="0"/>
        <w:autoSpaceDN w:val="0"/>
        <w:bidi w:val="0"/>
        <w:adjustRightInd w:val="0"/>
        <w:snapToGrid/>
        <w:spacing w:line="480" w:lineRule="exact"/>
        <w:ind w:leftChars="0" w:firstLine="480" w:firstLineChars="200"/>
        <w:jc w:val="both"/>
        <w:textAlignment w:val="bottom"/>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w:t>
      </w:r>
      <w:r>
        <w:rPr>
          <w:rFonts w:hint="eastAsia" w:ascii="Times New Roman" w:hAnsi="Times New Roman" w:eastAsia="宋体" w:cs="Times New Roman"/>
          <w:color w:val="auto"/>
          <w:kern w:val="0"/>
          <w:sz w:val="24"/>
          <w:szCs w:val="24"/>
          <w:highlight w:val="none"/>
          <w:lang w:val="en-US" w:eastAsia="zh-CN"/>
        </w:rPr>
        <w:t>3</w:t>
      </w:r>
      <w:r>
        <w:rPr>
          <w:rFonts w:hint="default" w:ascii="Times New Roman" w:hAnsi="Times New Roman" w:eastAsia="宋体" w:cs="Times New Roman"/>
          <w:color w:val="auto"/>
          <w:kern w:val="0"/>
          <w:sz w:val="24"/>
          <w:szCs w:val="24"/>
          <w:highlight w:val="none"/>
        </w:rPr>
        <w:t>）预测范围</w:t>
      </w:r>
    </w:p>
    <w:p w14:paraId="52CBD1BB">
      <w:pPr>
        <w:keepNext w:val="0"/>
        <w:keepLines w:val="0"/>
        <w:pageBreakBefore w:val="0"/>
        <w:widowControl w:val="0"/>
        <w:kinsoku/>
        <w:wordWrap/>
        <w:overflowPunct/>
        <w:topLinePunct w:val="0"/>
        <w:bidi w:val="0"/>
        <w:snapToGrid/>
        <w:spacing w:line="480" w:lineRule="exact"/>
        <w:ind w:firstLine="480" w:firstLineChars="200"/>
        <w:jc w:val="both"/>
        <w:rPr>
          <w:rFonts w:hint="default" w:ascii="Times New Roman" w:hAnsi="Times New Roman" w:eastAsia="宋体" w:cs="Times New Roman"/>
          <w:color w:val="auto"/>
          <w:kern w:val="0"/>
          <w:sz w:val="24"/>
          <w:szCs w:val="24"/>
          <w:highlight w:val="none"/>
          <w:lang w:val="en-US" w:eastAsia="zh-CN" w:bidi="ar-SA"/>
        </w:rPr>
      </w:pPr>
      <w:bookmarkStart w:id="443" w:name="_Toc293291094"/>
      <w:bookmarkStart w:id="444" w:name="_Toc302376258"/>
      <w:r>
        <w:rPr>
          <w:rFonts w:hint="default" w:ascii="Times New Roman" w:hAnsi="Times New Roman" w:eastAsia="宋体" w:cs="Times New Roman"/>
          <w:color w:val="auto"/>
          <w:spacing w:val="0"/>
          <w:kern w:val="2"/>
          <w:sz w:val="24"/>
          <w:szCs w:val="24"/>
          <w:highlight w:val="none"/>
          <w:vertAlign w:val="baseline"/>
          <w:lang w:val="en-US" w:eastAsia="zh-CN" w:bidi="ar-SA"/>
        </w:rPr>
        <w:t>根据</w:t>
      </w:r>
      <w:r>
        <w:rPr>
          <w:rFonts w:hint="default" w:ascii="Times New Roman" w:hAnsi="Times New Roman" w:eastAsia="宋体" w:cs="Times New Roman"/>
          <w:color w:val="auto"/>
          <w:spacing w:val="0"/>
          <w:kern w:val="2"/>
          <w:sz w:val="24"/>
          <w:szCs w:val="22"/>
          <w:highlight w:val="none"/>
          <w:lang w:val="en-US" w:eastAsia="zh-CN" w:bidi="ar-SA"/>
        </w:rPr>
        <w:t>《环境影响评价技术导则 大气环境》（HJ2.2-2018）中“8.3预测范围要求：</w:t>
      </w:r>
      <w:r>
        <w:rPr>
          <w:rFonts w:hint="default" w:ascii="Times New Roman" w:hAnsi="Times New Roman" w:eastAsia="宋体" w:cs="Times New Roman"/>
          <w:color w:val="auto"/>
          <w:kern w:val="0"/>
          <w:sz w:val="24"/>
          <w:szCs w:val="24"/>
          <w:highlight w:val="none"/>
          <w:lang w:val="en-US" w:eastAsia="zh-CN" w:bidi="ar-SA"/>
        </w:rPr>
        <w:t>预测范围应覆盖评价范围，并覆盖各污染物短期浓度贡献值占标率大于10%的区域。</w:t>
      </w:r>
      <w:r>
        <w:rPr>
          <w:rFonts w:hint="default" w:ascii="Times New Roman" w:hAnsi="Times New Roman" w:eastAsia="宋体" w:cs="Times New Roman"/>
          <w:color w:val="auto"/>
          <w:kern w:val="2"/>
          <w:sz w:val="24"/>
          <w:szCs w:val="32"/>
          <w:highlight w:val="none"/>
          <w:lang w:val="en-US" w:eastAsia="zh-CN" w:bidi="ar"/>
        </w:rPr>
        <w:t>本次预测范围为</w:t>
      </w:r>
      <w:r>
        <w:rPr>
          <w:rFonts w:hint="default" w:ascii="Times New Roman" w:hAnsi="Times New Roman" w:eastAsia="宋体" w:cs="Times New Roman"/>
          <w:color w:val="auto"/>
          <w:kern w:val="2"/>
          <w:sz w:val="24"/>
          <w:szCs w:val="24"/>
          <w:highlight w:val="none"/>
          <w:lang w:val="en-US" w:eastAsia="zh-CN" w:bidi="ar-SA"/>
        </w:rPr>
        <w:t>以厂址为中心</w:t>
      </w:r>
      <w:r>
        <w:rPr>
          <w:rFonts w:hint="eastAsia" w:ascii="Times New Roman" w:hAnsi="Times New Roman" w:eastAsia="宋体" w:cs="Times New Roman"/>
          <w:color w:val="auto"/>
          <w:kern w:val="2"/>
          <w:sz w:val="24"/>
          <w:szCs w:val="24"/>
          <w:highlight w:val="none"/>
          <w:lang w:val="en-US" w:eastAsia="zh-CN" w:bidi="ar-SA"/>
        </w:rPr>
        <w:t>区域</w:t>
      </w:r>
      <w:r>
        <w:rPr>
          <w:rFonts w:hint="default" w:ascii="Times New Roman" w:hAnsi="Times New Roman" w:eastAsia="宋体" w:cs="Times New Roman"/>
          <w:color w:val="auto"/>
          <w:kern w:val="2"/>
          <w:sz w:val="24"/>
          <w:szCs w:val="24"/>
          <w:highlight w:val="none"/>
          <w:lang w:val="en-US" w:eastAsia="zh-CN" w:bidi="ar-SA"/>
        </w:rPr>
        <w:t>，边长为5km，总面积5×5km</w:t>
      </w:r>
      <w:r>
        <w:rPr>
          <w:rFonts w:hint="default" w:ascii="Times New Roman" w:hAnsi="Times New Roman" w:eastAsia="宋体" w:cs="Times New Roman"/>
          <w:color w:val="auto"/>
          <w:kern w:val="2"/>
          <w:sz w:val="24"/>
          <w:szCs w:val="24"/>
          <w:highlight w:val="none"/>
          <w:vertAlign w:val="superscript"/>
          <w:lang w:val="en-US" w:eastAsia="zh-CN" w:bidi="ar-SA"/>
        </w:rPr>
        <w:t>2</w:t>
      </w:r>
      <w:r>
        <w:rPr>
          <w:rFonts w:hint="default" w:ascii="Times New Roman" w:hAnsi="Times New Roman" w:eastAsia="宋体" w:cs="Times New Roman"/>
          <w:color w:val="auto"/>
          <w:kern w:val="2"/>
          <w:sz w:val="24"/>
          <w:szCs w:val="24"/>
          <w:highlight w:val="none"/>
          <w:lang w:val="en-US" w:eastAsia="zh-CN" w:bidi="ar-SA"/>
        </w:rPr>
        <w:t>的矩形区域</w:t>
      </w:r>
      <w:r>
        <w:rPr>
          <w:rFonts w:hint="default" w:ascii="Times New Roman" w:hAnsi="Times New Roman" w:eastAsia="宋体" w:cs="Times New Roman"/>
          <w:color w:val="auto"/>
          <w:kern w:val="2"/>
          <w:sz w:val="24"/>
          <w:szCs w:val="32"/>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SA"/>
        </w:rPr>
        <w:t>评价范围内包含环境空气功能区一类区的，预测范围应覆盖项目对一类区最大环境影响，预测范围以项目厂址为中心，东西向为X坐标轴、南北向为Y坐标轴</w:t>
      </w:r>
      <w:r>
        <w:rPr>
          <w:rFonts w:hint="default" w:ascii="Times New Roman" w:hAnsi="Times New Roman" w:eastAsia="宋体" w:cs="Times New Roman"/>
          <w:color w:val="auto"/>
          <w:spacing w:val="0"/>
          <w:kern w:val="2"/>
          <w:sz w:val="24"/>
          <w:szCs w:val="22"/>
          <w:highlight w:val="none"/>
          <w:lang w:val="en-US" w:eastAsia="zh-CN" w:bidi="ar-SA"/>
        </w:rPr>
        <w:t>”</w:t>
      </w:r>
      <w:r>
        <w:rPr>
          <w:rFonts w:hint="default" w:ascii="Times New Roman" w:hAnsi="Times New Roman" w:eastAsia="宋体" w:cs="Times New Roman"/>
          <w:color w:val="auto"/>
          <w:kern w:val="0"/>
          <w:sz w:val="24"/>
          <w:szCs w:val="24"/>
          <w:highlight w:val="none"/>
          <w:lang w:val="en-US" w:eastAsia="zh-CN" w:bidi="ar-SA"/>
        </w:rPr>
        <w:t>。本项目大气环境影响预测范围以项目厂址为中心，东西向为X坐标轴、南北向为Y坐标轴，评价范围内不包含环境空气功能区一类区。</w:t>
      </w:r>
    </w:p>
    <w:p w14:paraId="3903D905">
      <w:pPr>
        <w:keepNext w:val="0"/>
        <w:keepLines w:val="0"/>
        <w:pageBreakBefore w:val="0"/>
        <w:widowControl w:val="0"/>
        <w:kinsoku/>
        <w:wordWrap/>
        <w:overflowPunct/>
        <w:topLinePunct w:val="0"/>
        <w:autoSpaceDE w:val="0"/>
        <w:autoSpaceDN w:val="0"/>
        <w:bidi w:val="0"/>
        <w:adjustRightInd w:val="0"/>
        <w:snapToGrid/>
        <w:spacing w:line="480" w:lineRule="exact"/>
        <w:ind w:leftChars="0" w:firstLine="480" w:firstLineChars="200"/>
        <w:jc w:val="both"/>
        <w:textAlignment w:val="bottom"/>
        <w:outlineLvl w:val="9"/>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lang w:val="en-US" w:eastAsia="zh-CN"/>
        </w:rPr>
        <w:t>4</w:t>
      </w:r>
      <w:r>
        <w:rPr>
          <w:rFonts w:hint="default" w:ascii="Times New Roman" w:hAnsi="Times New Roman" w:eastAsia="宋体" w:cs="Times New Roman"/>
          <w:color w:val="auto"/>
          <w:kern w:val="0"/>
          <w:sz w:val="24"/>
          <w:szCs w:val="24"/>
          <w:highlight w:val="none"/>
          <w:lang w:eastAsia="zh-CN"/>
        </w:rPr>
        <w:t>）预测周期</w:t>
      </w:r>
    </w:p>
    <w:p w14:paraId="5C015EFD">
      <w:pPr>
        <w:autoSpaceDE w:val="0"/>
        <w:autoSpaceDN w:val="0"/>
        <w:adjustRightInd w:val="0"/>
        <w:spacing w:line="480" w:lineRule="exact"/>
        <w:ind w:firstLine="480" w:firstLineChars="200"/>
        <w:textAlignment w:val="bottom"/>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eastAsia="zh-CN"/>
        </w:rPr>
        <w:t>本项目预测周期选取评价基准年</w:t>
      </w:r>
      <w:r>
        <w:rPr>
          <w:rFonts w:hint="default" w:ascii="Times New Roman" w:hAnsi="Times New Roman" w:eastAsia="宋体" w:cs="Times New Roman"/>
          <w:color w:val="auto"/>
          <w:sz w:val="24"/>
          <w:szCs w:val="24"/>
          <w:highlight w:val="none"/>
          <w:lang w:val="en-US" w:eastAsia="zh-CN"/>
        </w:rPr>
        <w:t>202</w:t>
      </w:r>
      <w:r>
        <w:rPr>
          <w:rFonts w:hint="eastAsia"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lang w:val="en-US" w:eastAsia="zh-CN"/>
        </w:rPr>
        <w:t>年作为预测周期，</w:t>
      </w:r>
      <w:r>
        <w:rPr>
          <w:rFonts w:hint="eastAsia" w:ascii="Times New Roman" w:hAnsi="Times New Roman" w:eastAsia="宋体" w:cs="Times New Roman"/>
          <w:color w:val="auto"/>
          <w:sz w:val="24"/>
          <w:szCs w:val="24"/>
          <w:highlight w:val="none"/>
          <w:lang w:val="en-US" w:eastAsia="zh-CN"/>
        </w:rPr>
        <w:t>本项目建设1台58MW锅炉作为调峰热源使用，年运行小时数1083小时。</w:t>
      </w:r>
      <w:r>
        <w:rPr>
          <w:rFonts w:hint="default" w:ascii="Times New Roman" w:hAnsi="Times New Roman" w:eastAsia="宋体" w:cs="Times New Roman"/>
          <w:color w:val="auto"/>
          <w:sz w:val="24"/>
          <w:szCs w:val="24"/>
          <w:highlight w:val="none"/>
          <w:lang w:val="en-US" w:eastAsia="zh-CN"/>
        </w:rPr>
        <w:t>预测时段取采暖期。</w:t>
      </w:r>
    </w:p>
    <w:p w14:paraId="16D3CED0">
      <w:pPr>
        <w:keepNext w:val="0"/>
        <w:keepLines w:val="0"/>
        <w:pageBreakBefore w:val="0"/>
        <w:widowControl w:val="0"/>
        <w:numPr>
          <w:ilvl w:val="0"/>
          <w:numId w:val="0"/>
        </w:numPr>
        <w:kinsoku/>
        <w:wordWrap/>
        <w:overflowPunct/>
        <w:topLinePunct w:val="0"/>
        <w:autoSpaceDE w:val="0"/>
        <w:autoSpaceDN w:val="0"/>
        <w:bidi w:val="0"/>
        <w:adjustRightInd w:val="0"/>
        <w:snapToGrid/>
        <w:spacing w:line="480" w:lineRule="exact"/>
        <w:ind w:leftChars="200"/>
        <w:textAlignment w:val="bottom"/>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lang w:val="en-US" w:eastAsia="zh-CN"/>
        </w:rPr>
        <w:t>5</w:t>
      </w:r>
      <w:r>
        <w:rPr>
          <w:rFonts w:hint="default" w:ascii="Times New Roman" w:hAnsi="Times New Roman" w:eastAsia="宋体" w:cs="Times New Roman"/>
          <w:color w:val="auto"/>
          <w:kern w:val="0"/>
          <w:sz w:val="24"/>
          <w:szCs w:val="24"/>
          <w:highlight w:val="none"/>
          <w:lang w:eastAsia="zh-CN"/>
        </w:rPr>
        <w:t>）预测模型</w:t>
      </w:r>
    </w:p>
    <w:p w14:paraId="33E7BDE1">
      <w:pPr>
        <w:keepNext w:val="0"/>
        <w:keepLines w:val="0"/>
        <w:pageBreakBefore w:val="0"/>
        <w:widowControl w:val="0"/>
        <w:kinsoku/>
        <w:wordWrap/>
        <w:overflowPunct/>
        <w:topLinePunct w:val="0"/>
        <w:bidi w:val="0"/>
        <w:snapToGrid/>
        <w:spacing w:line="480" w:lineRule="exac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本次</w:t>
      </w:r>
      <w:r>
        <w:rPr>
          <w:rFonts w:hint="default" w:ascii="Times New Roman" w:hAnsi="Times New Roman" w:eastAsia="宋体" w:cs="Times New Roman"/>
          <w:color w:val="auto"/>
          <w:sz w:val="24"/>
          <w:highlight w:val="none"/>
          <w:lang w:eastAsia="zh-CN"/>
        </w:rPr>
        <w:t>环境空气</w:t>
      </w:r>
      <w:r>
        <w:rPr>
          <w:rFonts w:hint="default" w:ascii="Times New Roman" w:hAnsi="Times New Roman" w:eastAsia="宋体" w:cs="Times New Roman"/>
          <w:color w:val="auto"/>
          <w:sz w:val="24"/>
          <w:highlight w:val="none"/>
        </w:rPr>
        <w:t>环境影响预测</w:t>
      </w:r>
      <w:r>
        <w:rPr>
          <w:rFonts w:hint="default" w:ascii="Times New Roman" w:hAnsi="Times New Roman" w:eastAsia="宋体" w:cs="Times New Roman"/>
          <w:color w:val="auto"/>
          <w:sz w:val="24"/>
          <w:highlight w:val="none"/>
          <w:lang w:eastAsia="zh-CN"/>
        </w:rPr>
        <w:t>模型</w:t>
      </w:r>
      <w:r>
        <w:rPr>
          <w:rFonts w:hint="default" w:ascii="Times New Roman" w:hAnsi="Times New Roman" w:eastAsia="宋体" w:cs="Times New Roman"/>
          <w:color w:val="auto"/>
          <w:sz w:val="24"/>
          <w:highlight w:val="none"/>
        </w:rPr>
        <w:t>采用《环境影响评价技术导则 大气环境</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（HJ2.2-20</w:t>
      </w:r>
      <w:r>
        <w:rPr>
          <w:rFonts w:hint="default"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rPr>
        <w:t>8）附录A中推荐的AERMOD模式系统进行预测。</w:t>
      </w:r>
    </w:p>
    <w:p w14:paraId="0328FB46">
      <w:pPr>
        <w:keepNext w:val="0"/>
        <w:keepLines w:val="0"/>
        <w:pageBreakBefore w:val="0"/>
        <w:widowControl w:val="0"/>
        <w:kinsoku/>
        <w:wordWrap/>
        <w:overflowPunct/>
        <w:topLinePunct w:val="0"/>
        <w:bidi w:val="0"/>
        <w:snapToGrid/>
        <w:spacing w:line="480" w:lineRule="exac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AERMOD是一个稳态烟羽扩散模式，可基于大气边界层数据特征模拟点源、面源、体源等排放出的污染物在短期（小时平均、日平均）、长期</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年平均）的浓度分布，适用于农村或城市地区、简单或复杂地形。模式使用每小时连续预处理气象数据模拟大于等于1小时平均时间的浓度分布，适用于评价范围小于等于50km的评价项目。AERMOD模式系统包括AERMOD</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大气扩散模型）、AERMET(气象数据预处理器）和AERMAP（地形数据预处理器）。</w:t>
      </w:r>
    </w:p>
    <w:p w14:paraId="5A15233B">
      <w:pPr>
        <w:keepNext w:val="0"/>
        <w:keepLines w:val="0"/>
        <w:pageBreakBefore w:val="0"/>
        <w:widowControl w:val="0"/>
        <w:kinsoku/>
        <w:wordWrap/>
        <w:overflowPunct/>
        <w:topLinePunct w:val="0"/>
        <w:bidi w:val="0"/>
        <w:snapToGrid/>
        <w:spacing w:line="480" w:lineRule="exac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①地形预处理-AERMAP</w:t>
      </w:r>
    </w:p>
    <w:p w14:paraId="550D952F">
      <w:pPr>
        <w:keepNext w:val="0"/>
        <w:keepLines w:val="0"/>
        <w:pageBreakBefore w:val="0"/>
        <w:widowControl w:val="0"/>
        <w:kinsoku/>
        <w:wordWrap/>
        <w:overflowPunct/>
        <w:topLinePunct w:val="0"/>
        <w:bidi w:val="0"/>
        <w:snapToGrid/>
        <w:spacing w:line="480" w:lineRule="exact"/>
        <w:ind w:left="-26"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本项目厂址</w:t>
      </w:r>
      <w:r>
        <w:rPr>
          <w:rFonts w:hint="default" w:ascii="Times New Roman" w:hAnsi="Times New Roman" w:eastAsia="宋体" w:cs="Times New Roman"/>
          <w:color w:val="auto"/>
          <w:sz w:val="24"/>
          <w:highlight w:val="none"/>
        </w:rPr>
        <w:t>平均海拔高度</w:t>
      </w:r>
      <w:r>
        <w:rPr>
          <w:rFonts w:hint="eastAsia" w:ascii="Times New Roman" w:hAnsi="Times New Roman" w:eastAsia="宋体" w:cs="Times New Roman"/>
          <w:color w:val="auto"/>
          <w:sz w:val="24"/>
          <w:highlight w:val="none"/>
          <w:lang w:val="en-US" w:eastAsia="zh-CN"/>
        </w:rPr>
        <w:t>238.07</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szCs w:val="24"/>
          <w:highlight w:val="none"/>
          <w:lang w:eastAsia="zh-CN"/>
        </w:rPr>
        <w:t>厂址地形高程情况见图</w:t>
      </w:r>
      <w:r>
        <w:rPr>
          <w:rFonts w:hint="default" w:ascii="Times New Roman" w:hAnsi="Times New Roman" w:eastAsia="宋体" w:cs="Times New Roman"/>
          <w:color w:val="auto"/>
          <w:sz w:val="24"/>
          <w:szCs w:val="24"/>
          <w:highlight w:val="none"/>
          <w:lang w:val="en-US" w:eastAsia="zh-CN"/>
        </w:rPr>
        <w:t>6</w:t>
      </w:r>
      <w:r>
        <w:rPr>
          <w:rFonts w:hint="eastAsia" w:ascii="Times New Roman" w:hAnsi="Times New Roman" w:eastAsia="宋体" w:cs="Times New Roman"/>
          <w:color w:val="auto"/>
          <w:sz w:val="24"/>
          <w:szCs w:val="24"/>
          <w:highlight w:val="none"/>
          <w:lang w:val="en-US" w:eastAsia="zh-CN"/>
        </w:rPr>
        <w:t>.2-1</w:t>
      </w:r>
      <w:r>
        <w:rPr>
          <w:rFonts w:hint="default" w:ascii="Times New Roman" w:hAnsi="Times New Roman" w:eastAsia="宋体" w:cs="Times New Roman"/>
          <w:color w:val="auto"/>
          <w:sz w:val="24"/>
          <w:szCs w:val="24"/>
          <w:highlight w:val="none"/>
          <w:lang w:val="en-US" w:eastAsia="zh-CN"/>
        </w:rPr>
        <w:t>。</w:t>
      </w:r>
    </w:p>
    <w:p w14:paraId="353506B8">
      <w:pPr>
        <w:ind w:left="0" w:leftChars="0" w:firstLine="0" w:firstLineChars="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1"/>
          <w:highlight w:val="none"/>
        </w:rPr>
        <mc:AlternateContent>
          <mc:Choice Requires="wps">
            <w:drawing>
              <wp:anchor distT="0" distB="0" distL="114300" distR="114300" simplePos="0" relativeHeight="251672576" behindDoc="0" locked="0" layoutInCell="1" allowOverlap="1">
                <wp:simplePos x="0" y="0"/>
                <wp:positionH relativeFrom="column">
                  <wp:posOffset>2829560</wp:posOffset>
                </wp:positionH>
                <wp:positionV relativeFrom="paragraph">
                  <wp:posOffset>1790700</wp:posOffset>
                </wp:positionV>
                <wp:extent cx="514350" cy="354330"/>
                <wp:effectExtent l="0" t="0" r="0" b="0"/>
                <wp:wrapNone/>
                <wp:docPr id="120" name="文本框 120"/>
                <wp:cNvGraphicFramePr/>
                <a:graphic xmlns:a="http://schemas.openxmlformats.org/drawingml/2006/main">
                  <a:graphicData uri="http://schemas.microsoft.com/office/word/2010/wordprocessingShape">
                    <wps:wsp>
                      <wps:cNvSpPr txBox="1"/>
                      <wps:spPr>
                        <a:xfrm>
                          <a:off x="3324225" y="2696210"/>
                          <a:ext cx="514350" cy="354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A7B209E">
                            <w:pPr>
                              <w:ind w:left="0" w:leftChars="0" w:firstLine="0" w:firstLineChars="0"/>
                              <w:rPr>
                                <w:rFonts w:hint="eastAsia" w:eastAsia="宋体"/>
                                <w:b/>
                                <w:bCs/>
                                <w:lang w:val="en-US" w:eastAsia="zh-CN"/>
                              </w:rPr>
                            </w:pPr>
                            <w:r>
                              <w:rPr>
                                <w:rFonts w:hint="eastAsia" w:asciiTheme="minorHAnsi" w:eastAsiaTheme="minorEastAsia"/>
                                <w:b/>
                                <w:bCs/>
                                <w:lang w:val="en-US" w:eastAsia="zh-CN"/>
                              </w:rPr>
                              <w:t>厂址</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2.8pt;margin-top:141pt;height:27.9pt;width:40.5pt;z-index:251672576;mso-width-relative:page;mso-height-relative:page;" filled="f" stroked="f" coordsize="21600,21600" o:gfxdata="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NZB/uzcAAAACwEAAA8A&#10;AAAAAAAAAQAgAAAAIgAAAGRycy9kb3ducmV2LnhtbFBLAQIUABQAAAAIAIdO4kDlItnQTAIAAIME&#10;AAAOAAAAAAAAAAEAIAAAACsBAABkcnMvZTJvRG9jLnhtbFBLBQYAAAAABgAGAFkBAADpBQAAAAA=&#10;">
                <v:fill on="f" focussize="0,0"/>
                <v:stroke on="f" weight="0.5pt"/>
                <v:imagedata o:title=""/>
                <o:lock v:ext="edit" aspectratio="f"/>
                <v:textbox>
                  <w:txbxContent>
                    <w:p w14:paraId="3A7B209E">
                      <w:pPr>
                        <w:ind w:left="0" w:leftChars="0" w:firstLine="0" w:firstLineChars="0"/>
                        <w:rPr>
                          <w:rFonts w:hint="eastAsia" w:eastAsia="宋体"/>
                          <w:b/>
                          <w:bCs/>
                          <w:lang w:val="en-US" w:eastAsia="zh-CN"/>
                        </w:rPr>
                      </w:pPr>
                      <w:r>
                        <w:rPr>
                          <w:rFonts w:hint="eastAsia" w:asciiTheme="minorHAnsi" w:eastAsiaTheme="minorEastAsia"/>
                          <w:b/>
                          <w:bCs/>
                          <w:lang w:val="en-US" w:eastAsia="zh-CN"/>
                        </w:rPr>
                        <w:t>厂址</w:t>
                      </w:r>
                    </w:p>
                  </w:txbxContent>
                </v:textbox>
              </v:shape>
            </w:pict>
          </mc:Fallback>
        </mc:AlternateContent>
      </w:r>
      <w:r>
        <w:rPr>
          <w:rFonts w:hint="default" w:ascii="Times New Roman" w:hAnsi="Times New Roman" w:eastAsia="宋体" w:cs="Times New Roman"/>
          <w:color w:val="auto"/>
          <w:sz w:val="21"/>
          <w:highlight w:val="none"/>
        </w:rPr>
        <mc:AlternateContent>
          <mc:Choice Requires="wps">
            <w:drawing>
              <wp:anchor distT="0" distB="0" distL="114300" distR="114300" simplePos="0" relativeHeight="251671552" behindDoc="0" locked="0" layoutInCell="1" allowOverlap="1">
                <wp:simplePos x="0" y="0"/>
                <wp:positionH relativeFrom="column">
                  <wp:posOffset>2669540</wp:posOffset>
                </wp:positionH>
                <wp:positionV relativeFrom="paragraph">
                  <wp:posOffset>1791970</wp:posOffset>
                </wp:positionV>
                <wp:extent cx="83820" cy="83820"/>
                <wp:effectExtent l="12700" t="12700" r="17780" b="17780"/>
                <wp:wrapNone/>
                <wp:docPr id="119" name="等腰三角形 119"/>
                <wp:cNvGraphicFramePr/>
                <a:graphic xmlns:a="http://schemas.openxmlformats.org/drawingml/2006/main">
                  <a:graphicData uri="http://schemas.microsoft.com/office/word/2010/wordprocessingShape">
                    <wps:wsp>
                      <wps:cNvSpPr/>
                      <wps:spPr>
                        <a:xfrm>
                          <a:off x="3245485" y="2769235"/>
                          <a:ext cx="83820" cy="83820"/>
                        </a:xfrm>
                        <a:prstGeom prst="triangle">
                          <a:avLst/>
                        </a:prstGeom>
                        <a:solidFill>
                          <a:schemeClr val="tx1"/>
                        </a:solidFill>
                        <a:ln w="25400" cap="flat" cmpd="sng" algn="ctr">
                          <a:solidFill>
                            <a:srgbClr val="4F81BD">
                              <a:shade val="50000"/>
                            </a:srgbClr>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210.2pt;margin-top:141.1pt;height:6.6pt;width:6.6pt;z-index:251671552;v-text-anchor:middle;mso-width-relative:page;mso-height-relative:page;" fillcolor="#000000 [3213]" filled="t" stroked="t" coordsize="21600,21600" o:gfxdata="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AnmLZ02AAAAAsBAAAPAAAAAAAAAAEAIAAAACIAAABkcnMvZG93bnJldi54bWxQSwECFAAUAAAA&#10;CACHTuJALFxJP5kCAAAmBQAADgAAAAAAAAABACAAAAAnAQAAZHJzL2Uyb0RvYy54bWxQSwUGAAAA&#10;AAYABgBZAQAAMgYAAAAA&#10;" adj="10800">
                <v:fill on="t" focussize="0,0"/>
                <v:stroke weight="2pt" color="#385D8A [3204]" joinstyle="round"/>
                <v:imagedata o:title=""/>
                <o:lock v:ext="edit" aspectratio="f"/>
              </v:shape>
            </w:pict>
          </mc:Fallback>
        </mc:AlternateContent>
      </w:r>
      <w:r>
        <w:rPr>
          <w:highlight w:val="none"/>
        </w:rPr>
        <w:drawing>
          <wp:inline distT="0" distB="0" distL="114300" distR="114300">
            <wp:extent cx="5474335" cy="3999230"/>
            <wp:effectExtent l="0" t="0" r="12065" b="1270"/>
            <wp:docPr id="75"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48"/>
                    <pic:cNvPicPr>
                      <a:picLocks noChangeAspect="1"/>
                    </pic:cNvPicPr>
                  </pic:nvPicPr>
                  <pic:blipFill>
                    <a:blip r:embed="rId96"/>
                    <a:stretch>
                      <a:fillRect/>
                    </a:stretch>
                  </pic:blipFill>
                  <pic:spPr>
                    <a:xfrm>
                      <a:off x="0" y="0"/>
                      <a:ext cx="5474335" cy="3999230"/>
                    </a:xfrm>
                    <a:prstGeom prst="rect">
                      <a:avLst/>
                    </a:prstGeom>
                    <a:noFill/>
                    <a:ln>
                      <a:noFill/>
                    </a:ln>
                  </pic:spPr>
                </pic:pic>
              </a:graphicData>
            </a:graphic>
          </wp:inline>
        </w:drawing>
      </w:r>
    </w:p>
    <w:p w14:paraId="210EB11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eastAsia="zh-CN"/>
        </w:rPr>
        <w:t>图</w:t>
      </w:r>
      <w:r>
        <w:rPr>
          <w:rFonts w:hint="default" w:ascii="Times New Roman" w:hAnsi="Times New Roman" w:eastAsia="宋体" w:cs="Times New Roman"/>
          <w:color w:val="auto"/>
          <w:sz w:val="24"/>
          <w:szCs w:val="24"/>
          <w:highlight w:val="none"/>
          <w:lang w:val="en-US" w:eastAsia="zh-CN"/>
        </w:rPr>
        <w:t>6</w:t>
      </w:r>
      <w:r>
        <w:rPr>
          <w:rFonts w:hint="eastAsia"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 xml:space="preserve">  本项目拟建厂址所在区域地形高程图</w:t>
      </w:r>
    </w:p>
    <w:p w14:paraId="13862006">
      <w:pPr>
        <w:spacing w:line="480" w:lineRule="exac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②气象预处理-AERMET</w:t>
      </w:r>
    </w:p>
    <w:p w14:paraId="36C7EB6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地面气象资料来源于</w:t>
      </w:r>
      <w:r>
        <w:rPr>
          <w:rFonts w:hint="eastAsia" w:ascii="Times New Roman" w:hAnsi="Times New Roman" w:eastAsia="宋体" w:cs="Times New Roman"/>
          <w:color w:val="auto"/>
          <w:sz w:val="24"/>
          <w:highlight w:val="none"/>
          <w:lang w:val="en-US" w:eastAsia="zh-CN"/>
        </w:rPr>
        <w:t>佳木斯</w:t>
      </w:r>
      <w:r>
        <w:rPr>
          <w:rFonts w:hint="default" w:ascii="Times New Roman" w:hAnsi="Times New Roman" w:eastAsia="宋体" w:cs="Times New Roman"/>
          <w:color w:val="auto"/>
          <w:sz w:val="24"/>
          <w:highlight w:val="none"/>
        </w:rPr>
        <w:t>市气象站，本评价预测地面气象资料输入</w:t>
      </w:r>
      <w:r>
        <w:rPr>
          <w:rFonts w:hint="eastAsia" w:ascii="Times New Roman" w:hAnsi="Times New Roman" w:eastAsia="宋体" w:cs="Times New Roman"/>
          <w:color w:val="auto"/>
          <w:sz w:val="24"/>
          <w:highlight w:val="none"/>
          <w:lang w:val="en-US" w:eastAsia="zh-CN"/>
        </w:rPr>
        <w:t>佳木斯</w:t>
      </w:r>
      <w:r>
        <w:rPr>
          <w:rFonts w:hint="default" w:ascii="Times New Roman" w:hAnsi="Times New Roman" w:eastAsia="宋体" w:cs="Times New Roman"/>
          <w:color w:val="auto"/>
          <w:sz w:val="24"/>
          <w:highlight w:val="none"/>
        </w:rPr>
        <w:t>气象站202</w:t>
      </w:r>
      <w:r>
        <w:rPr>
          <w:rFonts w:hint="eastAsia" w:ascii="Times New Roman" w:hAnsi="Times New Roman" w:eastAsia="宋体" w:cs="Times New Roman"/>
          <w:color w:val="auto"/>
          <w:sz w:val="24"/>
          <w:highlight w:val="none"/>
          <w:lang w:val="en-US" w:eastAsia="zh-CN"/>
        </w:rPr>
        <w:t>4</w:t>
      </w:r>
      <w:r>
        <w:rPr>
          <w:rFonts w:hint="default" w:ascii="Times New Roman" w:hAnsi="Times New Roman" w:eastAsia="宋体" w:cs="Times New Roman"/>
          <w:color w:val="auto"/>
          <w:sz w:val="24"/>
          <w:highlight w:val="none"/>
        </w:rPr>
        <w:t>年1月1日至202</w:t>
      </w:r>
      <w:r>
        <w:rPr>
          <w:rFonts w:hint="eastAsia" w:ascii="Times New Roman" w:hAnsi="Times New Roman" w:eastAsia="宋体" w:cs="Times New Roman"/>
          <w:color w:val="auto"/>
          <w:sz w:val="24"/>
          <w:highlight w:val="none"/>
          <w:lang w:val="en-US" w:eastAsia="zh-CN"/>
        </w:rPr>
        <w:t>4</w:t>
      </w:r>
      <w:r>
        <w:rPr>
          <w:rFonts w:hint="default" w:ascii="Times New Roman" w:hAnsi="Times New Roman" w:eastAsia="宋体" w:cs="Times New Roman"/>
          <w:color w:val="auto"/>
          <w:sz w:val="24"/>
          <w:highlight w:val="none"/>
        </w:rPr>
        <w:t>年12月31日全年地面逐时气象资料，其中包括温度、风速、风向、总云量、低云量，按AERMET参数格式生成地面逐时气象输入文件。</w:t>
      </w:r>
      <w:r>
        <w:rPr>
          <w:rFonts w:hint="eastAsia" w:ascii="Times New Roman" w:hAnsi="Times New Roman" w:eastAsia="宋体" w:cs="Times New Roman"/>
          <w:color w:val="auto"/>
          <w:sz w:val="24"/>
          <w:highlight w:val="none"/>
          <w:lang w:val="en-US" w:eastAsia="zh-CN"/>
        </w:rPr>
        <w:t>佳木斯</w:t>
      </w:r>
      <w:r>
        <w:rPr>
          <w:rFonts w:hint="default" w:ascii="Times New Roman" w:hAnsi="Times New Roman" w:eastAsia="宋体" w:cs="Times New Roman"/>
          <w:color w:val="auto"/>
          <w:sz w:val="24"/>
          <w:highlight w:val="none"/>
        </w:rPr>
        <w:t>气象站站台编号5</w:t>
      </w:r>
      <w:r>
        <w:rPr>
          <w:rFonts w:hint="eastAsia" w:ascii="Times New Roman" w:hAnsi="Times New Roman" w:eastAsia="宋体" w:cs="Times New Roman"/>
          <w:color w:val="auto"/>
          <w:sz w:val="24"/>
          <w:highlight w:val="none"/>
          <w:lang w:val="en-US" w:eastAsia="zh-CN"/>
        </w:rPr>
        <w:t>0873</w:t>
      </w:r>
      <w:r>
        <w:rPr>
          <w:rFonts w:hint="default" w:ascii="Times New Roman" w:hAnsi="Times New Roman" w:eastAsia="宋体" w:cs="Times New Roman"/>
          <w:color w:val="auto"/>
          <w:sz w:val="24"/>
          <w:highlight w:val="none"/>
        </w:rPr>
        <w:t>，站点经纬度为东经</w:t>
      </w:r>
      <w:r>
        <w:rPr>
          <w:rFonts w:hint="eastAsia" w:ascii="Times New Roman" w:hAnsi="Times New Roman" w:eastAsia="宋体" w:cs="Times New Roman"/>
          <w:color w:val="auto"/>
          <w:sz w:val="24"/>
          <w:highlight w:val="none"/>
          <w:lang w:val="en-US" w:eastAsia="zh-CN"/>
        </w:rPr>
        <w:t>130.2970</w:t>
      </w:r>
      <w:r>
        <w:rPr>
          <w:rFonts w:hint="default" w:ascii="Times New Roman" w:hAnsi="Times New Roman" w:eastAsia="宋体" w:cs="Times New Roman"/>
          <w:color w:val="auto"/>
          <w:sz w:val="24"/>
          <w:highlight w:val="none"/>
        </w:rPr>
        <w:t>°、北纬</w:t>
      </w:r>
      <w:r>
        <w:rPr>
          <w:rFonts w:hint="eastAsia" w:ascii="Times New Roman" w:hAnsi="Times New Roman" w:eastAsia="宋体" w:cs="Times New Roman"/>
          <w:color w:val="auto"/>
          <w:sz w:val="24"/>
          <w:highlight w:val="none"/>
          <w:lang w:val="en-US" w:eastAsia="zh-CN"/>
        </w:rPr>
        <w:t>46.7839</w:t>
      </w:r>
      <w:r>
        <w:rPr>
          <w:rFonts w:hint="default" w:ascii="Times New Roman" w:hAnsi="Times New Roman" w:eastAsia="宋体" w:cs="Times New Roman"/>
          <w:color w:val="auto"/>
          <w:sz w:val="24"/>
          <w:highlight w:val="none"/>
        </w:rPr>
        <w:t>°。气象站距离拟建项目厂址约</w:t>
      </w:r>
      <w:r>
        <w:rPr>
          <w:rFonts w:hint="eastAsia" w:ascii="Times New Roman" w:hAnsi="Times New Roman" w:eastAsia="宋体" w:cs="Times New Roman"/>
          <w:color w:val="auto"/>
          <w:sz w:val="24"/>
          <w:highlight w:val="none"/>
          <w:lang w:val="en-US" w:eastAsia="zh-CN"/>
        </w:rPr>
        <w:t>3.6</w:t>
      </w:r>
      <w:r>
        <w:rPr>
          <w:rFonts w:hint="default" w:ascii="Times New Roman" w:hAnsi="Times New Roman" w:eastAsia="宋体" w:cs="Times New Roman"/>
          <w:color w:val="auto"/>
          <w:sz w:val="24"/>
          <w:highlight w:val="none"/>
        </w:rPr>
        <w:t>km，两地受相同气候系统的影响和控制，其常规气象资料可以反映拟建项目区域的基本气候特征，本评价预测采用的高空数据是采用大气环境影响评价数值模式WRF模拟生成，包括大气压、高度、干球温度、露点温度、风向、风速。</w:t>
      </w:r>
    </w:p>
    <w:p w14:paraId="497BC0FC">
      <w:pPr>
        <w:autoSpaceDE w:val="0"/>
        <w:autoSpaceDN w:val="0"/>
        <w:adjustRightInd w:val="0"/>
        <w:spacing w:line="480" w:lineRule="exact"/>
        <w:ind w:firstLine="480" w:firstLineChars="200"/>
        <w:textAlignment w:val="bottom"/>
        <w:rPr>
          <w:rFonts w:hint="default" w:ascii="Times New Roman" w:hAnsi="Times New Roman" w:eastAsia="宋体" w:cs="Times New Roman"/>
          <w:smallCaps w:val="0"/>
          <w:color w:val="auto"/>
          <w:kern w:val="0"/>
          <w:sz w:val="24"/>
          <w:szCs w:val="24"/>
          <w:highlight w:val="none"/>
        </w:rPr>
      </w:pPr>
      <w:r>
        <w:rPr>
          <w:rFonts w:hint="default" w:ascii="Times New Roman" w:hAnsi="Times New Roman" w:eastAsia="宋体" w:cs="Times New Roman"/>
          <w:smallCaps w:val="0"/>
          <w:color w:val="auto"/>
          <w:kern w:val="0"/>
          <w:sz w:val="24"/>
          <w:szCs w:val="24"/>
          <w:highlight w:val="none"/>
        </w:rPr>
        <w:t>（</w:t>
      </w:r>
      <w:r>
        <w:rPr>
          <w:rFonts w:hint="eastAsia" w:ascii="Times New Roman" w:hAnsi="Times New Roman" w:eastAsia="宋体" w:cs="Times New Roman"/>
          <w:smallCaps w:val="0"/>
          <w:color w:val="auto"/>
          <w:kern w:val="0"/>
          <w:sz w:val="24"/>
          <w:szCs w:val="24"/>
          <w:highlight w:val="none"/>
          <w:lang w:val="en-US" w:eastAsia="zh-CN"/>
        </w:rPr>
        <w:t>6</w:t>
      </w:r>
      <w:r>
        <w:rPr>
          <w:rFonts w:hint="default" w:ascii="Times New Roman" w:hAnsi="Times New Roman" w:eastAsia="宋体" w:cs="Times New Roman"/>
          <w:smallCaps w:val="0"/>
          <w:color w:val="auto"/>
          <w:kern w:val="0"/>
          <w:sz w:val="24"/>
          <w:szCs w:val="24"/>
          <w:highlight w:val="none"/>
        </w:rPr>
        <w:t>）预测</w:t>
      </w:r>
      <w:r>
        <w:rPr>
          <w:rFonts w:hint="default" w:ascii="Times New Roman" w:hAnsi="Times New Roman" w:eastAsia="宋体" w:cs="Times New Roman"/>
          <w:smallCaps w:val="0"/>
          <w:color w:val="auto"/>
          <w:kern w:val="0"/>
          <w:sz w:val="24"/>
          <w:szCs w:val="24"/>
          <w:highlight w:val="none"/>
          <w:lang w:val="en-US" w:eastAsia="zh-CN"/>
        </w:rPr>
        <w:t>点</w:t>
      </w:r>
    </w:p>
    <w:p w14:paraId="651C7290">
      <w:pPr>
        <w:autoSpaceDE w:val="0"/>
        <w:autoSpaceDN w:val="0"/>
        <w:adjustRightInd w:val="0"/>
        <w:spacing w:line="480" w:lineRule="exact"/>
        <w:ind w:firstLine="480" w:firstLineChars="200"/>
        <w:textAlignment w:val="bottom"/>
        <w:rPr>
          <w:rFonts w:hint="default" w:ascii="Times New Roman" w:hAnsi="Times New Roman" w:eastAsia="宋体" w:cs="Times New Roman"/>
          <w:color w:val="auto"/>
          <w:kern w:val="0"/>
          <w:sz w:val="24"/>
          <w:szCs w:val="20"/>
          <w:highlight w:val="none"/>
          <w:lang w:val="en-US" w:eastAsia="zh-CN"/>
        </w:rPr>
      </w:pPr>
      <w:r>
        <w:rPr>
          <w:rFonts w:hint="default" w:ascii="Times New Roman" w:hAnsi="Times New Roman" w:eastAsia="宋体" w:cs="Times New Roman"/>
          <w:b w:val="0"/>
          <w:bCs w:val="0"/>
          <w:smallCaps w:val="0"/>
          <w:color w:val="auto"/>
          <w:kern w:val="0"/>
          <w:sz w:val="24"/>
          <w:szCs w:val="24"/>
          <w:highlight w:val="none"/>
          <w:lang w:val="en-US" w:eastAsia="zh-CN"/>
        </w:rPr>
        <w:t>经现场踏查，本次大气环境影响</w:t>
      </w:r>
      <w:r>
        <w:rPr>
          <w:rFonts w:hint="default" w:ascii="Times New Roman" w:hAnsi="Times New Roman" w:eastAsia="宋体" w:cs="Times New Roman"/>
          <w:color w:val="auto"/>
          <w:kern w:val="0"/>
          <w:sz w:val="24"/>
          <w:szCs w:val="24"/>
          <w:highlight w:val="none"/>
          <w:lang w:eastAsia="zh-CN"/>
        </w:rPr>
        <w:t>预测</w:t>
      </w:r>
      <w:r>
        <w:rPr>
          <w:rFonts w:hint="default" w:ascii="Times New Roman" w:hAnsi="Times New Roman" w:eastAsia="宋体" w:cs="Times New Roman"/>
          <w:color w:val="auto"/>
          <w:kern w:val="0"/>
          <w:sz w:val="24"/>
          <w:szCs w:val="24"/>
          <w:highlight w:val="none"/>
          <w:lang w:val="en-US" w:eastAsia="zh-CN"/>
        </w:rPr>
        <w:t>评价依据</w:t>
      </w:r>
      <w:r>
        <w:rPr>
          <w:rFonts w:hint="eastAsia" w:ascii="Times New Roman" w:hAnsi="Times New Roman" w:eastAsia="宋体" w:cs="Times New Roman"/>
          <w:color w:val="auto"/>
          <w:sz w:val="24"/>
          <w:szCs w:val="24"/>
          <w:highlight w:val="none"/>
          <w:lang w:val="en-US" w:eastAsia="zh-CN"/>
        </w:rPr>
        <w:t>佳木斯</w:t>
      </w:r>
      <w:r>
        <w:rPr>
          <w:rFonts w:hint="default" w:ascii="Times New Roman" w:hAnsi="Times New Roman" w:eastAsia="宋体" w:cs="Times New Roman"/>
          <w:color w:val="auto"/>
          <w:sz w:val="24"/>
          <w:szCs w:val="24"/>
          <w:highlight w:val="none"/>
          <w:lang w:eastAsia="zh-CN"/>
        </w:rPr>
        <w:t>近20年</w:t>
      </w:r>
      <w:r>
        <w:rPr>
          <w:rFonts w:hint="default" w:ascii="Times New Roman" w:hAnsi="Times New Roman" w:eastAsia="宋体" w:cs="Times New Roman"/>
          <w:color w:val="auto"/>
          <w:sz w:val="24"/>
          <w:szCs w:val="24"/>
          <w:highlight w:val="none"/>
          <w:lang w:val="en-US" w:eastAsia="zh-CN"/>
        </w:rPr>
        <w:t>全年及冬季主导风向西南</w:t>
      </w:r>
      <w:r>
        <w:rPr>
          <w:rFonts w:hint="eastAsia" w:ascii="Times New Roman" w:hAnsi="Times New Roman" w:eastAsia="宋体" w:cs="Times New Roman"/>
          <w:color w:val="auto"/>
          <w:sz w:val="24"/>
          <w:szCs w:val="24"/>
          <w:highlight w:val="none"/>
          <w:lang w:val="en-US" w:eastAsia="zh-CN"/>
        </w:rPr>
        <w:t>西</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eastAsia="zh-CN"/>
        </w:rPr>
        <w:t>评价基准年</w:t>
      </w:r>
      <w:r>
        <w:rPr>
          <w:rFonts w:hint="default" w:ascii="Times New Roman" w:hAnsi="Times New Roman" w:eastAsia="宋体" w:cs="Times New Roman"/>
          <w:color w:val="auto"/>
          <w:sz w:val="24"/>
          <w:szCs w:val="24"/>
          <w:highlight w:val="none"/>
          <w:lang w:val="en-US" w:eastAsia="zh-CN"/>
        </w:rPr>
        <w:t>202</w:t>
      </w:r>
      <w:r>
        <w:rPr>
          <w:rFonts w:hint="eastAsia"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lang w:val="en-US" w:eastAsia="zh-CN"/>
        </w:rPr>
        <w:t>年</w:t>
      </w:r>
      <w:r>
        <w:rPr>
          <w:rFonts w:hint="eastAsia" w:ascii="Times New Roman" w:hAnsi="Times New Roman" w:eastAsia="宋体" w:cs="Times New Roman"/>
          <w:color w:val="auto"/>
          <w:sz w:val="24"/>
          <w:szCs w:val="24"/>
          <w:highlight w:val="none"/>
          <w:lang w:val="en-US" w:eastAsia="zh-CN"/>
        </w:rPr>
        <w:t>佳木斯</w:t>
      </w:r>
      <w:r>
        <w:rPr>
          <w:rFonts w:hint="default" w:ascii="Times New Roman" w:hAnsi="Times New Roman" w:eastAsia="宋体" w:cs="Times New Roman"/>
          <w:color w:val="auto"/>
          <w:kern w:val="0"/>
          <w:sz w:val="24"/>
          <w:szCs w:val="24"/>
          <w:highlight w:val="none"/>
          <w:lang w:val="en-US" w:eastAsia="zh-CN"/>
        </w:rPr>
        <w:t>全年主导风向</w:t>
      </w:r>
      <w:r>
        <w:rPr>
          <w:rFonts w:hint="eastAsia" w:ascii="Times New Roman" w:hAnsi="Times New Roman" w:eastAsia="宋体" w:cs="Times New Roman"/>
          <w:color w:val="auto"/>
          <w:kern w:val="0"/>
          <w:sz w:val="24"/>
          <w:szCs w:val="24"/>
          <w:highlight w:val="none"/>
          <w:lang w:val="en-US" w:eastAsia="zh-CN"/>
        </w:rPr>
        <w:t>为西南风，</w:t>
      </w:r>
      <w:r>
        <w:rPr>
          <w:rFonts w:hint="default" w:ascii="Times New Roman" w:hAnsi="Times New Roman" w:eastAsia="宋体" w:cs="Times New Roman"/>
          <w:color w:val="auto"/>
          <w:kern w:val="0"/>
          <w:sz w:val="24"/>
          <w:szCs w:val="24"/>
          <w:highlight w:val="none"/>
          <w:lang w:val="en-US" w:eastAsia="zh-CN"/>
        </w:rPr>
        <w:t>及冬季主导风向</w:t>
      </w:r>
      <w:r>
        <w:rPr>
          <w:rFonts w:hint="eastAsia" w:ascii="Times New Roman" w:hAnsi="Times New Roman" w:eastAsia="宋体" w:cs="Times New Roman"/>
          <w:color w:val="auto"/>
          <w:kern w:val="0"/>
          <w:sz w:val="24"/>
          <w:szCs w:val="24"/>
          <w:highlight w:val="none"/>
          <w:lang w:val="en-US" w:eastAsia="zh-CN"/>
        </w:rPr>
        <w:t>西南风</w:t>
      </w:r>
      <w:r>
        <w:rPr>
          <w:rFonts w:hint="default" w:ascii="Times New Roman" w:hAnsi="Times New Roman" w:eastAsia="宋体" w:cs="Times New Roman"/>
          <w:color w:val="auto"/>
          <w:kern w:val="0"/>
          <w:sz w:val="24"/>
          <w:szCs w:val="24"/>
          <w:highlight w:val="none"/>
          <w:lang w:val="en-US" w:eastAsia="zh-CN"/>
        </w:rPr>
        <w:t>确定本次预测点。本次</w:t>
      </w:r>
      <w:r>
        <w:rPr>
          <w:rFonts w:hint="default" w:ascii="Times New Roman" w:hAnsi="Times New Roman" w:eastAsia="宋体" w:cs="Times New Roman"/>
          <w:b w:val="0"/>
          <w:bCs w:val="0"/>
          <w:smallCaps w:val="0"/>
          <w:color w:val="auto"/>
          <w:kern w:val="0"/>
          <w:sz w:val="24"/>
          <w:szCs w:val="24"/>
          <w:highlight w:val="none"/>
          <w:lang w:val="en-US" w:eastAsia="zh-CN"/>
        </w:rPr>
        <w:t>大气环境影响预测点选取</w:t>
      </w:r>
      <w:r>
        <w:rPr>
          <w:rFonts w:hint="eastAsia" w:ascii="Times New Roman" w:hAnsi="Times New Roman" w:eastAsia="宋体" w:cs="Times New Roman"/>
          <w:b w:val="0"/>
          <w:bCs w:val="0"/>
          <w:smallCaps w:val="0"/>
          <w:color w:val="auto"/>
          <w:kern w:val="0"/>
          <w:sz w:val="24"/>
          <w:szCs w:val="24"/>
          <w:highlight w:val="none"/>
          <w:lang w:val="en-US" w:eastAsia="zh-CN"/>
        </w:rPr>
        <w:t>6</w:t>
      </w:r>
      <w:r>
        <w:rPr>
          <w:rFonts w:hint="default" w:ascii="Times New Roman" w:hAnsi="Times New Roman" w:eastAsia="宋体" w:cs="Times New Roman"/>
          <w:b w:val="0"/>
          <w:bCs w:val="0"/>
          <w:smallCaps w:val="0"/>
          <w:color w:val="auto"/>
          <w:kern w:val="0"/>
          <w:sz w:val="24"/>
          <w:szCs w:val="24"/>
          <w:highlight w:val="none"/>
          <w:lang w:val="en-US" w:eastAsia="zh-CN"/>
        </w:rPr>
        <w:t>个代表点，</w:t>
      </w:r>
      <w:r>
        <w:rPr>
          <w:rFonts w:hint="eastAsia" w:ascii="Times New Roman" w:hAnsi="Times New Roman" w:eastAsia="宋体" w:cs="Times New Roman"/>
          <w:color w:val="auto"/>
          <w:kern w:val="2"/>
          <w:sz w:val="24"/>
          <w:szCs w:val="32"/>
          <w:highlight w:val="none"/>
          <w:lang w:val="en-US" w:eastAsia="zh-CN" w:bidi="ar"/>
        </w:rPr>
        <w:t>本次评价</w:t>
      </w:r>
      <w:r>
        <w:rPr>
          <w:rFonts w:hint="default" w:ascii="Times New Roman" w:hAnsi="Times New Roman" w:eastAsia="宋体" w:cs="Times New Roman"/>
          <w:color w:val="auto"/>
          <w:kern w:val="2"/>
          <w:sz w:val="24"/>
          <w:szCs w:val="32"/>
          <w:highlight w:val="none"/>
          <w:lang w:bidi="ar"/>
        </w:rPr>
        <w:t>选择环境空气敏感区中的</w:t>
      </w:r>
      <w:r>
        <w:rPr>
          <w:rFonts w:hint="eastAsia" w:ascii="Times New Roman" w:hAnsi="Times New Roman" w:eastAsia="宋体" w:cs="Times New Roman"/>
          <w:color w:val="auto"/>
          <w:kern w:val="2"/>
          <w:sz w:val="24"/>
          <w:szCs w:val="32"/>
          <w:highlight w:val="none"/>
          <w:lang w:val="en-US" w:eastAsia="zh-CN" w:bidi="ar"/>
        </w:rPr>
        <w:t>具有代表性的</w:t>
      </w:r>
      <w:r>
        <w:rPr>
          <w:rFonts w:hint="default" w:ascii="Times New Roman" w:hAnsi="Times New Roman" w:eastAsia="宋体" w:cs="Times New Roman"/>
          <w:color w:val="auto"/>
          <w:kern w:val="2"/>
          <w:sz w:val="24"/>
          <w:szCs w:val="32"/>
          <w:highlight w:val="none"/>
          <w:lang w:bidi="ar"/>
        </w:rPr>
        <w:t>环境空气保护目标为计算点，</w:t>
      </w:r>
      <w:r>
        <w:rPr>
          <w:rFonts w:hint="eastAsia" w:ascii="Times New Roman" w:hAnsi="Times New Roman" w:eastAsia="宋体" w:cs="Times New Roman"/>
          <w:color w:val="auto"/>
          <w:kern w:val="2"/>
          <w:sz w:val="24"/>
          <w:szCs w:val="32"/>
          <w:highlight w:val="none"/>
          <w:lang w:val="en-US" w:eastAsia="zh-CN" w:bidi="ar"/>
        </w:rPr>
        <w:t>以下风向敏感点为主。</w:t>
      </w:r>
      <w:r>
        <w:rPr>
          <w:rFonts w:hint="default" w:ascii="Times New Roman" w:hAnsi="Times New Roman" w:eastAsia="宋体" w:cs="Times New Roman"/>
          <w:b w:val="0"/>
          <w:bCs w:val="0"/>
          <w:smallCaps w:val="0"/>
          <w:color w:val="auto"/>
          <w:kern w:val="0"/>
          <w:sz w:val="24"/>
          <w:szCs w:val="24"/>
          <w:highlight w:val="none"/>
          <w:lang w:val="en-US" w:eastAsia="zh-CN"/>
        </w:rPr>
        <w:t>本项目大气环境影响预测点情况见表6.2-</w:t>
      </w:r>
      <w:r>
        <w:rPr>
          <w:rFonts w:hint="eastAsia" w:ascii="Times New Roman" w:hAnsi="Times New Roman" w:eastAsia="宋体" w:cs="Times New Roman"/>
          <w:b w:val="0"/>
          <w:bCs w:val="0"/>
          <w:smallCaps w:val="0"/>
          <w:color w:val="auto"/>
          <w:kern w:val="0"/>
          <w:sz w:val="24"/>
          <w:szCs w:val="24"/>
          <w:highlight w:val="none"/>
          <w:lang w:val="en-US" w:eastAsia="zh-CN"/>
        </w:rPr>
        <w:t>3</w:t>
      </w:r>
      <w:r>
        <w:rPr>
          <w:rFonts w:hint="default" w:ascii="Times New Roman" w:hAnsi="Times New Roman" w:eastAsia="宋体" w:cs="Times New Roman"/>
          <w:b w:val="0"/>
          <w:bCs w:val="0"/>
          <w:smallCaps w:val="0"/>
          <w:color w:val="auto"/>
          <w:kern w:val="0"/>
          <w:sz w:val="24"/>
          <w:szCs w:val="24"/>
          <w:highlight w:val="none"/>
          <w:lang w:val="en-US" w:eastAsia="zh-CN"/>
        </w:rPr>
        <w:t>。</w:t>
      </w:r>
    </w:p>
    <w:p w14:paraId="697193E7">
      <w:pPr>
        <w:keepNext w:val="0"/>
        <w:keepLines w:val="0"/>
        <w:pageBreakBefore w:val="0"/>
        <w:widowControl w:val="0"/>
        <w:kinsoku/>
        <w:wordWrap/>
        <w:overflowPunct/>
        <w:topLinePunct w:val="0"/>
        <w:autoSpaceDE w:val="0"/>
        <w:autoSpaceDN w:val="0"/>
        <w:bidi w:val="0"/>
        <w:adjustRightInd w:val="0"/>
        <w:snapToGrid/>
        <w:spacing w:line="480" w:lineRule="exact"/>
        <w:ind w:firstLine="0" w:firstLineChars="0"/>
        <w:jc w:val="center"/>
        <w:textAlignment w:val="bottom"/>
        <w:rPr>
          <w:rFonts w:hint="default" w:ascii="Times New Roman" w:hAnsi="Times New Roman" w:eastAsia="宋体" w:cs="Times New Roman"/>
          <w:color w:val="auto"/>
          <w:kern w:val="0"/>
          <w:sz w:val="24"/>
          <w:szCs w:val="20"/>
          <w:highlight w:val="none"/>
          <w:lang w:val="en-US" w:eastAsia="zh-CN"/>
        </w:rPr>
      </w:pPr>
      <w:r>
        <w:rPr>
          <w:rFonts w:hint="default" w:ascii="Times New Roman" w:hAnsi="Times New Roman" w:eastAsia="宋体" w:cs="Times New Roman"/>
          <w:color w:val="auto"/>
          <w:kern w:val="0"/>
          <w:sz w:val="24"/>
          <w:szCs w:val="20"/>
          <w:highlight w:val="none"/>
          <w:lang w:val="en-US" w:eastAsia="zh-CN"/>
        </w:rPr>
        <w:t>表6.2-</w:t>
      </w:r>
      <w:r>
        <w:rPr>
          <w:rFonts w:hint="eastAsia" w:ascii="Times New Roman" w:hAnsi="Times New Roman" w:eastAsia="宋体" w:cs="Times New Roman"/>
          <w:color w:val="auto"/>
          <w:kern w:val="0"/>
          <w:sz w:val="24"/>
          <w:szCs w:val="20"/>
          <w:highlight w:val="none"/>
          <w:lang w:val="en-US" w:eastAsia="zh-CN"/>
        </w:rPr>
        <w:t>3</w:t>
      </w:r>
      <w:r>
        <w:rPr>
          <w:rFonts w:hint="default" w:ascii="Times New Roman" w:hAnsi="Times New Roman" w:eastAsia="宋体" w:cs="Times New Roman"/>
          <w:color w:val="auto"/>
          <w:kern w:val="0"/>
          <w:sz w:val="24"/>
          <w:szCs w:val="20"/>
          <w:highlight w:val="none"/>
          <w:lang w:val="en-US" w:eastAsia="zh-CN"/>
        </w:rPr>
        <w:t xml:space="preserve">  本项目预测点分布情况</w:t>
      </w:r>
    </w:p>
    <w:tbl>
      <w:tblPr>
        <w:tblStyle w:val="37"/>
        <w:tblW w:w="4997"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368"/>
        <w:gridCol w:w="3367"/>
        <w:gridCol w:w="1368"/>
        <w:gridCol w:w="1372"/>
        <w:gridCol w:w="1370"/>
      </w:tblGrid>
      <w:tr w14:paraId="75EEABF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773" w:type="pct"/>
            <w:tcBorders>
              <w:tl2br w:val="nil"/>
              <w:tr2bl w:val="nil"/>
            </w:tcBorders>
            <w:shd w:val="clear" w:color="auto" w:fill="auto"/>
            <w:noWrap/>
            <w:vAlign w:val="center"/>
          </w:tcPr>
          <w:p w14:paraId="39F49B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序号</w:t>
            </w:r>
          </w:p>
        </w:tc>
        <w:tc>
          <w:tcPr>
            <w:tcW w:w="1902" w:type="pct"/>
            <w:tcBorders>
              <w:tl2br w:val="nil"/>
              <w:tr2bl w:val="nil"/>
            </w:tcBorders>
            <w:shd w:val="clear" w:color="auto" w:fill="auto"/>
            <w:noWrap/>
            <w:vAlign w:val="center"/>
          </w:tcPr>
          <w:p w14:paraId="5B28BE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名称</w:t>
            </w:r>
          </w:p>
        </w:tc>
        <w:tc>
          <w:tcPr>
            <w:tcW w:w="773" w:type="pct"/>
            <w:tcBorders>
              <w:tl2br w:val="nil"/>
              <w:tr2bl w:val="nil"/>
            </w:tcBorders>
            <w:shd w:val="clear" w:color="auto" w:fill="auto"/>
            <w:noWrap/>
            <w:vAlign w:val="center"/>
          </w:tcPr>
          <w:p w14:paraId="6F72D8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X</w:t>
            </w:r>
          </w:p>
        </w:tc>
        <w:tc>
          <w:tcPr>
            <w:tcW w:w="775" w:type="pct"/>
            <w:tcBorders>
              <w:tl2br w:val="nil"/>
              <w:tr2bl w:val="nil"/>
            </w:tcBorders>
            <w:shd w:val="clear" w:color="auto" w:fill="auto"/>
            <w:noWrap/>
            <w:vAlign w:val="center"/>
          </w:tcPr>
          <w:p w14:paraId="5F4950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Y</w:t>
            </w:r>
          </w:p>
        </w:tc>
        <w:tc>
          <w:tcPr>
            <w:tcW w:w="774" w:type="pct"/>
            <w:tcBorders>
              <w:tl2br w:val="nil"/>
              <w:tr2bl w:val="nil"/>
            </w:tcBorders>
            <w:shd w:val="clear" w:color="auto" w:fill="auto"/>
            <w:noWrap/>
            <w:vAlign w:val="center"/>
          </w:tcPr>
          <w:p w14:paraId="31B351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地面高程</w:t>
            </w:r>
          </w:p>
        </w:tc>
      </w:tr>
      <w:tr w14:paraId="12E889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44" w:hRule="atLeast"/>
          <w:jc w:val="center"/>
        </w:trPr>
        <w:tc>
          <w:tcPr>
            <w:tcW w:w="773" w:type="pct"/>
            <w:tcBorders>
              <w:tl2br w:val="nil"/>
              <w:tr2bl w:val="nil"/>
            </w:tcBorders>
            <w:shd w:val="clear" w:color="auto" w:fill="auto"/>
            <w:noWrap/>
            <w:vAlign w:val="center"/>
          </w:tcPr>
          <w:p w14:paraId="5E1365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1902" w:type="pct"/>
            <w:tcBorders>
              <w:tl2br w:val="nil"/>
              <w:tr2bl w:val="nil"/>
            </w:tcBorders>
            <w:shd w:val="clear" w:color="auto" w:fill="auto"/>
            <w:noWrap/>
            <w:vAlign w:val="top"/>
          </w:tcPr>
          <w:p w14:paraId="0688D93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范家屯</w:t>
            </w:r>
          </w:p>
        </w:tc>
        <w:tc>
          <w:tcPr>
            <w:tcW w:w="773" w:type="pct"/>
            <w:tcBorders>
              <w:tl2br w:val="nil"/>
              <w:tr2bl w:val="nil"/>
            </w:tcBorders>
            <w:shd w:val="clear" w:color="auto" w:fill="auto"/>
            <w:noWrap/>
            <w:vAlign w:val="center"/>
          </w:tcPr>
          <w:p w14:paraId="2FBDB2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-594</w:t>
            </w:r>
          </w:p>
        </w:tc>
        <w:tc>
          <w:tcPr>
            <w:tcW w:w="775" w:type="pct"/>
            <w:tcBorders>
              <w:tl2br w:val="nil"/>
              <w:tr2bl w:val="nil"/>
            </w:tcBorders>
            <w:shd w:val="clear" w:color="auto" w:fill="auto"/>
            <w:noWrap/>
            <w:vAlign w:val="center"/>
          </w:tcPr>
          <w:p w14:paraId="05C22A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576</w:t>
            </w:r>
          </w:p>
        </w:tc>
        <w:tc>
          <w:tcPr>
            <w:tcW w:w="774" w:type="pct"/>
            <w:tcBorders>
              <w:tl2br w:val="nil"/>
              <w:tr2bl w:val="nil"/>
            </w:tcBorders>
            <w:shd w:val="clear" w:color="auto" w:fill="auto"/>
            <w:noWrap/>
            <w:vAlign w:val="center"/>
          </w:tcPr>
          <w:p w14:paraId="6D9F281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242.03</w:t>
            </w:r>
          </w:p>
        </w:tc>
      </w:tr>
      <w:tr w14:paraId="2F77E56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773" w:type="pct"/>
            <w:tcBorders>
              <w:tl2br w:val="nil"/>
              <w:tr2bl w:val="nil"/>
            </w:tcBorders>
            <w:shd w:val="clear" w:color="auto" w:fill="auto"/>
            <w:noWrap/>
            <w:vAlign w:val="center"/>
          </w:tcPr>
          <w:p w14:paraId="11F42B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1902" w:type="pct"/>
            <w:tcBorders>
              <w:tl2br w:val="nil"/>
              <w:tr2bl w:val="nil"/>
            </w:tcBorders>
            <w:shd w:val="clear" w:color="auto" w:fill="auto"/>
            <w:noWrap/>
            <w:vAlign w:val="top"/>
          </w:tcPr>
          <w:p w14:paraId="339A72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范家村</w:t>
            </w:r>
          </w:p>
        </w:tc>
        <w:tc>
          <w:tcPr>
            <w:tcW w:w="773" w:type="pct"/>
            <w:tcBorders>
              <w:tl2br w:val="nil"/>
              <w:tr2bl w:val="nil"/>
            </w:tcBorders>
            <w:shd w:val="clear" w:color="auto" w:fill="auto"/>
            <w:noWrap/>
            <w:vAlign w:val="center"/>
          </w:tcPr>
          <w:p w14:paraId="0794B5C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7</w:t>
            </w:r>
          </w:p>
        </w:tc>
        <w:tc>
          <w:tcPr>
            <w:tcW w:w="775" w:type="pct"/>
            <w:tcBorders>
              <w:tl2br w:val="nil"/>
              <w:tr2bl w:val="nil"/>
            </w:tcBorders>
            <w:shd w:val="clear" w:color="auto" w:fill="auto"/>
            <w:noWrap/>
            <w:vAlign w:val="center"/>
          </w:tcPr>
          <w:p w14:paraId="3367C8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752</w:t>
            </w:r>
          </w:p>
        </w:tc>
        <w:tc>
          <w:tcPr>
            <w:tcW w:w="774" w:type="pct"/>
            <w:tcBorders>
              <w:tl2br w:val="nil"/>
              <w:tr2bl w:val="nil"/>
            </w:tcBorders>
            <w:shd w:val="clear" w:color="auto" w:fill="auto"/>
            <w:noWrap/>
            <w:vAlign w:val="center"/>
          </w:tcPr>
          <w:p w14:paraId="7B4D93E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239.30</w:t>
            </w:r>
          </w:p>
        </w:tc>
      </w:tr>
      <w:tr w14:paraId="25E23AC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773" w:type="pct"/>
            <w:tcBorders>
              <w:tl2br w:val="nil"/>
              <w:tr2bl w:val="nil"/>
            </w:tcBorders>
            <w:shd w:val="clear" w:color="auto" w:fill="auto"/>
            <w:noWrap/>
            <w:vAlign w:val="center"/>
          </w:tcPr>
          <w:p w14:paraId="17B1C75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w:t>
            </w:r>
          </w:p>
        </w:tc>
        <w:tc>
          <w:tcPr>
            <w:tcW w:w="1902" w:type="pct"/>
            <w:tcBorders>
              <w:tl2br w:val="nil"/>
              <w:tr2bl w:val="nil"/>
            </w:tcBorders>
            <w:shd w:val="clear" w:color="auto" w:fill="auto"/>
            <w:noWrap/>
            <w:vAlign w:val="top"/>
          </w:tcPr>
          <w:p w14:paraId="0FE12D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原热电家属区</w:t>
            </w:r>
          </w:p>
        </w:tc>
        <w:tc>
          <w:tcPr>
            <w:tcW w:w="773" w:type="pct"/>
            <w:tcBorders>
              <w:tl2br w:val="nil"/>
              <w:tr2bl w:val="nil"/>
            </w:tcBorders>
            <w:shd w:val="clear" w:color="auto" w:fill="auto"/>
            <w:noWrap/>
            <w:vAlign w:val="center"/>
          </w:tcPr>
          <w:p w14:paraId="7A3675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-66</w:t>
            </w:r>
          </w:p>
        </w:tc>
        <w:tc>
          <w:tcPr>
            <w:tcW w:w="775" w:type="pct"/>
            <w:tcBorders>
              <w:tl2br w:val="nil"/>
              <w:tr2bl w:val="nil"/>
            </w:tcBorders>
            <w:shd w:val="clear" w:color="auto" w:fill="auto"/>
            <w:noWrap/>
            <w:vAlign w:val="center"/>
          </w:tcPr>
          <w:p w14:paraId="180518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3</w:t>
            </w:r>
          </w:p>
        </w:tc>
        <w:tc>
          <w:tcPr>
            <w:tcW w:w="774" w:type="pct"/>
            <w:tcBorders>
              <w:tl2br w:val="nil"/>
              <w:tr2bl w:val="nil"/>
            </w:tcBorders>
            <w:shd w:val="clear" w:color="auto" w:fill="auto"/>
            <w:noWrap/>
            <w:vAlign w:val="center"/>
          </w:tcPr>
          <w:p w14:paraId="73F6E58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244.13</w:t>
            </w:r>
          </w:p>
        </w:tc>
      </w:tr>
      <w:tr w14:paraId="1BAC4CD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773" w:type="pct"/>
            <w:tcBorders>
              <w:tl2br w:val="nil"/>
              <w:tr2bl w:val="nil"/>
            </w:tcBorders>
            <w:shd w:val="clear" w:color="auto" w:fill="auto"/>
            <w:noWrap/>
            <w:vAlign w:val="center"/>
          </w:tcPr>
          <w:p w14:paraId="2F883F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4</w:t>
            </w:r>
          </w:p>
        </w:tc>
        <w:tc>
          <w:tcPr>
            <w:tcW w:w="1902" w:type="pct"/>
            <w:tcBorders>
              <w:tl2br w:val="nil"/>
              <w:tr2bl w:val="nil"/>
            </w:tcBorders>
            <w:shd w:val="clear" w:color="auto" w:fill="auto"/>
            <w:noWrap/>
            <w:vAlign w:val="top"/>
          </w:tcPr>
          <w:p w14:paraId="605BB6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黑锻新城小区</w:t>
            </w:r>
          </w:p>
        </w:tc>
        <w:tc>
          <w:tcPr>
            <w:tcW w:w="773" w:type="pct"/>
            <w:tcBorders>
              <w:tl2br w:val="nil"/>
              <w:tr2bl w:val="nil"/>
            </w:tcBorders>
            <w:shd w:val="clear" w:color="auto" w:fill="auto"/>
            <w:noWrap/>
            <w:vAlign w:val="center"/>
          </w:tcPr>
          <w:p w14:paraId="4607EF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484</w:t>
            </w:r>
          </w:p>
        </w:tc>
        <w:tc>
          <w:tcPr>
            <w:tcW w:w="775" w:type="pct"/>
            <w:tcBorders>
              <w:tl2br w:val="nil"/>
              <w:tr2bl w:val="nil"/>
            </w:tcBorders>
            <w:shd w:val="clear" w:color="auto" w:fill="auto"/>
            <w:noWrap/>
            <w:vAlign w:val="center"/>
          </w:tcPr>
          <w:p w14:paraId="6EF9E7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-173</w:t>
            </w:r>
          </w:p>
        </w:tc>
        <w:tc>
          <w:tcPr>
            <w:tcW w:w="774" w:type="pct"/>
            <w:tcBorders>
              <w:tl2br w:val="nil"/>
              <w:tr2bl w:val="nil"/>
            </w:tcBorders>
            <w:shd w:val="clear" w:color="auto" w:fill="auto"/>
            <w:noWrap/>
            <w:vAlign w:val="center"/>
          </w:tcPr>
          <w:p w14:paraId="6B8040A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242.38</w:t>
            </w:r>
          </w:p>
        </w:tc>
      </w:tr>
      <w:tr w14:paraId="21875E8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773" w:type="pct"/>
            <w:tcBorders>
              <w:tl2br w:val="nil"/>
              <w:tr2bl w:val="nil"/>
            </w:tcBorders>
            <w:shd w:val="clear" w:color="auto" w:fill="auto"/>
            <w:noWrap/>
            <w:vAlign w:val="center"/>
          </w:tcPr>
          <w:p w14:paraId="6FBDD8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5</w:t>
            </w:r>
          </w:p>
        </w:tc>
        <w:tc>
          <w:tcPr>
            <w:tcW w:w="1902" w:type="pct"/>
            <w:tcBorders>
              <w:tl2br w:val="nil"/>
              <w:tr2bl w:val="nil"/>
            </w:tcBorders>
            <w:shd w:val="clear" w:color="auto" w:fill="auto"/>
            <w:noWrap/>
            <w:vAlign w:val="top"/>
          </w:tcPr>
          <w:p w14:paraId="4C356E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东侧市区（绿云社区）</w:t>
            </w:r>
          </w:p>
        </w:tc>
        <w:tc>
          <w:tcPr>
            <w:tcW w:w="773" w:type="pct"/>
            <w:tcBorders>
              <w:tl2br w:val="nil"/>
              <w:tr2bl w:val="nil"/>
            </w:tcBorders>
            <w:shd w:val="clear" w:color="auto" w:fill="auto"/>
            <w:noWrap/>
            <w:vAlign w:val="center"/>
          </w:tcPr>
          <w:p w14:paraId="6DA0B2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1159</w:t>
            </w:r>
          </w:p>
        </w:tc>
        <w:tc>
          <w:tcPr>
            <w:tcW w:w="775" w:type="pct"/>
            <w:tcBorders>
              <w:tl2br w:val="nil"/>
              <w:tr2bl w:val="nil"/>
            </w:tcBorders>
            <w:shd w:val="clear" w:color="auto" w:fill="auto"/>
            <w:noWrap/>
            <w:vAlign w:val="center"/>
          </w:tcPr>
          <w:p w14:paraId="7142F1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-4</w:t>
            </w:r>
          </w:p>
        </w:tc>
        <w:tc>
          <w:tcPr>
            <w:tcW w:w="774" w:type="pct"/>
            <w:tcBorders>
              <w:tl2br w:val="nil"/>
              <w:tr2bl w:val="nil"/>
            </w:tcBorders>
            <w:shd w:val="clear" w:color="auto" w:fill="auto"/>
            <w:noWrap/>
            <w:vAlign w:val="center"/>
          </w:tcPr>
          <w:p w14:paraId="605746E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242.12</w:t>
            </w:r>
          </w:p>
        </w:tc>
      </w:tr>
      <w:tr w14:paraId="41C70D8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773" w:type="pct"/>
            <w:tcBorders>
              <w:tl2br w:val="nil"/>
              <w:tr2bl w:val="nil"/>
            </w:tcBorders>
            <w:shd w:val="clear" w:color="auto" w:fill="auto"/>
            <w:noWrap/>
            <w:vAlign w:val="center"/>
          </w:tcPr>
          <w:p w14:paraId="2FC45A5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6</w:t>
            </w:r>
          </w:p>
        </w:tc>
        <w:tc>
          <w:tcPr>
            <w:tcW w:w="1902" w:type="pct"/>
            <w:tcBorders>
              <w:tl2br w:val="nil"/>
              <w:tr2bl w:val="nil"/>
            </w:tcBorders>
            <w:shd w:val="clear" w:color="auto" w:fill="auto"/>
            <w:noWrap/>
            <w:vAlign w:val="top"/>
          </w:tcPr>
          <w:p w14:paraId="75B50C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南侧市区（佳木斯市第十六中学）</w:t>
            </w:r>
          </w:p>
        </w:tc>
        <w:tc>
          <w:tcPr>
            <w:tcW w:w="773" w:type="pct"/>
            <w:tcBorders>
              <w:tl2br w:val="nil"/>
              <w:tr2bl w:val="nil"/>
            </w:tcBorders>
            <w:shd w:val="clear" w:color="auto" w:fill="auto"/>
            <w:noWrap/>
            <w:vAlign w:val="center"/>
          </w:tcPr>
          <w:p w14:paraId="7B49B4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-792</w:t>
            </w:r>
          </w:p>
        </w:tc>
        <w:tc>
          <w:tcPr>
            <w:tcW w:w="775" w:type="pct"/>
            <w:tcBorders>
              <w:tl2br w:val="nil"/>
              <w:tr2bl w:val="nil"/>
            </w:tcBorders>
            <w:shd w:val="clear" w:color="auto" w:fill="auto"/>
            <w:noWrap/>
            <w:vAlign w:val="center"/>
          </w:tcPr>
          <w:p w14:paraId="5E13DA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-1040</w:t>
            </w:r>
          </w:p>
        </w:tc>
        <w:tc>
          <w:tcPr>
            <w:tcW w:w="774" w:type="pct"/>
            <w:tcBorders>
              <w:tl2br w:val="nil"/>
              <w:tr2bl w:val="nil"/>
            </w:tcBorders>
            <w:shd w:val="clear" w:color="auto" w:fill="auto"/>
            <w:noWrap/>
            <w:vAlign w:val="center"/>
          </w:tcPr>
          <w:p w14:paraId="29D2846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242.45</w:t>
            </w:r>
          </w:p>
        </w:tc>
      </w:tr>
    </w:tbl>
    <w:p w14:paraId="51D4A9DE">
      <w:pPr>
        <w:keepNext w:val="0"/>
        <w:keepLines w:val="0"/>
        <w:pageBreakBefore w:val="0"/>
        <w:widowControl w:val="0"/>
        <w:kinsoku/>
        <w:wordWrap/>
        <w:overflowPunct/>
        <w:topLinePunct w:val="0"/>
        <w:bidi w:val="0"/>
        <w:snapToGrid/>
        <w:spacing w:line="480" w:lineRule="exact"/>
        <w:ind w:firstLine="480" w:firstLineChars="200"/>
        <w:jc w:val="both"/>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（6）预测网格点</w:t>
      </w:r>
    </w:p>
    <w:p w14:paraId="1C16351A">
      <w:pPr>
        <w:autoSpaceDE w:val="0"/>
        <w:autoSpaceDN w:val="0"/>
        <w:adjustRightInd w:val="0"/>
        <w:spacing w:line="480" w:lineRule="exact"/>
        <w:ind w:firstLine="480" w:firstLineChars="200"/>
        <w:textAlignment w:val="bottom"/>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spacing w:val="0"/>
          <w:sz w:val="24"/>
          <w:szCs w:val="24"/>
          <w:highlight w:val="none"/>
          <w:vertAlign w:val="baseline"/>
          <w:lang w:val="en-US" w:eastAsia="zh-CN"/>
        </w:rPr>
        <w:t>根据</w:t>
      </w:r>
      <w:r>
        <w:rPr>
          <w:rFonts w:hint="default" w:ascii="Times New Roman" w:hAnsi="Times New Roman" w:eastAsia="宋体" w:cs="Times New Roman"/>
          <w:color w:val="auto"/>
          <w:spacing w:val="0"/>
          <w:sz w:val="24"/>
          <w:highlight w:val="none"/>
        </w:rPr>
        <w:t>《环境影响评价技术导则 大气环境</w:t>
      </w:r>
      <w:r>
        <w:rPr>
          <w:rFonts w:hint="default" w:ascii="Times New Roman" w:hAnsi="Times New Roman" w:eastAsia="宋体" w:cs="Times New Roman"/>
          <w:color w:val="auto"/>
          <w:spacing w:val="0"/>
          <w:sz w:val="24"/>
          <w:highlight w:val="none"/>
          <w:lang w:eastAsia="zh-CN"/>
        </w:rPr>
        <w:t>》</w:t>
      </w:r>
      <w:r>
        <w:rPr>
          <w:rFonts w:hint="default" w:ascii="Times New Roman" w:hAnsi="Times New Roman" w:eastAsia="宋体" w:cs="Times New Roman"/>
          <w:color w:val="auto"/>
          <w:spacing w:val="0"/>
          <w:sz w:val="24"/>
          <w:highlight w:val="none"/>
        </w:rPr>
        <w:t>（HJ2.2-20</w:t>
      </w:r>
      <w:r>
        <w:rPr>
          <w:rFonts w:hint="default" w:ascii="Times New Roman" w:hAnsi="Times New Roman" w:eastAsia="宋体" w:cs="Times New Roman"/>
          <w:color w:val="auto"/>
          <w:spacing w:val="0"/>
          <w:sz w:val="24"/>
          <w:highlight w:val="none"/>
          <w:lang w:val="en-US" w:eastAsia="zh-CN"/>
        </w:rPr>
        <w:t>1</w:t>
      </w:r>
      <w:r>
        <w:rPr>
          <w:rFonts w:hint="default" w:ascii="Times New Roman" w:hAnsi="Times New Roman" w:eastAsia="宋体" w:cs="Times New Roman"/>
          <w:color w:val="auto"/>
          <w:spacing w:val="0"/>
          <w:sz w:val="24"/>
          <w:highlight w:val="none"/>
        </w:rPr>
        <w:t>8）</w:t>
      </w:r>
      <w:r>
        <w:rPr>
          <w:rFonts w:hint="default" w:ascii="Times New Roman" w:hAnsi="Times New Roman" w:eastAsia="宋体" w:cs="Times New Roman"/>
          <w:color w:val="auto"/>
          <w:spacing w:val="0"/>
          <w:sz w:val="24"/>
          <w:highlight w:val="none"/>
          <w:lang w:val="en-US" w:eastAsia="zh-CN"/>
        </w:rPr>
        <w:t>中附录B推荐模型参数及说明中的B.6.3.3AERMOD</w:t>
      </w:r>
      <w:r>
        <w:rPr>
          <w:rFonts w:hint="default" w:ascii="Times New Roman" w:hAnsi="Times New Roman" w:eastAsia="宋体" w:cs="Times New Roman"/>
          <w:color w:val="auto"/>
          <w:kern w:val="0"/>
          <w:sz w:val="24"/>
          <w:szCs w:val="24"/>
          <w:highlight w:val="none"/>
        </w:rPr>
        <w:t>预测网格点的设置具有足够的分辨率以尽可能精确预测污染源对预测范围的最大影响，</w:t>
      </w:r>
      <w:r>
        <w:rPr>
          <w:rFonts w:hint="default" w:ascii="Times New Roman" w:hAnsi="Times New Roman" w:eastAsia="宋体" w:cs="Times New Roman"/>
          <w:color w:val="auto"/>
          <w:kern w:val="0"/>
          <w:sz w:val="24"/>
          <w:szCs w:val="24"/>
          <w:highlight w:val="none"/>
          <w:lang w:val="en-US" w:eastAsia="zh-CN"/>
        </w:rPr>
        <w:t>本次大气环境影响预测的预测</w:t>
      </w:r>
      <w:r>
        <w:rPr>
          <w:rFonts w:hint="default" w:ascii="Times New Roman" w:hAnsi="Times New Roman" w:eastAsia="宋体" w:cs="Times New Roman"/>
          <w:color w:val="auto"/>
          <w:kern w:val="0"/>
          <w:sz w:val="24"/>
          <w:szCs w:val="24"/>
          <w:highlight w:val="none"/>
        </w:rPr>
        <w:t>网格点的间距采用近密远疏</w:t>
      </w:r>
      <w:r>
        <w:rPr>
          <w:rFonts w:hint="default" w:ascii="Times New Roman" w:hAnsi="Times New Roman" w:eastAsia="宋体" w:cs="Times New Roman"/>
          <w:color w:val="auto"/>
          <w:kern w:val="0"/>
          <w:sz w:val="24"/>
          <w:szCs w:val="24"/>
          <w:highlight w:val="none"/>
          <w:lang w:val="en-US" w:eastAsia="zh-CN"/>
        </w:rPr>
        <w:t>法</w:t>
      </w:r>
      <w:r>
        <w:rPr>
          <w:rFonts w:hint="default" w:ascii="Times New Roman" w:hAnsi="Times New Roman" w:eastAsia="宋体" w:cs="Times New Roman"/>
          <w:color w:val="auto"/>
          <w:kern w:val="0"/>
          <w:sz w:val="24"/>
          <w:szCs w:val="24"/>
          <w:highlight w:val="none"/>
        </w:rPr>
        <w:t>进行设置</w:t>
      </w:r>
      <w:r>
        <w:rPr>
          <w:rFonts w:hint="default" w:ascii="Times New Roman" w:hAnsi="Times New Roman" w:eastAsia="宋体" w:cs="Times New Roman"/>
          <w:color w:val="auto"/>
          <w:kern w:val="0"/>
          <w:sz w:val="24"/>
          <w:szCs w:val="24"/>
          <w:highlight w:val="none"/>
          <w:lang w:val="en-US" w:eastAsia="zh-CN"/>
        </w:rPr>
        <w:t>。</w:t>
      </w:r>
    </w:p>
    <w:p w14:paraId="40B5656D">
      <w:pPr>
        <w:autoSpaceDE w:val="0"/>
        <w:autoSpaceDN w:val="0"/>
        <w:adjustRightInd w:val="0"/>
        <w:spacing w:line="480" w:lineRule="exact"/>
        <w:ind w:firstLine="480" w:firstLineChars="200"/>
        <w:textAlignment w:val="bottom"/>
        <w:rPr>
          <w:rFonts w:hint="default" w:ascii="Times New Roman" w:hAnsi="Times New Roman" w:eastAsia="宋体" w:cs="Times New Roman"/>
          <w:color w:val="auto"/>
          <w:kern w:val="0"/>
          <w:sz w:val="24"/>
          <w:szCs w:val="20"/>
          <w:highlight w:val="none"/>
          <w:lang w:val="en-US" w:eastAsia="zh-CN"/>
        </w:rPr>
      </w:pPr>
      <w:r>
        <w:rPr>
          <w:rFonts w:hint="default" w:ascii="Times New Roman" w:hAnsi="Times New Roman" w:eastAsia="宋体" w:cs="Times New Roman"/>
          <w:smallCaps w:val="0"/>
          <w:color w:val="auto"/>
          <w:kern w:val="0"/>
          <w:sz w:val="24"/>
          <w:szCs w:val="24"/>
          <w:highlight w:val="none"/>
          <w:lang w:eastAsia="zh-CN"/>
        </w:rPr>
        <w:t>（</w:t>
      </w:r>
      <w:r>
        <w:rPr>
          <w:rFonts w:hint="default" w:ascii="Times New Roman" w:hAnsi="Times New Roman" w:eastAsia="宋体" w:cs="Times New Roman"/>
          <w:smallCaps w:val="0"/>
          <w:color w:val="auto"/>
          <w:kern w:val="0"/>
          <w:sz w:val="24"/>
          <w:szCs w:val="24"/>
          <w:highlight w:val="none"/>
          <w:lang w:val="en-US" w:eastAsia="zh-CN"/>
        </w:rPr>
        <w:t>7</w:t>
      </w:r>
      <w:r>
        <w:rPr>
          <w:rFonts w:hint="default" w:ascii="Times New Roman" w:hAnsi="Times New Roman" w:eastAsia="宋体" w:cs="Times New Roman"/>
          <w:smallCaps w:val="0"/>
          <w:color w:val="auto"/>
          <w:kern w:val="0"/>
          <w:sz w:val="24"/>
          <w:szCs w:val="24"/>
          <w:highlight w:val="none"/>
          <w:lang w:eastAsia="zh-CN"/>
        </w:rPr>
        <w:t>）</w:t>
      </w:r>
      <w:r>
        <w:rPr>
          <w:rFonts w:hint="default" w:ascii="Times New Roman" w:hAnsi="Times New Roman" w:eastAsia="宋体" w:cs="Times New Roman"/>
          <w:smallCaps w:val="0"/>
          <w:color w:val="auto"/>
          <w:kern w:val="0"/>
          <w:sz w:val="24"/>
          <w:szCs w:val="24"/>
          <w:highlight w:val="none"/>
          <w:lang w:val="en-US" w:eastAsia="zh-CN"/>
        </w:rPr>
        <w:t>地表参数</w:t>
      </w:r>
      <w:r>
        <w:rPr>
          <w:rFonts w:hint="eastAsia" w:ascii="Times New Roman" w:hAnsi="Times New Roman" w:eastAsia="宋体" w:cs="Times New Roman"/>
          <w:smallCaps w:val="0"/>
          <w:color w:val="auto"/>
          <w:kern w:val="0"/>
          <w:sz w:val="24"/>
          <w:szCs w:val="24"/>
          <w:highlight w:val="none"/>
          <w:lang w:val="en-US" w:eastAsia="zh-CN"/>
        </w:rPr>
        <w:t>取值</w:t>
      </w:r>
    </w:p>
    <w:p w14:paraId="51E501EA">
      <w:pPr>
        <w:autoSpaceDE w:val="0"/>
        <w:autoSpaceDN w:val="0"/>
        <w:adjustRightInd w:val="0"/>
        <w:spacing w:line="480" w:lineRule="exact"/>
        <w:jc w:val="center"/>
        <w:textAlignment w:val="bottom"/>
        <w:rPr>
          <w:rFonts w:hint="default" w:ascii="Times New Roman" w:hAnsi="Times New Roman" w:eastAsia="宋体" w:cs="Times New Roman"/>
          <w:color w:val="auto"/>
          <w:kern w:val="0"/>
          <w:sz w:val="24"/>
          <w:szCs w:val="20"/>
          <w:highlight w:val="none"/>
          <w:lang w:val="en-US" w:eastAsia="zh-CN"/>
        </w:rPr>
      </w:pPr>
      <w:r>
        <w:rPr>
          <w:rFonts w:hint="default" w:ascii="Times New Roman" w:hAnsi="Times New Roman" w:eastAsia="宋体" w:cs="Times New Roman"/>
          <w:color w:val="auto"/>
          <w:kern w:val="0"/>
          <w:sz w:val="24"/>
          <w:szCs w:val="20"/>
          <w:highlight w:val="none"/>
          <w:lang w:val="en-US" w:eastAsia="zh-CN"/>
        </w:rPr>
        <w:t>表6.2-</w:t>
      </w:r>
      <w:r>
        <w:rPr>
          <w:rFonts w:hint="eastAsia" w:ascii="Times New Roman" w:hAnsi="Times New Roman" w:eastAsia="宋体" w:cs="Times New Roman"/>
          <w:color w:val="auto"/>
          <w:kern w:val="0"/>
          <w:sz w:val="24"/>
          <w:szCs w:val="20"/>
          <w:highlight w:val="none"/>
          <w:lang w:val="en-US" w:eastAsia="zh-CN"/>
        </w:rPr>
        <w:t>4</w:t>
      </w:r>
      <w:r>
        <w:rPr>
          <w:rFonts w:hint="default" w:ascii="Times New Roman" w:hAnsi="Times New Roman" w:eastAsia="宋体" w:cs="Times New Roman"/>
          <w:color w:val="auto"/>
          <w:kern w:val="0"/>
          <w:sz w:val="24"/>
          <w:szCs w:val="20"/>
          <w:highlight w:val="none"/>
          <w:lang w:val="en-US" w:eastAsia="zh-CN"/>
        </w:rPr>
        <w:t xml:space="preserve">  本报告预测计算的下垫面特征参数详见下表</w:t>
      </w:r>
    </w:p>
    <w:tbl>
      <w:tblPr>
        <w:tblStyle w:val="37"/>
        <w:tblW w:w="4871"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974"/>
        <w:gridCol w:w="2265"/>
        <w:gridCol w:w="1360"/>
        <w:gridCol w:w="1119"/>
        <w:gridCol w:w="1122"/>
        <w:gridCol w:w="1079"/>
      </w:tblGrid>
      <w:tr w14:paraId="3E683B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pct"/>
            <w:tcBorders>
              <w:tl2br w:val="nil"/>
              <w:tr2bl w:val="nil"/>
            </w:tcBorders>
            <w:vAlign w:val="center"/>
          </w:tcPr>
          <w:p w14:paraId="4486DD44">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bookmarkStart w:id="445" w:name="_Hlk146792354"/>
            <w:r>
              <w:rPr>
                <w:rFonts w:hint="default" w:ascii="Times New Roman" w:hAnsi="Times New Roman" w:eastAsia="宋体" w:cs="Times New Roman"/>
                <w:color w:val="FF0000"/>
                <w:sz w:val="21"/>
                <w:szCs w:val="21"/>
                <w:highlight w:val="none"/>
                <w:vertAlign w:val="baseline"/>
                <w:lang w:val="en-US" w:eastAsia="zh-CN"/>
              </w:rPr>
              <w:t>序号</w:t>
            </w:r>
          </w:p>
        </w:tc>
        <w:tc>
          <w:tcPr>
            <w:tcW w:w="564" w:type="pct"/>
            <w:tcBorders>
              <w:tl2br w:val="nil"/>
              <w:tr2bl w:val="nil"/>
            </w:tcBorders>
            <w:vAlign w:val="center"/>
          </w:tcPr>
          <w:p w14:paraId="5923E980">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扇区</w:t>
            </w:r>
          </w:p>
        </w:tc>
        <w:tc>
          <w:tcPr>
            <w:tcW w:w="1312" w:type="pct"/>
            <w:tcBorders>
              <w:tl2br w:val="nil"/>
              <w:tr2bl w:val="nil"/>
            </w:tcBorders>
            <w:vAlign w:val="center"/>
          </w:tcPr>
          <w:p w14:paraId="10F3C930">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时段</w:t>
            </w:r>
          </w:p>
        </w:tc>
        <w:tc>
          <w:tcPr>
            <w:tcW w:w="788" w:type="pct"/>
            <w:tcBorders>
              <w:tl2br w:val="nil"/>
              <w:tr2bl w:val="nil"/>
            </w:tcBorders>
            <w:vAlign w:val="center"/>
          </w:tcPr>
          <w:p w14:paraId="22BDF3A3">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正午反照率</w:t>
            </w:r>
          </w:p>
        </w:tc>
        <w:tc>
          <w:tcPr>
            <w:tcW w:w="648" w:type="pct"/>
            <w:tcBorders>
              <w:tl2br w:val="nil"/>
              <w:tr2bl w:val="nil"/>
            </w:tcBorders>
            <w:vAlign w:val="center"/>
          </w:tcPr>
          <w:p w14:paraId="3D2A889E">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BOWEN</w:t>
            </w:r>
          </w:p>
        </w:tc>
        <w:tc>
          <w:tcPr>
            <w:tcW w:w="650" w:type="pct"/>
            <w:tcBorders>
              <w:tl2br w:val="nil"/>
              <w:tr2bl w:val="nil"/>
            </w:tcBorders>
            <w:vAlign w:val="center"/>
          </w:tcPr>
          <w:p w14:paraId="68087823">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粗糙度</w:t>
            </w:r>
          </w:p>
        </w:tc>
        <w:tc>
          <w:tcPr>
            <w:tcW w:w="625" w:type="pct"/>
            <w:tcBorders>
              <w:tl2br w:val="nil"/>
              <w:tr2bl w:val="nil"/>
            </w:tcBorders>
            <w:vAlign w:val="center"/>
          </w:tcPr>
          <w:p w14:paraId="46171133">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地表类型</w:t>
            </w:r>
          </w:p>
        </w:tc>
      </w:tr>
      <w:tr w14:paraId="6E672F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pct"/>
            <w:tcBorders>
              <w:tl2br w:val="nil"/>
              <w:tr2bl w:val="nil"/>
            </w:tcBorders>
            <w:vAlign w:val="center"/>
          </w:tcPr>
          <w:p w14:paraId="429F49AD">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1</w:t>
            </w:r>
          </w:p>
        </w:tc>
        <w:tc>
          <w:tcPr>
            <w:tcW w:w="564" w:type="pct"/>
            <w:vMerge w:val="restart"/>
            <w:tcBorders>
              <w:tl2br w:val="nil"/>
              <w:tr2bl w:val="nil"/>
            </w:tcBorders>
            <w:vAlign w:val="center"/>
          </w:tcPr>
          <w:p w14:paraId="29EA3869">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eastAsia" w:eastAsia="宋体" w:cs="Times New Roman"/>
                <w:color w:val="FF0000"/>
                <w:sz w:val="21"/>
                <w:szCs w:val="21"/>
                <w:highlight w:val="none"/>
                <w:vertAlign w:val="baseline"/>
                <w:lang w:val="en-US" w:eastAsia="zh-CN"/>
              </w:rPr>
              <w:t>0-90</w:t>
            </w:r>
          </w:p>
        </w:tc>
        <w:tc>
          <w:tcPr>
            <w:tcW w:w="1312" w:type="pct"/>
            <w:tcBorders>
              <w:tl2br w:val="nil"/>
              <w:tr2bl w:val="nil"/>
            </w:tcBorders>
            <w:vAlign w:val="center"/>
          </w:tcPr>
          <w:p w14:paraId="21E5D3E3">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冬季</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12</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1</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2月</w:t>
            </w:r>
            <w:r>
              <w:rPr>
                <w:rFonts w:hint="eastAsia" w:ascii="Times New Roman" w:hAnsi="Times New Roman" w:eastAsia="宋体" w:cs="Times New Roman"/>
                <w:color w:val="FF0000"/>
                <w:sz w:val="21"/>
                <w:szCs w:val="21"/>
                <w:highlight w:val="none"/>
                <w:vertAlign w:val="baseline"/>
                <w:lang w:val="en-US" w:eastAsia="zh-CN"/>
              </w:rPr>
              <w:t>）</w:t>
            </w:r>
          </w:p>
        </w:tc>
        <w:tc>
          <w:tcPr>
            <w:tcW w:w="788" w:type="pct"/>
            <w:tcBorders>
              <w:tl2br w:val="nil"/>
              <w:tr2bl w:val="nil"/>
            </w:tcBorders>
            <w:vAlign w:val="center"/>
          </w:tcPr>
          <w:p w14:paraId="1BBC5310">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0.35</w:t>
            </w:r>
          </w:p>
        </w:tc>
        <w:tc>
          <w:tcPr>
            <w:tcW w:w="648" w:type="pct"/>
            <w:tcBorders>
              <w:tl2br w:val="nil"/>
              <w:tr2bl w:val="nil"/>
            </w:tcBorders>
            <w:vAlign w:val="center"/>
          </w:tcPr>
          <w:p w14:paraId="1DBD9483">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0.5</w:t>
            </w:r>
          </w:p>
        </w:tc>
        <w:tc>
          <w:tcPr>
            <w:tcW w:w="650" w:type="pct"/>
            <w:tcBorders>
              <w:tl2br w:val="nil"/>
              <w:tr2bl w:val="nil"/>
            </w:tcBorders>
            <w:vAlign w:val="center"/>
          </w:tcPr>
          <w:p w14:paraId="4C1B9741">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1</w:t>
            </w:r>
          </w:p>
        </w:tc>
        <w:tc>
          <w:tcPr>
            <w:tcW w:w="625" w:type="pct"/>
            <w:vMerge w:val="restart"/>
            <w:tcBorders>
              <w:tl2br w:val="nil"/>
              <w:tr2bl w:val="nil"/>
            </w:tcBorders>
            <w:vAlign w:val="center"/>
          </w:tcPr>
          <w:p w14:paraId="49400D0E">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eastAsia="宋体" w:cs="Times New Roman"/>
                <w:color w:val="FF0000"/>
                <w:sz w:val="21"/>
                <w:szCs w:val="21"/>
                <w:highlight w:val="none"/>
                <w:vertAlign w:val="baseline"/>
                <w:lang w:val="en-US" w:eastAsia="zh-CN"/>
              </w:rPr>
              <w:t>农作地</w:t>
            </w:r>
          </w:p>
        </w:tc>
      </w:tr>
      <w:tr w14:paraId="675A69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pct"/>
            <w:tcBorders>
              <w:tl2br w:val="nil"/>
              <w:tr2bl w:val="nil"/>
            </w:tcBorders>
            <w:vAlign w:val="center"/>
          </w:tcPr>
          <w:p w14:paraId="714BAB3F">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2</w:t>
            </w:r>
          </w:p>
        </w:tc>
        <w:tc>
          <w:tcPr>
            <w:tcW w:w="564" w:type="pct"/>
            <w:vMerge w:val="continue"/>
            <w:tcBorders>
              <w:tl2br w:val="nil"/>
              <w:tr2bl w:val="nil"/>
            </w:tcBorders>
            <w:vAlign w:val="center"/>
          </w:tcPr>
          <w:p w14:paraId="60FDF9F0">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p>
        </w:tc>
        <w:tc>
          <w:tcPr>
            <w:tcW w:w="1312" w:type="pct"/>
            <w:tcBorders>
              <w:tl2br w:val="nil"/>
              <w:tr2bl w:val="nil"/>
            </w:tcBorders>
            <w:vAlign w:val="center"/>
          </w:tcPr>
          <w:p w14:paraId="6B540E56">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春季</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3</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4</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5月</w:t>
            </w:r>
            <w:r>
              <w:rPr>
                <w:rFonts w:hint="eastAsia" w:ascii="Times New Roman" w:hAnsi="Times New Roman" w:eastAsia="宋体" w:cs="Times New Roman"/>
                <w:color w:val="FF0000"/>
                <w:sz w:val="21"/>
                <w:szCs w:val="21"/>
                <w:highlight w:val="none"/>
                <w:vertAlign w:val="baseline"/>
                <w:lang w:val="en-US" w:eastAsia="zh-CN"/>
              </w:rPr>
              <w:t>）</w:t>
            </w:r>
          </w:p>
        </w:tc>
        <w:tc>
          <w:tcPr>
            <w:tcW w:w="788" w:type="pct"/>
            <w:tcBorders>
              <w:tl2br w:val="nil"/>
              <w:tr2bl w:val="nil"/>
            </w:tcBorders>
            <w:vAlign w:val="center"/>
          </w:tcPr>
          <w:p w14:paraId="46EC66C6">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0.14</w:t>
            </w:r>
          </w:p>
        </w:tc>
        <w:tc>
          <w:tcPr>
            <w:tcW w:w="648" w:type="pct"/>
            <w:tcBorders>
              <w:tl2br w:val="nil"/>
              <w:tr2bl w:val="nil"/>
            </w:tcBorders>
            <w:vAlign w:val="center"/>
          </w:tcPr>
          <w:p w14:paraId="75115B2E">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0.5</w:t>
            </w:r>
          </w:p>
        </w:tc>
        <w:tc>
          <w:tcPr>
            <w:tcW w:w="650" w:type="pct"/>
            <w:tcBorders>
              <w:tl2br w:val="nil"/>
              <w:tr2bl w:val="nil"/>
            </w:tcBorders>
            <w:vAlign w:val="center"/>
          </w:tcPr>
          <w:p w14:paraId="081D66D6">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1</w:t>
            </w:r>
          </w:p>
        </w:tc>
        <w:tc>
          <w:tcPr>
            <w:tcW w:w="625" w:type="pct"/>
            <w:vMerge w:val="continue"/>
            <w:tcBorders>
              <w:tl2br w:val="nil"/>
              <w:tr2bl w:val="nil"/>
            </w:tcBorders>
            <w:vAlign w:val="center"/>
          </w:tcPr>
          <w:p w14:paraId="09F9C89E">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p>
        </w:tc>
      </w:tr>
      <w:tr w14:paraId="76ED9E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pct"/>
            <w:tcBorders>
              <w:tl2br w:val="nil"/>
              <w:tr2bl w:val="nil"/>
            </w:tcBorders>
            <w:vAlign w:val="center"/>
          </w:tcPr>
          <w:p w14:paraId="0B33D63C">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3</w:t>
            </w:r>
          </w:p>
        </w:tc>
        <w:tc>
          <w:tcPr>
            <w:tcW w:w="564" w:type="pct"/>
            <w:vMerge w:val="continue"/>
            <w:tcBorders>
              <w:tl2br w:val="nil"/>
              <w:tr2bl w:val="nil"/>
            </w:tcBorders>
            <w:vAlign w:val="center"/>
          </w:tcPr>
          <w:p w14:paraId="4AD59FC6">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p>
        </w:tc>
        <w:tc>
          <w:tcPr>
            <w:tcW w:w="1312" w:type="pct"/>
            <w:tcBorders>
              <w:tl2br w:val="nil"/>
              <w:tr2bl w:val="nil"/>
            </w:tcBorders>
            <w:vAlign w:val="center"/>
          </w:tcPr>
          <w:p w14:paraId="70821D0A">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夏季</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6</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7</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8月</w:t>
            </w:r>
            <w:r>
              <w:rPr>
                <w:rFonts w:hint="eastAsia" w:ascii="Times New Roman" w:hAnsi="Times New Roman" w:eastAsia="宋体" w:cs="Times New Roman"/>
                <w:color w:val="FF0000"/>
                <w:sz w:val="21"/>
                <w:szCs w:val="21"/>
                <w:highlight w:val="none"/>
                <w:vertAlign w:val="baseline"/>
                <w:lang w:val="en-US" w:eastAsia="zh-CN"/>
              </w:rPr>
              <w:t>）</w:t>
            </w:r>
          </w:p>
        </w:tc>
        <w:tc>
          <w:tcPr>
            <w:tcW w:w="788" w:type="pct"/>
            <w:tcBorders>
              <w:tl2br w:val="nil"/>
              <w:tr2bl w:val="nil"/>
            </w:tcBorders>
            <w:vAlign w:val="center"/>
          </w:tcPr>
          <w:p w14:paraId="691827AA">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0.16</w:t>
            </w:r>
          </w:p>
        </w:tc>
        <w:tc>
          <w:tcPr>
            <w:tcW w:w="648" w:type="pct"/>
            <w:tcBorders>
              <w:tl2br w:val="nil"/>
              <w:tr2bl w:val="nil"/>
            </w:tcBorders>
            <w:vAlign w:val="center"/>
          </w:tcPr>
          <w:p w14:paraId="0E03B0E8">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1</w:t>
            </w:r>
          </w:p>
        </w:tc>
        <w:tc>
          <w:tcPr>
            <w:tcW w:w="650" w:type="pct"/>
            <w:tcBorders>
              <w:tl2br w:val="nil"/>
              <w:tr2bl w:val="nil"/>
            </w:tcBorders>
            <w:vAlign w:val="center"/>
          </w:tcPr>
          <w:p w14:paraId="351DEF06">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1</w:t>
            </w:r>
          </w:p>
        </w:tc>
        <w:tc>
          <w:tcPr>
            <w:tcW w:w="625" w:type="pct"/>
            <w:vMerge w:val="continue"/>
            <w:tcBorders>
              <w:tl2br w:val="nil"/>
              <w:tr2bl w:val="nil"/>
            </w:tcBorders>
            <w:vAlign w:val="center"/>
          </w:tcPr>
          <w:p w14:paraId="79089764">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p>
        </w:tc>
      </w:tr>
      <w:tr w14:paraId="477490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pct"/>
            <w:tcBorders>
              <w:tl2br w:val="nil"/>
              <w:tr2bl w:val="nil"/>
            </w:tcBorders>
            <w:vAlign w:val="center"/>
          </w:tcPr>
          <w:p w14:paraId="600B879F">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4</w:t>
            </w:r>
          </w:p>
        </w:tc>
        <w:tc>
          <w:tcPr>
            <w:tcW w:w="564" w:type="pct"/>
            <w:vMerge w:val="continue"/>
            <w:tcBorders>
              <w:tl2br w:val="nil"/>
              <w:tr2bl w:val="nil"/>
            </w:tcBorders>
            <w:vAlign w:val="center"/>
          </w:tcPr>
          <w:p w14:paraId="2F966304">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p>
        </w:tc>
        <w:tc>
          <w:tcPr>
            <w:tcW w:w="1312" w:type="pct"/>
            <w:tcBorders>
              <w:tl2br w:val="nil"/>
              <w:tr2bl w:val="nil"/>
            </w:tcBorders>
            <w:vAlign w:val="center"/>
          </w:tcPr>
          <w:p w14:paraId="32903F8A">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秋季</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9</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10</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11月</w:t>
            </w:r>
            <w:r>
              <w:rPr>
                <w:rFonts w:hint="eastAsia" w:ascii="Times New Roman" w:hAnsi="Times New Roman" w:eastAsia="宋体" w:cs="Times New Roman"/>
                <w:color w:val="FF0000"/>
                <w:sz w:val="21"/>
                <w:szCs w:val="21"/>
                <w:highlight w:val="none"/>
                <w:vertAlign w:val="baseline"/>
                <w:lang w:val="en-US" w:eastAsia="zh-CN"/>
              </w:rPr>
              <w:t>）</w:t>
            </w:r>
          </w:p>
        </w:tc>
        <w:tc>
          <w:tcPr>
            <w:tcW w:w="788" w:type="pct"/>
            <w:tcBorders>
              <w:tl2br w:val="nil"/>
              <w:tr2bl w:val="nil"/>
            </w:tcBorders>
            <w:vAlign w:val="center"/>
          </w:tcPr>
          <w:p w14:paraId="6CBCF662">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0.18</w:t>
            </w:r>
          </w:p>
        </w:tc>
        <w:tc>
          <w:tcPr>
            <w:tcW w:w="648" w:type="pct"/>
            <w:tcBorders>
              <w:tl2br w:val="nil"/>
              <w:tr2bl w:val="nil"/>
            </w:tcBorders>
            <w:vAlign w:val="center"/>
          </w:tcPr>
          <w:p w14:paraId="29CBF7C1">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1</w:t>
            </w:r>
          </w:p>
        </w:tc>
        <w:tc>
          <w:tcPr>
            <w:tcW w:w="650" w:type="pct"/>
            <w:tcBorders>
              <w:tl2br w:val="nil"/>
              <w:tr2bl w:val="nil"/>
            </w:tcBorders>
            <w:vAlign w:val="center"/>
          </w:tcPr>
          <w:p w14:paraId="3AD84BE8">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1</w:t>
            </w:r>
          </w:p>
        </w:tc>
        <w:tc>
          <w:tcPr>
            <w:tcW w:w="625" w:type="pct"/>
            <w:vMerge w:val="continue"/>
            <w:tcBorders>
              <w:tl2br w:val="nil"/>
              <w:tr2bl w:val="nil"/>
            </w:tcBorders>
            <w:vAlign w:val="center"/>
          </w:tcPr>
          <w:p w14:paraId="6D18F76C">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p>
        </w:tc>
      </w:tr>
      <w:tr w14:paraId="519ACB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pct"/>
            <w:tcBorders>
              <w:tl2br w:val="nil"/>
              <w:tr2bl w:val="nil"/>
            </w:tcBorders>
            <w:vAlign w:val="center"/>
          </w:tcPr>
          <w:p w14:paraId="62E6E041">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eastAsia" w:eastAsia="宋体" w:cs="Times New Roman"/>
                <w:color w:val="FF0000"/>
                <w:sz w:val="21"/>
                <w:szCs w:val="21"/>
                <w:highlight w:val="none"/>
                <w:vertAlign w:val="baseline"/>
                <w:lang w:val="en-US" w:eastAsia="zh-CN"/>
              </w:rPr>
              <w:t>5</w:t>
            </w:r>
          </w:p>
        </w:tc>
        <w:tc>
          <w:tcPr>
            <w:tcW w:w="564" w:type="pct"/>
            <w:vMerge w:val="restart"/>
            <w:tcBorders>
              <w:tl2br w:val="nil"/>
              <w:tr2bl w:val="nil"/>
            </w:tcBorders>
            <w:vAlign w:val="center"/>
          </w:tcPr>
          <w:p w14:paraId="7386144D">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eastAsia="宋体" w:cs="Times New Roman"/>
                <w:color w:val="FF0000"/>
                <w:sz w:val="21"/>
                <w:szCs w:val="21"/>
                <w:highlight w:val="none"/>
                <w:vertAlign w:val="baseline"/>
                <w:lang w:val="en-US" w:eastAsia="zh-CN"/>
              </w:rPr>
            </w:pPr>
            <w:r>
              <w:rPr>
                <w:rFonts w:hint="eastAsia" w:eastAsia="宋体" w:cs="Times New Roman"/>
                <w:color w:val="FF0000"/>
                <w:sz w:val="21"/>
                <w:szCs w:val="21"/>
                <w:highlight w:val="none"/>
                <w:vertAlign w:val="baseline"/>
                <w:lang w:val="en-US" w:eastAsia="zh-CN"/>
              </w:rPr>
              <w:t>90-180</w:t>
            </w:r>
          </w:p>
        </w:tc>
        <w:tc>
          <w:tcPr>
            <w:tcW w:w="1312" w:type="pct"/>
            <w:tcBorders>
              <w:tl2br w:val="nil"/>
              <w:tr2bl w:val="nil"/>
            </w:tcBorders>
            <w:vAlign w:val="center"/>
          </w:tcPr>
          <w:p w14:paraId="0CFFC386">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冬季</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12</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1</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2月</w:t>
            </w:r>
            <w:r>
              <w:rPr>
                <w:rFonts w:hint="eastAsia" w:ascii="Times New Roman" w:hAnsi="Times New Roman" w:eastAsia="宋体" w:cs="Times New Roman"/>
                <w:color w:val="FF0000"/>
                <w:sz w:val="21"/>
                <w:szCs w:val="21"/>
                <w:highlight w:val="none"/>
                <w:vertAlign w:val="baseline"/>
                <w:lang w:val="en-US" w:eastAsia="zh-CN"/>
              </w:rPr>
              <w:t>）</w:t>
            </w:r>
          </w:p>
        </w:tc>
        <w:tc>
          <w:tcPr>
            <w:tcW w:w="788" w:type="pct"/>
            <w:tcBorders>
              <w:tl2br w:val="nil"/>
              <w:tr2bl w:val="nil"/>
            </w:tcBorders>
            <w:vAlign w:val="center"/>
          </w:tcPr>
          <w:p w14:paraId="7EA41E15">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0.6</w:t>
            </w:r>
          </w:p>
        </w:tc>
        <w:tc>
          <w:tcPr>
            <w:tcW w:w="648" w:type="pct"/>
            <w:tcBorders>
              <w:tl2br w:val="nil"/>
              <w:tr2bl w:val="nil"/>
            </w:tcBorders>
            <w:vAlign w:val="center"/>
          </w:tcPr>
          <w:p w14:paraId="3629F12E">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0.5</w:t>
            </w:r>
          </w:p>
        </w:tc>
        <w:tc>
          <w:tcPr>
            <w:tcW w:w="650" w:type="pct"/>
            <w:tcBorders>
              <w:tl2br w:val="nil"/>
              <w:tr2bl w:val="nil"/>
            </w:tcBorders>
            <w:vAlign w:val="center"/>
          </w:tcPr>
          <w:p w14:paraId="17B507BD">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0.01</w:t>
            </w:r>
          </w:p>
        </w:tc>
        <w:tc>
          <w:tcPr>
            <w:tcW w:w="625" w:type="pct"/>
            <w:vMerge w:val="restart"/>
            <w:tcBorders>
              <w:tl2br w:val="nil"/>
              <w:tr2bl w:val="nil"/>
            </w:tcBorders>
            <w:vAlign w:val="center"/>
          </w:tcPr>
          <w:p w14:paraId="2C50205E">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城市</w:t>
            </w:r>
          </w:p>
        </w:tc>
      </w:tr>
      <w:tr w14:paraId="18D776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pct"/>
            <w:tcBorders>
              <w:tl2br w:val="nil"/>
              <w:tr2bl w:val="nil"/>
            </w:tcBorders>
            <w:vAlign w:val="center"/>
          </w:tcPr>
          <w:p w14:paraId="5A7FC77B">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eastAsia" w:eastAsia="宋体" w:cs="Times New Roman"/>
                <w:color w:val="FF0000"/>
                <w:sz w:val="21"/>
                <w:szCs w:val="21"/>
                <w:highlight w:val="none"/>
                <w:vertAlign w:val="baseline"/>
                <w:lang w:val="en-US" w:eastAsia="zh-CN"/>
              </w:rPr>
              <w:t>6</w:t>
            </w:r>
          </w:p>
        </w:tc>
        <w:tc>
          <w:tcPr>
            <w:tcW w:w="564" w:type="pct"/>
            <w:vMerge w:val="continue"/>
            <w:tcBorders>
              <w:tl2br w:val="nil"/>
              <w:tr2bl w:val="nil"/>
            </w:tcBorders>
            <w:vAlign w:val="center"/>
          </w:tcPr>
          <w:p w14:paraId="318D6718">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eastAsia="宋体" w:cs="Times New Roman"/>
                <w:color w:val="FF0000"/>
                <w:sz w:val="21"/>
                <w:szCs w:val="21"/>
                <w:highlight w:val="none"/>
                <w:vertAlign w:val="baseline"/>
                <w:lang w:val="en-US" w:eastAsia="zh-CN"/>
              </w:rPr>
            </w:pPr>
          </w:p>
        </w:tc>
        <w:tc>
          <w:tcPr>
            <w:tcW w:w="1312" w:type="pct"/>
            <w:tcBorders>
              <w:tl2br w:val="nil"/>
              <w:tr2bl w:val="nil"/>
            </w:tcBorders>
            <w:vAlign w:val="center"/>
          </w:tcPr>
          <w:p w14:paraId="79627F0C">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春季</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3</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4</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5月</w:t>
            </w:r>
            <w:r>
              <w:rPr>
                <w:rFonts w:hint="eastAsia" w:ascii="Times New Roman" w:hAnsi="Times New Roman" w:eastAsia="宋体" w:cs="Times New Roman"/>
                <w:color w:val="FF0000"/>
                <w:sz w:val="21"/>
                <w:szCs w:val="21"/>
                <w:highlight w:val="none"/>
                <w:vertAlign w:val="baseline"/>
                <w:lang w:val="en-US" w:eastAsia="zh-CN"/>
              </w:rPr>
              <w:t>）</w:t>
            </w:r>
          </w:p>
        </w:tc>
        <w:tc>
          <w:tcPr>
            <w:tcW w:w="788" w:type="pct"/>
            <w:tcBorders>
              <w:tl2br w:val="nil"/>
              <w:tr2bl w:val="nil"/>
            </w:tcBorders>
            <w:vAlign w:val="center"/>
          </w:tcPr>
          <w:p w14:paraId="16863D11">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0.14</w:t>
            </w:r>
          </w:p>
        </w:tc>
        <w:tc>
          <w:tcPr>
            <w:tcW w:w="648" w:type="pct"/>
            <w:tcBorders>
              <w:tl2br w:val="nil"/>
              <w:tr2bl w:val="nil"/>
            </w:tcBorders>
            <w:vAlign w:val="center"/>
          </w:tcPr>
          <w:p w14:paraId="162F0142">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0.2</w:t>
            </w:r>
          </w:p>
        </w:tc>
        <w:tc>
          <w:tcPr>
            <w:tcW w:w="650" w:type="pct"/>
            <w:tcBorders>
              <w:tl2br w:val="nil"/>
              <w:tr2bl w:val="nil"/>
            </w:tcBorders>
            <w:vAlign w:val="center"/>
          </w:tcPr>
          <w:p w14:paraId="05E32DCF">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0.03</w:t>
            </w:r>
          </w:p>
        </w:tc>
        <w:tc>
          <w:tcPr>
            <w:tcW w:w="625" w:type="pct"/>
            <w:vMerge w:val="continue"/>
            <w:tcBorders>
              <w:tl2br w:val="nil"/>
              <w:tr2bl w:val="nil"/>
            </w:tcBorders>
            <w:vAlign w:val="center"/>
          </w:tcPr>
          <w:p w14:paraId="7C6B5CEC">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p>
        </w:tc>
      </w:tr>
      <w:tr w14:paraId="47342E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pct"/>
            <w:tcBorders>
              <w:tl2br w:val="nil"/>
              <w:tr2bl w:val="nil"/>
            </w:tcBorders>
            <w:vAlign w:val="center"/>
          </w:tcPr>
          <w:p w14:paraId="60AED30D">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eastAsia" w:eastAsia="宋体" w:cs="Times New Roman"/>
                <w:color w:val="FF0000"/>
                <w:sz w:val="21"/>
                <w:szCs w:val="21"/>
                <w:highlight w:val="none"/>
                <w:vertAlign w:val="baseline"/>
                <w:lang w:val="en-US" w:eastAsia="zh-CN"/>
              </w:rPr>
              <w:t>7</w:t>
            </w:r>
          </w:p>
        </w:tc>
        <w:tc>
          <w:tcPr>
            <w:tcW w:w="564" w:type="pct"/>
            <w:vMerge w:val="continue"/>
            <w:tcBorders>
              <w:tl2br w:val="nil"/>
              <w:tr2bl w:val="nil"/>
            </w:tcBorders>
            <w:vAlign w:val="center"/>
          </w:tcPr>
          <w:p w14:paraId="5A513015">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eastAsia="宋体" w:cs="Times New Roman"/>
                <w:color w:val="FF0000"/>
                <w:sz w:val="21"/>
                <w:szCs w:val="21"/>
                <w:highlight w:val="none"/>
                <w:vertAlign w:val="baseline"/>
                <w:lang w:val="en-US" w:eastAsia="zh-CN"/>
              </w:rPr>
            </w:pPr>
          </w:p>
        </w:tc>
        <w:tc>
          <w:tcPr>
            <w:tcW w:w="1312" w:type="pct"/>
            <w:tcBorders>
              <w:tl2br w:val="nil"/>
              <w:tr2bl w:val="nil"/>
            </w:tcBorders>
            <w:vAlign w:val="center"/>
          </w:tcPr>
          <w:p w14:paraId="4BD1C1A4">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夏季</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6</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7</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8月</w:t>
            </w:r>
            <w:r>
              <w:rPr>
                <w:rFonts w:hint="eastAsia" w:ascii="Times New Roman" w:hAnsi="Times New Roman" w:eastAsia="宋体" w:cs="Times New Roman"/>
                <w:color w:val="FF0000"/>
                <w:sz w:val="21"/>
                <w:szCs w:val="21"/>
                <w:highlight w:val="none"/>
                <w:vertAlign w:val="baseline"/>
                <w:lang w:val="en-US" w:eastAsia="zh-CN"/>
              </w:rPr>
              <w:t>）</w:t>
            </w:r>
          </w:p>
        </w:tc>
        <w:tc>
          <w:tcPr>
            <w:tcW w:w="788" w:type="pct"/>
            <w:tcBorders>
              <w:tl2br w:val="nil"/>
              <w:tr2bl w:val="nil"/>
            </w:tcBorders>
            <w:vAlign w:val="center"/>
          </w:tcPr>
          <w:p w14:paraId="48E2A07E">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0.2</w:t>
            </w:r>
          </w:p>
        </w:tc>
        <w:tc>
          <w:tcPr>
            <w:tcW w:w="648" w:type="pct"/>
            <w:tcBorders>
              <w:tl2br w:val="nil"/>
              <w:tr2bl w:val="nil"/>
            </w:tcBorders>
            <w:vAlign w:val="center"/>
          </w:tcPr>
          <w:p w14:paraId="4C22E392">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0.3</w:t>
            </w:r>
          </w:p>
        </w:tc>
        <w:tc>
          <w:tcPr>
            <w:tcW w:w="650" w:type="pct"/>
            <w:tcBorders>
              <w:tl2br w:val="nil"/>
              <w:tr2bl w:val="nil"/>
            </w:tcBorders>
            <w:vAlign w:val="center"/>
          </w:tcPr>
          <w:p w14:paraId="72C08F21">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0.2</w:t>
            </w:r>
          </w:p>
        </w:tc>
        <w:tc>
          <w:tcPr>
            <w:tcW w:w="625" w:type="pct"/>
            <w:vMerge w:val="continue"/>
            <w:tcBorders>
              <w:tl2br w:val="nil"/>
              <w:tr2bl w:val="nil"/>
            </w:tcBorders>
            <w:vAlign w:val="center"/>
          </w:tcPr>
          <w:p w14:paraId="6C516E0A">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p>
        </w:tc>
      </w:tr>
      <w:tr w14:paraId="1F456B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pct"/>
            <w:tcBorders>
              <w:tl2br w:val="nil"/>
              <w:tr2bl w:val="nil"/>
            </w:tcBorders>
            <w:vAlign w:val="center"/>
          </w:tcPr>
          <w:p w14:paraId="299444A5">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eastAsia" w:eastAsia="宋体" w:cs="Times New Roman"/>
                <w:color w:val="FF0000"/>
                <w:sz w:val="21"/>
                <w:szCs w:val="21"/>
                <w:highlight w:val="none"/>
                <w:vertAlign w:val="baseline"/>
                <w:lang w:val="en-US" w:eastAsia="zh-CN"/>
              </w:rPr>
              <w:t>8</w:t>
            </w:r>
          </w:p>
        </w:tc>
        <w:tc>
          <w:tcPr>
            <w:tcW w:w="564" w:type="pct"/>
            <w:vMerge w:val="continue"/>
            <w:tcBorders>
              <w:tl2br w:val="nil"/>
              <w:tr2bl w:val="nil"/>
            </w:tcBorders>
            <w:vAlign w:val="center"/>
          </w:tcPr>
          <w:p w14:paraId="276BC85D">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eastAsia="宋体" w:cs="Times New Roman"/>
                <w:color w:val="FF0000"/>
                <w:sz w:val="21"/>
                <w:szCs w:val="21"/>
                <w:highlight w:val="none"/>
                <w:vertAlign w:val="baseline"/>
                <w:lang w:val="en-US" w:eastAsia="zh-CN"/>
              </w:rPr>
            </w:pPr>
          </w:p>
        </w:tc>
        <w:tc>
          <w:tcPr>
            <w:tcW w:w="1312" w:type="pct"/>
            <w:tcBorders>
              <w:tl2br w:val="nil"/>
              <w:tr2bl w:val="nil"/>
            </w:tcBorders>
            <w:vAlign w:val="center"/>
          </w:tcPr>
          <w:p w14:paraId="5DECA56C">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秋季</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9</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10</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11月</w:t>
            </w:r>
            <w:r>
              <w:rPr>
                <w:rFonts w:hint="eastAsia" w:ascii="Times New Roman" w:hAnsi="Times New Roman" w:eastAsia="宋体" w:cs="Times New Roman"/>
                <w:color w:val="FF0000"/>
                <w:sz w:val="21"/>
                <w:szCs w:val="21"/>
                <w:highlight w:val="none"/>
                <w:vertAlign w:val="baseline"/>
                <w:lang w:val="en-US" w:eastAsia="zh-CN"/>
              </w:rPr>
              <w:t>）</w:t>
            </w:r>
          </w:p>
        </w:tc>
        <w:tc>
          <w:tcPr>
            <w:tcW w:w="788" w:type="pct"/>
            <w:tcBorders>
              <w:tl2br w:val="nil"/>
              <w:tr2bl w:val="nil"/>
            </w:tcBorders>
            <w:vAlign w:val="center"/>
          </w:tcPr>
          <w:p w14:paraId="1B0524A4">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0.18</w:t>
            </w:r>
          </w:p>
        </w:tc>
        <w:tc>
          <w:tcPr>
            <w:tcW w:w="648" w:type="pct"/>
            <w:tcBorders>
              <w:tl2br w:val="nil"/>
              <w:tr2bl w:val="nil"/>
            </w:tcBorders>
            <w:vAlign w:val="center"/>
          </w:tcPr>
          <w:p w14:paraId="1831DB5B">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0.4</w:t>
            </w:r>
          </w:p>
        </w:tc>
        <w:tc>
          <w:tcPr>
            <w:tcW w:w="650" w:type="pct"/>
            <w:tcBorders>
              <w:tl2br w:val="nil"/>
              <w:tr2bl w:val="nil"/>
            </w:tcBorders>
            <w:vAlign w:val="center"/>
          </w:tcPr>
          <w:p w14:paraId="6B92182C">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0.05</w:t>
            </w:r>
          </w:p>
        </w:tc>
        <w:tc>
          <w:tcPr>
            <w:tcW w:w="625" w:type="pct"/>
            <w:vMerge w:val="continue"/>
            <w:tcBorders>
              <w:tl2br w:val="nil"/>
              <w:tr2bl w:val="nil"/>
            </w:tcBorders>
            <w:vAlign w:val="center"/>
          </w:tcPr>
          <w:p w14:paraId="2FBCC099">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p>
        </w:tc>
      </w:tr>
      <w:tr w14:paraId="6639EC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pct"/>
            <w:tcBorders>
              <w:tl2br w:val="nil"/>
              <w:tr2bl w:val="nil"/>
            </w:tcBorders>
            <w:vAlign w:val="center"/>
          </w:tcPr>
          <w:p w14:paraId="70E91D0B">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eastAsia="宋体" w:cs="Times New Roman"/>
                <w:color w:val="FF0000"/>
                <w:sz w:val="21"/>
                <w:szCs w:val="21"/>
                <w:highlight w:val="none"/>
                <w:vertAlign w:val="baseline"/>
                <w:lang w:val="en-US" w:eastAsia="zh-CN"/>
              </w:rPr>
            </w:pPr>
            <w:r>
              <w:rPr>
                <w:rFonts w:hint="eastAsia" w:eastAsia="宋体" w:cs="Times New Roman"/>
                <w:color w:val="FF0000"/>
                <w:sz w:val="21"/>
                <w:szCs w:val="21"/>
                <w:highlight w:val="none"/>
                <w:vertAlign w:val="baseline"/>
                <w:lang w:val="en-US" w:eastAsia="zh-CN"/>
              </w:rPr>
              <w:t>9</w:t>
            </w:r>
          </w:p>
        </w:tc>
        <w:tc>
          <w:tcPr>
            <w:tcW w:w="564" w:type="pct"/>
            <w:vMerge w:val="restart"/>
            <w:tcBorders>
              <w:tl2br w:val="nil"/>
              <w:tr2bl w:val="nil"/>
            </w:tcBorders>
            <w:vAlign w:val="center"/>
          </w:tcPr>
          <w:p w14:paraId="072F8645">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eastAsia="宋体" w:cs="Times New Roman"/>
                <w:color w:val="FF0000"/>
                <w:sz w:val="21"/>
                <w:szCs w:val="21"/>
                <w:highlight w:val="none"/>
                <w:vertAlign w:val="baseline"/>
                <w:lang w:val="en-US" w:eastAsia="zh-CN"/>
              </w:rPr>
            </w:pPr>
            <w:r>
              <w:rPr>
                <w:rFonts w:hint="eastAsia" w:eastAsia="宋体" w:cs="Times New Roman"/>
                <w:color w:val="FF0000"/>
                <w:sz w:val="21"/>
                <w:szCs w:val="21"/>
                <w:highlight w:val="none"/>
                <w:vertAlign w:val="baseline"/>
                <w:lang w:val="en-US" w:eastAsia="zh-CN"/>
              </w:rPr>
              <w:t>180-270</w:t>
            </w:r>
          </w:p>
        </w:tc>
        <w:tc>
          <w:tcPr>
            <w:tcW w:w="1312" w:type="pct"/>
            <w:tcBorders>
              <w:tl2br w:val="nil"/>
              <w:tr2bl w:val="nil"/>
            </w:tcBorders>
            <w:vAlign w:val="center"/>
          </w:tcPr>
          <w:p w14:paraId="04B72685">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冬季</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12</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1</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2月</w:t>
            </w:r>
            <w:r>
              <w:rPr>
                <w:rFonts w:hint="eastAsia" w:ascii="Times New Roman" w:hAnsi="Times New Roman" w:eastAsia="宋体" w:cs="Times New Roman"/>
                <w:color w:val="FF0000"/>
                <w:sz w:val="21"/>
                <w:szCs w:val="21"/>
                <w:highlight w:val="none"/>
                <w:vertAlign w:val="baseline"/>
                <w:lang w:val="en-US" w:eastAsia="zh-CN"/>
              </w:rPr>
              <w:t>）</w:t>
            </w:r>
          </w:p>
        </w:tc>
        <w:tc>
          <w:tcPr>
            <w:tcW w:w="788" w:type="pct"/>
            <w:tcBorders>
              <w:tl2br w:val="nil"/>
              <w:tr2bl w:val="nil"/>
            </w:tcBorders>
            <w:vAlign w:val="center"/>
          </w:tcPr>
          <w:p w14:paraId="1B97DA09">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0.6</w:t>
            </w:r>
          </w:p>
        </w:tc>
        <w:tc>
          <w:tcPr>
            <w:tcW w:w="648" w:type="pct"/>
            <w:tcBorders>
              <w:tl2br w:val="nil"/>
              <w:tr2bl w:val="nil"/>
            </w:tcBorders>
            <w:vAlign w:val="center"/>
          </w:tcPr>
          <w:p w14:paraId="0CEF7955">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0.5</w:t>
            </w:r>
          </w:p>
        </w:tc>
        <w:tc>
          <w:tcPr>
            <w:tcW w:w="650" w:type="pct"/>
            <w:tcBorders>
              <w:tl2br w:val="nil"/>
              <w:tr2bl w:val="nil"/>
            </w:tcBorders>
            <w:vAlign w:val="center"/>
          </w:tcPr>
          <w:p w14:paraId="72E63D56">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0.01</w:t>
            </w:r>
          </w:p>
        </w:tc>
        <w:tc>
          <w:tcPr>
            <w:tcW w:w="625" w:type="pct"/>
            <w:vMerge w:val="restart"/>
            <w:tcBorders>
              <w:tl2br w:val="nil"/>
              <w:tr2bl w:val="nil"/>
            </w:tcBorders>
            <w:vAlign w:val="center"/>
          </w:tcPr>
          <w:p w14:paraId="345A5E2D">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城市</w:t>
            </w:r>
          </w:p>
        </w:tc>
      </w:tr>
      <w:tr w14:paraId="66169B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pct"/>
            <w:tcBorders>
              <w:tl2br w:val="nil"/>
              <w:tr2bl w:val="nil"/>
            </w:tcBorders>
            <w:vAlign w:val="center"/>
          </w:tcPr>
          <w:p w14:paraId="722014F4">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eastAsia="宋体" w:cs="Times New Roman"/>
                <w:color w:val="FF0000"/>
                <w:sz w:val="21"/>
                <w:szCs w:val="21"/>
                <w:highlight w:val="none"/>
                <w:vertAlign w:val="baseline"/>
                <w:lang w:val="en-US" w:eastAsia="zh-CN"/>
              </w:rPr>
            </w:pPr>
            <w:r>
              <w:rPr>
                <w:rFonts w:hint="eastAsia" w:eastAsia="宋体" w:cs="Times New Roman"/>
                <w:color w:val="FF0000"/>
                <w:sz w:val="21"/>
                <w:szCs w:val="21"/>
                <w:highlight w:val="none"/>
                <w:vertAlign w:val="baseline"/>
                <w:lang w:val="en-US" w:eastAsia="zh-CN"/>
              </w:rPr>
              <w:t>10</w:t>
            </w:r>
          </w:p>
        </w:tc>
        <w:tc>
          <w:tcPr>
            <w:tcW w:w="564" w:type="pct"/>
            <w:vMerge w:val="continue"/>
            <w:tcBorders>
              <w:tl2br w:val="nil"/>
              <w:tr2bl w:val="nil"/>
            </w:tcBorders>
            <w:vAlign w:val="center"/>
          </w:tcPr>
          <w:p w14:paraId="331C901B">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eastAsia="宋体" w:cs="Times New Roman"/>
                <w:color w:val="FF0000"/>
                <w:sz w:val="21"/>
                <w:szCs w:val="21"/>
                <w:highlight w:val="none"/>
                <w:vertAlign w:val="baseline"/>
                <w:lang w:val="en-US" w:eastAsia="zh-CN"/>
              </w:rPr>
            </w:pPr>
          </w:p>
        </w:tc>
        <w:tc>
          <w:tcPr>
            <w:tcW w:w="1312" w:type="pct"/>
            <w:tcBorders>
              <w:tl2br w:val="nil"/>
              <w:tr2bl w:val="nil"/>
            </w:tcBorders>
            <w:vAlign w:val="center"/>
          </w:tcPr>
          <w:p w14:paraId="137CA9BC">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春季</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3</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4</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5月</w:t>
            </w:r>
            <w:r>
              <w:rPr>
                <w:rFonts w:hint="eastAsia" w:ascii="Times New Roman" w:hAnsi="Times New Roman" w:eastAsia="宋体" w:cs="Times New Roman"/>
                <w:color w:val="FF0000"/>
                <w:sz w:val="21"/>
                <w:szCs w:val="21"/>
                <w:highlight w:val="none"/>
                <w:vertAlign w:val="baseline"/>
                <w:lang w:val="en-US" w:eastAsia="zh-CN"/>
              </w:rPr>
              <w:t>）</w:t>
            </w:r>
          </w:p>
        </w:tc>
        <w:tc>
          <w:tcPr>
            <w:tcW w:w="788" w:type="pct"/>
            <w:tcBorders>
              <w:tl2br w:val="nil"/>
              <w:tr2bl w:val="nil"/>
            </w:tcBorders>
            <w:vAlign w:val="center"/>
          </w:tcPr>
          <w:p w14:paraId="2F34C9F8">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0.14</w:t>
            </w:r>
          </w:p>
        </w:tc>
        <w:tc>
          <w:tcPr>
            <w:tcW w:w="648" w:type="pct"/>
            <w:tcBorders>
              <w:tl2br w:val="nil"/>
              <w:tr2bl w:val="nil"/>
            </w:tcBorders>
            <w:vAlign w:val="center"/>
          </w:tcPr>
          <w:p w14:paraId="5E312E55">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0.2</w:t>
            </w:r>
          </w:p>
        </w:tc>
        <w:tc>
          <w:tcPr>
            <w:tcW w:w="650" w:type="pct"/>
            <w:tcBorders>
              <w:tl2br w:val="nil"/>
              <w:tr2bl w:val="nil"/>
            </w:tcBorders>
            <w:vAlign w:val="center"/>
          </w:tcPr>
          <w:p w14:paraId="14E3ECCD">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0.03</w:t>
            </w:r>
          </w:p>
        </w:tc>
        <w:tc>
          <w:tcPr>
            <w:tcW w:w="625" w:type="pct"/>
            <w:vMerge w:val="continue"/>
            <w:tcBorders>
              <w:tl2br w:val="nil"/>
              <w:tr2bl w:val="nil"/>
            </w:tcBorders>
            <w:vAlign w:val="center"/>
          </w:tcPr>
          <w:p w14:paraId="0BF49025">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p>
        </w:tc>
      </w:tr>
      <w:tr w14:paraId="6EBB0F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pct"/>
            <w:tcBorders>
              <w:tl2br w:val="nil"/>
              <w:tr2bl w:val="nil"/>
            </w:tcBorders>
            <w:vAlign w:val="center"/>
          </w:tcPr>
          <w:p w14:paraId="3AEAE71B">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eastAsia="宋体" w:cs="Times New Roman"/>
                <w:color w:val="FF0000"/>
                <w:sz w:val="21"/>
                <w:szCs w:val="21"/>
                <w:highlight w:val="none"/>
                <w:vertAlign w:val="baseline"/>
                <w:lang w:val="en-US" w:eastAsia="zh-CN"/>
              </w:rPr>
            </w:pPr>
            <w:r>
              <w:rPr>
                <w:rFonts w:hint="eastAsia" w:eastAsia="宋体" w:cs="Times New Roman"/>
                <w:color w:val="FF0000"/>
                <w:sz w:val="21"/>
                <w:szCs w:val="21"/>
                <w:highlight w:val="none"/>
                <w:vertAlign w:val="baseline"/>
                <w:lang w:val="en-US" w:eastAsia="zh-CN"/>
              </w:rPr>
              <w:t>11</w:t>
            </w:r>
          </w:p>
        </w:tc>
        <w:tc>
          <w:tcPr>
            <w:tcW w:w="564" w:type="pct"/>
            <w:vMerge w:val="continue"/>
            <w:tcBorders>
              <w:tl2br w:val="nil"/>
              <w:tr2bl w:val="nil"/>
            </w:tcBorders>
            <w:vAlign w:val="center"/>
          </w:tcPr>
          <w:p w14:paraId="08421219">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eastAsia="宋体" w:cs="Times New Roman"/>
                <w:color w:val="FF0000"/>
                <w:sz w:val="21"/>
                <w:szCs w:val="21"/>
                <w:highlight w:val="none"/>
                <w:vertAlign w:val="baseline"/>
                <w:lang w:val="en-US" w:eastAsia="zh-CN"/>
              </w:rPr>
            </w:pPr>
          </w:p>
        </w:tc>
        <w:tc>
          <w:tcPr>
            <w:tcW w:w="1312" w:type="pct"/>
            <w:tcBorders>
              <w:tl2br w:val="nil"/>
              <w:tr2bl w:val="nil"/>
            </w:tcBorders>
            <w:vAlign w:val="center"/>
          </w:tcPr>
          <w:p w14:paraId="685DE4ED">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夏季</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6</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7</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8月</w:t>
            </w:r>
            <w:r>
              <w:rPr>
                <w:rFonts w:hint="eastAsia" w:ascii="Times New Roman" w:hAnsi="Times New Roman" w:eastAsia="宋体" w:cs="Times New Roman"/>
                <w:color w:val="FF0000"/>
                <w:sz w:val="21"/>
                <w:szCs w:val="21"/>
                <w:highlight w:val="none"/>
                <w:vertAlign w:val="baseline"/>
                <w:lang w:val="en-US" w:eastAsia="zh-CN"/>
              </w:rPr>
              <w:t>）</w:t>
            </w:r>
          </w:p>
        </w:tc>
        <w:tc>
          <w:tcPr>
            <w:tcW w:w="788" w:type="pct"/>
            <w:tcBorders>
              <w:tl2br w:val="nil"/>
              <w:tr2bl w:val="nil"/>
            </w:tcBorders>
            <w:vAlign w:val="center"/>
          </w:tcPr>
          <w:p w14:paraId="47309C3F">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0.2</w:t>
            </w:r>
          </w:p>
        </w:tc>
        <w:tc>
          <w:tcPr>
            <w:tcW w:w="648" w:type="pct"/>
            <w:tcBorders>
              <w:tl2br w:val="nil"/>
              <w:tr2bl w:val="nil"/>
            </w:tcBorders>
            <w:vAlign w:val="center"/>
          </w:tcPr>
          <w:p w14:paraId="4BD03552">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0.3</w:t>
            </w:r>
          </w:p>
        </w:tc>
        <w:tc>
          <w:tcPr>
            <w:tcW w:w="650" w:type="pct"/>
            <w:tcBorders>
              <w:tl2br w:val="nil"/>
              <w:tr2bl w:val="nil"/>
            </w:tcBorders>
            <w:vAlign w:val="center"/>
          </w:tcPr>
          <w:p w14:paraId="768B19F2">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0.2</w:t>
            </w:r>
          </w:p>
        </w:tc>
        <w:tc>
          <w:tcPr>
            <w:tcW w:w="625" w:type="pct"/>
            <w:vMerge w:val="continue"/>
            <w:tcBorders>
              <w:tl2br w:val="nil"/>
              <w:tr2bl w:val="nil"/>
            </w:tcBorders>
            <w:vAlign w:val="center"/>
          </w:tcPr>
          <w:p w14:paraId="1827B270">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p>
        </w:tc>
      </w:tr>
      <w:tr w14:paraId="6CE33D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pct"/>
            <w:tcBorders>
              <w:tl2br w:val="nil"/>
              <w:tr2bl w:val="nil"/>
            </w:tcBorders>
            <w:vAlign w:val="center"/>
          </w:tcPr>
          <w:p w14:paraId="3BE70DF6">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eastAsia="宋体" w:cs="Times New Roman"/>
                <w:color w:val="FF0000"/>
                <w:sz w:val="21"/>
                <w:szCs w:val="21"/>
                <w:highlight w:val="none"/>
                <w:vertAlign w:val="baseline"/>
                <w:lang w:val="en-US" w:eastAsia="zh-CN"/>
              </w:rPr>
            </w:pPr>
            <w:r>
              <w:rPr>
                <w:rFonts w:hint="eastAsia" w:eastAsia="宋体" w:cs="Times New Roman"/>
                <w:color w:val="FF0000"/>
                <w:sz w:val="21"/>
                <w:szCs w:val="21"/>
                <w:highlight w:val="none"/>
                <w:vertAlign w:val="baseline"/>
                <w:lang w:val="en-US" w:eastAsia="zh-CN"/>
              </w:rPr>
              <w:t>12</w:t>
            </w:r>
          </w:p>
        </w:tc>
        <w:tc>
          <w:tcPr>
            <w:tcW w:w="564" w:type="pct"/>
            <w:vMerge w:val="continue"/>
            <w:tcBorders>
              <w:tl2br w:val="nil"/>
              <w:tr2bl w:val="nil"/>
            </w:tcBorders>
            <w:vAlign w:val="center"/>
          </w:tcPr>
          <w:p w14:paraId="272E22EE">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eastAsia="宋体" w:cs="Times New Roman"/>
                <w:color w:val="FF0000"/>
                <w:sz w:val="21"/>
                <w:szCs w:val="21"/>
                <w:highlight w:val="none"/>
                <w:vertAlign w:val="baseline"/>
                <w:lang w:val="en-US" w:eastAsia="zh-CN"/>
              </w:rPr>
            </w:pPr>
          </w:p>
        </w:tc>
        <w:tc>
          <w:tcPr>
            <w:tcW w:w="1312" w:type="pct"/>
            <w:tcBorders>
              <w:tl2br w:val="nil"/>
              <w:tr2bl w:val="nil"/>
            </w:tcBorders>
            <w:vAlign w:val="center"/>
          </w:tcPr>
          <w:p w14:paraId="774357CD">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秋季</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9</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10</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11月</w:t>
            </w:r>
            <w:r>
              <w:rPr>
                <w:rFonts w:hint="eastAsia" w:ascii="Times New Roman" w:hAnsi="Times New Roman" w:eastAsia="宋体" w:cs="Times New Roman"/>
                <w:color w:val="FF0000"/>
                <w:sz w:val="21"/>
                <w:szCs w:val="21"/>
                <w:highlight w:val="none"/>
                <w:vertAlign w:val="baseline"/>
                <w:lang w:val="en-US" w:eastAsia="zh-CN"/>
              </w:rPr>
              <w:t>）</w:t>
            </w:r>
          </w:p>
        </w:tc>
        <w:tc>
          <w:tcPr>
            <w:tcW w:w="788" w:type="pct"/>
            <w:tcBorders>
              <w:tl2br w:val="nil"/>
              <w:tr2bl w:val="nil"/>
            </w:tcBorders>
            <w:vAlign w:val="center"/>
          </w:tcPr>
          <w:p w14:paraId="466D4761">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0.18</w:t>
            </w:r>
          </w:p>
        </w:tc>
        <w:tc>
          <w:tcPr>
            <w:tcW w:w="648" w:type="pct"/>
            <w:tcBorders>
              <w:tl2br w:val="nil"/>
              <w:tr2bl w:val="nil"/>
            </w:tcBorders>
            <w:vAlign w:val="center"/>
          </w:tcPr>
          <w:p w14:paraId="109839D3">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0.4</w:t>
            </w:r>
          </w:p>
        </w:tc>
        <w:tc>
          <w:tcPr>
            <w:tcW w:w="650" w:type="pct"/>
            <w:tcBorders>
              <w:tl2br w:val="nil"/>
              <w:tr2bl w:val="nil"/>
            </w:tcBorders>
            <w:vAlign w:val="center"/>
          </w:tcPr>
          <w:p w14:paraId="62D6A614">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0.05</w:t>
            </w:r>
          </w:p>
        </w:tc>
        <w:tc>
          <w:tcPr>
            <w:tcW w:w="625" w:type="pct"/>
            <w:vMerge w:val="continue"/>
            <w:tcBorders>
              <w:tl2br w:val="nil"/>
              <w:tr2bl w:val="nil"/>
            </w:tcBorders>
            <w:vAlign w:val="center"/>
          </w:tcPr>
          <w:p w14:paraId="11AB71A9">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p>
        </w:tc>
      </w:tr>
      <w:tr w14:paraId="720D51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pct"/>
            <w:tcBorders>
              <w:tl2br w:val="nil"/>
              <w:tr2bl w:val="nil"/>
            </w:tcBorders>
            <w:vAlign w:val="center"/>
          </w:tcPr>
          <w:p w14:paraId="355861C8">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eastAsia="宋体" w:cs="Times New Roman"/>
                <w:color w:val="FF0000"/>
                <w:sz w:val="21"/>
                <w:szCs w:val="21"/>
                <w:highlight w:val="none"/>
                <w:vertAlign w:val="baseline"/>
                <w:lang w:val="en-US" w:eastAsia="zh-CN"/>
              </w:rPr>
            </w:pPr>
            <w:r>
              <w:rPr>
                <w:rFonts w:hint="eastAsia" w:eastAsia="宋体" w:cs="Times New Roman"/>
                <w:color w:val="FF0000"/>
                <w:sz w:val="21"/>
                <w:szCs w:val="21"/>
                <w:highlight w:val="none"/>
                <w:vertAlign w:val="baseline"/>
                <w:lang w:val="en-US" w:eastAsia="zh-CN"/>
              </w:rPr>
              <w:t>13</w:t>
            </w:r>
          </w:p>
        </w:tc>
        <w:tc>
          <w:tcPr>
            <w:tcW w:w="564" w:type="pct"/>
            <w:vMerge w:val="restart"/>
            <w:tcBorders>
              <w:tl2br w:val="nil"/>
              <w:tr2bl w:val="nil"/>
            </w:tcBorders>
            <w:vAlign w:val="center"/>
          </w:tcPr>
          <w:p w14:paraId="7D782EFE">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eastAsia="宋体" w:cs="Times New Roman"/>
                <w:color w:val="FF0000"/>
                <w:sz w:val="21"/>
                <w:szCs w:val="21"/>
                <w:highlight w:val="none"/>
                <w:vertAlign w:val="baseline"/>
                <w:lang w:val="en-US" w:eastAsia="zh-CN"/>
              </w:rPr>
            </w:pPr>
            <w:r>
              <w:rPr>
                <w:rFonts w:hint="eastAsia" w:eastAsia="宋体" w:cs="Times New Roman"/>
                <w:color w:val="FF0000"/>
                <w:sz w:val="21"/>
                <w:szCs w:val="21"/>
                <w:highlight w:val="none"/>
                <w:vertAlign w:val="baseline"/>
                <w:lang w:val="en-US" w:eastAsia="zh-CN"/>
              </w:rPr>
              <w:t>270-360</w:t>
            </w:r>
          </w:p>
        </w:tc>
        <w:tc>
          <w:tcPr>
            <w:tcW w:w="1312" w:type="pct"/>
            <w:tcBorders>
              <w:tl2br w:val="nil"/>
              <w:tr2bl w:val="nil"/>
            </w:tcBorders>
            <w:vAlign w:val="center"/>
          </w:tcPr>
          <w:p w14:paraId="0987E450">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冬季</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12</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1</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2月</w:t>
            </w:r>
            <w:r>
              <w:rPr>
                <w:rFonts w:hint="eastAsia" w:ascii="Times New Roman" w:hAnsi="Times New Roman" w:eastAsia="宋体" w:cs="Times New Roman"/>
                <w:color w:val="FF0000"/>
                <w:sz w:val="21"/>
                <w:szCs w:val="21"/>
                <w:highlight w:val="none"/>
                <w:vertAlign w:val="baseline"/>
                <w:lang w:val="en-US" w:eastAsia="zh-CN"/>
              </w:rPr>
              <w:t>）</w:t>
            </w:r>
          </w:p>
        </w:tc>
        <w:tc>
          <w:tcPr>
            <w:tcW w:w="788" w:type="pct"/>
            <w:tcBorders>
              <w:tl2br w:val="nil"/>
              <w:tr2bl w:val="nil"/>
            </w:tcBorders>
            <w:vAlign w:val="center"/>
          </w:tcPr>
          <w:p w14:paraId="3D1BDF0F">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0.35</w:t>
            </w:r>
          </w:p>
        </w:tc>
        <w:tc>
          <w:tcPr>
            <w:tcW w:w="648" w:type="pct"/>
            <w:tcBorders>
              <w:tl2br w:val="nil"/>
              <w:tr2bl w:val="nil"/>
            </w:tcBorders>
            <w:vAlign w:val="center"/>
          </w:tcPr>
          <w:p w14:paraId="03FF1F3D">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0.5</w:t>
            </w:r>
          </w:p>
        </w:tc>
        <w:tc>
          <w:tcPr>
            <w:tcW w:w="650" w:type="pct"/>
            <w:tcBorders>
              <w:tl2br w:val="nil"/>
              <w:tr2bl w:val="nil"/>
            </w:tcBorders>
            <w:vAlign w:val="center"/>
          </w:tcPr>
          <w:p w14:paraId="2625F69B">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1</w:t>
            </w:r>
          </w:p>
        </w:tc>
        <w:tc>
          <w:tcPr>
            <w:tcW w:w="625" w:type="pct"/>
            <w:vMerge w:val="restart"/>
            <w:tcBorders>
              <w:tl2br w:val="nil"/>
              <w:tr2bl w:val="nil"/>
            </w:tcBorders>
            <w:vAlign w:val="center"/>
          </w:tcPr>
          <w:p w14:paraId="71F8DDB4">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eastAsia" w:eastAsia="宋体" w:cs="Times New Roman"/>
                <w:color w:val="FF0000"/>
                <w:sz w:val="21"/>
                <w:szCs w:val="21"/>
                <w:highlight w:val="none"/>
                <w:vertAlign w:val="baseline"/>
                <w:lang w:val="en-US" w:eastAsia="zh-CN"/>
              </w:rPr>
              <w:t>农作地</w:t>
            </w:r>
          </w:p>
        </w:tc>
      </w:tr>
      <w:tr w14:paraId="25C188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pct"/>
            <w:tcBorders>
              <w:tl2br w:val="nil"/>
              <w:tr2bl w:val="nil"/>
            </w:tcBorders>
            <w:vAlign w:val="center"/>
          </w:tcPr>
          <w:p w14:paraId="648C0AFA">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eastAsia="宋体" w:cs="Times New Roman"/>
                <w:color w:val="FF0000"/>
                <w:sz w:val="21"/>
                <w:szCs w:val="21"/>
                <w:highlight w:val="none"/>
                <w:vertAlign w:val="baseline"/>
                <w:lang w:val="en-US" w:eastAsia="zh-CN"/>
              </w:rPr>
            </w:pPr>
            <w:r>
              <w:rPr>
                <w:rFonts w:hint="eastAsia" w:eastAsia="宋体" w:cs="Times New Roman"/>
                <w:color w:val="FF0000"/>
                <w:sz w:val="21"/>
                <w:szCs w:val="21"/>
                <w:highlight w:val="none"/>
                <w:vertAlign w:val="baseline"/>
                <w:lang w:val="en-US" w:eastAsia="zh-CN"/>
              </w:rPr>
              <w:t>14</w:t>
            </w:r>
          </w:p>
        </w:tc>
        <w:tc>
          <w:tcPr>
            <w:tcW w:w="564" w:type="pct"/>
            <w:vMerge w:val="continue"/>
            <w:tcBorders>
              <w:tl2br w:val="nil"/>
              <w:tr2bl w:val="nil"/>
            </w:tcBorders>
            <w:vAlign w:val="center"/>
          </w:tcPr>
          <w:p w14:paraId="55B0B910">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eastAsia="宋体" w:cs="Times New Roman"/>
                <w:color w:val="FF0000"/>
                <w:sz w:val="21"/>
                <w:szCs w:val="21"/>
                <w:highlight w:val="none"/>
                <w:vertAlign w:val="baseline"/>
                <w:lang w:val="en-US" w:eastAsia="zh-CN"/>
              </w:rPr>
            </w:pPr>
          </w:p>
        </w:tc>
        <w:tc>
          <w:tcPr>
            <w:tcW w:w="1312" w:type="pct"/>
            <w:tcBorders>
              <w:tl2br w:val="nil"/>
              <w:tr2bl w:val="nil"/>
            </w:tcBorders>
            <w:vAlign w:val="center"/>
          </w:tcPr>
          <w:p w14:paraId="6256AF57">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春季</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3</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4</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5月</w:t>
            </w:r>
            <w:r>
              <w:rPr>
                <w:rFonts w:hint="eastAsia" w:ascii="Times New Roman" w:hAnsi="Times New Roman" w:eastAsia="宋体" w:cs="Times New Roman"/>
                <w:color w:val="FF0000"/>
                <w:sz w:val="21"/>
                <w:szCs w:val="21"/>
                <w:highlight w:val="none"/>
                <w:vertAlign w:val="baseline"/>
                <w:lang w:val="en-US" w:eastAsia="zh-CN"/>
              </w:rPr>
              <w:t>）</w:t>
            </w:r>
          </w:p>
        </w:tc>
        <w:tc>
          <w:tcPr>
            <w:tcW w:w="788" w:type="pct"/>
            <w:tcBorders>
              <w:tl2br w:val="nil"/>
              <w:tr2bl w:val="nil"/>
            </w:tcBorders>
            <w:vAlign w:val="center"/>
          </w:tcPr>
          <w:p w14:paraId="472BB2B0">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0.14</w:t>
            </w:r>
          </w:p>
        </w:tc>
        <w:tc>
          <w:tcPr>
            <w:tcW w:w="648" w:type="pct"/>
            <w:tcBorders>
              <w:tl2br w:val="nil"/>
              <w:tr2bl w:val="nil"/>
            </w:tcBorders>
            <w:vAlign w:val="center"/>
          </w:tcPr>
          <w:p w14:paraId="051CF3B4">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0.5</w:t>
            </w:r>
          </w:p>
        </w:tc>
        <w:tc>
          <w:tcPr>
            <w:tcW w:w="650" w:type="pct"/>
            <w:tcBorders>
              <w:tl2br w:val="nil"/>
              <w:tr2bl w:val="nil"/>
            </w:tcBorders>
            <w:vAlign w:val="center"/>
          </w:tcPr>
          <w:p w14:paraId="47B89E94">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1</w:t>
            </w:r>
          </w:p>
        </w:tc>
        <w:tc>
          <w:tcPr>
            <w:tcW w:w="625" w:type="pct"/>
            <w:vMerge w:val="continue"/>
            <w:tcBorders>
              <w:tl2br w:val="nil"/>
              <w:tr2bl w:val="nil"/>
            </w:tcBorders>
            <w:vAlign w:val="center"/>
          </w:tcPr>
          <w:p w14:paraId="420672E4">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p>
        </w:tc>
      </w:tr>
      <w:tr w14:paraId="05E0FB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pct"/>
            <w:tcBorders>
              <w:tl2br w:val="nil"/>
              <w:tr2bl w:val="nil"/>
            </w:tcBorders>
            <w:vAlign w:val="center"/>
          </w:tcPr>
          <w:p w14:paraId="326F60D5">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eastAsia="宋体" w:cs="Times New Roman"/>
                <w:color w:val="FF0000"/>
                <w:sz w:val="21"/>
                <w:szCs w:val="21"/>
                <w:highlight w:val="none"/>
                <w:vertAlign w:val="baseline"/>
                <w:lang w:val="en-US" w:eastAsia="zh-CN"/>
              </w:rPr>
            </w:pPr>
            <w:r>
              <w:rPr>
                <w:rFonts w:hint="eastAsia" w:eastAsia="宋体" w:cs="Times New Roman"/>
                <w:color w:val="FF0000"/>
                <w:sz w:val="21"/>
                <w:szCs w:val="21"/>
                <w:highlight w:val="none"/>
                <w:vertAlign w:val="baseline"/>
                <w:lang w:val="en-US" w:eastAsia="zh-CN"/>
              </w:rPr>
              <w:t>15</w:t>
            </w:r>
          </w:p>
        </w:tc>
        <w:tc>
          <w:tcPr>
            <w:tcW w:w="564" w:type="pct"/>
            <w:vMerge w:val="continue"/>
            <w:tcBorders>
              <w:tl2br w:val="nil"/>
              <w:tr2bl w:val="nil"/>
            </w:tcBorders>
            <w:vAlign w:val="center"/>
          </w:tcPr>
          <w:p w14:paraId="43B67074">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eastAsia="宋体" w:cs="Times New Roman"/>
                <w:color w:val="FF0000"/>
                <w:sz w:val="21"/>
                <w:szCs w:val="21"/>
                <w:highlight w:val="none"/>
                <w:vertAlign w:val="baseline"/>
                <w:lang w:val="en-US" w:eastAsia="zh-CN"/>
              </w:rPr>
            </w:pPr>
          </w:p>
        </w:tc>
        <w:tc>
          <w:tcPr>
            <w:tcW w:w="1312" w:type="pct"/>
            <w:tcBorders>
              <w:tl2br w:val="nil"/>
              <w:tr2bl w:val="nil"/>
            </w:tcBorders>
            <w:vAlign w:val="center"/>
          </w:tcPr>
          <w:p w14:paraId="0B1D2BFA">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夏季</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6</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7</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8月</w:t>
            </w:r>
            <w:r>
              <w:rPr>
                <w:rFonts w:hint="eastAsia" w:ascii="Times New Roman" w:hAnsi="Times New Roman" w:eastAsia="宋体" w:cs="Times New Roman"/>
                <w:color w:val="FF0000"/>
                <w:sz w:val="21"/>
                <w:szCs w:val="21"/>
                <w:highlight w:val="none"/>
                <w:vertAlign w:val="baseline"/>
                <w:lang w:val="en-US" w:eastAsia="zh-CN"/>
              </w:rPr>
              <w:t>）</w:t>
            </w:r>
          </w:p>
        </w:tc>
        <w:tc>
          <w:tcPr>
            <w:tcW w:w="788" w:type="pct"/>
            <w:tcBorders>
              <w:tl2br w:val="nil"/>
              <w:tr2bl w:val="nil"/>
            </w:tcBorders>
            <w:vAlign w:val="center"/>
          </w:tcPr>
          <w:p w14:paraId="17263FEF">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0.16</w:t>
            </w:r>
          </w:p>
        </w:tc>
        <w:tc>
          <w:tcPr>
            <w:tcW w:w="648" w:type="pct"/>
            <w:tcBorders>
              <w:tl2br w:val="nil"/>
              <w:tr2bl w:val="nil"/>
            </w:tcBorders>
            <w:vAlign w:val="center"/>
          </w:tcPr>
          <w:p w14:paraId="3874966B">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1</w:t>
            </w:r>
          </w:p>
        </w:tc>
        <w:tc>
          <w:tcPr>
            <w:tcW w:w="650" w:type="pct"/>
            <w:tcBorders>
              <w:tl2br w:val="nil"/>
              <w:tr2bl w:val="nil"/>
            </w:tcBorders>
            <w:vAlign w:val="center"/>
          </w:tcPr>
          <w:p w14:paraId="681B12D0">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1</w:t>
            </w:r>
          </w:p>
        </w:tc>
        <w:tc>
          <w:tcPr>
            <w:tcW w:w="625" w:type="pct"/>
            <w:vMerge w:val="continue"/>
            <w:tcBorders>
              <w:tl2br w:val="nil"/>
              <w:tr2bl w:val="nil"/>
            </w:tcBorders>
            <w:vAlign w:val="center"/>
          </w:tcPr>
          <w:p w14:paraId="4BE6305D">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p>
        </w:tc>
      </w:tr>
      <w:tr w14:paraId="71C99A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pct"/>
            <w:tcBorders>
              <w:tl2br w:val="nil"/>
              <w:tr2bl w:val="nil"/>
            </w:tcBorders>
            <w:vAlign w:val="center"/>
          </w:tcPr>
          <w:p w14:paraId="32CEBD1D">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eastAsia="宋体" w:cs="Times New Roman"/>
                <w:color w:val="FF0000"/>
                <w:sz w:val="21"/>
                <w:szCs w:val="21"/>
                <w:highlight w:val="none"/>
                <w:vertAlign w:val="baseline"/>
                <w:lang w:val="en-US" w:eastAsia="zh-CN"/>
              </w:rPr>
            </w:pPr>
            <w:r>
              <w:rPr>
                <w:rFonts w:hint="eastAsia" w:eastAsia="宋体" w:cs="Times New Roman"/>
                <w:color w:val="FF0000"/>
                <w:sz w:val="21"/>
                <w:szCs w:val="21"/>
                <w:highlight w:val="none"/>
                <w:vertAlign w:val="baseline"/>
                <w:lang w:val="en-US" w:eastAsia="zh-CN"/>
              </w:rPr>
              <w:t>16</w:t>
            </w:r>
          </w:p>
        </w:tc>
        <w:tc>
          <w:tcPr>
            <w:tcW w:w="564" w:type="pct"/>
            <w:vMerge w:val="continue"/>
            <w:tcBorders>
              <w:tl2br w:val="nil"/>
              <w:tr2bl w:val="nil"/>
            </w:tcBorders>
            <w:vAlign w:val="center"/>
          </w:tcPr>
          <w:p w14:paraId="36B3CD49">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eastAsia="宋体" w:cs="Times New Roman"/>
                <w:color w:val="FF0000"/>
                <w:sz w:val="21"/>
                <w:szCs w:val="21"/>
                <w:highlight w:val="none"/>
                <w:vertAlign w:val="baseline"/>
                <w:lang w:val="en-US" w:eastAsia="zh-CN"/>
              </w:rPr>
            </w:pPr>
          </w:p>
        </w:tc>
        <w:tc>
          <w:tcPr>
            <w:tcW w:w="1312" w:type="pct"/>
            <w:tcBorders>
              <w:tl2br w:val="nil"/>
              <w:tr2bl w:val="nil"/>
            </w:tcBorders>
            <w:vAlign w:val="center"/>
          </w:tcPr>
          <w:p w14:paraId="0384F6C3">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秋季</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9</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10</w:t>
            </w:r>
            <w:r>
              <w:rPr>
                <w:rFonts w:hint="eastAsia"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lang w:val="en-US" w:eastAsia="zh-CN"/>
              </w:rPr>
              <w:t>11月</w:t>
            </w:r>
            <w:r>
              <w:rPr>
                <w:rFonts w:hint="eastAsia" w:ascii="Times New Roman" w:hAnsi="Times New Roman" w:eastAsia="宋体" w:cs="Times New Roman"/>
                <w:color w:val="FF0000"/>
                <w:sz w:val="21"/>
                <w:szCs w:val="21"/>
                <w:highlight w:val="none"/>
                <w:vertAlign w:val="baseline"/>
                <w:lang w:val="en-US" w:eastAsia="zh-CN"/>
              </w:rPr>
              <w:t>）</w:t>
            </w:r>
          </w:p>
        </w:tc>
        <w:tc>
          <w:tcPr>
            <w:tcW w:w="788" w:type="pct"/>
            <w:tcBorders>
              <w:tl2br w:val="nil"/>
              <w:tr2bl w:val="nil"/>
            </w:tcBorders>
            <w:vAlign w:val="center"/>
          </w:tcPr>
          <w:p w14:paraId="50104D6D">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0.18</w:t>
            </w:r>
          </w:p>
        </w:tc>
        <w:tc>
          <w:tcPr>
            <w:tcW w:w="648" w:type="pct"/>
            <w:tcBorders>
              <w:tl2br w:val="nil"/>
              <w:tr2bl w:val="nil"/>
            </w:tcBorders>
            <w:vAlign w:val="center"/>
          </w:tcPr>
          <w:p w14:paraId="58991190">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1</w:t>
            </w:r>
          </w:p>
        </w:tc>
        <w:tc>
          <w:tcPr>
            <w:tcW w:w="650" w:type="pct"/>
            <w:tcBorders>
              <w:tl2br w:val="nil"/>
              <w:tr2bl w:val="nil"/>
            </w:tcBorders>
            <w:vAlign w:val="center"/>
          </w:tcPr>
          <w:p w14:paraId="66D5FF95">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eastAsia="宋体" w:cs="Times New Roman"/>
                <w:color w:val="FF0000"/>
                <w:sz w:val="21"/>
                <w:szCs w:val="21"/>
                <w:highlight w:val="none"/>
                <w:vertAlign w:val="baseline"/>
                <w:lang w:val="en-US" w:eastAsia="zh-CN"/>
              </w:rPr>
            </w:pPr>
            <w:r>
              <w:rPr>
                <w:rFonts w:hint="eastAsia" w:ascii="Times New Roman" w:hAnsi="Times New Roman" w:eastAsia="宋体" w:cs="Times New Roman"/>
                <w:color w:val="FF0000"/>
                <w:sz w:val="21"/>
                <w:szCs w:val="21"/>
                <w:highlight w:val="none"/>
                <w:vertAlign w:val="baseline"/>
                <w:lang w:val="en-US" w:eastAsia="zh-CN"/>
              </w:rPr>
              <w:t>1</w:t>
            </w:r>
          </w:p>
        </w:tc>
        <w:tc>
          <w:tcPr>
            <w:tcW w:w="625" w:type="pct"/>
            <w:vMerge w:val="continue"/>
            <w:tcBorders>
              <w:tl2br w:val="nil"/>
              <w:tr2bl w:val="nil"/>
            </w:tcBorders>
            <w:vAlign w:val="center"/>
          </w:tcPr>
          <w:p w14:paraId="697C051E">
            <w:pPr>
              <w:pStyle w:val="10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FF0000"/>
                <w:sz w:val="21"/>
                <w:szCs w:val="21"/>
                <w:highlight w:val="none"/>
                <w:vertAlign w:val="baseline"/>
                <w:lang w:val="en-US" w:eastAsia="zh-CN"/>
              </w:rPr>
            </w:pPr>
          </w:p>
        </w:tc>
      </w:tr>
      <w:bookmarkEnd w:id="445"/>
    </w:tbl>
    <w:p w14:paraId="7CD5071C">
      <w:pPr>
        <w:keepNext w:val="0"/>
        <w:keepLines w:val="0"/>
        <w:pageBreakBefore w:val="0"/>
        <w:widowControl w:val="0"/>
        <w:kinsoku/>
        <w:wordWrap/>
        <w:overflowPunct/>
        <w:topLinePunct w:val="0"/>
        <w:autoSpaceDE w:val="0"/>
        <w:autoSpaceDN w:val="0"/>
        <w:bidi w:val="0"/>
        <w:adjustRightInd w:val="0"/>
        <w:snapToGrid/>
        <w:spacing w:line="480" w:lineRule="exact"/>
        <w:ind w:left="0" w:leftChars="0" w:firstLine="480" w:firstLineChars="200"/>
        <w:textAlignment w:val="bottom"/>
        <w:rPr>
          <w:rFonts w:hint="default" w:ascii="Times New Roman" w:hAnsi="Times New Roman" w:eastAsia="宋体" w:cs="Times New Roman"/>
          <w:smallCaps w:val="0"/>
          <w:color w:val="auto"/>
          <w:kern w:val="0"/>
          <w:sz w:val="24"/>
          <w:szCs w:val="24"/>
          <w:highlight w:val="none"/>
        </w:rPr>
      </w:pPr>
      <w:r>
        <w:rPr>
          <w:rFonts w:hint="default" w:ascii="Times New Roman" w:hAnsi="Times New Roman" w:eastAsia="宋体" w:cs="Times New Roman"/>
          <w:smallCaps w:val="0"/>
          <w:color w:val="auto"/>
          <w:kern w:val="0"/>
          <w:sz w:val="24"/>
          <w:szCs w:val="24"/>
          <w:highlight w:val="none"/>
        </w:rPr>
        <w:t>（</w:t>
      </w:r>
      <w:r>
        <w:rPr>
          <w:rFonts w:hint="default" w:ascii="Times New Roman" w:hAnsi="Times New Roman" w:eastAsia="宋体" w:cs="Times New Roman"/>
          <w:smallCaps w:val="0"/>
          <w:color w:val="auto"/>
          <w:kern w:val="0"/>
          <w:sz w:val="24"/>
          <w:szCs w:val="24"/>
          <w:highlight w:val="none"/>
          <w:lang w:val="en-US" w:eastAsia="zh-CN"/>
        </w:rPr>
        <w:t>8</w:t>
      </w:r>
      <w:r>
        <w:rPr>
          <w:rFonts w:hint="default" w:ascii="Times New Roman" w:hAnsi="Times New Roman" w:eastAsia="宋体" w:cs="Times New Roman"/>
          <w:smallCaps w:val="0"/>
          <w:color w:val="auto"/>
          <w:kern w:val="0"/>
          <w:sz w:val="24"/>
          <w:szCs w:val="24"/>
          <w:highlight w:val="none"/>
        </w:rPr>
        <w:t>）预测</w:t>
      </w:r>
      <w:r>
        <w:rPr>
          <w:rFonts w:hint="default" w:ascii="Times New Roman" w:hAnsi="Times New Roman" w:eastAsia="宋体" w:cs="Times New Roman"/>
          <w:smallCaps w:val="0"/>
          <w:color w:val="auto"/>
          <w:kern w:val="0"/>
          <w:sz w:val="24"/>
          <w:szCs w:val="24"/>
          <w:highlight w:val="none"/>
          <w:lang w:eastAsia="zh-CN"/>
        </w:rPr>
        <w:t>与评价</w:t>
      </w:r>
      <w:r>
        <w:rPr>
          <w:rFonts w:hint="default" w:ascii="Times New Roman" w:hAnsi="Times New Roman" w:eastAsia="宋体" w:cs="Times New Roman"/>
          <w:smallCaps w:val="0"/>
          <w:color w:val="auto"/>
          <w:kern w:val="0"/>
          <w:sz w:val="24"/>
          <w:szCs w:val="24"/>
          <w:highlight w:val="none"/>
        </w:rPr>
        <w:t>内容</w:t>
      </w:r>
    </w:p>
    <w:p w14:paraId="3276D8AE">
      <w:pPr>
        <w:keepNext w:val="0"/>
        <w:keepLines w:val="0"/>
        <w:pageBreakBefore w:val="0"/>
        <w:widowControl w:val="0"/>
        <w:numPr>
          <w:ilvl w:val="0"/>
          <w:numId w:val="0"/>
        </w:numPr>
        <w:kinsoku/>
        <w:wordWrap/>
        <w:overflowPunct/>
        <w:topLinePunct w:val="0"/>
        <w:autoSpaceDE w:val="0"/>
        <w:autoSpaceDN w:val="0"/>
        <w:bidi w:val="0"/>
        <w:adjustRightInd w:val="0"/>
        <w:snapToGrid/>
        <w:spacing w:line="480" w:lineRule="exact"/>
        <w:ind w:firstLine="480" w:firstLineChars="200"/>
        <w:textAlignment w:val="bottom"/>
        <w:outlineLvl w:val="9"/>
        <w:rPr>
          <w:rFonts w:hint="default" w:ascii="Times New Roman" w:hAnsi="Times New Roman" w:eastAsia="宋体" w:cs="Times New Roman"/>
          <w:color w:val="auto"/>
          <w:kern w:val="0"/>
          <w:sz w:val="24"/>
          <w:szCs w:val="20"/>
          <w:highlight w:val="none"/>
          <w:lang w:val="en-US" w:eastAsia="zh-CN"/>
        </w:rPr>
      </w:pPr>
      <w:r>
        <w:rPr>
          <w:rFonts w:hint="default" w:ascii="Times New Roman" w:hAnsi="Times New Roman" w:eastAsia="宋体" w:cs="Times New Roman"/>
          <w:smallCaps w:val="0"/>
          <w:color w:val="auto"/>
          <w:sz w:val="24"/>
          <w:highlight w:val="none"/>
          <w:lang w:val="en-US" w:eastAsia="zh-CN"/>
        </w:rPr>
        <w:t>根据《环境影响评价技术导则 大气环境》（HJ 2.2-2018）项目所在区域达标判断可知，本项目所在区域属于环境空气质量达标区域。因此，本项目预测环境空气保护目标和网格点主要污染物的短期浓度和长期浓度贡献值，评价其最大浓度占标率。预测评价叠加环境空气质量现状浓度后，环境空气保护目标和网格点主要污染物PM</w:t>
      </w:r>
      <w:r>
        <w:rPr>
          <w:rFonts w:hint="default" w:ascii="Times New Roman" w:hAnsi="Times New Roman" w:eastAsia="宋体" w:cs="Times New Roman"/>
          <w:smallCaps w:val="0"/>
          <w:color w:val="auto"/>
          <w:sz w:val="24"/>
          <w:highlight w:val="none"/>
          <w:vertAlign w:val="subscript"/>
          <w:lang w:val="en-US" w:eastAsia="zh-CN"/>
        </w:rPr>
        <w:t>10</w:t>
      </w:r>
      <w:r>
        <w:rPr>
          <w:rFonts w:hint="default" w:ascii="Times New Roman" w:hAnsi="Times New Roman" w:eastAsia="宋体" w:cs="Times New Roman"/>
          <w:smallCaps w:val="0"/>
          <w:color w:val="auto"/>
          <w:sz w:val="24"/>
          <w:highlight w:val="none"/>
          <w:lang w:val="en-US" w:eastAsia="zh-CN"/>
        </w:rPr>
        <w:t>、SO</w:t>
      </w:r>
      <w:r>
        <w:rPr>
          <w:rFonts w:hint="default" w:ascii="Times New Roman" w:hAnsi="Times New Roman" w:eastAsia="宋体" w:cs="Times New Roman"/>
          <w:smallCaps w:val="0"/>
          <w:color w:val="auto"/>
          <w:sz w:val="24"/>
          <w:highlight w:val="none"/>
          <w:vertAlign w:val="subscript"/>
          <w:lang w:val="en-US" w:eastAsia="zh-CN"/>
        </w:rPr>
        <w:t>2</w:t>
      </w:r>
      <w:r>
        <w:rPr>
          <w:rFonts w:hint="default" w:ascii="Times New Roman" w:hAnsi="Times New Roman" w:eastAsia="宋体" w:cs="Times New Roman"/>
          <w:smallCaps w:val="0"/>
          <w:color w:val="auto"/>
          <w:sz w:val="24"/>
          <w:highlight w:val="none"/>
          <w:lang w:val="en-US" w:eastAsia="zh-CN"/>
        </w:rPr>
        <w:t>、NO</w:t>
      </w:r>
      <w:r>
        <w:rPr>
          <w:rFonts w:hint="default" w:ascii="Times New Roman" w:hAnsi="Times New Roman" w:eastAsia="宋体" w:cs="Times New Roman"/>
          <w:smallCaps w:val="0"/>
          <w:color w:val="auto"/>
          <w:sz w:val="24"/>
          <w:highlight w:val="none"/>
          <w:vertAlign w:val="subscript"/>
          <w:lang w:val="en-US" w:eastAsia="zh-CN"/>
        </w:rPr>
        <w:t>2</w:t>
      </w:r>
      <w:r>
        <w:rPr>
          <w:rFonts w:hint="default" w:ascii="Times New Roman" w:hAnsi="Times New Roman" w:eastAsia="宋体" w:cs="Times New Roman"/>
          <w:smallCaps w:val="0"/>
          <w:color w:val="auto"/>
          <w:sz w:val="24"/>
          <w:highlight w:val="none"/>
          <w:lang w:val="en-US" w:eastAsia="zh-CN"/>
        </w:rPr>
        <w:t>、TSP的日平均质量浓度和年平均质量浓度的达标情况；本项目排放的主要污染物NH</w:t>
      </w:r>
      <w:r>
        <w:rPr>
          <w:rFonts w:hint="default" w:ascii="Times New Roman" w:hAnsi="Times New Roman" w:eastAsia="宋体" w:cs="Times New Roman"/>
          <w:smallCaps w:val="0"/>
          <w:color w:val="auto"/>
          <w:sz w:val="24"/>
          <w:highlight w:val="none"/>
          <w:vertAlign w:val="subscript"/>
          <w:lang w:val="en-US" w:eastAsia="zh-CN"/>
        </w:rPr>
        <w:t>3</w:t>
      </w:r>
      <w:r>
        <w:rPr>
          <w:rFonts w:hint="default" w:ascii="Times New Roman" w:hAnsi="Times New Roman" w:eastAsia="宋体" w:cs="Times New Roman"/>
          <w:smallCaps w:val="0"/>
          <w:color w:val="auto"/>
          <w:sz w:val="24"/>
          <w:highlight w:val="none"/>
          <w:lang w:val="en-US" w:eastAsia="zh-CN"/>
        </w:rPr>
        <w:t>仅有短期浓度限值的，评价其短期浓度叠加后的达标情况。对于项目厂界浓度满足大气污染物厂界浓度限值，但厂界外大气污染物短期贡献浓度超过环境质量浓度限值的，可以自厂界向外设置一定范围的大气环境防护区域，以确保大气环境防护区域外的污染物贡献浓度满足环境质量标准。根据</w:t>
      </w:r>
      <w:r>
        <w:rPr>
          <w:rFonts w:hint="default" w:ascii="Times New Roman" w:hAnsi="Times New Roman" w:eastAsia="宋体" w:cs="Times New Roman"/>
          <w:smallCaps w:val="0"/>
          <w:color w:val="auto"/>
          <w:sz w:val="24"/>
          <w:highlight w:val="none"/>
        </w:rPr>
        <w:t>《环境影响评价技术导则 大气环境</w:t>
      </w:r>
      <w:r>
        <w:rPr>
          <w:rFonts w:hint="default" w:ascii="Times New Roman" w:hAnsi="Times New Roman" w:eastAsia="宋体" w:cs="Times New Roman"/>
          <w:smallCaps w:val="0"/>
          <w:color w:val="auto"/>
          <w:sz w:val="24"/>
          <w:highlight w:val="none"/>
          <w:lang w:eastAsia="zh-CN"/>
        </w:rPr>
        <w:t>》</w:t>
      </w:r>
      <w:r>
        <w:rPr>
          <w:rFonts w:hint="default" w:ascii="Times New Roman" w:hAnsi="Times New Roman" w:eastAsia="宋体" w:cs="Times New Roman"/>
          <w:smallCaps w:val="0"/>
          <w:color w:val="auto"/>
          <w:sz w:val="24"/>
          <w:highlight w:val="none"/>
        </w:rPr>
        <w:t>（HJ2.2-20</w:t>
      </w:r>
      <w:r>
        <w:rPr>
          <w:rFonts w:hint="default" w:ascii="Times New Roman" w:hAnsi="Times New Roman" w:eastAsia="宋体" w:cs="Times New Roman"/>
          <w:smallCaps w:val="0"/>
          <w:color w:val="auto"/>
          <w:sz w:val="24"/>
          <w:highlight w:val="none"/>
          <w:lang w:val="en-US" w:eastAsia="zh-CN"/>
        </w:rPr>
        <w:t>1</w:t>
      </w:r>
      <w:r>
        <w:rPr>
          <w:rFonts w:hint="default" w:ascii="Times New Roman" w:hAnsi="Times New Roman" w:eastAsia="宋体" w:cs="Times New Roman"/>
          <w:smallCaps w:val="0"/>
          <w:color w:val="auto"/>
          <w:sz w:val="24"/>
          <w:highlight w:val="none"/>
        </w:rPr>
        <w:t>8）</w:t>
      </w:r>
      <w:r>
        <w:rPr>
          <w:rFonts w:hint="default" w:ascii="Times New Roman" w:hAnsi="Times New Roman" w:eastAsia="宋体" w:cs="Times New Roman"/>
          <w:smallCaps w:val="0"/>
          <w:color w:val="auto"/>
          <w:sz w:val="24"/>
          <w:highlight w:val="none"/>
          <w:lang w:eastAsia="zh-CN"/>
        </w:rPr>
        <w:t>中“</w:t>
      </w:r>
      <w:r>
        <w:rPr>
          <w:rFonts w:hint="default" w:ascii="Times New Roman" w:hAnsi="Times New Roman" w:eastAsia="宋体" w:cs="Times New Roman"/>
          <w:smallCaps w:val="0"/>
          <w:color w:val="auto"/>
          <w:sz w:val="24"/>
          <w:highlight w:val="none"/>
          <w:lang w:val="en-US" w:eastAsia="zh-CN"/>
        </w:rPr>
        <w:t>8.7预测与评价内容”</w:t>
      </w:r>
      <w:r>
        <w:rPr>
          <w:rFonts w:hint="default" w:ascii="Times New Roman" w:hAnsi="Times New Roman" w:eastAsia="宋体" w:cs="Times New Roman"/>
          <w:smallCaps w:val="0"/>
          <w:color w:val="auto"/>
          <w:kern w:val="0"/>
          <w:sz w:val="24"/>
          <w:szCs w:val="24"/>
          <w:highlight w:val="none"/>
          <w:lang w:eastAsia="zh-CN"/>
        </w:rPr>
        <w:t>，</w:t>
      </w:r>
      <w:r>
        <w:rPr>
          <w:rFonts w:hint="default" w:ascii="Times New Roman" w:hAnsi="Times New Roman" w:eastAsia="宋体" w:cs="Times New Roman"/>
          <w:smallCaps w:val="0"/>
          <w:color w:val="auto"/>
          <w:kern w:val="0"/>
          <w:sz w:val="24"/>
          <w:szCs w:val="24"/>
          <w:highlight w:val="none"/>
          <w:lang w:val="en-US" w:eastAsia="zh-CN"/>
        </w:rPr>
        <w:t>本项目</w:t>
      </w:r>
      <w:r>
        <w:rPr>
          <w:rFonts w:hint="default" w:ascii="Times New Roman" w:hAnsi="Times New Roman" w:eastAsia="宋体" w:cs="Times New Roman"/>
          <w:smallCaps w:val="0"/>
          <w:color w:val="auto"/>
          <w:kern w:val="0"/>
          <w:sz w:val="24"/>
          <w:szCs w:val="24"/>
          <w:highlight w:val="none"/>
          <w:lang w:eastAsia="zh-CN"/>
        </w:rPr>
        <w:t>预测内容</w:t>
      </w:r>
      <w:r>
        <w:rPr>
          <w:rFonts w:hint="default" w:ascii="Times New Roman" w:hAnsi="Times New Roman" w:eastAsia="宋体" w:cs="Times New Roman"/>
          <w:smallCaps w:val="0"/>
          <w:color w:val="auto"/>
          <w:kern w:val="0"/>
          <w:sz w:val="24"/>
          <w:szCs w:val="24"/>
          <w:highlight w:val="none"/>
          <w:lang w:val="en-US" w:eastAsia="zh-CN"/>
        </w:rPr>
        <w:t>和评价要求见表6.2-</w:t>
      </w:r>
      <w:r>
        <w:rPr>
          <w:rFonts w:hint="eastAsia" w:ascii="Times New Roman" w:hAnsi="Times New Roman" w:eastAsia="宋体" w:cs="Times New Roman"/>
          <w:smallCaps w:val="0"/>
          <w:color w:val="auto"/>
          <w:kern w:val="0"/>
          <w:sz w:val="24"/>
          <w:szCs w:val="24"/>
          <w:highlight w:val="none"/>
          <w:lang w:val="en-US" w:eastAsia="zh-CN"/>
        </w:rPr>
        <w:t>5</w:t>
      </w:r>
      <w:r>
        <w:rPr>
          <w:rFonts w:hint="default" w:ascii="Times New Roman" w:hAnsi="Times New Roman" w:eastAsia="宋体" w:cs="Times New Roman"/>
          <w:smallCaps w:val="0"/>
          <w:color w:val="auto"/>
          <w:kern w:val="0"/>
          <w:sz w:val="24"/>
          <w:szCs w:val="24"/>
          <w:highlight w:val="none"/>
          <w:lang w:val="en-US" w:eastAsia="zh-CN"/>
        </w:rPr>
        <w:t>。</w:t>
      </w:r>
    </w:p>
    <w:p w14:paraId="51DD896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rPr>
          <w:rFonts w:hint="default" w:ascii="Times New Roman" w:hAnsi="Times New Roman" w:eastAsia="宋体" w:cs="Times New Roman"/>
          <w:color w:val="auto"/>
          <w:kern w:val="0"/>
          <w:sz w:val="24"/>
          <w:szCs w:val="20"/>
          <w:highlight w:val="none"/>
          <w:lang w:val="en-US" w:eastAsia="zh-CN"/>
        </w:rPr>
      </w:pPr>
      <w:r>
        <w:rPr>
          <w:rFonts w:hint="default" w:ascii="Times New Roman" w:hAnsi="Times New Roman" w:eastAsia="宋体" w:cs="Times New Roman"/>
          <w:color w:val="auto"/>
          <w:kern w:val="0"/>
          <w:sz w:val="24"/>
          <w:szCs w:val="20"/>
          <w:highlight w:val="none"/>
          <w:lang w:val="en-US" w:eastAsia="zh-CN"/>
        </w:rPr>
        <w:t>表6.2-</w:t>
      </w:r>
      <w:r>
        <w:rPr>
          <w:rFonts w:hint="eastAsia" w:ascii="Times New Roman" w:hAnsi="Times New Roman" w:eastAsia="宋体" w:cs="Times New Roman"/>
          <w:color w:val="auto"/>
          <w:kern w:val="0"/>
          <w:sz w:val="24"/>
          <w:szCs w:val="20"/>
          <w:highlight w:val="none"/>
          <w:lang w:val="en-US" w:eastAsia="zh-CN"/>
        </w:rPr>
        <w:t>5</w:t>
      </w:r>
      <w:r>
        <w:rPr>
          <w:rFonts w:hint="default" w:ascii="Times New Roman" w:hAnsi="Times New Roman" w:eastAsia="宋体" w:cs="Times New Roman"/>
          <w:color w:val="auto"/>
          <w:kern w:val="0"/>
          <w:sz w:val="24"/>
          <w:szCs w:val="20"/>
          <w:highlight w:val="none"/>
          <w:lang w:val="en-US" w:eastAsia="zh-CN"/>
        </w:rPr>
        <w:t xml:space="preserve">  本项目预测内容和评价要求</w:t>
      </w:r>
    </w:p>
    <w:tbl>
      <w:tblPr>
        <w:tblStyle w:val="38"/>
        <w:tblW w:w="4993"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24"/>
        <w:gridCol w:w="1625"/>
        <w:gridCol w:w="1195"/>
        <w:gridCol w:w="1328"/>
        <w:gridCol w:w="2113"/>
        <w:gridCol w:w="1753"/>
      </w:tblGrid>
      <w:tr w14:paraId="4092EB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6" w:type="pct"/>
            <w:tcBorders>
              <w:tl2br w:val="nil"/>
              <w:tr2bl w:val="nil"/>
            </w:tcBorders>
            <w:noWrap w:val="0"/>
            <w:vAlign w:val="center"/>
          </w:tcPr>
          <w:p w14:paraId="541698A0">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jc w:val="center"/>
              <w:textAlignment w:val="bottom"/>
              <w:outlineLvl w:val="9"/>
              <w:rPr>
                <w:rFonts w:hint="default" w:ascii="Times New Roman" w:hAnsi="Times New Roman" w:eastAsia="宋体" w:cs="Times New Roman"/>
                <w:b w:val="0"/>
                <w:bCs w:val="0"/>
                <w:color w:val="auto"/>
                <w:kern w:val="0"/>
                <w:sz w:val="21"/>
                <w:szCs w:val="21"/>
                <w:highlight w:val="none"/>
                <w:vertAlign w:val="baseline"/>
                <w:lang w:eastAsia="zh-CN"/>
              </w:rPr>
            </w:pPr>
            <w:r>
              <w:rPr>
                <w:rFonts w:hint="default" w:ascii="Times New Roman" w:hAnsi="Times New Roman" w:eastAsia="宋体" w:cs="Times New Roman"/>
                <w:b w:val="0"/>
                <w:bCs w:val="0"/>
                <w:color w:val="auto"/>
                <w:kern w:val="0"/>
                <w:sz w:val="21"/>
                <w:szCs w:val="21"/>
                <w:highlight w:val="none"/>
                <w:vertAlign w:val="baseline"/>
                <w:lang w:eastAsia="zh-CN"/>
              </w:rPr>
              <w:t>评价</w:t>
            </w:r>
          </w:p>
          <w:p w14:paraId="30B8205D">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jc w:val="center"/>
              <w:textAlignment w:val="bottom"/>
              <w:outlineLvl w:val="9"/>
              <w:rPr>
                <w:rFonts w:hint="default" w:ascii="Times New Roman" w:hAnsi="Times New Roman" w:eastAsia="宋体" w:cs="Times New Roman"/>
                <w:b w:val="0"/>
                <w:bCs w:val="0"/>
                <w:color w:val="auto"/>
                <w:kern w:val="0"/>
                <w:sz w:val="21"/>
                <w:szCs w:val="21"/>
                <w:highlight w:val="none"/>
                <w:vertAlign w:val="baseline"/>
                <w:lang w:eastAsia="zh-CN"/>
              </w:rPr>
            </w:pPr>
            <w:r>
              <w:rPr>
                <w:rFonts w:hint="default" w:ascii="Times New Roman" w:hAnsi="Times New Roman" w:eastAsia="宋体" w:cs="Times New Roman"/>
                <w:b w:val="0"/>
                <w:bCs w:val="0"/>
                <w:color w:val="auto"/>
                <w:kern w:val="0"/>
                <w:sz w:val="21"/>
                <w:szCs w:val="21"/>
                <w:highlight w:val="none"/>
                <w:vertAlign w:val="baseline"/>
                <w:lang w:eastAsia="zh-CN"/>
              </w:rPr>
              <w:t>对象</w:t>
            </w:r>
          </w:p>
        </w:tc>
        <w:tc>
          <w:tcPr>
            <w:tcW w:w="919" w:type="pct"/>
            <w:tcBorders>
              <w:tl2br w:val="nil"/>
              <w:tr2bl w:val="nil"/>
            </w:tcBorders>
            <w:noWrap w:val="0"/>
            <w:vAlign w:val="center"/>
          </w:tcPr>
          <w:p w14:paraId="3B1532CA">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jc w:val="center"/>
              <w:textAlignment w:val="bottom"/>
              <w:outlineLvl w:val="9"/>
              <w:rPr>
                <w:rFonts w:hint="default" w:ascii="Times New Roman" w:hAnsi="Times New Roman" w:eastAsia="宋体" w:cs="Times New Roman"/>
                <w:b w:val="0"/>
                <w:bCs w:val="0"/>
                <w:color w:val="auto"/>
                <w:kern w:val="0"/>
                <w:sz w:val="21"/>
                <w:szCs w:val="21"/>
                <w:highlight w:val="none"/>
                <w:vertAlign w:val="baseline"/>
                <w:lang w:eastAsia="zh-CN"/>
              </w:rPr>
            </w:pPr>
            <w:r>
              <w:rPr>
                <w:rFonts w:hint="default" w:ascii="Times New Roman" w:hAnsi="Times New Roman" w:eastAsia="宋体" w:cs="Times New Roman"/>
                <w:b w:val="0"/>
                <w:bCs w:val="0"/>
                <w:color w:val="auto"/>
                <w:kern w:val="0"/>
                <w:sz w:val="21"/>
                <w:szCs w:val="21"/>
                <w:highlight w:val="none"/>
                <w:vertAlign w:val="baseline"/>
                <w:lang w:eastAsia="zh-CN"/>
              </w:rPr>
              <w:t>污染源</w:t>
            </w:r>
          </w:p>
        </w:tc>
        <w:tc>
          <w:tcPr>
            <w:tcW w:w="676" w:type="pct"/>
            <w:tcBorders>
              <w:tl2br w:val="nil"/>
              <w:tr2bl w:val="nil"/>
            </w:tcBorders>
            <w:noWrap w:val="0"/>
            <w:vAlign w:val="center"/>
          </w:tcPr>
          <w:p w14:paraId="1C539E4B">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jc w:val="center"/>
              <w:textAlignment w:val="bottom"/>
              <w:outlineLvl w:val="9"/>
              <w:rPr>
                <w:rFonts w:hint="default" w:ascii="Times New Roman" w:hAnsi="Times New Roman" w:eastAsia="宋体" w:cs="Times New Roman"/>
                <w:b w:val="0"/>
                <w:bCs w:val="0"/>
                <w:color w:val="auto"/>
                <w:kern w:val="0"/>
                <w:sz w:val="21"/>
                <w:szCs w:val="21"/>
                <w:highlight w:val="none"/>
                <w:vertAlign w:val="baseline"/>
                <w:lang w:eastAsia="zh-CN"/>
              </w:rPr>
            </w:pPr>
            <w:r>
              <w:rPr>
                <w:rFonts w:hint="default" w:ascii="Times New Roman" w:hAnsi="Times New Roman" w:eastAsia="宋体" w:cs="Times New Roman"/>
                <w:b w:val="0"/>
                <w:bCs w:val="0"/>
                <w:color w:val="auto"/>
                <w:kern w:val="0"/>
                <w:sz w:val="21"/>
                <w:szCs w:val="21"/>
                <w:highlight w:val="none"/>
                <w:vertAlign w:val="baseline"/>
                <w:lang w:eastAsia="zh-CN"/>
              </w:rPr>
              <w:t>污染源</w:t>
            </w:r>
          </w:p>
          <w:p w14:paraId="505982C9">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jc w:val="center"/>
              <w:textAlignment w:val="bottom"/>
              <w:outlineLvl w:val="9"/>
              <w:rPr>
                <w:rFonts w:hint="default" w:ascii="Times New Roman" w:hAnsi="Times New Roman" w:eastAsia="宋体" w:cs="Times New Roman"/>
                <w:b w:val="0"/>
                <w:bCs w:val="0"/>
                <w:color w:val="auto"/>
                <w:kern w:val="0"/>
                <w:sz w:val="21"/>
                <w:szCs w:val="21"/>
                <w:highlight w:val="none"/>
                <w:vertAlign w:val="baseline"/>
                <w:lang w:eastAsia="zh-CN"/>
              </w:rPr>
            </w:pPr>
            <w:r>
              <w:rPr>
                <w:rFonts w:hint="default" w:ascii="Times New Roman" w:hAnsi="Times New Roman" w:eastAsia="宋体" w:cs="Times New Roman"/>
                <w:b w:val="0"/>
                <w:bCs w:val="0"/>
                <w:color w:val="auto"/>
                <w:kern w:val="0"/>
                <w:sz w:val="21"/>
                <w:szCs w:val="21"/>
                <w:highlight w:val="none"/>
                <w:vertAlign w:val="baseline"/>
                <w:lang w:eastAsia="zh-CN"/>
              </w:rPr>
              <w:t>排放形式</w:t>
            </w:r>
          </w:p>
        </w:tc>
        <w:tc>
          <w:tcPr>
            <w:tcW w:w="751" w:type="pct"/>
            <w:tcBorders>
              <w:tl2br w:val="nil"/>
              <w:tr2bl w:val="nil"/>
            </w:tcBorders>
            <w:noWrap w:val="0"/>
            <w:vAlign w:val="center"/>
          </w:tcPr>
          <w:p w14:paraId="7FB141E5">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jc w:val="center"/>
              <w:textAlignment w:val="bottom"/>
              <w:outlineLvl w:val="9"/>
              <w:rPr>
                <w:rFonts w:hint="default" w:ascii="Times New Roman" w:hAnsi="Times New Roman" w:eastAsia="宋体" w:cs="Times New Roman"/>
                <w:b w:val="0"/>
                <w:bCs w:val="0"/>
                <w:color w:val="auto"/>
                <w:kern w:val="0"/>
                <w:sz w:val="21"/>
                <w:szCs w:val="21"/>
                <w:highlight w:val="none"/>
                <w:vertAlign w:val="baseline"/>
                <w:lang w:eastAsia="zh-CN"/>
              </w:rPr>
            </w:pPr>
            <w:r>
              <w:rPr>
                <w:rFonts w:hint="default" w:ascii="Times New Roman" w:hAnsi="Times New Roman" w:eastAsia="宋体" w:cs="Times New Roman"/>
                <w:b w:val="0"/>
                <w:bCs w:val="0"/>
                <w:color w:val="auto"/>
                <w:kern w:val="0"/>
                <w:sz w:val="21"/>
                <w:szCs w:val="21"/>
                <w:highlight w:val="none"/>
                <w:vertAlign w:val="baseline"/>
                <w:lang w:eastAsia="zh-CN"/>
              </w:rPr>
              <w:t>预测内容</w:t>
            </w:r>
          </w:p>
        </w:tc>
        <w:tc>
          <w:tcPr>
            <w:tcW w:w="1195" w:type="pct"/>
            <w:tcBorders>
              <w:tl2br w:val="nil"/>
              <w:tr2bl w:val="nil"/>
            </w:tcBorders>
            <w:noWrap w:val="0"/>
            <w:vAlign w:val="center"/>
          </w:tcPr>
          <w:p w14:paraId="2CB043E0">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jc w:val="center"/>
              <w:textAlignment w:val="bottom"/>
              <w:outlineLvl w:val="9"/>
              <w:rPr>
                <w:rFonts w:hint="default" w:ascii="Times New Roman" w:hAnsi="Times New Roman" w:eastAsia="宋体" w:cs="Times New Roman"/>
                <w:b w:val="0"/>
                <w:bCs w:val="0"/>
                <w:color w:val="auto"/>
                <w:kern w:val="0"/>
                <w:sz w:val="21"/>
                <w:szCs w:val="21"/>
                <w:highlight w:val="none"/>
                <w:vertAlign w:val="baseline"/>
                <w:lang w:eastAsia="zh-CN"/>
              </w:rPr>
            </w:pPr>
            <w:r>
              <w:rPr>
                <w:rFonts w:hint="default" w:ascii="Times New Roman" w:hAnsi="Times New Roman" w:eastAsia="宋体" w:cs="Times New Roman"/>
                <w:b w:val="0"/>
                <w:bCs w:val="0"/>
                <w:color w:val="auto"/>
                <w:kern w:val="0"/>
                <w:sz w:val="21"/>
                <w:szCs w:val="21"/>
                <w:highlight w:val="none"/>
                <w:vertAlign w:val="baseline"/>
                <w:lang w:eastAsia="zh-CN"/>
              </w:rPr>
              <w:t>评价内容</w:t>
            </w:r>
          </w:p>
        </w:tc>
        <w:tc>
          <w:tcPr>
            <w:tcW w:w="991" w:type="pct"/>
            <w:tcBorders>
              <w:tl2br w:val="nil"/>
              <w:tr2bl w:val="nil"/>
            </w:tcBorders>
            <w:noWrap w:val="0"/>
            <w:vAlign w:val="center"/>
          </w:tcPr>
          <w:p w14:paraId="702A515D">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jc w:val="center"/>
              <w:textAlignment w:val="bottom"/>
              <w:outlineLvl w:val="9"/>
              <w:rPr>
                <w:rFonts w:hint="default" w:ascii="Times New Roman" w:hAnsi="Times New Roman" w:eastAsia="宋体" w:cs="Times New Roman"/>
                <w:b w:val="0"/>
                <w:bCs w:val="0"/>
                <w:color w:val="auto"/>
                <w:kern w:val="0"/>
                <w:sz w:val="21"/>
                <w:szCs w:val="21"/>
                <w:highlight w:val="none"/>
                <w:vertAlign w:val="baseline"/>
                <w:lang w:val="en-US" w:eastAsia="zh-CN"/>
              </w:rPr>
            </w:pPr>
            <w:r>
              <w:rPr>
                <w:rFonts w:hint="default" w:ascii="Times New Roman" w:hAnsi="Times New Roman" w:eastAsia="宋体" w:cs="Times New Roman"/>
                <w:b w:val="0"/>
                <w:bCs w:val="0"/>
                <w:color w:val="auto"/>
                <w:kern w:val="0"/>
                <w:sz w:val="21"/>
                <w:szCs w:val="21"/>
                <w:highlight w:val="none"/>
                <w:vertAlign w:val="baseline"/>
                <w:lang w:val="en-US" w:eastAsia="zh-CN"/>
              </w:rPr>
              <w:t>预测因子</w:t>
            </w:r>
          </w:p>
        </w:tc>
      </w:tr>
      <w:tr w14:paraId="57C4FE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6" w:type="pct"/>
            <w:vMerge w:val="restart"/>
            <w:tcBorders>
              <w:tl2br w:val="nil"/>
              <w:tr2bl w:val="nil"/>
            </w:tcBorders>
            <w:noWrap w:val="0"/>
            <w:vAlign w:val="center"/>
          </w:tcPr>
          <w:p w14:paraId="1F256C35">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jc w:val="center"/>
              <w:textAlignment w:val="bottom"/>
              <w:outlineLvl w:val="9"/>
              <w:rPr>
                <w:rFonts w:hint="default" w:ascii="Times New Roman" w:hAnsi="Times New Roman" w:eastAsia="宋体" w:cs="Times New Roman"/>
                <w:color w:val="auto"/>
                <w:kern w:val="0"/>
                <w:sz w:val="21"/>
                <w:szCs w:val="21"/>
                <w:highlight w:val="none"/>
                <w:vertAlign w:val="baseline"/>
                <w:lang w:eastAsia="zh-CN"/>
              </w:rPr>
            </w:pPr>
            <w:r>
              <w:rPr>
                <w:rFonts w:hint="default" w:ascii="Times New Roman" w:hAnsi="Times New Roman" w:eastAsia="宋体" w:cs="Times New Roman"/>
                <w:color w:val="auto"/>
                <w:kern w:val="0"/>
                <w:sz w:val="21"/>
                <w:szCs w:val="21"/>
                <w:highlight w:val="none"/>
                <w:vertAlign w:val="baseline"/>
                <w:lang w:eastAsia="zh-CN"/>
              </w:rPr>
              <w:t>达标区评价项目</w:t>
            </w:r>
          </w:p>
        </w:tc>
        <w:tc>
          <w:tcPr>
            <w:tcW w:w="919" w:type="pct"/>
            <w:tcBorders>
              <w:tl2br w:val="nil"/>
              <w:tr2bl w:val="nil"/>
            </w:tcBorders>
            <w:noWrap w:val="0"/>
            <w:vAlign w:val="center"/>
          </w:tcPr>
          <w:p w14:paraId="6DBECBA3">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left="0" w:leftChars="0" w:firstLine="0" w:firstLineChars="0"/>
              <w:jc w:val="center"/>
              <w:textAlignment w:val="bottom"/>
              <w:outlineLvl w:val="9"/>
              <w:rPr>
                <w:rFonts w:hint="default" w:ascii="Times New Roman" w:hAnsi="Times New Roman" w:eastAsia="宋体" w:cs="Times New Roman"/>
                <w:color w:val="auto"/>
                <w:kern w:val="0"/>
                <w:sz w:val="21"/>
                <w:szCs w:val="21"/>
                <w:highlight w:val="none"/>
                <w:vertAlign w:val="baseline"/>
                <w:lang w:eastAsia="zh-CN"/>
              </w:rPr>
            </w:pPr>
            <w:r>
              <w:rPr>
                <w:rFonts w:hint="default" w:ascii="Times New Roman" w:hAnsi="Times New Roman" w:eastAsia="宋体" w:cs="Times New Roman"/>
                <w:color w:val="auto"/>
                <w:kern w:val="0"/>
                <w:sz w:val="21"/>
                <w:szCs w:val="21"/>
                <w:highlight w:val="none"/>
                <w:vertAlign w:val="baseline"/>
                <w:lang w:eastAsia="zh-CN"/>
              </w:rPr>
              <w:t>新增污染源</w:t>
            </w:r>
          </w:p>
        </w:tc>
        <w:tc>
          <w:tcPr>
            <w:tcW w:w="676" w:type="pct"/>
            <w:tcBorders>
              <w:tl2br w:val="nil"/>
              <w:tr2bl w:val="nil"/>
            </w:tcBorders>
            <w:noWrap w:val="0"/>
            <w:vAlign w:val="center"/>
          </w:tcPr>
          <w:p w14:paraId="6DE1BCD1">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left="0" w:leftChars="0" w:firstLine="0" w:firstLineChars="0"/>
              <w:jc w:val="center"/>
              <w:textAlignment w:val="bottom"/>
              <w:outlineLvl w:val="9"/>
              <w:rPr>
                <w:rFonts w:hint="default" w:ascii="Times New Roman" w:hAnsi="Times New Roman" w:eastAsia="宋体" w:cs="Times New Roman"/>
                <w:color w:val="auto"/>
                <w:kern w:val="0"/>
                <w:sz w:val="21"/>
                <w:szCs w:val="21"/>
                <w:highlight w:val="none"/>
                <w:vertAlign w:val="baseline"/>
                <w:lang w:eastAsia="zh-CN"/>
              </w:rPr>
            </w:pPr>
            <w:r>
              <w:rPr>
                <w:rFonts w:hint="default" w:ascii="Times New Roman" w:hAnsi="Times New Roman" w:eastAsia="宋体" w:cs="Times New Roman"/>
                <w:color w:val="auto"/>
                <w:kern w:val="0"/>
                <w:sz w:val="21"/>
                <w:szCs w:val="21"/>
                <w:highlight w:val="none"/>
                <w:vertAlign w:val="baseline"/>
                <w:lang w:eastAsia="zh-CN"/>
              </w:rPr>
              <w:t>正常排放</w:t>
            </w:r>
          </w:p>
        </w:tc>
        <w:tc>
          <w:tcPr>
            <w:tcW w:w="751" w:type="pct"/>
            <w:tcBorders>
              <w:tl2br w:val="nil"/>
              <w:tr2bl w:val="nil"/>
            </w:tcBorders>
            <w:noWrap w:val="0"/>
            <w:vAlign w:val="center"/>
          </w:tcPr>
          <w:p w14:paraId="76DFA35E">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left="0" w:leftChars="0" w:firstLine="0" w:firstLineChars="0"/>
              <w:jc w:val="center"/>
              <w:textAlignment w:val="bottom"/>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短期浓度、</w:t>
            </w:r>
          </w:p>
          <w:p w14:paraId="46908B3F">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left="0" w:leftChars="0" w:firstLine="0" w:firstLineChars="0"/>
              <w:jc w:val="center"/>
              <w:textAlignment w:val="bottom"/>
              <w:outlineLvl w:val="9"/>
              <w:rPr>
                <w:rFonts w:hint="default" w:ascii="Times New Roman" w:hAnsi="Times New Roman" w:eastAsia="宋体" w:cs="Times New Roman"/>
                <w:color w:val="auto"/>
                <w:kern w:val="0"/>
                <w:sz w:val="21"/>
                <w:szCs w:val="21"/>
                <w:highlight w:val="none"/>
                <w:vertAlign w:val="baseline"/>
                <w:lang w:eastAsia="zh-CN"/>
              </w:rPr>
            </w:pPr>
            <w:r>
              <w:rPr>
                <w:rFonts w:hint="default" w:ascii="Times New Roman" w:hAnsi="Times New Roman" w:eastAsia="宋体" w:cs="Times New Roman"/>
                <w:color w:val="auto"/>
                <w:kern w:val="0"/>
                <w:sz w:val="21"/>
                <w:szCs w:val="21"/>
                <w:highlight w:val="none"/>
                <w:vertAlign w:val="baseline"/>
                <w:lang w:eastAsia="zh-CN"/>
              </w:rPr>
              <w:t>长期浓度</w:t>
            </w:r>
          </w:p>
        </w:tc>
        <w:tc>
          <w:tcPr>
            <w:tcW w:w="1195" w:type="pct"/>
            <w:tcBorders>
              <w:tl2br w:val="nil"/>
              <w:tr2bl w:val="nil"/>
            </w:tcBorders>
            <w:noWrap w:val="0"/>
            <w:vAlign w:val="center"/>
          </w:tcPr>
          <w:p w14:paraId="53C7D689">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left="0" w:leftChars="0" w:firstLine="0" w:firstLineChars="0"/>
              <w:jc w:val="center"/>
              <w:textAlignment w:val="bottom"/>
              <w:outlineLvl w:val="9"/>
              <w:rPr>
                <w:rFonts w:hint="default" w:ascii="Times New Roman" w:hAnsi="Times New Roman" w:eastAsia="宋体" w:cs="Times New Roman"/>
                <w:color w:val="auto"/>
                <w:kern w:val="0"/>
                <w:sz w:val="21"/>
                <w:szCs w:val="21"/>
                <w:highlight w:val="none"/>
                <w:vertAlign w:val="baseline"/>
                <w:lang w:eastAsia="zh-CN"/>
              </w:rPr>
            </w:pPr>
            <w:r>
              <w:rPr>
                <w:rFonts w:hint="default" w:ascii="Times New Roman" w:hAnsi="Times New Roman" w:eastAsia="宋体" w:cs="Times New Roman"/>
                <w:color w:val="auto"/>
                <w:kern w:val="0"/>
                <w:sz w:val="21"/>
                <w:szCs w:val="21"/>
                <w:highlight w:val="none"/>
                <w:vertAlign w:val="baseline"/>
                <w:lang w:eastAsia="zh-CN"/>
              </w:rPr>
              <w:t>最大浓度占标率</w:t>
            </w:r>
          </w:p>
        </w:tc>
        <w:tc>
          <w:tcPr>
            <w:tcW w:w="991" w:type="pct"/>
            <w:tcBorders>
              <w:tl2br w:val="nil"/>
              <w:tr2bl w:val="nil"/>
            </w:tcBorders>
            <w:noWrap w:val="0"/>
            <w:vAlign w:val="center"/>
          </w:tcPr>
          <w:p w14:paraId="45A84120">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left="0" w:leftChars="0" w:firstLine="0" w:firstLineChars="0"/>
              <w:jc w:val="center"/>
              <w:textAlignment w:val="bottom"/>
              <w:outlineLvl w:val="9"/>
              <w:rPr>
                <w:rFonts w:hint="default" w:ascii="Times New Roman" w:hAnsi="Times New Roman" w:eastAsia="宋体" w:cs="Times New Roman"/>
                <w:color w:val="auto"/>
                <w:kern w:val="0"/>
                <w:sz w:val="21"/>
                <w:szCs w:val="21"/>
                <w:highlight w:val="none"/>
                <w:vertAlign w:val="baseline"/>
                <w:lang w:eastAsia="zh-CN"/>
              </w:rPr>
            </w:pPr>
            <w:r>
              <w:rPr>
                <w:rFonts w:hint="default" w:ascii="Times New Roman" w:hAnsi="Times New Roman" w:eastAsia="宋体" w:cs="Times New Roman"/>
                <w:iCs/>
                <w:color w:val="auto"/>
                <w:spacing w:val="0"/>
                <w:kern w:val="0"/>
                <w:sz w:val="21"/>
                <w:szCs w:val="21"/>
                <w:highlight w:val="none"/>
              </w:rPr>
              <w:t>PM</w:t>
            </w:r>
            <w:r>
              <w:rPr>
                <w:rFonts w:hint="default" w:ascii="Times New Roman" w:hAnsi="Times New Roman" w:eastAsia="宋体" w:cs="Times New Roman"/>
                <w:iCs/>
                <w:color w:val="auto"/>
                <w:spacing w:val="0"/>
                <w:kern w:val="0"/>
                <w:sz w:val="21"/>
                <w:szCs w:val="21"/>
                <w:highlight w:val="none"/>
                <w:vertAlign w:val="subscript"/>
              </w:rPr>
              <w:t>10</w:t>
            </w:r>
            <w:r>
              <w:rPr>
                <w:rFonts w:hint="default" w:ascii="Times New Roman" w:hAnsi="Times New Roman" w:eastAsia="宋体" w:cs="Times New Roman"/>
                <w:iCs/>
                <w:color w:val="auto"/>
                <w:spacing w:val="0"/>
                <w:kern w:val="0"/>
                <w:sz w:val="21"/>
                <w:szCs w:val="21"/>
                <w:highlight w:val="none"/>
              </w:rPr>
              <w:t>、</w:t>
            </w:r>
            <w:r>
              <w:rPr>
                <w:rFonts w:hint="default" w:ascii="Times New Roman" w:hAnsi="Times New Roman" w:eastAsia="宋体" w:cs="Times New Roman"/>
                <w:iCs/>
                <w:color w:val="auto"/>
                <w:spacing w:val="0"/>
                <w:kern w:val="0"/>
                <w:sz w:val="21"/>
                <w:szCs w:val="21"/>
                <w:highlight w:val="none"/>
                <w:lang w:val="en-US" w:eastAsia="zh-CN"/>
              </w:rPr>
              <w:t>一次</w:t>
            </w:r>
            <w:r>
              <w:rPr>
                <w:rFonts w:hint="default" w:ascii="Times New Roman" w:hAnsi="Times New Roman" w:eastAsia="宋体" w:cs="Times New Roman"/>
                <w:iCs/>
                <w:color w:val="auto"/>
                <w:spacing w:val="0"/>
                <w:kern w:val="0"/>
                <w:sz w:val="21"/>
                <w:szCs w:val="21"/>
                <w:highlight w:val="none"/>
              </w:rPr>
              <w:t>PM</w:t>
            </w:r>
            <w:r>
              <w:rPr>
                <w:rFonts w:hint="default" w:ascii="Times New Roman" w:hAnsi="Times New Roman" w:eastAsia="宋体" w:cs="Times New Roman"/>
                <w:iCs/>
                <w:color w:val="auto"/>
                <w:spacing w:val="0"/>
                <w:kern w:val="0"/>
                <w:sz w:val="21"/>
                <w:szCs w:val="21"/>
                <w:highlight w:val="none"/>
                <w:vertAlign w:val="subscript"/>
              </w:rPr>
              <w:t>2.5</w:t>
            </w:r>
            <w:r>
              <w:rPr>
                <w:rFonts w:hint="default" w:ascii="Times New Roman" w:hAnsi="Times New Roman" w:eastAsia="宋体" w:cs="Times New Roman"/>
                <w:iCs/>
                <w:color w:val="auto"/>
                <w:spacing w:val="0"/>
                <w:kern w:val="0"/>
                <w:sz w:val="21"/>
                <w:szCs w:val="21"/>
                <w:highlight w:val="none"/>
              </w:rPr>
              <w:t>、SO</w:t>
            </w:r>
            <w:r>
              <w:rPr>
                <w:rFonts w:hint="default" w:ascii="Times New Roman" w:hAnsi="Times New Roman" w:eastAsia="宋体" w:cs="Times New Roman"/>
                <w:iCs/>
                <w:color w:val="auto"/>
                <w:spacing w:val="0"/>
                <w:kern w:val="0"/>
                <w:sz w:val="21"/>
                <w:szCs w:val="21"/>
                <w:highlight w:val="none"/>
                <w:vertAlign w:val="subscript"/>
              </w:rPr>
              <w:t>2</w:t>
            </w:r>
            <w:r>
              <w:rPr>
                <w:rFonts w:hint="default" w:ascii="Times New Roman" w:hAnsi="Times New Roman" w:eastAsia="宋体" w:cs="Times New Roman"/>
                <w:iCs/>
                <w:color w:val="auto"/>
                <w:spacing w:val="0"/>
                <w:kern w:val="0"/>
                <w:sz w:val="21"/>
                <w:szCs w:val="21"/>
                <w:highlight w:val="none"/>
              </w:rPr>
              <w:t>、NO</w:t>
            </w:r>
            <w:r>
              <w:rPr>
                <w:rFonts w:hint="default" w:ascii="Times New Roman" w:hAnsi="Times New Roman" w:eastAsia="宋体" w:cs="Times New Roman"/>
                <w:iCs/>
                <w:color w:val="auto"/>
                <w:spacing w:val="0"/>
                <w:kern w:val="0"/>
                <w:sz w:val="21"/>
                <w:szCs w:val="21"/>
                <w:highlight w:val="none"/>
                <w:vertAlign w:val="subscript"/>
              </w:rPr>
              <w:t>2</w:t>
            </w:r>
            <w:r>
              <w:rPr>
                <w:rFonts w:hint="default" w:ascii="Times New Roman" w:hAnsi="Times New Roman" w:eastAsia="宋体" w:cs="Times New Roman"/>
                <w:iCs/>
                <w:color w:val="auto"/>
                <w:spacing w:val="0"/>
                <w:kern w:val="0"/>
                <w:sz w:val="21"/>
                <w:szCs w:val="21"/>
                <w:highlight w:val="none"/>
              </w:rPr>
              <w:t>、</w:t>
            </w:r>
            <w:r>
              <w:rPr>
                <w:rFonts w:hint="default" w:ascii="Times New Roman" w:hAnsi="Times New Roman" w:eastAsia="宋体" w:cs="Times New Roman"/>
                <w:iCs/>
                <w:color w:val="auto"/>
                <w:spacing w:val="0"/>
                <w:kern w:val="0"/>
                <w:sz w:val="21"/>
                <w:szCs w:val="21"/>
                <w:highlight w:val="none"/>
                <w:lang w:val="en-US" w:eastAsia="zh-CN"/>
              </w:rPr>
              <w:t>TSP、</w:t>
            </w:r>
            <w:r>
              <w:rPr>
                <w:rFonts w:hint="default" w:ascii="Times New Roman" w:hAnsi="Times New Roman" w:eastAsia="宋体" w:cs="Times New Roman"/>
                <w:iCs/>
                <w:color w:val="auto"/>
                <w:spacing w:val="0"/>
                <w:kern w:val="0"/>
                <w:sz w:val="21"/>
                <w:szCs w:val="21"/>
                <w:highlight w:val="none"/>
              </w:rPr>
              <w:t>Hg</w:t>
            </w:r>
            <w:r>
              <w:rPr>
                <w:rFonts w:hint="default" w:ascii="Times New Roman" w:hAnsi="Times New Roman" w:eastAsia="宋体" w:cs="Times New Roman"/>
                <w:iCs/>
                <w:color w:val="auto"/>
                <w:spacing w:val="0"/>
                <w:kern w:val="0"/>
                <w:sz w:val="21"/>
                <w:szCs w:val="21"/>
                <w:highlight w:val="none"/>
                <w:lang w:val="en-US" w:eastAsia="zh-CN"/>
              </w:rPr>
              <w:t>、NH</w:t>
            </w:r>
            <w:r>
              <w:rPr>
                <w:rFonts w:hint="default" w:ascii="Times New Roman" w:hAnsi="Times New Roman" w:eastAsia="宋体" w:cs="Times New Roman"/>
                <w:iCs/>
                <w:color w:val="auto"/>
                <w:spacing w:val="0"/>
                <w:kern w:val="0"/>
                <w:sz w:val="21"/>
                <w:szCs w:val="21"/>
                <w:highlight w:val="none"/>
                <w:vertAlign w:val="subscript"/>
                <w:lang w:val="en-US" w:eastAsia="zh-CN"/>
              </w:rPr>
              <w:t>3</w:t>
            </w:r>
          </w:p>
        </w:tc>
      </w:tr>
      <w:tr w14:paraId="48DAE8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6" w:type="pct"/>
            <w:vMerge w:val="continue"/>
            <w:tcBorders>
              <w:tl2br w:val="nil"/>
              <w:tr2bl w:val="nil"/>
            </w:tcBorders>
            <w:noWrap w:val="0"/>
            <w:vAlign w:val="center"/>
          </w:tcPr>
          <w:p w14:paraId="04C473E5">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jc w:val="center"/>
              <w:textAlignment w:val="bottom"/>
              <w:outlineLvl w:val="9"/>
              <w:rPr>
                <w:rFonts w:hint="default" w:ascii="Times New Roman" w:hAnsi="Times New Roman" w:eastAsia="宋体" w:cs="Times New Roman"/>
                <w:color w:val="auto"/>
                <w:kern w:val="0"/>
                <w:sz w:val="21"/>
                <w:szCs w:val="21"/>
                <w:highlight w:val="none"/>
                <w:vertAlign w:val="baseline"/>
                <w:lang w:eastAsia="zh-CN"/>
              </w:rPr>
            </w:pPr>
          </w:p>
        </w:tc>
        <w:tc>
          <w:tcPr>
            <w:tcW w:w="919" w:type="pct"/>
            <w:tcBorders>
              <w:tl2br w:val="nil"/>
              <w:tr2bl w:val="nil"/>
            </w:tcBorders>
            <w:noWrap w:val="0"/>
            <w:vAlign w:val="center"/>
          </w:tcPr>
          <w:p w14:paraId="44AD4AB0">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left="0" w:leftChars="0" w:firstLine="0" w:firstLineChars="0"/>
              <w:jc w:val="center"/>
              <w:textAlignment w:val="bottom"/>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新增污染源</w:t>
            </w:r>
            <w:r>
              <w:rPr>
                <w:rFonts w:hint="eastAsia" w:ascii="Times New Roman" w:hAnsi="Times New Roman" w:eastAsia="宋体" w:cs="Times New Roman"/>
                <w:color w:val="auto"/>
                <w:sz w:val="21"/>
                <w:szCs w:val="21"/>
                <w:highlight w:val="none"/>
                <w:lang w:eastAsia="zh-CN"/>
              </w:rPr>
              <w:t>－</w:t>
            </w:r>
          </w:p>
          <w:p w14:paraId="6B74BC96">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left="0" w:leftChars="0" w:firstLine="0" w:firstLineChars="0"/>
              <w:jc w:val="center"/>
              <w:textAlignment w:val="bottom"/>
              <w:outlineLvl w:val="9"/>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区域削减源+其他在建、拟建污染源</w:t>
            </w:r>
          </w:p>
        </w:tc>
        <w:tc>
          <w:tcPr>
            <w:tcW w:w="676" w:type="pct"/>
            <w:tcBorders>
              <w:tl2br w:val="nil"/>
              <w:tr2bl w:val="nil"/>
            </w:tcBorders>
            <w:noWrap w:val="0"/>
            <w:vAlign w:val="center"/>
          </w:tcPr>
          <w:p w14:paraId="3B0A2A90">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left="0" w:leftChars="0" w:firstLine="0" w:firstLineChars="0"/>
              <w:jc w:val="center"/>
              <w:textAlignment w:val="bottom"/>
              <w:outlineLvl w:val="9"/>
              <w:rPr>
                <w:rFonts w:hint="default" w:ascii="Times New Roman" w:hAnsi="Times New Roman" w:eastAsia="宋体" w:cs="Times New Roman"/>
                <w:color w:val="auto"/>
                <w:kern w:val="0"/>
                <w:sz w:val="21"/>
                <w:szCs w:val="21"/>
                <w:highlight w:val="none"/>
                <w:vertAlign w:val="baseline"/>
                <w:lang w:eastAsia="zh-CN"/>
              </w:rPr>
            </w:pPr>
            <w:r>
              <w:rPr>
                <w:rFonts w:hint="default" w:ascii="Times New Roman" w:hAnsi="Times New Roman" w:eastAsia="宋体" w:cs="Times New Roman"/>
                <w:color w:val="auto"/>
                <w:kern w:val="0"/>
                <w:sz w:val="21"/>
                <w:szCs w:val="21"/>
                <w:highlight w:val="none"/>
                <w:vertAlign w:val="baseline"/>
                <w:lang w:eastAsia="zh-CN"/>
              </w:rPr>
              <w:t>正常排放</w:t>
            </w:r>
          </w:p>
        </w:tc>
        <w:tc>
          <w:tcPr>
            <w:tcW w:w="751" w:type="pct"/>
            <w:tcBorders>
              <w:tl2br w:val="nil"/>
              <w:tr2bl w:val="nil"/>
            </w:tcBorders>
            <w:noWrap w:val="0"/>
            <w:vAlign w:val="center"/>
          </w:tcPr>
          <w:p w14:paraId="248D6C58">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left="0" w:leftChars="0" w:firstLine="0" w:firstLineChars="0"/>
              <w:jc w:val="center"/>
              <w:textAlignment w:val="bottom"/>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短期浓度、</w:t>
            </w:r>
          </w:p>
          <w:p w14:paraId="02CF564A">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left="0" w:leftChars="0" w:firstLine="0" w:firstLineChars="0"/>
              <w:jc w:val="center"/>
              <w:textAlignment w:val="bottom"/>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kern w:val="0"/>
                <w:sz w:val="21"/>
                <w:szCs w:val="21"/>
                <w:highlight w:val="none"/>
                <w:vertAlign w:val="baseline"/>
                <w:lang w:eastAsia="zh-CN"/>
              </w:rPr>
              <w:t>长期浓度</w:t>
            </w:r>
          </w:p>
        </w:tc>
        <w:tc>
          <w:tcPr>
            <w:tcW w:w="1195" w:type="pct"/>
            <w:tcBorders>
              <w:tl2br w:val="nil"/>
              <w:tr2bl w:val="nil"/>
            </w:tcBorders>
            <w:noWrap w:val="0"/>
            <w:vAlign w:val="center"/>
          </w:tcPr>
          <w:p w14:paraId="794BEA9C">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left="0" w:leftChars="0" w:firstLine="0" w:firstLineChars="0"/>
              <w:jc w:val="center"/>
              <w:textAlignment w:val="bottom"/>
              <w:outlineLvl w:val="9"/>
              <w:rPr>
                <w:rFonts w:hint="default" w:ascii="Times New Roman" w:hAnsi="Times New Roman" w:eastAsia="宋体" w:cs="Times New Roman"/>
                <w:color w:val="auto"/>
                <w:kern w:val="0"/>
                <w:sz w:val="21"/>
                <w:szCs w:val="21"/>
                <w:highlight w:val="none"/>
                <w:vertAlign w:val="baseline"/>
                <w:lang w:eastAsia="zh-CN"/>
              </w:rPr>
            </w:pPr>
            <w:r>
              <w:rPr>
                <w:rFonts w:hint="default" w:ascii="Times New Roman" w:hAnsi="Times New Roman" w:eastAsia="宋体" w:cs="Times New Roman"/>
                <w:color w:val="auto"/>
                <w:sz w:val="21"/>
                <w:szCs w:val="21"/>
                <w:highlight w:val="none"/>
                <w:lang w:eastAsia="zh-CN"/>
              </w:rPr>
              <w:t>叠加</w:t>
            </w:r>
            <w:r>
              <w:rPr>
                <w:rFonts w:hint="default" w:ascii="Times New Roman" w:hAnsi="Times New Roman" w:eastAsia="宋体" w:cs="Times New Roman"/>
                <w:color w:val="auto"/>
                <w:sz w:val="21"/>
                <w:szCs w:val="21"/>
                <w:highlight w:val="none"/>
                <w:lang w:val="en-US" w:eastAsia="zh-CN"/>
              </w:rPr>
              <w:t>环境质量现状浓度后的保证率</w:t>
            </w:r>
            <w:r>
              <w:rPr>
                <w:rFonts w:hint="default" w:ascii="Times New Roman" w:hAnsi="Times New Roman" w:eastAsia="宋体" w:cs="Times New Roman"/>
                <w:color w:val="auto"/>
                <w:sz w:val="21"/>
                <w:szCs w:val="21"/>
                <w:highlight w:val="none"/>
                <w:lang w:eastAsia="zh-CN"/>
              </w:rPr>
              <w:t>日平均质量浓度和年平均质量浓度的占标率</w:t>
            </w:r>
          </w:p>
        </w:tc>
        <w:tc>
          <w:tcPr>
            <w:tcW w:w="991" w:type="pct"/>
            <w:tcBorders>
              <w:tl2br w:val="nil"/>
              <w:tr2bl w:val="nil"/>
            </w:tcBorders>
            <w:noWrap w:val="0"/>
            <w:vAlign w:val="center"/>
          </w:tcPr>
          <w:p w14:paraId="3362825D">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left="0" w:leftChars="0" w:firstLine="0" w:firstLineChars="0"/>
              <w:jc w:val="center"/>
              <w:textAlignment w:val="bottom"/>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iCs/>
                <w:color w:val="auto"/>
                <w:spacing w:val="0"/>
                <w:kern w:val="0"/>
                <w:sz w:val="21"/>
                <w:szCs w:val="21"/>
                <w:highlight w:val="none"/>
              </w:rPr>
              <w:t>PM</w:t>
            </w:r>
            <w:r>
              <w:rPr>
                <w:rFonts w:hint="default" w:ascii="Times New Roman" w:hAnsi="Times New Roman" w:eastAsia="宋体" w:cs="Times New Roman"/>
                <w:iCs/>
                <w:color w:val="auto"/>
                <w:spacing w:val="0"/>
                <w:kern w:val="0"/>
                <w:sz w:val="21"/>
                <w:szCs w:val="21"/>
                <w:highlight w:val="none"/>
                <w:vertAlign w:val="subscript"/>
              </w:rPr>
              <w:t>10</w:t>
            </w:r>
            <w:r>
              <w:rPr>
                <w:rFonts w:hint="default" w:ascii="Times New Roman" w:hAnsi="Times New Roman" w:eastAsia="宋体" w:cs="Times New Roman"/>
                <w:iCs/>
                <w:color w:val="auto"/>
                <w:spacing w:val="0"/>
                <w:kern w:val="0"/>
                <w:sz w:val="21"/>
                <w:szCs w:val="21"/>
                <w:highlight w:val="none"/>
              </w:rPr>
              <w:t>、SO</w:t>
            </w:r>
            <w:r>
              <w:rPr>
                <w:rFonts w:hint="default" w:ascii="Times New Roman" w:hAnsi="Times New Roman" w:eastAsia="宋体" w:cs="Times New Roman"/>
                <w:iCs/>
                <w:color w:val="auto"/>
                <w:spacing w:val="0"/>
                <w:kern w:val="0"/>
                <w:sz w:val="21"/>
                <w:szCs w:val="21"/>
                <w:highlight w:val="none"/>
                <w:vertAlign w:val="subscript"/>
              </w:rPr>
              <w:t>2</w:t>
            </w:r>
            <w:r>
              <w:rPr>
                <w:rFonts w:hint="default" w:ascii="Times New Roman" w:hAnsi="Times New Roman" w:eastAsia="宋体" w:cs="Times New Roman"/>
                <w:iCs/>
                <w:color w:val="auto"/>
                <w:spacing w:val="0"/>
                <w:kern w:val="0"/>
                <w:sz w:val="21"/>
                <w:szCs w:val="21"/>
                <w:highlight w:val="none"/>
              </w:rPr>
              <w:t>、NO</w:t>
            </w:r>
            <w:r>
              <w:rPr>
                <w:rFonts w:hint="default" w:ascii="Times New Roman" w:hAnsi="Times New Roman" w:eastAsia="宋体" w:cs="Times New Roman"/>
                <w:iCs/>
                <w:color w:val="auto"/>
                <w:spacing w:val="0"/>
                <w:kern w:val="0"/>
                <w:sz w:val="21"/>
                <w:szCs w:val="21"/>
                <w:highlight w:val="none"/>
                <w:vertAlign w:val="subscript"/>
              </w:rPr>
              <w:t>2</w:t>
            </w:r>
            <w:r>
              <w:rPr>
                <w:rFonts w:hint="default" w:ascii="Times New Roman" w:hAnsi="Times New Roman" w:eastAsia="宋体" w:cs="Times New Roman"/>
                <w:iCs/>
                <w:color w:val="auto"/>
                <w:spacing w:val="0"/>
                <w:kern w:val="0"/>
                <w:sz w:val="21"/>
                <w:szCs w:val="21"/>
                <w:highlight w:val="none"/>
                <w:lang w:eastAsia="zh-CN"/>
              </w:rPr>
              <w:t>、</w:t>
            </w:r>
            <w:r>
              <w:rPr>
                <w:rFonts w:hint="default" w:ascii="Times New Roman" w:hAnsi="Times New Roman" w:eastAsia="宋体" w:cs="Times New Roman"/>
                <w:iCs/>
                <w:color w:val="auto"/>
                <w:spacing w:val="0"/>
                <w:kern w:val="0"/>
                <w:sz w:val="21"/>
                <w:szCs w:val="21"/>
                <w:highlight w:val="none"/>
                <w:lang w:val="en-US" w:eastAsia="zh-CN"/>
              </w:rPr>
              <w:t>TSP、</w:t>
            </w:r>
            <w:r>
              <w:rPr>
                <w:rFonts w:hint="default" w:ascii="Times New Roman" w:hAnsi="Times New Roman" w:eastAsia="宋体" w:cs="Times New Roman"/>
                <w:iCs/>
                <w:color w:val="auto"/>
                <w:spacing w:val="0"/>
                <w:kern w:val="0"/>
                <w:sz w:val="21"/>
                <w:szCs w:val="21"/>
                <w:highlight w:val="none"/>
              </w:rPr>
              <w:t>Hg</w:t>
            </w:r>
            <w:r>
              <w:rPr>
                <w:rFonts w:hint="default" w:ascii="Times New Roman" w:hAnsi="Times New Roman" w:eastAsia="宋体" w:cs="Times New Roman"/>
                <w:iCs/>
                <w:color w:val="auto"/>
                <w:spacing w:val="0"/>
                <w:kern w:val="0"/>
                <w:sz w:val="21"/>
                <w:szCs w:val="21"/>
                <w:highlight w:val="none"/>
                <w:lang w:val="en-US" w:eastAsia="zh-CN"/>
              </w:rPr>
              <w:t>、NH</w:t>
            </w:r>
            <w:r>
              <w:rPr>
                <w:rFonts w:hint="default" w:ascii="Times New Roman" w:hAnsi="Times New Roman" w:eastAsia="宋体" w:cs="Times New Roman"/>
                <w:iCs/>
                <w:color w:val="auto"/>
                <w:spacing w:val="0"/>
                <w:kern w:val="0"/>
                <w:sz w:val="21"/>
                <w:szCs w:val="21"/>
                <w:highlight w:val="none"/>
                <w:vertAlign w:val="subscript"/>
                <w:lang w:val="en-US" w:eastAsia="zh-CN"/>
              </w:rPr>
              <w:t>3</w:t>
            </w:r>
          </w:p>
        </w:tc>
      </w:tr>
      <w:tr w14:paraId="226CEE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6" w:type="pct"/>
            <w:vMerge w:val="continue"/>
            <w:tcBorders>
              <w:tl2br w:val="nil"/>
              <w:tr2bl w:val="nil"/>
            </w:tcBorders>
            <w:noWrap w:val="0"/>
            <w:vAlign w:val="center"/>
          </w:tcPr>
          <w:p w14:paraId="73A9785D">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jc w:val="center"/>
              <w:textAlignment w:val="bottom"/>
              <w:outlineLvl w:val="9"/>
              <w:rPr>
                <w:rFonts w:hint="default" w:ascii="Times New Roman" w:hAnsi="Times New Roman" w:eastAsia="宋体" w:cs="Times New Roman"/>
                <w:color w:val="auto"/>
                <w:kern w:val="0"/>
                <w:sz w:val="21"/>
                <w:szCs w:val="21"/>
                <w:highlight w:val="none"/>
                <w:vertAlign w:val="baseline"/>
                <w:lang w:eastAsia="zh-CN"/>
              </w:rPr>
            </w:pPr>
          </w:p>
        </w:tc>
        <w:tc>
          <w:tcPr>
            <w:tcW w:w="919" w:type="pct"/>
            <w:tcBorders>
              <w:tl2br w:val="nil"/>
              <w:tr2bl w:val="nil"/>
            </w:tcBorders>
            <w:noWrap w:val="0"/>
            <w:vAlign w:val="center"/>
          </w:tcPr>
          <w:p w14:paraId="76AF738F">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left="0" w:leftChars="0" w:firstLine="0" w:firstLineChars="0"/>
              <w:jc w:val="center"/>
              <w:textAlignment w:val="bottom"/>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eastAsia="zh-CN"/>
              </w:rPr>
              <w:t>新增污染源</w:t>
            </w:r>
          </w:p>
        </w:tc>
        <w:tc>
          <w:tcPr>
            <w:tcW w:w="676" w:type="pct"/>
            <w:tcBorders>
              <w:tl2br w:val="nil"/>
              <w:tr2bl w:val="nil"/>
            </w:tcBorders>
            <w:noWrap w:val="0"/>
            <w:vAlign w:val="center"/>
          </w:tcPr>
          <w:p w14:paraId="2DF18562">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left="0" w:leftChars="0" w:firstLine="0" w:firstLineChars="0"/>
              <w:jc w:val="center"/>
              <w:textAlignment w:val="bottom"/>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eastAsia="zh-CN"/>
              </w:rPr>
              <w:t>非正常排放</w:t>
            </w:r>
          </w:p>
        </w:tc>
        <w:tc>
          <w:tcPr>
            <w:tcW w:w="751" w:type="pct"/>
            <w:tcBorders>
              <w:tl2br w:val="nil"/>
              <w:tr2bl w:val="nil"/>
            </w:tcBorders>
            <w:noWrap w:val="0"/>
            <w:vAlign w:val="center"/>
          </w:tcPr>
          <w:p w14:paraId="7BF82AEB">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left="0" w:leftChars="0" w:firstLine="0" w:firstLineChars="0"/>
              <w:jc w:val="center"/>
              <w:textAlignment w:val="bottom"/>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1h平均质量浓度</w:t>
            </w:r>
          </w:p>
        </w:tc>
        <w:tc>
          <w:tcPr>
            <w:tcW w:w="1195" w:type="pct"/>
            <w:tcBorders>
              <w:tl2br w:val="nil"/>
              <w:tr2bl w:val="nil"/>
            </w:tcBorders>
            <w:noWrap w:val="0"/>
            <w:vAlign w:val="center"/>
          </w:tcPr>
          <w:p w14:paraId="147928B3">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left="0" w:leftChars="0" w:firstLine="0" w:firstLineChars="0"/>
              <w:jc w:val="center"/>
              <w:textAlignment w:val="bottom"/>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eastAsia="zh-CN"/>
              </w:rPr>
              <w:t>最大浓度占标率</w:t>
            </w:r>
          </w:p>
        </w:tc>
        <w:tc>
          <w:tcPr>
            <w:tcW w:w="991" w:type="pct"/>
            <w:tcBorders>
              <w:tl2br w:val="nil"/>
              <w:tr2bl w:val="nil"/>
            </w:tcBorders>
            <w:noWrap w:val="0"/>
            <w:vAlign w:val="center"/>
          </w:tcPr>
          <w:p w14:paraId="4B7996CE">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left="0" w:leftChars="0" w:firstLine="0" w:firstLineChars="0"/>
              <w:jc w:val="center"/>
              <w:textAlignment w:val="bottom"/>
              <w:outlineLvl w:val="9"/>
              <w:rPr>
                <w:rFonts w:hint="default" w:ascii="Times New Roman" w:hAnsi="Times New Roman" w:eastAsia="宋体" w:cs="Times New Roman"/>
                <w:color w:val="auto"/>
                <w:kern w:val="0"/>
                <w:sz w:val="21"/>
                <w:szCs w:val="21"/>
                <w:highlight w:val="none"/>
                <w:vertAlign w:val="baseline"/>
                <w:lang w:eastAsia="zh-CN"/>
              </w:rPr>
            </w:pPr>
            <w:r>
              <w:rPr>
                <w:rFonts w:hint="default" w:ascii="Times New Roman" w:hAnsi="Times New Roman" w:eastAsia="宋体" w:cs="Times New Roman"/>
                <w:iCs/>
                <w:color w:val="auto"/>
                <w:spacing w:val="0"/>
                <w:kern w:val="0"/>
                <w:sz w:val="21"/>
                <w:szCs w:val="21"/>
                <w:highlight w:val="none"/>
              </w:rPr>
              <w:t>PM</w:t>
            </w:r>
            <w:r>
              <w:rPr>
                <w:rFonts w:hint="default" w:ascii="Times New Roman" w:hAnsi="Times New Roman" w:eastAsia="宋体" w:cs="Times New Roman"/>
                <w:iCs/>
                <w:color w:val="auto"/>
                <w:spacing w:val="0"/>
                <w:kern w:val="0"/>
                <w:sz w:val="21"/>
                <w:szCs w:val="21"/>
                <w:highlight w:val="none"/>
                <w:vertAlign w:val="subscript"/>
              </w:rPr>
              <w:t>10</w:t>
            </w:r>
            <w:r>
              <w:rPr>
                <w:rFonts w:hint="default" w:ascii="Times New Roman" w:hAnsi="Times New Roman" w:eastAsia="宋体" w:cs="Times New Roman"/>
                <w:iCs/>
                <w:color w:val="auto"/>
                <w:spacing w:val="0"/>
                <w:kern w:val="0"/>
                <w:sz w:val="21"/>
                <w:szCs w:val="21"/>
                <w:highlight w:val="none"/>
              </w:rPr>
              <w:t>、SO</w:t>
            </w:r>
            <w:r>
              <w:rPr>
                <w:rFonts w:hint="default" w:ascii="Times New Roman" w:hAnsi="Times New Roman" w:eastAsia="宋体" w:cs="Times New Roman"/>
                <w:iCs/>
                <w:color w:val="auto"/>
                <w:spacing w:val="0"/>
                <w:kern w:val="0"/>
                <w:sz w:val="21"/>
                <w:szCs w:val="21"/>
                <w:highlight w:val="none"/>
                <w:vertAlign w:val="subscript"/>
              </w:rPr>
              <w:t>2</w:t>
            </w:r>
            <w:r>
              <w:rPr>
                <w:rFonts w:hint="default" w:ascii="Times New Roman" w:hAnsi="Times New Roman" w:eastAsia="宋体" w:cs="Times New Roman"/>
                <w:iCs/>
                <w:color w:val="auto"/>
                <w:spacing w:val="0"/>
                <w:kern w:val="0"/>
                <w:sz w:val="21"/>
                <w:szCs w:val="21"/>
                <w:highlight w:val="none"/>
              </w:rPr>
              <w:t>、NO</w:t>
            </w:r>
            <w:r>
              <w:rPr>
                <w:rFonts w:hint="default" w:ascii="Times New Roman" w:hAnsi="Times New Roman" w:eastAsia="宋体" w:cs="Times New Roman"/>
                <w:iCs/>
                <w:color w:val="auto"/>
                <w:spacing w:val="0"/>
                <w:kern w:val="0"/>
                <w:sz w:val="21"/>
                <w:szCs w:val="21"/>
                <w:highlight w:val="none"/>
                <w:vertAlign w:val="subscript"/>
              </w:rPr>
              <w:t>2</w:t>
            </w:r>
          </w:p>
        </w:tc>
      </w:tr>
      <w:tr w14:paraId="04003D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6" w:type="pct"/>
            <w:tcBorders>
              <w:tl2br w:val="nil"/>
              <w:tr2bl w:val="nil"/>
            </w:tcBorders>
            <w:noWrap w:val="0"/>
            <w:vAlign w:val="center"/>
          </w:tcPr>
          <w:p w14:paraId="3311009A">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jc w:val="center"/>
              <w:textAlignment w:val="bottom"/>
              <w:outlineLvl w:val="9"/>
              <w:rPr>
                <w:rFonts w:hint="default" w:ascii="Times New Roman" w:hAnsi="Times New Roman" w:eastAsia="宋体" w:cs="Times New Roman"/>
                <w:color w:val="auto"/>
                <w:kern w:val="0"/>
                <w:sz w:val="21"/>
                <w:szCs w:val="21"/>
                <w:highlight w:val="none"/>
                <w:vertAlign w:val="baseline"/>
                <w:lang w:eastAsia="zh-CN"/>
              </w:rPr>
            </w:pPr>
            <w:r>
              <w:rPr>
                <w:rFonts w:hint="default" w:ascii="Times New Roman" w:hAnsi="Times New Roman" w:eastAsia="宋体" w:cs="Times New Roman"/>
                <w:color w:val="auto"/>
                <w:kern w:val="0"/>
                <w:sz w:val="21"/>
                <w:szCs w:val="21"/>
                <w:highlight w:val="none"/>
                <w:vertAlign w:val="baseline"/>
                <w:lang w:eastAsia="zh-CN"/>
              </w:rPr>
              <w:t>大气环境防护距离</w:t>
            </w:r>
          </w:p>
        </w:tc>
        <w:tc>
          <w:tcPr>
            <w:tcW w:w="919" w:type="pct"/>
            <w:tcBorders>
              <w:tl2br w:val="nil"/>
              <w:tr2bl w:val="nil"/>
            </w:tcBorders>
            <w:noWrap w:val="0"/>
            <w:vAlign w:val="center"/>
          </w:tcPr>
          <w:p w14:paraId="253F2CBE">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left="0" w:leftChars="0" w:firstLine="0" w:firstLineChars="0"/>
              <w:jc w:val="center"/>
              <w:textAlignment w:val="bottom"/>
              <w:outlineLvl w:val="9"/>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sz w:val="21"/>
                <w:szCs w:val="21"/>
                <w:highlight w:val="none"/>
                <w:lang w:eastAsia="zh-CN"/>
              </w:rPr>
              <w:t>新增污染源</w:t>
            </w:r>
            <w:r>
              <w:rPr>
                <w:rFonts w:hint="default" w:ascii="Times New Roman" w:hAnsi="Times New Roman" w:eastAsia="宋体" w:cs="Times New Roman"/>
                <w:color w:val="auto"/>
                <w:sz w:val="21"/>
                <w:szCs w:val="21"/>
                <w:highlight w:val="none"/>
                <w:lang w:val="en-US" w:eastAsia="zh-CN"/>
              </w:rPr>
              <w:t>+全厂现有污染源</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区域削减源</w:t>
            </w:r>
          </w:p>
        </w:tc>
        <w:tc>
          <w:tcPr>
            <w:tcW w:w="676" w:type="pct"/>
            <w:tcBorders>
              <w:tl2br w:val="nil"/>
              <w:tr2bl w:val="nil"/>
            </w:tcBorders>
            <w:noWrap w:val="0"/>
            <w:vAlign w:val="center"/>
          </w:tcPr>
          <w:p w14:paraId="41F6A222">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jc w:val="center"/>
              <w:textAlignment w:val="bottom"/>
              <w:outlineLvl w:val="9"/>
              <w:rPr>
                <w:rFonts w:hint="default" w:ascii="Times New Roman" w:hAnsi="Times New Roman" w:eastAsia="宋体" w:cs="Times New Roman"/>
                <w:color w:val="auto"/>
                <w:kern w:val="0"/>
                <w:sz w:val="21"/>
                <w:szCs w:val="21"/>
                <w:highlight w:val="none"/>
                <w:vertAlign w:val="baseline"/>
              </w:rPr>
            </w:pPr>
            <w:r>
              <w:rPr>
                <w:rFonts w:hint="default" w:ascii="Times New Roman" w:hAnsi="Times New Roman" w:eastAsia="宋体" w:cs="Times New Roman"/>
                <w:color w:val="auto"/>
                <w:kern w:val="0"/>
                <w:sz w:val="21"/>
                <w:szCs w:val="21"/>
                <w:highlight w:val="none"/>
                <w:vertAlign w:val="baseline"/>
                <w:lang w:eastAsia="zh-CN"/>
              </w:rPr>
              <w:t>正常排放</w:t>
            </w:r>
          </w:p>
        </w:tc>
        <w:tc>
          <w:tcPr>
            <w:tcW w:w="751" w:type="pct"/>
            <w:tcBorders>
              <w:tl2br w:val="nil"/>
              <w:tr2bl w:val="nil"/>
            </w:tcBorders>
            <w:noWrap w:val="0"/>
            <w:vAlign w:val="center"/>
          </w:tcPr>
          <w:p w14:paraId="2AAA1FED">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jc w:val="center"/>
              <w:textAlignment w:val="bottom"/>
              <w:outlineLvl w:val="9"/>
              <w:rPr>
                <w:rFonts w:hint="default" w:ascii="Times New Roman" w:hAnsi="Times New Roman" w:eastAsia="宋体" w:cs="Times New Roman"/>
                <w:color w:val="auto"/>
                <w:kern w:val="0"/>
                <w:sz w:val="21"/>
                <w:szCs w:val="21"/>
                <w:highlight w:val="none"/>
                <w:vertAlign w:val="baseline"/>
              </w:rPr>
            </w:pPr>
            <w:r>
              <w:rPr>
                <w:rFonts w:hint="default" w:ascii="Times New Roman" w:hAnsi="Times New Roman" w:eastAsia="宋体" w:cs="Times New Roman"/>
                <w:color w:val="auto"/>
                <w:sz w:val="21"/>
                <w:szCs w:val="21"/>
                <w:highlight w:val="none"/>
                <w:lang w:eastAsia="zh-CN"/>
              </w:rPr>
              <w:t>短期浓度</w:t>
            </w:r>
          </w:p>
        </w:tc>
        <w:tc>
          <w:tcPr>
            <w:tcW w:w="1195" w:type="pct"/>
            <w:tcBorders>
              <w:tl2br w:val="nil"/>
              <w:tr2bl w:val="nil"/>
            </w:tcBorders>
            <w:noWrap w:val="0"/>
            <w:vAlign w:val="center"/>
          </w:tcPr>
          <w:p w14:paraId="59DF19FF">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jc w:val="center"/>
              <w:textAlignment w:val="bottom"/>
              <w:outlineLvl w:val="9"/>
              <w:rPr>
                <w:rFonts w:hint="default" w:ascii="Times New Roman" w:hAnsi="Times New Roman" w:eastAsia="宋体" w:cs="Times New Roman"/>
                <w:color w:val="auto"/>
                <w:kern w:val="0"/>
                <w:sz w:val="21"/>
                <w:szCs w:val="21"/>
                <w:highlight w:val="none"/>
                <w:vertAlign w:val="baseline"/>
                <w:lang w:eastAsia="zh-CN"/>
              </w:rPr>
            </w:pPr>
            <w:r>
              <w:rPr>
                <w:rFonts w:hint="default" w:ascii="Times New Roman" w:hAnsi="Times New Roman" w:eastAsia="宋体" w:cs="Times New Roman"/>
                <w:color w:val="auto"/>
                <w:kern w:val="0"/>
                <w:sz w:val="21"/>
                <w:szCs w:val="21"/>
                <w:highlight w:val="none"/>
                <w:vertAlign w:val="baseline"/>
                <w:lang w:eastAsia="zh-CN"/>
              </w:rPr>
              <w:t>大气环境防护距离</w:t>
            </w:r>
          </w:p>
        </w:tc>
        <w:tc>
          <w:tcPr>
            <w:tcW w:w="991" w:type="pct"/>
            <w:tcBorders>
              <w:tl2br w:val="nil"/>
              <w:tr2bl w:val="nil"/>
            </w:tcBorders>
            <w:noWrap w:val="0"/>
            <w:vAlign w:val="center"/>
          </w:tcPr>
          <w:p w14:paraId="2BFA4A6B">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left="0" w:leftChars="0" w:firstLine="0" w:firstLineChars="0"/>
              <w:jc w:val="center"/>
              <w:textAlignment w:val="bottom"/>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iCs/>
                <w:color w:val="auto"/>
                <w:spacing w:val="0"/>
                <w:kern w:val="0"/>
                <w:sz w:val="21"/>
                <w:szCs w:val="21"/>
                <w:highlight w:val="none"/>
              </w:rPr>
              <w:t>PM</w:t>
            </w:r>
            <w:r>
              <w:rPr>
                <w:rFonts w:hint="default" w:ascii="Times New Roman" w:hAnsi="Times New Roman" w:eastAsia="宋体" w:cs="Times New Roman"/>
                <w:iCs/>
                <w:color w:val="auto"/>
                <w:spacing w:val="0"/>
                <w:kern w:val="0"/>
                <w:sz w:val="21"/>
                <w:szCs w:val="21"/>
                <w:highlight w:val="none"/>
                <w:vertAlign w:val="subscript"/>
              </w:rPr>
              <w:t>10</w:t>
            </w:r>
            <w:r>
              <w:rPr>
                <w:rFonts w:hint="default" w:ascii="Times New Roman" w:hAnsi="Times New Roman" w:eastAsia="宋体" w:cs="Times New Roman"/>
                <w:iCs/>
                <w:color w:val="auto"/>
                <w:spacing w:val="0"/>
                <w:kern w:val="0"/>
                <w:sz w:val="21"/>
                <w:szCs w:val="21"/>
                <w:highlight w:val="none"/>
              </w:rPr>
              <w:t>、</w:t>
            </w:r>
            <w:r>
              <w:rPr>
                <w:rFonts w:hint="default" w:ascii="Times New Roman" w:hAnsi="Times New Roman" w:eastAsia="宋体" w:cs="Times New Roman"/>
                <w:iCs/>
                <w:color w:val="auto"/>
                <w:spacing w:val="0"/>
                <w:kern w:val="0"/>
                <w:sz w:val="21"/>
                <w:szCs w:val="21"/>
                <w:highlight w:val="none"/>
                <w:lang w:val="en-US" w:eastAsia="zh-CN"/>
              </w:rPr>
              <w:t>一次</w:t>
            </w:r>
            <w:r>
              <w:rPr>
                <w:rFonts w:hint="default" w:ascii="Times New Roman" w:hAnsi="Times New Roman" w:eastAsia="宋体" w:cs="Times New Roman"/>
                <w:iCs/>
                <w:color w:val="auto"/>
                <w:spacing w:val="0"/>
                <w:kern w:val="0"/>
                <w:sz w:val="21"/>
                <w:szCs w:val="21"/>
                <w:highlight w:val="none"/>
              </w:rPr>
              <w:t>PM</w:t>
            </w:r>
            <w:r>
              <w:rPr>
                <w:rFonts w:hint="default" w:ascii="Times New Roman" w:hAnsi="Times New Roman" w:eastAsia="宋体" w:cs="Times New Roman"/>
                <w:iCs/>
                <w:color w:val="auto"/>
                <w:spacing w:val="0"/>
                <w:kern w:val="0"/>
                <w:sz w:val="21"/>
                <w:szCs w:val="21"/>
                <w:highlight w:val="none"/>
                <w:vertAlign w:val="subscript"/>
              </w:rPr>
              <w:t>2.5</w:t>
            </w:r>
            <w:r>
              <w:rPr>
                <w:rFonts w:hint="default" w:ascii="Times New Roman" w:hAnsi="Times New Roman" w:eastAsia="宋体" w:cs="Times New Roman"/>
                <w:iCs/>
                <w:color w:val="auto"/>
                <w:spacing w:val="0"/>
                <w:kern w:val="0"/>
                <w:sz w:val="21"/>
                <w:szCs w:val="21"/>
                <w:highlight w:val="none"/>
              </w:rPr>
              <w:t>、SO</w:t>
            </w:r>
            <w:r>
              <w:rPr>
                <w:rFonts w:hint="default" w:ascii="Times New Roman" w:hAnsi="Times New Roman" w:eastAsia="宋体" w:cs="Times New Roman"/>
                <w:iCs/>
                <w:color w:val="auto"/>
                <w:spacing w:val="0"/>
                <w:kern w:val="0"/>
                <w:sz w:val="21"/>
                <w:szCs w:val="21"/>
                <w:highlight w:val="none"/>
                <w:vertAlign w:val="subscript"/>
              </w:rPr>
              <w:t>2</w:t>
            </w:r>
            <w:r>
              <w:rPr>
                <w:rFonts w:hint="default" w:ascii="Times New Roman" w:hAnsi="Times New Roman" w:eastAsia="宋体" w:cs="Times New Roman"/>
                <w:iCs/>
                <w:color w:val="auto"/>
                <w:spacing w:val="0"/>
                <w:kern w:val="0"/>
                <w:sz w:val="21"/>
                <w:szCs w:val="21"/>
                <w:highlight w:val="none"/>
              </w:rPr>
              <w:t>、NO</w:t>
            </w:r>
            <w:r>
              <w:rPr>
                <w:rFonts w:hint="default" w:ascii="Times New Roman" w:hAnsi="Times New Roman" w:eastAsia="宋体" w:cs="Times New Roman"/>
                <w:iCs/>
                <w:color w:val="auto"/>
                <w:spacing w:val="0"/>
                <w:kern w:val="0"/>
                <w:sz w:val="21"/>
                <w:szCs w:val="21"/>
                <w:highlight w:val="none"/>
                <w:vertAlign w:val="subscript"/>
              </w:rPr>
              <w:t>2</w:t>
            </w:r>
            <w:r>
              <w:rPr>
                <w:rFonts w:hint="default" w:ascii="Times New Roman" w:hAnsi="Times New Roman" w:eastAsia="宋体" w:cs="Times New Roman"/>
                <w:iCs/>
                <w:color w:val="auto"/>
                <w:spacing w:val="0"/>
                <w:kern w:val="0"/>
                <w:sz w:val="21"/>
                <w:szCs w:val="21"/>
                <w:highlight w:val="none"/>
              </w:rPr>
              <w:t>、</w:t>
            </w:r>
            <w:r>
              <w:rPr>
                <w:rFonts w:hint="default" w:ascii="Times New Roman" w:hAnsi="Times New Roman" w:eastAsia="宋体" w:cs="Times New Roman"/>
                <w:iCs/>
                <w:color w:val="auto"/>
                <w:spacing w:val="0"/>
                <w:kern w:val="0"/>
                <w:sz w:val="21"/>
                <w:szCs w:val="21"/>
                <w:highlight w:val="none"/>
                <w:lang w:val="en-US" w:eastAsia="zh-CN"/>
              </w:rPr>
              <w:t>TSP、</w:t>
            </w:r>
            <w:r>
              <w:rPr>
                <w:rFonts w:hint="default" w:ascii="Times New Roman" w:hAnsi="Times New Roman" w:eastAsia="宋体" w:cs="Times New Roman"/>
                <w:iCs/>
                <w:color w:val="auto"/>
                <w:spacing w:val="0"/>
                <w:kern w:val="0"/>
                <w:sz w:val="21"/>
                <w:szCs w:val="21"/>
                <w:highlight w:val="none"/>
              </w:rPr>
              <w:t>Hg</w:t>
            </w:r>
            <w:r>
              <w:rPr>
                <w:rFonts w:hint="default" w:ascii="Times New Roman" w:hAnsi="Times New Roman" w:eastAsia="宋体" w:cs="Times New Roman"/>
                <w:iCs/>
                <w:color w:val="auto"/>
                <w:spacing w:val="0"/>
                <w:kern w:val="0"/>
                <w:sz w:val="21"/>
                <w:szCs w:val="21"/>
                <w:highlight w:val="none"/>
                <w:lang w:val="en-US" w:eastAsia="zh-CN"/>
              </w:rPr>
              <w:t>、NH</w:t>
            </w:r>
            <w:r>
              <w:rPr>
                <w:rFonts w:hint="default" w:ascii="Times New Roman" w:hAnsi="Times New Roman" w:eastAsia="宋体" w:cs="Times New Roman"/>
                <w:iCs/>
                <w:color w:val="auto"/>
                <w:spacing w:val="0"/>
                <w:kern w:val="0"/>
                <w:sz w:val="21"/>
                <w:szCs w:val="21"/>
                <w:highlight w:val="none"/>
                <w:vertAlign w:val="subscript"/>
                <w:lang w:val="en-US" w:eastAsia="zh-CN"/>
              </w:rPr>
              <w:t>3</w:t>
            </w:r>
          </w:p>
        </w:tc>
      </w:tr>
    </w:tbl>
    <w:p w14:paraId="1F12641B">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jc w:val="both"/>
        <w:textAlignment w:val="bottom"/>
        <w:rPr>
          <w:rFonts w:hint="default" w:ascii="Times New Roman" w:hAnsi="Times New Roman" w:eastAsia="宋体" w:cs="Times New Roman"/>
          <w:color w:val="auto"/>
          <w:kern w:val="0"/>
          <w:sz w:val="24"/>
          <w:szCs w:val="24"/>
          <w:highlight w:val="none"/>
        </w:rPr>
      </w:pPr>
    </w:p>
    <w:p w14:paraId="35DC8343">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jc w:val="both"/>
        <w:textAlignment w:val="bottom"/>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val="en-US" w:eastAsia="zh-CN"/>
        </w:rPr>
        <w:t>9</w:t>
      </w:r>
      <w:r>
        <w:rPr>
          <w:rFonts w:hint="default" w:ascii="Times New Roman" w:hAnsi="Times New Roman" w:eastAsia="宋体" w:cs="Times New Roman"/>
          <w:color w:val="auto"/>
          <w:kern w:val="0"/>
          <w:sz w:val="24"/>
          <w:szCs w:val="24"/>
          <w:highlight w:val="none"/>
        </w:rPr>
        <w:t>）污染源计算清单</w:t>
      </w:r>
    </w:p>
    <w:p w14:paraId="409A490A">
      <w:pPr>
        <w:spacing w:line="480" w:lineRule="exact"/>
        <w:ind w:firstLine="480" w:firstLineChars="20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本</w:t>
      </w:r>
      <w:r>
        <w:rPr>
          <w:rFonts w:hint="default" w:ascii="Times New Roman" w:hAnsi="Times New Roman" w:eastAsia="宋体" w:cs="Times New Roman"/>
          <w:color w:val="auto"/>
          <w:kern w:val="0"/>
          <w:sz w:val="24"/>
          <w:szCs w:val="24"/>
          <w:highlight w:val="none"/>
        </w:rPr>
        <w:t>项目</w:t>
      </w:r>
      <w:r>
        <w:rPr>
          <w:rFonts w:hint="default" w:ascii="Times New Roman" w:hAnsi="Times New Roman" w:eastAsia="宋体" w:cs="Times New Roman"/>
          <w:color w:val="auto"/>
          <w:kern w:val="0"/>
          <w:sz w:val="24"/>
          <w:szCs w:val="24"/>
          <w:highlight w:val="none"/>
          <w:lang w:val="en-US" w:eastAsia="zh-CN"/>
        </w:rPr>
        <w:t>建成投产后点源为</w:t>
      </w:r>
      <w:r>
        <w:rPr>
          <w:rFonts w:hint="eastAsia" w:ascii="Times New Roman" w:hAnsi="Times New Roman" w:eastAsia="宋体" w:cs="Times New Roman"/>
          <w:color w:val="auto"/>
          <w:kern w:val="0"/>
          <w:sz w:val="24"/>
          <w:szCs w:val="24"/>
          <w:highlight w:val="none"/>
          <w:lang w:val="en-US" w:eastAsia="zh-CN"/>
        </w:rPr>
        <w:t>原有的</w:t>
      </w:r>
      <w:r>
        <w:rPr>
          <w:rFonts w:hint="eastAsia"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锅炉、</w:t>
      </w:r>
      <w:r>
        <w:rPr>
          <w:rFonts w:hint="default" w:ascii="Times New Roman" w:hAnsi="Times New Roman" w:eastAsia="宋体" w:cs="Times New Roman"/>
          <w:color w:val="auto"/>
          <w:highlight w:val="none"/>
          <w:lang w:eastAsia="zh-CN"/>
        </w:rPr>
        <w:t>2#</w:t>
      </w:r>
      <w:r>
        <w:rPr>
          <w:rFonts w:hint="eastAsia" w:ascii="Times New Roman" w:hAnsi="Times New Roman" w:eastAsia="宋体" w:cs="Times New Roman"/>
          <w:color w:val="auto"/>
          <w:highlight w:val="none"/>
          <w:lang w:val="en-US" w:eastAsia="zh-CN"/>
        </w:rPr>
        <w:t>锅炉烟气分别经电袋复合除尘+炉内喷钙+SNCR脱硝+半干法烟气循环流化床脱硫工艺处理后通过同一根99m高烟囱排放；4#锅炉烟气经电袋复合除尘+低氮燃烧+SNCR脱硝+半干法烟气循环流化床脱硫工艺处理后通过155m高烟囱排放。本项目建设的1</w:t>
      </w:r>
      <w:r>
        <w:rPr>
          <w:rFonts w:hint="default" w:ascii="Times New Roman" w:hAnsi="Times New Roman" w:eastAsia="宋体" w:cs="Times New Roman"/>
          <w:color w:val="auto"/>
          <w:highlight w:val="none"/>
        </w:rPr>
        <w:t>台燃煤</w:t>
      </w:r>
      <w:r>
        <w:rPr>
          <w:rFonts w:hint="eastAsia" w:ascii="Times New Roman" w:hAnsi="Times New Roman" w:eastAsia="宋体" w:cs="Times New Roman"/>
          <w:color w:val="auto"/>
          <w:highlight w:val="none"/>
          <w:lang w:val="en-US" w:eastAsia="zh-CN"/>
        </w:rPr>
        <w:t>58</w:t>
      </w:r>
      <w:r>
        <w:rPr>
          <w:rFonts w:hint="default" w:ascii="Times New Roman" w:hAnsi="Times New Roman" w:eastAsia="宋体" w:cs="Times New Roman"/>
          <w:color w:val="auto"/>
          <w:highlight w:val="none"/>
          <w:lang w:eastAsia="zh-CN"/>
        </w:rPr>
        <w:t>MW</w:t>
      </w:r>
      <w:r>
        <w:rPr>
          <w:rFonts w:hint="eastAsia" w:ascii="Times New Roman" w:hAnsi="Times New Roman" w:eastAsia="宋体" w:cs="Times New Roman"/>
          <w:color w:val="auto"/>
          <w:highlight w:val="none"/>
          <w:lang w:eastAsia="zh-CN"/>
        </w:rPr>
        <w:t>往复炉排热水锅炉</w:t>
      </w:r>
      <w:r>
        <w:rPr>
          <w:rFonts w:hint="eastAsia" w:ascii="Times New Roman" w:hAnsi="Times New Roman" w:eastAsia="宋体" w:cs="Times New Roman"/>
          <w:color w:val="auto"/>
          <w:highlight w:val="none"/>
          <w:lang w:val="en-US" w:eastAsia="zh-CN"/>
        </w:rPr>
        <w:t>烟气经炉内喷钙+氨法脱硫+SNCR+亚氯酸钠脱硝+袋式除尘器处理后通过70m高烟囱排放</w:t>
      </w:r>
      <w:r>
        <w:rPr>
          <w:rFonts w:hint="default" w:ascii="Times New Roman" w:hAnsi="Times New Roman" w:eastAsia="宋体" w:cs="Times New Roman"/>
          <w:iCs/>
          <w:color w:val="auto"/>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新增污染源面源为</w:t>
      </w:r>
      <w:r>
        <w:rPr>
          <w:rFonts w:hint="default" w:ascii="Times New Roman" w:hAnsi="Times New Roman" w:eastAsia="宋体" w:cs="Times New Roman"/>
          <w:iCs/>
          <w:color w:val="auto"/>
          <w:sz w:val="24"/>
          <w:szCs w:val="24"/>
          <w:highlight w:val="none"/>
          <w:lang w:val="en-US" w:eastAsia="zh-CN"/>
        </w:rPr>
        <w:t>碎煤机室、</w:t>
      </w:r>
      <w:r>
        <w:rPr>
          <w:rFonts w:hint="eastAsia" w:ascii="Times New Roman" w:hAnsi="Times New Roman" w:eastAsia="宋体" w:cs="Times New Roman"/>
          <w:iCs/>
          <w:color w:val="auto"/>
          <w:sz w:val="24"/>
          <w:szCs w:val="24"/>
          <w:highlight w:val="none"/>
          <w:lang w:val="en-US" w:eastAsia="zh-CN"/>
        </w:rPr>
        <w:t>灰库</w:t>
      </w:r>
      <w:r>
        <w:rPr>
          <w:rFonts w:hint="default" w:ascii="Times New Roman" w:hAnsi="Times New Roman" w:eastAsia="宋体" w:cs="Times New Roman"/>
          <w:iCs/>
          <w:color w:val="auto"/>
          <w:sz w:val="24"/>
          <w:szCs w:val="24"/>
          <w:highlight w:val="none"/>
          <w:lang w:val="en-US" w:eastAsia="zh-CN"/>
        </w:rPr>
        <w:t>、</w:t>
      </w:r>
      <w:r>
        <w:rPr>
          <w:rFonts w:hint="eastAsia" w:ascii="Times New Roman" w:hAnsi="Times New Roman" w:eastAsia="宋体" w:cs="Times New Roman"/>
          <w:iCs/>
          <w:color w:val="auto"/>
          <w:sz w:val="24"/>
          <w:szCs w:val="24"/>
          <w:highlight w:val="none"/>
          <w:lang w:val="en-US" w:eastAsia="zh-CN"/>
        </w:rPr>
        <w:t>生石灰粉仓</w:t>
      </w:r>
      <w:r>
        <w:rPr>
          <w:rFonts w:hint="default" w:ascii="Times New Roman" w:hAnsi="Times New Roman" w:eastAsia="宋体" w:cs="Times New Roman"/>
          <w:iCs/>
          <w:color w:val="auto"/>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渣库和储煤</w:t>
      </w:r>
      <w:r>
        <w:rPr>
          <w:rFonts w:hint="eastAsia" w:ascii="Times New Roman" w:hAnsi="Times New Roman" w:eastAsia="宋体" w:cs="Times New Roman"/>
          <w:color w:val="auto"/>
          <w:kern w:val="0"/>
          <w:sz w:val="24"/>
          <w:szCs w:val="24"/>
          <w:highlight w:val="none"/>
          <w:lang w:val="en-US" w:eastAsia="zh-CN"/>
        </w:rPr>
        <w:t>场</w:t>
      </w:r>
      <w:r>
        <w:rPr>
          <w:rFonts w:hint="default"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本次大气环境影响预测分析评价以项目厂址中心所在位置为环境空气预测评价的中心经纬度坐标。</w:t>
      </w:r>
    </w:p>
    <w:p w14:paraId="323B63E3">
      <w:pPr>
        <w:spacing w:line="480" w:lineRule="exact"/>
        <w:ind w:firstLine="480" w:firstLineChars="20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iCs/>
          <w:color w:val="auto"/>
          <w:spacing w:val="0"/>
          <w:kern w:val="0"/>
          <w:sz w:val="24"/>
          <w:szCs w:val="24"/>
          <w:highlight w:val="none"/>
          <w:lang w:val="en-US" w:eastAsia="zh-CN"/>
        </w:rPr>
        <w:t>本项目排放的废气污染物有烟尘</w:t>
      </w:r>
      <w:r>
        <w:rPr>
          <w:rFonts w:hint="default" w:ascii="Times New Roman" w:hAnsi="Times New Roman" w:eastAsia="宋体" w:cs="Times New Roman"/>
          <w:iCs/>
          <w:color w:val="auto"/>
          <w:spacing w:val="0"/>
          <w:kern w:val="0"/>
          <w:sz w:val="24"/>
          <w:szCs w:val="24"/>
          <w:highlight w:val="none"/>
        </w:rPr>
        <w:t>、SO</w:t>
      </w:r>
      <w:r>
        <w:rPr>
          <w:rFonts w:hint="default" w:ascii="Times New Roman" w:hAnsi="Times New Roman" w:eastAsia="宋体" w:cs="Times New Roman"/>
          <w:iCs/>
          <w:color w:val="auto"/>
          <w:spacing w:val="0"/>
          <w:kern w:val="0"/>
          <w:sz w:val="24"/>
          <w:szCs w:val="24"/>
          <w:highlight w:val="none"/>
          <w:vertAlign w:val="subscript"/>
        </w:rPr>
        <w:t>2</w:t>
      </w:r>
      <w:r>
        <w:rPr>
          <w:rFonts w:hint="default" w:ascii="Times New Roman" w:hAnsi="Times New Roman" w:eastAsia="宋体" w:cs="Times New Roman"/>
          <w:iCs/>
          <w:color w:val="auto"/>
          <w:spacing w:val="0"/>
          <w:kern w:val="0"/>
          <w:sz w:val="24"/>
          <w:szCs w:val="24"/>
          <w:highlight w:val="none"/>
        </w:rPr>
        <w:t>、NO</w:t>
      </w:r>
      <w:r>
        <w:rPr>
          <w:rFonts w:hint="default" w:ascii="Times New Roman" w:hAnsi="Times New Roman" w:eastAsia="宋体" w:cs="Times New Roman"/>
          <w:iCs/>
          <w:color w:val="auto"/>
          <w:spacing w:val="0"/>
          <w:kern w:val="0"/>
          <w:sz w:val="24"/>
          <w:szCs w:val="24"/>
          <w:highlight w:val="none"/>
          <w:vertAlign w:val="subscript"/>
          <w:lang w:val="en-US" w:eastAsia="zh-CN"/>
        </w:rPr>
        <w:t>x</w:t>
      </w:r>
      <w:r>
        <w:rPr>
          <w:rFonts w:hint="default" w:ascii="Times New Roman" w:hAnsi="Times New Roman" w:eastAsia="宋体" w:cs="Times New Roman"/>
          <w:iCs/>
          <w:color w:val="auto"/>
          <w:spacing w:val="0"/>
          <w:kern w:val="0"/>
          <w:sz w:val="24"/>
          <w:szCs w:val="24"/>
          <w:highlight w:val="none"/>
          <w:lang w:eastAsia="zh-CN"/>
        </w:rPr>
        <w:t>，</w:t>
      </w:r>
      <w:r>
        <w:rPr>
          <w:rFonts w:hint="default" w:ascii="Times New Roman" w:hAnsi="Times New Roman" w:eastAsia="宋体" w:cs="Times New Roman"/>
          <w:iCs/>
          <w:color w:val="auto"/>
          <w:spacing w:val="0"/>
          <w:kern w:val="0"/>
          <w:sz w:val="24"/>
          <w:szCs w:val="24"/>
          <w:highlight w:val="none"/>
          <w:lang w:val="en-US" w:eastAsia="zh-CN"/>
        </w:rPr>
        <w:t>特征污染物有汞及其化合物、TSP和NH</w:t>
      </w:r>
      <w:r>
        <w:rPr>
          <w:rFonts w:hint="default" w:ascii="Times New Roman" w:hAnsi="Times New Roman" w:eastAsia="宋体" w:cs="Times New Roman"/>
          <w:iCs/>
          <w:color w:val="auto"/>
          <w:spacing w:val="0"/>
          <w:kern w:val="0"/>
          <w:sz w:val="24"/>
          <w:szCs w:val="24"/>
          <w:highlight w:val="none"/>
          <w:vertAlign w:val="subscript"/>
          <w:lang w:val="en-US" w:eastAsia="zh-CN"/>
        </w:rPr>
        <w:t>3</w:t>
      </w:r>
      <w:r>
        <w:rPr>
          <w:rFonts w:hint="default" w:ascii="Times New Roman" w:hAnsi="Times New Roman" w:eastAsia="宋体" w:cs="Times New Roman"/>
          <w:iCs/>
          <w:color w:val="auto"/>
          <w:spacing w:val="0"/>
          <w:kern w:val="0"/>
          <w:sz w:val="24"/>
          <w:szCs w:val="24"/>
          <w:highlight w:val="none"/>
          <w:lang w:eastAsia="zh-CN"/>
        </w:rPr>
        <w:t>。</w:t>
      </w:r>
      <w:r>
        <w:rPr>
          <w:rFonts w:hint="default" w:ascii="Times New Roman" w:hAnsi="Times New Roman" w:eastAsia="宋体" w:cs="Times New Roman"/>
          <w:iCs/>
          <w:color w:val="auto"/>
          <w:spacing w:val="0"/>
          <w:kern w:val="0"/>
          <w:sz w:val="24"/>
          <w:szCs w:val="24"/>
          <w:highlight w:val="none"/>
          <w:lang w:val="en-US" w:eastAsia="zh-CN"/>
        </w:rPr>
        <w:t>本次大气环境影响预测评价污染物烟尘以可吸入颗粒物（PM</w:t>
      </w:r>
      <w:r>
        <w:rPr>
          <w:rFonts w:hint="default" w:ascii="Times New Roman" w:hAnsi="Times New Roman" w:eastAsia="宋体" w:cs="Times New Roman"/>
          <w:iCs/>
          <w:color w:val="auto"/>
          <w:spacing w:val="0"/>
          <w:kern w:val="0"/>
          <w:sz w:val="24"/>
          <w:szCs w:val="24"/>
          <w:highlight w:val="none"/>
          <w:vertAlign w:val="subscript"/>
          <w:lang w:val="en-US" w:eastAsia="zh-CN"/>
        </w:rPr>
        <w:t>10</w:t>
      </w:r>
      <w:r>
        <w:rPr>
          <w:rFonts w:hint="default" w:ascii="Times New Roman" w:hAnsi="Times New Roman" w:eastAsia="宋体" w:cs="Times New Roman"/>
          <w:iCs/>
          <w:color w:val="auto"/>
          <w:spacing w:val="0"/>
          <w:kern w:val="0"/>
          <w:sz w:val="24"/>
          <w:szCs w:val="24"/>
          <w:highlight w:val="none"/>
          <w:lang w:val="en-US" w:eastAsia="zh-CN"/>
        </w:rPr>
        <w:t>）进行环境影响预测分析，PM</w:t>
      </w:r>
      <w:r>
        <w:rPr>
          <w:rFonts w:hint="default" w:ascii="Times New Roman" w:hAnsi="Times New Roman" w:eastAsia="宋体" w:cs="Times New Roman"/>
          <w:iCs/>
          <w:color w:val="auto"/>
          <w:spacing w:val="0"/>
          <w:kern w:val="0"/>
          <w:sz w:val="24"/>
          <w:szCs w:val="24"/>
          <w:highlight w:val="none"/>
          <w:vertAlign w:val="subscript"/>
          <w:lang w:val="en-US" w:eastAsia="zh-CN"/>
        </w:rPr>
        <w:t>2.5</w:t>
      </w:r>
      <w:r>
        <w:rPr>
          <w:rFonts w:hint="default" w:ascii="Times New Roman" w:hAnsi="Times New Roman" w:eastAsia="宋体" w:cs="Times New Roman"/>
          <w:iCs/>
          <w:color w:val="auto"/>
          <w:spacing w:val="0"/>
          <w:kern w:val="0"/>
          <w:sz w:val="24"/>
          <w:szCs w:val="24"/>
          <w:highlight w:val="none"/>
          <w:lang w:val="en-US" w:eastAsia="zh-CN"/>
        </w:rPr>
        <w:t>排放量</w:t>
      </w:r>
      <w:r>
        <w:rPr>
          <w:rFonts w:hint="default" w:ascii="Times New Roman" w:hAnsi="Times New Roman" w:eastAsia="宋体" w:cs="Times New Roman"/>
          <w:color w:val="auto"/>
          <w:sz w:val="24"/>
          <w:szCs w:val="24"/>
          <w:highlight w:val="none"/>
          <w:lang w:val="en-US" w:eastAsia="zh-CN"/>
        </w:rPr>
        <w:t>以</w:t>
      </w:r>
      <w:r>
        <w:rPr>
          <w:rFonts w:hint="eastAsia" w:ascii="Times New Roman" w:hAnsi="Times New Roman" w:eastAsia="宋体" w:cs="Times New Roman"/>
          <w:color w:val="auto"/>
          <w:sz w:val="24"/>
          <w:szCs w:val="24"/>
          <w:highlight w:val="none"/>
          <w:lang w:val="en-US" w:eastAsia="zh-CN"/>
        </w:rPr>
        <w:t>颗粒物</w:t>
      </w:r>
      <w:r>
        <w:rPr>
          <w:rFonts w:hint="default" w:ascii="Times New Roman" w:hAnsi="Times New Roman" w:eastAsia="宋体" w:cs="Times New Roman"/>
          <w:color w:val="auto"/>
          <w:sz w:val="24"/>
          <w:szCs w:val="24"/>
          <w:highlight w:val="none"/>
          <w:lang w:val="en-US" w:eastAsia="zh-CN"/>
        </w:rPr>
        <w:t>的65%进行计算。</w:t>
      </w:r>
    </w:p>
    <w:p w14:paraId="580BCA8E">
      <w:pPr>
        <w:spacing w:line="480" w:lineRule="exact"/>
        <w:ind w:firstLine="480" w:firstLineChars="200"/>
        <w:jc w:val="both"/>
        <w:rPr>
          <w:rFonts w:hint="default" w:ascii="Times New Roman" w:hAnsi="Times New Roman" w:eastAsia="宋体" w:cs="Times New Roman"/>
          <w:color w:val="auto"/>
          <w:spacing w:val="20"/>
          <w:sz w:val="24"/>
          <w:szCs w:val="24"/>
          <w:highlight w:val="none"/>
        </w:rPr>
        <w:sectPr>
          <w:pgSz w:w="12240" w:h="15840"/>
          <w:pgMar w:top="1440" w:right="1803" w:bottom="1440" w:left="1803" w:header="1191" w:footer="1191" w:gutter="0"/>
          <w:pgBorders>
            <w:top w:val="none" w:sz="0" w:space="0"/>
            <w:left w:val="none" w:sz="0" w:space="0"/>
            <w:bottom w:val="none" w:sz="0" w:space="0"/>
            <w:right w:val="none" w:sz="0" w:space="0"/>
          </w:pgBorders>
          <w:pgNumType w:fmt="decimal"/>
          <w:cols w:space="720" w:num="1"/>
        </w:sectPr>
      </w:pPr>
      <w:r>
        <w:rPr>
          <w:rFonts w:hint="default" w:ascii="Times New Roman" w:hAnsi="Times New Roman" w:eastAsia="宋体" w:cs="Times New Roman"/>
          <w:color w:val="auto"/>
          <w:kern w:val="0"/>
          <w:sz w:val="24"/>
          <w:szCs w:val="24"/>
          <w:highlight w:val="none"/>
          <w:lang w:val="en-US" w:eastAsia="zh-CN"/>
        </w:rPr>
        <w:t>本项目新增主要污染源</w:t>
      </w:r>
      <w:r>
        <w:rPr>
          <w:rFonts w:hint="default" w:ascii="Times New Roman" w:hAnsi="Times New Roman" w:eastAsia="宋体" w:cs="Times New Roman"/>
          <w:color w:val="auto"/>
          <w:kern w:val="0"/>
          <w:sz w:val="24"/>
          <w:szCs w:val="24"/>
          <w:highlight w:val="none"/>
        </w:rPr>
        <w:t>计算清单见表6</w:t>
      </w:r>
      <w:r>
        <w:rPr>
          <w:rFonts w:hint="default"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rPr>
        <w:t>2-</w:t>
      </w:r>
      <w:r>
        <w:rPr>
          <w:rFonts w:hint="eastAsia" w:ascii="Times New Roman" w:hAnsi="Times New Roman" w:eastAsia="宋体" w:cs="Times New Roman"/>
          <w:color w:val="auto"/>
          <w:kern w:val="0"/>
          <w:sz w:val="24"/>
          <w:szCs w:val="24"/>
          <w:highlight w:val="none"/>
          <w:lang w:val="en-US" w:eastAsia="zh-CN"/>
        </w:rPr>
        <w:t>6～</w:t>
      </w:r>
      <w:r>
        <w:rPr>
          <w:rFonts w:hint="default" w:ascii="Times New Roman" w:hAnsi="Times New Roman" w:eastAsia="宋体" w:cs="Times New Roman"/>
          <w:color w:val="auto"/>
          <w:kern w:val="0"/>
          <w:sz w:val="24"/>
          <w:szCs w:val="24"/>
          <w:highlight w:val="none"/>
          <w:lang w:val="en-US" w:eastAsia="zh-CN"/>
        </w:rPr>
        <w:t>表6.2-</w:t>
      </w:r>
      <w:r>
        <w:rPr>
          <w:rFonts w:hint="eastAsia" w:ascii="Times New Roman" w:hAnsi="Times New Roman" w:eastAsia="宋体" w:cs="Times New Roman"/>
          <w:color w:val="auto"/>
          <w:kern w:val="0"/>
          <w:sz w:val="24"/>
          <w:szCs w:val="24"/>
          <w:highlight w:val="none"/>
          <w:lang w:val="en-US" w:eastAsia="zh-CN"/>
        </w:rPr>
        <w:t>7</w:t>
      </w:r>
      <w:r>
        <w:rPr>
          <w:rFonts w:hint="default" w:ascii="Times New Roman" w:hAnsi="Times New Roman" w:eastAsia="宋体" w:cs="Times New Roman"/>
          <w:color w:val="auto"/>
          <w:kern w:val="0"/>
          <w:sz w:val="24"/>
          <w:szCs w:val="24"/>
          <w:highlight w:val="none"/>
          <w:lang w:val="en-US" w:eastAsia="zh-CN"/>
        </w:rPr>
        <w:t>。</w:t>
      </w:r>
    </w:p>
    <w:p w14:paraId="10C42CA2">
      <w:pPr>
        <w:widowControl w:val="0"/>
        <w:tabs>
          <w:tab w:val="left" w:pos="567"/>
          <w:tab w:val="left" w:pos="4440"/>
        </w:tabs>
        <w:autoSpaceDE w:val="0"/>
        <w:autoSpaceDN w:val="0"/>
        <w:adjustRightInd w:val="0"/>
        <w:spacing w:line="460" w:lineRule="exact"/>
        <w:jc w:val="center"/>
        <w:textAlignment w:val="bottom"/>
        <w:rPr>
          <w:rFonts w:hint="default" w:ascii="Times New Roman" w:hAnsi="Times New Roman" w:eastAsia="宋体" w:cs="Times New Roman"/>
          <w:color w:val="auto"/>
          <w:spacing w:val="20"/>
          <w:sz w:val="24"/>
          <w:szCs w:val="24"/>
          <w:highlight w:val="none"/>
          <w:lang w:val="en-US" w:eastAsia="zh-CN" w:bidi="ar-SA"/>
        </w:rPr>
      </w:pPr>
      <w:r>
        <w:rPr>
          <w:rFonts w:hint="default" w:ascii="Times New Roman" w:hAnsi="Times New Roman" w:eastAsia="宋体" w:cs="Times New Roman"/>
          <w:color w:val="auto"/>
          <w:spacing w:val="20"/>
          <w:sz w:val="24"/>
          <w:szCs w:val="24"/>
          <w:highlight w:val="none"/>
          <w:lang w:val="en-US" w:eastAsia="zh-CN" w:bidi="ar-SA"/>
        </w:rPr>
        <w:t>表6.2-</w:t>
      </w:r>
      <w:r>
        <w:rPr>
          <w:rFonts w:hint="eastAsia" w:ascii="Times New Roman" w:hAnsi="Times New Roman" w:eastAsia="宋体" w:cs="Times New Roman"/>
          <w:color w:val="auto"/>
          <w:spacing w:val="20"/>
          <w:sz w:val="24"/>
          <w:szCs w:val="24"/>
          <w:highlight w:val="none"/>
          <w:lang w:val="en-US" w:eastAsia="zh-CN" w:bidi="ar-SA"/>
        </w:rPr>
        <w:t>6</w:t>
      </w:r>
      <w:r>
        <w:rPr>
          <w:rFonts w:hint="default" w:ascii="Times New Roman" w:hAnsi="Times New Roman" w:eastAsia="宋体" w:cs="Times New Roman"/>
          <w:color w:val="auto"/>
          <w:spacing w:val="20"/>
          <w:sz w:val="24"/>
          <w:szCs w:val="24"/>
          <w:highlight w:val="none"/>
          <w:lang w:val="en-US" w:eastAsia="zh-CN" w:bidi="ar-SA"/>
        </w:rPr>
        <w:t xml:space="preserve">  本项目</w:t>
      </w:r>
      <w:r>
        <w:rPr>
          <w:rFonts w:hint="eastAsia" w:ascii="Times New Roman" w:hAnsi="Times New Roman" w:eastAsia="宋体" w:cs="Times New Roman"/>
          <w:color w:val="auto"/>
          <w:spacing w:val="20"/>
          <w:sz w:val="24"/>
          <w:szCs w:val="24"/>
          <w:highlight w:val="none"/>
          <w:lang w:val="en-US" w:eastAsia="zh-CN" w:bidi="ar-SA"/>
        </w:rPr>
        <w:t>建成后</w:t>
      </w:r>
      <w:r>
        <w:rPr>
          <w:rFonts w:hint="default" w:ascii="Times New Roman" w:hAnsi="Times New Roman" w:eastAsia="宋体" w:cs="Times New Roman"/>
          <w:color w:val="auto"/>
          <w:spacing w:val="20"/>
          <w:sz w:val="24"/>
          <w:szCs w:val="24"/>
          <w:highlight w:val="none"/>
          <w:lang w:val="en-US" w:eastAsia="zh-CN" w:bidi="ar-SA"/>
        </w:rPr>
        <w:t>主要污染物参数表（点源）</w:t>
      </w:r>
    </w:p>
    <w:tbl>
      <w:tblPr>
        <w:tblStyle w:val="37"/>
        <w:tblW w:w="5233"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10"/>
        <w:gridCol w:w="1313"/>
        <w:gridCol w:w="930"/>
        <w:gridCol w:w="743"/>
        <w:gridCol w:w="810"/>
        <w:gridCol w:w="916"/>
        <w:gridCol w:w="796"/>
        <w:gridCol w:w="850"/>
        <w:gridCol w:w="1022"/>
        <w:gridCol w:w="982"/>
        <w:gridCol w:w="1035"/>
        <w:gridCol w:w="996"/>
        <w:gridCol w:w="1686"/>
        <w:gridCol w:w="1102"/>
      </w:tblGrid>
      <w:tr w14:paraId="022A13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1" w:type="pct"/>
            <w:vMerge w:val="restart"/>
            <w:tcBorders>
              <w:tl2br w:val="nil"/>
              <w:tr2bl w:val="nil"/>
            </w:tcBorders>
            <w:noWrap w:val="0"/>
            <w:vAlign w:val="center"/>
          </w:tcPr>
          <w:p w14:paraId="71B7277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编号</w:t>
            </w:r>
          </w:p>
        </w:tc>
        <w:tc>
          <w:tcPr>
            <w:tcW w:w="476" w:type="pct"/>
            <w:vMerge w:val="restart"/>
            <w:tcBorders>
              <w:tl2br w:val="nil"/>
              <w:tr2bl w:val="nil"/>
            </w:tcBorders>
            <w:noWrap w:val="0"/>
            <w:vAlign w:val="center"/>
          </w:tcPr>
          <w:p w14:paraId="587D013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工程内容</w:t>
            </w:r>
          </w:p>
        </w:tc>
        <w:tc>
          <w:tcPr>
            <w:tcW w:w="337" w:type="pct"/>
            <w:vMerge w:val="restart"/>
            <w:tcBorders>
              <w:tl2br w:val="nil"/>
              <w:tr2bl w:val="nil"/>
            </w:tcBorders>
            <w:noWrap w:val="0"/>
            <w:vAlign w:val="center"/>
          </w:tcPr>
          <w:p w14:paraId="2D4067F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污染源</w:t>
            </w:r>
            <w:r>
              <w:rPr>
                <w:rFonts w:hint="default" w:ascii="Times New Roman" w:hAnsi="Times New Roman" w:eastAsia="宋体" w:cs="Times New Roman"/>
                <w:color w:val="auto"/>
                <w:kern w:val="0"/>
                <w:sz w:val="21"/>
                <w:szCs w:val="21"/>
                <w:highlight w:val="none"/>
              </w:rPr>
              <w:t>名称</w:t>
            </w:r>
          </w:p>
        </w:tc>
        <w:tc>
          <w:tcPr>
            <w:tcW w:w="563" w:type="pct"/>
            <w:gridSpan w:val="2"/>
            <w:tcBorders>
              <w:tl2br w:val="nil"/>
              <w:tr2bl w:val="nil"/>
            </w:tcBorders>
            <w:noWrap w:val="0"/>
            <w:vAlign w:val="center"/>
          </w:tcPr>
          <w:p w14:paraId="1FD8CBA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排气筒底部中心坐标</w:t>
            </w:r>
            <w:r>
              <w:rPr>
                <w:rFonts w:hint="default" w:ascii="Times New Roman" w:hAnsi="Times New Roman" w:eastAsia="宋体"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rPr>
              <w:t>m</w:t>
            </w:r>
          </w:p>
        </w:tc>
        <w:tc>
          <w:tcPr>
            <w:tcW w:w="332" w:type="pct"/>
            <w:vMerge w:val="restart"/>
            <w:tcBorders>
              <w:tl2br w:val="nil"/>
              <w:tr2bl w:val="nil"/>
            </w:tcBorders>
            <w:noWrap w:val="0"/>
            <w:vAlign w:val="center"/>
          </w:tcPr>
          <w:p w14:paraId="6592F35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排气筒底部海拔高度/m</w:t>
            </w:r>
          </w:p>
        </w:tc>
        <w:tc>
          <w:tcPr>
            <w:tcW w:w="288" w:type="pct"/>
            <w:vMerge w:val="restart"/>
            <w:tcBorders>
              <w:tl2br w:val="nil"/>
              <w:tr2bl w:val="nil"/>
            </w:tcBorders>
            <w:noWrap w:val="0"/>
            <w:vAlign w:val="center"/>
          </w:tcPr>
          <w:p w14:paraId="63B34DE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排气筒高度/m</w:t>
            </w:r>
          </w:p>
        </w:tc>
        <w:tc>
          <w:tcPr>
            <w:tcW w:w="308" w:type="pct"/>
            <w:vMerge w:val="restart"/>
            <w:tcBorders>
              <w:tl2br w:val="nil"/>
              <w:tr2bl w:val="nil"/>
            </w:tcBorders>
            <w:noWrap w:val="0"/>
            <w:vAlign w:val="center"/>
          </w:tcPr>
          <w:p w14:paraId="6CF6BA5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排气筒出口内径/m</w:t>
            </w:r>
          </w:p>
        </w:tc>
        <w:tc>
          <w:tcPr>
            <w:tcW w:w="370" w:type="pct"/>
            <w:vMerge w:val="restart"/>
            <w:tcBorders>
              <w:tl2br w:val="nil"/>
              <w:tr2bl w:val="nil"/>
            </w:tcBorders>
            <w:noWrap w:val="0"/>
            <w:vAlign w:val="center"/>
          </w:tcPr>
          <w:p w14:paraId="26A99DA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烟气</w:t>
            </w:r>
          </w:p>
          <w:p w14:paraId="1F2749A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流量</w:t>
            </w:r>
          </w:p>
          <w:p w14:paraId="11B1EED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/m</w:t>
            </w:r>
            <w:r>
              <w:rPr>
                <w:rFonts w:hint="default" w:ascii="Times New Roman" w:hAnsi="Times New Roman" w:eastAsia="宋体" w:cs="Times New Roman"/>
                <w:color w:val="auto"/>
                <w:kern w:val="0"/>
                <w:sz w:val="21"/>
                <w:szCs w:val="21"/>
                <w:highlight w:val="none"/>
                <w:vertAlign w:val="superscript"/>
              </w:rPr>
              <w:t>3</w:t>
            </w:r>
            <w:r>
              <w:rPr>
                <w:rFonts w:hint="default" w:ascii="Times New Roman" w:hAnsi="Times New Roman" w:eastAsia="宋体" w:cs="Times New Roman"/>
                <w:color w:val="auto"/>
                <w:kern w:val="0"/>
                <w:sz w:val="21"/>
                <w:szCs w:val="21"/>
                <w:highlight w:val="none"/>
              </w:rPr>
              <w:t>/h</w:t>
            </w:r>
          </w:p>
        </w:tc>
        <w:tc>
          <w:tcPr>
            <w:tcW w:w="356" w:type="pct"/>
            <w:vMerge w:val="restart"/>
            <w:tcBorders>
              <w:tl2br w:val="nil"/>
              <w:tr2bl w:val="nil"/>
            </w:tcBorders>
            <w:noWrap w:val="0"/>
            <w:vAlign w:val="center"/>
          </w:tcPr>
          <w:p w14:paraId="0C5EB49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烟气出口温度/℃</w:t>
            </w:r>
          </w:p>
        </w:tc>
        <w:tc>
          <w:tcPr>
            <w:tcW w:w="375" w:type="pct"/>
            <w:vMerge w:val="restart"/>
            <w:tcBorders>
              <w:tl2br w:val="nil"/>
              <w:tr2bl w:val="nil"/>
            </w:tcBorders>
            <w:noWrap w:val="0"/>
            <w:vAlign w:val="center"/>
          </w:tcPr>
          <w:p w14:paraId="040C7E2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年排放小时数/h</w:t>
            </w:r>
          </w:p>
        </w:tc>
        <w:tc>
          <w:tcPr>
            <w:tcW w:w="361" w:type="pct"/>
            <w:vMerge w:val="restart"/>
            <w:tcBorders>
              <w:tl2br w:val="nil"/>
              <w:tr2bl w:val="nil"/>
            </w:tcBorders>
            <w:noWrap w:val="0"/>
            <w:vAlign w:val="center"/>
          </w:tcPr>
          <w:p w14:paraId="5C52618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排放工况</w:t>
            </w:r>
          </w:p>
        </w:tc>
        <w:tc>
          <w:tcPr>
            <w:tcW w:w="1010" w:type="pct"/>
            <w:gridSpan w:val="2"/>
            <w:vMerge w:val="restart"/>
            <w:tcBorders>
              <w:tl2br w:val="nil"/>
              <w:tr2bl w:val="nil"/>
            </w:tcBorders>
            <w:noWrap w:val="0"/>
            <w:vAlign w:val="center"/>
          </w:tcPr>
          <w:p w14:paraId="4628881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污染物排放速率/(kg/h)</w:t>
            </w:r>
          </w:p>
        </w:tc>
      </w:tr>
      <w:tr w14:paraId="104C33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1" w:type="pct"/>
            <w:vMerge w:val="continue"/>
            <w:tcBorders>
              <w:tl2br w:val="nil"/>
              <w:tr2bl w:val="nil"/>
            </w:tcBorders>
            <w:noWrap w:val="0"/>
            <w:vAlign w:val="center"/>
          </w:tcPr>
          <w:p w14:paraId="3066035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476" w:type="pct"/>
            <w:vMerge w:val="continue"/>
            <w:tcBorders>
              <w:tl2br w:val="nil"/>
              <w:tr2bl w:val="nil"/>
            </w:tcBorders>
            <w:noWrap w:val="0"/>
            <w:vAlign w:val="center"/>
          </w:tcPr>
          <w:p w14:paraId="05E552A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37" w:type="pct"/>
            <w:vMerge w:val="continue"/>
            <w:tcBorders>
              <w:tl2br w:val="nil"/>
              <w:tr2bl w:val="nil"/>
            </w:tcBorders>
            <w:noWrap w:val="0"/>
            <w:vAlign w:val="center"/>
          </w:tcPr>
          <w:p w14:paraId="7944792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269" w:type="pct"/>
            <w:tcBorders>
              <w:tl2br w:val="nil"/>
              <w:tr2bl w:val="nil"/>
            </w:tcBorders>
            <w:noWrap w:val="0"/>
            <w:vAlign w:val="center"/>
          </w:tcPr>
          <w:p w14:paraId="01A1932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X</w:t>
            </w:r>
          </w:p>
        </w:tc>
        <w:tc>
          <w:tcPr>
            <w:tcW w:w="293" w:type="pct"/>
            <w:tcBorders>
              <w:tl2br w:val="nil"/>
              <w:tr2bl w:val="nil"/>
            </w:tcBorders>
            <w:noWrap w:val="0"/>
            <w:vAlign w:val="center"/>
          </w:tcPr>
          <w:p w14:paraId="39C7AE2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Y</w:t>
            </w:r>
          </w:p>
        </w:tc>
        <w:tc>
          <w:tcPr>
            <w:tcW w:w="332" w:type="pct"/>
            <w:vMerge w:val="continue"/>
            <w:tcBorders>
              <w:tl2br w:val="nil"/>
              <w:tr2bl w:val="nil"/>
            </w:tcBorders>
            <w:noWrap w:val="0"/>
            <w:vAlign w:val="center"/>
          </w:tcPr>
          <w:p w14:paraId="30379D1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288" w:type="pct"/>
            <w:vMerge w:val="continue"/>
            <w:tcBorders>
              <w:tl2br w:val="nil"/>
              <w:tr2bl w:val="nil"/>
            </w:tcBorders>
            <w:noWrap w:val="0"/>
            <w:vAlign w:val="center"/>
          </w:tcPr>
          <w:p w14:paraId="10D7754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08" w:type="pct"/>
            <w:vMerge w:val="continue"/>
            <w:tcBorders>
              <w:tl2br w:val="nil"/>
              <w:tr2bl w:val="nil"/>
            </w:tcBorders>
            <w:noWrap w:val="0"/>
            <w:vAlign w:val="center"/>
          </w:tcPr>
          <w:p w14:paraId="1D98FE3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70" w:type="pct"/>
            <w:vMerge w:val="continue"/>
            <w:tcBorders>
              <w:tl2br w:val="nil"/>
              <w:tr2bl w:val="nil"/>
            </w:tcBorders>
            <w:noWrap w:val="0"/>
            <w:vAlign w:val="center"/>
          </w:tcPr>
          <w:p w14:paraId="641F068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56" w:type="pct"/>
            <w:vMerge w:val="continue"/>
            <w:tcBorders>
              <w:tl2br w:val="nil"/>
              <w:tr2bl w:val="nil"/>
            </w:tcBorders>
            <w:noWrap w:val="0"/>
            <w:vAlign w:val="center"/>
          </w:tcPr>
          <w:p w14:paraId="0B79DF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75" w:type="pct"/>
            <w:vMerge w:val="continue"/>
            <w:tcBorders>
              <w:tl2br w:val="nil"/>
              <w:tr2bl w:val="nil"/>
            </w:tcBorders>
            <w:noWrap w:val="0"/>
            <w:vAlign w:val="center"/>
          </w:tcPr>
          <w:p w14:paraId="7F181D9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61" w:type="pct"/>
            <w:vMerge w:val="continue"/>
            <w:tcBorders>
              <w:tl2br w:val="nil"/>
              <w:tr2bl w:val="nil"/>
            </w:tcBorders>
            <w:noWrap w:val="0"/>
            <w:vAlign w:val="center"/>
          </w:tcPr>
          <w:p w14:paraId="47EFBC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1010" w:type="pct"/>
            <w:gridSpan w:val="2"/>
            <w:vMerge w:val="continue"/>
            <w:tcBorders>
              <w:tl2br w:val="nil"/>
              <w:tr2bl w:val="nil"/>
            </w:tcBorders>
            <w:noWrap w:val="0"/>
            <w:vAlign w:val="center"/>
          </w:tcPr>
          <w:p w14:paraId="77D4557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14:paraId="66FC39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1" w:type="pct"/>
            <w:vMerge w:val="restart"/>
            <w:tcBorders>
              <w:tl2br w:val="nil"/>
              <w:tr2bl w:val="nil"/>
            </w:tcBorders>
            <w:noWrap w:val="0"/>
            <w:vAlign w:val="center"/>
          </w:tcPr>
          <w:p w14:paraId="182D159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w:t>
            </w:r>
          </w:p>
        </w:tc>
        <w:tc>
          <w:tcPr>
            <w:tcW w:w="476" w:type="pct"/>
            <w:vMerge w:val="restart"/>
            <w:tcBorders>
              <w:tl2br w:val="nil"/>
              <w:tr2bl w:val="nil"/>
            </w:tcBorders>
            <w:noWrap w:val="0"/>
            <w:vAlign w:val="center"/>
          </w:tcPr>
          <w:p w14:paraId="4696530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5#锅炉</w:t>
            </w:r>
          </w:p>
        </w:tc>
        <w:tc>
          <w:tcPr>
            <w:tcW w:w="337" w:type="pct"/>
            <w:vMerge w:val="restart"/>
            <w:tcBorders>
              <w:tl2br w:val="nil"/>
              <w:tr2bl w:val="nil"/>
            </w:tcBorders>
            <w:noWrap w:val="0"/>
            <w:vAlign w:val="center"/>
          </w:tcPr>
          <w:p w14:paraId="385C024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锅炉</w:t>
            </w:r>
            <w:r>
              <w:rPr>
                <w:rFonts w:hint="default" w:ascii="Times New Roman" w:hAnsi="Times New Roman" w:eastAsia="宋体" w:cs="Times New Roman"/>
                <w:color w:val="auto"/>
                <w:kern w:val="0"/>
                <w:sz w:val="21"/>
                <w:szCs w:val="21"/>
                <w:highlight w:val="none"/>
              </w:rPr>
              <w:t>烟囱</w:t>
            </w:r>
          </w:p>
        </w:tc>
        <w:tc>
          <w:tcPr>
            <w:tcW w:w="269" w:type="pct"/>
            <w:vMerge w:val="restart"/>
            <w:tcBorders>
              <w:tl2br w:val="nil"/>
              <w:tr2bl w:val="nil"/>
            </w:tcBorders>
            <w:noWrap w:val="0"/>
            <w:vAlign w:val="center"/>
          </w:tcPr>
          <w:p w14:paraId="5FA9643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78</w:t>
            </w:r>
          </w:p>
        </w:tc>
        <w:tc>
          <w:tcPr>
            <w:tcW w:w="293" w:type="pct"/>
            <w:vMerge w:val="restart"/>
            <w:tcBorders>
              <w:tl2br w:val="nil"/>
              <w:tr2bl w:val="nil"/>
            </w:tcBorders>
            <w:noWrap w:val="0"/>
            <w:vAlign w:val="center"/>
          </w:tcPr>
          <w:p w14:paraId="50A3F72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94</w:t>
            </w:r>
          </w:p>
        </w:tc>
        <w:tc>
          <w:tcPr>
            <w:tcW w:w="332" w:type="pct"/>
            <w:vMerge w:val="restart"/>
            <w:tcBorders>
              <w:tl2br w:val="nil"/>
              <w:tr2bl w:val="nil"/>
            </w:tcBorders>
            <w:noWrap w:val="0"/>
            <w:vAlign w:val="center"/>
          </w:tcPr>
          <w:p w14:paraId="0D9AD83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78</w:t>
            </w:r>
          </w:p>
        </w:tc>
        <w:tc>
          <w:tcPr>
            <w:tcW w:w="288" w:type="pct"/>
            <w:vMerge w:val="restart"/>
            <w:tcBorders>
              <w:tl2br w:val="nil"/>
              <w:tr2bl w:val="nil"/>
            </w:tcBorders>
            <w:noWrap w:val="0"/>
            <w:vAlign w:val="center"/>
          </w:tcPr>
          <w:p w14:paraId="0840F46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70</w:t>
            </w:r>
          </w:p>
        </w:tc>
        <w:tc>
          <w:tcPr>
            <w:tcW w:w="308" w:type="pct"/>
            <w:vMerge w:val="restart"/>
            <w:tcBorders>
              <w:tl2br w:val="nil"/>
              <w:tr2bl w:val="nil"/>
            </w:tcBorders>
            <w:noWrap w:val="0"/>
            <w:vAlign w:val="center"/>
          </w:tcPr>
          <w:p w14:paraId="4A732D3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3.5</w:t>
            </w:r>
          </w:p>
        </w:tc>
        <w:tc>
          <w:tcPr>
            <w:tcW w:w="370" w:type="pct"/>
            <w:vMerge w:val="restart"/>
            <w:tcBorders>
              <w:tl2br w:val="nil"/>
              <w:tr2bl w:val="nil"/>
            </w:tcBorders>
            <w:noWrap w:val="0"/>
            <w:vAlign w:val="center"/>
          </w:tcPr>
          <w:p w14:paraId="6E3AD63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125406.1</w:t>
            </w:r>
          </w:p>
        </w:tc>
        <w:tc>
          <w:tcPr>
            <w:tcW w:w="356" w:type="pct"/>
            <w:vMerge w:val="restart"/>
            <w:tcBorders>
              <w:tl2br w:val="nil"/>
              <w:tr2bl w:val="nil"/>
            </w:tcBorders>
            <w:noWrap w:val="0"/>
            <w:vAlign w:val="center"/>
          </w:tcPr>
          <w:p w14:paraId="253F607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50</w:t>
            </w:r>
          </w:p>
        </w:tc>
        <w:tc>
          <w:tcPr>
            <w:tcW w:w="375" w:type="pct"/>
            <w:vMerge w:val="restart"/>
            <w:tcBorders>
              <w:tl2br w:val="nil"/>
              <w:tr2bl w:val="nil"/>
            </w:tcBorders>
            <w:noWrap w:val="0"/>
            <w:vAlign w:val="center"/>
          </w:tcPr>
          <w:p w14:paraId="0E03330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1083</w:t>
            </w:r>
          </w:p>
        </w:tc>
        <w:tc>
          <w:tcPr>
            <w:tcW w:w="361" w:type="pct"/>
            <w:vMerge w:val="restart"/>
            <w:tcBorders>
              <w:tl2br w:val="nil"/>
              <w:tr2bl w:val="nil"/>
            </w:tcBorders>
            <w:noWrap w:val="0"/>
            <w:vAlign w:val="center"/>
          </w:tcPr>
          <w:p w14:paraId="103C376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rPr>
              <w:t>正常</w:t>
            </w:r>
            <w:r>
              <w:rPr>
                <w:rFonts w:hint="default" w:ascii="Times New Roman" w:hAnsi="Times New Roman" w:eastAsia="宋体" w:cs="Times New Roman"/>
                <w:color w:val="auto"/>
                <w:kern w:val="0"/>
                <w:sz w:val="21"/>
                <w:szCs w:val="21"/>
                <w:highlight w:val="none"/>
                <w:lang w:val="en-US" w:eastAsia="zh-CN"/>
              </w:rPr>
              <w:t>排放</w:t>
            </w:r>
          </w:p>
        </w:tc>
        <w:tc>
          <w:tcPr>
            <w:tcW w:w="611" w:type="pct"/>
            <w:tcBorders>
              <w:tl2br w:val="nil"/>
              <w:tr2bl w:val="nil"/>
            </w:tcBorders>
            <w:noWrap w:val="0"/>
            <w:vAlign w:val="center"/>
          </w:tcPr>
          <w:p w14:paraId="7201EA6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iCs/>
                <w:color w:val="auto"/>
                <w:kern w:val="0"/>
                <w:sz w:val="21"/>
                <w:szCs w:val="21"/>
                <w:highlight w:val="none"/>
                <w:lang w:val="en-US" w:eastAsia="zh-CN"/>
              </w:rPr>
              <w:t>PM</w:t>
            </w:r>
            <w:r>
              <w:rPr>
                <w:rFonts w:hint="default" w:ascii="Times New Roman" w:hAnsi="Times New Roman" w:eastAsia="宋体" w:cs="Times New Roman"/>
                <w:b w:val="0"/>
                <w:bCs w:val="0"/>
                <w:iCs/>
                <w:color w:val="auto"/>
                <w:kern w:val="0"/>
                <w:sz w:val="21"/>
                <w:szCs w:val="21"/>
                <w:highlight w:val="none"/>
                <w:vertAlign w:val="subscript"/>
                <w:lang w:val="en-US" w:eastAsia="zh-CN"/>
              </w:rPr>
              <w:t>10</w:t>
            </w:r>
          </w:p>
        </w:tc>
        <w:tc>
          <w:tcPr>
            <w:tcW w:w="399" w:type="pct"/>
            <w:tcBorders>
              <w:tl2br w:val="nil"/>
              <w:tr2bl w:val="nil"/>
            </w:tcBorders>
            <w:noWrap w:val="0"/>
            <w:vAlign w:val="center"/>
          </w:tcPr>
          <w:p w14:paraId="052BAF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0.59</w:t>
            </w:r>
          </w:p>
        </w:tc>
      </w:tr>
      <w:tr w14:paraId="774677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1" w:type="pct"/>
            <w:vMerge w:val="continue"/>
            <w:tcBorders>
              <w:tl2br w:val="nil"/>
              <w:tr2bl w:val="nil"/>
            </w:tcBorders>
            <w:noWrap w:val="0"/>
            <w:vAlign w:val="center"/>
          </w:tcPr>
          <w:p w14:paraId="1BB83BB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476" w:type="pct"/>
            <w:vMerge w:val="continue"/>
            <w:tcBorders>
              <w:tl2br w:val="nil"/>
              <w:tr2bl w:val="nil"/>
            </w:tcBorders>
            <w:noWrap w:val="0"/>
            <w:vAlign w:val="center"/>
          </w:tcPr>
          <w:p w14:paraId="00B74F2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337" w:type="pct"/>
            <w:vMerge w:val="continue"/>
            <w:tcBorders>
              <w:tl2br w:val="nil"/>
              <w:tr2bl w:val="nil"/>
            </w:tcBorders>
            <w:noWrap w:val="0"/>
            <w:vAlign w:val="center"/>
          </w:tcPr>
          <w:p w14:paraId="0E499F3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269" w:type="pct"/>
            <w:vMerge w:val="continue"/>
            <w:tcBorders>
              <w:tl2br w:val="nil"/>
              <w:tr2bl w:val="nil"/>
            </w:tcBorders>
            <w:noWrap w:val="0"/>
            <w:vAlign w:val="center"/>
          </w:tcPr>
          <w:p w14:paraId="2571F5D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293" w:type="pct"/>
            <w:vMerge w:val="continue"/>
            <w:tcBorders>
              <w:tl2br w:val="nil"/>
              <w:tr2bl w:val="nil"/>
            </w:tcBorders>
            <w:noWrap w:val="0"/>
            <w:vAlign w:val="center"/>
          </w:tcPr>
          <w:p w14:paraId="645F872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332" w:type="pct"/>
            <w:vMerge w:val="continue"/>
            <w:tcBorders>
              <w:tl2br w:val="nil"/>
              <w:tr2bl w:val="nil"/>
            </w:tcBorders>
            <w:noWrap w:val="0"/>
            <w:vAlign w:val="center"/>
          </w:tcPr>
          <w:p w14:paraId="09368E7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288" w:type="pct"/>
            <w:vMerge w:val="continue"/>
            <w:tcBorders>
              <w:tl2br w:val="nil"/>
              <w:tr2bl w:val="nil"/>
            </w:tcBorders>
            <w:noWrap w:val="0"/>
            <w:vAlign w:val="center"/>
          </w:tcPr>
          <w:p w14:paraId="02A6141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308" w:type="pct"/>
            <w:vMerge w:val="continue"/>
            <w:tcBorders>
              <w:tl2br w:val="nil"/>
              <w:tr2bl w:val="nil"/>
            </w:tcBorders>
            <w:noWrap w:val="0"/>
            <w:vAlign w:val="center"/>
          </w:tcPr>
          <w:p w14:paraId="74F16E8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370" w:type="pct"/>
            <w:vMerge w:val="continue"/>
            <w:tcBorders>
              <w:tl2br w:val="nil"/>
              <w:tr2bl w:val="nil"/>
            </w:tcBorders>
            <w:noWrap w:val="0"/>
            <w:vAlign w:val="center"/>
          </w:tcPr>
          <w:p w14:paraId="63B191D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356" w:type="pct"/>
            <w:vMerge w:val="continue"/>
            <w:tcBorders>
              <w:tl2br w:val="nil"/>
              <w:tr2bl w:val="nil"/>
            </w:tcBorders>
            <w:noWrap w:val="0"/>
            <w:vAlign w:val="center"/>
          </w:tcPr>
          <w:p w14:paraId="18D479E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375" w:type="pct"/>
            <w:vMerge w:val="continue"/>
            <w:tcBorders>
              <w:tl2br w:val="nil"/>
              <w:tr2bl w:val="nil"/>
            </w:tcBorders>
            <w:noWrap w:val="0"/>
            <w:vAlign w:val="center"/>
          </w:tcPr>
          <w:p w14:paraId="4A21597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361" w:type="pct"/>
            <w:vMerge w:val="continue"/>
            <w:tcBorders>
              <w:tl2br w:val="nil"/>
              <w:tr2bl w:val="nil"/>
            </w:tcBorders>
            <w:noWrap w:val="0"/>
            <w:vAlign w:val="center"/>
          </w:tcPr>
          <w:p w14:paraId="3D39915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611" w:type="pct"/>
            <w:tcBorders>
              <w:tl2br w:val="nil"/>
              <w:tr2bl w:val="nil"/>
            </w:tcBorders>
            <w:noWrap w:val="0"/>
            <w:vAlign w:val="center"/>
          </w:tcPr>
          <w:p w14:paraId="1FCFDC4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Cs/>
                <w:color w:val="auto"/>
                <w:kern w:val="0"/>
                <w:sz w:val="21"/>
                <w:szCs w:val="21"/>
                <w:highlight w:val="none"/>
                <w:lang w:val="en-US" w:eastAsia="zh-CN"/>
              </w:rPr>
            </w:pPr>
            <w:r>
              <w:rPr>
                <w:rFonts w:hint="default" w:ascii="Times New Roman" w:hAnsi="Times New Roman" w:eastAsia="宋体" w:cs="Times New Roman"/>
                <w:b w:val="0"/>
                <w:bCs w:val="0"/>
                <w:iCs/>
                <w:color w:val="auto"/>
                <w:kern w:val="0"/>
                <w:sz w:val="21"/>
                <w:szCs w:val="21"/>
                <w:highlight w:val="none"/>
                <w:lang w:val="en-US" w:eastAsia="zh-CN"/>
              </w:rPr>
              <w:t>PM</w:t>
            </w:r>
            <w:r>
              <w:rPr>
                <w:rFonts w:hint="default" w:ascii="Times New Roman" w:hAnsi="Times New Roman" w:eastAsia="宋体" w:cs="Times New Roman"/>
                <w:b w:val="0"/>
                <w:bCs w:val="0"/>
                <w:iCs/>
                <w:color w:val="auto"/>
                <w:kern w:val="0"/>
                <w:sz w:val="21"/>
                <w:szCs w:val="21"/>
                <w:highlight w:val="none"/>
                <w:vertAlign w:val="subscript"/>
                <w:lang w:val="en-US" w:eastAsia="zh-CN"/>
              </w:rPr>
              <w:t>2.5</w:t>
            </w:r>
          </w:p>
        </w:tc>
        <w:tc>
          <w:tcPr>
            <w:tcW w:w="399" w:type="pct"/>
            <w:tcBorders>
              <w:tl2br w:val="nil"/>
              <w:tr2bl w:val="nil"/>
            </w:tcBorders>
            <w:noWrap w:val="0"/>
            <w:vAlign w:val="center"/>
          </w:tcPr>
          <w:p w14:paraId="57610C42">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0.38</w:t>
            </w:r>
          </w:p>
        </w:tc>
      </w:tr>
      <w:tr w14:paraId="1293BC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1" w:type="pct"/>
            <w:vMerge w:val="continue"/>
            <w:tcBorders>
              <w:tl2br w:val="nil"/>
              <w:tr2bl w:val="nil"/>
            </w:tcBorders>
            <w:noWrap w:val="0"/>
            <w:vAlign w:val="center"/>
          </w:tcPr>
          <w:p w14:paraId="53AB3C5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476" w:type="pct"/>
            <w:vMerge w:val="continue"/>
            <w:tcBorders>
              <w:tl2br w:val="nil"/>
              <w:tr2bl w:val="nil"/>
            </w:tcBorders>
            <w:noWrap w:val="0"/>
            <w:vAlign w:val="center"/>
          </w:tcPr>
          <w:p w14:paraId="701CDC4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37" w:type="pct"/>
            <w:vMerge w:val="continue"/>
            <w:tcBorders>
              <w:tl2br w:val="nil"/>
              <w:tr2bl w:val="nil"/>
            </w:tcBorders>
            <w:noWrap w:val="0"/>
            <w:vAlign w:val="center"/>
          </w:tcPr>
          <w:p w14:paraId="0D4F3CB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269" w:type="pct"/>
            <w:vMerge w:val="continue"/>
            <w:tcBorders>
              <w:tl2br w:val="nil"/>
              <w:tr2bl w:val="nil"/>
            </w:tcBorders>
            <w:noWrap w:val="0"/>
            <w:vAlign w:val="center"/>
          </w:tcPr>
          <w:p w14:paraId="6604B67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293" w:type="pct"/>
            <w:vMerge w:val="continue"/>
            <w:tcBorders>
              <w:tl2br w:val="nil"/>
              <w:tr2bl w:val="nil"/>
            </w:tcBorders>
            <w:noWrap w:val="0"/>
            <w:vAlign w:val="center"/>
          </w:tcPr>
          <w:p w14:paraId="53FE7E4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32" w:type="pct"/>
            <w:vMerge w:val="continue"/>
            <w:tcBorders>
              <w:tl2br w:val="nil"/>
              <w:tr2bl w:val="nil"/>
            </w:tcBorders>
            <w:noWrap w:val="0"/>
            <w:vAlign w:val="center"/>
          </w:tcPr>
          <w:p w14:paraId="4F15378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288" w:type="pct"/>
            <w:vMerge w:val="continue"/>
            <w:tcBorders>
              <w:tl2br w:val="nil"/>
              <w:tr2bl w:val="nil"/>
            </w:tcBorders>
            <w:noWrap w:val="0"/>
            <w:vAlign w:val="center"/>
          </w:tcPr>
          <w:p w14:paraId="77D2D9A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08" w:type="pct"/>
            <w:vMerge w:val="continue"/>
            <w:tcBorders>
              <w:tl2br w:val="nil"/>
              <w:tr2bl w:val="nil"/>
            </w:tcBorders>
            <w:noWrap w:val="0"/>
            <w:vAlign w:val="center"/>
          </w:tcPr>
          <w:p w14:paraId="05F9459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70" w:type="pct"/>
            <w:vMerge w:val="continue"/>
            <w:tcBorders>
              <w:tl2br w:val="nil"/>
              <w:tr2bl w:val="nil"/>
            </w:tcBorders>
            <w:noWrap w:val="0"/>
            <w:vAlign w:val="center"/>
          </w:tcPr>
          <w:p w14:paraId="2DF536A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56" w:type="pct"/>
            <w:vMerge w:val="continue"/>
            <w:tcBorders>
              <w:tl2br w:val="nil"/>
              <w:tr2bl w:val="nil"/>
            </w:tcBorders>
            <w:noWrap w:val="0"/>
            <w:vAlign w:val="center"/>
          </w:tcPr>
          <w:p w14:paraId="157561B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375" w:type="pct"/>
            <w:vMerge w:val="continue"/>
            <w:tcBorders>
              <w:tl2br w:val="nil"/>
              <w:tr2bl w:val="nil"/>
            </w:tcBorders>
            <w:noWrap w:val="0"/>
            <w:vAlign w:val="center"/>
          </w:tcPr>
          <w:p w14:paraId="2B71E26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361" w:type="pct"/>
            <w:vMerge w:val="continue"/>
            <w:tcBorders>
              <w:tl2br w:val="nil"/>
              <w:tr2bl w:val="nil"/>
            </w:tcBorders>
            <w:noWrap w:val="0"/>
            <w:vAlign w:val="center"/>
          </w:tcPr>
          <w:p w14:paraId="42FADA8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611" w:type="pct"/>
            <w:tcBorders>
              <w:tl2br w:val="nil"/>
              <w:tr2bl w:val="nil"/>
            </w:tcBorders>
            <w:noWrap w:val="0"/>
            <w:vAlign w:val="center"/>
          </w:tcPr>
          <w:p w14:paraId="097F2CD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eastAsia="zh-CN"/>
              </w:rPr>
              <w:t>SO</w:t>
            </w:r>
            <w:r>
              <w:rPr>
                <w:rFonts w:hint="default" w:ascii="Times New Roman" w:hAnsi="Times New Roman" w:eastAsia="宋体" w:cs="Times New Roman"/>
                <w:b w:val="0"/>
                <w:bCs w:val="0"/>
                <w:color w:val="auto"/>
                <w:kern w:val="0"/>
                <w:sz w:val="21"/>
                <w:szCs w:val="21"/>
                <w:highlight w:val="none"/>
                <w:vertAlign w:val="subscript"/>
                <w:lang w:eastAsia="zh-CN"/>
              </w:rPr>
              <w:t>2</w:t>
            </w:r>
          </w:p>
        </w:tc>
        <w:tc>
          <w:tcPr>
            <w:tcW w:w="399" w:type="pct"/>
            <w:tcBorders>
              <w:tl2br w:val="nil"/>
              <w:tr2bl w:val="nil"/>
            </w:tcBorders>
            <w:noWrap w:val="0"/>
            <w:vAlign w:val="center"/>
          </w:tcPr>
          <w:p w14:paraId="2201B941">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2.48</w:t>
            </w:r>
          </w:p>
        </w:tc>
      </w:tr>
      <w:tr w14:paraId="0A0F18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1" w:type="pct"/>
            <w:vMerge w:val="continue"/>
            <w:tcBorders>
              <w:tl2br w:val="nil"/>
              <w:tr2bl w:val="nil"/>
            </w:tcBorders>
            <w:noWrap w:val="0"/>
            <w:vAlign w:val="center"/>
          </w:tcPr>
          <w:p w14:paraId="4149CE5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476" w:type="pct"/>
            <w:vMerge w:val="continue"/>
            <w:tcBorders>
              <w:tl2br w:val="nil"/>
              <w:tr2bl w:val="nil"/>
            </w:tcBorders>
            <w:noWrap w:val="0"/>
            <w:vAlign w:val="center"/>
          </w:tcPr>
          <w:p w14:paraId="3F4ACBC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37" w:type="pct"/>
            <w:vMerge w:val="continue"/>
            <w:tcBorders>
              <w:tl2br w:val="nil"/>
              <w:tr2bl w:val="nil"/>
            </w:tcBorders>
            <w:noWrap w:val="0"/>
            <w:vAlign w:val="center"/>
          </w:tcPr>
          <w:p w14:paraId="00CF5B4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269" w:type="pct"/>
            <w:vMerge w:val="continue"/>
            <w:tcBorders>
              <w:tl2br w:val="nil"/>
              <w:tr2bl w:val="nil"/>
            </w:tcBorders>
            <w:noWrap w:val="0"/>
            <w:vAlign w:val="center"/>
          </w:tcPr>
          <w:p w14:paraId="279C24C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293" w:type="pct"/>
            <w:vMerge w:val="continue"/>
            <w:tcBorders>
              <w:tl2br w:val="nil"/>
              <w:tr2bl w:val="nil"/>
            </w:tcBorders>
            <w:noWrap w:val="0"/>
            <w:vAlign w:val="center"/>
          </w:tcPr>
          <w:p w14:paraId="6DA9584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32" w:type="pct"/>
            <w:vMerge w:val="continue"/>
            <w:tcBorders>
              <w:tl2br w:val="nil"/>
              <w:tr2bl w:val="nil"/>
            </w:tcBorders>
            <w:noWrap w:val="0"/>
            <w:vAlign w:val="center"/>
          </w:tcPr>
          <w:p w14:paraId="3624842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288" w:type="pct"/>
            <w:vMerge w:val="continue"/>
            <w:tcBorders>
              <w:tl2br w:val="nil"/>
              <w:tr2bl w:val="nil"/>
            </w:tcBorders>
            <w:noWrap w:val="0"/>
            <w:vAlign w:val="center"/>
          </w:tcPr>
          <w:p w14:paraId="15B7E2F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08" w:type="pct"/>
            <w:vMerge w:val="continue"/>
            <w:tcBorders>
              <w:tl2br w:val="nil"/>
              <w:tr2bl w:val="nil"/>
            </w:tcBorders>
            <w:noWrap w:val="0"/>
            <w:vAlign w:val="center"/>
          </w:tcPr>
          <w:p w14:paraId="28D4AF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70" w:type="pct"/>
            <w:vMerge w:val="continue"/>
            <w:tcBorders>
              <w:tl2br w:val="nil"/>
              <w:tr2bl w:val="nil"/>
            </w:tcBorders>
            <w:noWrap w:val="0"/>
            <w:vAlign w:val="center"/>
          </w:tcPr>
          <w:p w14:paraId="6C6A2E8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56" w:type="pct"/>
            <w:vMerge w:val="continue"/>
            <w:tcBorders>
              <w:tl2br w:val="nil"/>
              <w:tr2bl w:val="nil"/>
            </w:tcBorders>
            <w:noWrap w:val="0"/>
            <w:vAlign w:val="center"/>
          </w:tcPr>
          <w:p w14:paraId="3775F21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375" w:type="pct"/>
            <w:vMerge w:val="continue"/>
            <w:tcBorders>
              <w:tl2br w:val="nil"/>
              <w:tr2bl w:val="nil"/>
            </w:tcBorders>
            <w:noWrap w:val="0"/>
            <w:vAlign w:val="center"/>
          </w:tcPr>
          <w:p w14:paraId="394D2A6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361" w:type="pct"/>
            <w:vMerge w:val="continue"/>
            <w:tcBorders>
              <w:tl2br w:val="nil"/>
              <w:tr2bl w:val="nil"/>
            </w:tcBorders>
            <w:noWrap w:val="0"/>
            <w:vAlign w:val="center"/>
          </w:tcPr>
          <w:p w14:paraId="4AA3DA2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611" w:type="pct"/>
            <w:tcBorders>
              <w:tl2br w:val="nil"/>
              <w:tr2bl w:val="nil"/>
            </w:tcBorders>
            <w:noWrap w:val="0"/>
            <w:vAlign w:val="center"/>
          </w:tcPr>
          <w:p w14:paraId="09A2911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eastAsia="zh-CN"/>
              </w:rPr>
            </w:pPr>
            <w:r>
              <w:rPr>
                <w:rFonts w:hint="default" w:ascii="Times New Roman" w:hAnsi="Times New Roman" w:eastAsia="宋体" w:cs="Times New Roman"/>
                <w:b w:val="0"/>
                <w:bCs w:val="0"/>
                <w:color w:val="auto"/>
                <w:kern w:val="0"/>
                <w:sz w:val="21"/>
                <w:szCs w:val="21"/>
                <w:highlight w:val="none"/>
                <w:lang w:eastAsia="zh-CN"/>
              </w:rPr>
              <w:t>NO</w:t>
            </w:r>
            <w:r>
              <w:rPr>
                <w:rFonts w:hint="default" w:ascii="Times New Roman" w:hAnsi="Times New Roman" w:eastAsia="宋体" w:cs="Times New Roman"/>
                <w:b w:val="0"/>
                <w:bCs w:val="0"/>
                <w:color w:val="auto"/>
                <w:kern w:val="0"/>
                <w:sz w:val="21"/>
                <w:szCs w:val="21"/>
                <w:highlight w:val="none"/>
                <w:vertAlign w:val="subscript"/>
                <w:lang w:val="en-US" w:eastAsia="zh-CN"/>
              </w:rPr>
              <w:t>x</w:t>
            </w:r>
          </w:p>
        </w:tc>
        <w:tc>
          <w:tcPr>
            <w:tcW w:w="399" w:type="pct"/>
            <w:tcBorders>
              <w:tl2br w:val="nil"/>
              <w:tr2bl w:val="nil"/>
            </w:tcBorders>
            <w:noWrap w:val="0"/>
            <w:vAlign w:val="center"/>
          </w:tcPr>
          <w:p w14:paraId="72F8B63D">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3.94</w:t>
            </w:r>
          </w:p>
        </w:tc>
      </w:tr>
      <w:tr w14:paraId="3DFC7F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1" w:type="pct"/>
            <w:vMerge w:val="continue"/>
            <w:tcBorders>
              <w:tl2br w:val="nil"/>
              <w:tr2bl w:val="nil"/>
            </w:tcBorders>
            <w:noWrap w:val="0"/>
            <w:vAlign w:val="center"/>
          </w:tcPr>
          <w:p w14:paraId="401BC0B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476" w:type="pct"/>
            <w:vMerge w:val="continue"/>
            <w:tcBorders>
              <w:tl2br w:val="nil"/>
              <w:tr2bl w:val="nil"/>
            </w:tcBorders>
            <w:noWrap w:val="0"/>
            <w:vAlign w:val="center"/>
          </w:tcPr>
          <w:p w14:paraId="4ADB93B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37" w:type="pct"/>
            <w:vMerge w:val="continue"/>
            <w:tcBorders>
              <w:tl2br w:val="nil"/>
              <w:tr2bl w:val="nil"/>
            </w:tcBorders>
            <w:noWrap w:val="0"/>
            <w:vAlign w:val="center"/>
          </w:tcPr>
          <w:p w14:paraId="0E1EE03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269" w:type="pct"/>
            <w:vMerge w:val="continue"/>
            <w:tcBorders>
              <w:tl2br w:val="nil"/>
              <w:tr2bl w:val="nil"/>
            </w:tcBorders>
            <w:noWrap w:val="0"/>
            <w:vAlign w:val="center"/>
          </w:tcPr>
          <w:p w14:paraId="78BF62D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293" w:type="pct"/>
            <w:vMerge w:val="continue"/>
            <w:tcBorders>
              <w:tl2br w:val="nil"/>
              <w:tr2bl w:val="nil"/>
            </w:tcBorders>
            <w:noWrap w:val="0"/>
            <w:vAlign w:val="center"/>
          </w:tcPr>
          <w:p w14:paraId="43FD38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32" w:type="pct"/>
            <w:vMerge w:val="continue"/>
            <w:tcBorders>
              <w:tl2br w:val="nil"/>
              <w:tr2bl w:val="nil"/>
            </w:tcBorders>
            <w:noWrap w:val="0"/>
            <w:vAlign w:val="center"/>
          </w:tcPr>
          <w:p w14:paraId="1D201B5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288" w:type="pct"/>
            <w:vMerge w:val="continue"/>
            <w:tcBorders>
              <w:tl2br w:val="nil"/>
              <w:tr2bl w:val="nil"/>
            </w:tcBorders>
            <w:noWrap w:val="0"/>
            <w:vAlign w:val="center"/>
          </w:tcPr>
          <w:p w14:paraId="048A6BB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08" w:type="pct"/>
            <w:vMerge w:val="continue"/>
            <w:tcBorders>
              <w:tl2br w:val="nil"/>
              <w:tr2bl w:val="nil"/>
            </w:tcBorders>
            <w:noWrap w:val="0"/>
            <w:vAlign w:val="center"/>
          </w:tcPr>
          <w:p w14:paraId="1F35C0F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70" w:type="pct"/>
            <w:vMerge w:val="continue"/>
            <w:tcBorders>
              <w:tl2br w:val="nil"/>
              <w:tr2bl w:val="nil"/>
            </w:tcBorders>
            <w:noWrap w:val="0"/>
            <w:vAlign w:val="center"/>
          </w:tcPr>
          <w:p w14:paraId="3B28F77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56" w:type="pct"/>
            <w:vMerge w:val="continue"/>
            <w:tcBorders>
              <w:tl2br w:val="nil"/>
              <w:tr2bl w:val="nil"/>
            </w:tcBorders>
            <w:noWrap w:val="0"/>
            <w:vAlign w:val="center"/>
          </w:tcPr>
          <w:p w14:paraId="7468E87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375" w:type="pct"/>
            <w:vMerge w:val="continue"/>
            <w:tcBorders>
              <w:tl2br w:val="nil"/>
              <w:tr2bl w:val="nil"/>
            </w:tcBorders>
            <w:noWrap w:val="0"/>
            <w:vAlign w:val="center"/>
          </w:tcPr>
          <w:p w14:paraId="173BA81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361" w:type="pct"/>
            <w:vMerge w:val="continue"/>
            <w:tcBorders>
              <w:tl2br w:val="nil"/>
              <w:tr2bl w:val="nil"/>
            </w:tcBorders>
            <w:noWrap w:val="0"/>
            <w:vAlign w:val="center"/>
          </w:tcPr>
          <w:p w14:paraId="168902A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611" w:type="pct"/>
            <w:tcBorders>
              <w:tl2br w:val="nil"/>
              <w:tr2bl w:val="nil"/>
            </w:tcBorders>
            <w:noWrap w:val="0"/>
            <w:vAlign w:val="center"/>
          </w:tcPr>
          <w:p w14:paraId="53D52AF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eastAsia="zh-CN"/>
              </w:rPr>
              <w:t>汞</w:t>
            </w:r>
            <w:r>
              <w:rPr>
                <w:rFonts w:hint="default" w:ascii="Times New Roman" w:hAnsi="Times New Roman" w:eastAsia="宋体" w:cs="Times New Roman"/>
                <w:b w:val="0"/>
                <w:bCs w:val="0"/>
                <w:color w:val="auto"/>
                <w:kern w:val="0"/>
                <w:sz w:val="21"/>
                <w:szCs w:val="21"/>
                <w:highlight w:val="none"/>
                <w:lang w:val="en-US" w:eastAsia="zh-CN"/>
              </w:rPr>
              <w:t>及其化合物</w:t>
            </w:r>
          </w:p>
        </w:tc>
        <w:tc>
          <w:tcPr>
            <w:tcW w:w="399" w:type="pct"/>
            <w:tcBorders>
              <w:tl2br w:val="nil"/>
              <w:tr2bl w:val="nil"/>
            </w:tcBorders>
            <w:noWrap w:val="0"/>
            <w:vAlign w:val="center"/>
          </w:tcPr>
          <w:p w14:paraId="613F89BA">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0.0006</w:t>
            </w:r>
          </w:p>
        </w:tc>
      </w:tr>
      <w:tr w14:paraId="52EE9B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1" w:type="pct"/>
            <w:vMerge w:val="continue"/>
            <w:tcBorders>
              <w:tl2br w:val="nil"/>
              <w:tr2bl w:val="nil"/>
            </w:tcBorders>
            <w:noWrap w:val="0"/>
            <w:vAlign w:val="center"/>
          </w:tcPr>
          <w:p w14:paraId="0FE7A9D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476" w:type="pct"/>
            <w:vMerge w:val="continue"/>
            <w:tcBorders>
              <w:tl2br w:val="nil"/>
              <w:tr2bl w:val="nil"/>
            </w:tcBorders>
            <w:noWrap w:val="0"/>
            <w:vAlign w:val="center"/>
          </w:tcPr>
          <w:p w14:paraId="1C643A0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37" w:type="pct"/>
            <w:vMerge w:val="continue"/>
            <w:tcBorders>
              <w:tl2br w:val="nil"/>
              <w:tr2bl w:val="nil"/>
            </w:tcBorders>
            <w:noWrap w:val="0"/>
            <w:vAlign w:val="center"/>
          </w:tcPr>
          <w:p w14:paraId="2F575C0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269" w:type="pct"/>
            <w:vMerge w:val="continue"/>
            <w:tcBorders>
              <w:tl2br w:val="nil"/>
              <w:tr2bl w:val="nil"/>
            </w:tcBorders>
            <w:noWrap w:val="0"/>
            <w:vAlign w:val="center"/>
          </w:tcPr>
          <w:p w14:paraId="3769C1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293" w:type="pct"/>
            <w:vMerge w:val="continue"/>
            <w:tcBorders>
              <w:tl2br w:val="nil"/>
              <w:tr2bl w:val="nil"/>
            </w:tcBorders>
            <w:noWrap w:val="0"/>
            <w:vAlign w:val="center"/>
          </w:tcPr>
          <w:p w14:paraId="6C309CC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32" w:type="pct"/>
            <w:vMerge w:val="continue"/>
            <w:tcBorders>
              <w:tl2br w:val="nil"/>
              <w:tr2bl w:val="nil"/>
            </w:tcBorders>
            <w:noWrap w:val="0"/>
            <w:vAlign w:val="center"/>
          </w:tcPr>
          <w:p w14:paraId="0A76975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288" w:type="pct"/>
            <w:vMerge w:val="continue"/>
            <w:tcBorders>
              <w:tl2br w:val="nil"/>
              <w:tr2bl w:val="nil"/>
            </w:tcBorders>
            <w:noWrap w:val="0"/>
            <w:vAlign w:val="center"/>
          </w:tcPr>
          <w:p w14:paraId="6BDAD6F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08" w:type="pct"/>
            <w:vMerge w:val="continue"/>
            <w:tcBorders>
              <w:tl2br w:val="nil"/>
              <w:tr2bl w:val="nil"/>
            </w:tcBorders>
            <w:noWrap w:val="0"/>
            <w:vAlign w:val="center"/>
          </w:tcPr>
          <w:p w14:paraId="50EAB43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70" w:type="pct"/>
            <w:vMerge w:val="continue"/>
            <w:tcBorders>
              <w:tl2br w:val="nil"/>
              <w:tr2bl w:val="nil"/>
            </w:tcBorders>
            <w:noWrap w:val="0"/>
            <w:vAlign w:val="center"/>
          </w:tcPr>
          <w:p w14:paraId="62DA19E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356" w:type="pct"/>
            <w:vMerge w:val="continue"/>
            <w:tcBorders>
              <w:tl2br w:val="nil"/>
              <w:tr2bl w:val="nil"/>
            </w:tcBorders>
            <w:noWrap w:val="0"/>
            <w:vAlign w:val="center"/>
          </w:tcPr>
          <w:p w14:paraId="13D1528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375" w:type="pct"/>
            <w:vMerge w:val="continue"/>
            <w:tcBorders>
              <w:tl2br w:val="nil"/>
              <w:tr2bl w:val="nil"/>
            </w:tcBorders>
            <w:noWrap w:val="0"/>
            <w:vAlign w:val="center"/>
          </w:tcPr>
          <w:p w14:paraId="559F5A5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361" w:type="pct"/>
            <w:vMerge w:val="continue"/>
            <w:tcBorders>
              <w:tl2br w:val="nil"/>
              <w:tr2bl w:val="nil"/>
            </w:tcBorders>
            <w:noWrap w:val="0"/>
            <w:vAlign w:val="center"/>
          </w:tcPr>
          <w:p w14:paraId="25B7F1C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611" w:type="pct"/>
            <w:tcBorders>
              <w:tl2br w:val="nil"/>
              <w:tr2bl w:val="nil"/>
            </w:tcBorders>
            <w:noWrap w:val="0"/>
            <w:vAlign w:val="center"/>
          </w:tcPr>
          <w:p w14:paraId="44E5783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0"/>
                <w:sz w:val="21"/>
                <w:szCs w:val="21"/>
                <w:highlight w:val="none"/>
                <w:lang w:eastAsia="zh-CN"/>
              </w:rPr>
            </w:pPr>
            <w:r>
              <w:rPr>
                <w:rFonts w:hint="default" w:ascii="Times New Roman" w:hAnsi="Times New Roman" w:eastAsia="宋体" w:cs="Times New Roman"/>
                <w:b w:val="0"/>
                <w:bCs w:val="0"/>
                <w:iCs/>
                <w:snapToGrid w:val="0"/>
                <w:color w:val="auto"/>
                <w:kern w:val="0"/>
                <w:sz w:val="21"/>
                <w:szCs w:val="21"/>
                <w:highlight w:val="none"/>
                <w:lang w:val="en-US" w:eastAsia="zh-CN"/>
              </w:rPr>
              <w:t>NH</w:t>
            </w:r>
            <w:r>
              <w:rPr>
                <w:rFonts w:hint="default" w:ascii="Times New Roman" w:hAnsi="Times New Roman" w:eastAsia="宋体" w:cs="Times New Roman"/>
                <w:b w:val="0"/>
                <w:bCs w:val="0"/>
                <w:iCs/>
                <w:snapToGrid w:val="0"/>
                <w:color w:val="auto"/>
                <w:kern w:val="0"/>
                <w:sz w:val="21"/>
                <w:szCs w:val="21"/>
                <w:highlight w:val="none"/>
                <w:vertAlign w:val="subscript"/>
                <w:lang w:val="en-US" w:eastAsia="zh-CN"/>
              </w:rPr>
              <w:t>3</w:t>
            </w:r>
          </w:p>
        </w:tc>
        <w:tc>
          <w:tcPr>
            <w:tcW w:w="399" w:type="pct"/>
            <w:tcBorders>
              <w:tl2br w:val="nil"/>
              <w:tr2bl w:val="nil"/>
            </w:tcBorders>
            <w:noWrap w:val="0"/>
            <w:vAlign w:val="center"/>
          </w:tcPr>
          <w:p w14:paraId="013963C5">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0.75</w:t>
            </w:r>
          </w:p>
        </w:tc>
      </w:tr>
      <w:tr w14:paraId="39AC62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1" w:type="pct"/>
            <w:tcBorders>
              <w:tl2br w:val="nil"/>
              <w:tr2bl w:val="nil"/>
            </w:tcBorders>
            <w:noWrap w:val="0"/>
            <w:vAlign w:val="center"/>
          </w:tcPr>
          <w:p w14:paraId="4831EB7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w:t>
            </w:r>
          </w:p>
        </w:tc>
        <w:tc>
          <w:tcPr>
            <w:tcW w:w="476" w:type="pct"/>
            <w:tcBorders>
              <w:tl2br w:val="nil"/>
              <w:tr2bl w:val="nil"/>
            </w:tcBorders>
            <w:noWrap w:val="0"/>
            <w:vAlign w:val="center"/>
          </w:tcPr>
          <w:p w14:paraId="2F0C9B9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灰库</w:t>
            </w:r>
          </w:p>
        </w:tc>
        <w:tc>
          <w:tcPr>
            <w:tcW w:w="337" w:type="pct"/>
            <w:tcBorders>
              <w:tl2br w:val="nil"/>
              <w:tr2bl w:val="nil"/>
            </w:tcBorders>
            <w:noWrap w:val="0"/>
            <w:vAlign w:val="center"/>
          </w:tcPr>
          <w:p w14:paraId="1E4AB15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排气筒</w:t>
            </w:r>
          </w:p>
        </w:tc>
        <w:tc>
          <w:tcPr>
            <w:tcW w:w="269" w:type="pct"/>
            <w:tcBorders>
              <w:tl2br w:val="nil"/>
              <w:tr2bl w:val="nil"/>
            </w:tcBorders>
            <w:shd w:val="clear" w:color="auto" w:fill="auto"/>
            <w:noWrap w:val="0"/>
            <w:vAlign w:val="center"/>
          </w:tcPr>
          <w:p w14:paraId="4E8AC930">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167</w:t>
            </w:r>
          </w:p>
        </w:tc>
        <w:tc>
          <w:tcPr>
            <w:tcW w:w="293" w:type="pct"/>
            <w:tcBorders>
              <w:tl2br w:val="nil"/>
              <w:tr2bl w:val="nil"/>
            </w:tcBorders>
            <w:shd w:val="clear" w:color="auto" w:fill="auto"/>
            <w:noWrap w:val="0"/>
            <w:vAlign w:val="center"/>
          </w:tcPr>
          <w:p w14:paraId="24436215">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485</w:t>
            </w:r>
          </w:p>
        </w:tc>
        <w:tc>
          <w:tcPr>
            <w:tcW w:w="332" w:type="pct"/>
            <w:tcBorders>
              <w:tl2br w:val="nil"/>
              <w:tr2bl w:val="nil"/>
            </w:tcBorders>
            <w:noWrap w:val="0"/>
            <w:vAlign w:val="center"/>
          </w:tcPr>
          <w:p w14:paraId="485D66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76</w:t>
            </w:r>
          </w:p>
        </w:tc>
        <w:tc>
          <w:tcPr>
            <w:tcW w:w="288" w:type="pct"/>
            <w:tcBorders>
              <w:tl2br w:val="nil"/>
              <w:tr2bl w:val="nil"/>
            </w:tcBorders>
            <w:noWrap w:val="0"/>
            <w:vAlign w:val="center"/>
          </w:tcPr>
          <w:p w14:paraId="5CDF79C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10</w:t>
            </w:r>
          </w:p>
        </w:tc>
        <w:tc>
          <w:tcPr>
            <w:tcW w:w="308" w:type="pct"/>
            <w:tcBorders>
              <w:tl2br w:val="nil"/>
              <w:tr2bl w:val="nil"/>
            </w:tcBorders>
            <w:noWrap w:val="0"/>
            <w:vAlign w:val="center"/>
          </w:tcPr>
          <w:p w14:paraId="6EEC4EB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0.4</w:t>
            </w:r>
          </w:p>
        </w:tc>
        <w:tc>
          <w:tcPr>
            <w:tcW w:w="370" w:type="pct"/>
            <w:tcBorders>
              <w:tl2br w:val="nil"/>
              <w:tr2bl w:val="nil"/>
            </w:tcBorders>
            <w:noWrap w:val="0"/>
            <w:vAlign w:val="center"/>
          </w:tcPr>
          <w:p w14:paraId="6509D20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2000</w:t>
            </w:r>
          </w:p>
        </w:tc>
        <w:tc>
          <w:tcPr>
            <w:tcW w:w="356" w:type="pct"/>
            <w:tcBorders>
              <w:tl2br w:val="nil"/>
              <w:tr2bl w:val="nil"/>
            </w:tcBorders>
            <w:noWrap w:val="0"/>
            <w:vAlign w:val="center"/>
          </w:tcPr>
          <w:p w14:paraId="661C4AA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20</w:t>
            </w:r>
          </w:p>
        </w:tc>
        <w:tc>
          <w:tcPr>
            <w:tcW w:w="375" w:type="pct"/>
            <w:tcBorders>
              <w:tl2br w:val="nil"/>
              <w:tr2bl w:val="nil"/>
            </w:tcBorders>
            <w:noWrap w:val="0"/>
            <w:vAlign w:val="center"/>
          </w:tcPr>
          <w:p w14:paraId="5F42FEF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8760</w:t>
            </w:r>
          </w:p>
        </w:tc>
        <w:tc>
          <w:tcPr>
            <w:tcW w:w="361" w:type="pct"/>
            <w:tcBorders>
              <w:tl2br w:val="nil"/>
              <w:tr2bl w:val="nil"/>
            </w:tcBorders>
            <w:noWrap w:val="0"/>
            <w:vAlign w:val="center"/>
          </w:tcPr>
          <w:p w14:paraId="46BCDAF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正常</w:t>
            </w:r>
            <w:r>
              <w:rPr>
                <w:rFonts w:hint="default" w:ascii="Times New Roman" w:hAnsi="Times New Roman" w:eastAsia="宋体" w:cs="Times New Roman"/>
                <w:color w:val="auto"/>
                <w:kern w:val="0"/>
                <w:sz w:val="21"/>
                <w:szCs w:val="21"/>
                <w:highlight w:val="none"/>
                <w:lang w:val="en-US" w:eastAsia="zh-CN"/>
              </w:rPr>
              <w:t>排放</w:t>
            </w:r>
          </w:p>
        </w:tc>
        <w:tc>
          <w:tcPr>
            <w:tcW w:w="611" w:type="pct"/>
            <w:tcBorders>
              <w:tl2br w:val="nil"/>
              <w:tr2bl w:val="nil"/>
            </w:tcBorders>
            <w:noWrap w:val="0"/>
            <w:vAlign w:val="center"/>
          </w:tcPr>
          <w:p w14:paraId="7B7AE84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Cs/>
                <w:snapToGrid w:val="0"/>
                <w:color w:val="auto"/>
                <w:kern w:val="0"/>
                <w:sz w:val="21"/>
                <w:szCs w:val="21"/>
                <w:highlight w:val="none"/>
                <w:lang w:val="en-US" w:eastAsia="zh-CN"/>
              </w:rPr>
            </w:pPr>
            <w:r>
              <w:rPr>
                <w:rFonts w:hint="default" w:ascii="Times New Roman" w:hAnsi="Times New Roman" w:eastAsia="宋体" w:cs="Times New Roman"/>
                <w:b w:val="0"/>
                <w:bCs w:val="0"/>
                <w:iCs/>
                <w:color w:val="auto"/>
                <w:kern w:val="0"/>
                <w:sz w:val="21"/>
                <w:szCs w:val="21"/>
                <w:highlight w:val="none"/>
                <w:lang w:val="en-US" w:eastAsia="zh-CN"/>
              </w:rPr>
              <w:t>PM</w:t>
            </w:r>
            <w:r>
              <w:rPr>
                <w:rFonts w:hint="default" w:ascii="Times New Roman" w:hAnsi="Times New Roman" w:eastAsia="宋体" w:cs="Times New Roman"/>
                <w:b w:val="0"/>
                <w:bCs w:val="0"/>
                <w:iCs/>
                <w:color w:val="auto"/>
                <w:kern w:val="0"/>
                <w:sz w:val="21"/>
                <w:szCs w:val="21"/>
                <w:highlight w:val="none"/>
                <w:vertAlign w:val="subscript"/>
                <w:lang w:val="en-US" w:eastAsia="zh-CN"/>
              </w:rPr>
              <w:t>10</w:t>
            </w:r>
          </w:p>
        </w:tc>
        <w:tc>
          <w:tcPr>
            <w:tcW w:w="399" w:type="pct"/>
            <w:tcBorders>
              <w:tl2br w:val="nil"/>
              <w:tr2bl w:val="nil"/>
            </w:tcBorders>
            <w:noWrap w:val="0"/>
            <w:vAlign w:val="center"/>
          </w:tcPr>
          <w:p w14:paraId="5533414A">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0.017</w:t>
            </w:r>
          </w:p>
        </w:tc>
      </w:tr>
      <w:tr w14:paraId="0DA3A9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1" w:type="pct"/>
            <w:tcBorders>
              <w:tl2br w:val="nil"/>
              <w:tr2bl w:val="nil"/>
            </w:tcBorders>
            <w:noWrap w:val="0"/>
            <w:vAlign w:val="center"/>
          </w:tcPr>
          <w:p w14:paraId="017E74A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w:t>
            </w:r>
          </w:p>
        </w:tc>
        <w:tc>
          <w:tcPr>
            <w:tcW w:w="476" w:type="pct"/>
            <w:tcBorders>
              <w:tl2br w:val="nil"/>
              <w:tr2bl w:val="nil"/>
            </w:tcBorders>
            <w:noWrap w:val="0"/>
            <w:vAlign w:val="center"/>
          </w:tcPr>
          <w:p w14:paraId="2C2F3A3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生石灰</w:t>
            </w:r>
            <w:r>
              <w:rPr>
                <w:rFonts w:hint="default" w:ascii="Times New Roman" w:hAnsi="Times New Roman" w:eastAsia="宋体" w:cs="Times New Roman"/>
                <w:color w:val="auto"/>
                <w:kern w:val="0"/>
                <w:sz w:val="21"/>
                <w:szCs w:val="21"/>
                <w:highlight w:val="none"/>
                <w:lang w:val="en-US" w:eastAsia="zh-CN"/>
              </w:rPr>
              <w:t>粉仓</w:t>
            </w:r>
          </w:p>
        </w:tc>
        <w:tc>
          <w:tcPr>
            <w:tcW w:w="337" w:type="pct"/>
            <w:tcBorders>
              <w:tl2br w:val="nil"/>
              <w:tr2bl w:val="nil"/>
            </w:tcBorders>
            <w:noWrap w:val="0"/>
            <w:vAlign w:val="center"/>
          </w:tcPr>
          <w:p w14:paraId="5C6F047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排气筒</w:t>
            </w:r>
          </w:p>
        </w:tc>
        <w:tc>
          <w:tcPr>
            <w:tcW w:w="269" w:type="pct"/>
            <w:tcBorders>
              <w:tl2br w:val="nil"/>
              <w:tr2bl w:val="nil"/>
            </w:tcBorders>
            <w:shd w:val="clear" w:color="auto" w:fill="auto"/>
            <w:noWrap w:val="0"/>
            <w:vAlign w:val="center"/>
          </w:tcPr>
          <w:p w14:paraId="0EB021A7">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sz w:val="21"/>
                <w:szCs w:val="21"/>
                <w:highlight w:val="none"/>
                <w:vertAlign w:val="baseline"/>
                <w:lang w:val="en-US" w:eastAsia="zh-CN"/>
              </w:rPr>
              <w:t>78</w:t>
            </w:r>
          </w:p>
        </w:tc>
        <w:tc>
          <w:tcPr>
            <w:tcW w:w="293" w:type="pct"/>
            <w:tcBorders>
              <w:tl2br w:val="nil"/>
              <w:tr2bl w:val="nil"/>
            </w:tcBorders>
            <w:shd w:val="clear" w:color="auto" w:fill="auto"/>
            <w:noWrap w:val="0"/>
            <w:vAlign w:val="center"/>
          </w:tcPr>
          <w:p w14:paraId="4F9B3221">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sz w:val="21"/>
                <w:szCs w:val="21"/>
                <w:highlight w:val="none"/>
                <w:vertAlign w:val="baseline"/>
                <w:lang w:val="en-US" w:eastAsia="zh-CN"/>
              </w:rPr>
              <w:t>137</w:t>
            </w:r>
          </w:p>
        </w:tc>
        <w:tc>
          <w:tcPr>
            <w:tcW w:w="332" w:type="pct"/>
            <w:tcBorders>
              <w:tl2br w:val="nil"/>
              <w:tr2bl w:val="nil"/>
            </w:tcBorders>
            <w:noWrap w:val="0"/>
            <w:vAlign w:val="center"/>
          </w:tcPr>
          <w:p w14:paraId="069ED8E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77</w:t>
            </w:r>
          </w:p>
        </w:tc>
        <w:tc>
          <w:tcPr>
            <w:tcW w:w="288" w:type="pct"/>
            <w:tcBorders>
              <w:tl2br w:val="nil"/>
              <w:tr2bl w:val="nil"/>
            </w:tcBorders>
            <w:noWrap w:val="0"/>
            <w:vAlign w:val="center"/>
          </w:tcPr>
          <w:p w14:paraId="6BCF8A0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10</w:t>
            </w:r>
          </w:p>
        </w:tc>
        <w:tc>
          <w:tcPr>
            <w:tcW w:w="308" w:type="pct"/>
            <w:tcBorders>
              <w:tl2br w:val="nil"/>
              <w:tr2bl w:val="nil"/>
            </w:tcBorders>
            <w:noWrap w:val="0"/>
            <w:vAlign w:val="center"/>
          </w:tcPr>
          <w:p w14:paraId="4B909A8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0.4</w:t>
            </w:r>
          </w:p>
        </w:tc>
        <w:tc>
          <w:tcPr>
            <w:tcW w:w="370" w:type="pct"/>
            <w:tcBorders>
              <w:tl2br w:val="nil"/>
              <w:tr2bl w:val="nil"/>
            </w:tcBorders>
            <w:noWrap w:val="0"/>
            <w:vAlign w:val="center"/>
          </w:tcPr>
          <w:p w14:paraId="572E9A1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2000</w:t>
            </w:r>
          </w:p>
        </w:tc>
        <w:tc>
          <w:tcPr>
            <w:tcW w:w="356" w:type="pct"/>
            <w:tcBorders>
              <w:tl2br w:val="nil"/>
              <w:tr2bl w:val="nil"/>
            </w:tcBorders>
            <w:noWrap w:val="0"/>
            <w:vAlign w:val="center"/>
          </w:tcPr>
          <w:p w14:paraId="3DC87B8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20</w:t>
            </w:r>
          </w:p>
        </w:tc>
        <w:tc>
          <w:tcPr>
            <w:tcW w:w="375" w:type="pct"/>
            <w:tcBorders>
              <w:tl2br w:val="nil"/>
              <w:tr2bl w:val="nil"/>
            </w:tcBorders>
            <w:noWrap w:val="0"/>
            <w:vAlign w:val="center"/>
          </w:tcPr>
          <w:p w14:paraId="260DDFE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1083</w:t>
            </w:r>
          </w:p>
        </w:tc>
        <w:tc>
          <w:tcPr>
            <w:tcW w:w="361" w:type="pct"/>
            <w:tcBorders>
              <w:tl2br w:val="nil"/>
              <w:tr2bl w:val="nil"/>
            </w:tcBorders>
            <w:noWrap w:val="0"/>
            <w:vAlign w:val="center"/>
          </w:tcPr>
          <w:p w14:paraId="35656A5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正常</w:t>
            </w:r>
            <w:r>
              <w:rPr>
                <w:rFonts w:hint="default" w:ascii="Times New Roman" w:hAnsi="Times New Roman" w:eastAsia="宋体" w:cs="Times New Roman"/>
                <w:color w:val="auto"/>
                <w:kern w:val="0"/>
                <w:sz w:val="21"/>
                <w:szCs w:val="21"/>
                <w:highlight w:val="none"/>
                <w:lang w:val="en-US" w:eastAsia="zh-CN"/>
              </w:rPr>
              <w:t>排放</w:t>
            </w:r>
          </w:p>
        </w:tc>
        <w:tc>
          <w:tcPr>
            <w:tcW w:w="611" w:type="pct"/>
            <w:tcBorders>
              <w:tl2br w:val="nil"/>
              <w:tr2bl w:val="nil"/>
            </w:tcBorders>
            <w:noWrap w:val="0"/>
            <w:vAlign w:val="center"/>
          </w:tcPr>
          <w:p w14:paraId="34E4589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Cs/>
                <w:snapToGrid w:val="0"/>
                <w:color w:val="auto"/>
                <w:kern w:val="0"/>
                <w:sz w:val="21"/>
                <w:szCs w:val="21"/>
                <w:highlight w:val="none"/>
                <w:lang w:val="en-US" w:eastAsia="zh-CN"/>
              </w:rPr>
            </w:pPr>
            <w:r>
              <w:rPr>
                <w:rFonts w:hint="default" w:ascii="Times New Roman" w:hAnsi="Times New Roman" w:eastAsia="宋体" w:cs="Times New Roman"/>
                <w:b w:val="0"/>
                <w:bCs w:val="0"/>
                <w:iCs/>
                <w:color w:val="auto"/>
                <w:kern w:val="0"/>
                <w:sz w:val="21"/>
                <w:szCs w:val="21"/>
                <w:highlight w:val="none"/>
                <w:lang w:val="en-US" w:eastAsia="zh-CN"/>
              </w:rPr>
              <w:t>PM</w:t>
            </w:r>
            <w:r>
              <w:rPr>
                <w:rFonts w:hint="default" w:ascii="Times New Roman" w:hAnsi="Times New Roman" w:eastAsia="宋体" w:cs="Times New Roman"/>
                <w:b w:val="0"/>
                <w:bCs w:val="0"/>
                <w:iCs/>
                <w:color w:val="auto"/>
                <w:kern w:val="0"/>
                <w:sz w:val="21"/>
                <w:szCs w:val="21"/>
                <w:highlight w:val="none"/>
                <w:vertAlign w:val="subscript"/>
                <w:lang w:val="en-US" w:eastAsia="zh-CN"/>
              </w:rPr>
              <w:t>10</w:t>
            </w:r>
          </w:p>
        </w:tc>
        <w:tc>
          <w:tcPr>
            <w:tcW w:w="399" w:type="pct"/>
            <w:tcBorders>
              <w:tl2br w:val="nil"/>
              <w:tr2bl w:val="nil"/>
            </w:tcBorders>
            <w:noWrap w:val="0"/>
            <w:vAlign w:val="center"/>
          </w:tcPr>
          <w:p w14:paraId="616F70E7">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bidi="ar-SA"/>
              </w:rPr>
              <w:t>0.002</w:t>
            </w:r>
          </w:p>
        </w:tc>
      </w:tr>
    </w:tbl>
    <w:p w14:paraId="55B9CF3E">
      <w:pPr>
        <w:keepNext w:val="0"/>
        <w:keepLines w:val="0"/>
        <w:pageBreakBefore w:val="0"/>
        <w:widowControl w:val="0"/>
        <w:kinsoku/>
        <w:wordWrap/>
        <w:overflowPunct/>
        <w:topLinePunct w:val="0"/>
        <w:autoSpaceDE w:val="0"/>
        <w:autoSpaceDN w:val="0"/>
        <w:bidi w:val="0"/>
        <w:adjustRightInd w:val="0"/>
        <w:snapToGrid/>
        <w:spacing w:line="240" w:lineRule="auto"/>
        <w:ind w:firstLine="360" w:firstLineChars="200"/>
        <w:jc w:val="both"/>
        <w:textAlignment w:val="auto"/>
        <w:outlineLvl w:val="9"/>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注：本次评价以本项目各项污染物的</w:t>
      </w:r>
      <w:r>
        <w:rPr>
          <w:rFonts w:hint="eastAsia" w:ascii="Times New Roman" w:hAnsi="Times New Roman" w:eastAsia="宋体" w:cs="Times New Roman"/>
          <w:color w:val="auto"/>
          <w:kern w:val="2"/>
          <w:sz w:val="18"/>
          <w:szCs w:val="18"/>
          <w:highlight w:val="none"/>
          <w:lang w:val="en-US" w:eastAsia="zh-CN" w:bidi="ar-SA"/>
        </w:rPr>
        <w:t>预测</w:t>
      </w:r>
      <w:r>
        <w:rPr>
          <w:rFonts w:hint="default" w:ascii="Times New Roman" w:hAnsi="Times New Roman" w:eastAsia="宋体" w:cs="Times New Roman"/>
          <w:color w:val="auto"/>
          <w:kern w:val="2"/>
          <w:sz w:val="18"/>
          <w:szCs w:val="18"/>
          <w:highlight w:val="none"/>
          <w:lang w:val="en-US" w:eastAsia="zh-CN" w:bidi="ar-SA"/>
        </w:rPr>
        <w:t>排放量进行环境空气评价等级的计算，以厂址中心所在位置为环境空气评价的中心经纬度坐标，烟气流量采用湿烟气量，NO</w:t>
      </w:r>
      <w:r>
        <w:rPr>
          <w:rFonts w:hint="default" w:ascii="Times New Roman" w:hAnsi="Times New Roman" w:eastAsia="宋体" w:cs="Times New Roman"/>
          <w:color w:val="auto"/>
          <w:kern w:val="2"/>
          <w:sz w:val="18"/>
          <w:szCs w:val="18"/>
          <w:highlight w:val="none"/>
          <w:vertAlign w:val="subscript"/>
          <w:lang w:val="en-US" w:eastAsia="zh-CN" w:bidi="ar-SA"/>
        </w:rPr>
        <w:t>2</w:t>
      </w:r>
      <w:r>
        <w:rPr>
          <w:rFonts w:hint="default" w:ascii="Times New Roman" w:hAnsi="Times New Roman" w:eastAsia="宋体" w:cs="Times New Roman"/>
          <w:color w:val="auto"/>
          <w:kern w:val="2"/>
          <w:sz w:val="18"/>
          <w:szCs w:val="18"/>
          <w:highlight w:val="none"/>
          <w:lang w:val="en-US" w:eastAsia="zh-CN" w:bidi="ar-SA"/>
        </w:rPr>
        <w:t>=NOx×0.9，细颗粒物PM</w:t>
      </w:r>
      <w:r>
        <w:rPr>
          <w:rFonts w:hint="default" w:ascii="Times New Roman" w:hAnsi="Times New Roman" w:eastAsia="宋体" w:cs="Times New Roman"/>
          <w:color w:val="auto"/>
          <w:kern w:val="2"/>
          <w:sz w:val="18"/>
          <w:szCs w:val="18"/>
          <w:highlight w:val="none"/>
          <w:vertAlign w:val="subscript"/>
          <w:lang w:val="en-US" w:eastAsia="zh-CN" w:bidi="ar-SA"/>
        </w:rPr>
        <w:t>2.5</w:t>
      </w:r>
      <w:r>
        <w:rPr>
          <w:rFonts w:hint="default" w:ascii="Times New Roman" w:hAnsi="Times New Roman" w:eastAsia="宋体" w:cs="Times New Roman"/>
          <w:color w:val="auto"/>
          <w:kern w:val="2"/>
          <w:sz w:val="18"/>
          <w:szCs w:val="18"/>
          <w:highlight w:val="none"/>
          <w:lang w:val="en-US" w:eastAsia="zh-CN" w:bidi="ar-SA"/>
        </w:rPr>
        <w:t>的排放量以烟尘的65%计算。</w:t>
      </w:r>
    </w:p>
    <w:p w14:paraId="6B299E08">
      <w:pPr>
        <w:keepNext w:val="0"/>
        <w:keepLines w:val="0"/>
        <w:pageBreakBefore w:val="0"/>
        <w:widowControl w:val="0"/>
        <w:kinsoku/>
        <w:wordWrap/>
        <w:overflowPunct/>
        <w:topLinePunct w:val="0"/>
        <w:autoSpaceDE w:val="0"/>
        <w:autoSpaceDN w:val="0"/>
        <w:bidi w:val="0"/>
        <w:adjustRightInd w:val="0"/>
        <w:snapToGrid/>
        <w:spacing w:line="240" w:lineRule="auto"/>
        <w:ind w:firstLine="480" w:firstLineChars="200"/>
        <w:jc w:val="center"/>
        <w:textAlignment w:val="auto"/>
        <w:outlineLvl w:val="9"/>
        <w:rPr>
          <w:rFonts w:hint="default" w:ascii="Times New Roman" w:hAnsi="Times New Roman" w:eastAsia="宋体" w:cs="Times New Roman"/>
          <w:color w:val="auto"/>
          <w:kern w:val="2"/>
          <w:sz w:val="24"/>
          <w:szCs w:val="24"/>
          <w:highlight w:val="none"/>
          <w:lang w:val="en-US" w:eastAsia="zh-CN" w:bidi="ar-SA"/>
        </w:rPr>
      </w:pPr>
    </w:p>
    <w:p w14:paraId="4B4B76A4">
      <w:pPr>
        <w:keepNext w:val="0"/>
        <w:keepLines w:val="0"/>
        <w:pageBreakBefore w:val="0"/>
        <w:widowControl w:val="0"/>
        <w:kinsoku/>
        <w:wordWrap/>
        <w:overflowPunct/>
        <w:topLinePunct w:val="0"/>
        <w:autoSpaceDE w:val="0"/>
        <w:autoSpaceDN w:val="0"/>
        <w:bidi w:val="0"/>
        <w:adjustRightInd w:val="0"/>
        <w:snapToGrid/>
        <w:spacing w:line="240" w:lineRule="auto"/>
        <w:ind w:firstLine="480" w:firstLineChars="200"/>
        <w:jc w:val="center"/>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表6.2-</w:t>
      </w:r>
      <w:r>
        <w:rPr>
          <w:rFonts w:hint="eastAsia" w:ascii="Times New Roman" w:hAnsi="Times New Roman" w:eastAsia="宋体" w:cs="Times New Roman"/>
          <w:color w:val="auto"/>
          <w:kern w:val="2"/>
          <w:sz w:val="24"/>
          <w:szCs w:val="24"/>
          <w:highlight w:val="none"/>
          <w:lang w:val="en-US" w:eastAsia="zh-CN" w:bidi="ar-SA"/>
        </w:rPr>
        <w:t>7</w:t>
      </w:r>
      <w:r>
        <w:rPr>
          <w:rFonts w:hint="default" w:ascii="Times New Roman" w:hAnsi="Times New Roman" w:eastAsia="宋体" w:cs="Times New Roman"/>
          <w:color w:val="auto"/>
          <w:kern w:val="2"/>
          <w:sz w:val="24"/>
          <w:szCs w:val="24"/>
          <w:highlight w:val="none"/>
          <w:lang w:val="en-US" w:eastAsia="zh-CN" w:bidi="ar-SA"/>
        </w:rPr>
        <w:t xml:space="preserve">  本项目</w:t>
      </w:r>
      <w:r>
        <w:rPr>
          <w:rFonts w:hint="eastAsia" w:ascii="Times New Roman" w:hAnsi="Times New Roman" w:eastAsia="宋体" w:cs="Times New Roman"/>
          <w:color w:val="auto"/>
          <w:kern w:val="2"/>
          <w:sz w:val="24"/>
          <w:szCs w:val="24"/>
          <w:highlight w:val="none"/>
          <w:lang w:val="en-US" w:eastAsia="zh-CN" w:bidi="ar-SA"/>
        </w:rPr>
        <w:t>建成后</w:t>
      </w:r>
      <w:r>
        <w:rPr>
          <w:rFonts w:hint="default" w:ascii="Times New Roman" w:hAnsi="Times New Roman" w:eastAsia="宋体" w:cs="Times New Roman"/>
          <w:color w:val="auto"/>
          <w:kern w:val="2"/>
          <w:sz w:val="24"/>
          <w:szCs w:val="24"/>
          <w:highlight w:val="none"/>
          <w:lang w:val="en-US" w:eastAsia="zh-CN" w:bidi="ar-SA"/>
        </w:rPr>
        <w:t>主要污染物参数表（面源）</w:t>
      </w:r>
    </w:p>
    <w:tbl>
      <w:tblPr>
        <w:tblStyle w:val="3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77"/>
        <w:gridCol w:w="1523"/>
        <w:gridCol w:w="866"/>
        <w:gridCol w:w="997"/>
        <w:gridCol w:w="924"/>
        <w:gridCol w:w="1040"/>
        <w:gridCol w:w="1032"/>
        <w:gridCol w:w="918"/>
        <w:gridCol w:w="773"/>
        <w:gridCol w:w="1860"/>
        <w:gridCol w:w="1209"/>
        <w:gridCol w:w="1557"/>
      </w:tblGrid>
      <w:tr w14:paraId="179065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1" w:type="pct"/>
            <w:vMerge w:val="restart"/>
            <w:tcBorders>
              <w:tl2br w:val="nil"/>
              <w:tr2bl w:val="nil"/>
            </w:tcBorders>
            <w:noWrap w:val="0"/>
            <w:vAlign w:val="center"/>
          </w:tcPr>
          <w:p w14:paraId="0B0FAD7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编号</w:t>
            </w:r>
          </w:p>
        </w:tc>
        <w:tc>
          <w:tcPr>
            <w:tcW w:w="577" w:type="pct"/>
            <w:vMerge w:val="restart"/>
            <w:tcBorders>
              <w:tl2br w:val="nil"/>
              <w:tr2bl w:val="nil"/>
            </w:tcBorders>
            <w:noWrap w:val="0"/>
            <w:vAlign w:val="center"/>
          </w:tcPr>
          <w:p w14:paraId="7229560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名称</w:t>
            </w:r>
          </w:p>
        </w:tc>
        <w:tc>
          <w:tcPr>
            <w:tcW w:w="706" w:type="pct"/>
            <w:gridSpan w:val="2"/>
            <w:tcBorders>
              <w:tl2br w:val="nil"/>
              <w:tr2bl w:val="nil"/>
            </w:tcBorders>
            <w:noWrap w:val="0"/>
            <w:vAlign w:val="center"/>
          </w:tcPr>
          <w:p w14:paraId="349A71C4">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起点坐标/m</w:t>
            </w:r>
          </w:p>
        </w:tc>
        <w:tc>
          <w:tcPr>
            <w:tcW w:w="350" w:type="pct"/>
            <w:vMerge w:val="restart"/>
            <w:tcBorders>
              <w:tl2br w:val="nil"/>
              <w:tr2bl w:val="nil"/>
            </w:tcBorders>
            <w:noWrap w:val="0"/>
            <w:vAlign w:val="center"/>
          </w:tcPr>
          <w:p w14:paraId="52DFC246">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海拔高度/m</w:t>
            </w:r>
          </w:p>
        </w:tc>
        <w:tc>
          <w:tcPr>
            <w:tcW w:w="394" w:type="pct"/>
            <w:vMerge w:val="restart"/>
            <w:tcBorders>
              <w:tl2br w:val="nil"/>
              <w:tr2bl w:val="nil"/>
            </w:tcBorders>
            <w:noWrap w:val="0"/>
            <w:vAlign w:val="center"/>
          </w:tcPr>
          <w:p w14:paraId="62C51D74">
            <w:pPr>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面源</w:t>
            </w:r>
          </w:p>
          <w:p w14:paraId="29B475A0">
            <w:pPr>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lang w:val="en-US" w:eastAsia="zh-CN"/>
              </w:rPr>
              <w:t>长度</w:t>
            </w:r>
            <w:r>
              <w:rPr>
                <w:rFonts w:hint="default" w:ascii="Times New Roman" w:hAnsi="Times New Roman" w:eastAsia="宋体" w:cs="Times New Roman"/>
                <w:color w:val="auto"/>
                <w:kern w:val="0"/>
                <w:sz w:val="21"/>
                <w:szCs w:val="21"/>
                <w:highlight w:val="none"/>
              </w:rPr>
              <w:t>/m</w:t>
            </w:r>
          </w:p>
        </w:tc>
        <w:tc>
          <w:tcPr>
            <w:tcW w:w="391" w:type="pct"/>
            <w:vMerge w:val="restart"/>
            <w:tcBorders>
              <w:tl2br w:val="nil"/>
              <w:tr2bl w:val="nil"/>
            </w:tcBorders>
            <w:noWrap w:val="0"/>
            <w:vAlign w:val="center"/>
          </w:tcPr>
          <w:p w14:paraId="5E1E984F">
            <w:pPr>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面源</w:t>
            </w:r>
          </w:p>
          <w:p w14:paraId="59105C1E">
            <w:pPr>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lang w:val="en-US" w:eastAsia="zh-CN"/>
              </w:rPr>
              <w:t>宽度</w:t>
            </w:r>
            <w:r>
              <w:rPr>
                <w:rFonts w:hint="default" w:ascii="Times New Roman" w:hAnsi="Times New Roman" w:eastAsia="宋体" w:cs="Times New Roman"/>
                <w:color w:val="auto"/>
                <w:kern w:val="0"/>
                <w:sz w:val="21"/>
                <w:szCs w:val="21"/>
                <w:highlight w:val="none"/>
              </w:rPr>
              <w:t>/m</w:t>
            </w:r>
          </w:p>
        </w:tc>
        <w:tc>
          <w:tcPr>
            <w:tcW w:w="348" w:type="pct"/>
            <w:vMerge w:val="restart"/>
            <w:tcBorders>
              <w:tl2br w:val="nil"/>
              <w:tr2bl w:val="nil"/>
            </w:tcBorders>
            <w:noWrap w:val="0"/>
            <w:vAlign w:val="center"/>
          </w:tcPr>
          <w:p w14:paraId="4B7A9321">
            <w:pPr>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面源</w:t>
            </w:r>
          </w:p>
          <w:p w14:paraId="6D402F12">
            <w:pPr>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高度</w:t>
            </w:r>
            <w:r>
              <w:rPr>
                <w:rFonts w:hint="default" w:ascii="Times New Roman" w:hAnsi="Times New Roman" w:eastAsia="宋体" w:cs="Times New Roman"/>
                <w:color w:val="auto"/>
                <w:kern w:val="0"/>
                <w:sz w:val="21"/>
                <w:szCs w:val="21"/>
                <w:highlight w:val="none"/>
              </w:rPr>
              <w:t>/m</w:t>
            </w:r>
          </w:p>
        </w:tc>
        <w:tc>
          <w:tcPr>
            <w:tcW w:w="293" w:type="pct"/>
            <w:vMerge w:val="restart"/>
            <w:tcBorders>
              <w:tl2br w:val="nil"/>
              <w:tr2bl w:val="nil"/>
            </w:tcBorders>
            <w:noWrap w:val="0"/>
            <w:vAlign w:val="center"/>
          </w:tcPr>
          <w:p w14:paraId="061DB85F">
            <w:pPr>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角度</w:t>
            </w:r>
          </w:p>
        </w:tc>
        <w:tc>
          <w:tcPr>
            <w:tcW w:w="705" w:type="pct"/>
            <w:vMerge w:val="restart"/>
            <w:tcBorders>
              <w:tl2br w:val="nil"/>
              <w:tr2bl w:val="nil"/>
            </w:tcBorders>
            <w:noWrap w:val="0"/>
            <w:vAlign w:val="center"/>
          </w:tcPr>
          <w:p w14:paraId="1F0C547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年排放小时数/h</w:t>
            </w:r>
          </w:p>
        </w:tc>
        <w:tc>
          <w:tcPr>
            <w:tcW w:w="458" w:type="pct"/>
            <w:vMerge w:val="restart"/>
            <w:tcBorders>
              <w:tl2br w:val="nil"/>
              <w:tr2bl w:val="nil"/>
            </w:tcBorders>
            <w:noWrap w:val="0"/>
            <w:vAlign w:val="center"/>
          </w:tcPr>
          <w:p w14:paraId="21D7BB3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排放工况</w:t>
            </w:r>
          </w:p>
        </w:tc>
        <w:tc>
          <w:tcPr>
            <w:tcW w:w="590" w:type="pct"/>
            <w:vMerge w:val="restart"/>
            <w:tcBorders>
              <w:tl2br w:val="nil"/>
              <w:tr2bl w:val="nil"/>
            </w:tcBorders>
            <w:noWrap w:val="0"/>
            <w:vAlign w:val="center"/>
          </w:tcPr>
          <w:p w14:paraId="27DF024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TSP排放速率（</w:t>
            </w:r>
            <w:r>
              <w:rPr>
                <w:rFonts w:hint="eastAsia" w:ascii="Times New Roman" w:hAnsi="Times New Roman" w:eastAsia="宋体" w:cs="Times New Roman"/>
                <w:color w:val="auto"/>
                <w:kern w:val="2"/>
                <w:sz w:val="21"/>
                <w:szCs w:val="21"/>
                <w:highlight w:val="none"/>
                <w:vertAlign w:val="baseline"/>
                <w:lang w:val="en-US" w:eastAsia="zh-CN" w:bidi="ar-SA"/>
              </w:rPr>
              <w:t>kg/h</w:t>
            </w:r>
            <w:r>
              <w:rPr>
                <w:rFonts w:hint="default" w:ascii="Times New Roman" w:hAnsi="Times New Roman" w:eastAsia="宋体" w:cs="Times New Roman"/>
                <w:color w:val="auto"/>
                <w:kern w:val="2"/>
                <w:sz w:val="21"/>
                <w:szCs w:val="21"/>
                <w:highlight w:val="none"/>
                <w:vertAlign w:val="baseline"/>
                <w:lang w:val="en-US" w:eastAsia="zh-CN" w:bidi="ar-SA"/>
              </w:rPr>
              <w:t>）</w:t>
            </w:r>
          </w:p>
        </w:tc>
      </w:tr>
      <w:tr w14:paraId="3F887F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1" w:type="pct"/>
            <w:vMerge w:val="continue"/>
            <w:tcBorders>
              <w:tl2br w:val="nil"/>
              <w:tr2bl w:val="nil"/>
            </w:tcBorders>
            <w:noWrap w:val="0"/>
            <w:vAlign w:val="center"/>
          </w:tcPr>
          <w:p w14:paraId="421438B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p>
        </w:tc>
        <w:tc>
          <w:tcPr>
            <w:tcW w:w="577" w:type="pct"/>
            <w:vMerge w:val="continue"/>
            <w:tcBorders>
              <w:tl2br w:val="nil"/>
              <w:tr2bl w:val="nil"/>
            </w:tcBorders>
            <w:noWrap w:val="0"/>
            <w:vAlign w:val="center"/>
          </w:tcPr>
          <w:p w14:paraId="1D729EC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p>
        </w:tc>
        <w:tc>
          <w:tcPr>
            <w:tcW w:w="328" w:type="pct"/>
            <w:tcBorders>
              <w:tl2br w:val="nil"/>
              <w:tr2bl w:val="nil"/>
            </w:tcBorders>
            <w:noWrap w:val="0"/>
            <w:vAlign w:val="center"/>
          </w:tcPr>
          <w:p w14:paraId="35490E3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X</w:t>
            </w:r>
          </w:p>
        </w:tc>
        <w:tc>
          <w:tcPr>
            <w:tcW w:w="378" w:type="pct"/>
            <w:tcBorders>
              <w:tl2br w:val="nil"/>
              <w:tr2bl w:val="nil"/>
            </w:tcBorders>
            <w:noWrap w:val="0"/>
            <w:vAlign w:val="center"/>
          </w:tcPr>
          <w:p w14:paraId="0CA8A3A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Y</w:t>
            </w:r>
          </w:p>
        </w:tc>
        <w:tc>
          <w:tcPr>
            <w:tcW w:w="350" w:type="pct"/>
            <w:vMerge w:val="continue"/>
            <w:tcBorders>
              <w:tl2br w:val="nil"/>
              <w:tr2bl w:val="nil"/>
            </w:tcBorders>
            <w:noWrap w:val="0"/>
            <w:vAlign w:val="center"/>
          </w:tcPr>
          <w:p w14:paraId="78D1FC8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p>
        </w:tc>
        <w:tc>
          <w:tcPr>
            <w:tcW w:w="394" w:type="pct"/>
            <w:vMerge w:val="continue"/>
            <w:tcBorders>
              <w:tl2br w:val="nil"/>
              <w:tr2bl w:val="nil"/>
            </w:tcBorders>
            <w:noWrap w:val="0"/>
            <w:vAlign w:val="center"/>
          </w:tcPr>
          <w:p w14:paraId="405E790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p>
        </w:tc>
        <w:tc>
          <w:tcPr>
            <w:tcW w:w="391" w:type="pct"/>
            <w:vMerge w:val="continue"/>
            <w:tcBorders>
              <w:tl2br w:val="nil"/>
              <w:tr2bl w:val="nil"/>
            </w:tcBorders>
            <w:noWrap w:val="0"/>
            <w:vAlign w:val="center"/>
          </w:tcPr>
          <w:p w14:paraId="4F3545D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p>
        </w:tc>
        <w:tc>
          <w:tcPr>
            <w:tcW w:w="348" w:type="pct"/>
            <w:vMerge w:val="continue"/>
            <w:tcBorders>
              <w:tl2br w:val="nil"/>
              <w:tr2bl w:val="nil"/>
            </w:tcBorders>
            <w:noWrap w:val="0"/>
            <w:vAlign w:val="center"/>
          </w:tcPr>
          <w:p w14:paraId="3DC0845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p>
        </w:tc>
        <w:tc>
          <w:tcPr>
            <w:tcW w:w="293" w:type="pct"/>
            <w:vMerge w:val="continue"/>
            <w:tcBorders>
              <w:tl2br w:val="nil"/>
              <w:tr2bl w:val="nil"/>
            </w:tcBorders>
            <w:noWrap w:val="0"/>
            <w:vAlign w:val="center"/>
          </w:tcPr>
          <w:p w14:paraId="48EFC88C">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p>
        </w:tc>
        <w:tc>
          <w:tcPr>
            <w:tcW w:w="705" w:type="pct"/>
            <w:vMerge w:val="continue"/>
            <w:tcBorders>
              <w:tl2br w:val="nil"/>
              <w:tr2bl w:val="nil"/>
            </w:tcBorders>
            <w:noWrap w:val="0"/>
            <w:vAlign w:val="center"/>
          </w:tcPr>
          <w:p w14:paraId="6A3B992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p>
        </w:tc>
        <w:tc>
          <w:tcPr>
            <w:tcW w:w="458" w:type="pct"/>
            <w:vMerge w:val="continue"/>
            <w:tcBorders>
              <w:tl2br w:val="nil"/>
              <w:tr2bl w:val="nil"/>
            </w:tcBorders>
            <w:noWrap w:val="0"/>
            <w:vAlign w:val="center"/>
          </w:tcPr>
          <w:p w14:paraId="0D1E98AC">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p>
        </w:tc>
        <w:tc>
          <w:tcPr>
            <w:tcW w:w="590" w:type="pct"/>
            <w:vMerge w:val="continue"/>
            <w:tcBorders>
              <w:tl2br w:val="nil"/>
              <w:tr2bl w:val="nil"/>
            </w:tcBorders>
            <w:noWrap w:val="0"/>
            <w:vAlign w:val="center"/>
          </w:tcPr>
          <w:p w14:paraId="7D769AC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p>
        </w:tc>
      </w:tr>
      <w:tr w14:paraId="353919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1" w:type="pct"/>
            <w:tcBorders>
              <w:tl2br w:val="nil"/>
              <w:tr2bl w:val="nil"/>
            </w:tcBorders>
            <w:noWrap w:val="0"/>
            <w:vAlign w:val="center"/>
          </w:tcPr>
          <w:p w14:paraId="0695B42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1</w:t>
            </w:r>
          </w:p>
        </w:tc>
        <w:tc>
          <w:tcPr>
            <w:tcW w:w="577" w:type="pct"/>
            <w:tcBorders>
              <w:tl2br w:val="nil"/>
              <w:tr2bl w:val="nil"/>
            </w:tcBorders>
            <w:noWrap w:val="0"/>
            <w:vAlign w:val="center"/>
          </w:tcPr>
          <w:p w14:paraId="2A9A350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渣仓</w:t>
            </w:r>
          </w:p>
        </w:tc>
        <w:tc>
          <w:tcPr>
            <w:tcW w:w="328" w:type="pct"/>
            <w:tcBorders>
              <w:tl2br w:val="nil"/>
              <w:tr2bl w:val="nil"/>
            </w:tcBorders>
            <w:noWrap w:val="0"/>
            <w:vAlign w:val="center"/>
          </w:tcPr>
          <w:p w14:paraId="1579519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227</w:t>
            </w:r>
          </w:p>
        </w:tc>
        <w:tc>
          <w:tcPr>
            <w:tcW w:w="378" w:type="pct"/>
            <w:tcBorders>
              <w:tl2br w:val="nil"/>
              <w:tr2bl w:val="nil"/>
            </w:tcBorders>
            <w:noWrap w:val="0"/>
            <w:vAlign w:val="center"/>
          </w:tcPr>
          <w:p w14:paraId="19546B0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502</w:t>
            </w:r>
          </w:p>
        </w:tc>
        <w:tc>
          <w:tcPr>
            <w:tcW w:w="350" w:type="pct"/>
            <w:tcBorders>
              <w:tl2br w:val="nil"/>
              <w:tr2bl w:val="nil"/>
            </w:tcBorders>
            <w:noWrap w:val="0"/>
            <w:vAlign w:val="center"/>
          </w:tcPr>
          <w:p w14:paraId="7FFF8A7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77</w:t>
            </w:r>
          </w:p>
        </w:tc>
        <w:tc>
          <w:tcPr>
            <w:tcW w:w="394" w:type="pct"/>
            <w:tcBorders>
              <w:tl2br w:val="nil"/>
              <w:tr2bl w:val="nil"/>
            </w:tcBorders>
            <w:noWrap w:val="0"/>
            <w:vAlign w:val="center"/>
          </w:tcPr>
          <w:p w14:paraId="76CB1A3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20</w:t>
            </w:r>
          </w:p>
        </w:tc>
        <w:tc>
          <w:tcPr>
            <w:tcW w:w="391" w:type="pct"/>
            <w:tcBorders>
              <w:tl2br w:val="nil"/>
              <w:tr2bl w:val="nil"/>
            </w:tcBorders>
            <w:noWrap w:val="0"/>
            <w:vAlign w:val="center"/>
          </w:tcPr>
          <w:p w14:paraId="05F8425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50</w:t>
            </w:r>
          </w:p>
        </w:tc>
        <w:tc>
          <w:tcPr>
            <w:tcW w:w="348" w:type="pct"/>
            <w:tcBorders>
              <w:tl2br w:val="nil"/>
              <w:tr2bl w:val="nil"/>
            </w:tcBorders>
            <w:noWrap w:val="0"/>
            <w:vAlign w:val="center"/>
          </w:tcPr>
          <w:p w14:paraId="2A29E47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8</w:t>
            </w:r>
          </w:p>
        </w:tc>
        <w:tc>
          <w:tcPr>
            <w:tcW w:w="293" w:type="pct"/>
            <w:tcBorders>
              <w:tl2br w:val="nil"/>
              <w:tr2bl w:val="nil"/>
            </w:tcBorders>
            <w:noWrap w:val="0"/>
            <w:vAlign w:val="center"/>
          </w:tcPr>
          <w:p w14:paraId="012960D6">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0</w:t>
            </w:r>
          </w:p>
        </w:tc>
        <w:tc>
          <w:tcPr>
            <w:tcW w:w="705" w:type="pct"/>
            <w:tcBorders>
              <w:tl2br w:val="nil"/>
              <w:tr2bl w:val="nil"/>
            </w:tcBorders>
            <w:noWrap w:val="0"/>
            <w:vAlign w:val="center"/>
          </w:tcPr>
          <w:p w14:paraId="605152C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1083</w:t>
            </w:r>
          </w:p>
        </w:tc>
        <w:tc>
          <w:tcPr>
            <w:tcW w:w="458" w:type="pct"/>
            <w:tcBorders>
              <w:tl2br w:val="nil"/>
              <w:tr2bl w:val="nil"/>
            </w:tcBorders>
            <w:noWrap w:val="0"/>
            <w:vAlign w:val="center"/>
          </w:tcPr>
          <w:p w14:paraId="6B268F64">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正常工况</w:t>
            </w:r>
          </w:p>
        </w:tc>
        <w:tc>
          <w:tcPr>
            <w:tcW w:w="590" w:type="pct"/>
            <w:tcBorders>
              <w:tl2br w:val="nil"/>
              <w:tr2bl w:val="nil"/>
            </w:tcBorders>
            <w:noWrap w:val="0"/>
            <w:vAlign w:val="center"/>
          </w:tcPr>
          <w:p w14:paraId="7702BCC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0.14</w:t>
            </w:r>
          </w:p>
        </w:tc>
      </w:tr>
      <w:tr w14:paraId="6BD332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1" w:type="pct"/>
            <w:tcBorders>
              <w:tl2br w:val="nil"/>
              <w:tr2bl w:val="nil"/>
            </w:tcBorders>
            <w:noWrap w:val="0"/>
            <w:vAlign w:val="center"/>
          </w:tcPr>
          <w:p w14:paraId="2FF07766">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2</w:t>
            </w:r>
          </w:p>
        </w:tc>
        <w:tc>
          <w:tcPr>
            <w:tcW w:w="577" w:type="pct"/>
            <w:tcBorders>
              <w:tl2br w:val="nil"/>
              <w:tr2bl w:val="nil"/>
            </w:tcBorders>
            <w:noWrap w:val="0"/>
            <w:vAlign w:val="center"/>
          </w:tcPr>
          <w:p w14:paraId="03C1E94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碎煤机室</w:t>
            </w:r>
          </w:p>
        </w:tc>
        <w:tc>
          <w:tcPr>
            <w:tcW w:w="328" w:type="pct"/>
            <w:tcBorders>
              <w:tl2br w:val="nil"/>
              <w:tr2bl w:val="nil"/>
            </w:tcBorders>
            <w:noWrap w:val="0"/>
            <w:vAlign w:val="center"/>
          </w:tcPr>
          <w:p w14:paraId="1D6DF0D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23</w:t>
            </w:r>
          </w:p>
        </w:tc>
        <w:tc>
          <w:tcPr>
            <w:tcW w:w="378" w:type="pct"/>
            <w:tcBorders>
              <w:tl2br w:val="nil"/>
              <w:tr2bl w:val="nil"/>
            </w:tcBorders>
            <w:noWrap w:val="0"/>
            <w:vAlign w:val="center"/>
          </w:tcPr>
          <w:p w14:paraId="3D5DF07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39</w:t>
            </w:r>
          </w:p>
        </w:tc>
        <w:tc>
          <w:tcPr>
            <w:tcW w:w="350" w:type="pct"/>
            <w:tcBorders>
              <w:tl2br w:val="nil"/>
              <w:tr2bl w:val="nil"/>
            </w:tcBorders>
            <w:noWrap w:val="0"/>
            <w:vAlign w:val="center"/>
          </w:tcPr>
          <w:p w14:paraId="69FAC2A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80</w:t>
            </w:r>
          </w:p>
        </w:tc>
        <w:tc>
          <w:tcPr>
            <w:tcW w:w="394" w:type="pct"/>
            <w:tcBorders>
              <w:tl2br w:val="nil"/>
              <w:tr2bl w:val="nil"/>
            </w:tcBorders>
            <w:noWrap w:val="0"/>
            <w:vAlign w:val="center"/>
          </w:tcPr>
          <w:p w14:paraId="5C96890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20</w:t>
            </w:r>
          </w:p>
        </w:tc>
        <w:tc>
          <w:tcPr>
            <w:tcW w:w="391" w:type="pct"/>
            <w:tcBorders>
              <w:tl2br w:val="nil"/>
              <w:tr2bl w:val="nil"/>
            </w:tcBorders>
            <w:noWrap w:val="0"/>
            <w:vAlign w:val="center"/>
          </w:tcPr>
          <w:p w14:paraId="6DAE9AC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20</w:t>
            </w:r>
          </w:p>
        </w:tc>
        <w:tc>
          <w:tcPr>
            <w:tcW w:w="348" w:type="pct"/>
            <w:tcBorders>
              <w:tl2br w:val="nil"/>
              <w:tr2bl w:val="nil"/>
            </w:tcBorders>
            <w:noWrap w:val="0"/>
            <w:vAlign w:val="center"/>
          </w:tcPr>
          <w:p w14:paraId="51416B3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5</w:t>
            </w:r>
          </w:p>
        </w:tc>
        <w:tc>
          <w:tcPr>
            <w:tcW w:w="293" w:type="pct"/>
            <w:tcBorders>
              <w:tl2br w:val="nil"/>
              <w:tr2bl w:val="nil"/>
            </w:tcBorders>
            <w:noWrap w:val="0"/>
            <w:vAlign w:val="center"/>
          </w:tcPr>
          <w:p w14:paraId="3634177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0</w:t>
            </w:r>
          </w:p>
        </w:tc>
        <w:tc>
          <w:tcPr>
            <w:tcW w:w="705" w:type="pct"/>
            <w:tcBorders>
              <w:tl2br w:val="nil"/>
              <w:tr2bl w:val="nil"/>
            </w:tcBorders>
            <w:noWrap w:val="0"/>
            <w:vAlign w:val="center"/>
          </w:tcPr>
          <w:p w14:paraId="59BFBBB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1083</w:t>
            </w:r>
          </w:p>
        </w:tc>
        <w:tc>
          <w:tcPr>
            <w:tcW w:w="458" w:type="pct"/>
            <w:tcBorders>
              <w:tl2br w:val="nil"/>
              <w:tr2bl w:val="nil"/>
            </w:tcBorders>
            <w:noWrap w:val="0"/>
            <w:vAlign w:val="center"/>
          </w:tcPr>
          <w:p w14:paraId="190E43F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正常工况</w:t>
            </w:r>
          </w:p>
        </w:tc>
        <w:tc>
          <w:tcPr>
            <w:tcW w:w="590" w:type="pct"/>
            <w:tcBorders>
              <w:tl2br w:val="nil"/>
              <w:tr2bl w:val="nil"/>
            </w:tcBorders>
            <w:noWrap w:val="0"/>
            <w:vAlign w:val="center"/>
          </w:tcPr>
          <w:p w14:paraId="541777F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0.02</w:t>
            </w:r>
          </w:p>
        </w:tc>
      </w:tr>
      <w:tr w14:paraId="5E6729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1" w:type="pct"/>
            <w:tcBorders>
              <w:tl2br w:val="nil"/>
              <w:tr2bl w:val="nil"/>
            </w:tcBorders>
            <w:noWrap w:val="0"/>
            <w:vAlign w:val="center"/>
          </w:tcPr>
          <w:p w14:paraId="1FD061C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3</w:t>
            </w:r>
          </w:p>
        </w:tc>
        <w:tc>
          <w:tcPr>
            <w:tcW w:w="577" w:type="pct"/>
            <w:tcBorders>
              <w:tl2br w:val="nil"/>
              <w:tr2bl w:val="nil"/>
            </w:tcBorders>
            <w:noWrap w:val="0"/>
            <w:vAlign w:val="center"/>
          </w:tcPr>
          <w:p w14:paraId="150F06C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储煤场</w:t>
            </w:r>
          </w:p>
        </w:tc>
        <w:tc>
          <w:tcPr>
            <w:tcW w:w="328" w:type="pct"/>
            <w:tcBorders>
              <w:tl2br w:val="nil"/>
              <w:tr2bl w:val="nil"/>
            </w:tcBorders>
            <w:noWrap w:val="0"/>
            <w:vAlign w:val="center"/>
          </w:tcPr>
          <w:p w14:paraId="04979CB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154</w:t>
            </w:r>
          </w:p>
        </w:tc>
        <w:tc>
          <w:tcPr>
            <w:tcW w:w="378" w:type="pct"/>
            <w:tcBorders>
              <w:tl2br w:val="nil"/>
              <w:tr2bl w:val="nil"/>
            </w:tcBorders>
            <w:noWrap w:val="0"/>
            <w:vAlign w:val="center"/>
          </w:tcPr>
          <w:p w14:paraId="30D0ED6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366</w:t>
            </w:r>
          </w:p>
        </w:tc>
        <w:tc>
          <w:tcPr>
            <w:tcW w:w="350" w:type="pct"/>
            <w:tcBorders>
              <w:tl2br w:val="nil"/>
              <w:tr2bl w:val="nil"/>
            </w:tcBorders>
            <w:noWrap w:val="0"/>
            <w:vAlign w:val="center"/>
          </w:tcPr>
          <w:p w14:paraId="11BAF49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80</w:t>
            </w:r>
          </w:p>
        </w:tc>
        <w:tc>
          <w:tcPr>
            <w:tcW w:w="394" w:type="pct"/>
            <w:tcBorders>
              <w:tl2br w:val="nil"/>
              <w:tr2bl w:val="nil"/>
            </w:tcBorders>
            <w:noWrap w:val="0"/>
            <w:vAlign w:val="center"/>
          </w:tcPr>
          <w:p w14:paraId="772F0C26">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90</w:t>
            </w:r>
          </w:p>
        </w:tc>
        <w:tc>
          <w:tcPr>
            <w:tcW w:w="391" w:type="pct"/>
            <w:tcBorders>
              <w:tl2br w:val="nil"/>
              <w:tr2bl w:val="nil"/>
            </w:tcBorders>
            <w:noWrap w:val="0"/>
            <w:vAlign w:val="center"/>
          </w:tcPr>
          <w:p w14:paraId="098997C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170</w:t>
            </w:r>
          </w:p>
        </w:tc>
        <w:tc>
          <w:tcPr>
            <w:tcW w:w="348" w:type="pct"/>
            <w:tcBorders>
              <w:tl2br w:val="nil"/>
              <w:tr2bl w:val="nil"/>
            </w:tcBorders>
            <w:noWrap w:val="0"/>
            <w:vAlign w:val="center"/>
          </w:tcPr>
          <w:p w14:paraId="571E239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10</w:t>
            </w:r>
          </w:p>
        </w:tc>
        <w:tc>
          <w:tcPr>
            <w:tcW w:w="293" w:type="pct"/>
            <w:tcBorders>
              <w:tl2br w:val="nil"/>
              <w:tr2bl w:val="nil"/>
            </w:tcBorders>
            <w:noWrap w:val="0"/>
            <w:vAlign w:val="center"/>
          </w:tcPr>
          <w:p w14:paraId="5DC6D33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0</w:t>
            </w:r>
          </w:p>
        </w:tc>
        <w:tc>
          <w:tcPr>
            <w:tcW w:w="705" w:type="pct"/>
            <w:tcBorders>
              <w:tl2br w:val="nil"/>
              <w:tr2bl w:val="nil"/>
            </w:tcBorders>
            <w:noWrap w:val="0"/>
            <w:vAlign w:val="center"/>
          </w:tcPr>
          <w:p w14:paraId="27A3C98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1083</w:t>
            </w:r>
          </w:p>
        </w:tc>
        <w:tc>
          <w:tcPr>
            <w:tcW w:w="458" w:type="pct"/>
            <w:tcBorders>
              <w:tl2br w:val="nil"/>
              <w:tr2bl w:val="nil"/>
            </w:tcBorders>
            <w:noWrap w:val="0"/>
            <w:vAlign w:val="center"/>
          </w:tcPr>
          <w:p w14:paraId="1463CDE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正常工况</w:t>
            </w:r>
          </w:p>
        </w:tc>
        <w:tc>
          <w:tcPr>
            <w:tcW w:w="590" w:type="pct"/>
            <w:tcBorders>
              <w:tl2br w:val="nil"/>
              <w:tr2bl w:val="nil"/>
            </w:tcBorders>
            <w:noWrap w:val="0"/>
            <w:vAlign w:val="center"/>
          </w:tcPr>
          <w:p w14:paraId="35EFAA1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0.0013</w:t>
            </w:r>
          </w:p>
        </w:tc>
      </w:tr>
    </w:tbl>
    <w:p w14:paraId="349C5F60">
      <w:pPr>
        <w:keepNext w:val="0"/>
        <w:keepLines w:val="0"/>
        <w:pageBreakBefore w:val="0"/>
        <w:widowControl w:val="0"/>
        <w:kinsoku/>
        <w:wordWrap/>
        <w:overflowPunct/>
        <w:topLinePunct w:val="0"/>
        <w:autoSpaceDE w:val="0"/>
        <w:autoSpaceDN w:val="0"/>
        <w:bidi w:val="0"/>
        <w:adjustRightInd w:val="0"/>
        <w:snapToGrid/>
        <w:spacing w:line="240" w:lineRule="auto"/>
        <w:ind w:left="0" w:leftChars="0" w:firstLine="0" w:firstLineChars="0"/>
        <w:jc w:val="both"/>
        <w:textAlignment w:val="auto"/>
        <w:outlineLvl w:val="9"/>
        <w:rPr>
          <w:rFonts w:hint="default" w:ascii="Times New Roman" w:hAnsi="Times New Roman" w:eastAsia="宋体" w:cs="Times New Roman"/>
          <w:color w:val="auto"/>
          <w:kern w:val="2"/>
          <w:sz w:val="24"/>
          <w:szCs w:val="24"/>
          <w:highlight w:val="none"/>
          <w:lang w:val="en-US" w:eastAsia="zh-CN" w:bidi="ar-SA"/>
        </w:rPr>
      </w:pPr>
    </w:p>
    <w:p w14:paraId="02CCBA89">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color w:val="auto"/>
          <w:kern w:val="0"/>
          <w:sz w:val="24"/>
          <w:szCs w:val="24"/>
          <w:highlight w:val="none"/>
        </w:rPr>
        <w:sectPr>
          <w:pgSz w:w="15840" w:h="12240" w:orient="landscape"/>
          <w:pgMar w:top="1803" w:right="1440" w:bottom="1803" w:left="1440" w:header="1191" w:footer="1191" w:gutter="0"/>
          <w:pgBorders>
            <w:top w:val="none" w:sz="0" w:space="0"/>
            <w:left w:val="none" w:sz="0" w:space="0"/>
            <w:bottom w:val="none" w:sz="0" w:space="0"/>
            <w:right w:val="none" w:sz="0" w:space="0"/>
          </w:pgBorders>
          <w:pgNumType w:fmt="decimal"/>
          <w:cols w:space="720" w:num="1"/>
        </w:sectPr>
      </w:pPr>
    </w:p>
    <w:p w14:paraId="6B819A29">
      <w:pPr>
        <w:keepNext w:val="0"/>
        <w:keepLines w:val="0"/>
        <w:pageBreakBefore w:val="0"/>
        <w:widowControl w:val="0"/>
        <w:kinsoku/>
        <w:wordWrap/>
        <w:overflowPunct/>
        <w:topLinePunct w:val="0"/>
        <w:autoSpaceDE w:val="0"/>
        <w:autoSpaceDN w:val="0"/>
        <w:bidi w:val="0"/>
        <w:adjustRightInd/>
        <w:snapToGrid/>
        <w:spacing w:line="480" w:lineRule="exact"/>
        <w:ind w:firstLine="480" w:firstLineChars="200"/>
        <w:textAlignment w:val="bottom"/>
        <w:rPr>
          <w:rFonts w:hint="default" w:ascii="Times New Roman" w:hAnsi="Times New Roman" w:eastAsia="宋体" w:cs="Times New Roman"/>
          <w:color w:val="FF0000"/>
          <w:kern w:val="0"/>
          <w:sz w:val="24"/>
          <w:szCs w:val="20"/>
          <w:highlight w:val="none"/>
        </w:rPr>
      </w:pPr>
      <w:r>
        <w:rPr>
          <w:rFonts w:hint="default" w:ascii="Times New Roman" w:hAnsi="Times New Roman" w:eastAsia="宋体" w:cs="Times New Roman"/>
          <w:color w:val="FF0000"/>
          <w:kern w:val="0"/>
          <w:sz w:val="24"/>
          <w:szCs w:val="20"/>
          <w:highlight w:val="none"/>
        </w:rPr>
        <w:t>（</w:t>
      </w:r>
      <w:r>
        <w:rPr>
          <w:rFonts w:hint="default" w:ascii="Times New Roman" w:hAnsi="Times New Roman" w:eastAsia="宋体" w:cs="Times New Roman"/>
          <w:color w:val="FF0000"/>
          <w:kern w:val="0"/>
          <w:sz w:val="24"/>
          <w:szCs w:val="20"/>
          <w:highlight w:val="none"/>
          <w:lang w:val="en-US" w:eastAsia="zh-CN"/>
        </w:rPr>
        <w:t>9</w:t>
      </w:r>
      <w:r>
        <w:rPr>
          <w:rFonts w:hint="default" w:ascii="Times New Roman" w:hAnsi="Times New Roman" w:eastAsia="宋体" w:cs="Times New Roman"/>
          <w:color w:val="FF0000"/>
          <w:kern w:val="0"/>
          <w:sz w:val="24"/>
          <w:szCs w:val="20"/>
          <w:highlight w:val="none"/>
        </w:rPr>
        <w:t>）预测结果与分析</w:t>
      </w:r>
    </w:p>
    <w:p w14:paraId="753E5134">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default" w:ascii="Times New Roman" w:hAnsi="Times New Roman" w:eastAsia="宋体" w:cs="Times New Roman"/>
          <w:color w:val="FF0000"/>
          <w:spacing w:val="20"/>
          <w:kern w:val="2"/>
          <w:sz w:val="24"/>
          <w:szCs w:val="20"/>
          <w:highlight w:val="none"/>
          <w:lang w:val="en-US" w:eastAsia="zh-CN" w:bidi="ar-SA"/>
        </w:rPr>
      </w:pPr>
      <w:r>
        <w:rPr>
          <w:rFonts w:hint="default" w:ascii="Times New Roman" w:hAnsi="Times New Roman" w:eastAsia="宋体" w:cs="Times New Roman"/>
          <w:color w:val="FF0000"/>
          <w:spacing w:val="0"/>
          <w:kern w:val="2"/>
          <w:sz w:val="24"/>
          <w:szCs w:val="20"/>
          <w:highlight w:val="none"/>
          <w:lang w:val="en-US" w:eastAsia="zh-CN" w:bidi="ar-SA"/>
        </w:rPr>
        <w:t>①本项目正常工况下贡献质量浓度预测分析</w:t>
      </w:r>
    </w:p>
    <w:p w14:paraId="59FB151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default" w:ascii="Times New Roman" w:hAnsi="Times New Roman" w:eastAsia="宋体" w:cs="Times New Roman"/>
          <w:color w:val="FF0000"/>
          <w:spacing w:val="20"/>
          <w:kern w:val="2"/>
          <w:sz w:val="24"/>
          <w:szCs w:val="20"/>
          <w:highlight w:val="none"/>
          <w:lang w:val="en-US" w:eastAsia="zh-CN" w:bidi="ar-SA"/>
        </w:rPr>
      </w:pPr>
      <w:r>
        <w:rPr>
          <w:rFonts w:hint="default" w:ascii="Times New Roman" w:hAnsi="Times New Roman" w:eastAsia="宋体" w:cs="Times New Roman"/>
          <w:color w:val="FF0000"/>
          <w:spacing w:val="0"/>
          <w:kern w:val="2"/>
          <w:sz w:val="24"/>
          <w:szCs w:val="20"/>
          <w:highlight w:val="none"/>
          <w:lang w:val="en-US" w:eastAsia="zh-CN" w:bidi="ar-SA"/>
        </w:rPr>
        <w:t>本项目正常工况下</w:t>
      </w:r>
      <w:r>
        <w:rPr>
          <w:rFonts w:hint="default" w:ascii="Times New Roman" w:hAnsi="Times New Roman" w:eastAsia="宋体" w:cs="Times New Roman"/>
          <w:color w:val="FF0000"/>
          <w:spacing w:val="0"/>
          <w:kern w:val="2"/>
          <w:sz w:val="24"/>
          <w:szCs w:val="24"/>
          <w:highlight w:val="none"/>
          <w:lang w:val="en-US" w:eastAsia="zh-CN" w:bidi="ar-SA"/>
        </w:rPr>
        <w:t>PM</w:t>
      </w:r>
      <w:r>
        <w:rPr>
          <w:rFonts w:hint="default" w:ascii="Times New Roman" w:hAnsi="Times New Roman" w:eastAsia="宋体" w:cs="Times New Roman"/>
          <w:color w:val="FF0000"/>
          <w:spacing w:val="0"/>
          <w:kern w:val="2"/>
          <w:sz w:val="24"/>
          <w:szCs w:val="24"/>
          <w:highlight w:val="none"/>
          <w:vertAlign w:val="subscript"/>
          <w:lang w:val="en-US" w:eastAsia="zh-CN" w:bidi="ar-SA"/>
        </w:rPr>
        <w:t>10</w:t>
      </w:r>
      <w:r>
        <w:rPr>
          <w:rFonts w:hint="default" w:ascii="Times New Roman" w:hAnsi="Times New Roman" w:eastAsia="宋体" w:cs="Times New Roman"/>
          <w:color w:val="FF0000"/>
          <w:spacing w:val="0"/>
          <w:kern w:val="2"/>
          <w:sz w:val="24"/>
          <w:szCs w:val="24"/>
          <w:highlight w:val="none"/>
          <w:lang w:val="en-US" w:eastAsia="zh-CN" w:bidi="ar-SA"/>
        </w:rPr>
        <w:t>、PM</w:t>
      </w:r>
      <w:r>
        <w:rPr>
          <w:rFonts w:hint="default" w:ascii="Times New Roman" w:hAnsi="Times New Roman" w:eastAsia="宋体" w:cs="Times New Roman"/>
          <w:color w:val="FF0000"/>
          <w:spacing w:val="0"/>
          <w:kern w:val="2"/>
          <w:sz w:val="24"/>
          <w:szCs w:val="24"/>
          <w:highlight w:val="none"/>
          <w:vertAlign w:val="subscript"/>
          <w:lang w:val="en-US" w:eastAsia="zh-CN" w:bidi="ar-SA"/>
        </w:rPr>
        <w:t>2.5</w:t>
      </w:r>
      <w:r>
        <w:rPr>
          <w:rFonts w:hint="default" w:ascii="Times New Roman" w:hAnsi="Times New Roman" w:eastAsia="宋体" w:cs="Times New Roman"/>
          <w:color w:val="FF0000"/>
          <w:spacing w:val="0"/>
          <w:kern w:val="2"/>
          <w:sz w:val="24"/>
          <w:szCs w:val="24"/>
          <w:highlight w:val="none"/>
          <w:lang w:val="en-US" w:eastAsia="zh-CN" w:bidi="ar-SA"/>
        </w:rPr>
        <w:t>、</w:t>
      </w:r>
      <w:r>
        <w:rPr>
          <w:rFonts w:hint="default" w:ascii="Times New Roman" w:hAnsi="Times New Roman" w:eastAsia="宋体" w:cs="Times New Roman"/>
          <w:color w:val="FF0000"/>
          <w:spacing w:val="0"/>
          <w:kern w:val="2"/>
          <w:sz w:val="24"/>
          <w:szCs w:val="20"/>
          <w:highlight w:val="none"/>
          <w:lang w:val="en-US" w:eastAsia="zh-CN" w:bidi="ar-SA"/>
        </w:rPr>
        <w:t>SO</w:t>
      </w:r>
      <w:r>
        <w:rPr>
          <w:rFonts w:hint="default" w:ascii="Times New Roman" w:hAnsi="Times New Roman" w:eastAsia="宋体" w:cs="Times New Roman"/>
          <w:color w:val="FF0000"/>
          <w:spacing w:val="0"/>
          <w:kern w:val="2"/>
          <w:sz w:val="24"/>
          <w:szCs w:val="20"/>
          <w:highlight w:val="none"/>
          <w:vertAlign w:val="subscript"/>
          <w:lang w:val="en-US" w:eastAsia="zh-CN" w:bidi="ar-SA"/>
        </w:rPr>
        <w:t>2</w:t>
      </w:r>
      <w:r>
        <w:rPr>
          <w:rFonts w:hint="default" w:ascii="Times New Roman" w:hAnsi="Times New Roman" w:eastAsia="宋体" w:cs="Times New Roman"/>
          <w:color w:val="FF0000"/>
          <w:spacing w:val="0"/>
          <w:kern w:val="2"/>
          <w:sz w:val="24"/>
          <w:szCs w:val="20"/>
          <w:highlight w:val="none"/>
          <w:lang w:val="en-US" w:eastAsia="zh-CN" w:bidi="ar-SA"/>
        </w:rPr>
        <w:t>、NO</w:t>
      </w:r>
      <w:r>
        <w:rPr>
          <w:rFonts w:hint="default" w:ascii="Times New Roman" w:hAnsi="Times New Roman" w:eastAsia="宋体" w:cs="Times New Roman"/>
          <w:color w:val="FF0000"/>
          <w:spacing w:val="0"/>
          <w:kern w:val="2"/>
          <w:sz w:val="24"/>
          <w:szCs w:val="20"/>
          <w:highlight w:val="none"/>
          <w:vertAlign w:val="subscript"/>
          <w:lang w:val="en-US" w:eastAsia="zh-CN" w:bidi="ar-SA"/>
        </w:rPr>
        <w:t>2</w:t>
      </w:r>
      <w:r>
        <w:rPr>
          <w:rFonts w:hint="default" w:ascii="Times New Roman" w:hAnsi="Times New Roman" w:eastAsia="宋体" w:cs="Times New Roman"/>
          <w:color w:val="FF0000"/>
          <w:spacing w:val="0"/>
          <w:kern w:val="2"/>
          <w:sz w:val="24"/>
          <w:szCs w:val="20"/>
          <w:highlight w:val="none"/>
          <w:vertAlign w:val="baseline"/>
          <w:lang w:val="en-US" w:eastAsia="zh-CN" w:bidi="ar-SA"/>
        </w:rPr>
        <w:t>、Hg、NH</w:t>
      </w:r>
      <w:r>
        <w:rPr>
          <w:rFonts w:hint="default" w:ascii="Times New Roman" w:hAnsi="Times New Roman" w:eastAsia="宋体" w:cs="Times New Roman"/>
          <w:color w:val="FF0000"/>
          <w:spacing w:val="0"/>
          <w:kern w:val="2"/>
          <w:sz w:val="24"/>
          <w:szCs w:val="20"/>
          <w:highlight w:val="none"/>
          <w:vertAlign w:val="subscript"/>
          <w:lang w:val="en-US" w:eastAsia="zh-CN" w:bidi="ar-SA"/>
        </w:rPr>
        <w:t>3</w:t>
      </w:r>
      <w:r>
        <w:rPr>
          <w:rFonts w:hint="default" w:ascii="Times New Roman" w:hAnsi="Times New Roman" w:eastAsia="宋体" w:cs="Times New Roman"/>
          <w:color w:val="FF0000"/>
          <w:spacing w:val="0"/>
          <w:kern w:val="2"/>
          <w:sz w:val="24"/>
          <w:szCs w:val="20"/>
          <w:highlight w:val="none"/>
          <w:vertAlign w:val="baseline"/>
          <w:lang w:val="en-US" w:eastAsia="zh-CN" w:bidi="ar-SA"/>
        </w:rPr>
        <w:t>、TSP</w:t>
      </w:r>
      <w:r>
        <w:rPr>
          <w:rFonts w:hint="default" w:ascii="Times New Roman" w:hAnsi="Times New Roman" w:eastAsia="宋体" w:cs="Times New Roman"/>
          <w:color w:val="FF0000"/>
          <w:spacing w:val="0"/>
          <w:kern w:val="2"/>
          <w:sz w:val="24"/>
          <w:szCs w:val="24"/>
          <w:highlight w:val="none"/>
          <w:lang w:val="en-US" w:eastAsia="zh-CN" w:bidi="ar-SA"/>
        </w:rPr>
        <w:t>贡献质量浓度预测结果见</w:t>
      </w:r>
      <w:r>
        <w:rPr>
          <w:rFonts w:hint="default" w:ascii="Times New Roman" w:hAnsi="Times New Roman" w:eastAsia="宋体" w:cs="Times New Roman"/>
          <w:color w:val="FF0000"/>
          <w:spacing w:val="0"/>
          <w:kern w:val="2"/>
          <w:sz w:val="24"/>
          <w:szCs w:val="20"/>
          <w:highlight w:val="none"/>
          <w:lang w:val="en-US" w:eastAsia="zh-CN" w:bidi="ar-SA"/>
        </w:rPr>
        <w:t>表6.2-</w:t>
      </w:r>
      <w:r>
        <w:rPr>
          <w:rFonts w:hint="eastAsia" w:ascii="Times New Roman" w:hAnsi="Times New Roman" w:eastAsia="宋体" w:cs="Times New Roman"/>
          <w:color w:val="FF0000"/>
          <w:spacing w:val="0"/>
          <w:kern w:val="2"/>
          <w:sz w:val="24"/>
          <w:szCs w:val="20"/>
          <w:highlight w:val="none"/>
          <w:lang w:val="en-US" w:eastAsia="zh-CN" w:bidi="ar-SA"/>
        </w:rPr>
        <w:t>8</w:t>
      </w:r>
      <w:r>
        <w:rPr>
          <w:rFonts w:hint="default" w:ascii="Times New Roman" w:hAnsi="Times New Roman" w:eastAsia="宋体" w:cs="Times New Roman"/>
          <w:color w:val="FF0000"/>
          <w:spacing w:val="0"/>
          <w:kern w:val="2"/>
          <w:sz w:val="24"/>
          <w:szCs w:val="20"/>
          <w:highlight w:val="none"/>
          <w:lang w:val="en-US" w:eastAsia="zh-CN" w:bidi="ar-SA"/>
        </w:rPr>
        <w:t>~6.2-</w:t>
      </w:r>
      <w:r>
        <w:rPr>
          <w:rFonts w:hint="eastAsia" w:ascii="Times New Roman" w:hAnsi="Times New Roman" w:eastAsia="宋体" w:cs="Times New Roman"/>
          <w:color w:val="FF0000"/>
          <w:spacing w:val="0"/>
          <w:kern w:val="2"/>
          <w:sz w:val="24"/>
          <w:szCs w:val="20"/>
          <w:highlight w:val="none"/>
          <w:lang w:val="en-US" w:eastAsia="zh-CN" w:bidi="ar-SA"/>
        </w:rPr>
        <w:t>14</w:t>
      </w:r>
      <w:r>
        <w:rPr>
          <w:rFonts w:hint="default" w:ascii="Times New Roman" w:hAnsi="Times New Roman" w:eastAsia="宋体" w:cs="Times New Roman"/>
          <w:color w:val="FF0000"/>
          <w:spacing w:val="0"/>
          <w:kern w:val="2"/>
          <w:sz w:val="24"/>
          <w:szCs w:val="20"/>
          <w:highlight w:val="none"/>
          <w:lang w:val="en-US" w:eastAsia="zh-CN" w:bidi="ar-SA"/>
        </w:rPr>
        <w:t>。</w:t>
      </w:r>
      <w:bookmarkEnd w:id="443"/>
      <w:bookmarkEnd w:id="444"/>
    </w:p>
    <w:p w14:paraId="676020FD">
      <w:pPr>
        <w:keepNext w:val="0"/>
        <w:keepLines w:val="0"/>
        <w:pageBreakBefore w:val="0"/>
        <w:widowControl w:val="0"/>
        <w:kinsoku/>
        <w:wordWrap/>
        <w:overflowPunct/>
        <w:topLinePunct w:val="0"/>
        <w:autoSpaceDE/>
        <w:autoSpaceDN/>
        <w:bidi w:val="0"/>
        <w:adjustRightInd/>
        <w:snapToGrid/>
        <w:spacing w:after="0" w:line="480" w:lineRule="exact"/>
        <w:ind w:firstLine="0" w:firstLineChars="0"/>
        <w:jc w:val="center"/>
        <w:textAlignment w:val="auto"/>
        <w:outlineLvl w:val="9"/>
        <w:rPr>
          <w:rFonts w:hint="default" w:ascii="Times New Roman" w:hAnsi="Times New Roman" w:eastAsia="宋体" w:cs="Times New Roman"/>
          <w:snapToGrid w:val="0"/>
          <w:color w:val="FF0000"/>
          <w:kern w:val="2"/>
          <w:sz w:val="24"/>
          <w:szCs w:val="24"/>
          <w:highlight w:val="none"/>
          <w:lang w:val="en-US" w:eastAsia="zh-CN" w:bidi="ar-SA"/>
        </w:rPr>
      </w:pPr>
      <w:r>
        <w:rPr>
          <w:rFonts w:hint="default" w:ascii="Times New Roman" w:hAnsi="Times New Roman" w:eastAsia="宋体" w:cs="Times New Roman"/>
          <w:snapToGrid w:val="0"/>
          <w:color w:val="FF0000"/>
          <w:kern w:val="2"/>
          <w:sz w:val="24"/>
          <w:szCs w:val="24"/>
          <w:highlight w:val="none"/>
          <w:lang w:val="en-US" w:eastAsia="zh-CN" w:bidi="ar-SA"/>
        </w:rPr>
        <w:t>表6.2-</w:t>
      </w:r>
      <w:r>
        <w:rPr>
          <w:rFonts w:hint="eastAsia" w:ascii="Times New Roman" w:hAnsi="Times New Roman" w:eastAsia="宋体" w:cs="Times New Roman"/>
          <w:snapToGrid w:val="0"/>
          <w:color w:val="FF0000"/>
          <w:kern w:val="2"/>
          <w:sz w:val="24"/>
          <w:szCs w:val="24"/>
          <w:highlight w:val="none"/>
          <w:lang w:val="en-US" w:eastAsia="zh-CN" w:bidi="ar-SA"/>
        </w:rPr>
        <w:t>8</w:t>
      </w:r>
      <w:r>
        <w:rPr>
          <w:rFonts w:hint="default" w:ascii="Times New Roman" w:hAnsi="Times New Roman" w:eastAsia="宋体" w:cs="Times New Roman"/>
          <w:snapToGrid w:val="0"/>
          <w:color w:val="FF0000"/>
          <w:kern w:val="2"/>
          <w:sz w:val="24"/>
          <w:szCs w:val="24"/>
          <w:highlight w:val="none"/>
          <w:lang w:val="en-US" w:eastAsia="zh-CN" w:bidi="ar-SA"/>
        </w:rPr>
        <w:t xml:space="preserve">  本项目</w:t>
      </w:r>
      <w:r>
        <w:rPr>
          <w:rFonts w:hint="default" w:ascii="Times New Roman" w:hAnsi="Times New Roman" w:eastAsia="宋体" w:cs="Times New Roman"/>
          <w:snapToGrid w:val="0"/>
          <w:color w:val="FF0000"/>
          <w:spacing w:val="0"/>
          <w:kern w:val="2"/>
          <w:sz w:val="24"/>
          <w:szCs w:val="24"/>
          <w:highlight w:val="none"/>
          <w:lang w:val="en-US" w:eastAsia="zh-CN" w:bidi="ar-SA"/>
        </w:rPr>
        <w:t>PM</w:t>
      </w:r>
      <w:r>
        <w:rPr>
          <w:rFonts w:hint="default" w:ascii="Times New Roman" w:hAnsi="Times New Roman" w:eastAsia="宋体" w:cs="Times New Roman"/>
          <w:snapToGrid w:val="0"/>
          <w:color w:val="FF0000"/>
          <w:spacing w:val="0"/>
          <w:kern w:val="2"/>
          <w:sz w:val="24"/>
          <w:szCs w:val="24"/>
          <w:highlight w:val="none"/>
          <w:vertAlign w:val="subscript"/>
          <w:lang w:val="en-US" w:eastAsia="zh-CN" w:bidi="ar-SA"/>
        </w:rPr>
        <w:t>10</w:t>
      </w:r>
      <w:r>
        <w:rPr>
          <w:rFonts w:hint="default" w:ascii="Times New Roman" w:hAnsi="Times New Roman" w:eastAsia="宋体" w:cs="Times New Roman"/>
          <w:snapToGrid w:val="0"/>
          <w:color w:val="FF0000"/>
          <w:kern w:val="2"/>
          <w:sz w:val="24"/>
          <w:szCs w:val="24"/>
          <w:highlight w:val="none"/>
          <w:lang w:val="en-US" w:eastAsia="zh-CN" w:bidi="ar-SA"/>
        </w:rPr>
        <w:t>贡献质量浓度预测结果表</w:t>
      </w:r>
    </w:p>
    <w:tbl>
      <w:tblPr>
        <w:tblStyle w:val="37"/>
        <w:tblW w:w="4995"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791"/>
        <w:gridCol w:w="1206"/>
        <w:gridCol w:w="990"/>
        <w:gridCol w:w="1973"/>
        <w:gridCol w:w="1216"/>
        <w:gridCol w:w="1180"/>
        <w:gridCol w:w="967"/>
      </w:tblGrid>
      <w:tr w14:paraId="457475A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5" w:type="pct"/>
            <w:tcBorders>
              <w:tl2br w:val="nil"/>
              <w:tr2bl w:val="nil"/>
            </w:tcBorders>
            <w:noWrap w:val="0"/>
            <w:tcMar>
              <w:top w:w="15" w:type="dxa"/>
              <w:left w:w="15" w:type="dxa"/>
              <w:right w:w="15" w:type="dxa"/>
            </w:tcMar>
            <w:vAlign w:val="center"/>
          </w:tcPr>
          <w:p w14:paraId="1EFB658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污染物</w:t>
            </w:r>
          </w:p>
        </w:tc>
        <w:tc>
          <w:tcPr>
            <w:tcW w:w="724" w:type="pct"/>
            <w:tcBorders>
              <w:tl2br w:val="nil"/>
              <w:tr2bl w:val="nil"/>
            </w:tcBorders>
            <w:noWrap w:val="0"/>
            <w:tcMar>
              <w:top w:w="15" w:type="dxa"/>
              <w:left w:w="15" w:type="dxa"/>
              <w:right w:w="15" w:type="dxa"/>
            </w:tcMar>
            <w:vAlign w:val="center"/>
          </w:tcPr>
          <w:p w14:paraId="04008D8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预测点</w:t>
            </w:r>
          </w:p>
        </w:tc>
        <w:tc>
          <w:tcPr>
            <w:tcW w:w="594" w:type="pct"/>
            <w:tcBorders>
              <w:tl2br w:val="nil"/>
              <w:tr2bl w:val="nil"/>
            </w:tcBorders>
            <w:noWrap w:val="0"/>
            <w:tcMar>
              <w:top w:w="15" w:type="dxa"/>
              <w:left w:w="15" w:type="dxa"/>
              <w:right w:w="15" w:type="dxa"/>
            </w:tcMar>
            <w:vAlign w:val="center"/>
          </w:tcPr>
          <w:p w14:paraId="45DFA0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平均时段</w:t>
            </w:r>
          </w:p>
        </w:tc>
        <w:tc>
          <w:tcPr>
            <w:tcW w:w="1185" w:type="pct"/>
            <w:tcBorders>
              <w:tl2br w:val="nil"/>
              <w:tr2bl w:val="nil"/>
            </w:tcBorders>
            <w:noWrap w:val="0"/>
            <w:tcMar>
              <w:top w:w="15" w:type="dxa"/>
              <w:left w:w="15" w:type="dxa"/>
              <w:right w:w="15" w:type="dxa"/>
            </w:tcMar>
            <w:vAlign w:val="center"/>
          </w:tcPr>
          <w:p w14:paraId="1088FB9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最大贡献值/</w:t>
            </w:r>
            <w:r>
              <w:rPr>
                <w:rFonts w:hint="default" w:ascii="Times New Roman" w:hAnsi="Times New Roman" w:eastAsia="宋体" w:cs="Times New Roman"/>
                <w:color w:val="FF0000"/>
                <w:sz w:val="21"/>
                <w:szCs w:val="21"/>
                <w:highlight w:val="none"/>
                <w:u w:val="none"/>
                <w:lang w:val="en-US" w:eastAsia="zh-CN" w:bidi="ar"/>
              </w:rPr>
              <w:t>（</w:t>
            </w:r>
            <w:r>
              <w:rPr>
                <w:rFonts w:hint="default" w:ascii="Times New Roman" w:hAnsi="Times New Roman" w:eastAsia="宋体" w:cs="Times New Roman"/>
                <w:i w:val="0"/>
                <w:color w:val="FF0000"/>
                <w:kern w:val="0"/>
                <w:sz w:val="21"/>
                <w:szCs w:val="21"/>
                <w:highlight w:val="none"/>
                <w:u w:val="none"/>
                <w:lang w:val="en-US" w:eastAsia="zh-CN" w:bidi="ar"/>
              </w:rPr>
              <w:t>μg/m</w:t>
            </w:r>
            <w:r>
              <w:rPr>
                <w:rFonts w:hint="default" w:ascii="Times New Roman" w:hAnsi="Times New Roman" w:eastAsia="宋体" w:cs="Times New Roman"/>
                <w:i w:val="0"/>
                <w:color w:val="FF0000"/>
                <w:kern w:val="0"/>
                <w:sz w:val="21"/>
                <w:szCs w:val="21"/>
                <w:highlight w:val="none"/>
                <w:u w:val="none"/>
                <w:vertAlign w:val="superscript"/>
                <w:lang w:val="en-US" w:eastAsia="zh-CN" w:bidi="ar"/>
              </w:rPr>
              <w:t>3</w:t>
            </w:r>
            <w:r>
              <w:rPr>
                <w:rFonts w:hint="default" w:ascii="Times New Roman" w:hAnsi="Times New Roman" w:eastAsia="宋体" w:cs="Times New Roman"/>
                <w:color w:val="FF0000"/>
                <w:sz w:val="21"/>
                <w:szCs w:val="21"/>
                <w:highlight w:val="none"/>
                <w:u w:val="none"/>
                <w:lang w:val="en-US" w:eastAsia="zh-CN" w:bidi="ar"/>
              </w:rPr>
              <w:t>）</w:t>
            </w:r>
          </w:p>
        </w:tc>
        <w:tc>
          <w:tcPr>
            <w:tcW w:w="730" w:type="pct"/>
            <w:tcBorders>
              <w:tl2br w:val="nil"/>
              <w:tr2bl w:val="nil"/>
            </w:tcBorders>
            <w:noWrap w:val="0"/>
            <w:tcMar>
              <w:top w:w="15" w:type="dxa"/>
              <w:left w:w="15" w:type="dxa"/>
              <w:right w:w="15" w:type="dxa"/>
            </w:tcMar>
            <w:vAlign w:val="center"/>
          </w:tcPr>
          <w:p w14:paraId="252D90F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出现时间</w:t>
            </w:r>
          </w:p>
        </w:tc>
        <w:tc>
          <w:tcPr>
            <w:tcW w:w="708" w:type="pct"/>
            <w:tcBorders>
              <w:tl2br w:val="nil"/>
              <w:tr2bl w:val="nil"/>
            </w:tcBorders>
            <w:noWrap w:val="0"/>
            <w:tcMar>
              <w:top w:w="15" w:type="dxa"/>
              <w:left w:w="15" w:type="dxa"/>
              <w:right w:w="15" w:type="dxa"/>
            </w:tcMar>
            <w:vAlign w:val="center"/>
          </w:tcPr>
          <w:p w14:paraId="6584D12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占标率/</w:t>
            </w:r>
            <w:r>
              <w:rPr>
                <w:rFonts w:hint="default" w:ascii="Times New Roman" w:hAnsi="Times New Roman" w:eastAsia="宋体" w:cs="Times New Roman"/>
                <w:color w:val="FF0000"/>
                <w:sz w:val="21"/>
                <w:szCs w:val="21"/>
                <w:highlight w:val="none"/>
                <w:u w:val="none"/>
                <w:lang w:val="en-US" w:eastAsia="zh-CN" w:bidi="ar"/>
              </w:rPr>
              <w:t>（%）</w:t>
            </w:r>
          </w:p>
        </w:tc>
        <w:tc>
          <w:tcPr>
            <w:tcW w:w="580" w:type="pct"/>
            <w:tcBorders>
              <w:tl2br w:val="nil"/>
              <w:tr2bl w:val="nil"/>
            </w:tcBorders>
            <w:noWrap w:val="0"/>
            <w:tcMar>
              <w:top w:w="15" w:type="dxa"/>
              <w:left w:w="15" w:type="dxa"/>
              <w:right w:w="15" w:type="dxa"/>
            </w:tcMar>
            <w:vAlign w:val="center"/>
          </w:tcPr>
          <w:p w14:paraId="3EFA870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达标情况</w:t>
            </w:r>
          </w:p>
        </w:tc>
      </w:tr>
      <w:tr w14:paraId="2E96427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5" w:type="pct"/>
            <w:vMerge w:val="restart"/>
            <w:tcBorders>
              <w:tl2br w:val="nil"/>
              <w:tr2bl w:val="nil"/>
            </w:tcBorders>
            <w:noWrap w:val="0"/>
            <w:tcMar>
              <w:top w:w="15" w:type="dxa"/>
              <w:left w:w="15" w:type="dxa"/>
              <w:right w:w="15" w:type="dxa"/>
            </w:tcMar>
            <w:vAlign w:val="center"/>
          </w:tcPr>
          <w:p w14:paraId="0CF4B46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PM</w:t>
            </w:r>
            <w:r>
              <w:rPr>
                <w:rFonts w:hint="default" w:ascii="Times New Roman" w:hAnsi="Times New Roman" w:eastAsia="宋体" w:cs="Times New Roman"/>
                <w:i w:val="0"/>
                <w:color w:val="FF0000"/>
                <w:kern w:val="0"/>
                <w:sz w:val="21"/>
                <w:szCs w:val="21"/>
                <w:highlight w:val="none"/>
                <w:u w:val="none"/>
                <w:vertAlign w:val="subscript"/>
                <w:lang w:val="en-US" w:eastAsia="zh-CN" w:bidi="ar"/>
              </w:rPr>
              <w:t>10</w:t>
            </w:r>
          </w:p>
          <w:p w14:paraId="291E34E2">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color w:val="FF0000"/>
                <w:sz w:val="21"/>
                <w:szCs w:val="21"/>
                <w:highlight w:val="none"/>
              </w:rPr>
            </w:pPr>
          </w:p>
          <w:p w14:paraId="0CC43754">
            <w:pPr>
              <w:pStyle w:val="3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color w:val="FF0000"/>
                <w:sz w:val="21"/>
                <w:szCs w:val="21"/>
                <w:highlight w:val="none"/>
              </w:rPr>
            </w:pPr>
          </w:p>
          <w:p w14:paraId="55444BB0">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p w14:paraId="6F32927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aseline"/>
              <w:rPr>
                <w:rFonts w:hint="default" w:ascii="Times New Roman" w:hAnsi="Times New Roman" w:eastAsia="宋体" w:cs="Times New Roman"/>
                <w:color w:val="FF0000"/>
                <w:kern w:val="2"/>
                <w:sz w:val="21"/>
                <w:szCs w:val="21"/>
                <w:highlight w:val="none"/>
                <w:lang w:val="en-US" w:eastAsia="zh-CN" w:bidi="ar-SA"/>
              </w:rPr>
            </w:pPr>
          </w:p>
        </w:tc>
        <w:tc>
          <w:tcPr>
            <w:tcW w:w="724" w:type="pct"/>
            <w:vMerge w:val="restart"/>
            <w:tcBorders>
              <w:tl2br w:val="nil"/>
              <w:tr2bl w:val="nil"/>
            </w:tcBorders>
            <w:noWrap w:val="0"/>
            <w:tcMar>
              <w:top w:w="15" w:type="dxa"/>
              <w:left w:w="15" w:type="dxa"/>
              <w:right w:w="15" w:type="dxa"/>
            </w:tcMar>
            <w:vAlign w:val="center"/>
          </w:tcPr>
          <w:p w14:paraId="47A396F7">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default" w:ascii="Times New Roman" w:hAnsi="Times New Roman" w:eastAsia="宋体" w:cs="Times New Roman"/>
                <w:i w:val="0"/>
                <w:color w:val="FF0000"/>
                <w:sz w:val="21"/>
                <w:szCs w:val="21"/>
                <w:highlight w:val="none"/>
                <w:u w:val="none"/>
                <w:lang w:val="en-US" w:eastAsia="zh-CN"/>
              </w:rPr>
              <w:t>范家屯</w:t>
            </w:r>
          </w:p>
        </w:tc>
        <w:tc>
          <w:tcPr>
            <w:tcW w:w="594" w:type="pct"/>
            <w:tcBorders>
              <w:tl2br w:val="nil"/>
              <w:tr2bl w:val="nil"/>
            </w:tcBorders>
            <w:noWrap w:val="0"/>
            <w:tcMar>
              <w:top w:w="15" w:type="dxa"/>
              <w:left w:w="15" w:type="dxa"/>
              <w:right w:w="15" w:type="dxa"/>
            </w:tcMar>
            <w:vAlign w:val="center"/>
          </w:tcPr>
          <w:p w14:paraId="50D52B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日平均</w:t>
            </w:r>
          </w:p>
        </w:tc>
        <w:tc>
          <w:tcPr>
            <w:tcW w:w="1973" w:type="dxa"/>
            <w:tcBorders>
              <w:tl2br w:val="nil"/>
              <w:tr2bl w:val="nil"/>
            </w:tcBorders>
            <w:noWrap/>
            <w:tcMar>
              <w:top w:w="15" w:type="dxa"/>
              <w:left w:w="15" w:type="dxa"/>
              <w:right w:w="15" w:type="dxa"/>
            </w:tcMar>
            <w:vAlign w:val="center"/>
          </w:tcPr>
          <w:p w14:paraId="3A7247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0.03196</w:t>
            </w:r>
          </w:p>
        </w:tc>
        <w:tc>
          <w:tcPr>
            <w:tcW w:w="1216" w:type="dxa"/>
            <w:tcBorders>
              <w:tl2br w:val="nil"/>
              <w:tr2bl w:val="nil"/>
            </w:tcBorders>
            <w:noWrap/>
            <w:tcMar>
              <w:top w:w="15" w:type="dxa"/>
              <w:left w:w="15" w:type="dxa"/>
              <w:right w:w="15" w:type="dxa"/>
            </w:tcMar>
            <w:vAlign w:val="center"/>
          </w:tcPr>
          <w:p w14:paraId="1399186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240216</w:t>
            </w:r>
          </w:p>
        </w:tc>
        <w:tc>
          <w:tcPr>
            <w:tcW w:w="1180" w:type="dxa"/>
            <w:tcBorders>
              <w:tl2br w:val="nil"/>
              <w:tr2bl w:val="nil"/>
            </w:tcBorders>
            <w:noWrap/>
            <w:tcMar>
              <w:top w:w="15" w:type="dxa"/>
              <w:left w:w="15" w:type="dxa"/>
              <w:right w:w="15" w:type="dxa"/>
            </w:tcMar>
            <w:vAlign w:val="center"/>
          </w:tcPr>
          <w:p w14:paraId="3F7B3EC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0.02</w:t>
            </w:r>
          </w:p>
        </w:tc>
        <w:tc>
          <w:tcPr>
            <w:tcW w:w="580" w:type="pct"/>
            <w:tcBorders>
              <w:tl2br w:val="nil"/>
              <w:tr2bl w:val="nil"/>
            </w:tcBorders>
            <w:noWrap w:val="0"/>
            <w:tcMar>
              <w:top w:w="15" w:type="dxa"/>
              <w:left w:w="15" w:type="dxa"/>
              <w:right w:w="15" w:type="dxa"/>
            </w:tcMar>
            <w:vAlign w:val="center"/>
          </w:tcPr>
          <w:p w14:paraId="23BAC7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375C21A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5" w:type="pct"/>
            <w:vMerge w:val="continue"/>
            <w:tcBorders>
              <w:tl2br w:val="nil"/>
              <w:tr2bl w:val="nil"/>
            </w:tcBorders>
            <w:noWrap w:val="0"/>
            <w:tcMar>
              <w:top w:w="15" w:type="dxa"/>
              <w:left w:w="15" w:type="dxa"/>
              <w:right w:w="15" w:type="dxa"/>
            </w:tcMar>
            <w:vAlign w:val="center"/>
          </w:tcPr>
          <w:p w14:paraId="3E7CF861">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24" w:type="pct"/>
            <w:vMerge w:val="continue"/>
            <w:tcBorders>
              <w:tl2br w:val="nil"/>
              <w:tr2bl w:val="nil"/>
            </w:tcBorders>
            <w:noWrap w:val="0"/>
            <w:tcMar>
              <w:top w:w="15" w:type="dxa"/>
              <w:left w:w="15" w:type="dxa"/>
              <w:right w:w="15" w:type="dxa"/>
            </w:tcMar>
            <w:vAlign w:val="center"/>
          </w:tcPr>
          <w:p w14:paraId="77AE7F98">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p>
        </w:tc>
        <w:tc>
          <w:tcPr>
            <w:tcW w:w="594" w:type="pct"/>
            <w:tcBorders>
              <w:tl2br w:val="nil"/>
              <w:tr2bl w:val="nil"/>
            </w:tcBorders>
            <w:noWrap w:val="0"/>
            <w:tcMar>
              <w:top w:w="15" w:type="dxa"/>
              <w:left w:w="15" w:type="dxa"/>
              <w:right w:w="15" w:type="dxa"/>
            </w:tcMar>
            <w:vAlign w:val="center"/>
          </w:tcPr>
          <w:p w14:paraId="649854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年平均</w:t>
            </w:r>
          </w:p>
        </w:tc>
        <w:tc>
          <w:tcPr>
            <w:tcW w:w="1973" w:type="dxa"/>
            <w:tcBorders>
              <w:tl2br w:val="nil"/>
              <w:tr2bl w:val="nil"/>
            </w:tcBorders>
            <w:noWrap/>
            <w:tcMar>
              <w:top w:w="15" w:type="dxa"/>
              <w:left w:w="15" w:type="dxa"/>
              <w:right w:w="15" w:type="dxa"/>
            </w:tcMar>
            <w:vAlign w:val="center"/>
          </w:tcPr>
          <w:p w14:paraId="5FB993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0.00061</w:t>
            </w:r>
          </w:p>
        </w:tc>
        <w:tc>
          <w:tcPr>
            <w:tcW w:w="1216" w:type="dxa"/>
            <w:tcBorders>
              <w:tl2br w:val="nil"/>
              <w:tr2bl w:val="nil"/>
            </w:tcBorders>
            <w:noWrap/>
            <w:tcMar>
              <w:top w:w="15" w:type="dxa"/>
              <w:left w:w="15" w:type="dxa"/>
              <w:right w:w="15" w:type="dxa"/>
            </w:tcMar>
            <w:vAlign w:val="center"/>
          </w:tcPr>
          <w:p w14:paraId="26CCCF2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平均值</w:t>
            </w:r>
          </w:p>
        </w:tc>
        <w:tc>
          <w:tcPr>
            <w:tcW w:w="1180" w:type="dxa"/>
            <w:tcBorders>
              <w:tl2br w:val="nil"/>
              <w:tr2bl w:val="nil"/>
            </w:tcBorders>
            <w:noWrap/>
            <w:tcMar>
              <w:top w:w="15" w:type="dxa"/>
              <w:left w:w="15" w:type="dxa"/>
              <w:right w:w="15" w:type="dxa"/>
            </w:tcMar>
            <w:vAlign w:val="center"/>
          </w:tcPr>
          <w:p w14:paraId="512025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w:t>
            </w:r>
          </w:p>
        </w:tc>
        <w:tc>
          <w:tcPr>
            <w:tcW w:w="580" w:type="pct"/>
            <w:tcBorders>
              <w:tl2br w:val="nil"/>
              <w:tr2bl w:val="nil"/>
            </w:tcBorders>
            <w:noWrap w:val="0"/>
            <w:tcMar>
              <w:top w:w="15" w:type="dxa"/>
              <w:left w:w="15" w:type="dxa"/>
              <w:right w:w="15" w:type="dxa"/>
            </w:tcMar>
            <w:vAlign w:val="center"/>
          </w:tcPr>
          <w:p w14:paraId="03381F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53656BF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5" w:type="pct"/>
            <w:vMerge w:val="continue"/>
            <w:tcBorders>
              <w:tl2br w:val="nil"/>
              <w:tr2bl w:val="nil"/>
            </w:tcBorders>
            <w:noWrap w:val="0"/>
            <w:tcMar>
              <w:top w:w="15" w:type="dxa"/>
              <w:left w:w="15" w:type="dxa"/>
              <w:right w:w="15" w:type="dxa"/>
            </w:tcMar>
            <w:vAlign w:val="center"/>
          </w:tcPr>
          <w:p w14:paraId="08F6FEAC">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24" w:type="pct"/>
            <w:vMerge w:val="restart"/>
            <w:tcBorders>
              <w:tl2br w:val="nil"/>
              <w:tr2bl w:val="nil"/>
            </w:tcBorders>
            <w:noWrap w:val="0"/>
            <w:tcMar>
              <w:top w:w="15" w:type="dxa"/>
              <w:left w:w="15" w:type="dxa"/>
              <w:right w:w="15" w:type="dxa"/>
            </w:tcMar>
            <w:vAlign w:val="center"/>
          </w:tcPr>
          <w:p w14:paraId="73C5D3F8">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default" w:ascii="Times New Roman" w:hAnsi="Times New Roman" w:eastAsia="宋体" w:cs="Times New Roman"/>
                <w:i w:val="0"/>
                <w:color w:val="FF0000"/>
                <w:sz w:val="21"/>
                <w:szCs w:val="21"/>
                <w:highlight w:val="none"/>
                <w:u w:val="none"/>
                <w:lang w:val="en-US" w:eastAsia="zh-CN"/>
              </w:rPr>
              <w:t>范家村</w:t>
            </w:r>
          </w:p>
        </w:tc>
        <w:tc>
          <w:tcPr>
            <w:tcW w:w="594" w:type="pct"/>
            <w:tcBorders>
              <w:tl2br w:val="nil"/>
              <w:tr2bl w:val="nil"/>
            </w:tcBorders>
            <w:noWrap w:val="0"/>
            <w:tcMar>
              <w:top w:w="15" w:type="dxa"/>
              <w:left w:w="15" w:type="dxa"/>
              <w:right w:w="15" w:type="dxa"/>
            </w:tcMar>
            <w:vAlign w:val="center"/>
          </w:tcPr>
          <w:p w14:paraId="481D37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日平均</w:t>
            </w:r>
          </w:p>
        </w:tc>
        <w:tc>
          <w:tcPr>
            <w:tcW w:w="1973" w:type="dxa"/>
            <w:tcBorders>
              <w:tl2br w:val="nil"/>
              <w:tr2bl w:val="nil"/>
            </w:tcBorders>
            <w:noWrap/>
            <w:tcMar>
              <w:top w:w="15" w:type="dxa"/>
              <w:left w:w="15" w:type="dxa"/>
              <w:right w:w="15" w:type="dxa"/>
            </w:tcMar>
            <w:vAlign w:val="center"/>
          </w:tcPr>
          <w:p w14:paraId="3035B94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0.13827</w:t>
            </w:r>
          </w:p>
        </w:tc>
        <w:tc>
          <w:tcPr>
            <w:tcW w:w="1216" w:type="dxa"/>
            <w:tcBorders>
              <w:tl2br w:val="nil"/>
              <w:tr2bl w:val="nil"/>
            </w:tcBorders>
            <w:noWrap/>
            <w:tcMar>
              <w:top w:w="15" w:type="dxa"/>
              <w:left w:w="15" w:type="dxa"/>
              <w:right w:w="15" w:type="dxa"/>
            </w:tcMar>
            <w:vAlign w:val="center"/>
          </w:tcPr>
          <w:p w14:paraId="0ABF950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240120</w:t>
            </w:r>
          </w:p>
        </w:tc>
        <w:tc>
          <w:tcPr>
            <w:tcW w:w="1180" w:type="dxa"/>
            <w:tcBorders>
              <w:tl2br w:val="nil"/>
              <w:tr2bl w:val="nil"/>
            </w:tcBorders>
            <w:noWrap/>
            <w:tcMar>
              <w:top w:w="15" w:type="dxa"/>
              <w:left w:w="15" w:type="dxa"/>
              <w:right w:w="15" w:type="dxa"/>
            </w:tcMar>
            <w:vAlign w:val="center"/>
          </w:tcPr>
          <w:p w14:paraId="1848A46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0.09</w:t>
            </w:r>
          </w:p>
        </w:tc>
        <w:tc>
          <w:tcPr>
            <w:tcW w:w="580" w:type="pct"/>
            <w:tcBorders>
              <w:tl2br w:val="nil"/>
              <w:tr2bl w:val="nil"/>
            </w:tcBorders>
            <w:noWrap w:val="0"/>
            <w:tcMar>
              <w:top w:w="15" w:type="dxa"/>
              <w:left w:w="15" w:type="dxa"/>
              <w:right w:w="15" w:type="dxa"/>
            </w:tcMar>
            <w:vAlign w:val="center"/>
          </w:tcPr>
          <w:p w14:paraId="711614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0821C5D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5" w:type="pct"/>
            <w:vMerge w:val="continue"/>
            <w:tcBorders>
              <w:tl2br w:val="nil"/>
              <w:tr2bl w:val="nil"/>
            </w:tcBorders>
            <w:noWrap w:val="0"/>
            <w:tcMar>
              <w:top w:w="15" w:type="dxa"/>
              <w:left w:w="15" w:type="dxa"/>
              <w:right w:w="15" w:type="dxa"/>
            </w:tcMar>
            <w:vAlign w:val="center"/>
          </w:tcPr>
          <w:p w14:paraId="63E38F60">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24" w:type="pct"/>
            <w:vMerge w:val="continue"/>
            <w:tcBorders>
              <w:tl2br w:val="nil"/>
              <w:tr2bl w:val="nil"/>
            </w:tcBorders>
            <w:noWrap w:val="0"/>
            <w:tcMar>
              <w:top w:w="15" w:type="dxa"/>
              <w:left w:w="15" w:type="dxa"/>
              <w:right w:w="15" w:type="dxa"/>
            </w:tcMar>
            <w:vAlign w:val="center"/>
          </w:tcPr>
          <w:p w14:paraId="7FBC2011">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p>
        </w:tc>
        <w:tc>
          <w:tcPr>
            <w:tcW w:w="594" w:type="pct"/>
            <w:tcBorders>
              <w:tl2br w:val="nil"/>
              <w:tr2bl w:val="nil"/>
            </w:tcBorders>
            <w:noWrap w:val="0"/>
            <w:tcMar>
              <w:top w:w="15" w:type="dxa"/>
              <w:left w:w="15" w:type="dxa"/>
              <w:right w:w="15" w:type="dxa"/>
            </w:tcMar>
            <w:vAlign w:val="center"/>
          </w:tcPr>
          <w:p w14:paraId="582F92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年平均</w:t>
            </w:r>
          </w:p>
        </w:tc>
        <w:tc>
          <w:tcPr>
            <w:tcW w:w="1973" w:type="dxa"/>
            <w:tcBorders>
              <w:tl2br w:val="nil"/>
              <w:tr2bl w:val="nil"/>
            </w:tcBorders>
            <w:noWrap/>
            <w:tcMar>
              <w:top w:w="15" w:type="dxa"/>
              <w:left w:w="15" w:type="dxa"/>
              <w:right w:w="15" w:type="dxa"/>
            </w:tcMar>
            <w:vAlign w:val="center"/>
          </w:tcPr>
          <w:p w14:paraId="1B2EE85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0.00431</w:t>
            </w:r>
          </w:p>
        </w:tc>
        <w:tc>
          <w:tcPr>
            <w:tcW w:w="1216" w:type="dxa"/>
            <w:tcBorders>
              <w:tl2br w:val="nil"/>
              <w:tr2bl w:val="nil"/>
            </w:tcBorders>
            <w:noWrap/>
            <w:tcMar>
              <w:top w:w="15" w:type="dxa"/>
              <w:left w:w="15" w:type="dxa"/>
              <w:right w:w="15" w:type="dxa"/>
            </w:tcMar>
            <w:vAlign w:val="center"/>
          </w:tcPr>
          <w:p w14:paraId="1623711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平均值</w:t>
            </w:r>
          </w:p>
        </w:tc>
        <w:tc>
          <w:tcPr>
            <w:tcW w:w="1180" w:type="dxa"/>
            <w:tcBorders>
              <w:tl2br w:val="nil"/>
              <w:tr2bl w:val="nil"/>
            </w:tcBorders>
            <w:noWrap/>
            <w:tcMar>
              <w:top w:w="15" w:type="dxa"/>
              <w:left w:w="15" w:type="dxa"/>
              <w:right w:w="15" w:type="dxa"/>
            </w:tcMar>
            <w:vAlign w:val="center"/>
          </w:tcPr>
          <w:p w14:paraId="42CE16B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0.01</w:t>
            </w:r>
          </w:p>
        </w:tc>
        <w:tc>
          <w:tcPr>
            <w:tcW w:w="580" w:type="pct"/>
            <w:tcBorders>
              <w:tl2br w:val="nil"/>
              <w:tr2bl w:val="nil"/>
            </w:tcBorders>
            <w:noWrap w:val="0"/>
            <w:tcMar>
              <w:top w:w="15" w:type="dxa"/>
              <w:left w:w="15" w:type="dxa"/>
              <w:right w:w="15" w:type="dxa"/>
            </w:tcMar>
            <w:vAlign w:val="center"/>
          </w:tcPr>
          <w:p w14:paraId="763A24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345020A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5" w:type="pct"/>
            <w:vMerge w:val="continue"/>
            <w:tcBorders>
              <w:tl2br w:val="nil"/>
              <w:tr2bl w:val="nil"/>
            </w:tcBorders>
            <w:noWrap w:val="0"/>
            <w:tcMar>
              <w:top w:w="15" w:type="dxa"/>
              <w:left w:w="15" w:type="dxa"/>
              <w:right w:w="15" w:type="dxa"/>
            </w:tcMar>
            <w:vAlign w:val="center"/>
          </w:tcPr>
          <w:p w14:paraId="7203DDE0">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24" w:type="pct"/>
            <w:vMerge w:val="restart"/>
            <w:tcBorders>
              <w:tl2br w:val="nil"/>
              <w:tr2bl w:val="nil"/>
            </w:tcBorders>
            <w:noWrap w:val="0"/>
            <w:tcMar>
              <w:top w:w="15" w:type="dxa"/>
              <w:left w:w="15" w:type="dxa"/>
              <w:right w:w="15" w:type="dxa"/>
            </w:tcMar>
            <w:vAlign w:val="center"/>
          </w:tcPr>
          <w:p w14:paraId="62787A54">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default" w:ascii="Times New Roman" w:hAnsi="Times New Roman" w:eastAsia="宋体" w:cs="Times New Roman"/>
                <w:i w:val="0"/>
                <w:color w:val="FF0000"/>
                <w:sz w:val="21"/>
                <w:szCs w:val="21"/>
                <w:highlight w:val="none"/>
                <w:u w:val="none"/>
                <w:lang w:val="en-US" w:eastAsia="zh-CN"/>
              </w:rPr>
              <w:t>原热电厂家属区</w:t>
            </w:r>
          </w:p>
        </w:tc>
        <w:tc>
          <w:tcPr>
            <w:tcW w:w="594" w:type="pct"/>
            <w:tcBorders>
              <w:tl2br w:val="nil"/>
              <w:tr2bl w:val="nil"/>
            </w:tcBorders>
            <w:noWrap w:val="0"/>
            <w:tcMar>
              <w:top w:w="15" w:type="dxa"/>
              <w:left w:w="15" w:type="dxa"/>
              <w:right w:w="15" w:type="dxa"/>
            </w:tcMar>
            <w:vAlign w:val="center"/>
          </w:tcPr>
          <w:p w14:paraId="2904E8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日平均</w:t>
            </w:r>
          </w:p>
        </w:tc>
        <w:tc>
          <w:tcPr>
            <w:tcW w:w="1973" w:type="dxa"/>
            <w:tcBorders>
              <w:tl2br w:val="nil"/>
              <w:tr2bl w:val="nil"/>
            </w:tcBorders>
            <w:noWrap/>
            <w:tcMar>
              <w:top w:w="15" w:type="dxa"/>
              <w:left w:w="15" w:type="dxa"/>
              <w:right w:w="15" w:type="dxa"/>
            </w:tcMar>
            <w:vAlign w:val="center"/>
          </w:tcPr>
          <w:p w14:paraId="546E3D3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0.09568</w:t>
            </w:r>
          </w:p>
        </w:tc>
        <w:tc>
          <w:tcPr>
            <w:tcW w:w="1216" w:type="dxa"/>
            <w:tcBorders>
              <w:tl2br w:val="nil"/>
              <w:tr2bl w:val="nil"/>
            </w:tcBorders>
            <w:noWrap/>
            <w:tcMar>
              <w:top w:w="15" w:type="dxa"/>
              <w:left w:w="15" w:type="dxa"/>
              <w:right w:w="15" w:type="dxa"/>
            </w:tcMar>
            <w:vAlign w:val="center"/>
          </w:tcPr>
          <w:p w14:paraId="0D5D7E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240104</w:t>
            </w:r>
          </w:p>
        </w:tc>
        <w:tc>
          <w:tcPr>
            <w:tcW w:w="1180" w:type="dxa"/>
            <w:tcBorders>
              <w:tl2br w:val="nil"/>
              <w:tr2bl w:val="nil"/>
            </w:tcBorders>
            <w:noWrap/>
            <w:tcMar>
              <w:top w:w="15" w:type="dxa"/>
              <w:left w:w="15" w:type="dxa"/>
              <w:right w:w="15" w:type="dxa"/>
            </w:tcMar>
            <w:vAlign w:val="center"/>
          </w:tcPr>
          <w:p w14:paraId="27AD959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0.06</w:t>
            </w:r>
          </w:p>
        </w:tc>
        <w:tc>
          <w:tcPr>
            <w:tcW w:w="580" w:type="pct"/>
            <w:tcBorders>
              <w:tl2br w:val="nil"/>
              <w:tr2bl w:val="nil"/>
            </w:tcBorders>
            <w:noWrap w:val="0"/>
            <w:tcMar>
              <w:top w:w="15" w:type="dxa"/>
              <w:left w:w="15" w:type="dxa"/>
              <w:right w:w="15" w:type="dxa"/>
            </w:tcMar>
            <w:vAlign w:val="center"/>
          </w:tcPr>
          <w:p w14:paraId="694B79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3B26782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5" w:type="pct"/>
            <w:vMerge w:val="continue"/>
            <w:tcBorders>
              <w:tl2br w:val="nil"/>
              <w:tr2bl w:val="nil"/>
            </w:tcBorders>
            <w:noWrap w:val="0"/>
            <w:tcMar>
              <w:top w:w="15" w:type="dxa"/>
              <w:left w:w="15" w:type="dxa"/>
              <w:right w:w="15" w:type="dxa"/>
            </w:tcMar>
            <w:vAlign w:val="center"/>
          </w:tcPr>
          <w:p w14:paraId="5C62FA07">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24" w:type="pct"/>
            <w:vMerge w:val="continue"/>
            <w:tcBorders>
              <w:tl2br w:val="nil"/>
              <w:tr2bl w:val="nil"/>
            </w:tcBorders>
            <w:noWrap w:val="0"/>
            <w:tcMar>
              <w:top w:w="15" w:type="dxa"/>
              <w:left w:w="15" w:type="dxa"/>
              <w:right w:w="15" w:type="dxa"/>
            </w:tcMar>
            <w:vAlign w:val="center"/>
          </w:tcPr>
          <w:p w14:paraId="2A0EB114">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p>
        </w:tc>
        <w:tc>
          <w:tcPr>
            <w:tcW w:w="594" w:type="pct"/>
            <w:tcBorders>
              <w:tl2br w:val="nil"/>
              <w:tr2bl w:val="nil"/>
            </w:tcBorders>
            <w:noWrap w:val="0"/>
            <w:tcMar>
              <w:top w:w="15" w:type="dxa"/>
              <w:left w:w="15" w:type="dxa"/>
              <w:right w:w="15" w:type="dxa"/>
            </w:tcMar>
            <w:vAlign w:val="center"/>
          </w:tcPr>
          <w:p w14:paraId="4313C9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年平均</w:t>
            </w:r>
          </w:p>
        </w:tc>
        <w:tc>
          <w:tcPr>
            <w:tcW w:w="1973" w:type="dxa"/>
            <w:tcBorders>
              <w:tl2br w:val="nil"/>
              <w:tr2bl w:val="nil"/>
            </w:tcBorders>
            <w:noWrap/>
            <w:tcMar>
              <w:top w:w="15" w:type="dxa"/>
              <w:left w:w="15" w:type="dxa"/>
              <w:right w:w="15" w:type="dxa"/>
            </w:tcMar>
            <w:vAlign w:val="center"/>
          </w:tcPr>
          <w:p w14:paraId="7F546B0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0.00114</w:t>
            </w:r>
          </w:p>
        </w:tc>
        <w:tc>
          <w:tcPr>
            <w:tcW w:w="1216" w:type="dxa"/>
            <w:tcBorders>
              <w:tl2br w:val="nil"/>
              <w:tr2bl w:val="nil"/>
            </w:tcBorders>
            <w:noWrap/>
            <w:tcMar>
              <w:top w:w="15" w:type="dxa"/>
              <w:left w:w="15" w:type="dxa"/>
              <w:right w:w="15" w:type="dxa"/>
            </w:tcMar>
            <w:vAlign w:val="center"/>
          </w:tcPr>
          <w:p w14:paraId="5ECB0E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平均值</w:t>
            </w:r>
          </w:p>
        </w:tc>
        <w:tc>
          <w:tcPr>
            <w:tcW w:w="1180" w:type="dxa"/>
            <w:tcBorders>
              <w:tl2br w:val="nil"/>
              <w:tr2bl w:val="nil"/>
            </w:tcBorders>
            <w:noWrap/>
            <w:tcMar>
              <w:top w:w="15" w:type="dxa"/>
              <w:left w:w="15" w:type="dxa"/>
              <w:right w:w="15" w:type="dxa"/>
            </w:tcMar>
            <w:vAlign w:val="center"/>
          </w:tcPr>
          <w:p w14:paraId="5E16627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w:t>
            </w:r>
          </w:p>
        </w:tc>
        <w:tc>
          <w:tcPr>
            <w:tcW w:w="580" w:type="pct"/>
            <w:tcBorders>
              <w:tl2br w:val="nil"/>
              <w:tr2bl w:val="nil"/>
            </w:tcBorders>
            <w:noWrap w:val="0"/>
            <w:tcMar>
              <w:top w:w="15" w:type="dxa"/>
              <w:left w:w="15" w:type="dxa"/>
              <w:right w:w="15" w:type="dxa"/>
            </w:tcMar>
            <w:vAlign w:val="center"/>
          </w:tcPr>
          <w:p w14:paraId="75F3FA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45BB2C9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5" w:type="pct"/>
            <w:vMerge w:val="continue"/>
            <w:tcBorders>
              <w:tl2br w:val="nil"/>
              <w:tr2bl w:val="nil"/>
            </w:tcBorders>
            <w:noWrap w:val="0"/>
            <w:tcMar>
              <w:top w:w="15" w:type="dxa"/>
              <w:left w:w="15" w:type="dxa"/>
              <w:right w:w="15" w:type="dxa"/>
            </w:tcMar>
            <w:vAlign w:val="center"/>
          </w:tcPr>
          <w:p w14:paraId="0687F9E4">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24" w:type="pct"/>
            <w:vMerge w:val="restart"/>
            <w:tcBorders>
              <w:tl2br w:val="nil"/>
              <w:tr2bl w:val="nil"/>
            </w:tcBorders>
            <w:noWrap w:val="0"/>
            <w:tcMar>
              <w:top w:w="15" w:type="dxa"/>
              <w:left w:w="15" w:type="dxa"/>
              <w:right w:w="15" w:type="dxa"/>
            </w:tcMar>
            <w:vAlign w:val="center"/>
          </w:tcPr>
          <w:p w14:paraId="7629438E">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default" w:ascii="Times New Roman" w:hAnsi="Times New Roman" w:eastAsia="宋体" w:cs="Times New Roman"/>
                <w:i w:val="0"/>
                <w:color w:val="FF0000"/>
                <w:sz w:val="21"/>
                <w:szCs w:val="21"/>
                <w:highlight w:val="none"/>
                <w:u w:val="none"/>
                <w:lang w:val="en-US" w:eastAsia="zh-CN"/>
              </w:rPr>
              <w:t>黑锻新城小区</w:t>
            </w:r>
          </w:p>
        </w:tc>
        <w:tc>
          <w:tcPr>
            <w:tcW w:w="594" w:type="pct"/>
            <w:tcBorders>
              <w:tl2br w:val="nil"/>
              <w:tr2bl w:val="nil"/>
            </w:tcBorders>
            <w:noWrap w:val="0"/>
            <w:tcMar>
              <w:top w:w="15" w:type="dxa"/>
              <w:left w:w="15" w:type="dxa"/>
              <w:right w:w="15" w:type="dxa"/>
            </w:tcMar>
            <w:vAlign w:val="center"/>
          </w:tcPr>
          <w:p w14:paraId="41F2A2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日平均</w:t>
            </w:r>
          </w:p>
        </w:tc>
        <w:tc>
          <w:tcPr>
            <w:tcW w:w="1973" w:type="dxa"/>
            <w:tcBorders>
              <w:tl2br w:val="nil"/>
              <w:tr2bl w:val="nil"/>
            </w:tcBorders>
            <w:noWrap/>
            <w:tcMar>
              <w:top w:w="15" w:type="dxa"/>
              <w:left w:w="15" w:type="dxa"/>
              <w:right w:w="15" w:type="dxa"/>
            </w:tcMar>
            <w:vAlign w:val="center"/>
          </w:tcPr>
          <w:p w14:paraId="6F517FD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0.04592</w:t>
            </w:r>
          </w:p>
        </w:tc>
        <w:tc>
          <w:tcPr>
            <w:tcW w:w="1216" w:type="dxa"/>
            <w:tcBorders>
              <w:tl2br w:val="nil"/>
              <w:tr2bl w:val="nil"/>
            </w:tcBorders>
            <w:noWrap/>
            <w:tcMar>
              <w:top w:w="15" w:type="dxa"/>
              <w:left w:w="15" w:type="dxa"/>
              <w:right w:w="15" w:type="dxa"/>
            </w:tcMar>
            <w:vAlign w:val="center"/>
          </w:tcPr>
          <w:p w14:paraId="1679DD6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240128</w:t>
            </w:r>
          </w:p>
        </w:tc>
        <w:tc>
          <w:tcPr>
            <w:tcW w:w="1180" w:type="dxa"/>
            <w:tcBorders>
              <w:tl2br w:val="nil"/>
              <w:tr2bl w:val="nil"/>
            </w:tcBorders>
            <w:noWrap/>
            <w:tcMar>
              <w:top w:w="15" w:type="dxa"/>
              <w:left w:w="15" w:type="dxa"/>
              <w:right w:w="15" w:type="dxa"/>
            </w:tcMar>
            <w:vAlign w:val="center"/>
          </w:tcPr>
          <w:p w14:paraId="15B99A4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0.03</w:t>
            </w:r>
          </w:p>
        </w:tc>
        <w:tc>
          <w:tcPr>
            <w:tcW w:w="580" w:type="pct"/>
            <w:tcBorders>
              <w:tl2br w:val="nil"/>
              <w:tr2bl w:val="nil"/>
            </w:tcBorders>
            <w:noWrap w:val="0"/>
            <w:tcMar>
              <w:top w:w="15" w:type="dxa"/>
              <w:left w:w="15" w:type="dxa"/>
              <w:right w:w="15" w:type="dxa"/>
            </w:tcMar>
            <w:vAlign w:val="center"/>
          </w:tcPr>
          <w:p w14:paraId="5897F2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40D6944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5" w:type="pct"/>
            <w:vMerge w:val="continue"/>
            <w:tcBorders>
              <w:tl2br w:val="nil"/>
              <w:tr2bl w:val="nil"/>
            </w:tcBorders>
            <w:noWrap w:val="0"/>
            <w:tcMar>
              <w:top w:w="15" w:type="dxa"/>
              <w:left w:w="15" w:type="dxa"/>
              <w:right w:w="15" w:type="dxa"/>
            </w:tcMar>
            <w:vAlign w:val="center"/>
          </w:tcPr>
          <w:p w14:paraId="44F41FF9">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24" w:type="pct"/>
            <w:vMerge w:val="continue"/>
            <w:tcBorders>
              <w:tl2br w:val="nil"/>
              <w:tr2bl w:val="nil"/>
            </w:tcBorders>
            <w:noWrap w:val="0"/>
            <w:tcMar>
              <w:top w:w="15" w:type="dxa"/>
              <w:left w:w="15" w:type="dxa"/>
              <w:right w:w="15" w:type="dxa"/>
            </w:tcMar>
            <w:vAlign w:val="center"/>
          </w:tcPr>
          <w:p w14:paraId="7FBD55DF">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p>
        </w:tc>
        <w:tc>
          <w:tcPr>
            <w:tcW w:w="594" w:type="pct"/>
            <w:tcBorders>
              <w:tl2br w:val="nil"/>
              <w:tr2bl w:val="nil"/>
            </w:tcBorders>
            <w:noWrap w:val="0"/>
            <w:tcMar>
              <w:top w:w="15" w:type="dxa"/>
              <w:left w:w="15" w:type="dxa"/>
              <w:right w:w="15" w:type="dxa"/>
            </w:tcMar>
            <w:vAlign w:val="center"/>
          </w:tcPr>
          <w:p w14:paraId="1CBBC0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年平均</w:t>
            </w:r>
          </w:p>
        </w:tc>
        <w:tc>
          <w:tcPr>
            <w:tcW w:w="1973" w:type="dxa"/>
            <w:tcBorders>
              <w:tl2br w:val="nil"/>
              <w:tr2bl w:val="nil"/>
            </w:tcBorders>
            <w:noWrap/>
            <w:tcMar>
              <w:top w:w="15" w:type="dxa"/>
              <w:left w:w="15" w:type="dxa"/>
              <w:right w:w="15" w:type="dxa"/>
            </w:tcMar>
            <w:vAlign w:val="center"/>
          </w:tcPr>
          <w:p w14:paraId="614856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0.00052</w:t>
            </w:r>
          </w:p>
        </w:tc>
        <w:tc>
          <w:tcPr>
            <w:tcW w:w="1216" w:type="dxa"/>
            <w:tcBorders>
              <w:tl2br w:val="nil"/>
              <w:tr2bl w:val="nil"/>
            </w:tcBorders>
            <w:noWrap/>
            <w:tcMar>
              <w:top w:w="15" w:type="dxa"/>
              <w:left w:w="15" w:type="dxa"/>
              <w:right w:w="15" w:type="dxa"/>
            </w:tcMar>
            <w:vAlign w:val="center"/>
          </w:tcPr>
          <w:p w14:paraId="0229A98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平均值</w:t>
            </w:r>
          </w:p>
        </w:tc>
        <w:tc>
          <w:tcPr>
            <w:tcW w:w="1180" w:type="dxa"/>
            <w:tcBorders>
              <w:tl2br w:val="nil"/>
              <w:tr2bl w:val="nil"/>
            </w:tcBorders>
            <w:noWrap/>
            <w:tcMar>
              <w:top w:w="15" w:type="dxa"/>
              <w:left w:w="15" w:type="dxa"/>
              <w:right w:w="15" w:type="dxa"/>
            </w:tcMar>
            <w:vAlign w:val="center"/>
          </w:tcPr>
          <w:p w14:paraId="01B7CB3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w:t>
            </w:r>
          </w:p>
        </w:tc>
        <w:tc>
          <w:tcPr>
            <w:tcW w:w="580" w:type="pct"/>
            <w:tcBorders>
              <w:tl2br w:val="nil"/>
              <w:tr2bl w:val="nil"/>
            </w:tcBorders>
            <w:noWrap w:val="0"/>
            <w:tcMar>
              <w:top w:w="15" w:type="dxa"/>
              <w:left w:w="15" w:type="dxa"/>
              <w:right w:w="15" w:type="dxa"/>
            </w:tcMar>
            <w:vAlign w:val="center"/>
          </w:tcPr>
          <w:p w14:paraId="3764B2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289700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5" w:type="pct"/>
            <w:vMerge w:val="continue"/>
            <w:tcBorders>
              <w:tl2br w:val="nil"/>
              <w:tr2bl w:val="nil"/>
            </w:tcBorders>
            <w:noWrap w:val="0"/>
            <w:tcMar>
              <w:top w:w="15" w:type="dxa"/>
              <w:left w:w="15" w:type="dxa"/>
              <w:right w:w="15" w:type="dxa"/>
            </w:tcMar>
            <w:vAlign w:val="center"/>
          </w:tcPr>
          <w:p w14:paraId="17BEAEC4">
            <w:pPr>
              <w:pStyle w:val="3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color w:val="FF0000"/>
                <w:sz w:val="21"/>
                <w:szCs w:val="21"/>
                <w:highlight w:val="none"/>
              </w:rPr>
            </w:pPr>
          </w:p>
        </w:tc>
        <w:tc>
          <w:tcPr>
            <w:tcW w:w="724" w:type="pct"/>
            <w:vMerge w:val="restart"/>
            <w:tcBorders>
              <w:tl2br w:val="nil"/>
              <w:tr2bl w:val="nil"/>
            </w:tcBorders>
            <w:noWrap w:val="0"/>
            <w:tcMar>
              <w:top w:w="15" w:type="dxa"/>
              <w:left w:w="15" w:type="dxa"/>
              <w:right w:w="15" w:type="dxa"/>
            </w:tcMar>
            <w:vAlign w:val="center"/>
          </w:tcPr>
          <w:p w14:paraId="23132C24">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default" w:ascii="Times New Roman" w:hAnsi="Times New Roman" w:eastAsia="宋体" w:cs="Times New Roman"/>
                <w:i w:val="0"/>
                <w:color w:val="FF0000"/>
                <w:sz w:val="21"/>
                <w:szCs w:val="21"/>
                <w:highlight w:val="none"/>
                <w:u w:val="none"/>
                <w:lang w:val="en-US" w:eastAsia="zh-CN"/>
              </w:rPr>
              <w:t>东侧市区（绿云社区）</w:t>
            </w:r>
          </w:p>
        </w:tc>
        <w:tc>
          <w:tcPr>
            <w:tcW w:w="594" w:type="pct"/>
            <w:tcBorders>
              <w:tl2br w:val="nil"/>
              <w:tr2bl w:val="nil"/>
            </w:tcBorders>
            <w:noWrap w:val="0"/>
            <w:tcMar>
              <w:top w:w="15" w:type="dxa"/>
              <w:left w:w="15" w:type="dxa"/>
              <w:right w:w="15" w:type="dxa"/>
            </w:tcMar>
            <w:vAlign w:val="center"/>
          </w:tcPr>
          <w:p w14:paraId="1DB213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日平均</w:t>
            </w:r>
          </w:p>
        </w:tc>
        <w:tc>
          <w:tcPr>
            <w:tcW w:w="1973" w:type="dxa"/>
            <w:tcBorders>
              <w:tl2br w:val="nil"/>
              <w:tr2bl w:val="nil"/>
            </w:tcBorders>
            <w:noWrap/>
            <w:tcMar>
              <w:top w:w="15" w:type="dxa"/>
              <w:left w:w="15" w:type="dxa"/>
              <w:right w:w="15" w:type="dxa"/>
            </w:tcMar>
            <w:vAlign w:val="center"/>
          </w:tcPr>
          <w:p w14:paraId="161B2DE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0.05821</w:t>
            </w:r>
          </w:p>
        </w:tc>
        <w:tc>
          <w:tcPr>
            <w:tcW w:w="1216" w:type="dxa"/>
            <w:tcBorders>
              <w:tl2br w:val="nil"/>
              <w:tr2bl w:val="nil"/>
            </w:tcBorders>
            <w:noWrap/>
            <w:tcMar>
              <w:top w:w="15" w:type="dxa"/>
              <w:left w:w="15" w:type="dxa"/>
              <w:right w:w="15" w:type="dxa"/>
            </w:tcMar>
            <w:vAlign w:val="center"/>
          </w:tcPr>
          <w:p w14:paraId="7DE2C61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240223</w:t>
            </w:r>
          </w:p>
        </w:tc>
        <w:tc>
          <w:tcPr>
            <w:tcW w:w="1180" w:type="dxa"/>
            <w:tcBorders>
              <w:tl2br w:val="nil"/>
              <w:tr2bl w:val="nil"/>
            </w:tcBorders>
            <w:noWrap/>
            <w:tcMar>
              <w:top w:w="15" w:type="dxa"/>
              <w:left w:w="15" w:type="dxa"/>
              <w:right w:w="15" w:type="dxa"/>
            </w:tcMar>
            <w:vAlign w:val="center"/>
          </w:tcPr>
          <w:p w14:paraId="35B7FB9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0.04</w:t>
            </w:r>
          </w:p>
        </w:tc>
        <w:tc>
          <w:tcPr>
            <w:tcW w:w="580" w:type="pct"/>
            <w:tcBorders>
              <w:tl2br w:val="nil"/>
              <w:tr2bl w:val="nil"/>
            </w:tcBorders>
            <w:noWrap w:val="0"/>
            <w:tcMar>
              <w:top w:w="15" w:type="dxa"/>
              <w:left w:w="15" w:type="dxa"/>
              <w:right w:w="15" w:type="dxa"/>
            </w:tcMar>
            <w:vAlign w:val="center"/>
          </w:tcPr>
          <w:p w14:paraId="5972D1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170E74A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5" w:type="pct"/>
            <w:vMerge w:val="continue"/>
            <w:tcBorders>
              <w:tl2br w:val="nil"/>
              <w:tr2bl w:val="nil"/>
            </w:tcBorders>
            <w:noWrap w:val="0"/>
            <w:tcMar>
              <w:top w:w="15" w:type="dxa"/>
              <w:left w:w="15" w:type="dxa"/>
              <w:right w:w="15" w:type="dxa"/>
            </w:tcMar>
            <w:vAlign w:val="center"/>
          </w:tcPr>
          <w:p w14:paraId="6E324018">
            <w:pPr>
              <w:pStyle w:val="3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color w:val="FF0000"/>
                <w:sz w:val="21"/>
                <w:szCs w:val="21"/>
                <w:highlight w:val="none"/>
              </w:rPr>
            </w:pPr>
          </w:p>
        </w:tc>
        <w:tc>
          <w:tcPr>
            <w:tcW w:w="724" w:type="pct"/>
            <w:vMerge w:val="continue"/>
            <w:tcBorders>
              <w:tl2br w:val="nil"/>
              <w:tr2bl w:val="nil"/>
            </w:tcBorders>
            <w:noWrap w:val="0"/>
            <w:tcMar>
              <w:top w:w="15" w:type="dxa"/>
              <w:left w:w="15" w:type="dxa"/>
              <w:right w:w="15" w:type="dxa"/>
            </w:tcMar>
            <w:vAlign w:val="center"/>
          </w:tcPr>
          <w:p w14:paraId="3594DFEE">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p>
        </w:tc>
        <w:tc>
          <w:tcPr>
            <w:tcW w:w="594" w:type="pct"/>
            <w:tcBorders>
              <w:tl2br w:val="nil"/>
              <w:tr2bl w:val="nil"/>
            </w:tcBorders>
            <w:noWrap w:val="0"/>
            <w:tcMar>
              <w:top w:w="15" w:type="dxa"/>
              <w:left w:w="15" w:type="dxa"/>
              <w:right w:w="15" w:type="dxa"/>
            </w:tcMar>
            <w:vAlign w:val="center"/>
          </w:tcPr>
          <w:p w14:paraId="0558FE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年平均</w:t>
            </w:r>
          </w:p>
        </w:tc>
        <w:tc>
          <w:tcPr>
            <w:tcW w:w="1973" w:type="dxa"/>
            <w:tcBorders>
              <w:tl2br w:val="nil"/>
              <w:tr2bl w:val="nil"/>
            </w:tcBorders>
            <w:noWrap/>
            <w:tcMar>
              <w:top w:w="15" w:type="dxa"/>
              <w:left w:w="15" w:type="dxa"/>
              <w:right w:w="15" w:type="dxa"/>
            </w:tcMar>
            <w:vAlign w:val="center"/>
          </w:tcPr>
          <w:p w14:paraId="2BC0828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0.00329</w:t>
            </w:r>
          </w:p>
        </w:tc>
        <w:tc>
          <w:tcPr>
            <w:tcW w:w="1216" w:type="dxa"/>
            <w:tcBorders>
              <w:tl2br w:val="nil"/>
              <w:tr2bl w:val="nil"/>
            </w:tcBorders>
            <w:noWrap/>
            <w:tcMar>
              <w:top w:w="15" w:type="dxa"/>
              <w:left w:w="15" w:type="dxa"/>
              <w:right w:w="15" w:type="dxa"/>
            </w:tcMar>
            <w:vAlign w:val="center"/>
          </w:tcPr>
          <w:p w14:paraId="01773E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平均值</w:t>
            </w:r>
          </w:p>
        </w:tc>
        <w:tc>
          <w:tcPr>
            <w:tcW w:w="1180" w:type="dxa"/>
            <w:tcBorders>
              <w:tl2br w:val="nil"/>
              <w:tr2bl w:val="nil"/>
            </w:tcBorders>
            <w:noWrap/>
            <w:tcMar>
              <w:top w:w="15" w:type="dxa"/>
              <w:left w:w="15" w:type="dxa"/>
              <w:right w:w="15" w:type="dxa"/>
            </w:tcMar>
            <w:vAlign w:val="center"/>
          </w:tcPr>
          <w:p w14:paraId="10C15EE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w:t>
            </w:r>
          </w:p>
        </w:tc>
        <w:tc>
          <w:tcPr>
            <w:tcW w:w="580" w:type="pct"/>
            <w:tcBorders>
              <w:tl2br w:val="nil"/>
              <w:tr2bl w:val="nil"/>
            </w:tcBorders>
            <w:noWrap w:val="0"/>
            <w:tcMar>
              <w:top w:w="15" w:type="dxa"/>
              <w:left w:w="15" w:type="dxa"/>
              <w:right w:w="15" w:type="dxa"/>
            </w:tcMar>
            <w:vAlign w:val="center"/>
          </w:tcPr>
          <w:p w14:paraId="09A18C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1ADEB50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5" w:type="pct"/>
            <w:vMerge w:val="continue"/>
            <w:tcBorders>
              <w:tl2br w:val="nil"/>
              <w:tr2bl w:val="nil"/>
            </w:tcBorders>
            <w:noWrap w:val="0"/>
            <w:tcMar>
              <w:top w:w="15" w:type="dxa"/>
              <w:left w:w="15" w:type="dxa"/>
              <w:right w:w="15" w:type="dxa"/>
            </w:tcMar>
            <w:vAlign w:val="center"/>
          </w:tcPr>
          <w:p w14:paraId="4B583B76">
            <w:pPr>
              <w:pStyle w:val="3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color w:val="FF0000"/>
                <w:sz w:val="21"/>
                <w:szCs w:val="21"/>
                <w:highlight w:val="none"/>
              </w:rPr>
            </w:pPr>
          </w:p>
        </w:tc>
        <w:tc>
          <w:tcPr>
            <w:tcW w:w="724" w:type="pct"/>
            <w:vMerge w:val="restart"/>
            <w:tcBorders>
              <w:tl2br w:val="nil"/>
              <w:tr2bl w:val="nil"/>
            </w:tcBorders>
            <w:noWrap w:val="0"/>
            <w:tcMar>
              <w:top w:w="15" w:type="dxa"/>
              <w:left w:w="15" w:type="dxa"/>
              <w:right w:w="15" w:type="dxa"/>
            </w:tcMar>
            <w:vAlign w:val="center"/>
          </w:tcPr>
          <w:p w14:paraId="5B3C8C65">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default" w:ascii="Times New Roman" w:hAnsi="Times New Roman" w:eastAsia="宋体" w:cs="Times New Roman"/>
                <w:i w:val="0"/>
                <w:color w:val="FF0000"/>
                <w:sz w:val="21"/>
                <w:szCs w:val="21"/>
                <w:highlight w:val="none"/>
                <w:u w:val="none"/>
                <w:lang w:val="en-US" w:eastAsia="zh-CN"/>
              </w:rPr>
              <w:t>南侧市区（佳木斯市第十六中学）</w:t>
            </w:r>
          </w:p>
        </w:tc>
        <w:tc>
          <w:tcPr>
            <w:tcW w:w="594" w:type="pct"/>
            <w:tcBorders>
              <w:tl2br w:val="nil"/>
              <w:tr2bl w:val="nil"/>
            </w:tcBorders>
            <w:noWrap w:val="0"/>
            <w:tcMar>
              <w:top w:w="15" w:type="dxa"/>
              <w:left w:w="15" w:type="dxa"/>
              <w:right w:w="15" w:type="dxa"/>
            </w:tcMar>
            <w:vAlign w:val="center"/>
          </w:tcPr>
          <w:p w14:paraId="153375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日平均</w:t>
            </w:r>
          </w:p>
        </w:tc>
        <w:tc>
          <w:tcPr>
            <w:tcW w:w="1973" w:type="dxa"/>
            <w:tcBorders>
              <w:tl2br w:val="nil"/>
              <w:tr2bl w:val="nil"/>
            </w:tcBorders>
            <w:noWrap/>
            <w:tcMar>
              <w:top w:w="15" w:type="dxa"/>
              <w:left w:w="15" w:type="dxa"/>
              <w:right w:w="15" w:type="dxa"/>
            </w:tcMar>
            <w:vAlign w:val="center"/>
          </w:tcPr>
          <w:p w14:paraId="07D228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0.02582</w:t>
            </w:r>
          </w:p>
        </w:tc>
        <w:tc>
          <w:tcPr>
            <w:tcW w:w="1216" w:type="dxa"/>
            <w:tcBorders>
              <w:tl2br w:val="nil"/>
              <w:tr2bl w:val="nil"/>
            </w:tcBorders>
            <w:noWrap/>
            <w:tcMar>
              <w:top w:w="15" w:type="dxa"/>
              <w:left w:w="15" w:type="dxa"/>
              <w:right w:w="15" w:type="dxa"/>
            </w:tcMar>
            <w:vAlign w:val="center"/>
          </w:tcPr>
          <w:p w14:paraId="125AB0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240104</w:t>
            </w:r>
          </w:p>
        </w:tc>
        <w:tc>
          <w:tcPr>
            <w:tcW w:w="1180" w:type="dxa"/>
            <w:tcBorders>
              <w:tl2br w:val="nil"/>
              <w:tr2bl w:val="nil"/>
            </w:tcBorders>
            <w:noWrap/>
            <w:tcMar>
              <w:top w:w="15" w:type="dxa"/>
              <w:left w:w="15" w:type="dxa"/>
              <w:right w:w="15" w:type="dxa"/>
            </w:tcMar>
            <w:vAlign w:val="center"/>
          </w:tcPr>
          <w:p w14:paraId="0CA85BC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0.02</w:t>
            </w:r>
          </w:p>
        </w:tc>
        <w:tc>
          <w:tcPr>
            <w:tcW w:w="580" w:type="pct"/>
            <w:tcBorders>
              <w:tl2br w:val="nil"/>
              <w:tr2bl w:val="nil"/>
            </w:tcBorders>
            <w:noWrap w:val="0"/>
            <w:tcMar>
              <w:top w:w="15" w:type="dxa"/>
              <w:left w:w="15" w:type="dxa"/>
              <w:right w:w="15" w:type="dxa"/>
            </w:tcMar>
            <w:vAlign w:val="center"/>
          </w:tcPr>
          <w:p w14:paraId="751EB6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5A1EBF4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5" w:type="pct"/>
            <w:vMerge w:val="continue"/>
            <w:tcBorders>
              <w:tl2br w:val="nil"/>
              <w:tr2bl w:val="nil"/>
            </w:tcBorders>
            <w:noWrap w:val="0"/>
            <w:tcMar>
              <w:top w:w="15" w:type="dxa"/>
              <w:left w:w="15" w:type="dxa"/>
              <w:right w:w="15" w:type="dxa"/>
            </w:tcMar>
            <w:vAlign w:val="center"/>
          </w:tcPr>
          <w:p w14:paraId="3BCFC0ED">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24" w:type="pct"/>
            <w:vMerge w:val="continue"/>
            <w:tcBorders>
              <w:tl2br w:val="nil"/>
              <w:tr2bl w:val="nil"/>
            </w:tcBorders>
            <w:noWrap w:val="0"/>
            <w:tcMar>
              <w:top w:w="15" w:type="dxa"/>
              <w:left w:w="15" w:type="dxa"/>
              <w:right w:w="15" w:type="dxa"/>
            </w:tcMar>
            <w:vAlign w:val="center"/>
          </w:tcPr>
          <w:p w14:paraId="4D0C5593">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p>
        </w:tc>
        <w:tc>
          <w:tcPr>
            <w:tcW w:w="594" w:type="pct"/>
            <w:tcBorders>
              <w:tl2br w:val="nil"/>
              <w:tr2bl w:val="nil"/>
            </w:tcBorders>
            <w:noWrap w:val="0"/>
            <w:tcMar>
              <w:top w:w="15" w:type="dxa"/>
              <w:left w:w="15" w:type="dxa"/>
              <w:right w:w="15" w:type="dxa"/>
            </w:tcMar>
            <w:vAlign w:val="center"/>
          </w:tcPr>
          <w:p w14:paraId="5B7226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年平均</w:t>
            </w:r>
          </w:p>
        </w:tc>
        <w:tc>
          <w:tcPr>
            <w:tcW w:w="1973" w:type="dxa"/>
            <w:tcBorders>
              <w:tl2br w:val="nil"/>
              <w:tr2bl w:val="nil"/>
            </w:tcBorders>
            <w:noWrap/>
            <w:tcMar>
              <w:top w:w="15" w:type="dxa"/>
              <w:left w:w="15" w:type="dxa"/>
              <w:right w:w="15" w:type="dxa"/>
            </w:tcMar>
            <w:vAlign w:val="center"/>
          </w:tcPr>
          <w:p w14:paraId="51B298C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0.00051</w:t>
            </w:r>
          </w:p>
        </w:tc>
        <w:tc>
          <w:tcPr>
            <w:tcW w:w="1216" w:type="dxa"/>
            <w:tcBorders>
              <w:tl2br w:val="nil"/>
              <w:tr2bl w:val="nil"/>
            </w:tcBorders>
            <w:noWrap/>
            <w:tcMar>
              <w:top w:w="15" w:type="dxa"/>
              <w:left w:w="15" w:type="dxa"/>
              <w:right w:w="15" w:type="dxa"/>
            </w:tcMar>
            <w:vAlign w:val="center"/>
          </w:tcPr>
          <w:p w14:paraId="6EABBF8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平均值</w:t>
            </w:r>
          </w:p>
        </w:tc>
        <w:tc>
          <w:tcPr>
            <w:tcW w:w="1180" w:type="dxa"/>
            <w:tcBorders>
              <w:tl2br w:val="nil"/>
              <w:tr2bl w:val="nil"/>
            </w:tcBorders>
            <w:noWrap/>
            <w:tcMar>
              <w:top w:w="15" w:type="dxa"/>
              <w:left w:w="15" w:type="dxa"/>
              <w:right w:w="15" w:type="dxa"/>
            </w:tcMar>
            <w:vAlign w:val="center"/>
          </w:tcPr>
          <w:p w14:paraId="19C929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w:t>
            </w:r>
          </w:p>
        </w:tc>
        <w:tc>
          <w:tcPr>
            <w:tcW w:w="580" w:type="pct"/>
            <w:tcBorders>
              <w:tl2br w:val="nil"/>
              <w:tr2bl w:val="nil"/>
            </w:tcBorders>
            <w:noWrap w:val="0"/>
            <w:tcMar>
              <w:top w:w="15" w:type="dxa"/>
              <w:left w:w="15" w:type="dxa"/>
              <w:right w:w="15" w:type="dxa"/>
            </w:tcMar>
            <w:vAlign w:val="center"/>
          </w:tcPr>
          <w:p w14:paraId="3286E2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4AC49E4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5" w:type="pct"/>
            <w:vMerge w:val="continue"/>
            <w:tcBorders>
              <w:tl2br w:val="nil"/>
              <w:tr2bl w:val="nil"/>
            </w:tcBorders>
            <w:noWrap w:val="0"/>
            <w:tcMar>
              <w:top w:w="15" w:type="dxa"/>
              <w:left w:w="15" w:type="dxa"/>
              <w:right w:w="15" w:type="dxa"/>
            </w:tcMar>
            <w:vAlign w:val="center"/>
          </w:tcPr>
          <w:p w14:paraId="620A3854">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aseline"/>
              <w:rPr>
                <w:rFonts w:hint="default" w:ascii="Times New Roman" w:hAnsi="Times New Roman" w:eastAsia="宋体" w:cs="Times New Roman"/>
                <w:color w:val="FF0000"/>
                <w:kern w:val="2"/>
                <w:sz w:val="21"/>
                <w:szCs w:val="21"/>
                <w:highlight w:val="none"/>
                <w:lang w:val="en-US" w:eastAsia="zh-CN" w:bidi="ar-SA"/>
              </w:rPr>
            </w:pPr>
          </w:p>
        </w:tc>
        <w:tc>
          <w:tcPr>
            <w:tcW w:w="724" w:type="pct"/>
            <w:vMerge w:val="restart"/>
            <w:tcBorders>
              <w:tl2br w:val="nil"/>
              <w:tr2bl w:val="nil"/>
            </w:tcBorders>
            <w:noWrap w:val="0"/>
            <w:tcMar>
              <w:top w:w="15" w:type="dxa"/>
              <w:left w:w="15" w:type="dxa"/>
              <w:right w:w="15" w:type="dxa"/>
            </w:tcMar>
            <w:vAlign w:val="center"/>
          </w:tcPr>
          <w:p w14:paraId="0B3743F9">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default" w:ascii="Times New Roman" w:hAnsi="Times New Roman" w:eastAsia="宋体" w:cs="Times New Roman"/>
                <w:i w:val="0"/>
                <w:color w:val="FF0000"/>
                <w:sz w:val="21"/>
                <w:szCs w:val="21"/>
                <w:highlight w:val="none"/>
                <w:u w:val="none"/>
                <w:lang w:val="en-US" w:eastAsia="zh-CN"/>
              </w:rPr>
              <w:t>区域最大落地浓度</w:t>
            </w:r>
          </w:p>
        </w:tc>
        <w:tc>
          <w:tcPr>
            <w:tcW w:w="594" w:type="pct"/>
            <w:tcBorders>
              <w:tl2br w:val="nil"/>
              <w:tr2bl w:val="nil"/>
            </w:tcBorders>
            <w:noWrap w:val="0"/>
            <w:tcMar>
              <w:top w:w="15" w:type="dxa"/>
              <w:left w:w="15" w:type="dxa"/>
              <w:right w:w="15" w:type="dxa"/>
            </w:tcMar>
            <w:vAlign w:val="center"/>
          </w:tcPr>
          <w:p w14:paraId="54400D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日平均</w:t>
            </w:r>
          </w:p>
        </w:tc>
        <w:tc>
          <w:tcPr>
            <w:tcW w:w="1973" w:type="dxa"/>
            <w:tcBorders>
              <w:tl2br w:val="nil"/>
              <w:tr2bl w:val="nil"/>
            </w:tcBorders>
            <w:noWrap/>
            <w:tcMar>
              <w:top w:w="15" w:type="dxa"/>
              <w:left w:w="15" w:type="dxa"/>
              <w:right w:w="15" w:type="dxa"/>
            </w:tcMar>
            <w:vAlign w:val="center"/>
          </w:tcPr>
          <w:p w14:paraId="1C4F833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0.48451</w:t>
            </w:r>
          </w:p>
        </w:tc>
        <w:tc>
          <w:tcPr>
            <w:tcW w:w="1216" w:type="dxa"/>
            <w:tcBorders>
              <w:tl2br w:val="nil"/>
              <w:tr2bl w:val="nil"/>
            </w:tcBorders>
            <w:noWrap/>
            <w:tcMar>
              <w:top w:w="15" w:type="dxa"/>
              <w:left w:w="15" w:type="dxa"/>
              <w:right w:w="15" w:type="dxa"/>
            </w:tcMar>
            <w:vAlign w:val="center"/>
          </w:tcPr>
          <w:p w14:paraId="63147B2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240116</w:t>
            </w:r>
          </w:p>
        </w:tc>
        <w:tc>
          <w:tcPr>
            <w:tcW w:w="1180" w:type="dxa"/>
            <w:tcBorders>
              <w:tl2br w:val="nil"/>
              <w:tr2bl w:val="nil"/>
            </w:tcBorders>
            <w:noWrap/>
            <w:tcMar>
              <w:top w:w="15" w:type="dxa"/>
              <w:left w:w="15" w:type="dxa"/>
              <w:right w:w="15" w:type="dxa"/>
            </w:tcMar>
            <w:vAlign w:val="center"/>
          </w:tcPr>
          <w:p w14:paraId="5993EB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0.32</w:t>
            </w:r>
          </w:p>
        </w:tc>
        <w:tc>
          <w:tcPr>
            <w:tcW w:w="580" w:type="pct"/>
            <w:tcBorders>
              <w:tl2br w:val="nil"/>
              <w:tr2bl w:val="nil"/>
            </w:tcBorders>
            <w:noWrap w:val="0"/>
            <w:tcMar>
              <w:top w:w="15" w:type="dxa"/>
              <w:left w:w="15" w:type="dxa"/>
              <w:right w:w="15" w:type="dxa"/>
            </w:tcMar>
            <w:vAlign w:val="center"/>
          </w:tcPr>
          <w:p w14:paraId="41D693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0904B55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5" w:type="pct"/>
            <w:vMerge w:val="continue"/>
            <w:tcBorders>
              <w:tl2br w:val="nil"/>
              <w:tr2bl w:val="nil"/>
            </w:tcBorders>
            <w:noWrap w:val="0"/>
            <w:tcMar>
              <w:top w:w="15" w:type="dxa"/>
              <w:left w:w="15" w:type="dxa"/>
              <w:right w:w="15" w:type="dxa"/>
            </w:tcMar>
            <w:vAlign w:val="center"/>
          </w:tcPr>
          <w:p w14:paraId="33A6B893">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24" w:type="pct"/>
            <w:vMerge w:val="continue"/>
            <w:tcBorders>
              <w:tl2br w:val="nil"/>
              <w:tr2bl w:val="nil"/>
            </w:tcBorders>
            <w:noWrap w:val="0"/>
            <w:tcMar>
              <w:top w:w="15" w:type="dxa"/>
              <w:left w:w="15" w:type="dxa"/>
              <w:right w:w="15" w:type="dxa"/>
            </w:tcMar>
            <w:vAlign w:val="center"/>
          </w:tcPr>
          <w:p w14:paraId="2F3C29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594" w:type="pct"/>
            <w:tcBorders>
              <w:tl2br w:val="nil"/>
              <w:tr2bl w:val="nil"/>
            </w:tcBorders>
            <w:noWrap w:val="0"/>
            <w:tcMar>
              <w:top w:w="15" w:type="dxa"/>
              <w:left w:w="15" w:type="dxa"/>
              <w:right w:w="15" w:type="dxa"/>
            </w:tcMar>
            <w:vAlign w:val="center"/>
          </w:tcPr>
          <w:p w14:paraId="1DD296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年平均</w:t>
            </w:r>
          </w:p>
        </w:tc>
        <w:tc>
          <w:tcPr>
            <w:tcW w:w="1973" w:type="dxa"/>
            <w:tcBorders>
              <w:tl2br w:val="nil"/>
              <w:tr2bl w:val="nil"/>
            </w:tcBorders>
            <w:noWrap/>
            <w:tcMar>
              <w:top w:w="15" w:type="dxa"/>
              <w:left w:w="15" w:type="dxa"/>
              <w:right w:w="15" w:type="dxa"/>
            </w:tcMar>
            <w:vAlign w:val="center"/>
          </w:tcPr>
          <w:p w14:paraId="1EB183C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0.03452</w:t>
            </w:r>
          </w:p>
        </w:tc>
        <w:tc>
          <w:tcPr>
            <w:tcW w:w="1216" w:type="dxa"/>
            <w:tcBorders>
              <w:tl2br w:val="nil"/>
              <w:tr2bl w:val="nil"/>
            </w:tcBorders>
            <w:noWrap/>
            <w:tcMar>
              <w:top w:w="15" w:type="dxa"/>
              <w:left w:w="15" w:type="dxa"/>
              <w:right w:w="15" w:type="dxa"/>
            </w:tcMar>
            <w:vAlign w:val="center"/>
          </w:tcPr>
          <w:p w14:paraId="15AB735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平均值</w:t>
            </w:r>
          </w:p>
        </w:tc>
        <w:tc>
          <w:tcPr>
            <w:tcW w:w="1180" w:type="dxa"/>
            <w:tcBorders>
              <w:tl2br w:val="nil"/>
              <w:tr2bl w:val="nil"/>
            </w:tcBorders>
            <w:noWrap/>
            <w:tcMar>
              <w:top w:w="15" w:type="dxa"/>
              <w:left w:w="15" w:type="dxa"/>
              <w:right w:w="15" w:type="dxa"/>
            </w:tcMar>
            <w:vAlign w:val="center"/>
          </w:tcPr>
          <w:p w14:paraId="04666B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0.05</w:t>
            </w:r>
          </w:p>
        </w:tc>
        <w:tc>
          <w:tcPr>
            <w:tcW w:w="580" w:type="pct"/>
            <w:tcBorders>
              <w:tl2br w:val="nil"/>
              <w:tr2bl w:val="nil"/>
            </w:tcBorders>
            <w:noWrap w:val="0"/>
            <w:tcMar>
              <w:top w:w="15" w:type="dxa"/>
              <w:left w:w="15" w:type="dxa"/>
              <w:right w:w="15" w:type="dxa"/>
            </w:tcMar>
            <w:vAlign w:val="center"/>
          </w:tcPr>
          <w:p w14:paraId="5F05E7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bl>
    <w:p w14:paraId="76B55077">
      <w:pPr>
        <w:keepNext w:val="0"/>
        <w:keepLines w:val="0"/>
        <w:pageBreakBefore w:val="0"/>
        <w:widowControl w:val="0"/>
        <w:kinsoku/>
        <w:wordWrap/>
        <w:overflowPunct/>
        <w:topLinePunct w:val="0"/>
        <w:autoSpaceDE/>
        <w:autoSpaceDN/>
        <w:bidi w:val="0"/>
        <w:adjustRightInd/>
        <w:snapToGrid/>
        <w:spacing w:after="0" w:line="480" w:lineRule="exact"/>
        <w:ind w:firstLine="0" w:firstLineChars="0"/>
        <w:jc w:val="center"/>
        <w:textAlignment w:val="auto"/>
        <w:outlineLvl w:val="9"/>
        <w:rPr>
          <w:rFonts w:hint="default" w:ascii="Times New Roman" w:hAnsi="Times New Roman" w:eastAsia="宋体" w:cs="Times New Roman"/>
          <w:snapToGrid w:val="0"/>
          <w:color w:val="FF0000"/>
          <w:kern w:val="2"/>
          <w:sz w:val="24"/>
          <w:szCs w:val="24"/>
          <w:highlight w:val="none"/>
          <w:lang w:val="en-US" w:eastAsia="zh-CN" w:bidi="ar-SA"/>
        </w:rPr>
      </w:pPr>
      <w:r>
        <w:rPr>
          <w:rFonts w:hint="default" w:ascii="Times New Roman" w:hAnsi="Times New Roman" w:eastAsia="宋体" w:cs="Times New Roman"/>
          <w:snapToGrid w:val="0"/>
          <w:color w:val="FF0000"/>
          <w:kern w:val="2"/>
          <w:sz w:val="24"/>
          <w:szCs w:val="24"/>
          <w:highlight w:val="none"/>
          <w:lang w:val="en-US" w:eastAsia="zh-CN" w:bidi="ar-SA"/>
        </w:rPr>
        <w:t>表6.2-</w:t>
      </w:r>
      <w:r>
        <w:rPr>
          <w:rFonts w:hint="eastAsia" w:ascii="Times New Roman" w:hAnsi="Times New Roman" w:eastAsia="宋体" w:cs="Times New Roman"/>
          <w:snapToGrid w:val="0"/>
          <w:color w:val="FF0000"/>
          <w:kern w:val="2"/>
          <w:sz w:val="24"/>
          <w:szCs w:val="24"/>
          <w:highlight w:val="none"/>
          <w:lang w:val="en-US" w:eastAsia="zh-CN" w:bidi="ar-SA"/>
        </w:rPr>
        <w:t>9</w:t>
      </w:r>
      <w:r>
        <w:rPr>
          <w:rFonts w:hint="default" w:ascii="Times New Roman" w:hAnsi="Times New Roman" w:eastAsia="宋体" w:cs="Times New Roman"/>
          <w:snapToGrid w:val="0"/>
          <w:color w:val="FF0000"/>
          <w:kern w:val="2"/>
          <w:sz w:val="24"/>
          <w:szCs w:val="24"/>
          <w:highlight w:val="none"/>
          <w:lang w:val="en-US" w:eastAsia="zh-CN" w:bidi="ar-SA"/>
        </w:rPr>
        <w:t xml:space="preserve">  本项目PM</w:t>
      </w:r>
      <w:r>
        <w:rPr>
          <w:rFonts w:hint="default" w:ascii="Times New Roman" w:hAnsi="Times New Roman" w:eastAsia="宋体" w:cs="Times New Roman"/>
          <w:snapToGrid w:val="0"/>
          <w:color w:val="FF0000"/>
          <w:kern w:val="2"/>
          <w:sz w:val="24"/>
          <w:szCs w:val="24"/>
          <w:highlight w:val="none"/>
          <w:vertAlign w:val="subscript"/>
          <w:lang w:val="en-US" w:eastAsia="zh-CN" w:bidi="ar-SA"/>
        </w:rPr>
        <w:t>2.5</w:t>
      </w:r>
      <w:r>
        <w:rPr>
          <w:rFonts w:hint="default" w:ascii="Times New Roman" w:hAnsi="Times New Roman" w:eastAsia="宋体" w:cs="Times New Roman"/>
          <w:snapToGrid w:val="0"/>
          <w:color w:val="FF0000"/>
          <w:kern w:val="2"/>
          <w:sz w:val="24"/>
          <w:szCs w:val="24"/>
          <w:highlight w:val="none"/>
          <w:lang w:val="en-US" w:eastAsia="zh-CN" w:bidi="ar-SA"/>
        </w:rPr>
        <w:t>贡献质量浓度预测结果表</w:t>
      </w:r>
    </w:p>
    <w:tbl>
      <w:tblPr>
        <w:tblStyle w:val="37"/>
        <w:tblW w:w="4995"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836"/>
        <w:gridCol w:w="1189"/>
        <w:gridCol w:w="974"/>
        <w:gridCol w:w="2137"/>
        <w:gridCol w:w="966"/>
        <w:gridCol w:w="1211"/>
        <w:gridCol w:w="1009"/>
      </w:tblGrid>
      <w:tr w14:paraId="6A248A6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tcBorders>
              <w:tl2br w:val="nil"/>
              <w:tr2bl w:val="nil"/>
            </w:tcBorders>
            <w:noWrap w:val="0"/>
            <w:tcMar>
              <w:top w:w="15" w:type="dxa"/>
              <w:left w:w="15" w:type="dxa"/>
              <w:right w:w="15" w:type="dxa"/>
            </w:tcMar>
            <w:vAlign w:val="center"/>
          </w:tcPr>
          <w:p w14:paraId="133C0A27">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污染物</w:t>
            </w:r>
          </w:p>
        </w:tc>
        <w:tc>
          <w:tcPr>
            <w:tcW w:w="714" w:type="pct"/>
            <w:tcBorders>
              <w:tl2br w:val="nil"/>
              <w:tr2bl w:val="nil"/>
            </w:tcBorders>
            <w:noWrap w:val="0"/>
            <w:tcMar>
              <w:top w:w="15" w:type="dxa"/>
              <w:left w:w="15" w:type="dxa"/>
              <w:right w:w="15" w:type="dxa"/>
            </w:tcMar>
            <w:vAlign w:val="center"/>
          </w:tcPr>
          <w:p w14:paraId="578DA058">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预测点</w:t>
            </w:r>
          </w:p>
        </w:tc>
        <w:tc>
          <w:tcPr>
            <w:tcW w:w="585" w:type="pct"/>
            <w:tcBorders>
              <w:tl2br w:val="nil"/>
              <w:tr2bl w:val="nil"/>
            </w:tcBorders>
            <w:noWrap w:val="0"/>
            <w:tcMar>
              <w:top w:w="15" w:type="dxa"/>
              <w:left w:w="15" w:type="dxa"/>
              <w:right w:w="15" w:type="dxa"/>
            </w:tcMar>
            <w:vAlign w:val="center"/>
          </w:tcPr>
          <w:p w14:paraId="2DC2E6B0">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平均时段</w:t>
            </w:r>
          </w:p>
        </w:tc>
        <w:tc>
          <w:tcPr>
            <w:tcW w:w="1283" w:type="pct"/>
            <w:tcBorders>
              <w:tl2br w:val="nil"/>
              <w:tr2bl w:val="nil"/>
            </w:tcBorders>
            <w:noWrap w:val="0"/>
            <w:tcMar>
              <w:top w:w="15" w:type="dxa"/>
              <w:left w:w="15" w:type="dxa"/>
              <w:right w:w="15" w:type="dxa"/>
            </w:tcMar>
            <w:vAlign w:val="center"/>
          </w:tcPr>
          <w:p w14:paraId="62D7450E">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最大贡献值/</w:t>
            </w:r>
            <w:r>
              <w:rPr>
                <w:rFonts w:hint="default" w:ascii="Times New Roman" w:hAnsi="Times New Roman" w:eastAsia="宋体" w:cs="Times New Roman"/>
                <w:color w:val="FF0000"/>
                <w:sz w:val="21"/>
                <w:szCs w:val="21"/>
                <w:highlight w:val="none"/>
                <w:u w:val="none"/>
                <w:lang w:val="en-US" w:eastAsia="zh-CN" w:bidi="ar"/>
              </w:rPr>
              <w:t>（μ</w:t>
            </w:r>
            <w:r>
              <w:rPr>
                <w:rFonts w:hint="default" w:ascii="Times New Roman" w:hAnsi="Times New Roman" w:eastAsia="宋体" w:cs="Times New Roman"/>
                <w:i w:val="0"/>
                <w:color w:val="FF0000"/>
                <w:kern w:val="0"/>
                <w:sz w:val="21"/>
                <w:szCs w:val="21"/>
                <w:highlight w:val="none"/>
                <w:u w:val="none"/>
                <w:lang w:val="en-US" w:eastAsia="zh-CN" w:bidi="ar"/>
              </w:rPr>
              <w:t>g/m</w:t>
            </w:r>
            <w:r>
              <w:rPr>
                <w:rFonts w:hint="default" w:ascii="Times New Roman" w:hAnsi="Times New Roman" w:eastAsia="宋体" w:cs="Times New Roman"/>
                <w:i w:val="0"/>
                <w:color w:val="FF0000"/>
                <w:kern w:val="0"/>
                <w:sz w:val="21"/>
                <w:szCs w:val="21"/>
                <w:highlight w:val="none"/>
                <w:u w:val="none"/>
                <w:vertAlign w:val="superscript"/>
                <w:lang w:val="en-US" w:eastAsia="zh-CN" w:bidi="ar"/>
              </w:rPr>
              <w:t>3</w:t>
            </w:r>
            <w:r>
              <w:rPr>
                <w:rFonts w:hint="default" w:ascii="Times New Roman" w:hAnsi="Times New Roman" w:eastAsia="宋体" w:cs="Times New Roman"/>
                <w:color w:val="FF0000"/>
                <w:sz w:val="21"/>
                <w:szCs w:val="21"/>
                <w:highlight w:val="none"/>
                <w:u w:val="none"/>
                <w:lang w:val="en-US" w:eastAsia="zh-CN" w:bidi="ar"/>
              </w:rPr>
              <w:t>）</w:t>
            </w:r>
          </w:p>
        </w:tc>
        <w:tc>
          <w:tcPr>
            <w:tcW w:w="580" w:type="pct"/>
            <w:tcBorders>
              <w:tl2br w:val="nil"/>
              <w:tr2bl w:val="nil"/>
            </w:tcBorders>
            <w:noWrap w:val="0"/>
            <w:tcMar>
              <w:top w:w="15" w:type="dxa"/>
              <w:left w:w="15" w:type="dxa"/>
              <w:right w:w="15" w:type="dxa"/>
            </w:tcMar>
            <w:vAlign w:val="center"/>
          </w:tcPr>
          <w:p w14:paraId="1CC6AB56">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出现时间</w:t>
            </w:r>
          </w:p>
        </w:tc>
        <w:tc>
          <w:tcPr>
            <w:tcW w:w="727" w:type="pct"/>
            <w:tcBorders>
              <w:tl2br w:val="nil"/>
              <w:tr2bl w:val="nil"/>
            </w:tcBorders>
            <w:noWrap w:val="0"/>
            <w:tcMar>
              <w:top w:w="15" w:type="dxa"/>
              <w:left w:w="15" w:type="dxa"/>
              <w:right w:w="15" w:type="dxa"/>
            </w:tcMar>
            <w:vAlign w:val="center"/>
          </w:tcPr>
          <w:p w14:paraId="2D063AC1">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占标率/</w:t>
            </w:r>
            <w:r>
              <w:rPr>
                <w:rFonts w:hint="default" w:ascii="Times New Roman" w:hAnsi="Times New Roman" w:eastAsia="宋体" w:cs="Times New Roman"/>
                <w:color w:val="FF0000"/>
                <w:sz w:val="21"/>
                <w:szCs w:val="21"/>
                <w:highlight w:val="none"/>
                <w:u w:val="none"/>
                <w:lang w:val="en-US" w:eastAsia="zh-CN" w:bidi="ar"/>
              </w:rPr>
              <w:t>（%）</w:t>
            </w:r>
          </w:p>
        </w:tc>
        <w:tc>
          <w:tcPr>
            <w:tcW w:w="606" w:type="pct"/>
            <w:tcBorders>
              <w:tl2br w:val="nil"/>
              <w:tr2bl w:val="nil"/>
            </w:tcBorders>
            <w:noWrap w:val="0"/>
            <w:tcMar>
              <w:top w:w="15" w:type="dxa"/>
              <w:left w:w="15" w:type="dxa"/>
              <w:right w:w="15" w:type="dxa"/>
            </w:tcMar>
            <w:vAlign w:val="center"/>
          </w:tcPr>
          <w:p w14:paraId="3ECB3801">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达标情况</w:t>
            </w:r>
          </w:p>
        </w:tc>
      </w:tr>
      <w:tr w14:paraId="484A916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restart"/>
            <w:tcBorders>
              <w:tl2br w:val="nil"/>
              <w:tr2bl w:val="nil"/>
            </w:tcBorders>
            <w:noWrap w:val="0"/>
            <w:tcMar>
              <w:top w:w="15" w:type="dxa"/>
              <w:left w:w="15" w:type="dxa"/>
              <w:right w:w="15" w:type="dxa"/>
            </w:tcMar>
            <w:vAlign w:val="center"/>
          </w:tcPr>
          <w:p w14:paraId="024DE03F">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PM</w:t>
            </w:r>
            <w:r>
              <w:rPr>
                <w:rFonts w:hint="default" w:ascii="Times New Roman" w:hAnsi="Times New Roman" w:eastAsia="宋体" w:cs="Times New Roman"/>
                <w:i w:val="0"/>
                <w:color w:val="FF0000"/>
                <w:kern w:val="0"/>
                <w:sz w:val="21"/>
                <w:szCs w:val="21"/>
                <w:highlight w:val="none"/>
                <w:u w:val="none"/>
                <w:vertAlign w:val="subscript"/>
                <w:lang w:val="en-US" w:eastAsia="zh-CN" w:bidi="ar"/>
              </w:rPr>
              <w:t>2.5</w:t>
            </w:r>
          </w:p>
          <w:p w14:paraId="003D23A9">
            <w:pPr>
              <w:keepNext w:val="0"/>
              <w:keepLines w:val="0"/>
              <w:pageBreakBefore w:val="0"/>
              <w:kinsoku/>
              <w:wordWrap/>
              <w:overflowPunct/>
              <w:topLinePunct w:val="0"/>
              <w:autoSpaceDE/>
              <w:autoSpaceDN/>
              <w:bidi w:val="0"/>
              <w:adjustRightInd w:val="0"/>
              <w:snapToGrid/>
              <w:spacing w:line="240" w:lineRule="auto"/>
              <w:ind w:left="0" w:leftChars="0" w:firstLine="0" w:firstLineChars="0"/>
              <w:jc w:val="center"/>
              <w:rPr>
                <w:rFonts w:hint="default" w:ascii="Times New Roman" w:hAnsi="Times New Roman" w:eastAsia="宋体" w:cs="Times New Roman"/>
                <w:color w:val="FF0000"/>
                <w:sz w:val="21"/>
                <w:szCs w:val="21"/>
                <w:highlight w:val="none"/>
              </w:rPr>
            </w:pPr>
          </w:p>
          <w:p w14:paraId="476CC536">
            <w:pPr>
              <w:pStyle w:val="31"/>
              <w:keepNext w:val="0"/>
              <w:keepLines w:val="0"/>
              <w:pageBreakBefore w:val="0"/>
              <w:kinsoku/>
              <w:wordWrap/>
              <w:overflowPunct/>
              <w:topLinePunct w:val="0"/>
              <w:autoSpaceDE/>
              <w:autoSpaceDN/>
              <w:bidi w:val="0"/>
              <w:adjustRightInd w:val="0"/>
              <w:snapToGrid/>
              <w:spacing w:line="240" w:lineRule="auto"/>
              <w:ind w:left="0" w:leftChars="0" w:firstLine="0" w:firstLineChars="0"/>
              <w:jc w:val="center"/>
              <w:rPr>
                <w:rFonts w:hint="default" w:ascii="Times New Roman" w:hAnsi="Times New Roman" w:eastAsia="宋体" w:cs="Times New Roman"/>
                <w:color w:val="FF0000"/>
                <w:sz w:val="21"/>
                <w:szCs w:val="21"/>
                <w:highlight w:val="none"/>
              </w:rPr>
            </w:pPr>
          </w:p>
          <w:p w14:paraId="7B591439">
            <w:pPr>
              <w:keepNext w:val="0"/>
              <w:keepLines w:val="0"/>
              <w:pageBreakBefore w:val="0"/>
              <w:kinsoku/>
              <w:wordWrap/>
              <w:overflowPunct/>
              <w:topLinePunct w:val="0"/>
              <w:autoSpaceDE/>
              <w:autoSpaceDN/>
              <w:bidi w:val="0"/>
              <w:adjustRightInd w:val="0"/>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p w14:paraId="7EEFD46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aseline"/>
              <w:rPr>
                <w:rFonts w:hint="default" w:ascii="Times New Roman" w:hAnsi="Times New Roman" w:eastAsia="宋体" w:cs="Times New Roman"/>
                <w:color w:val="FF0000"/>
                <w:kern w:val="2"/>
                <w:sz w:val="21"/>
                <w:szCs w:val="21"/>
                <w:highlight w:val="none"/>
                <w:lang w:val="en-US" w:eastAsia="zh-CN" w:bidi="ar-SA"/>
              </w:rPr>
            </w:pPr>
          </w:p>
        </w:tc>
        <w:tc>
          <w:tcPr>
            <w:tcW w:w="714" w:type="pct"/>
            <w:vMerge w:val="restart"/>
            <w:tcBorders>
              <w:tl2br w:val="nil"/>
              <w:tr2bl w:val="nil"/>
            </w:tcBorders>
            <w:noWrap w:val="0"/>
            <w:tcMar>
              <w:top w:w="15" w:type="dxa"/>
              <w:left w:w="15" w:type="dxa"/>
              <w:right w:w="15" w:type="dxa"/>
            </w:tcMar>
            <w:vAlign w:val="center"/>
          </w:tcPr>
          <w:p w14:paraId="4C43E097">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范家屯</w:t>
            </w:r>
          </w:p>
        </w:tc>
        <w:tc>
          <w:tcPr>
            <w:tcW w:w="585" w:type="pct"/>
            <w:tcBorders>
              <w:tl2br w:val="nil"/>
              <w:tr2bl w:val="nil"/>
            </w:tcBorders>
            <w:noWrap w:val="0"/>
            <w:tcMar>
              <w:top w:w="15" w:type="dxa"/>
              <w:left w:w="15" w:type="dxa"/>
              <w:right w:w="15" w:type="dxa"/>
            </w:tcMar>
            <w:vAlign w:val="center"/>
          </w:tcPr>
          <w:p w14:paraId="5198941E">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日平均</w:t>
            </w:r>
          </w:p>
        </w:tc>
        <w:tc>
          <w:tcPr>
            <w:tcW w:w="2137" w:type="dxa"/>
            <w:tcBorders>
              <w:tl2br w:val="nil"/>
              <w:tr2bl w:val="nil"/>
            </w:tcBorders>
            <w:noWrap/>
            <w:tcMar>
              <w:top w:w="15" w:type="dxa"/>
              <w:left w:w="15" w:type="dxa"/>
              <w:right w:w="15" w:type="dxa"/>
            </w:tcMar>
            <w:vAlign w:val="center"/>
          </w:tcPr>
          <w:p w14:paraId="2186350C">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0.01599</w:t>
            </w:r>
          </w:p>
        </w:tc>
        <w:tc>
          <w:tcPr>
            <w:tcW w:w="966" w:type="dxa"/>
            <w:tcBorders>
              <w:tl2br w:val="nil"/>
              <w:tr2bl w:val="nil"/>
            </w:tcBorders>
            <w:noWrap/>
            <w:tcMar>
              <w:top w:w="15" w:type="dxa"/>
              <w:left w:w="15" w:type="dxa"/>
              <w:right w:w="15" w:type="dxa"/>
            </w:tcMar>
            <w:vAlign w:val="center"/>
          </w:tcPr>
          <w:p w14:paraId="27F3E40C">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240214</w:t>
            </w:r>
          </w:p>
        </w:tc>
        <w:tc>
          <w:tcPr>
            <w:tcW w:w="1211" w:type="dxa"/>
            <w:tcBorders>
              <w:tl2br w:val="nil"/>
              <w:tr2bl w:val="nil"/>
            </w:tcBorders>
            <w:noWrap/>
            <w:tcMar>
              <w:top w:w="15" w:type="dxa"/>
              <w:left w:w="15" w:type="dxa"/>
              <w:right w:w="15" w:type="dxa"/>
            </w:tcMar>
            <w:vAlign w:val="center"/>
          </w:tcPr>
          <w:p w14:paraId="383D21E1">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0.02</w:t>
            </w:r>
          </w:p>
        </w:tc>
        <w:tc>
          <w:tcPr>
            <w:tcW w:w="606" w:type="pct"/>
            <w:tcBorders>
              <w:tl2br w:val="nil"/>
              <w:tr2bl w:val="nil"/>
            </w:tcBorders>
            <w:noWrap w:val="0"/>
            <w:tcMar>
              <w:top w:w="15" w:type="dxa"/>
              <w:left w:w="15" w:type="dxa"/>
              <w:right w:w="15" w:type="dxa"/>
            </w:tcMar>
            <w:vAlign w:val="center"/>
          </w:tcPr>
          <w:p w14:paraId="697C43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7A505F1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5AEFBAB3">
            <w:pPr>
              <w:keepNext w:val="0"/>
              <w:keepLines w:val="0"/>
              <w:pageBreakBefore w:val="0"/>
              <w:kinsoku/>
              <w:wordWrap/>
              <w:overflowPunct/>
              <w:topLinePunct w:val="0"/>
              <w:autoSpaceDE/>
              <w:autoSpaceDN/>
              <w:bidi w:val="0"/>
              <w:adjustRightInd w:val="0"/>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14" w:type="pct"/>
            <w:vMerge w:val="continue"/>
            <w:tcBorders>
              <w:tl2br w:val="nil"/>
              <w:tr2bl w:val="nil"/>
            </w:tcBorders>
            <w:noWrap w:val="0"/>
            <w:tcMar>
              <w:top w:w="15" w:type="dxa"/>
              <w:left w:w="15" w:type="dxa"/>
              <w:right w:w="15" w:type="dxa"/>
            </w:tcMar>
            <w:vAlign w:val="center"/>
          </w:tcPr>
          <w:p w14:paraId="4783AB7F">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585" w:type="pct"/>
            <w:tcBorders>
              <w:tl2br w:val="nil"/>
              <w:tr2bl w:val="nil"/>
            </w:tcBorders>
            <w:noWrap w:val="0"/>
            <w:tcMar>
              <w:top w:w="15" w:type="dxa"/>
              <w:left w:w="15" w:type="dxa"/>
              <w:right w:w="15" w:type="dxa"/>
            </w:tcMar>
            <w:vAlign w:val="center"/>
          </w:tcPr>
          <w:p w14:paraId="39D7F440">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年平均</w:t>
            </w:r>
          </w:p>
        </w:tc>
        <w:tc>
          <w:tcPr>
            <w:tcW w:w="2137" w:type="dxa"/>
            <w:tcBorders>
              <w:tl2br w:val="nil"/>
              <w:tr2bl w:val="nil"/>
            </w:tcBorders>
            <w:noWrap/>
            <w:tcMar>
              <w:top w:w="15" w:type="dxa"/>
              <w:left w:w="15" w:type="dxa"/>
              <w:right w:w="15" w:type="dxa"/>
            </w:tcMar>
            <w:vAlign w:val="center"/>
          </w:tcPr>
          <w:p w14:paraId="2CA956C2">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0.00014</w:t>
            </w:r>
          </w:p>
        </w:tc>
        <w:tc>
          <w:tcPr>
            <w:tcW w:w="966" w:type="dxa"/>
            <w:tcBorders>
              <w:tl2br w:val="nil"/>
              <w:tr2bl w:val="nil"/>
            </w:tcBorders>
            <w:noWrap/>
            <w:tcMar>
              <w:top w:w="15" w:type="dxa"/>
              <w:left w:w="15" w:type="dxa"/>
              <w:right w:w="15" w:type="dxa"/>
            </w:tcMar>
            <w:vAlign w:val="center"/>
          </w:tcPr>
          <w:p w14:paraId="40638F9E">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平均值</w:t>
            </w:r>
          </w:p>
        </w:tc>
        <w:tc>
          <w:tcPr>
            <w:tcW w:w="1211" w:type="dxa"/>
            <w:tcBorders>
              <w:tl2br w:val="nil"/>
              <w:tr2bl w:val="nil"/>
            </w:tcBorders>
            <w:noWrap/>
            <w:tcMar>
              <w:top w:w="15" w:type="dxa"/>
              <w:left w:w="15" w:type="dxa"/>
              <w:right w:w="15" w:type="dxa"/>
            </w:tcMar>
            <w:vAlign w:val="center"/>
          </w:tcPr>
          <w:p w14:paraId="4F0691B5">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w:t>
            </w:r>
          </w:p>
        </w:tc>
        <w:tc>
          <w:tcPr>
            <w:tcW w:w="606" w:type="pct"/>
            <w:tcBorders>
              <w:tl2br w:val="nil"/>
              <w:tr2bl w:val="nil"/>
            </w:tcBorders>
            <w:noWrap w:val="0"/>
            <w:tcMar>
              <w:top w:w="15" w:type="dxa"/>
              <w:left w:w="15" w:type="dxa"/>
              <w:right w:w="15" w:type="dxa"/>
            </w:tcMar>
            <w:vAlign w:val="center"/>
          </w:tcPr>
          <w:p w14:paraId="697FE2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42A3394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6734E974">
            <w:pPr>
              <w:keepNext w:val="0"/>
              <w:keepLines w:val="0"/>
              <w:pageBreakBefore w:val="0"/>
              <w:kinsoku/>
              <w:wordWrap/>
              <w:overflowPunct/>
              <w:topLinePunct w:val="0"/>
              <w:autoSpaceDE/>
              <w:autoSpaceDN/>
              <w:bidi w:val="0"/>
              <w:adjustRightInd w:val="0"/>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14" w:type="pct"/>
            <w:vMerge w:val="restart"/>
            <w:tcBorders>
              <w:tl2br w:val="nil"/>
              <w:tr2bl w:val="nil"/>
            </w:tcBorders>
            <w:noWrap w:val="0"/>
            <w:tcMar>
              <w:top w:w="15" w:type="dxa"/>
              <w:left w:w="15" w:type="dxa"/>
              <w:right w:w="15" w:type="dxa"/>
            </w:tcMar>
            <w:vAlign w:val="center"/>
          </w:tcPr>
          <w:p w14:paraId="43AA2FBC">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范家村</w:t>
            </w:r>
          </w:p>
        </w:tc>
        <w:tc>
          <w:tcPr>
            <w:tcW w:w="585" w:type="pct"/>
            <w:tcBorders>
              <w:tl2br w:val="nil"/>
              <w:tr2bl w:val="nil"/>
            </w:tcBorders>
            <w:noWrap w:val="0"/>
            <w:tcMar>
              <w:top w:w="15" w:type="dxa"/>
              <w:left w:w="15" w:type="dxa"/>
              <w:right w:w="15" w:type="dxa"/>
            </w:tcMar>
            <w:vAlign w:val="center"/>
          </w:tcPr>
          <w:p w14:paraId="4EBECEB3">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日平均</w:t>
            </w:r>
          </w:p>
        </w:tc>
        <w:tc>
          <w:tcPr>
            <w:tcW w:w="2137" w:type="dxa"/>
            <w:tcBorders>
              <w:tl2br w:val="nil"/>
              <w:tr2bl w:val="nil"/>
            </w:tcBorders>
            <w:noWrap/>
            <w:tcMar>
              <w:top w:w="15" w:type="dxa"/>
              <w:left w:w="15" w:type="dxa"/>
              <w:right w:w="15" w:type="dxa"/>
            </w:tcMar>
            <w:vAlign w:val="center"/>
          </w:tcPr>
          <w:p w14:paraId="2F42D72E">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0.02605</w:t>
            </w:r>
          </w:p>
        </w:tc>
        <w:tc>
          <w:tcPr>
            <w:tcW w:w="966" w:type="dxa"/>
            <w:tcBorders>
              <w:tl2br w:val="nil"/>
              <w:tr2bl w:val="nil"/>
            </w:tcBorders>
            <w:noWrap/>
            <w:tcMar>
              <w:top w:w="15" w:type="dxa"/>
              <w:left w:w="15" w:type="dxa"/>
              <w:right w:w="15" w:type="dxa"/>
            </w:tcMar>
            <w:vAlign w:val="center"/>
          </w:tcPr>
          <w:p w14:paraId="547F13EA">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240214</w:t>
            </w:r>
          </w:p>
        </w:tc>
        <w:tc>
          <w:tcPr>
            <w:tcW w:w="1211" w:type="dxa"/>
            <w:tcBorders>
              <w:tl2br w:val="nil"/>
              <w:tr2bl w:val="nil"/>
            </w:tcBorders>
            <w:noWrap/>
            <w:tcMar>
              <w:top w:w="15" w:type="dxa"/>
              <w:left w:w="15" w:type="dxa"/>
              <w:right w:w="15" w:type="dxa"/>
            </w:tcMar>
            <w:vAlign w:val="center"/>
          </w:tcPr>
          <w:p w14:paraId="79155FA4">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0.03</w:t>
            </w:r>
          </w:p>
        </w:tc>
        <w:tc>
          <w:tcPr>
            <w:tcW w:w="606" w:type="pct"/>
            <w:tcBorders>
              <w:tl2br w:val="nil"/>
              <w:tr2bl w:val="nil"/>
            </w:tcBorders>
            <w:noWrap w:val="0"/>
            <w:tcMar>
              <w:top w:w="15" w:type="dxa"/>
              <w:left w:w="15" w:type="dxa"/>
              <w:right w:w="15" w:type="dxa"/>
            </w:tcMar>
            <w:vAlign w:val="center"/>
          </w:tcPr>
          <w:p w14:paraId="7E4BAD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288227C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1DEF8703">
            <w:pPr>
              <w:keepNext w:val="0"/>
              <w:keepLines w:val="0"/>
              <w:pageBreakBefore w:val="0"/>
              <w:kinsoku/>
              <w:wordWrap/>
              <w:overflowPunct/>
              <w:topLinePunct w:val="0"/>
              <w:autoSpaceDE/>
              <w:autoSpaceDN/>
              <w:bidi w:val="0"/>
              <w:adjustRightInd w:val="0"/>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14" w:type="pct"/>
            <w:vMerge w:val="continue"/>
            <w:tcBorders>
              <w:tl2br w:val="nil"/>
              <w:tr2bl w:val="nil"/>
            </w:tcBorders>
            <w:noWrap w:val="0"/>
            <w:tcMar>
              <w:top w:w="15" w:type="dxa"/>
              <w:left w:w="15" w:type="dxa"/>
              <w:right w:w="15" w:type="dxa"/>
            </w:tcMar>
            <w:vAlign w:val="center"/>
          </w:tcPr>
          <w:p w14:paraId="6588DBAA">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585" w:type="pct"/>
            <w:tcBorders>
              <w:tl2br w:val="nil"/>
              <w:tr2bl w:val="nil"/>
            </w:tcBorders>
            <w:noWrap w:val="0"/>
            <w:tcMar>
              <w:top w:w="15" w:type="dxa"/>
              <w:left w:w="15" w:type="dxa"/>
              <w:right w:w="15" w:type="dxa"/>
            </w:tcMar>
            <w:vAlign w:val="center"/>
          </w:tcPr>
          <w:p w14:paraId="4CF1F650">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年平均</w:t>
            </w:r>
          </w:p>
        </w:tc>
        <w:tc>
          <w:tcPr>
            <w:tcW w:w="2137" w:type="dxa"/>
            <w:tcBorders>
              <w:tl2br w:val="nil"/>
              <w:tr2bl w:val="nil"/>
            </w:tcBorders>
            <w:noWrap/>
            <w:tcMar>
              <w:top w:w="15" w:type="dxa"/>
              <w:left w:w="15" w:type="dxa"/>
              <w:right w:w="15" w:type="dxa"/>
            </w:tcMar>
            <w:vAlign w:val="center"/>
          </w:tcPr>
          <w:p w14:paraId="7295E5FB">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0.00042</w:t>
            </w:r>
          </w:p>
        </w:tc>
        <w:tc>
          <w:tcPr>
            <w:tcW w:w="966" w:type="dxa"/>
            <w:tcBorders>
              <w:tl2br w:val="nil"/>
              <w:tr2bl w:val="nil"/>
            </w:tcBorders>
            <w:noWrap/>
            <w:tcMar>
              <w:top w:w="15" w:type="dxa"/>
              <w:left w:w="15" w:type="dxa"/>
              <w:right w:w="15" w:type="dxa"/>
            </w:tcMar>
            <w:vAlign w:val="center"/>
          </w:tcPr>
          <w:p w14:paraId="6ECE61C6">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平均值</w:t>
            </w:r>
          </w:p>
        </w:tc>
        <w:tc>
          <w:tcPr>
            <w:tcW w:w="1211" w:type="dxa"/>
            <w:tcBorders>
              <w:tl2br w:val="nil"/>
              <w:tr2bl w:val="nil"/>
            </w:tcBorders>
            <w:noWrap/>
            <w:tcMar>
              <w:top w:w="15" w:type="dxa"/>
              <w:left w:w="15" w:type="dxa"/>
              <w:right w:w="15" w:type="dxa"/>
            </w:tcMar>
            <w:vAlign w:val="center"/>
          </w:tcPr>
          <w:p w14:paraId="06337EF7">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w:t>
            </w:r>
          </w:p>
        </w:tc>
        <w:tc>
          <w:tcPr>
            <w:tcW w:w="606" w:type="pct"/>
            <w:tcBorders>
              <w:tl2br w:val="nil"/>
              <w:tr2bl w:val="nil"/>
            </w:tcBorders>
            <w:noWrap w:val="0"/>
            <w:tcMar>
              <w:top w:w="15" w:type="dxa"/>
              <w:left w:w="15" w:type="dxa"/>
              <w:right w:w="15" w:type="dxa"/>
            </w:tcMar>
            <w:vAlign w:val="center"/>
          </w:tcPr>
          <w:p w14:paraId="34B893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1B31C65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1114EAF0">
            <w:pPr>
              <w:keepNext w:val="0"/>
              <w:keepLines w:val="0"/>
              <w:pageBreakBefore w:val="0"/>
              <w:kinsoku/>
              <w:wordWrap/>
              <w:overflowPunct/>
              <w:topLinePunct w:val="0"/>
              <w:autoSpaceDE/>
              <w:autoSpaceDN/>
              <w:bidi w:val="0"/>
              <w:adjustRightInd w:val="0"/>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14" w:type="pct"/>
            <w:vMerge w:val="restart"/>
            <w:tcBorders>
              <w:tl2br w:val="nil"/>
              <w:tr2bl w:val="nil"/>
            </w:tcBorders>
            <w:noWrap w:val="0"/>
            <w:tcMar>
              <w:top w:w="15" w:type="dxa"/>
              <w:left w:w="15" w:type="dxa"/>
              <w:right w:w="15" w:type="dxa"/>
            </w:tcMar>
            <w:vAlign w:val="center"/>
          </w:tcPr>
          <w:p w14:paraId="5F4322AC">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原热电厂家属区</w:t>
            </w:r>
          </w:p>
        </w:tc>
        <w:tc>
          <w:tcPr>
            <w:tcW w:w="585" w:type="pct"/>
            <w:tcBorders>
              <w:tl2br w:val="nil"/>
              <w:tr2bl w:val="nil"/>
            </w:tcBorders>
            <w:noWrap w:val="0"/>
            <w:tcMar>
              <w:top w:w="15" w:type="dxa"/>
              <w:left w:w="15" w:type="dxa"/>
              <w:right w:w="15" w:type="dxa"/>
            </w:tcMar>
            <w:vAlign w:val="center"/>
          </w:tcPr>
          <w:p w14:paraId="3CADE495">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日平均</w:t>
            </w:r>
          </w:p>
        </w:tc>
        <w:tc>
          <w:tcPr>
            <w:tcW w:w="2137" w:type="dxa"/>
            <w:tcBorders>
              <w:tl2br w:val="nil"/>
              <w:tr2bl w:val="nil"/>
            </w:tcBorders>
            <w:noWrap/>
            <w:tcMar>
              <w:top w:w="15" w:type="dxa"/>
              <w:left w:w="15" w:type="dxa"/>
              <w:right w:w="15" w:type="dxa"/>
            </w:tcMar>
            <w:vAlign w:val="center"/>
          </w:tcPr>
          <w:p w14:paraId="0EABC54B">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0.00008</w:t>
            </w:r>
          </w:p>
        </w:tc>
        <w:tc>
          <w:tcPr>
            <w:tcW w:w="966" w:type="dxa"/>
            <w:tcBorders>
              <w:tl2br w:val="nil"/>
              <w:tr2bl w:val="nil"/>
            </w:tcBorders>
            <w:noWrap/>
            <w:tcMar>
              <w:top w:w="15" w:type="dxa"/>
              <w:left w:w="15" w:type="dxa"/>
              <w:right w:w="15" w:type="dxa"/>
            </w:tcMar>
            <w:vAlign w:val="center"/>
          </w:tcPr>
          <w:p w14:paraId="2DA06F21">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241206</w:t>
            </w:r>
          </w:p>
        </w:tc>
        <w:tc>
          <w:tcPr>
            <w:tcW w:w="1211" w:type="dxa"/>
            <w:tcBorders>
              <w:tl2br w:val="nil"/>
              <w:tr2bl w:val="nil"/>
            </w:tcBorders>
            <w:noWrap/>
            <w:tcMar>
              <w:top w:w="15" w:type="dxa"/>
              <w:left w:w="15" w:type="dxa"/>
              <w:right w:w="15" w:type="dxa"/>
            </w:tcMar>
            <w:vAlign w:val="center"/>
          </w:tcPr>
          <w:p w14:paraId="58E351F9">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w:t>
            </w:r>
          </w:p>
        </w:tc>
        <w:tc>
          <w:tcPr>
            <w:tcW w:w="606" w:type="pct"/>
            <w:tcBorders>
              <w:tl2br w:val="nil"/>
              <w:tr2bl w:val="nil"/>
            </w:tcBorders>
            <w:noWrap w:val="0"/>
            <w:tcMar>
              <w:top w:w="15" w:type="dxa"/>
              <w:left w:w="15" w:type="dxa"/>
              <w:right w:w="15" w:type="dxa"/>
            </w:tcMar>
            <w:vAlign w:val="center"/>
          </w:tcPr>
          <w:p w14:paraId="743D8B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0DA21FA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370AEC70">
            <w:pPr>
              <w:keepNext w:val="0"/>
              <w:keepLines w:val="0"/>
              <w:pageBreakBefore w:val="0"/>
              <w:kinsoku/>
              <w:wordWrap/>
              <w:overflowPunct/>
              <w:topLinePunct w:val="0"/>
              <w:autoSpaceDE/>
              <w:autoSpaceDN/>
              <w:bidi w:val="0"/>
              <w:adjustRightInd w:val="0"/>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14" w:type="pct"/>
            <w:vMerge w:val="continue"/>
            <w:tcBorders>
              <w:tl2br w:val="nil"/>
              <w:tr2bl w:val="nil"/>
            </w:tcBorders>
            <w:noWrap w:val="0"/>
            <w:tcMar>
              <w:top w:w="15" w:type="dxa"/>
              <w:left w:w="15" w:type="dxa"/>
              <w:right w:w="15" w:type="dxa"/>
            </w:tcMar>
            <w:vAlign w:val="center"/>
          </w:tcPr>
          <w:p w14:paraId="04F6AB98">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585" w:type="pct"/>
            <w:tcBorders>
              <w:tl2br w:val="nil"/>
              <w:tr2bl w:val="nil"/>
            </w:tcBorders>
            <w:noWrap w:val="0"/>
            <w:tcMar>
              <w:top w:w="15" w:type="dxa"/>
              <w:left w:w="15" w:type="dxa"/>
              <w:right w:w="15" w:type="dxa"/>
            </w:tcMar>
            <w:vAlign w:val="center"/>
          </w:tcPr>
          <w:p w14:paraId="2029D2E0">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年平均</w:t>
            </w:r>
          </w:p>
        </w:tc>
        <w:tc>
          <w:tcPr>
            <w:tcW w:w="2137" w:type="dxa"/>
            <w:tcBorders>
              <w:tl2br w:val="nil"/>
              <w:tr2bl w:val="nil"/>
            </w:tcBorders>
            <w:noWrap/>
            <w:tcMar>
              <w:top w:w="15" w:type="dxa"/>
              <w:left w:w="15" w:type="dxa"/>
              <w:right w:w="15" w:type="dxa"/>
            </w:tcMar>
            <w:vAlign w:val="center"/>
          </w:tcPr>
          <w:p w14:paraId="7E371866">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w:t>
            </w:r>
          </w:p>
        </w:tc>
        <w:tc>
          <w:tcPr>
            <w:tcW w:w="966" w:type="dxa"/>
            <w:tcBorders>
              <w:tl2br w:val="nil"/>
              <w:tr2bl w:val="nil"/>
            </w:tcBorders>
            <w:noWrap/>
            <w:tcMar>
              <w:top w:w="15" w:type="dxa"/>
              <w:left w:w="15" w:type="dxa"/>
              <w:right w:w="15" w:type="dxa"/>
            </w:tcMar>
            <w:vAlign w:val="center"/>
          </w:tcPr>
          <w:p w14:paraId="714485F3">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平均值</w:t>
            </w:r>
          </w:p>
        </w:tc>
        <w:tc>
          <w:tcPr>
            <w:tcW w:w="1211" w:type="dxa"/>
            <w:tcBorders>
              <w:tl2br w:val="nil"/>
              <w:tr2bl w:val="nil"/>
            </w:tcBorders>
            <w:noWrap/>
            <w:tcMar>
              <w:top w:w="15" w:type="dxa"/>
              <w:left w:w="15" w:type="dxa"/>
              <w:right w:w="15" w:type="dxa"/>
            </w:tcMar>
            <w:vAlign w:val="center"/>
          </w:tcPr>
          <w:p w14:paraId="4A6EE5F2">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w:t>
            </w:r>
          </w:p>
        </w:tc>
        <w:tc>
          <w:tcPr>
            <w:tcW w:w="606" w:type="pct"/>
            <w:tcBorders>
              <w:tl2br w:val="nil"/>
              <w:tr2bl w:val="nil"/>
            </w:tcBorders>
            <w:noWrap w:val="0"/>
            <w:tcMar>
              <w:top w:w="15" w:type="dxa"/>
              <w:left w:w="15" w:type="dxa"/>
              <w:right w:w="15" w:type="dxa"/>
            </w:tcMar>
            <w:vAlign w:val="center"/>
          </w:tcPr>
          <w:p w14:paraId="009D86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62881D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5A787883">
            <w:pPr>
              <w:keepNext w:val="0"/>
              <w:keepLines w:val="0"/>
              <w:pageBreakBefore w:val="0"/>
              <w:kinsoku/>
              <w:wordWrap/>
              <w:overflowPunct/>
              <w:topLinePunct w:val="0"/>
              <w:autoSpaceDE/>
              <w:autoSpaceDN/>
              <w:bidi w:val="0"/>
              <w:adjustRightInd w:val="0"/>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14" w:type="pct"/>
            <w:vMerge w:val="restart"/>
            <w:tcBorders>
              <w:tl2br w:val="nil"/>
              <w:tr2bl w:val="nil"/>
            </w:tcBorders>
            <w:noWrap w:val="0"/>
            <w:tcMar>
              <w:top w:w="15" w:type="dxa"/>
              <w:left w:w="15" w:type="dxa"/>
              <w:right w:w="15" w:type="dxa"/>
            </w:tcMar>
            <w:vAlign w:val="center"/>
          </w:tcPr>
          <w:p w14:paraId="6AADAA46">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黑锻新城小区</w:t>
            </w:r>
          </w:p>
        </w:tc>
        <w:tc>
          <w:tcPr>
            <w:tcW w:w="585" w:type="pct"/>
            <w:tcBorders>
              <w:tl2br w:val="nil"/>
              <w:tr2bl w:val="nil"/>
            </w:tcBorders>
            <w:noWrap w:val="0"/>
            <w:tcMar>
              <w:top w:w="15" w:type="dxa"/>
              <w:left w:w="15" w:type="dxa"/>
              <w:right w:w="15" w:type="dxa"/>
            </w:tcMar>
            <w:vAlign w:val="center"/>
          </w:tcPr>
          <w:p w14:paraId="0A78B247">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日平均</w:t>
            </w:r>
          </w:p>
        </w:tc>
        <w:tc>
          <w:tcPr>
            <w:tcW w:w="2137" w:type="dxa"/>
            <w:tcBorders>
              <w:tl2br w:val="nil"/>
              <w:tr2bl w:val="nil"/>
            </w:tcBorders>
            <w:noWrap/>
            <w:tcMar>
              <w:top w:w="15" w:type="dxa"/>
              <w:left w:w="15" w:type="dxa"/>
              <w:right w:w="15" w:type="dxa"/>
            </w:tcMar>
            <w:vAlign w:val="center"/>
          </w:tcPr>
          <w:p w14:paraId="089566E2">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0.00853</w:t>
            </w:r>
          </w:p>
        </w:tc>
        <w:tc>
          <w:tcPr>
            <w:tcW w:w="966" w:type="dxa"/>
            <w:tcBorders>
              <w:tl2br w:val="nil"/>
              <w:tr2bl w:val="nil"/>
            </w:tcBorders>
            <w:noWrap/>
            <w:tcMar>
              <w:top w:w="15" w:type="dxa"/>
              <w:left w:w="15" w:type="dxa"/>
              <w:right w:w="15" w:type="dxa"/>
            </w:tcMar>
            <w:vAlign w:val="center"/>
          </w:tcPr>
          <w:p w14:paraId="021A7B3D">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240217</w:t>
            </w:r>
          </w:p>
        </w:tc>
        <w:tc>
          <w:tcPr>
            <w:tcW w:w="1211" w:type="dxa"/>
            <w:tcBorders>
              <w:tl2br w:val="nil"/>
              <w:tr2bl w:val="nil"/>
            </w:tcBorders>
            <w:noWrap/>
            <w:tcMar>
              <w:top w:w="15" w:type="dxa"/>
              <w:left w:w="15" w:type="dxa"/>
              <w:right w:w="15" w:type="dxa"/>
            </w:tcMar>
            <w:vAlign w:val="center"/>
          </w:tcPr>
          <w:p w14:paraId="094C4603">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0.01</w:t>
            </w:r>
          </w:p>
        </w:tc>
        <w:tc>
          <w:tcPr>
            <w:tcW w:w="606" w:type="pct"/>
            <w:tcBorders>
              <w:tl2br w:val="nil"/>
              <w:tr2bl w:val="nil"/>
            </w:tcBorders>
            <w:noWrap w:val="0"/>
            <w:tcMar>
              <w:top w:w="15" w:type="dxa"/>
              <w:left w:w="15" w:type="dxa"/>
              <w:right w:w="15" w:type="dxa"/>
            </w:tcMar>
            <w:vAlign w:val="center"/>
          </w:tcPr>
          <w:p w14:paraId="0E913A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5530CB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183EBCCF">
            <w:pPr>
              <w:keepNext w:val="0"/>
              <w:keepLines w:val="0"/>
              <w:pageBreakBefore w:val="0"/>
              <w:kinsoku/>
              <w:wordWrap/>
              <w:overflowPunct/>
              <w:topLinePunct w:val="0"/>
              <w:autoSpaceDE/>
              <w:autoSpaceDN/>
              <w:bidi w:val="0"/>
              <w:adjustRightInd w:val="0"/>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14" w:type="pct"/>
            <w:vMerge w:val="continue"/>
            <w:tcBorders>
              <w:tl2br w:val="nil"/>
              <w:tr2bl w:val="nil"/>
            </w:tcBorders>
            <w:noWrap w:val="0"/>
            <w:tcMar>
              <w:top w:w="15" w:type="dxa"/>
              <w:left w:w="15" w:type="dxa"/>
              <w:right w:w="15" w:type="dxa"/>
            </w:tcMar>
            <w:vAlign w:val="center"/>
          </w:tcPr>
          <w:p w14:paraId="405ACDEA">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585" w:type="pct"/>
            <w:tcBorders>
              <w:tl2br w:val="nil"/>
              <w:tr2bl w:val="nil"/>
            </w:tcBorders>
            <w:noWrap w:val="0"/>
            <w:tcMar>
              <w:top w:w="15" w:type="dxa"/>
              <w:left w:w="15" w:type="dxa"/>
              <w:right w:w="15" w:type="dxa"/>
            </w:tcMar>
            <w:vAlign w:val="center"/>
          </w:tcPr>
          <w:p w14:paraId="4B9B1FB3">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年平均</w:t>
            </w:r>
          </w:p>
        </w:tc>
        <w:tc>
          <w:tcPr>
            <w:tcW w:w="2137" w:type="dxa"/>
            <w:tcBorders>
              <w:tl2br w:val="nil"/>
              <w:tr2bl w:val="nil"/>
            </w:tcBorders>
            <w:noWrap/>
            <w:tcMar>
              <w:top w:w="15" w:type="dxa"/>
              <w:left w:w="15" w:type="dxa"/>
              <w:right w:w="15" w:type="dxa"/>
            </w:tcMar>
            <w:vAlign w:val="center"/>
          </w:tcPr>
          <w:p w14:paraId="5DF3DFF9">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0.00008</w:t>
            </w:r>
          </w:p>
        </w:tc>
        <w:tc>
          <w:tcPr>
            <w:tcW w:w="966" w:type="dxa"/>
            <w:tcBorders>
              <w:tl2br w:val="nil"/>
              <w:tr2bl w:val="nil"/>
            </w:tcBorders>
            <w:noWrap/>
            <w:tcMar>
              <w:top w:w="15" w:type="dxa"/>
              <w:left w:w="15" w:type="dxa"/>
              <w:right w:w="15" w:type="dxa"/>
            </w:tcMar>
            <w:vAlign w:val="center"/>
          </w:tcPr>
          <w:p w14:paraId="0D4A3B32">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平均值</w:t>
            </w:r>
          </w:p>
        </w:tc>
        <w:tc>
          <w:tcPr>
            <w:tcW w:w="1211" w:type="dxa"/>
            <w:tcBorders>
              <w:tl2br w:val="nil"/>
              <w:tr2bl w:val="nil"/>
            </w:tcBorders>
            <w:noWrap/>
            <w:tcMar>
              <w:top w:w="15" w:type="dxa"/>
              <w:left w:w="15" w:type="dxa"/>
              <w:right w:w="15" w:type="dxa"/>
            </w:tcMar>
            <w:vAlign w:val="center"/>
          </w:tcPr>
          <w:p w14:paraId="53172E79">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w:t>
            </w:r>
          </w:p>
        </w:tc>
        <w:tc>
          <w:tcPr>
            <w:tcW w:w="606" w:type="pct"/>
            <w:tcBorders>
              <w:tl2br w:val="nil"/>
              <w:tr2bl w:val="nil"/>
            </w:tcBorders>
            <w:noWrap w:val="0"/>
            <w:tcMar>
              <w:top w:w="15" w:type="dxa"/>
              <w:left w:w="15" w:type="dxa"/>
              <w:right w:w="15" w:type="dxa"/>
            </w:tcMar>
            <w:vAlign w:val="center"/>
          </w:tcPr>
          <w:p w14:paraId="39A992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60C8EDD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6B06F461">
            <w:pPr>
              <w:pStyle w:val="31"/>
              <w:keepNext w:val="0"/>
              <w:keepLines w:val="0"/>
              <w:pageBreakBefore w:val="0"/>
              <w:kinsoku/>
              <w:wordWrap/>
              <w:overflowPunct/>
              <w:topLinePunct w:val="0"/>
              <w:autoSpaceDE/>
              <w:autoSpaceDN/>
              <w:bidi w:val="0"/>
              <w:adjustRightInd w:val="0"/>
              <w:snapToGrid/>
              <w:spacing w:line="240" w:lineRule="auto"/>
              <w:ind w:left="0" w:leftChars="0" w:firstLine="0" w:firstLineChars="0"/>
              <w:jc w:val="center"/>
              <w:rPr>
                <w:rFonts w:hint="default" w:ascii="Times New Roman" w:hAnsi="Times New Roman" w:eastAsia="宋体" w:cs="Times New Roman"/>
                <w:color w:val="FF0000"/>
                <w:sz w:val="21"/>
                <w:szCs w:val="21"/>
                <w:highlight w:val="none"/>
              </w:rPr>
            </w:pPr>
          </w:p>
        </w:tc>
        <w:tc>
          <w:tcPr>
            <w:tcW w:w="714" w:type="pct"/>
            <w:vMerge w:val="restart"/>
            <w:tcBorders>
              <w:tl2br w:val="nil"/>
              <w:tr2bl w:val="nil"/>
            </w:tcBorders>
            <w:noWrap w:val="0"/>
            <w:tcMar>
              <w:top w:w="15" w:type="dxa"/>
              <w:left w:w="15" w:type="dxa"/>
              <w:right w:w="15" w:type="dxa"/>
            </w:tcMar>
            <w:vAlign w:val="center"/>
          </w:tcPr>
          <w:p w14:paraId="6814C1A7">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东侧市区（绿云社区）</w:t>
            </w:r>
          </w:p>
        </w:tc>
        <w:tc>
          <w:tcPr>
            <w:tcW w:w="585" w:type="pct"/>
            <w:tcBorders>
              <w:tl2br w:val="nil"/>
              <w:tr2bl w:val="nil"/>
            </w:tcBorders>
            <w:noWrap w:val="0"/>
            <w:tcMar>
              <w:top w:w="15" w:type="dxa"/>
              <w:left w:w="15" w:type="dxa"/>
              <w:right w:w="15" w:type="dxa"/>
            </w:tcMar>
            <w:vAlign w:val="center"/>
          </w:tcPr>
          <w:p w14:paraId="40A981D2">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日平均</w:t>
            </w:r>
          </w:p>
        </w:tc>
        <w:tc>
          <w:tcPr>
            <w:tcW w:w="2137" w:type="dxa"/>
            <w:tcBorders>
              <w:tl2br w:val="nil"/>
              <w:tr2bl w:val="nil"/>
            </w:tcBorders>
            <w:noWrap/>
            <w:tcMar>
              <w:top w:w="15" w:type="dxa"/>
              <w:left w:w="15" w:type="dxa"/>
              <w:right w:w="15" w:type="dxa"/>
            </w:tcMar>
            <w:vAlign w:val="center"/>
          </w:tcPr>
          <w:p w14:paraId="585537E5">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0.02474</w:t>
            </w:r>
          </w:p>
        </w:tc>
        <w:tc>
          <w:tcPr>
            <w:tcW w:w="966" w:type="dxa"/>
            <w:tcBorders>
              <w:tl2br w:val="nil"/>
              <w:tr2bl w:val="nil"/>
            </w:tcBorders>
            <w:noWrap/>
            <w:tcMar>
              <w:top w:w="15" w:type="dxa"/>
              <w:left w:w="15" w:type="dxa"/>
              <w:right w:w="15" w:type="dxa"/>
            </w:tcMar>
            <w:vAlign w:val="center"/>
          </w:tcPr>
          <w:p w14:paraId="3D75DAB4">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241203</w:t>
            </w:r>
          </w:p>
        </w:tc>
        <w:tc>
          <w:tcPr>
            <w:tcW w:w="1211" w:type="dxa"/>
            <w:tcBorders>
              <w:tl2br w:val="nil"/>
              <w:tr2bl w:val="nil"/>
            </w:tcBorders>
            <w:noWrap/>
            <w:tcMar>
              <w:top w:w="15" w:type="dxa"/>
              <w:left w:w="15" w:type="dxa"/>
              <w:right w:w="15" w:type="dxa"/>
            </w:tcMar>
            <w:vAlign w:val="center"/>
          </w:tcPr>
          <w:p w14:paraId="4FEAE7C7">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0.03</w:t>
            </w:r>
          </w:p>
        </w:tc>
        <w:tc>
          <w:tcPr>
            <w:tcW w:w="606" w:type="pct"/>
            <w:tcBorders>
              <w:tl2br w:val="nil"/>
              <w:tr2bl w:val="nil"/>
            </w:tcBorders>
            <w:noWrap w:val="0"/>
            <w:tcMar>
              <w:top w:w="15" w:type="dxa"/>
              <w:left w:w="15" w:type="dxa"/>
              <w:right w:w="15" w:type="dxa"/>
            </w:tcMar>
            <w:vAlign w:val="center"/>
          </w:tcPr>
          <w:p w14:paraId="4D74CE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1B548CC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1D98B568">
            <w:pPr>
              <w:pStyle w:val="31"/>
              <w:keepNext w:val="0"/>
              <w:keepLines w:val="0"/>
              <w:pageBreakBefore w:val="0"/>
              <w:kinsoku/>
              <w:wordWrap/>
              <w:overflowPunct/>
              <w:topLinePunct w:val="0"/>
              <w:autoSpaceDE/>
              <w:autoSpaceDN/>
              <w:bidi w:val="0"/>
              <w:adjustRightInd w:val="0"/>
              <w:snapToGrid/>
              <w:spacing w:line="240" w:lineRule="auto"/>
              <w:ind w:left="0" w:leftChars="0" w:firstLine="0" w:firstLineChars="0"/>
              <w:jc w:val="center"/>
              <w:rPr>
                <w:rFonts w:hint="default" w:ascii="Times New Roman" w:hAnsi="Times New Roman" w:eastAsia="宋体" w:cs="Times New Roman"/>
                <w:color w:val="FF0000"/>
                <w:sz w:val="21"/>
                <w:szCs w:val="21"/>
                <w:highlight w:val="none"/>
              </w:rPr>
            </w:pPr>
          </w:p>
        </w:tc>
        <w:tc>
          <w:tcPr>
            <w:tcW w:w="714" w:type="pct"/>
            <w:vMerge w:val="continue"/>
            <w:tcBorders>
              <w:tl2br w:val="nil"/>
              <w:tr2bl w:val="nil"/>
            </w:tcBorders>
            <w:noWrap w:val="0"/>
            <w:tcMar>
              <w:top w:w="15" w:type="dxa"/>
              <w:left w:w="15" w:type="dxa"/>
              <w:right w:w="15" w:type="dxa"/>
            </w:tcMar>
            <w:vAlign w:val="center"/>
          </w:tcPr>
          <w:p w14:paraId="73E86A0C">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585" w:type="pct"/>
            <w:tcBorders>
              <w:tl2br w:val="nil"/>
              <w:tr2bl w:val="nil"/>
            </w:tcBorders>
            <w:noWrap w:val="0"/>
            <w:tcMar>
              <w:top w:w="15" w:type="dxa"/>
              <w:left w:w="15" w:type="dxa"/>
              <w:right w:w="15" w:type="dxa"/>
            </w:tcMar>
            <w:vAlign w:val="center"/>
          </w:tcPr>
          <w:p w14:paraId="2B47790D">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年平均</w:t>
            </w:r>
          </w:p>
        </w:tc>
        <w:tc>
          <w:tcPr>
            <w:tcW w:w="2137" w:type="dxa"/>
            <w:tcBorders>
              <w:tl2br w:val="nil"/>
              <w:tr2bl w:val="nil"/>
            </w:tcBorders>
            <w:noWrap/>
            <w:tcMar>
              <w:top w:w="15" w:type="dxa"/>
              <w:left w:w="15" w:type="dxa"/>
              <w:right w:w="15" w:type="dxa"/>
            </w:tcMar>
            <w:vAlign w:val="center"/>
          </w:tcPr>
          <w:p w14:paraId="312D04A8">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0.00144</w:t>
            </w:r>
          </w:p>
        </w:tc>
        <w:tc>
          <w:tcPr>
            <w:tcW w:w="966" w:type="dxa"/>
            <w:tcBorders>
              <w:tl2br w:val="nil"/>
              <w:tr2bl w:val="nil"/>
            </w:tcBorders>
            <w:noWrap/>
            <w:tcMar>
              <w:top w:w="15" w:type="dxa"/>
              <w:left w:w="15" w:type="dxa"/>
              <w:right w:w="15" w:type="dxa"/>
            </w:tcMar>
            <w:vAlign w:val="center"/>
          </w:tcPr>
          <w:p w14:paraId="3D964D03">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平均值</w:t>
            </w:r>
          </w:p>
        </w:tc>
        <w:tc>
          <w:tcPr>
            <w:tcW w:w="1211" w:type="dxa"/>
            <w:tcBorders>
              <w:tl2br w:val="nil"/>
              <w:tr2bl w:val="nil"/>
            </w:tcBorders>
            <w:noWrap/>
            <w:tcMar>
              <w:top w:w="15" w:type="dxa"/>
              <w:left w:w="15" w:type="dxa"/>
              <w:right w:w="15" w:type="dxa"/>
            </w:tcMar>
            <w:vAlign w:val="center"/>
          </w:tcPr>
          <w:p w14:paraId="25657C82">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w:t>
            </w:r>
          </w:p>
        </w:tc>
        <w:tc>
          <w:tcPr>
            <w:tcW w:w="606" w:type="pct"/>
            <w:tcBorders>
              <w:tl2br w:val="nil"/>
              <w:tr2bl w:val="nil"/>
            </w:tcBorders>
            <w:noWrap w:val="0"/>
            <w:tcMar>
              <w:top w:w="15" w:type="dxa"/>
              <w:left w:w="15" w:type="dxa"/>
              <w:right w:w="15" w:type="dxa"/>
            </w:tcMar>
            <w:vAlign w:val="center"/>
          </w:tcPr>
          <w:p w14:paraId="43BEE3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7574BBB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58ECE91F">
            <w:pPr>
              <w:pStyle w:val="31"/>
              <w:keepNext w:val="0"/>
              <w:keepLines w:val="0"/>
              <w:pageBreakBefore w:val="0"/>
              <w:kinsoku/>
              <w:wordWrap/>
              <w:overflowPunct/>
              <w:topLinePunct w:val="0"/>
              <w:autoSpaceDE/>
              <w:autoSpaceDN/>
              <w:bidi w:val="0"/>
              <w:adjustRightInd w:val="0"/>
              <w:snapToGrid/>
              <w:spacing w:line="240" w:lineRule="auto"/>
              <w:ind w:left="0" w:leftChars="0" w:firstLine="0" w:firstLineChars="0"/>
              <w:jc w:val="center"/>
              <w:rPr>
                <w:rFonts w:hint="default" w:ascii="Times New Roman" w:hAnsi="Times New Roman" w:eastAsia="宋体" w:cs="Times New Roman"/>
                <w:color w:val="FF0000"/>
                <w:sz w:val="21"/>
                <w:szCs w:val="21"/>
                <w:highlight w:val="none"/>
              </w:rPr>
            </w:pPr>
          </w:p>
        </w:tc>
        <w:tc>
          <w:tcPr>
            <w:tcW w:w="714" w:type="pct"/>
            <w:vMerge w:val="restart"/>
            <w:tcBorders>
              <w:tl2br w:val="nil"/>
              <w:tr2bl w:val="nil"/>
            </w:tcBorders>
            <w:noWrap w:val="0"/>
            <w:tcMar>
              <w:top w:w="15" w:type="dxa"/>
              <w:left w:w="15" w:type="dxa"/>
              <w:right w:w="15" w:type="dxa"/>
            </w:tcMar>
            <w:vAlign w:val="center"/>
          </w:tcPr>
          <w:p w14:paraId="0326ACD9">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南侧市区（佳木斯市第十六中学）</w:t>
            </w:r>
          </w:p>
        </w:tc>
        <w:tc>
          <w:tcPr>
            <w:tcW w:w="585" w:type="pct"/>
            <w:tcBorders>
              <w:tl2br w:val="nil"/>
              <w:tr2bl w:val="nil"/>
            </w:tcBorders>
            <w:noWrap w:val="0"/>
            <w:tcMar>
              <w:top w:w="15" w:type="dxa"/>
              <w:left w:w="15" w:type="dxa"/>
              <w:right w:w="15" w:type="dxa"/>
            </w:tcMar>
            <w:vAlign w:val="center"/>
          </w:tcPr>
          <w:p w14:paraId="1877A2F9">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日平均</w:t>
            </w:r>
          </w:p>
        </w:tc>
        <w:tc>
          <w:tcPr>
            <w:tcW w:w="2137" w:type="dxa"/>
            <w:tcBorders>
              <w:tl2br w:val="nil"/>
              <w:tr2bl w:val="nil"/>
            </w:tcBorders>
            <w:noWrap/>
            <w:tcMar>
              <w:top w:w="15" w:type="dxa"/>
              <w:left w:w="15" w:type="dxa"/>
              <w:right w:w="15" w:type="dxa"/>
            </w:tcMar>
            <w:vAlign w:val="center"/>
          </w:tcPr>
          <w:p w14:paraId="31CBC5BA">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0.01371</w:t>
            </w:r>
          </w:p>
        </w:tc>
        <w:tc>
          <w:tcPr>
            <w:tcW w:w="966" w:type="dxa"/>
            <w:tcBorders>
              <w:tl2br w:val="nil"/>
              <w:tr2bl w:val="nil"/>
            </w:tcBorders>
            <w:noWrap/>
            <w:tcMar>
              <w:top w:w="15" w:type="dxa"/>
              <w:left w:w="15" w:type="dxa"/>
              <w:right w:w="15" w:type="dxa"/>
            </w:tcMar>
            <w:vAlign w:val="center"/>
          </w:tcPr>
          <w:p w14:paraId="658C5F8D">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241206</w:t>
            </w:r>
          </w:p>
        </w:tc>
        <w:tc>
          <w:tcPr>
            <w:tcW w:w="1211" w:type="dxa"/>
            <w:tcBorders>
              <w:tl2br w:val="nil"/>
              <w:tr2bl w:val="nil"/>
            </w:tcBorders>
            <w:noWrap/>
            <w:tcMar>
              <w:top w:w="15" w:type="dxa"/>
              <w:left w:w="15" w:type="dxa"/>
              <w:right w:w="15" w:type="dxa"/>
            </w:tcMar>
            <w:vAlign w:val="center"/>
          </w:tcPr>
          <w:p w14:paraId="3A10A292">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0.02</w:t>
            </w:r>
          </w:p>
        </w:tc>
        <w:tc>
          <w:tcPr>
            <w:tcW w:w="606" w:type="pct"/>
            <w:tcBorders>
              <w:tl2br w:val="nil"/>
              <w:tr2bl w:val="nil"/>
            </w:tcBorders>
            <w:noWrap w:val="0"/>
            <w:tcMar>
              <w:top w:w="15" w:type="dxa"/>
              <w:left w:w="15" w:type="dxa"/>
              <w:right w:w="15" w:type="dxa"/>
            </w:tcMar>
            <w:vAlign w:val="center"/>
          </w:tcPr>
          <w:p w14:paraId="5CE0C4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1F078AA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34103625">
            <w:pPr>
              <w:keepNext w:val="0"/>
              <w:keepLines w:val="0"/>
              <w:pageBreakBefore w:val="0"/>
              <w:kinsoku/>
              <w:wordWrap/>
              <w:overflowPunct/>
              <w:topLinePunct w:val="0"/>
              <w:autoSpaceDE/>
              <w:autoSpaceDN/>
              <w:bidi w:val="0"/>
              <w:adjustRightInd w:val="0"/>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14" w:type="pct"/>
            <w:vMerge w:val="continue"/>
            <w:tcBorders>
              <w:tl2br w:val="nil"/>
              <w:tr2bl w:val="nil"/>
            </w:tcBorders>
            <w:noWrap w:val="0"/>
            <w:tcMar>
              <w:top w:w="15" w:type="dxa"/>
              <w:left w:w="15" w:type="dxa"/>
              <w:right w:w="15" w:type="dxa"/>
            </w:tcMar>
            <w:vAlign w:val="center"/>
          </w:tcPr>
          <w:p w14:paraId="2034EF20">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585" w:type="pct"/>
            <w:tcBorders>
              <w:tl2br w:val="nil"/>
              <w:tr2bl w:val="nil"/>
            </w:tcBorders>
            <w:noWrap w:val="0"/>
            <w:tcMar>
              <w:top w:w="15" w:type="dxa"/>
              <w:left w:w="15" w:type="dxa"/>
              <w:right w:w="15" w:type="dxa"/>
            </w:tcMar>
            <w:vAlign w:val="center"/>
          </w:tcPr>
          <w:p w14:paraId="13F3404D">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年平均</w:t>
            </w:r>
          </w:p>
        </w:tc>
        <w:tc>
          <w:tcPr>
            <w:tcW w:w="2137" w:type="dxa"/>
            <w:tcBorders>
              <w:tl2br w:val="nil"/>
              <w:tr2bl w:val="nil"/>
            </w:tcBorders>
            <w:noWrap/>
            <w:tcMar>
              <w:top w:w="15" w:type="dxa"/>
              <w:left w:w="15" w:type="dxa"/>
              <w:right w:w="15" w:type="dxa"/>
            </w:tcMar>
            <w:vAlign w:val="center"/>
          </w:tcPr>
          <w:p w14:paraId="4F380B08">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0.00011</w:t>
            </w:r>
          </w:p>
        </w:tc>
        <w:tc>
          <w:tcPr>
            <w:tcW w:w="966" w:type="dxa"/>
            <w:tcBorders>
              <w:tl2br w:val="nil"/>
              <w:tr2bl w:val="nil"/>
            </w:tcBorders>
            <w:noWrap/>
            <w:tcMar>
              <w:top w:w="15" w:type="dxa"/>
              <w:left w:w="15" w:type="dxa"/>
              <w:right w:w="15" w:type="dxa"/>
            </w:tcMar>
            <w:vAlign w:val="center"/>
          </w:tcPr>
          <w:p w14:paraId="0994BF54">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平均值</w:t>
            </w:r>
          </w:p>
        </w:tc>
        <w:tc>
          <w:tcPr>
            <w:tcW w:w="1211" w:type="dxa"/>
            <w:tcBorders>
              <w:tl2br w:val="nil"/>
              <w:tr2bl w:val="nil"/>
            </w:tcBorders>
            <w:noWrap/>
            <w:tcMar>
              <w:top w:w="15" w:type="dxa"/>
              <w:left w:w="15" w:type="dxa"/>
              <w:right w:w="15" w:type="dxa"/>
            </w:tcMar>
            <w:vAlign w:val="center"/>
          </w:tcPr>
          <w:p w14:paraId="686CAC6E">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w:t>
            </w:r>
          </w:p>
        </w:tc>
        <w:tc>
          <w:tcPr>
            <w:tcW w:w="606" w:type="pct"/>
            <w:tcBorders>
              <w:tl2br w:val="nil"/>
              <w:tr2bl w:val="nil"/>
            </w:tcBorders>
            <w:noWrap w:val="0"/>
            <w:tcMar>
              <w:top w:w="15" w:type="dxa"/>
              <w:left w:w="15" w:type="dxa"/>
              <w:right w:w="15" w:type="dxa"/>
            </w:tcMar>
            <w:vAlign w:val="center"/>
          </w:tcPr>
          <w:p w14:paraId="6DE5AB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6FE72AA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7CF8F13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aseline"/>
              <w:rPr>
                <w:rFonts w:hint="default" w:ascii="Times New Roman" w:hAnsi="Times New Roman" w:eastAsia="宋体" w:cs="Times New Roman"/>
                <w:color w:val="FF0000"/>
                <w:kern w:val="2"/>
                <w:sz w:val="21"/>
                <w:szCs w:val="21"/>
                <w:highlight w:val="none"/>
                <w:lang w:val="en-US" w:eastAsia="zh-CN" w:bidi="ar-SA"/>
              </w:rPr>
            </w:pPr>
          </w:p>
        </w:tc>
        <w:tc>
          <w:tcPr>
            <w:tcW w:w="714" w:type="pct"/>
            <w:vMerge w:val="restart"/>
            <w:tcBorders>
              <w:tl2br w:val="nil"/>
              <w:tr2bl w:val="nil"/>
            </w:tcBorders>
            <w:noWrap w:val="0"/>
            <w:tcMar>
              <w:top w:w="15" w:type="dxa"/>
              <w:left w:w="15" w:type="dxa"/>
              <w:right w:w="15" w:type="dxa"/>
            </w:tcMar>
            <w:vAlign w:val="center"/>
          </w:tcPr>
          <w:p w14:paraId="3B7E3F38">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区域最大落地浓度</w:t>
            </w:r>
          </w:p>
        </w:tc>
        <w:tc>
          <w:tcPr>
            <w:tcW w:w="585" w:type="pct"/>
            <w:tcBorders>
              <w:tl2br w:val="nil"/>
              <w:tr2bl w:val="nil"/>
            </w:tcBorders>
            <w:noWrap w:val="0"/>
            <w:tcMar>
              <w:top w:w="15" w:type="dxa"/>
              <w:left w:w="15" w:type="dxa"/>
              <w:right w:w="15" w:type="dxa"/>
            </w:tcMar>
            <w:vAlign w:val="center"/>
          </w:tcPr>
          <w:p w14:paraId="1890BA99">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日平均</w:t>
            </w:r>
          </w:p>
        </w:tc>
        <w:tc>
          <w:tcPr>
            <w:tcW w:w="2137" w:type="dxa"/>
            <w:tcBorders>
              <w:tl2br w:val="nil"/>
              <w:tr2bl w:val="nil"/>
            </w:tcBorders>
            <w:noWrap/>
            <w:tcMar>
              <w:top w:w="15" w:type="dxa"/>
              <w:left w:w="15" w:type="dxa"/>
              <w:right w:w="15" w:type="dxa"/>
            </w:tcMar>
            <w:vAlign w:val="center"/>
          </w:tcPr>
          <w:p w14:paraId="4B75212C">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0.12907</w:t>
            </w:r>
          </w:p>
        </w:tc>
        <w:tc>
          <w:tcPr>
            <w:tcW w:w="966" w:type="dxa"/>
            <w:tcBorders>
              <w:tl2br w:val="nil"/>
              <w:tr2bl w:val="nil"/>
            </w:tcBorders>
            <w:noWrap/>
            <w:tcMar>
              <w:top w:w="15" w:type="dxa"/>
              <w:left w:w="15" w:type="dxa"/>
              <w:right w:w="15" w:type="dxa"/>
            </w:tcMar>
            <w:vAlign w:val="center"/>
          </w:tcPr>
          <w:p w14:paraId="5C1E565C">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240213</w:t>
            </w:r>
          </w:p>
        </w:tc>
        <w:tc>
          <w:tcPr>
            <w:tcW w:w="1211" w:type="dxa"/>
            <w:tcBorders>
              <w:tl2br w:val="nil"/>
              <w:tr2bl w:val="nil"/>
            </w:tcBorders>
            <w:noWrap/>
            <w:tcMar>
              <w:top w:w="15" w:type="dxa"/>
              <w:left w:w="15" w:type="dxa"/>
              <w:right w:w="15" w:type="dxa"/>
            </w:tcMar>
            <w:vAlign w:val="center"/>
          </w:tcPr>
          <w:p w14:paraId="77D2DCE4">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0.17</w:t>
            </w:r>
          </w:p>
        </w:tc>
        <w:tc>
          <w:tcPr>
            <w:tcW w:w="606" w:type="pct"/>
            <w:tcBorders>
              <w:tl2br w:val="nil"/>
              <w:tr2bl w:val="nil"/>
            </w:tcBorders>
            <w:noWrap w:val="0"/>
            <w:tcMar>
              <w:top w:w="15" w:type="dxa"/>
              <w:left w:w="15" w:type="dxa"/>
              <w:right w:w="15" w:type="dxa"/>
            </w:tcMar>
            <w:vAlign w:val="center"/>
          </w:tcPr>
          <w:p w14:paraId="2AC4BC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53AC43E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6AAB20D6">
            <w:pPr>
              <w:keepNext w:val="0"/>
              <w:keepLines w:val="0"/>
              <w:pageBreakBefore w:val="0"/>
              <w:kinsoku/>
              <w:wordWrap/>
              <w:overflowPunct/>
              <w:topLinePunct w:val="0"/>
              <w:autoSpaceDE/>
              <w:autoSpaceDN/>
              <w:bidi w:val="0"/>
              <w:adjustRightInd w:val="0"/>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14" w:type="pct"/>
            <w:vMerge w:val="continue"/>
            <w:tcBorders>
              <w:tl2br w:val="nil"/>
              <w:tr2bl w:val="nil"/>
            </w:tcBorders>
            <w:noWrap w:val="0"/>
            <w:tcMar>
              <w:top w:w="15" w:type="dxa"/>
              <w:left w:w="15" w:type="dxa"/>
              <w:right w:w="15" w:type="dxa"/>
            </w:tcMar>
            <w:vAlign w:val="center"/>
          </w:tcPr>
          <w:p w14:paraId="64E6310C">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585" w:type="pct"/>
            <w:tcBorders>
              <w:tl2br w:val="nil"/>
              <w:tr2bl w:val="nil"/>
            </w:tcBorders>
            <w:noWrap w:val="0"/>
            <w:tcMar>
              <w:top w:w="15" w:type="dxa"/>
              <w:left w:w="15" w:type="dxa"/>
              <w:right w:w="15" w:type="dxa"/>
            </w:tcMar>
            <w:vAlign w:val="center"/>
          </w:tcPr>
          <w:p w14:paraId="159D9C32">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年平均</w:t>
            </w:r>
          </w:p>
        </w:tc>
        <w:tc>
          <w:tcPr>
            <w:tcW w:w="2137" w:type="dxa"/>
            <w:tcBorders>
              <w:tl2br w:val="nil"/>
              <w:tr2bl w:val="nil"/>
            </w:tcBorders>
            <w:noWrap/>
            <w:tcMar>
              <w:top w:w="15" w:type="dxa"/>
              <w:left w:w="15" w:type="dxa"/>
              <w:right w:w="15" w:type="dxa"/>
            </w:tcMar>
            <w:vAlign w:val="center"/>
          </w:tcPr>
          <w:p w14:paraId="34FDF706">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0.00601</w:t>
            </w:r>
          </w:p>
        </w:tc>
        <w:tc>
          <w:tcPr>
            <w:tcW w:w="966" w:type="dxa"/>
            <w:tcBorders>
              <w:tl2br w:val="nil"/>
              <w:tr2bl w:val="nil"/>
            </w:tcBorders>
            <w:noWrap/>
            <w:tcMar>
              <w:top w:w="15" w:type="dxa"/>
              <w:left w:w="15" w:type="dxa"/>
              <w:right w:w="15" w:type="dxa"/>
            </w:tcMar>
            <w:vAlign w:val="center"/>
          </w:tcPr>
          <w:p w14:paraId="769BA9C1">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平均值</w:t>
            </w:r>
          </w:p>
        </w:tc>
        <w:tc>
          <w:tcPr>
            <w:tcW w:w="1211" w:type="dxa"/>
            <w:tcBorders>
              <w:tl2br w:val="nil"/>
              <w:tr2bl w:val="nil"/>
            </w:tcBorders>
            <w:noWrap/>
            <w:tcMar>
              <w:top w:w="15" w:type="dxa"/>
              <w:left w:w="15" w:type="dxa"/>
              <w:right w:w="15" w:type="dxa"/>
            </w:tcMar>
            <w:vAlign w:val="center"/>
          </w:tcPr>
          <w:p w14:paraId="092582F6">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0.02</w:t>
            </w:r>
          </w:p>
        </w:tc>
        <w:tc>
          <w:tcPr>
            <w:tcW w:w="606" w:type="pct"/>
            <w:tcBorders>
              <w:tl2br w:val="nil"/>
              <w:tr2bl w:val="nil"/>
            </w:tcBorders>
            <w:noWrap w:val="0"/>
            <w:tcMar>
              <w:top w:w="15" w:type="dxa"/>
              <w:left w:w="15" w:type="dxa"/>
              <w:right w:w="15" w:type="dxa"/>
            </w:tcMar>
            <w:vAlign w:val="center"/>
          </w:tcPr>
          <w:p w14:paraId="41AFFA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bl>
    <w:p w14:paraId="2C6D8810">
      <w:pPr>
        <w:keepNext w:val="0"/>
        <w:keepLines w:val="0"/>
        <w:pageBreakBefore w:val="0"/>
        <w:widowControl w:val="0"/>
        <w:kinsoku/>
        <w:wordWrap/>
        <w:overflowPunct/>
        <w:topLinePunct w:val="0"/>
        <w:autoSpaceDE/>
        <w:autoSpaceDN/>
        <w:bidi w:val="0"/>
        <w:adjustRightInd/>
        <w:snapToGrid/>
        <w:spacing w:after="0" w:line="480" w:lineRule="exact"/>
        <w:ind w:firstLine="0" w:firstLineChars="0"/>
        <w:jc w:val="center"/>
        <w:textAlignment w:val="auto"/>
        <w:outlineLvl w:val="9"/>
        <w:rPr>
          <w:rFonts w:hint="default" w:ascii="Times New Roman" w:hAnsi="Times New Roman" w:eastAsia="宋体" w:cs="Times New Roman"/>
          <w:snapToGrid w:val="0"/>
          <w:color w:val="FF0000"/>
          <w:kern w:val="2"/>
          <w:sz w:val="24"/>
          <w:szCs w:val="24"/>
          <w:highlight w:val="none"/>
          <w:lang w:val="en-US" w:eastAsia="zh-CN" w:bidi="ar-SA"/>
        </w:rPr>
      </w:pPr>
      <w:r>
        <w:rPr>
          <w:rFonts w:hint="default" w:ascii="Times New Roman" w:hAnsi="Times New Roman" w:eastAsia="宋体" w:cs="Times New Roman"/>
          <w:snapToGrid w:val="0"/>
          <w:color w:val="FF0000"/>
          <w:kern w:val="2"/>
          <w:sz w:val="24"/>
          <w:szCs w:val="24"/>
          <w:highlight w:val="none"/>
          <w:lang w:val="en-US" w:eastAsia="zh-CN" w:bidi="ar-SA"/>
        </w:rPr>
        <w:t>表6.2-1</w:t>
      </w:r>
      <w:r>
        <w:rPr>
          <w:rFonts w:hint="eastAsia" w:ascii="Times New Roman" w:hAnsi="Times New Roman" w:eastAsia="宋体" w:cs="Times New Roman"/>
          <w:snapToGrid w:val="0"/>
          <w:color w:val="FF0000"/>
          <w:kern w:val="2"/>
          <w:sz w:val="24"/>
          <w:szCs w:val="24"/>
          <w:highlight w:val="none"/>
          <w:lang w:val="en-US" w:eastAsia="zh-CN" w:bidi="ar-SA"/>
        </w:rPr>
        <w:t>0</w:t>
      </w:r>
      <w:r>
        <w:rPr>
          <w:rFonts w:hint="default" w:ascii="Times New Roman" w:hAnsi="Times New Roman" w:eastAsia="宋体" w:cs="Times New Roman"/>
          <w:snapToGrid w:val="0"/>
          <w:color w:val="FF0000"/>
          <w:kern w:val="2"/>
          <w:sz w:val="24"/>
          <w:szCs w:val="24"/>
          <w:highlight w:val="none"/>
          <w:lang w:val="en-US" w:eastAsia="zh-CN" w:bidi="ar-SA"/>
        </w:rPr>
        <w:t xml:space="preserve">  本项目</w:t>
      </w:r>
      <w:r>
        <w:rPr>
          <w:rFonts w:hint="default" w:ascii="Times New Roman" w:hAnsi="Times New Roman" w:eastAsia="宋体" w:cs="Times New Roman"/>
          <w:snapToGrid w:val="0"/>
          <w:color w:val="FF0000"/>
          <w:spacing w:val="0"/>
          <w:kern w:val="2"/>
          <w:sz w:val="24"/>
          <w:szCs w:val="24"/>
          <w:highlight w:val="none"/>
          <w:lang w:val="en-US" w:eastAsia="zh-CN" w:bidi="ar-SA"/>
        </w:rPr>
        <w:t>SO</w:t>
      </w:r>
      <w:r>
        <w:rPr>
          <w:rFonts w:hint="default" w:ascii="Times New Roman" w:hAnsi="Times New Roman" w:eastAsia="宋体" w:cs="Times New Roman"/>
          <w:snapToGrid w:val="0"/>
          <w:color w:val="FF0000"/>
          <w:spacing w:val="0"/>
          <w:kern w:val="2"/>
          <w:sz w:val="24"/>
          <w:szCs w:val="24"/>
          <w:highlight w:val="none"/>
          <w:vertAlign w:val="subscript"/>
          <w:lang w:val="en-US" w:eastAsia="zh-CN" w:bidi="ar-SA"/>
        </w:rPr>
        <w:t>2</w:t>
      </w:r>
      <w:r>
        <w:rPr>
          <w:rFonts w:hint="default" w:ascii="Times New Roman" w:hAnsi="Times New Roman" w:eastAsia="宋体" w:cs="Times New Roman"/>
          <w:snapToGrid w:val="0"/>
          <w:color w:val="FF0000"/>
          <w:kern w:val="2"/>
          <w:sz w:val="24"/>
          <w:szCs w:val="24"/>
          <w:highlight w:val="none"/>
          <w:lang w:val="en-US" w:eastAsia="zh-CN" w:bidi="ar-SA"/>
        </w:rPr>
        <w:t>贡献质量浓度预测结果表</w:t>
      </w:r>
    </w:p>
    <w:tbl>
      <w:tblPr>
        <w:tblStyle w:val="37"/>
        <w:tblW w:w="4995"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836"/>
        <w:gridCol w:w="1217"/>
        <w:gridCol w:w="1122"/>
        <w:gridCol w:w="1962"/>
        <w:gridCol w:w="966"/>
        <w:gridCol w:w="1209"/>
        <w:gridCol w:w="1010"/>
      </w:tblGrid>
      <w:tr w14:paraId="09CDE86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tcBorders>
              <w:tl2br w:val="nil"/>
              <w:tr2bl w:val="nil"/>
            </w:tcBorders>
            <w:noWrap w:val="0"/>
            <w:tcMar>
              <w:top w:w="15" w:type="dxa"/>
              <w:left w:w="15" w:type="dxa"/>
              <w:right w:w="15" w:type="dxa"/>
            </w:tcMar>
            <w:vAlign w:val="center"/>
          </w:tcPr>
          <w:p w14:paraId="7104F32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污染物</w:t>
            </w:r>
          </w:p>
        </w:tc>
        <w:tc>
          <w:tcPr>
            <w:tcW w:w="731" w:type="pct"/>
            <w:tcBorders>
              <w:tl2br w:val="nil"/>
              <w:tr2bl w:val="nil"/>
            </w:tcBorders>
            <w:noWrap w:val="0"/>
            <w:tcMar>
              <w:top w:w="15" w:type="dxa"/>
              <w:left w:w="15" w:type="dxa"/>
              <w:right w:w="15" w:type="dxa"/>
            </w:tcMar>
            <w:vAlign w:val="center"/>
          </w:tcPr>
          <w:p w14:paraId="3770200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预测点</w:t>
            </w:r>
          </w:p>
        </w:tc>
        <w:tc>
          <w:tcPr>
            <w:tcW w:w="674" w:type="pct"/>
            <w:tcBorders>
              <w:tl2br w:val="nil"/>
              <w:tr2bl w:val="nil"/>
            </w:tcBorders>
            <w:noWrap w:val="0"/>
            <w:tcMar>
              <w:top w:w="15" w:type="dxa"/>
              <w:left w:w="15" w:type="dxa"/>
              <w:right w:w="15" w:type="dxa"/>
            </w:tcMar>
            <w:vAlign w:val="center"/>
          </w:tcPr>
          <w:p w14:paraId="18E9640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平均时段</w:t>
            </w:r>
          </w:p>
        </w:tc>
        <w:tc>
          <w:tcPr>
            <w:tcW w:w="1178" w:type="pct"/>
            <w:tcBorders>
              <w:tl2br w:val="nil"/>
              <w:tr2bl w:val="nil"/>
            </w:tcBorders>
            <w:noWrap w:val="0"/>
            <w:tcMar>
              <w:top w:w="15" w:type="dxa"/>
              <w:left w:w="15" w:type="dxa"/>
              <w:right w:w="15" w:type="dxa"/>
            </w:tcMar>
            <w:vAlign w:val="center"/>
          </w:tcPr>
          <w:p w14:paraId="32E186C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最大贡献值/</w:t>
            </w:r>
            <w:r>
              <w:rPr>
                <w:rFonts w:hint="default" w:ascii="Times New Roman" w:hAnsi="Times New Roman" w:eastAsia="宋体" w:cs="Times New Roman"/>
                <w:color w:val="FF0000"/>
                <w:sz w:val="21"/>
                <w:szCs w:val="21"/>
                <w:highlight w:val="none"/>
                <w:u w:val="none"/>
                <w:lang w:val="en-US" w:eastAsia="zh-CN" w:bidi="ar"/>
              </w:rPr>
              <w:t>（μ</w:t>
            </w:r>
            <w:r>
              <w:rPr>
                <w:rFonts w:hint="default" w:ascii="Times New Roman" w:hAnsi="Times New Roman" w:eastAsia="宋体" w:cs="Times New Roman"/>
                <w:i w:val="0"/>
                <w:color w:val="FF0000"/>
                <w:kern w:val="0"/>
                <w:sz w:val="21"/>
                <w:szCs w:val="21"/>
                <w:highlight w:val="none"/>
                <w:u w:val="none"/>
                <w:lang w:val="en-US" w:eastAsia="zh-CN" w:bidi="ar"/>
              </w:rPr>
              <w:t>g/m</w:t>
            </w:r>
            <w:r>
              <w:rPr>
                <w:rFonts w:hint="default" w:ascii="Times New Roman" w:hAnsi="Times New Roman" w:eastAsia="宋体" w:cs="Times New Roman"/>
                <w:i w:val="0"/>
                <w:color w:val="FF0000"/>
                <w:kern w:val="0"/>
                <w:sz w:val="21"/>
                <w:szCs w:val="21"/>
                <w:highlight w:val="none"/>
                <w:u w:val="none"/>
                <w:vertAlign w:val="superscript"/>
                <w:lang w:val="en-US" w:eastAsia="zh-CN" w:bidi="ar"/>
              </w:rPr>
              <w:t>3</w:t>
            </w:r>
            <w:r>
              <w:rPr>
                <w:rFonts w:hint="default" w:ascii="Times New Roman" w:hAnsi="Times New Roman" w:eastAsia="宋体" w:cs="Times New Roman"/>
                <w:color w:val="FF0000"/>
                <w:sz w:val="21"/>
                <w:szCs w:val="21"/>
                <w:highlight w:val="none"/>
                <w:u w:val="none"/>
                <w:lang w:val="en-US" w:eastAsia="zh-CN" w:bidi="ar"/>
              </w:rPr>
              <w:t>）</w:t>
            </w:r>
          </w:p>
        </w:tc>
        <w:tc>
          <w:tcPr>
            <w:tcW w:w="580" w:type="pct"/>
            <w:tcBorders>
              <w:tl2br w:val="nil"/>
              <w:tr2bl w:val="nil"/>
            </w:tcBorders>
            <w:noWrap w:val="0"/>
            <w:tcMar>
              <w:top w:w="15" w:type="dxa"/>
              <w:left w:w="15" w:type="dxa"/>
              <w:right w:w="15" w:type="dxa"/>
            </w:tcMar>
            <w:vAlign w:val="center"/>
          </w:tcPr>
          <w:p w14:paraId="149A25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出现时间</w:t>
            </w:r>
          </w:p>
        </w:tc>
        <w:tc>
          <w:tcPr>
            <w:tcW w:w="726" w:type="pct"/>
            <w:tcBorders>
              <w:tl2br w:val="nil"/>
              <w:tr2bl w:val="nil"/>
            </w:tcBorders>
            <w:noWrap w:val="0"/>
            <w:tcMar>
              <w:top w:w="15" w:type="dxa"/>
              <w:left w:w="15" w:type="dxa"/>
              <w:right w:w="15" w:type="dxa"/>
            </w:tcMar>
            <w:vAlign w:val="center"/>
          </w:tcPr>
          <w:p w14:paraId="2B3F920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占标率/</w:t>
            </w:r>
            <w:r>
              <w:rPr>
                <w:rFonts w:hint="default" w:ascii="Times New Roman" w:hAnsi="Times New Roman" w:eastAsia="宋体" w:cs="Times New Roman"/>
                <w:color w:val="FF0000"/>
                <w:sz w:val="21"/>
                <w:szCs w:val="21"/>
                <w:highlight w:val="none"/>
                <w:u w:val="none"/>
                <w:lang w:val="en-US" w:eastAsia="zh-CN" w:bidi="ar"/>
              </w:rPr>
              <w:t>（%）</w:t>
            </w:r>
          </w:p>
        </w:tc>
        <w:tc>
          <w:tcPr>
            <w:tcW w:w="606" w:type="pct"/>
            <w:tcBorders>
              <w:tl2br w:val="nil"/>
              <w:tr2bl w:val="nil"/>
            </w:tcBorders>
            <w:noWrap w:val="0"/>
            <w:tcMar>
              <w:top w:w="15" w:type="dxa"/>
              <w:left w:w="15" w:type="dxa"/>
              <w:right w:w="15" w:type="dxa"/>
            </w:tcMar>
            <w:vAlign w:val="center"/>
          </w:tcPr>
          <w:p w14:paraId="06ED67D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达标情况</w:t>
            </w:r>
          </w:p>
        </w:tc>
      </w:tr>
      <w:tr w14:paraId="4574FEF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restart"/>
            <w:tcBorders>
              <w:tl2br w:val="nil"/>
              <w:tr2bl w:val="nil"/>
            </w:tcBorders>
            <w:noWrap w:val="0"/>
            <w:tcMar>
              <w:top w:w="15" w:type="dxa"/>
              <w:left w:w="15" w:type="dxa"/>
              <w:right w:w="15" w:type="dxa"/>
            </w:tcMar>
            <w:vAlign w:val="center"/>
          </w:tcPr>
          <w:p w14:paraId="075531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SO</w:t>
            </w:r>
            <w:r>
              <w:rPr>
                <w:rFonts w:hint="default" w:ascii="Times New Roman" w:hAnsi="Times New Roman" w:eastAsia="宋体" w:cs="Times New Roman"/>
                <w:i w:val="0"/>
                <w:color w:val="FF0000"/>
                <w:kern w:val="0"/>
                <w:sz w:val="21"/>
                <w:szCs w:val="21"/>
                <w:highlight w:val="none"/>
                <w:u w:val="none"/>
                <w:vertAlign w:val="subscript"/>
                <w:lang w:val="en-US" w:eastAsia="zh-CN" w:bidi="ar"/>
              </w:rPr>
              <w:t>2</w:t>
            </w:r>
          </w:p>
          <w:p w14:paraId="7B523D20">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color w:val="FF0000"/>
                <w:sz w:val="21"/>
                <w:szCs w:val="21"/>
                <w:highlight w:val="none"/>
              </w:rPr>
            </w:pPr>
          </w:p>
          <w:p w14:paraId="41C8D114">
            <w:pPr>
              <w:pStyle w:val="3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color w:val="FF0000"/>
                <w:sz w:val="21"/>
                <w:szCs w:val="21"/>
                <w:highlight w:val="none"/>
              </w:rPr>
            </w:pPr>
          </w:p>
          <w:p w14:paraId="432C66D3">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p w14:paraId="3EBBE71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aseline"/>
              <w:rPr>
                <w:rFonts w:hint="default" w:ascii="Times New Roman" w:hAnsi="Times New Roman" w:eastAsia="宋体" w:cs="Times New Roman"/>
                <w:color w:val="FF0000"/>
                <w:kern w:val="2"/>
                <w:sz w:val="21"/>
                <w:szCs w:val="21"/>
                <w:highlight w:val="none"/>
                <w:lang w:val="en-US" w:eastAsia="zh-CN" w:bidi="ar-SA"/>
              </w:rPr>
            </w:pPr>
          </w:p>
        </w:tc>
        <w:tc>
          <w:tcPr>
            <w:tcW w:w="731" w:type="pct"/>
            <w:vMerge w:val="restart"/>
            <w:tcBorders>
              <w:tl2br w:val="nil"/>
              <w:tr2bl w:val="nil"/>
            </w:tcBorders>
            <w:noWrap w:val="0"/>
            <w:tcMar>
              <w:top w:w="15" w:type="dxa"/>
              <w:left w:w="15" w:type="dxa"/>
              <w:right w:w="15" w:type="dxa"/>
            </w:tcMar>
            <w:vAlign w:val="center"/>
          </w:tcPr>
          <w:p w14:paraId="4A67688C">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范家屯</w:t>
            </w:r>
          </w:p>
        </w:tc>
        <w:tc>
          <w:tcPr>
            <w:tcW w:w="674" w:type="pct"/>
            <w:tcBorders>
              <w:tl2br w:val="nil"/>
              <w:tr2bl w:val="nil"/>
            </w:tcBorders>
            <w:noWrap w:val="0"/>
            <w:tcMar>
              <w:top w:w="15" w:type="dxa"/>
              <w:left w:w="15" w:type="dxa"/>
              <w:right w:w="15" w:type="dxa"/>
            </w:tcMar>
            <w:vAlign w:val="center"/>
          </w:tcPr>
          <w:p w14:paraId="645D30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1小时平均</w:t>
            </w:r>
          </w:p>
        </w:tc>
        <w:tc>
          <w:tcPr>
            <w:tcW w:w="1962" w:type="dxa"/>
            <w:tcBorders>
              <w:tl2br w:val="nil"/>
              <w:tr2bl w:val="nil"/>
            </w:tcBorders>
            <w:noWrap/>
            <w:tcMar>
              <w:top w:w="15" w:type="dxa"/>
              <w:left w:w="15" w:type="dxa"/>
              <w:right w:w="15" w:type="dxa"/>
            </w:tcMar>
            <w:vAlign w:val="center"/>
          </w:tcPr>
          <w:p w14:paraId="42C20F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1.10238</w:t>
            </w:r>
          </w:p>
        </w:tc>
        <w:tc>
          <w:tcPr>
            <w:tcW w:w="966" w:type="dxa"/>
            <w:tcBorders>
              <w:tl2br w:val="nil"/>
              <w:tr2bl w:val="nil"/>
            </w:tcBorders>
            <w:noWrap/>
            <w:tcMar>
              <w:top w:w="15" w:type="dxa"/>
              <w:left w:w="15" w:type="dxa"/>
              <w:right w:w="15" w:type="dxa"/>
            </w:tcMar>
            <w:vAlign w:val="center"/>
          </w:tcPr>
          <w:p w14:paraId="05D71C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24021411</w:t>
            </w:r>
          </w:p>
        </w:tc>
        <w:tc>
          <w:tcPr>
            <w:tcW w:w="1209" w:type="dxa"/>
            <w:tcBorders>
              <w:tl2br w:val="nil"/>
              <w:tr2bl w:val="nil"/>
            </w:tcBorders>
            <w:noWrap/>
            <w:tcMar>
              <w:top w:w="15" w:type="dxa"/>
              <w:left w:w="15" w:type="dxa"/>
              <w:right w:w="15" w:type="dxa"/>
            </w:tcMar>
            <w:vAlign w:val="center"/>
          </w:tcPr>
          <w:p w14:paraId="24CB71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0.22</w:t>
            </w:r>
          </w:p>
        </w:tc>
        <w:tc>
          <w:tcPr>
            <w:tcW w:w="606" w:type="pct"/>
            <w:tcBorders>
              <w:tl2br w:val="nil"/>
              <w:tr2bl w:val="nil"/>
            </w:tcBorders>
            <w:noWrap w:val="0"/>
            <w:tcMar>
              <w:top w:w="15" w:type="dxa"/>
              <w:left w:w="15" w:type="dxa"/>
              <w:right w:w="15" w:type="dxa"/>
            </w:tcMar>
            <w:vAlign w:val="center"/>
          </w:tcPr>
          <w:p w14:paraId="71D088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408BEB2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3D4C225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731" w:type="pct"/>
            <w:vMerge w:val="continue"/>
            <w:tcBorders>
              <w:tl2br w:val="nil"/>
              <w:tr2bl w:val="nil"/>
            </w:tcBorders>
            <w:noWrap w:val="0"/>
            <w:tcMar>
              <w:top w:w="15" w:type="dxa"/>
              <w:left w:w="15" w:type="dxa"/>
              <w:right w:w="15" w:type="dxa"/>
            </w:tcMar>
            <w:vAlign w:val="center"/>
          </w:tcPr>
          <w:p w14:paraId="0E59EB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674" w:type="pct"/>
            <w:tcBorders>
              <w:tl2br w:val="nil"/>
              <w:tr2bl w:val="nil"/>
            </w:tcBorders>
            <w:noWrap w:val="0"/>
            <w:tcMar>
              <w:top w:w="15" w:type="dxa"/>
              <w:left w:w="15" w:type="dxa"/>
              <w:right w:w="15" w:type="dxa"/>
            </w:tcMar>
            <w:vAlign w:val="center"/>
          </w:tcPr>
          <w:p w14:paraId="25B0CA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日平均</w:t>
            </w:r>
          </w:p>
        </w:tc>
        <w:tc>
          <w:tcPr>
            <w:tcW w:w="1962" w:type="dxa"/>
            <w:tcBorders>
              <w:tl2br w:val="nil"/>
              <w:tr2bl w:val="nil"/>
            </w:tcBorders>
            <w:noWrap/>
            <w:tcMar>
              <w:top w:w="15" w:type="dxa"/>
              <w:left w:w="15" w:type="dxa"/>
              <w:right w:w="15" w:type="dxa"/>
            </w:tcMar>
            <w:vAlign w:val="center"/>
          </w:tcPr>
          <w:p w14:paraId="4C2D43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0.10433</w:t>
            </w:r>
          </w:p>
        </w:tc>
        <w:tc>
          <w:tcPr>
            <w:tcW w:w="966" w:type="dxa"/>
            <w:tcBorders>
              <w:tl2br w:val="nil"/>
              <w:tr2bl w:val="nil"/>
            </w:tcBorders>
            <w:noWrap/>
            <w:tcMar>
              <w:top w:w="15" w:type="dxa"/>
              <w:left w:w="15" w:type="dxa"/>
              <w:right w:w="15" w:type="dxa"/>
            </w:tcMar>
            <w:vAlign w:val="center"/>
          </w:tcPr>
          <w:p w14:paraId="28C7C7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240214</w:t>
            </w:r>
          </w:p>
        </w:tc>
        <w:tc>
          <w:tcPr>
            <w:tcW w:w="1209" w:type="dxa"/>
            <w:tcBorders>
              <w:tl2br w:val="nil"/>
              <w:tr2bl w:val="nil"/>
            </w:tcBorders>
            <w:noWrap/>
            <w:tcMar>
              <w:top w:w="15" w:type="dxa"/>
              <w:left w:w="15" w:type="dxa"/>
              <w:right w:w="15" w:type="dxa"/>
            </w:tcMar>
            <w:vAlign w:val="center"/>
          </w:tcPr>
          <w:p w14:paraId="3C1C82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0.07</w:t>
            </w:r>
          </w:p>
        </w:tc>
        <w:tc>
          <w:tcPr>
            <w:tcW w:w="606" w:type="pct"/>
            <w:tcBorders>
              <w:tl2br w:val="nil"/>
              <w:tr2bl w:val="nil"/>
            </w:tcBorders>
            <w:noWrap w:val="0"/>
            <w:tcMar>
              <w:top w:w="15" w:type="dxa"/>
              <w:left w:w="15" w:type="dxa"/>
              <w:right w:w="15" w:type="dxa"/>
            </w:tcMar>
            <w:vAlign w:val="center"/>
          </w:tcPr>
          <w:p w14:paraId="5EE461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06F2198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6376DE48">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31" w:type="pct"/>
            <w:vMerge w:val="continue"/>
            <w:tcBorders>
              <w:tl2br w:val="nil"/>
              <w:tr2bl w:val="nil"/>
            </w:tcBorders>
            <w:noWrap w:val="0"/>
            <w:tcMar>
              <w:top w:w="15" w:type="dxa"/>
              <w:left w:w="15" w:type="dxa"/>
              <w:right w:w="15" w:type="dxa"/>
            </w:tcMar>
            <w:vAlign w:val="center"/>
          </w:tcPr>
          <w:p w14:paraId="382C5B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674" w:type="pct"/>
            <w:tcBorders>
              <w:tl2br w:val="nil"/>
              <w:tr2bl w:val="nil"/>
            </w:tcBorders>
            <w:noWrap w:val="0"/>
            <w:tcMar>
              <w:top w:w="15" w:type="dxa"/>
              <w:left w:w="15" w:type="dxa"/>
              <w:right w:w="15" w:type="dxa"/>
            </w:tcMar>
            <w:vAlign w:val="center"/>
          </w:tcPr>
          <w:p w14:paraId="4F588C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年平均</w:t>
            </w:r>
          </w:p>
        </w:tc>
        <w:tc>
          <w:tcPr>
            <w:tcW w:w="1962" w:type="dxa"/>
            <w:tcBorders>
              <w:tl2br w:val="nil"/>
              <w:tr2bl w:val="nil"/>
            </w:tcBorders>
            <w:noWrap/>
            <w:tcMar>
              <w:top w:w="15" w:type="dxa"/>
              <w:left w:w="15" w:type="dxa"/>
              <w:right w:w="15" w:type="dxa"/>
            </w:tcMar>
            <w:vAlign w:val="center"/>
          </w:tcPr>
          <w:p w14:paraId="5F02BC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0.00092</w:t>
            </w:r>
          </w:p>
        </w:tc>
        <w:tc>
          <w:tcPr>
            <w:tcW w:w="966" w:type="dxa"/>
            <w:tcBorders>
              <w:tl2br w:val="nil"/>
              <w:tr2bl w:val="nil"/>
            </w:tcBorders>
            <w:noWrap/>
            <w:tcMar>
              <w:top w:w="15" w:type="dxa"/>
              <w:left w:w="15" w:type="dxa"/>
              <w:right w:w="15" w:type="dxa"/>
            </w:tcMar>
            <w:vAlign w:val="center"/>
          </w:tcPr>
          <w:p w14:paraId="0C1622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209" w:type="dxa"/>
            <w:tcBorders>
              <w:tl2br w:val="nil"/>
              <w:tr2bl w:val="nil"/>
            </w:tcBorders>
            <w:noWrap/>
            <w:tcMar>
              <w:top w:w="15" w:type="dxa"/>
              <w:left w:w="15" w:type="dxa"/>
              <w:right w:w="15" w:type="dxa"/>
            </w:tcMar>
            <w:vAlign w:val="center"/>
          </w:tcPr>
          <w:p w14:paraId="6ED51E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w:t>
            </w:r>
          </w:p>
        </w:tc>
        <w:tc>
          <w:tcPr>
            <w:tcW w:w="606" w:type="pct"/>
            <w:tcBorders>
              <w:tl2br w:val="nil"/>
              <w:tr2bl w:val="nil"/>
            </w:tcBorders>
            <w:noWrap w:val="0"/>
            <w:tcMar>
              <w:top w:w="15" w:type="dxa"/>
              <w:left w:w="15" w:type="dxa"/>
              <w:right w:w="15" w:type="dxa"/>
            </w:tcMar>
            <w:vAlign w:val="center"/>
          </w:tcPr>
          <w:p w14:paraId="6D53EF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1FBDE72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19DC4863">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31" w:type="pct"/>
            <w:vMerge w:val="restart"/>
            <w:tcBorders>
              <w:tl2br w:val="nil"/>
              <w:tr2bl w:val="nil"/>
            </w:tcBorders>
            <w:noWrap w:val="0"/>
            <w:tcMar>
              <w:top w:w="15" w:type="dxa"/>
              <w:left w:w="15" w:type="dxa"/>
              <w:right w:w="15" w:type="dxa"/>
            </w:tcMar>
            <w:vAlign w:val="center"/>
          </w:tcPr>
          <w:p w14:paraId="5AC511DA">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范家村</w:t>
            </w:r>
          </w:p>
        </w:tc>
        <w:tc>
          <w:tcPr>
            <w:tcW w:w="674" w:type="pct"/>
            <w:tcBorders>
              <w:tl2br w:val="nil"/>
              <w:tr2bl w:val="nil"/>
            </w:tcBorders>
            <w:noWrap w:val="0"/>
            <w:tcMar>
              <w:top w:w="15" w:type="dxa"/>
              <w:left w:w="15" w:type="dxa"/>
              <w:right w:w="15" w:type="dxa"/>
            </w:tcMar>
            <w:vAlign w:val="center"/>
          </w:tcPr>
          <w:p w14:paraId="23F0BF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1小时平均</w:t>
            </w:r>
          </w:p>
        </w:tc>
        <w:tc>
          <w:tcPr>
            <w:tcW w:w="1962" w:type="dxa"/>
            <w:tcBorders>
              <w:tl2br w:val="nil"/>
              <w:tr2bl w:val="nil"/>
            </w:tcBorders>
            <w:noWrap/>
            <w:tcMar>
              <w:top w:w="15" w:type="dxa"/>
              <w:left w:w="15" w:type="dxa"/>
              <w:right w:w="15" w:type="dxa"/>
            </w:tcMar>
            <w:vAlign w:val="center"/>
          </w:tcPr>
          <w:p w14:paraId="0A31B0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1.27002</w:t>
            </w:r>
          </w:p>
        </w:tc>
        <w:tc>
          <w:tcPr>
            <w:tcW w:w="966" w:type="dxa"/>
            <w:tcBorders>
              <w:tl2br w:val="nil"/>
              <w:tr2bl w:val="nil"/>
            </w:tcBorders>
            <w:noWrap/>
            <w:tcMar>
              <w:top w:w="15" w:type="dxa"/>
              <w:left w:w="15" w:type="dxa"/>
              <w:right w:w="15" w:type="dxa"/>
            </w:tcMar>
            <w:vAlign w:val="center"/>
          </w:tcPr>
          <w:p w14:paraId="2408FC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24013015</w:t>
            </w:r>
          </w:p>
        </w:tc>
        <w:tc>
          <w:tcPr>
            <w:tcW w:w="1209" w:type="dxa"/>
            <w:tcBorders>
              <w:tl2br w:val="nil"/>
              <w:tr2bl w:val="nil"/>
            </w:tcBorders>
            <w:noWrap/>
            <w:tcMar>
              <w:top w:w="15" w:type="dxa"/>
              <w:left w:w="15" w:type="dxa"/>
              <w:right w:w="15" w:type="dxa"/>
            </w:tcMar>
            <w:vAlign w:val="center"/>
          </w:tcPr>
          <w:p w14:paraId="1D61BA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0.25</w:t>
            </w:r>
          </w:p>
        </w:tc>
        <w:tc>
          <w:tcPr>
            <w:tcW w:w="606" w:type="pct"/>
            <w:tcBorders>
              <w:tl2br w:val="nil"/>
              <w:tr2bl w:val="nil"/>
            </w:tcBorders>
            <w:noWrap w:val="0"/>
            <w:tcMar>
              <w:top w:w="15" w:type="dxa"/>
              <w:left w:w="15" w:type="dxa"/>
              <w:right w:w="15" w:type="dxa"/>
            </w:tcMar>
            <w:vAlign w:val="center"/>
          </w:tcPr>
          <w:p w14:paraId="3FC58A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5FB34E7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129098D0">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31" w:type="pct"/>
            <w:vMerge w:val="continue"/>
            <w:tcBorders>
              <w:tl2br w:val="nil"/>
              <w:tr2bl w:val="nil"/>
            </w:tcBorders>
            <w:noWrap w:val="0"/>
            <w:tcMar>
              <w:top w:w="15" w:type="dxa"/>
              <w:left w:w="15" w:type="dxa"/>
              <w:right w:w="15" w:type="dxa"/>
            </w:tcMar>
            <w:vAlign w:val="center"/>
          </w:tcPr>
          <w:p w14:paraId="10C9B79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674" w:type="pct"/>
            <w:tcBorders>
              <w:tl2br w:val="nil"/>
              <w:tr2bl w:val="nil"/>
            </w:tcBorders>
            <w:noWrap w:val="0"/>
            <w:tcMar>
              <w:top w:w="15" w:type="dxa"/>
              <w:left w:w="15" w:type="dxa"/>
              <w:right w:w="15" w:type="dxa"/>
            </w:tcMar>
            <w:vAlign w:val="center"/>
          </w:tcPr>
          <w:p w14:paraId="5B81E5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日平均</w:t>
            </w:r>
          </w:p>
        </w:tc>
        <w:tc>
          <w:tcPr>
            <w:tcW w:w="1962" w:type="dxa"/>
            <w:tcBorders>
              <w:tl2br w:val="nil"/>
              <w:tr2bl w:val="nil"/>
            </w:tcBorders>
            <w:noWrap/>
            <w:tcMar>
              <w:top w:w="15" w:type="dxa"/>
              <w:left w:w="15" w:type="dxa"/>
              <w:right w:w="15" w:type="dxa"/>
            </w:tcMar>
            <w:vAlign w:val="center"/>
          </w:tcPr>
          <w:p w14:paraId="1A6263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0.17001</w:t>
            </w:r>
          </w:p>
        </w:tc>
        <w:tc>
          <w:tcPr>
            <w:tcW w:w="966" w:type="dxa"/>
            <w:tcBorders>
              <w:tl2br w:val="nil"/>
              <w:tr2bl w:val="nil"/>
            </w:tcBorders>
            <w:noWrap/>
            <w:tcMar>
              <w:top w:w="15" w:type="dxa"/>
              <w:left w:w="15" w:type="dxa"/>
              <w:right w:w="15" w:type="dxa"/>
            </w:tcMar>
            <w:vAlign w:val="center"/>
          </w:tcPr>
          <w:p w14:paraId="1A8068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240214</w:t>
            </w:r>
          </w:p>
        </w:tc>
        <w:tc>
          <w:tcPr>
            <w:tcW w:w="1209" w:type="dxa"/>
            <w:tcBorders>
              <w:tl2br w:val="nil"/>
              <w:tr2bl w:val="nil"/>
            </w:tcBorders>
            <w:noWrap/>
            <w:tcMar>
              <w:top w:w="15" w:type="dxa"/>
              <w:left w:w="15" w:type="dxa"/>
              <w:right w:w="15" w:type="dxa"/>
            </w:tcMar>
            <w:vAlign w:val="center"/>
          </w:tcPr>
          <w:p w14:paraId="5EDEE2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0.11</w:t>
            </w:r>
          </w:p>
        </w:tc>
        <w:tc>
          <w:tcPr>
            <w:tcW w:w="606" w:type="pct"/>
            <w:tcBorders>
              <w:tl2br w:val="nil"/>
              <w:tr2bl w:val="nil"/>
            </w:tcBorders>
            <w:noWrap w:val="0"/>
            <w:tcMar>
              <w:top w:w="15" w:type="dxa"/>
              <w:left w:w="15" w:type="dxa"/>
              <w:right w:w="15" w:type="dxa"/>
            </w:tcMar>
            <w:vAlign w:val="center"/>
          </w:tcPr>
          <w:p w14:paraId="2F746A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746A678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00A26F8F">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31" w:type="pct"/>
            <w:vMerge w:val="continue"/>
            <w:tcBorders>
              <w:tl2br w:val="nil"/>
              <w:tr2bl w:val="nil"/>
            </w:tcBorders>
            <w:noWrap w:val="0"/>
            <w:tcMar>
              <w:top w:w="15" w:type="dxa"/>
              <w:left w:w="15" w:type="dxa"/>
              <w:right w:w="15" w:type="dxa"/>
            </w:tcMar>
            <w:vAlign w:val="center"/>
          </w:tcPr>
          <w:p w14:paraId="016C613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674" w:type="pct"/>
            <w:tcBorders>
              <w:tl2br w:val="nil"/>
              <w:tr2bl w:val="nil"/>
            </w:tcBorders>
            <w:noWrap w:val="0"/>
            <w:tcMar>
              <w:top w:w="15" w:type="dxa"/>
              <w:left w:w="15" w:type="dxa"/>
              <w:right w:w="15" w:type="dxa"/>
            </w:tcMar>
            <w:vAlign w:val="center"/>
          </w:tcPr>
          <w:p w14:paraId="4218E9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年平均</w:t>
            </w:r>
          </w:p>
        </w:tc>
        <w:tc>
          <w:tcPr>
            <w:tcW w:w="1962" w:type="dxa"/>
            <w:tcBorders>
              <w:tl2br w:val="nil"/>
              <w:tr2bl w:val="nil"/>
            </w:tcBorders>
            <w:noWrap/>
            <w:tcMar>
              <w:top w:w="15" w:type="dxa"/>
              <w:left w:w="15" w:type="dxa"/>
              <w:right w:w="15" w:type="dxa"/>
            </w:tcMar>
            <w:vAlign w:val="center"/>
          </w:tcPr>
          <w:p w14:paraId="14FA17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0.00271</w:t>
            </w:r>
          </w:p>
        </w:tc>
        <w:tc>
          <w:tcPr>
            <w:tcW w:w="966" w:type="dxa"/>
            <w:tcBorders>
              <w:tl2br w:val="nil"/>
              <w:tr2bl w:val="nil"/>
            </w:tcBorders>
            <w:noWrap/>
            <w:tcMar>
              <w:top w:w="15" w:type="dxa"/>
              <w:left w:w="15" w:type="dxa"/>
              <w:right w:w="15" w:type="dxa"/>
            </w:tcMar>
            <w:vAlign w:val="center"/>
          </w:tcPr>
          <w:p w14:paraId="4C3570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209" w:type="dxa"/>
            <w:tcBorders>
              <w:tl2br w:val="nil"/>
              <w:tr2bl w:val="nil"/>
            </w:tcBorders>
            <w:noWrap/>
            <w:tcMar>
              <w:top w:w="15" w:type="dxa"/>
              <w:left w:w="15" w:type="dxa"/>
              <w:right w:w="15" w:type="dxa"/>
            </w:tcMar>
            <w:vAlign w:val="center"/>
          </w:tcPr>
          <w:p w14:paraId="076AD9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w:t>
            </w:r>
          </w:p>
        </w:tc>
        <w:tc>
          <w:tcPr>
            <w:tcW w:w="606" w:type="pct"/>
            <w:tcBorders>
              <w:tl2br w:val="nil"/>
              <w:tr2bl w:val="nil"/>
            </w:tcBorders>
            <w:noWrap w:val="0"/>
            <w:tcMar>
              <w:top w:w="15" w:type="dxa"/>
              <w:left w:w="15" w:type="dxa"/>
              <w:right w:w="15" w:type="dxa"/>
            </w:tcMar>
            <w:vAlign w:val="center"/>
          </w:tcPr>
          <w:p w14:paraId="0EAF6F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30FFF28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43839AA2">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31" w:type="pct"/>
            <w:vMerge w:val="restart"/>
            <w:tcBorders>
              <w:tl2br w:val="nil"/>
              <w:tr2bl w:val="nil"/>
            </w:tcBorders>
            <w:noWrap w:val="0"/>
            <w:tcMar>
              <w:top w:w="15" w:type="dxa"/>
              <w:left w:w="15" w:type="dxa"/>
              <w:right w:w="15" w:type="dxa"/>
            </w:tcMar>
            <w:vAlign w:val="center"/>
          </w:tcPr>
          <w:p w14:paraId="6029B7FE">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原热电厂家属区</w:t>
            </w:r>
          </w:p>
        </w:tc>
        <w:tc>
          <w:tcPr>
            <w:tcW w:w="674" w:type="pct"/>
            <w:tcBorders>
              <w:tl2br w:val="nil"/>
              <w:tr2bl w:val="nil"/>
            </w:tcBorders>
            <w:noWrap w:val="0"/>
            <w:tcMar>
              <w:top w:w="15" w:type="dxa"/>
              <w:left w:w="15" w:type="dxa"/>
              <w:right w:w="15" w:type="dxa"/>
            </w:tcMar>
            <w:vAlign w:val="center"/>
          </w:tcPr>
          <w:p w14:paraId="6DE32A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1小时平均</w:t>
            </w:r>
          </w:p>
        </w:tc>
        <w:tc>
          <w:tcPr>
            <w:tcW w:w="1962" w:type="dxa"/>
            <w:tcBorders>
              <w:tl2br w:val="nil"/>
              <w:tr2bl w:val="nil"/>
            </w:tcBorders>
            <w:noWrap/>
            <w:tcMar>
              <w:top w:w="15" w:type="dxa"/>
              <w:left w:w="15" w:type="dxa"/>
              <w:right w:w="15" w:type="dxa"/>
            </w:tcMar>
            <w:vAlign w:val="center"/>
          </w:tcPr>
          <w:p w14:paraId="5D49E7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0.01193</w:t>
            </w:r>
          </w:p>
        </w:tc>
        <w:tc>
          <w:tcPr>
            <w:tcW w:w="966" w:type="dxa"/>
            <w:tcBorders>
              <w:tl2br w:val="nil"/>
              <w:tr2bl w:val="nil"/>
            </w:tcBorders>
            <w:noWrap/>
            <w:tcMar>
              <w:top w:w="15" w:type="dxa"/>
              <w:left w:w="15" w:type="dxa"/>
              <w:right w:w="15" w:type="dxa"/>
            </w:tcMar>
            <w:vAlign w:val="center"/>
          </w:tcPr>
          <w:p w14:paraId="4D544D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24120612</w:t>
            </w:r>
          </w:p>
        </w:tc>
        <w:tc>
          <w:tcPr>
            <w:tcW w:w="1209" w:type="dxa"/>
            <w:tcBorders>
              <w:tl2br w:val="nil"/>
              <w:tr2bl w:val="nil"/>
            </w:tcBorders>
            <w:noWrap/>
            <w:tcMar>
              <w:top w:w="15" w:type="dxa"/>
              <w:left w:w="15" w:type="dxa"/>
              <w:right w:w="15" w:type="dxa"/>
            </w:tcMar>
            <w:vAlign w:val="center"/>
          </w:tcPr>
          <w:p w14:paraId="731310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w:t>
            </w:r>
          </w:p>
        </w:tc>
        <w:tc>
          <w:tcPr>
            <w:tcW w:w="606" w:type="pct"/>
            <w:tcBorders>
              <w:tl2br w:val="nil"/>
              <w:tr2bl w:val="nil"/>
            </w:tcBorders>
            <w:noWrap w:val="0"/>
            <w:tcMar>
              <w:top w:w="15" w:type="dxa"/>
              <w:left w:w="15" w:type="dxa"/>
              <w:right w:w="15" w:type="dxa"/>
            </w:tcMar>
            <w:vAlign w:val="center"/>
          </w:tcPr>
          <w:p w14:paraId="500033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30921FB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242B9F27">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31" w:type="pct"/>
            <w:vMerge w:val="continue"/>
            <w:tcBorders>
              <w:tl2br w:val="nil"/>
              <w:tr2bl w:val="nil"/>
            </w:tcBorders>
            <w:noWrap w:val="0"/>
            <w:tcMar>
              <w:top w:w="15" w:type="dxa"/>
              <w:left w:w="15" w:type="dxa"/>
              <w:right w:w="15" w:type="dxa"/>
            </w:tcMar>
            <w:vAlign w:val="center"/>
          </w:tcPr>
          <w:p w14:paraId="513E8A1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674" w:type="pct"/>
            <w:tcBorders>
              <w:tl2br w:val="nil"/>
              <w:tr2bl w:val="nil"/>
            </w:tcBorders>
            <w:noWrap w:val="0"/>
            <w:tcMar>
              <w:top w:w="15" w:type="dxa"/>
              <w:left w:w="15" w:type="dxa"/>
              <w:right w:w="15" w:type="dxa"/>
            </w:tcMar>
            <w:vAlign w:val="center"/>
          </w:tcPr>
          <w:p w14:paraId="379B13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日平均</w:t>
            </w:r>
          </w:p>
        </w:tc>
        <w:tc>
          <w:tcPr>
            <w:tcW w:w="1962" w:type="dxa"/>
            <w:tcBorders>
              <w:tl2br w:val="nil"/>
              <w:tr2bl w:val="nil"/>
            </w:tcBorders>
            <w:noWrap/>
            <w:tcMar>
              <w:top w:w="15" w:type="dxa"/>
              <w:left w:w="15" w:type="dxa"/>
              <w:right w:w="15" w:type="dxa"/>
            </w:tcMar>
            <w:vAlign w:val="center"/>
          </w:tcPr>
          <w:p w14:paraId="7FF083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0.0005</w:t>
            </w:r>
          </w:p>
        </w:tc>
        <w:tc>
          <w:tcPr>
            <w:tcW w:w="966" w:type="dxa"/>
            <w:tcBorders>
              <w:tl2br w:val="nil"/>
              <w:tr2bl w:val="nil"/>
            </w:tcBorders>
            <w:noWrap/>
            <w:tcMar>
              <w:top w:w="15" w:type="dxa"/>
              <w:left w:w="15" w:type="dxa"/>
              <w:right w:w="15" w:type="dxa"/>
            </w:tcMar>
            <w:vAlign w:val="center"/>
          </w:tcPr>
          <w:p w14:paraId="015A45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241206</w:t>
            </w:r>
          </w:p>
        </w:tc>
        <w:tc>
          <w:tcPr>
            <w:tcW w:w="1209" w:type="dxa"/>
            <w:tcBorders>
              <w:tl2br w:val="nil"/>
              <w:tr2bl w:val="nil"/>
            </w:tcBorders>
            <w:noWrap/>
            <w:tcMar>
              <w:top w:w="15" w:type="dxa"/>
              <w:left w:w="15" w:type="dxa"/>
              <w:right w:w="15" w:type="dxa"/>
            </w:tcMar>
            <w:vAlign w:val="center"/>
          </w:tcPr>
          <w:p w14:paraId="620C7E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w:t>
            </w:r>
          </w:p>
        </w:tc>
        <w:tc>
          <w:tcPr>
            <w:tcW w:w="606" w:type="pct"/>
            <w:tcBorders>
              <w:tl2br w:val="nil"/>
              <w:tr2bl w:val="nil"/>
            </w:tcBorders>
            <w:noWrap w:val="0"/>
            <w:tcMar>
              <w:top w:w="15" w:type="dxa"/>
              <w:left w:w="15" w:type="dxa"/>
              <w:right w:w="15" w:type="dxa"/>
            </w:tcMar>
            <w:vAlign w:val="center"/>
          </w:tcPr>
          <w:p w14:paraId="2C81B7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0608F25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10F93F46">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31" w:type="pct"/>
            <w:vMerge w:val="continue"/>
            <w:tcBorders>
              <w:tl2br w:val="nil"/>
              <w:tr2bl w:val="nil"/>
            </w:tcBorders>
            <w:noWrap w:val="0"/>
            <w:tcMar>
              <w:top w:w="15" w:type="dxa"/>
              <w:left w:w="15" w:type="dxa"/>
              <w:right w:w="15" w:type="dxa"/>
            </w:tcMar>
            <w:vAlign w:val="center"/>
          </w:tcPr>
          <w:p w14:paraId="7EE5CA9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674" w:type="pct"/>
            <w:tcBorders>
              <w:tl2br w:val="nil"/>
              <w:tr2bl w:val="nil"/>
            </w:tcBorders>
            <w:noWrap w:val="0"/>
            <w:tcMar>
              <w:top w:w="15" w:type="dxa"/>
              <w:left w:w="15" w:type="dxa"/>
              <w:right w:w="15" w:type="dxa"/>
            </w:tcMar>
            <w:vAlign w:val="center"/>
          </w:tcPr>
          <w:p w14:paraId="7F661D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年平均</w:t>
            </w:r>
          </w:p>
        </w:tc>
        <w:tc>
          <w:tcPr>
            <w:tcW w:w="1962" w:type="dxa"/>
            <w:tcBorders>
              <w:tl2br w:val="nil"/>
              <w:tr2bl w:val="nil"/>
            </w:tcBorders>
            <w:noWrap/>
            <w:tcMar>
              <w:top w:w="15" w:type="dxa"/>
              <w:left w:w="15" w:type="dxa"/>
              <w:right w:w="15" w:type="dxa"/>
            </w:tcMar>
            <w:vAlign w:val="center"/>
          </w:tcPr>
          <w:p w14:paraId="501FB1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w:t>
            </w:r>
          </w:p>
        </w:tc>
        <w:tc>
          <w:tcPr>
            <w:tcW w:w="966" w:type="dxa"/>
            <w:tcBorders>
              <w:tl2br w:val="nil"/>
              <w:tr2bl w:val="nil"/>
            </w:tcBorders>
            <w:noWrap/>
            <w:tcMar>
              <w:top w:w="15" w:type="dxa"/>
              <w:left w:w="15" w:type="dxa"/>
              <w:right w:w="15" w:type="dxa"/>
            </w:tcMar>
            <w:vAlign w:val="center"/>
          </w:tcPr>
          <w:p w14:paraId="3A33AE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209" w:type="dxa"/>
            <w:tcBorders>
              <w:tl2br w:val="nil"/>
              <w:tr2bl w:val="nil"/>
            </w:tcBorders>
            <w:noWrap/>
            <w:tcMar>
              <w:top w:w="15" w:type="dxa"/>
              <w:left w:w="15" w:type="dxa"/>
              <w:right w:w="15" w:type="dxa"/>
            </w:tcMar>
            <w:vAlign w:val="center"/>
          </w:tcPr>
          <w:p w14:paraId="41F8AD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w:t>
            </w:r>
          </w:p>
        </w:tc>
        <w:tc>
          <w:tcPr>
            <w:tcW w:w="606" w:type="pct"/>
            <w:tcBorders>
              <w:tl2br w:val="nil"/>
              <w:tr2bl w:val="nil"/>
            </w:tcBorders>
            <w:noWrap w:val="0"/>
            <w:tcMar>
              <w:top w:w="15" w:type="dxa"/>
              <w:left w:w="15" w:type="dxa"/>
              <w:right w:w="15" w:type="dxa"/>
            </w:tcMar>
            <w:vAlign w:val="center"/>
          </w:tcPr>
          <w:p w14:paraId="578CB9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4C9FF7E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097A898A">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31" w:type="pct"/>
            <w:vMerge w:val="restart"/>
            <w:tcBorders>
              <w:tl2br w:val="nil"/>
              <w:tr2bl w:val="nil"/>
            </w:tcBorders>
            <w:noWrap w:val="0"/>
            <w:tcMar>
              <w:top w:w="15" w:type="dxa"/>
              <w:left w:w="15" w:type="dxa"/>
              <w:right w:w="15" w:type="dxa"/>
            </w:tcMar>
            <w:vAlign w:val="center"/>
          </w:tcPr>
          <w:p w14:paraId="540D598C">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黑锻新城小区</w:t>
            </w:r>
          </w:p>
        </w:tc>
        <w:tc>
          <w:tcPr>
            <w:tcW w:w="674" w:type="pct"/>
            <w:tcBorders>
              <w:tl2br w:val="nil"/>
              <w:tr2bl w:val="nil"/>
            </w:tcBorders>
            <w:noWrap w:val="0"/>
            <w:tcMar>
              <w:top w:w="15" w:type="dxa"/>
              <w:left w:w="15" w:type="dxa"/>
              <w:right w:w="15" w:type="dxa"/>
            </w:tcMar>
            <w:vAlign w:val="center"/>
          </w:tcPr>
          <w:p w14:paraId="5F3AF9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1小时平均</w:t>
            </w:r>
          </w:p>
        </w:tc>
        <w:tc>
          <w:tcPr>
            <w:tcW w:w="1962" w:type="dxa"/>
            <w:tcBorders>
              <w:tl2br w:val="nil"/>
              <w:tr2bl w:val="nil"/>
            </w:tcBorders>
            <w:noWrap/>
            <w:tcMar>
              <w:top w:w="15" w:type="dxa"/>
              <w:left w:w="15" w:type="dxa"/>
              <w:right w:w="15" w:type="dxa"/>
            </w:tcMar>
            <w:vAlign w:val="center"/>
          </w:tcPr>
          <w:p w14:paraId="415FAC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0.62416</w:t>
            </w:r>
          </w:p>
        </w:tc>
        <w:tc>
          <w:tcPr>
            <w:tcW w:w="966" w:type="dxa"/>
            <w:tcBorders>
              <w:tl2br w:val="nil"/>
              <w:tr2bl w:val="nil"/>
            </w:tcBorders>
            <w:noWrap/>
            <w:tcMar>
              <w:top w:w="15" w:type="dxa"/>
              <w:left w:w="15" w:type="dxa"/>
              <w:right w:w="15" w:type="dxa"/>
            </w:tcMar>
            <w:vAlign w:val="center"/>
          </w:tcPr>
          <w:p w14:paraId="0E1608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24021713</w:t>
            </w:r>
          </w:p>
        </w:tc>
        <w:tc>
          <w:tcPr>
            <w:tcW w:w="1209" w:type="dxa"/>
            <w:tcBorders>
              <w:tl2br w:val="nil"/>
              <w:tr2bl w:val="nil"/>
            </w:tcBorders>
            <w:noWrap/>
            <w:tcMar>
              <w:top w:w="15" w:type="dxa"/>
              <w:left w:w="15" w:type="dxa"/>
              <w:right w:w="15" w:type="dxa"/>
            </w:tcMar>
            <w:vAlign w:val="center"/>
          </w:tcPr>
          <w:p w14:paraId="7D37C3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0.12</w:t>
            </w:r>
          </w:p>
        </w:tc>
        <w:tc>
          <w:tcPr>
            <w:tcW w:w="606" w:type="pct"/>
            <w:tcBorders>
              <w:tl2br w:val="nil"/>
              <w:tr2bl w:val="nil"/>
            </w:tcBorders>
            <w:noWrap w:val="0"/>
            <w:tcMar>
              <w:top w:w="15" w:type="dxa"/>
              <w:left w:w="15" w:type="dxa"/>
              <w:right w:w="15" w:type="dxa"/>
            </w:tcMar>
            <w:vAlign w:val="center"/>
          </w:tcPr>
          <w:p w14:paraId="058CE0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112881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1748C63A">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31" w:type="pct"/>
            <w:vMerge w:val="continue"/>
            <w:tcBorders>
              <w:tl2br w:val="nil"/>
              <w:tr2bl w:val="nil"/>
            </w:tcBorders>
            <w:noWrap w:val="0"/>
            <w:tcMar>
              <w:top w:w="15" w:type="dxa"/>
              <w:left w:w="15" w:type="dxa"/>
              <w:right w:w="15" w:type="dxa"/>
            </w:tcMar>
            <w:vAlign w:val="center"/>
          </w:tcPr>
          <w:p w14:paraId="1543D5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674" w:type="pct"/>
            <w:tcBorders>
              <w:tl2br w:val="nil"/>
              <w:tr2bl w:val="nil"/>
            </w:tcBorders>
            <w:noWrap w:val="0"/>
            <w:tcMar>
              <w:top w:w="15" w:type="dxa"/>
              <w:left w:w="15" w:type="dxa"/>
              <w:right w:w="15" w:type="dxa"/>
            </w:tcMar>
            <w:vAlign w:val="center"/>
          </w:tcPr>
          <w:p w14:paraId="350E83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日平均</w:t>
            </w:r>
          </w:p>
        </w:tc>
        <w:tc>
          <w:tcPr>
            <w:tcW w:w="1962" w:type="dxa"/>
            <w:tcBorders>
              <w:tl2br w:val="nil"/>
              <w:tr2bl w:val="nil"/>
            </w:tcBorders>
            <w:noWrap/>
            <w:tcMar>
              <w:top w:w="15" w:type="dxa"/>
              <w:left w:w="15" w:type="dxa"/>
              <w:right w:w="15" w:type="dxa"/>
            </w:tcMar>
            <w:vAlign w:val="center"/>
          </w:tcPr>
          <w:p w14:paraId="123C43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0.05568</w:t>
            </w:r>
          </w:p>
        </w:tc>
        <w:tc>
          <w:tcPr>
            <w:tcW w:w="966" w:type="dxa"/>
            <w:tcBorders>
              <w:tl2br w:val="nil"/>
              <w:tr2bl w:val="nil"/>
            </w:tcBorders>
            <w:noWrap/>
            <w:tcMar>
              <w:top w:w="15" w:type="dxa"/>
              <w:left w:w="15" w:type="dxa"/>
              <w:right w:w="15" w:type="dxa"/>
            </w:tcMar>
            <w:vAlign w:val="center"/>
          </w:tcPr>
          <w:p w14:paraId="04A3F2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240217</w:t>
            </w:r>
          </w:p>
        </w:tc>
        <w:tc>
          <w:tcPr>
            <w:tcW w:w="1209" w:type="dxa"/>
            <w:tcBorders>
              <w:tl2br w:val="nil"/>
              <w:tr2bl w:val="nil"/>
            </w:tcBorders>
            <w:noWrap/>
            <w:tcMar>
              <w:top w:w="15" w:type="dxa"/>
              <w:left w:w="15" w:type="dxa"/>
              <w:right w:w="15" w:type="dxa"/>
            </w:tcMar>
            <w:vAlign w:val="center"/>
          </w:tcPr>
          <w:p w14:paraId="05BABD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0.04</w:t>
            </w:r>
          </w:p>
        </w:tc>
        <w:tc>
          <w:tcPr>
            <w:tcW w:w="606" w:type="pct"/>
            <w:tcBorders>
              <w:tl2br w:val="nil"/>
              <w:tr2bl w:val="nil"/>
            </w:tcBorders>
            <w:noWrap w:val="0"/>
            <w:tcMar>
              <w:top w:w="15" w:type="dxa"/>
              <w:left w:w="15" w:type="dxa"/>
              <w:right w:w="15" w:type="dxa"/>
            </w:tcMar>
            <w:vAlign w:val="center"/>
          </w:tcPr>
          <w:p w14:paraId="7284BB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52FDF29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5D3FC0C0">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31" w:type="pct"/>
            <w:vMerge w:val="continue"/>
            <w:tcBorders>
              <w:tl2br w:val="nil"/>
              <w:tr2bl w:val="nil"/>
            </w:tcBorders>
            <w:noWrap w:val="0"/>
            <w:tcMar>
              <w:top w:w="15" w:type="dxa"/>
              <w:left w:w="15" w:type="dxa"/>
              <w:right w:w="15" w:type="dxa"/>
            </w:tcMar>
            <w:vAlign w:val="center"/>
          </w:tcPr>
          <w:p w14:paraId="68C61D3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674" w:type="pct"/>
            <w:tcBorders>
              <w:tl2br w:val="nil"/>
              <w:tr2bl w:val="nil"/>
            </w:tcBorders>
            <w:noWrap w:val="0"/>
            <w:tcMar>
              <w:top w:w="15" w:type="dxa"/>
              <w:left w:w="15" w:type="dxa"/>
              <w:right w:w="15" w:type="dxa"/>
            </w:tcMar>
            <w:vAlign w:val="center"/>
          </w:tcPr>
          <w:p w14:paraId="53CE44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年平均</w:t>
            </w:r>
          </w:p>
        </w:tc>
        <w:tc>
          <w:tcPr>
            <w:tcW w:w="1962" w:type="dxa"/>
            <w:tcBorders>
              <w:tl2br w:val="nil"/>
              <w:tr2bl w:val="nil"/>
            </w:tcBorders>
            <w:noWrap/>
            <w:tcMar>
              <w:top w:w="15" w:type="dxa"/>
              <w:left w:w="15" w:type="dxa"/>
              <w:right w:w="15" w:type="dxa"/>
            </w:tcMar>
            <w:vAlign w:val="center"/>
          </w:tcPr>
          <w:p w14:paraId="11C77F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0.00051</w:t>
            </w:r>
          </w:p>
        </w:tc>
        <w:tc>
          <w:tcPr>
            <w:tcW w:w="966" w:type="dxa"/>
            <w:tcBorders>
              <w:tl2br w:val="nil"/>
              <w:tr2bl w:val="nil"/>
            </w:tcBorders>
            <w:noWrap/>
            <w:tcMar>
              <w:top w:w="15" w:type="dxa"/>
              <w:left w:w="15" w:type="dxa"/>
              <w:right w:w="15" w:type="dxa"/>
            </w:tcMar>
            <w:vAlign w:val="center"/>
          </w:tcPr>
          <w:p w14:paraId="146CE2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209" w:type="dxa"/>
            <w:tcBorders>
              <w:tl2br w:val="nil"/>
              <w:tr2bl w:val="nil"/>
            </w:tcBorders>
            <w:noWrap/>
            <w:tcMar>
              <w:top w:w="15" w:type="dxa"/>
              <w:left w:w="15" w:type="dxa"/>
              <w:right w:w="15" w:type="dxa"/>
            </w:tcMar>
            <w:vAlign w:val="center"/>
          </w:tcPr>
          <w:p w14:paraId="138FD6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w:t>
            </w:r>
          </w:p>
        </w:tc>
        <w:tc>
          <w:tcPr>
            <w:tcW w:w="606" w:type="pct"/>
            <w:tcBorders>
              <w:tl2br w:val="nil"/>
              <w:tr2bl w:val="nil"/>
            </w:tcBorders>
            <w:noWrap w:val="0"/>
            <w:tcMar>
              <w:top w:w="15" w:type="dxa"/>
              <w:left w:w="15" w:type="dxa"/>
              <w:right w:w="15" w:type="dxa"/>
            </w:tcMar>
            <w:vAlign w:val="center"/>
          </w:tcPr>
          <w:p w14:paraId="5F4117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40C77F5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6B4B820B">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31" w:type="pct"/>
            <w:vMerge w:val="restart"/>
            <w:tcBorders>
              <w:tl2br w:val="nil"/>
              <w:tr2bl w:val="nil"/>
            </w:tcBorders>
            <w:shd w:val="clear" w:color="auto" w:fill="auto"/>
            <w:noWrap w:val="0"/>
            <w:tcMar>
              <w:top w:w="15" w:type="dxa"/>
              <w:left w:w="15" w:type="dxa"/>
              <w:right w:w="15" w:type="dxa"/>
            </w:tcMar>
            <w:vAlign w:val="center"/>
          </w:tcPr>
          <w:p w14:paraId="6B2A7B66">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东侧市区（绿云社区）</w:t>
            </w:r>
          </w:p>
        </w:tc>
        <w:tc>
          <w:tcPr>
            <w:tcW w:w="674" w:type="pct"/>
            <w:tcBorders>
              <w:tl2br w:val="nil"/>
              <w:tr2bl w:val="nil"/>
            </w:tcBorders>
            <w:shd w:val="clear" w:color="auto" w:fill="auto"/>
            <w:noWrap w:val="0"/>
            <w:tcMar>
              <w:top w:w="15" w:type="dxa"/>
              <w:left w:w="15" w:type="dxa"/>
              <w:right w:w="15" w:type="dxa"/>
            </w:tcMar>
            <w:vAlign w:val="center"/>
          </w:tcPr>
          <w:p w14:paraId="71E1F2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1小时平均</w:t>
            </w:r>
          </w:p>
        </w:tc>
        <w:tc>
          <w:tcPr>
            <w:tcW w:w="1962" w:type="dxa"/>
            <w:tcBorders>
              <w:tl2br w:val="nil"/>
              <w:tr2bl w:val="nil"/>
            </w:tcBorders>
            <w:shd w:val="clear" w:color="auto" w:fill="auto"/>
            <w:noWrap/>
            <w:tcMar>
              <w:top w:w="15" w:type="dxa"/>
              <w:left w:w="15" w:type="dxa"/>
              <w:right w:w="15" w:type="dxa"/>
            </w:tcMar>
            <w:vAlign w:val="center"/>
          </w:tcPr>
          <w:p w14:paraId="056C83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1.37765</w:t>
            </w:r>
          </w:p>
        </w:tc>
        <w:tc>
          <w:tcPr>
            <w:tcW w:w="966" w:type="dxa"/>
            <w:tcBorders>
              <w:tl2br w:val="nil"/>
              <w:tr2bl w:val="nil"/>
            </w:tcBorders>
            <w:shd w:val="clear" w:color="auto" w:fill="auto"/>
            <w:noWrap/>
            <w:tcMar>
              <w:top w:w="15" w:type="dxa"/>
              <w:left w:w="15" w:type="dxa"/>
              <w:right w:w="15" w:type="dxa"/>
            </w:tcMar>
            <w:vAlign w:val="center"/>
          </w:tcPr>
          <w:p w14:paraId="521FDC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24022511</w:t>
            </w:r>
          </w:p>
        </w:tc>
        <w:tc>
          <w:tcPr>
            <w:tcW w:w="1209" w:type="dxa"/>
            <w:tcBorders>
              <w:tl2br w:val="nil"/>
              <w:tr2bl w:val="nil"/>
            </w:tcBorders>
            <w:shd w:val="clear" w:color="auto" w:fill="auto"/>
            <w:noWrap/>
            <w:tcMar>
              <w:top w:w="15" w:type="dxa"/>
              <w:left w:w="15" w:type="dxa"/>
              <w:right w:w="15" w:type="dxa"/>
            </w:tcMar>
            <w:vAlign w:val="center"/>
          </w:tcPr>
          <w:p w14:paraId="47C4A7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0.28</w:t>
            </w:r>
          </w:p>
        </w:tc>
        <w:tc>
          <w:tcPr>
            <w:tcW w:w="606" w:type="pct"/>
            <w:tcBorders>
              <w:tl2br w:val="nil"/>
              <w:tr2bl w:val="nil"/>
            </w:tcBorders>
            <w:shd w:val="clear" w:color="auto" w:fill="auto"/>
            <w:noWrap w:val="0"/>
            <w:tcMar>
              <w:top w:w="15" w:type="dxa"/>
              <w:left w:w="15" w:type="dxa"/>
              <w:right w:w="15" w:type="dxa"/>
            </w:tcMar>
            <w:vAlign w:val="center"/>
          </w:tcPr>
          <w:p w14:paraId="751990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3148B59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29712E88">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31" w:type="pct"/>
            <w:vMerge w:val="continue"/>
            <w:tcBorders>
              <w:tl2br w:val="nil"/>
              <w:tr2bl w:val="nil"/>
            </w:tcBorders>
            <w:noWrap w:val="0"/>
            <w:tcMar>
              <w:top w:w="15" w:type="dxa"/>
              <w:left w:w="15" w:type="dxa"/>
              <w:right w:w="15" w:type="dxa"/>
            </w:tcMar>
            <w:vAlign w:val="center"/>
          </w:tcPr>
          <w:p w14:paraId="2E2258A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674" w:type="pct"/>
            <w:tcBorders>
              <w:tl2br w:val="nil"/>
              <w:tr2bl w:val="nil"/>
            </w:tcBorders>
            <w:shd w:val="clear" w:color="auto" w:fill="auto"/>
            <w:noWrap w:val="0"/>
            <w:tcMar>
              <w:top w:w="15" w:type="dxa"/>
              <w:left w:w="15" w:type="dxa"/>
              <w:right w:w="15" w:type="dxa"/>
            </w:tcMar>
            <w:vAlign w:val="center"/>
          </w:tcPr>
          <w:p w14:paraId="492F0F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日平均</w:t>
            </w:r>
          </w:p>
        </w:tc>
        <w:tc>
          <w:tcPr>
            <w:tcW w:w="1962" w:type="dxa"/>
            <w:tcBorders>
              <w:tl2br w:val="nil"/>
              <w:tr2bl w:val="nil"/>
            </w:tcBorders>
            <w:shd w:val="clear" w:color="auto" w:fill="auto"/>
            <w:noWrap/>
            <w:tcMar>
              <w:top w:w="15" w:type="dxa"/>
              <w:left w:w="15" w:type="dxa"/>
              <w:right w:w="15" w:type="dxa"/>
            </w:tcMar>
            <w:vAlign w:val="center"/>
          </w:tcPr>
          <w:p w14:paraId="0A026D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0.16143</w:t>
            </w:r>
          </w:p>
        </w:tc>
        <w:tc>
          <w:tcPr>
            <w:tcW w:w="966" w:type="dxa"/>
            <w:tcBorders>
              <w:tl2br w:val="nil"/>
              <w:tr2bl w:val="nil"/>
            </w:tcBorders>
            <w:shd w:val="clear" w:color="auto" w:fill="auto"/>
            <w:noWrap/>
            <w:tcMar>
              <w:top w:w="15" w:type="dxa"/>
              <w:left w:w="15" w:type="dxa"/>
              <w:right w:w="15" w:type="dxa"/>
            </w:tcMar>
            <w:vAlign w:val="center"/>
          </w:tcPr>
          <w:p w14:paraId="466409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241203</w:t>
            </w:r>
          </w:p>
        </w:tc>
        <w:tc>
          <w:tcPr>
            <w:tcW w:w="1209" w:type="dxa"/>
            <w:tcBorders>
              <w:tl2br w:val="nil"/>
              <w:tr2bl w:val="nil"/>
            </w:tcBorders>
            <w:shd w:val="clear" w:color="auto" w:fill="auto"/>
            <w:noWrap/>
            <w:tcMar>
              <w:top w:w="15" w:type="dxa"/>
              <w:left w:w="15" w:type="dxa"/>
              <w:right w:w="15" w:type="dxa"/>
            </w:tcMar>
            <w:vAlign w:val="center"/>
          </w:tcPr>
          <w:p w14:paraId="092148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0.11</w:t>
            </w:r>
          </w:p>
        </w:tc>
        <w:tc>
          <w:tcPr>
            <w:tcW w:w="606" w:type="pct"/>
            <w:tcBorders>
              <w:tl2br w:val="nil"/>
              <w:tr2bl w:val="nil"/>
            </w:tcBorders>
            <w:shd w:val="clear" w:color="auto" w:fill="auto"/>
            <w:noWrap w:val="0"/>
            <w:tcMar>
              <w:top w:w="15" w:type="dxa"/>
              <w:left w:w="15" w:type="dxa"/>
              <w:right w:w="15" w:type="dxa"/>
            </w:tcMar>
            <w:vAlign w:val="center"/>
          </w:tcPr>
          <w:p w14:paraId="6DF158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04ECB6C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4B8A4BF1">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31" w:type="pct"/>
            <w:vMerge w:val="continue"/>
            <w:tcBorders>
              <w:tl2br w:val="nil"/>
              <w:tr2bl w:val="nil"/>
            </w:tcBorders>
            <w:noWrap w:val="0"/>
            <w:tcMar>
              <w:top w:w="15" w:type="dxa"/>
              <w:left w:w="15" w:type="dxa"/>
              <w:right w:w="15" w:type="dxa"/>
            </w:tcMar>
            <w:vAlign w:val="center"/>
          </w:tcPr>
          <w:p w14:paraId="5AC0CFE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674" w:type="pct"/>
            <w:tcBorders>
              <w:tl2br w:val="nil"/>
              <w:tr2bl w:val="nil"/>
            </w:tcBorders>
            <w:shd w:val="clear" w:color="auto" w:fill="auto"/>
            <w:noWrap w:val="0"/>
            <w:tcMar>
              <w:top w:w="15" w:type="dxa"/>
              <w:left w:w="15" w:type="dxa"/>
              <w:right w:w="15" w:type="dxa"/>
            </w:tcMar>
            <w:vAlign w:val="center"/>
          </w:tcPr>
          <w:p w14:paraId="5F9D9D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年平均</w:t>
            </w:r>
          </w:p>
        </w:tc>
        <w:tc>
          <w:tcPr>
            <w:tcW w:w="1962" w:type="dxa"/>
            <w:tcBorders>
              <w:tl2br w:val="nil"/>
              <w:tr2bl w:val="nil"/>
            </w:tcBorders>
            <w:shd w:val="clear" w:color="auto" w:fill="auto"/>
            <w:noWrap/>
            <w:tcMar>
              <w:top w:w="15" w:type="dxa"/>
              <w:left w:w="15" w:type="dxa"/>
              <w:right w:w="15" w:type="dxa"/>
            </w:tcMar>
            <w:vAlign w:val="center"/>
          </w:tcPr>
          <w:p w14:paraId="0BCD3C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0.00938</w:t>
            </w:r>
          </w:p>
        </w:tc>
        <w:tc>
          <w:tcPr>
            <w:tcW w:w="966" w:type="dxa"/>
            <w:tcBorders>
              <w:tl2br w:val="nil"/>
              <w:tr2bl w:val="nil"/>
            </w:tcBorders>
            <w:shd w:val="clear" w:color="auto" w:fill="auto"/>
            <w:noWrap/>
            <w:tcMar>
              <w:top w:w="15" w:type="dxa"/>
              <w:left w:w="15" w:type="dxa"/>
              <w:right w:w="15" w:type="dxa"/>
            </w:tcMar>
            <w:vAlign w:val="center"/>
          </w:tcPr>
          <w:p w14:paraId="41B0CD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209" w:type="dxa"/>
            <w:tcBorders>
              <w:tl2br w:val="nil"/>
              <w:tr2bl w:val="nil"/>
            </w:tcBorders>
            <w:shd w:val="clear" w:color="auto" w:fill="auto"/>
            <w:noWrap/>
            <w:tcMar>
              <w:top w:w="15" w:type="dxa"/>
              <w:left w:w="15" w:type="dxa"/>
              <w:right w:w="15" w:type="dxa"/>
            </w:tcMar>
            <w:vAlign w:val="center"/>
          </w:tcPr>
          <w:p w14:paraId="68E35F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0.02</w:t>
            </w:r>
          </w:p>
        </w:tc>
        <w:tc>
          <w:tcPr>
            <w:tcW w:w="606" w:type="pct"/>
            <w:tcBorders>
              <w:tl2br w:val="nil"/>
              <w:tr2bl w:val="nil"/>
            </w:tcBorders>
            <w:shd w:val="clear" w:color="auto" w:fill="auto"/>
            <w:noWrap w:val="0"/>
            <w:tcMar>
              <w:top w:w="15" w:type="dxa"/>
              <w:left w:w="15" w:type="dxa"/>
              <w:right w:w="15" w:type="dxa"/>
            </w:tcMar>
            <w:vAlign w:val="center"/>
          </w:tcPr>
          <w:p w14:paraId="13FA3C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69D1D19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6D7CB885">
            <w:pPr>
              <w:pStyle w:val="3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color w:val="FF0000"/>
                <w:sz w:val="21"/>
                <w:szCs w:val="21"/>
                <w:highlight w:val="none"/>
              </w:rPr>
            </w:pPr>
          </w:p>
        </w:tc>
        <w:tc>
          <w:tcPr>
            <w:tcW w:w="731" w:type="pct"/>
            <w:vMerge w:val="restart"/>
            <w:tcBorders>
              <w:tl2br w:val="nil"/>
              <w:tr2bl w:val="nil"/>
            </w:tcBorders>
            <w:noWrap w:val="0"/>
            <w:tcMar>
              <w:top w:w="15" w:type="dxa"/>
              <w:left w:w="15" w:type="dxa"/>
              <w:right w:w="15" w:type="dxa"/>
            </w:tcMar>
            <w:vAlign w:val="center"/>
          </w:tcPr>
          <w:p w14:paraId="26184645">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南侧市区（佳木斯市第十六中学）</w:t>
            </w:r>
          </w:p>
        </w:tc>
        <w:tc>
          <w:tcPr>
            <w:tcW w:w="674" w:type="pct"/>
            <w:tcBorders>
              <w:tl2br w:val="nil"/>
              <w:tr2bl w:val="nil"/>
            </w:tcBorders>
            <w:shd w:val="clear" w:color="auto" w:fill="auto"/>
            <w:noWrap w:val="0"/>
            <w:tcMar>
              <w:top w:w="15" w:type="dxa"/>
              <w:left w:w="15" w:type="dxa"/>
              <w:right w:w="15" w:type="dxa"/>
            </w:tcMar>
            <w:vAlign w:val="center"/>
          </w:tcPr>
          <w:p w14:paraId="1F76BE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1小时平均</w:t>
            </w:r>
          </w:p>
        </w:tc>
        <w:tc>
          <w:tcPr>
            <w:tcW w:w="1962" w:type="dxa"/>
            <w:tcBorders>
              <w:tl2br w:val="nil"/>
              <w:tr2bl w:val="nil"/>
            </w:tcBorders>
            <w:shd w:val="clear" w:color="auto" w:fill="auto"/>
            <w:noWrap/>
            <w:tcMar>
              <w:top w:w="15" w:type="dxa"/>
              <w:left w:w="15" w:type="dxa"/>
              <w:right w:w="15" w:type="dxa"/>
            </w:tcMar>
            <w:vAlign w:val="center"/>
          </w:tcPr>
          <w:p w14:paraId="446C8D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2.14721</w:t>
            </w:r>
          </w:p>
        </w:tc>
        <w:tc>
          <w:tcPr>
            <w:tcW w:w="966" w:type="dxa"/>
            <w:tcBorders>
              <w:tl2br w:val="nil"/>
              <w:tr2bl w:val="nil"/>
            </w:tcBorders>
            <w:shd w:val="clear" w:color="auto" w:fill="auto"/>
            <w:noWrap/>
            <w:tcMar>
              <w:top w:w="15" w:type="dxa"/>
              <w:left w:w="15" w:type="dxa"/>
              <w:right w:w="15" w:type="dxa"/>
            </w:tcMar>
            <w:vAlign w:val="center"/>
          </w:tcPr>
          <w:p w14:paraId="43EDFD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24120612</w:t>
            </w:r>
          </w:p>
        </w:tc>
        <w:tc>
          <w:tcPr>
            <w:tcW w:w="1209" w:type="dxa"/>
            <w:tcBorders>
              <w:tl2br w:val="nil"/>
              <w:tr2bl w:val="nil"/>
            </w:tcBorders>
            <w:shd w:val="clear" w:color="auto" w:fill="auto"/>
            <w:noWrap/>
            <w:tcMar>
              <w:top w:w="15" w:type="dxa"/>
              <w:left w:w="15" w:type="dxa"/>
              <w:right w:w="15" w:type="dxa"/>
            </w:tcMar>
            <w:vAlign w:val="center"/>
          </w:tcPr>
          <w:p w14:paraId="4FDA67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0.43</w:t>
            </w:r>
          </w:p>
        </w:tc>
        <w:tc>
          <w:tcPr>
            <w:tcW w:w="606" w:type="pct"/>
            <w:tcBorders>
              <w:tl2br w:val="nil"/>
              <w:tr2bl w:val="nil"/>
            </w:tcBorders>
            <w:shd w:val="clear" w:color="auto" w:fill="auto"/>
            <w:noWrap w:val="0"/>
            <w:tcMar>
              <w:top w:w="15" w:type="dxa"/>
              <w:left w:w="15" w:type="dxa"/>
              <w:right w:w="15" w:type="dxa"/>
            </w:tcMar>
            <w:vAlign w:val="center"/>
          </w:tcPr>
          <w:p w14:paraId="0D729F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53B2BBF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46D35290">
            <w:pPr>
              <w:pStyle w:val="3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color w:val="FF0000"/>
                <w:sz w:val="21"/>
                <w:szCs w:val="21"/>
                <w:highlight w:val="none"/>
              </w:rPr>
            </w:pPr>
          </w:p>
        </w:tc>
        <w:tc>
          <w:tcPr>
            <w:tcW w:w="731" w:type="pct"/>
            <w:vMerge w:val="continue"/>
            <w:tcBorders>
              <w:tl2br w:val="nil"/>
              <w:tr2bl w:val="nil"/>
            </w:tcBorders>
            <w:noWrap w:val="0"/>
            <w:tcMar>
              <w:top w:w="15" w:type="dxa"/>
              <w:left w:w="15" w:type="dxa"/>
              <w:right w:w="15" w:type="dxa"/>
            </w:tcMar>
            <w:vAlign w:val="center"/>
          </w:tcPr>
          <w:p w14:paraId="46F2C5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674" w:type="pct"/>
            <w:tcBorders>
              <w:tl2br w:val="nil"/>
              <w:tr2bl w:val="nil"/>
            </w:tcBorders>
            <w:shd w:val="clear" w:color="auto" w:fill="auto"/>
            <w:noWrap w:val="0"/>
            <w:tcMar>
              <w:top w:w="15" w:type="dxa"/>
              <w:left w:w="15" w:type="dxa"/>
              <w:right w:w="15" w:type="dxa"/>
            </w:tcMar>
            <w:vAlign w:val="center"/>
          </w:tcPr>
          <w:p w14:paraId="36578E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日平均</w:t>
            </w:r>
          </w:p>
        </w:tc>
        <w:tc>
          <w:tcPr>
            <w:tcW w:w="1962" w:type="dxa"/>
            <w:tcBorders>
              <w:tl2br w:val="nil"/>
              <w:tr2bl w:val="nil"/>
            </w:tcBorders>
            <w:shd w:val="clear" w:color="auto" w:fill="auto"/>
            <w:noWrap/>
            <w:tcMar>
              <w:top w:w="15" w:type="dxa"/>
              <w:left w:w="15" w:type="dxa"/>
              <w:right w:w="15" w:type="dxa"/>
            </w:tcMar>
            <w:vAlign w:val="center"/>
          </w:tcPr>
          <w:p w14:paraId="3DFD93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0.08947</w:t>
            </w:r>
          </w:p>
        </w:tc>
        <w:tc>
          <w:tcPr>
            <w:tcW w:w="966" w:type="dxa"/>
            <w:tcBorders>
              <w:tl2br w:val="nil"/>
              <w:tr2bl w:val="nil"/>
            </w:tcBorders>
            <w:shd w:val="clear" w:color="auto" w:fill="auto"/>
            <w:noWrap/>
            <w:tcMar>
              <w:top w:w="15" w:type="dxa"/>
              <w:left w:w="15" w:type="dxa"/>
              <w:right w:w="15" w:type="dxa"/>
            </w:tcMar>
            <w:vAlign w:val="center"/>
          </w:tcPr>
          <w:p w14:paraId="7DB611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241206</w:t>
            </w:r>
          </w:p>
        </w:tc>
        <w:tc>
          <w:tcPr>
            <w:tcW w:w="1209" w:type="dxa"/>
            <w:tcBorders>
              <w:tl2br w:val="nil"/>
              <w:tr2bl w:val="nil"/>
            </w:tcBorders>
            <w:shd w:val="clear" w:color="auto" w:fill="auto"/>
            <w:noWrap/>
            <w:tcMar>
              <w:top w:w="15" w:type="dxa"/>
              <w:left w:w="15" w:type="dxa"/>
              <w:right w:w="15" w:type="dxa"/>
            </w:tcMar>
            <w:vAlign w:val="center"/>
          </w:tcPr>
          <w:p w14:paraId="13C97E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0.06</w:t>
            </w:r>
          </w:p>
        </w:tc>
        <w:tc>
          <w:tcPr>
            <w:tcW w:w="606" w:type="pct"/>
            <w:tcBorders>
              <w:tl2br w:val="nil"/>
              <w:tr2bl w:val="nil"/>
            </w:tcBorders>
            <w:shd w:val="clear" w:color="auto" w:fill="auto"/>
            <w:noWrap w:val="0"/>
            <w:tcMar>
              <w:top w:w="15" w:type="dxa"/>
              <w:left w:w="15" w:type="dxa"/>
              <w:right w:w="15" w:type="dxa"/>
            </w:tcMar>
            <w:vAlign w:val="center"/>
          </w:tcPr>
          <w:p w14:paraId="4332D8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2C0CCB6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362E98AA">
            <w:pPr>
              <w:pStyle w:val="3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color w:val="FF0000"/>
                <w:sz w:val="21"/>
                <w:szCs w:val="21"/>
                <w:highlight w:val="none"/>
              </w:rPr>
            </w:pPr>
          </w:p>
        </w:tc>
        <w:tc>
          <w:tcPr>
            <w:tcW w:w="731" w:type="pct"/>
            <w:vMerge w:val="continue"/>
            <w:tcBorders>
              <w:tl2br w:val="nil"/>
              <w:tr2bl w:val="nil"/>
            </w:tcBorders>
            <w:noWrap w:val="0"/>
            <w:tcMar>
              <w:top w:w="15" w:type="dxa"/>
              <w:left w:w="15" w:type="dxa"/>
              <w:right w:w="15" w:type="dxa"/>
            </w:tcMar>
            <w:vAlign w:val="center"/>
          </w:tcPr>
          <w:p w14:paraId="4B29730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674" w:type="pct"/>
            <w:tcBorders>
              <w:tl2br w:val="nil"/>
              <w:tr2bl w:val="nil"/>
            </w:tcBorders>
            <w:shd w:val="clear" w:color="auto" w:fill="auto"/>
            <w:noWrap w:val="0"/>
            <w:tcMar>
              <w:top w:w="15" w:type="dxa"/>
              <w:left w:w="15" w:type="dxa"/>
              <w:right w:w="15" w:type="dxa"/>
            </w:tcMar>
            <w:vAlign w:val="center"/>
          </w:tcPr>
          <w:p w14:paraId="584687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年平均</w:t>
            </w:r>
          </w:p>
        </w:tc>
        <w:tc>
          <w:tcPr>
            <w:tcW w:w="1962" w:type="dxa"/>
            <w:tcBorders>
              <w:tl2br w:val="nil"/>
              <w:tr2bl w:val="nil"/>
            </w:tcBorders>
            <w:shd w:val="clear" w:color="auto" w:fill="auto"/>
            <w:noWrap/>
            <w:tcMar>
              <w:top w:w="15" w:type="dxa"/>
              <w:left w:w="15" w:type="dxa"/>
              <w:right w:w="15" w:type="dxa"/>
            </w:tcMar>
            <w:vAlign w:val="center"/>
          </w:tcPr>
          <w:p w14:paraId="0F2B16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0.0007</w:t>
            </w:r>
          </w:p>
        </w:tc>
        <w:tc>
          <w:tcPr>
            <w:tcW w:w="966" w:type="dxa"/>
            <w:tcBorders>
              <w:tl2br w:val="nil"/>
              <w:tr2bl w:val="nil"/>
            </w:tcBorders>
            <w:shd w:val="clear" w:color="auto" w:fill="auto"/>
            <w:noWrap/>
            <w:tcMar>
              <w:top w:w="15" w:type="dxa"/>
              <w:left w:w="15" w:type="dxa"/>
              <w:right w:w="15" w:type="dxa"/>
            </w:tcMar>
            <w:vAlign w:val="center"/>
          </w:tcPr>
          <w:p w14:paraId="4AAE90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209" w:type="dxa"/>
            <w:tcBorders>
              <w:tl2br w:val="nil"/>
              <w:tr2bl w:val="nil"/>
            </w:tcBorders>
            <w:shd w:val="clear" w:color="auto" w:fill="auto"/>
            <w:noWrap/>
            <w:tcMar>
              <w:top w:w="15" w:type="dxa"/>
              <w:left w:w="15" w:type="dxa"/>
              <w:right w:w="15" w:type="dxa"/>
            </w:tcMar>
            <w:vAlign w:val="center"/>
          </w:tcPr>
          <w:p w14:paraId="23A481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w:t>
            </w:r>
          </w:p>
        </w:tc>
        <w:tc>
          <w:tcPr>
            <w:tcW w:w="606" w:type="pct"/>
            <w:tcBorders>
              <w:tl2br w:val="nil"/>
              <w:tr2bl w:val="nil"/>
            </w:tcBorders>
            <w:shd w:val="clear" w:color="auto" w:fill="auto"/>
            <w:noWrap w:val="0"/>
            <w:tcMar>
              <w:top w:w="15" w:type="dxa"/>
              <w:left w:w="15" w:type="dxa"/>
              <w:right w:w="15" w:type="dxa"/>
            </w:tcMar>
            <w:vAlign w:val="center"/>
          </w:tcPr>
          <w:p w14:paraId="415E47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5A8F64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44B8C96A">
            <w:pPr>
              <w:pStyle w:val="3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color w:val="FF0000"/>
                <w:sz w:val="21"/>
                <w:szCs w:val="21"/>
                <w:highlight w:val="none"/>
              </w:rPr>
            </w:pPr>
          </w:p>
        </w:tc>
        <w:tc>
          <w:tcPr>
            <w:tcW w:w="731" w:type="pct"/>
            <w:vMerge w:val="restart"/>
            <w:tcBorders>
              <w:tl2br w:val="nil"/>
              <w:tr2bl w:val="nil"/>
            </w:tcBorders>
            <w:shd w:val="clear" w:color="auto" w:fill="auto"/>
            <w:noWrap w:val="0"/>
            <w:tcMar>
              <w:top w:w="15" w:type="dxa"/>
              <w:left w:w="15" w:type="dxa"/>
              <w:right w:w="15" w:type="dxa"/>
            </w:tcMar>
            <w:vAlign w:val="center"/>
          </w:tcPr>
          <w:p w14:paraId="67C7A8D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区域最大落地浓度</w:t>
            </w:r>
          </w:p>
          <w:p w14:paraId="312F842A">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674" w:type="pct"/>
            <w:tcBorders>
              <w:tl2br w:val="nil"/>
              <w:tr2bl w:val="nil"/>
            </w:tcBorders>
            <w:shd w:val="clear" w:color="auto" w:fill="auto"/>
            <w:noWrap w:val="0"/>
            <w:tcMar>
              <w:top w:w="15" w:type="dxa"/>
              <w:left w:w="15" w:type="dxa"/>
              <w:right w:w="15" w:type="dxa"/>
            </w:tcMar>
            <w:vAlign w:val="center"/>
          </w:tcPr>
          <w:p w14:paraId="33BC81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1小时平均</w:t>
            </w:r>
          </w:p>
        </w:tc>
        <w:tc>
          <w:tcPr>
            <w:tcW w:w="1962" w:type="dxa"/>
            <w:tcBorders>
              <w:tl2br w:val="nil"/>
              <w:tr2bl w:val="nil"/>
            </w:tcBorders>
            <w:shd w:val="clear" w:color="auto" w:fill="auto"/>
            <w:noWrap/>
            <w:tcMar>
              <w:top w:w="15" w:type="dxa"/>
              <w:left w:w="15" w:type="dxa"/>
              <w:right w:w="15" w:type="dxa"/>
            </w:tcMar>
            <w:vAlign w:val="center"/>
          </w:tcPr>
          <w:p w14:paraId="5F20AA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3.08029</w:t>
            </w:r>
          </w:p>
        </w:tc>
        <w:tc>
          <w:tcPr>
            <w:tcW w:w="966" w:type="dxa"/>
            <w:tcBorders>
              <w:tl2br w:val="nil"/>
              <w:tr2bl w:val="nil"/>
            </w:tcBorders>
            <w:shd w:val="clear" w:color="auto" w:fill="auto"/>
            <w:noWrap/>
            <w:tcMar>
              <w:top w:w="15" w:type="dxa"/>
              <w:left w:w="15" w:type="dxa"/>
              <w:right w:w="15" w:type="dxa"/>
            </w:tcMar>
            <w:vAlign w:val="center"/>
          </w:tcPr>
          <w:p w14:paraId="174356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24011214</w:t>
            </w:r>
          </w:p>
        </w:tc>
        <w:tc>
          <w:tcPr>
            <w:tcW w:w="1209" w:type="dxa"/>
            <w:tcBorders>
              <w:tl2br w:val="nil"/>
              <w:tr2bl w:val="nil"/>
            </w:tcBorders>
            <w:shd w:val="clear" w:color="auto" w:fill="auto"/>
            <w:noWrap/>
            <w:tcMar>
              <w:top w:w="15" w:type="dxa"/>
              <w:left w:w="15" w:type="dxa"/>
              <w:right w:w="15" w:type="dxa"/>
            </w:tcMar>
            <w:vAlign w:val="center"/>
          </w:tcPr>
          <w:p w14:paraId="7D91B8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0.62</w:t>
            </w:r>
          </w:p>
        </w:tc>
        <w:tc>
          <w:tcPr>
            <w:tcW w:w="606" w:type="pct"/>
            <w:tcBorders>
              <w:tl2br w:val="nil"/>
              <w:tr2bl w:val="nil"/>
            </w:tcBorders>
            <w:shd w:val="clear" w:color="auto" w:fill="auto"/>
            <w:noWrap w:val="0"/>
            <w:tcMar>
              <w:top w:w="15" w:type="dxa"/>
              <w:left w:w="15" w:type="dxa"/>
              <w:right w:w="15" w:type="dxa"/>
            </w:tcMar>
            <w:vAlign w:val="center"/>
          </w:tcPr>
          <w:p w14:paraId="79E508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23BDAAE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5F8CA2EF">
            <w:pPr>
              <w:pStyle w:val="3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color w:val="FF0000"/>
                <w:sz w:val="21"/>
                <w:szCs w:val="21"/>
                <w:highlight w:val="none"/>
              </w:rPr>
            </w:pPr>
          </w:p>
        </w:tc>
        <w:tc>
          <w:tcPr>
            <w:tcW w:w="731" w:type="pct"/>
            <w:vMerge w:val="continue"/>
            <w:tcBorders>
              <w:tl2br w:val="nil"/>
              <w:tr2bl w:val="nil"/>
            </w:tcBorders>
            <w:noWrap w:val="0"/>
            <w:tcMar>
              <w:top w:w="15" w:type="dxa"/>
              <w:left w:w="15" w:type="dxa"/>
              <w:right w:w="15" w:type="dxa"/>
            </w:tcMar>
            <w:vAlign w:val="center"/>
          </w:tcPr>
          <w:p w14:paraId="6491BE8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674" w:type="pct"/>
            <w:tcBorders>
              <w:tl2br w:val="nil"/>
              <w:tr2bl w:val="nil"/>
            </w:tcBorders>
            <w:shd w:val="clear" w:color="auto" w:fill="auto"/>
            <w:noWrap w:val="0"/>
            <w:tcMar>
              <w:top w:w="15" w:type="dxa"/>
              <w:left w:w="15" w:type="dxa"/>
              <w:right w:w="15" w:type="dxa"/>
            </w:tcMar>
            <w:vAlign w:val="center"/>
          </w:tcPr>
          <w:p w14:paraId="39B12B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日平均</w:t>
            </w:r>
          </w:p>
        </w:tc>
        <w:tc>
          <w:tcPr>
            <w:tcW w:w="1962" w:type="dxa"/>
            <w:tcBorders>
              <w:tl2br w:val="nil"/>
              <w:tr2bl w:val="nil"/>
            </w:tcBorders>
            <w:shd w:val="clear" w:color="auto" w:fill="auto"/>
            <w:noWrap/>
            <w:tcMar>
              <w:top w:w="15" w:type="dxa"/>
              <w:left w:w="15" w:type="dxa"/>
              <w:right w:w="15" w:type="dxa"/>
            </w:tcMar>
            <w:vAlign w:val="center"/>
          </w:tcPr>
          <w:p w14:paraId="513A68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0.84237</w:t>
            </w:r>
          </w:p>
        </w:tc>
        <w:tc>
          <w:tcPr>
            <w:tcW w:w="966" w:type="dxa"/>
            <w:tcBorders>
              <w:tl2br w:val="nil"/>
              <w:tr2bl w:val="nil"/>
            </w:tcBorders>
            <w:shd w:val="clear" w:color="auto" w:fill="auto"/>
            <w:noWrap/>
            <w:tcMar>
              <w:top w:w="15" w:type="dxa"/>
              <w:left w:w="15" w:type="dxa"/>
              <w:right w:w="15" w:type="dxa"/>
            </w:tcMar>
            <w:vAlign w:val="center"/>
          </w:tcPr>
          <w:p w14:paraId="31B821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240213</w:t>
            </w:r>
          </w:p>
        </w:tc>
        <w:tc>
          <w:tcPr>
            <w:tcW w:w="1209" w:type="dxa"/>
            <w:tcBorders>
              <w:tl2br w:val="nil"/>
              <w:tr2bl w:val="nil"/>
            </w:tcBorders>
            <w:shd w:val="clear" w:color="auto" w:fill="auto"/>
            <w:noWrap/>
            <w:tcMar>
              <w:top w:w="15" w:type="dxa"/>
              <w:left w:w="15" w:type="dxa"/>
              <w:right w:w="15" w:type="dxa"/>
            </w:tcMar>
            <w:vAlign w:val="center"/>
          </w:tcPr>
          <w:p w14:paraId="476113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0.56</w:t>
            </w:r>
          </w:p>
        </w:tc>
        <w:tc>
          <w:tcPr>
            <w:tcW w:w="606" w:type="pct"/>
            <w:tcBorders>
              <w:tl2br w:val="nil"/>
              <w:tr2bl w:val="nil"/>
            </w:tcBorders>
            <w:shd w:val="clear" w:color="auto" w:fill="auto"/>
            <w:noWrap w:val="0"/>
            <w:tcMar>
              <w:top w:w="15" w:type="dxa"/>
              <w:left w:w="15" w:type="dxa"/>
              <w:right w:w="15" w:type="dxa"/>
            </w:tcMar>
            <w:vAlign w:val="center"/>
          </w:tcPr>
          <w:p w14:paraId="7063A5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02A1675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0DBCC4A3">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31" w:type="pct"/>
            <w:vMerge w:val="continue"/>
            <w:tcBorders>
              <w:tl2br w:val="nil"/>
              <w:tr2bl w:val="nil"/>
            </w:tcBorders>
            <w:noWrap w:val="0"/>
            <w:tcMar>
              <w:top w:w="15" w:type="dxa"/>
              <w:left w:w="15" w:type="dxa"/>
              <w:right w:w="15" w:type="dxa"/>
            </w:tcMar>
            <w:vAlign w:val="center"/>
          </w:tcPr>
          <w:p w14:paraId="66032D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674" w:type="pct"/>
            <w:tcBorders>
              <w:tl2br w:val="nil"/>
              <w:tr2bl w:val="nil"/>
            </w:tcBorders>
            <w:shd w:val="clear" w:color="auto" w:fill="auto"/>
            <w:noWrap w:val="0"/>
            <w:tcMar>
              <w:top w:w="15" w:type="dxa"/>
              <w:left w:w="15" w:type="dxa"/>
              <w:right w:w="15" w:type="dxa"/>
            </w:tcMar>
            <w:vAlign w:val="center"/>
          </w:tcPr>
          <w:p w14:paraId="04DDDD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年平均</w:t>
            </w:r>
          </w:p>
        </w:tc>
        <w:tc>
          <w:tcPr>
            <w:tcW w:w="1962" w:type="dxa"/>
            <w:tcBorders>
              <w:tl2br w:val="nil"/>
              <w:tr2bl w:val="nil"/>
            </w:tcBorders>
            <w:shd w:val="clear" w:color="auto" w:fill="auto"/>
            <w:noWrap/>
            <w:tcMar>
              <w:top w:w="15" w:type="dxa"/>
              <w:left w:w="15" w:type="dxa"/>
              <w:right w:w="15" w:type="dxa"/>
            </w:tcMar>
            <w:vAlign w:val="center"/>
          </w:tcPr>
          <w:p w14:paraId="77E3E0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0.03922</w:t>
            </w:r>
          </w:p>
        </w:tc>
        <w:tc>
          <w:tcPr>
            <w:tcW w:w="966" w:type="dxa"/>
            <w:tcBorders>
              <w:tl2br w:val="nil"/>
              <w:tr2bl w:val="nil"/>
            </w:tcBorders>
            <w:shd w:val="clear" w:color="auto" w:fill="auto"/>
            <w:noWrap/>
            <w:tcMar>
              <w:top w:w="15" w:type="dxa"/>
              <w:left w:w="15" w:type="dxa"/>
              <w:right w:w="15" w:type="dxa"/>
            </w:tcMar>
            <w:vAlign w:val="center"/>
          </w:tcPr>
          <w:p w14:paraId="08A8CD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209" w:type="dxa"/>
            <w:tcBorders>
              <w:tl2br w:val="nil"/>
              <w:tr2bl w:val="nil"/>
            </w:tcBorders>
            <w:shd w:val="clear" w:color="auto" w:fill="auto"/>
            <w:noWrap/>
            <w:tcMar>
              <w:top w:w="15" w:type="dxa"/>
              <w:left w:w="15" w:type="dxa"/>
              <w:right w:w="15" w:type="dxa"/>
            </w:tcMar>
            <w:vAlign w:val="center"/>
          </w:tcPr>
          <w:p w14:paraId="62BA69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0.07</w:t>
            </w:r>
          </w:p>
        </w:tc>
        <w:tc>
          <w:tcPr>
            <w:tcW w:w="606" w:type="pct"/>
            <w:tcBorders>
              <w:tl2br w:val="nil"/>
              <w:tr2bl w:val="nil"/>
            </w:tcBorders>
            <w:shd w:val="clear" w:color="auto" w:fill="auto"/>
            <w:noWrap w:val="0"/>
            <w:tcMar>
              <w:top w:w="15" w:type="dxa"/>
              <w:left w:w="15" w:type="dxa"/>
              <w:right w:w="15" w:type="dxa"/>
            </w:tcMar>
            <w:vAlign w:val="center"/>
          </w:tcPr>
          <w:p w14:paraId="470547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bl>
    <w:p w14:paraId="44C23AD6">
      <w:pPr>
        <w:keepNext w:val="0"/>
        <w:keepLines w:val="0"/>
        <w:pageBreakBefore w:val="0"/>
        <w:widowControl w:val="0"/>
        <w:kinsoku/>
        <w:wordWrap/>
        <w:overflowPunct/>
        <w:topLinePunct w:val="0"/>
        <w:autoSpaceDE/>
        <w:autoSpaceDN/>
        <w:bidi w:val="0"/>
        <w:adjustRightInd/>
        <w:snapToGrid/>
        <w:spacing w:after="0" w:line="480" w:lineRule="exact"/>
        <w:ind w:firstLine="0" w:firstLineChars="0"/>
        <w:jc w:val="center"/>
        <w:textAlignment w:val="auto"/>
        <w:outlineLvl w:val="9"/>
        <w:rPr>
          <w:rFonts w:hint="default" w:ascii="Times New Roman" w:hAnsi="Times New Roman" w:eastAsia="宋体" w:cs="Times New Roman"/>
          <w:snapToGrid w:val="0"/>
          <w:color w:val="FF0000"/>
          <w:kern w:val="2"/>
          <w:sz w:val="24"/>
          <w:szCs w:val="24"/>
          <w:highlight w:val="none"/>
          <w:lang w:val="en-US" w:eastAsia="zh-CN" w:bidi="ar-SA"/>
        </w:rPr>
      </w:pPr>
    </w:p>
    <w:p w14:paraId="7773BE24">
      <w:pPr>
        <w:keepNext w:val="0"/>
        <w:keepLines w:val="0"/>
        <w:pageBreakBefore w:val="0"/>
        <w:widowControl w:val="0"/>
        <w:kinsoku/>
        <w:wordWrap/>
        <w:overflowPunct/>
        <w:topLinePunct w:val="0"/>
        <w:autoSpaceDE/>
        <w:autoSpaceDN/>
        <w:bidi w:val="0"/>
        <w:adjustRightInd/>
        <w:snapToGrid/>
        <w:spacing w:after="0" w:line="480" w:lineRule="exact"/>
        <w:ind w:firstLine="0" w:firstLineChars="0"/>
        <w:jc w:val="center"/>
        <w:textAlignment w:val="auto"/>
        <w:outlineLvl w:val="9"/>
        <w:rPr>
          <w:rFonts w:hint="default" w:ascii="Times New Roman" w:hAnsi="Times New Roman" w:eastAsia="宋体" w:cs="Times New Roman"/>
          <w:snapToGrid w:val="0"/>
          <w:color w:val="FF0000"/>
          <w:kern w:val="2"/>
          <w:sz w:val="24"/>
          <w:szCs w:val="24"/>
          <w:highlight w:val="none"/>
          <w:lang w:val="en-US" w:eastAsia="zh-CN" w:bidi="ar-SA"/>
        </w:rPr>
      </w:pPr>
      <w:r>
        <w:rPr>
          <w:rFonts w:hint="default" w:ascii="Times New Roman" w:hAnsi="Times New Roman" w:eastAsia="宋体" w:cs="Times New Roman"/>
          <w:snapToGrid w:val="0"/>
          <w:color w:val="FF0000"/>
          <w:kern w:val="2"/>
          <w:sz w:val="24"/>
          <w:szCs w:val="24"/>
          <w:highlight w:val="none"/>
          <w:lang w:val="en-US" w:eastAsia="zh-CN" w:bidi="ar-SA"/>
        </w:rPr>
        <w:t>表6.2-1</w:t>
      </w:r>
      <w:r>
        <w:rPr>
          <w:rFonts w:hint="eastAsia" w:ascii="Times New Roman" w:hAnsi="Times New Roman" w:eastAsia="宋体" w:cs="Times New Roman"/>
          <w:snapToGrid w:val="0"/>
          <w:color w:val="FF0000"/>
          <w:kern w:val="2"/>
          <w:sz w:val="24"/>
          <w:szCs w:val="24"/>
          <w:highlight w:val="none"/>
          <w:lang w:val="en-US" w:eastAsia="zh-CN" w:bidi="ar-SA"/>
        </w:rPr>
        <w:t>1</w:t>
      </w:r>
      <w:r>
        <w:rPr>
          <w:rFonts w:hint="default" w:ascii="Times New Roman" w:hAnsi="Times New Roman" w:eastAsia="宋体" w:cs="Times New Roman"/>
          <w:snapToGrid w:val="0"/>
          <w:color w:val="FF0000"/>
          <w:kern w:val="2"/>
          <w:sz w:val="24"/>
          <w:szCs w:val="24"/>
          <w:highlight w:val="none"/>
          <w:lang w:val="en-US" w:eastAsia="zh-CN" w:bidi="ar-SA"/>
        </w:rPr>
        <w:t xml:space="preserve">  本项目</w:t>
      </w:r>
      <w:r>
        <w:rPr>
          <w:rFonts w:hint="default" w:ascii="Times New Roman" w:hAnsi="Times New Roman" w:eastAsia="宋体" w:cs="Times New Roman"/>
          <w:snapToGrid w:val="0"/>
          <w:color w:val="FF0000"/>
          <w:spacing w:val="0"/>
          <w:kern w:val="2"/>
          <w:sz w:val="24"/>
          <w:szCs w:val="24"/>
          <w:highlight w:val="none"/>
          <w:lang w:val="en-US" w:eastAsia="zh-CN" w:bidi="ar-SA"/>
        </w:rPr>
        <w:t>NO</w:t>
      </w:r>
      <w:r>
        <w:rPr>
          <w:rFonts w:hint="default" w:ascii="Times New Roman" w:hAnsi="Times New Roman" w:eastAsia="宋体" w:cs="Times New Roman"/>
          <w:snapToGrid w:val="0"/>
          <w:color w:val="FF0000"/>
          <w:spacing w:val="0"/>
          <w:kern w:val="2"/>
          <w:sz w:val="24"/>
          <w:szCs w:val="24"/>
          <w:highlight w:val="none"/>
          <w:vertAlign w:val="subscript"/>
          <w:lang w:val="en-US" w:eastAsia="zh-CN" w:bidi="ar-SA"/>
        </w:rPr>
        <w:t>2</w:t>
      </w:r>
      <w:r>
        <w:rPr>
          <w:rFonts w:hint="default" w:ascii="Times New Roman" w:hAnsi="Times New Roman" w:eastAsia="宋体" w:cs="Times New Roman"/>
          <w:snapToGrid w:val="0"/>
          <w:color w:val="FF0000"/>
          <w:kern w:val="2"/>
          <w:sz w:val="24"/>
          <w:szCs w:val="24"/>
          <w:highlight w:val="none"/>
          <w:lang w:val="en-US" w:eastAsia="zh-CN" w:bidi="ar-SA"/>
        </w:rPr>
        <w:t>贡献质量浓度预测结果表</w:t>
      </w:r>
    </w:p>
    <w:tbl>
      <w:tblPr>
        <w:tblStyle w:val="37"/>
        <w:tblW w:w="4995"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836"/>
        <w:gridCol w:w="1202"/>
        <w:gridCol w:w="1181"/>
        <w:gridCol w:w="1917"/>
        <w:gridCol w:w="966"/>
        <w:gridCol w:w="1211"/>
        <w:gridCol w:w="1009"/>
      </w:tblGrid>
      <w:tr w14:paraId="4A9A450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tcBorders>
              <w:tl2br w:val="nil"/>
              <w:tr2bl w:val="nil"/>
            </w:tcBorders>
            <w:noWrap w:val="0"/>
            <w:tcMar>
              <w:top w:w="15" w:type="dxa"/>
              <w:left w:w="15" w:type="dxa"/>
              <w:right w:w="15" w:type="dxa"/>
            </w:tcMar>
            <w:vAlign w:val="center"/>
          </w:tcPr>
          <w:p w14:paraId="309E512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污染物</w:t>
            </w:r>
          </w:p>
        </w:tc>
        <w:tc>
          <w:tcPr>
            <w:tcW w:w="722" w:type="pct"/>
            <w:tcBorders>
              <w:tl2br w:val="nil"/>
              <w:tr2bl w:val="nil"/>
            </w:tcBorders>
            <w:noWrap w:val="0"/>
            <w:tcMar>
              <w:top w:w="15" w:type="dxa"/>
              <w:left w:w="15" w:type="dxa"/>
              <w:right w:w="15" w:type="dxa"/>
            </w:tcMar>
            <w:vAlign w:val="center"/>
          </w:tcPr>
          <w:p w14:paraId="1F669B6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预测点</w:t>
            </w:r>
          </w:p>
        </w:tc>
        <w:tc>
          <w:tcPr>
            <w:tcW w:w="709" w:type="pct"/>
            <w:tcBorders>
              <w:tl2br w:val="nil"/>
              <w:tr2bl w:val="nil"/>
            </w:tcBorders>
            <w:noWrap w:val="0"/>
            <w:tcMar>
              <w:top w:w="15" w:type="dxa"/>
              <w:left w:w="15" w:type="dxa"/>
              <w:right w:w="15" w:type="dxa"/>
            </w:tcMar>
            <w:vAlign w:val="center"/>
          </w:tcPr>
          <w:p w14:paraId="292E3B3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平均时段</w:t>
            </w:r>
          </w:p>
        </w:tc>
        <w:tc>
          <w:tcPr>
            <w:tcW w:w="1151" w:type="pct"/>
            <w:tcBorders>
              <w:tl2br w:val="nil"/>
              <w:tr2bl w:val="nil"/>
            </w:tcBorders>
            <w:noWrap w:val="0"/>
            <w:tcMar>
              <w:top w:w="15" w:type="dxa"/>
              <w:left w:w="15" w:type="dxa"/>
              <w:right w:w="15" w:type="dxa"/>
            </w:tcMar>
            <w:vAlign w:val="center"/>
          </w:tcPr>
          <w:p w14:paraId="1F0C778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最大贡献值/</w:t>
            </w:r>
            <w:r>
              <w:rPr>
                <w:rFonts w:hint="default" w:ascii="Times New Roman" w:hAnsi="Times New Roman" w:eastAsia="宋体" w:cs="Times New Roman"/>
                <w:color w:val="FF0000"/>
                <w:sz w:val="21"/>
                <w:szCs w:val="21"/>
                <w:highlight w:val="none"/>
                <w:u w:val="none"/>
                <w:lang w:val="en-US" w:eastAsia="zh-CN" w:bidi="ar"/>
              </w:rPr>
              <w:t>（μ</w:t>
            </w:r>
            <w:r>
              <w:rPr>
                <w:rFonts w:hint="default" w:ascii="Times New Roman" w:hAnsi="Times New Roman" w:eastAsia="宋体" w:cs="Times New Roman"/>
                <w:i w:val="0"/>
                <w:color w:val="FF0000"/>
                <w:kern w:val="0"/>
                <w:sz w:val="21"/>
                <w:szCs w:val="21"/>
                <w:highlight w:val="none"/>
                <w:u w:val="none"/>
                <w:lang w:val="en-US" w:eastAsia="zh-CN" w:bidi="ar"/>
              </w:rPr>
              <w:t>g/m</w:t>
            </w:r>
            <w:r>
              <w:rPr>
                <w:rFonts w:hint="default" w:ascii="Times New Roman" w:hAnsi="Times New Roman" w:eastAsia="宋体" w:cs="Times New Roman"/>
                <w:i w:val="0"/>
                <w:color w:val="FF0000"/>
                <w:kern w:val="0"/>
                <w:sz w:val="21"/>
                <w:szCs w:val="21"/>
                <w:highlight w:val="none"/>
                <w:u w:val="none"/>
                <w:vertAlign w:val="superscript"/>
                <w:lang w:val="en-US" w:eastAsia="zh-CN" w:bidi="ar"/>
              </w:rPr>
              <w:t>3</w:t>
            </w:r>
            <w:r>
              <w:rPr>
                <w:rFonts w:hint="default" w:ascii="Times New Roman" w:hAnsi="Times New Roman" w:eastAsia="宋体" w:cs="Times New Roman"/>
                <w:color w:val="FF0000"/>
                <w:sz w:val="21"/>
                <w:szCs w:val="21"/>
                <w:highlight w:val="none"/>
                <w:u w:val="none"/>
                <w:lang w:val="en-US" w:eastAsia="zh-CN" w:bidi="ar"/>
              </w:rPr>
              <w:t>）</w:t>
            </w:r>
          </w:p>
        </w:tc>
        <w:tc>
          <w:tcPr>
            <w:tcW w:w="580" w:type="pct"/>
            <w:tcBorders>
              <w:tl2br w:val="nil"/>
              <w:tr2bl w:val="nil"/>
            </w:tcBorders>
            <w:noWrap w:val="0"/>
            <w:tcMar>
              <w:top w:w="15" w:type="dxa"/>
              <w:left w:w="15" w:type="dxa"/>
              <w:right w:w="15" w:type="dxa"/>
            </w:tcMar>
            <w:vAlign w:val="center"/>
          </w:tcPr>
          <w:p w14:paraId="02CF1B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出现时间</w:t>
            </w:r>
          </w:p>
        </w:tc>
        <w:tc>
          <w:tcPr>
            <w:tcW w:w="727" w:type="pct"/>
            <w:tcBorders>
              <w:tl2br w:val="nil"/>
              <w:tr2bl w:val="nil"/>
            </w:tcBorders>
            <w:noWrap w:val="0"/>
            <w:tcMar>
              <w:top w:w="15" w:type="dxa"/>
              <w:left w:w="15" w:type="dxa"/>
              <w:right w:w="15" w:type="dxa"/>
            </w:tcMar>
            <w:vAlign w:val="center"/>
          </w:tcPr>
          <w:p w14:paraId="2D24038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占标率/</w:t>
            </w:r>
            <w:r>
              <w:rPr>
                <w:rFonts w:hint="default" w:ascii="Times New Roman" w:hAnsi="Times New Roman" w:eastAsia="宋体" w:cs="Times New Roman"/>
                <w:color w:val="FF0000"/>
                <w:sz w:val="21"/>
                <w:szCs w:val="21"/>
                <w:highlight w:val="none"/>
                <w:u w:val="none"/>
                <w:lang w:val="en-US" w:eastAsia="zh-CN" w:bidi="ar"/>
              </w:rPr>
              <w:t>（%）</w:t>
            </w:r>
          </w:p>
        </w:tc>
        <w:tc>
          <w:tcPr>
            <w:tcW w:w="606" w:type="pct"/>
            <w:tcBorders>
              <w:tl2br w:val="nil"/>
              <w:tr2bl w:val="nil"/>
            </w:tcBorders>
            <w:noWrap w:val="0"/>
            <w:tcMar>
              <w:top w:w="15" w:type="dxa"/>
              <w:left w:w="15" w:type="dxa"/>
              <w:right w:w="15" w:type="dxa"/>
            </w:tcMar>
            <w:vAlign w:val="center"/>
          </w:tcPr>
          <w:p w14:paraId="66D2E8C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达标情况</w:t>
            </w:r>
          </w:p>
        </w:tc>
      </w:tr>
      <w:tr w14:paraId="4910A10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restart"/>
            <w:tcBorders>
              <w:tl2br w:val="nil"/>
              <w:tr2bl w:val="nil"/>
            </w:tcBorders>
            <w:noWrap w:val="0"/>
            <w:tcMar>
              <w:top w:w="15" w:type="dxa"/>
              <w:left w:w="15" w:type="dxa"/>
              <w:right w:w="15" w:type="dxa"/>
            </w:tcMar>
            <w:vAlign w:val="center"/>
          </w:tcPr>
          <w:p w14:paraId="2090B03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NO</w:t>
            </w:r>
            <w:r>
              <w:rPr>
                <w:rFonts w:hint="default" w:ascii="Times New Roman" w:hAnsi="Times New Roman" w:eastAsia="宋体" w:cs="Times New Roman"/>
                <w:i w:val="0"/>
                <w:color w:val="FF0000"/>
                <w:kern w:val="0"/>
                <w:sz w:val="21"/>
                <w:szCs w:val="21"/>
                <w:highlight w:val="none"/>
                <w:u w:val="none"/>
                <w:vertAlign w:val="subscript"/>
                <w:lang w:val="en-US" w:eastAsia="zh-CN" w:bidi="ar"/>
              </w:rPr>
              <w:t>2</w:t>
            </w:r>
          </w:p>
          <w:p w14:paraId="1730BB59">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color w:val="FF0000"/>
                <w:sz w:val="21"/>
                <w:szCs w:val="21"/>
                <w:highlight w:val="none"/>
              </w:rPr>
            </w:pPr>
          </w:p>
          <w:p w14:paraId="248CF3C3">
            <w:pPr>
              <w:pStyle w:val="3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color w:val="FF0000"/>
                <w:sz w:val="21"/>
                <w:szCs w:val="21"/>
                <w:highlight w:val="none"/>
              </w:rPr>
            </w:pPr>
          </w:p>
          <w:p w14:paraId="6D0F41B3">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p w14:paraId="32CF0D3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aseline"/>
              <w:rPr>
                <w:rFonts w:hint="default" w:ascii="Times New Roman" w:hAnsi="Times New Roman" w:eastAsia="宋体" w:cs="Times New Roman"/>
                <w:color w:val="FF0000"/>
                <w:kern w:val="2"/>
                <w:sz w:val="21"/>
                <w:szCs w:val="21"/>
                <w:highlight w:val="none"/>
                <w:lang w:val="en-US" w:eastAsia="zh-CN" w:bidi="ar-SA"/>
              </w:rPr>
            </w:pPr>
          </w:p>
        </w:tc>
        <w:tc>
          <w:tcPr>
            <w:tcW w:w="722" w:type="pct"/>
            <w:vMerge w:val="restart"/>
            <w:tcBorders>
              <w:tl2br w:val="nil"/>
              <w:tr2bl w:val="nil"/>
            </w:tcBorders>
            <w:noWrap w:val="0"/>
            <w:tcMar>
              <w:top w:w="15" w:type="dxa"/>
              <w:left w:w="15" w:type="dxa"/>
              <w:right w:w="15" w:type="dxa"/>
            </w:tcMar>
            <w:vAlign w:val="center"/>
          </w:tcPr>
          <w:p w14:paraId="511FDB79">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范家屯</w:t>
            </w:r>
          </w:p>
        </w:tc>
        <w:tc>
          <w:tcPr>
            <w:tcW w:w="709" w:type="pct"/>
            <w:tcBorders>
              <w:tl2br w:val="nil"/>
              <w:tr2bl w:val="nil"/>
            </w:tcBorders>
            <w:noWrap w:val="0"/>
            <w:tcMar>
              <w:top w:w="15" w:type="dxa"/>
              <w:left w:w="15" w:type="dxa"/>
              <w:right w:w="15" w:type="dxa"/>
            </w:tcMar>
            <w:vAlign w:val="center"/>
          </w:tcPr>
          <w:p w14:paraId="559FCD3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1小时平均</w:t>
            </w:r>
          </w:p>
        </w:tc>
        <w:tc>
          <w:tcPr>
            <w:tcW w:w="1917" w:type="dxa"/>
            <w:tcBorders>
              <w:tl2br w:val="nil"/>
              <w:tr2bl w:val="nil"/>
            </w:tcBorders>
            <w:noWrap/>
            <w:tcMar>
              <w:top w:w="15" w:type="dxa"/>
              <w:left w:w="15" w:type="dxa"/>
              <w:right w:w="15" w:type="dxa"/>
            </w:tcMar>
            <w:vAlign w:val="center"/>
          </w:tcPr>
          <w:p w14:paraId="00BC6ED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1.57623</w:t>
            </w:r>
          </w:p>
        </w:tc>
        <w:tc>
          <w:tcPr>
            <w:tcW w:w="966" w:type="dxa"/>
            <w:tcBorders>
              <w:tl2br w:val="nil"/>
              <w:tr2bl w:val="nil"/>
            </w:tcBorders>
            <w:noWrap/>
            <w:tcMar>
              <w:top w:w="15" w:type="dxa"/>
              <w:left w:w="15" w:type="dxa"/>
              <w:right w:w="15" w:type="dxa"/>
            </w:tcMar>
            <w:vAlign w:val="center"/>
          </w:tcPr>
          <w:p w14:paraId="737E62B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24021411</w:t>
            </w:r>
          </w:p>
        </w:tc>
        <w:tc>
          <w:tcPr>
            <w:tcW w:w="1211" w:type="dxa"/>
            <w:tcBorders>
              <w:tl2br w:val="nil"/>
              <w:tr2bl w:val="nil"/>
            </w:tcBorders>
            <w:noWrap/>
            <w:tcMar>
              <w:top w:w="15" w:type="dxa"/>
              <w:left w:w="15" w:type="dxa"/>
              <w:right w:w="15" w:type="dxa"/>
            </w:tcMar>
            <w:vAlign w:val="center"/>
          </w:tcPr>
          <w:p w14:paraId="790E44C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0.79</w:t>
            </w:r>
          </w:p>
        </w:tc>
        <w:tc>
          <w:tcPr>
            <w:tcW w:w="606" w:type="pct"/>
            <w:tcBorders>
              <w:tl2br w:val="nil"/>
              <w:tr2bl w:val="nil"/>
            </w:tcBorders>
            <w:noWrap w:val="0"/>
            <w:tcMar>
              <w:top w:w="15" w:type="dxa"/>
              <w:left w:w="15" w:type="dxa"/>
              <w:right w:w="15" w:type="dxa"/>
            </w:tcMar>
            <w:vAlign w:val="center"/>
          </w:tcPr>
          <w:p w14:paraId="244194D6">
            <w:pPr>
              <w:keepNext w:val="0"/>
              <w:keepLines w:val="0"/>
              <w:pageBreakBefore w:val="0"/>
              <w:widowControl/>
              <w:suppressLineNumbers w:val="0"/>
              <w:kinsoku/>
              <w:wordWrap/>
              <w:overflowPunct/>
              <w:topLinePunct w:val="0"/>
              <w:bidi w:val="0"/>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596C76C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4D7B959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722" w:type="pct"/>
            <w:vMerge w:val="continue"/>
            <w:tcBorders>
              <w:tl2br w:val="nil"/>
              <w:tr2bl w:val="nil"/>
            </w:tcBorders>
            <w:noWrap w:val="0"/>
            <w:tcMar>
              <w:top w:w="15" w:type="dxa"/>
              <w:left w:w="15" w:type="dxa"/>
              <w:right w:w="15" w:type="dxa"/>
            </w:tcMar>
            <w:vAlign w:val="center"/>
          </w:tcPr>
          <w:p w14:paraId="10D2ED6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09" w:type="pct"/>
            <w:tcBorders>
              <w:tl2br w:val="nil"/>
              <w:tr2bl w:val="nil"/>
            </w:tcBorders>
            <w:noWrap w:val="0"/>
            <w:tcMar>
              <w:top w:w="15" w:type="dxa"/>
              <w:left w:w="15" w:type="dxa"/>
              <w:right w:w="15" w:type="dxa"/>
            </w:tcMar>
            <w:vAlign w:val="center"/>
          </w:tcPr>
          <w:p w14:paraId="42770CE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日平均</w:t>
            </w:r>
          </w:p>
        </w:tc>
        <w:tc>
          <w:tcPr>
            <w:tcW w:w="1917" w:type="dxa"/>
            <w:tcBorders>
              <w:tl2br w:val="nil"/>
              <w:tr2bl w:val="nil"/>
            </w:tcBorders>
            <w:noWrap/>
            <w:tcMar>
              <w:top w:w="15" w:type="dxa"/>
              <w:left w:w="15" w:type="dxa"/>
              <w:right w:w="15" w:type="dxa"/>
            </w:tcMar>
            <w:vAlign w:val="center"/>
          </w:tcPr>
          <w:p w14:paraId="7947FC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0.14917</w:t>
            </w:r>
          </w:p>
        </w:tc>
        <w:tc>
          <w:tcPr>
            <w:tcW w:w="966" w:type="dxa"/>
            <w:tcBorders>
              <w:tl2br w:val="nil"/>
              <w:tr2bl w:val="nil"/>
            </w:tcBorders>
            <w:noWrap/>
            <w:tcMar>
              <w:top w:w="15" w:type="dxa"/>
              <w:left w:w="15" w:type="dxa"/>
              <w:right w:w="15" w:type="dxa"/>
            </w:tcMar>
            <w:vAlign w:val="center"/>
          </w:tcPr>
          <w:p w14:paraId="3A75E4D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240214</w:t>
            </w:r>
          </w:p>
        </w:tc>
        <w:tc>
          <w:tcPr>
            <w:tcW w:w="1211" w:type="dxa"/>
            <w:tcBorders>
              <w:tl2br w:val="nil"/>
              <w:tr2bl w:val="nil"/>
            </w:tcBorders>
            <w:noWrap/>
            <w:tcMar>
              <w:top w:w="15" w:type="dxa"/>
              <w:left w:w="15" w:type="dxa"/>
              <w:right w:w="15" w:type="dxa"/>
            </w:tcMar>
            <w:vAlign w:val="center"/>
          </w:tcPr>
          <w:p w14:paraId="44DAC0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0.19</w:t>
            </w:r>
          </w:p>
        </w:tc>
        <w:tc>
          <w:tcPr>
            <w:tcW w:w="606" w:type="pct"/>
            <w:tcBorders>
              <w:tl2br w:val="nil"/>
              <w:tr2bl w:val="nil"/>
            </w:tcBorders>
            <w:noWrap w:val="0"/>
            <w:tcMar>
              <w:top w:w="15" w:type="dxa"/>
              <w:left w:w="15" w:type="dxa"/>
              <w:right w:w="15" w:type="dxa"/>
            </w:tcMar>
            <w:vAlign w:val="center"/>
          </w:tcPr>
          <w:p w14:paraId="418539EF">
            <w:pPr>
              <w:keepNext w:val="0"/>
              <w:keepLines w:val="0"/>
              <w:pageBreakBefore w:val="0"/>
              <w:widowControl/>
              <w:suppressLineNumbers w:val="0"/>
              <w:kinsoku/>
              <w:wordWrap/>
              <w:overflowPunct/>
              <w:topLinePunct w:val="0"/>
              <w:bidi w:val="0"/>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6314044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67CED2F9">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22" w:type="pct"/>
            <w:vMerge w:val="continue"/>
            <w:tcBorders>
              <w:tl2br w:val="nil"/>
              <w:tr2bl w:val="nil"/>
            </w:tcBorders>
            <w:noWrap w:val="0"/>
            <w:tcMar>
              <w:top w:w="15" w:type="dxa"/>
              <w:left w:w="15" w:type="dxa"/>
              <w:right w:w="15" w:type="dxa"/>
            </w:tcMar>
            <w:vAlign w:val="center"/>
          </w:tcPr>
          <w:p w14:paraId="263B1E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709" w:type="pct"/>
            <w:tcBorders>
              <w:tl2br w:val="nil"/>
              <w:tr2bl w:val="nil"/>
            </w:tcBorders>
            <w:noWrap w:val="0"/>
            <w:tcMar>
              <w:top w:w="15" w:type="dxa"/>
              <w:left w:w="15" w:type="dxa"/>
              <w:right w:w="15" w:type="dxa"/>
            </w:tcMar>
            <w:vAlign w:val="center"/>
          </w:tcPr>
          <w:p w14:paraId="0AF1D12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年平均</w:t>
            </w:r>
          </w:p>
        </w:tc>
        <w:tc>
          <w:tcPr>
            <w:tcW w:w="1917" w:type="dxa"/>
            <w:tcBorders>
              <w:tl2br w:val="nil"/>
              <w:tr2bl w:val="nil"/>
            </w:tcBorders>
            <w:noWrap/>
            <w:tcMar>
              <w:top w:w="15" w:type="dxa"/>
              <w:left w:w="15" w:type="dxa"/>
              <w:right w:w="15" w:type="dxa"/>
            </w:tcMar>
            <w:vAlign w:val="center"/>
          </w:tcPr>
          <w:p w14:paraId="5C124DD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0.00132</w:t>
            </w:r>
          </w:p>
        </w:tc>
        <w:tc>
          <w:tcPr>
            <w:tcW w:w="966" w:type="dxa"/>
            <w:tcBorders>
              <w:tl2br w:val="nil"/>
              <w:tr2bl w:val="nil"/>
            </w:tcBorders>
            <w:noWrap/>
            <w:tcMar>
              <w:top w:w="15" w:type="dxa"/>
              <w:left w:w="15" w:type="dxa"/>
              <w:right w:w="15" w:type="dxa"/>
            </w:tcMar>
            <w:vAlign w:val="center"/>
          </w:tcPr>
          <w:p w14:paraId="4026D2D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211" w:type="dxa"/>
            <w:tcBorders>
              <w:tl2br w:val="nil"/>
              <w:tr2bl w:val="nil"/>
            </w:tcBorders>
            <w:noWrap/>
            <w:tcMar>
              <w:top w:w="15" w:type="dxa"/>
              <w:left w:w="15" w:type="dxa"/>
              <w:right w:w="15" w:type="dxa"/>
            </w:tcMar>
            <w:vAlign w:val="center"/>
          </w:tcPr>
          <w:p w14:paraId="3B17784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w:t>
            </w:r>
          </w:p>
        </w:tc>
        <w:tc>
          <w:tcPr>
            <w:tcW w:w="606" w:type="pct"/>
            <w:tcBorders>
              <w:tl2br w:val="nil"/>
              <w:tr2bl w:val="nil"/>
            </w:tcBorders>
            <w:noWrap w:val="0"/>
            <w:tcMar>
              <w:top w:w="15" w:type="dxa"/>
              <w:left w:w="15" w:type="dxa"/>
              <w:right w:w="15" w:type="dxa"/>
            </w:tcMar>
            <w:vAlign w:val="center"/>
          </w:tcPr>
          <w:p w14:paraId="1E4CA316">
            <w:pPr>
              <w:keepNext w:val="0"/>
              <w:keepLines w:val="0"/>
              <w:pageBreakBefore w:val="0"/>
              <w:widowControl/>
              <w:suppressLineNumbers w:val="0"/>
              <w:kinsoku/>
              <w:wordWrap/>
              <w:overflowPunct/>
              <w:topLinePunct w:val="0"/>
              <w:bidi w:val="0"/>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24D315F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66676E4B">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22" w:type="pct"/>
            <w:vMerge w:val="restart"/>
            <w:tcBorders>
              <w:tl2br w:val="nil"/>
              <w:tr2bl w:val="nil"/>
            </w:tcBorders>
            <w:noWrap w:val="0"/>
            <w:tcMar>
              <w:top w:w="15" w:type="dxa"/>
              <w:left w:w="15" w:type="dxa"/>
              <w:right w:w="15" w:type="dxa"/>
            </w:tcMar>
            <w:vAlign w:val="center"/>
          </w:tcPr>
          <w:p w14:paraId="284DB5A9">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范家村</w:t>
            </w:r>
          </w:p>
        </w:tc>
        <w:tc>
          <w:tcPr>
            <w:tcW w:w="709" w:type="pct"/>
            <w:tcBorders>
              <w:tl2br w:val="nil"/>
              <w:tr2bl w:val="nil"/>
            </w:tcBorders>
            <w:noWrap w:val="0"/>
            <w:tcMar>
              <w:top w:w="15" w:type="dxa"/>
              <w:left w:w="15" w:type="dxa"/>
              <w:right w:w="15" w:type="dxa"/>
            </w:tcMar>
            <w:vAlign w:val="center"/>
          </w:tcPr>
          <w:p w14:paraId="5353D2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1小时平均</w:t>
            </w:r>
          </w:p>
        </w:tc>
        <w:tc>
          <w:tcPr>
            <w:tcW w:w="1917" w:type="dxa"/>
            <w:tcBorders>
              <w:tl2br w:val="nil"/>
              <w:tr2bl w:val="nil"/>
            </w:tcBorders>
            <w:noWrap/>
            <w:tcMar>
              <w:top w:w="15" w:type="dxa"/>
              <w:left w:w="15" w:type="dxa"/>
              <w:right w:w="15" w:type="dxa"/>
            </w:tcMar>
            <w:vAlign w:val="center"/>
          </w:tcPr>
          <w:p w14:paraId="441F714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1.81593</w:t>
            </w:r>
          </w:p>
        </w:tc>
        <w:tc>
          <w:tcPr>
            <w:tcW w:w="966" w:type="dxa"/>
            <w:tcBorders>
              <w:tl2br w:val="nil"/>
              <w:tr2bl w:val="nil"/>
            </w:tcBorders>
            <w:noWrap/>
            <w:tcMar>
              <w:top w:w="15" w:type="dxa"/>
              <w:left w:w="15" w:type="dxa"/>
              <w:right w:w="15" w:type="dxa"/>
            </w:tcMar>
            <w:vAlign w:val="center"/>
          </w:tcPr>
          <w:p w14:paraId="422280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24013015</w:t>
            </w:r>
          </w:p>
        </w:tc>
        <w:tc>
          <w:tcPr>
            <w:tcW w:w="1211" w:type="dxa"/>
            <w:tcBorders>
              <w:tl2br w:val="nil"/>
              <w:tr2bl w:val="nil"/>
            </w:tcBorders>
            <w:noWrap/>
            <w:tcMar>
              <w:top w:w="15" w:type="dxa"/>
              <w:left w:w="15" w:type="dxa"/>
              <w:right w:w="15" w:type="dxa"/>
            </w:tcMar>
            <w:vAlign w:val="center"/>
          </w:tcPr>
          <w:p w14:paraId="2A4B79E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0.91</w:t>
            </w:r>
          </w:p>
        </w:tc>
        <w:tc>
          <w:tcPr>
            <w:tcW w:w="606" w:type="pct"/>
            <w:tcBorders>
              <w:tl2br w:val="nil"/>
              <w:tr2bl w:val="nil"/>
            </w:tcBorders>
            <w:noWrap w:val="0"/>
            <w:tcMar>
              <w:top w:w="15" w:type="dxa"/>
              <w:left w:w="15" w:type="dxa"/>
              <w:right w:w="15" w:type="dxa"/>
            </w:tcMar>
            <w:vAlign w:val="center"/>
          </w:tcPr>
          <w:p w14:paraId="59B376E0">
            <w:pPr>
              <w:keepNext w:val="0"/>
              <w:keepLines w:val="0"/>
              <w:pageBreakBefore w:val="0"/>
              <w:widowControl/>
              <w:suppressLineNumbers w:val="0"/>
              <w:kinsoku/>
              <w:wordWrap/>
              <w:overflowPunct/>
              <w:topLinePunct w:val="0"/>
              <w:bidi w:val="0"/>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5827691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60769139">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22" w:type="pct"/>
            <w:vMerge w:val="continue"/>
            <w:tcBorders>
              <w:tl2br w:val="nil"/>
              <w:tr2bl w:val="nil"/>
            </w:tcBorders>
            <w:noWrap w:val="0"/>
            <w:tcMar>
              <w:top w:w="15" w:type="dxa"/>
              <w:left w:w="15" w:type="dxa"/>
              <w:right w:w="15" w:type="dxa"/>
            </w:tcMar>
            <w:vAlign w:val="center"/>
          </w:tcPr>
          <w:p w14:paraId="6EFF121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09" w:type="pct"/>
            <w:tcBorders>
              <w:tl2br w:val="nil"/>
              <w:tr2bl w:val="nil"/>
            </w:tcBorders>
            <w:noWrap w:val="0"/>
            <w:tcMar>
              <w:top w:w="15" w:type="dxa"/>
              <w:left w:w="15" w:type="dxa"/>
              <w:right w:w="15" w:type="dxa"/>
            </w:tcMar>
            <w:vAlign w:val="center"/>
          </w:tcPr>
          <w:p w14:paraId="2400A96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日平均</w:t>
            </w:r>
          </w:p>
        </w:tc>
        <w:tc>
          <w:tcPr>
            <w:tcW w:w="1917" w:type="dxa"/>
            <w:tcBorders>
              <w:tl2br w:val="nil"/>
              <w:tr2bl w:val="nil"/>
            </w:tcBorders>
            <w:noWrap/>
            <w:tcMar>
              <w:top w:w="15" w:type="dxa"/>
              <w:left w:w="15" w:type="dxa"/>
              <w:right w:w="15" w:type="dxa"/>
            </w:tcMar>
            <w:vAlign w:val="center"/>
          </w:tcPr>
          <w:p w14:paraId="1E8507C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0.24309</w:t>
            </w:r>
          </w:p>
        </w:tc>
        <w:tc>
          <w:tcPr>
            <w:tcW w:w="966" w:type="dxa"/>
            <w:tcBorders>
              <w:tl2br w:val="nil"/>
              <w:tr2bl w:val="nil"/>
            </w:tcBorders>
            <w:noWrap/>
            <w:tcMar>
              <w:top w:w="15" w:type="dxa"/>
              <w:left w:w="15" w:type="dxa"/>
              <w:right w:w="15" w:type="dxa"/>
            </w:tcMar>
            <w:vAlign w:val="center"/>
          </w:tcPr>
          <w:p w14:paraId="6B3A9C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240214</w:t>
            </w:r>
          </w:p>
        </w:tc>
        <w:tc>
          <w:tcPr>
            <w:tcW w:w="1211" w:type="dxa"/>
            <w:tcBorders>
              <w:tl2br w:val="nil"/>
              <w:tr2bl w:val="nil"/>
            </w:tcBorders>
            <w:noWrap/>
            <w:tcMar>
              <w:top w:w="15" w:type="dxa"/>
              <w:left w:w="15" w:type="dxa"/>
              <w:right w:w="15" w:type="dxa"/>
            </w:tcMar>
            <w:vAlign w:val="center"/>
          </w:tcPr>
          <w:p w14:paraId="425B918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0.30</w:t>
            </w:r>
          </w:p>
        </w:tc>
        <w:tc>
          <w:tcPr>
            <w:tcW w:w="606" w:type="pct"/>
            <w:tcBorders>
              <w:tl2br w:val="nil"/>
              <w:tr2bl w:val="nil"/>
            </w:tcBorders>
            <w:noWrap w:val="0"/>
            <w:tcMar>
              <w:top w:w="15" w:type="dxa"/>
              <w:left w:w="15" w:type="dxa"/>
              <w:right w:w="15" w:type="dxa"/>
            </w:tcMar>
            <w:vAlign w:val="center"/>
          </w:tcPr>
          <w:p w14:paraId="48715C9D">
            <w:pPr>
              <w:keepNext w:val="0"/>
              <w:keepLines w:val="0"/>
              <w:pageBreakBefore w:val="0"/>
              <w:widowControl/>
              <w:suppressLineNumbers w:val="0"/>
              <w:kinsoku/>
              <w:wordWrap/>
              <w:overflowPunct/>
              <w:topLinePunct w:val="0"/>
              <w:bidi w:val="0"/>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29AFC8D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250420E2">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22" w:type="pct"/>
            <w:vMerge w:val="continue"/>
            <w:tcBorders>
              <w:tl2br w:val="nil"/>
              <w:tr2bl w:val="nil"/>
            </w:tcBorders>
            <w:noWrap w:val="0"/>
            <w:tcMar>
              <w:top w:w="15" w:type="dxa"/>
              <w:left w:w="15" w:type="dxa"/>
              <w:right w:w="15" w:type="dxa"/>
            </w:tcMar>
            <w:vAlign w:val="center"/>
          </w:tcPr>
          <w:p w14:paraId="40D664C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709" w:type="pct"/>
            <w:tcBorders>
              <w:tl2br w:val="nil"/>
              <w:tr2bl w:val="nil"/>
            </w:tcBorders>
            <w:noWrap w:val="0"/>
            <w:tcMar>
              <w:top w:w="15" w:type="dxa"/>
              <w:left w:w="15" w:type="dxa"/>
              <w:right w:w="15" w:type="dxa"/>
            </w:tcMar>
            <w:vAlign w:val="center"/>
          </w:tcPr>
          <w:p w14:paraId="72FA183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年平均</w:t>
            </w:r>
          </w:p>
        </w:tc>
        <w:tc>
          <w:tcPr>
            <w:tcW w:w="1917" w:type="dxa"/>
            <w:tcBorders>
              <w:tl2br w:val="nil"/>
              <w:tr2bl w:val="nil"/>
            </w:tcBorders>
            <w:noWrap/>
            <w:tcMar>
              <w:top w:w="15" w:type="dxa"/>
              <w:left w:w="15" w:type="dxa"/>
              <w:right w:w="15" w:type="dxa"/>
            </w:tcMar>
            <w:vAlign w:val="center"/>
          </w:tcPr>
          <w:p w14:paraId="1F85BED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0.00388</w:t>
            </w:r>
          </w:p>
        </w:tc>
        <w:tc>
          <w:tcPr>
            <w:tcW w:w="966" w:type="dxa"/>
            <w:tcBorders>
              <w:tl2br w:val="nil"/>
              <w:tr2bl w:val="nil"/>
            </w:tcBorders>
            <w:noWrap/>
            <w:tcMar>
              <w:top w:w="15" w:type="dxa"/>
              <w:left w:w="15" w:type="dxa"/>
              <w:right w:w="15" w:type="dxa"/>
            </w:tcMar>
            <w:vAlign w:val="center"/>
          </w:tcPr>
          <w:p w14:paraId="7CCFBC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211" w:type="dxa"/>
            <w:tcBorders>
              <w:tl2br w:val="nil"/>
              <w:tr2bl w:val="nil"/>
            </w:tcBorders>
            <w:noWrap/>
            <w:tcMar>
              <w:top w:w="15" w:type="dxa"/>
              <w:left w:w="15" w:type="dxa"/>
              <w:right w:w="15" w:type="dxa"/>
            </w:tcMar>
            <w:vAlign w:val="center"/>
          </w:tcPr>
          <w:p w14:paraId="4F356BA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0.01</w:t>
            </w:r>
          </w:p>
        </w:tc>
        <w:tc>
          <w:tcPr>
            <w:tcW w:w="606" w:type="pct"/>
            <w:tcBorders>
              <w:tl2br w:val="nil"/>
              <w:tr2bl w:val="nil"/>
            </w:tcBorders>
            <w:noWrap w:val="0"/>
            <w:tcMar>
              <w:top w:w="15" w:type="dxa"/>
              <w:left w:w="15" w:type="dxa"/>
              <w:right w:w="15" w:type="dxa"/>
            </w:tcMar>
            <w:vAlign w:val="center"/>
          </w:tcPr>
          <w:p w14:paraId="6577DB9B">
            <w:pPr>
              <w:keepNext w:val="0"/>
              <w:keepLines w:val="0"/>
              <w:pageBreakBefore w:val="0"/>
              <w:widowControl/>
              <w:suppressLineNumbers w:val="0"/>
              <w:kinsoku/>
              <w:wordWrap/>
              <w:overflowPunct/>
              <w:topLinePunct w:val="0"/>
              <w:bidi w:val="0"/>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44F0EFC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60B823FD">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22" w:type="pct"/>
            <w:vMerge w:val="restart"/>
            <w:tcBorders>
              <w:tl2br w:val="nil"/>
              <w:tr2bl w:val="nil"/>
            </w:tcBorders>
            <w:noWrap w:val="0"/>
            <w:tcMar>
              <w:top w:w="15" w:type="dxa"/>
              <w:left w:w="15" w:type="dxa"/>
              <w:right w:w="15" w:type="dxa"/>
            </w:tcMar>
            <w:vAlign w:val="center"/>
          </w:tcPr>
          <w:p w14:paraId="160AA6DF">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原热电厂家属区</w:t>
            </w:r>
          </w:p>
        </w:tc>
        <w:tc>
          <w:tcPr>
            <w:tcW w:w="709" w:type="pct"/>
            <w:tcBorders>
              <w:tl2br w:val="nil"/>
              <w:tr2bl w:val="nil"/>
            </w:tcBorders>
            <w:noWrap w:val="0"/>
            <w:tcMar>
              <w:top w:w="15" w:type="dxa"/>
              <w:left w:w="15" w:type="dxa"/>
              <w:right w:w="15" w:type="dxa"/>
            </w:tcMar>
            <w:vAlign w:val="center"/>
          </w:tcPr>
          <w:p w14:paraId="51F890F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1小时平均</w:t>
            </w:r>
          </w:p>
        </w:tc>
        <w:tc>
          <w:tcPr>
            <w:tcW w:w="1917" w:type="dxa"/>
            <w:tcBorders>
              <w:tl2br w:val="nil"/>
              <w:tr2bl w:val="nil"/>
            </w:tcBorders>
            <w:noWrap/>
            <w:tcMar>
              <w:top w:w="15" w:type="dxa"/>
              <w:left w:w="15" w:type="dxa"/>
              <w:right w:w="15" w:type="dxa"/>
            </w:tcMar>
            <w:vAlign w:val="center"/>
          </w:tcPr>
          <w:p w14:paraId="1599FD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0.01706</w:t>
            </w:r>
          </w:p>
        </w:tc>
        <w:tc>
          <w:tcPr>
            <w:tcW w:w="966" w:type="dxa"/>
            <w:tcBorders>
              <w:tl2br w:val="nil"/>
              <w:tr2bl w:val="nil"/>
            </w:tcBorders>
            <w:noWrap/>
            <w:tcMar>
              <w:top w:w="15" w:type="dxa"/>
              <w:left w:w="15" w:type="dxa"/>
              <w:right w:w="15" w:type="dxa"/>
            </w:tcMar>
            <w:vAlign w:val="center"/>
          </w:tcPr>
          <w:p w14:paraId="66E1EC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24120612</w:t>
            </w:r>
          </w:p>
        </w:tc>
        <w:tc>
          <w:tcPr>
            <w:tcW w:w="1211" w:type="dxa"/>
            <w:tcBorders>
              <w:tl2br w:val="nil"/>
              <w:tr2bl w:val="nil"/>
            </w:tcBorders>
            <w:noWrap/>
            <w:tcMar>
              <w:top w:w="15" w:type="dxa"/>
              <w:left w:w="15" w:type="dxa"/>
              <w:right w:w="15" w:type="dxa"/>
            </w:tcMar>
            <w:vAlign w:val="center"/>
          </w:tcPr>
          <w:p w14:paraId="6DF2DFC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0.01</w:t>
            </w:r>
          </w:p>
        </w:tc>
        <w:tc>
          <w:tcPr>
            <w:tcW w:w="606" w:type="pct"/>
            <w:tcBorders>
              <w:tl2br w:val="nil"/>
              <w:tr2bl w:val="nil"/>
            </w:tcBorders>
            <w:noWrap w:val="0"/>
            <w:tcMar>
              <w:top w:w="15" w:type="dxa"/>
              <w:left w:w="15" w:type="dxa"/>
              <w:right w:w="15" w:type="dxa"/>
            </w:tcMar>
            <w:vAlign w:val="center"/>
          </w:tcPr>
          <w:p w14:paraId="1D95C811">
            <w:pPr>
              <w:keepNext w:val="0"/>
              <w:keepLines w:val="0"/>
              <w:pageBreakBefore w:val="0"/>
              <w:widowControl/>
              <w:suppressLineNumbers w:val="0"/>
              <w:kinsoku/>
              <w:wordWrap/>
              <w:overflowPunct/>
              <w:topLinePunct w:val="0"/>
              <w:bidi w:val="0"/>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7993F3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11A2D690">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22" w:type="pct"/>
            <w:vMerge w:val="continue"/>
            <w:tcBorders>
              <w:tl2br w:val="nil"/>
              <w:tr2bl w:val="nil"/>
            </w:tcBorders>
            <w:noWrap w:val="0"/>
            <w:tcMar>
              <w:top w:w="15" w:type="dxa"/>
              <w:left w:w="15" w:type="dxa"/>
              <w:right w:w="15" w:type="dxa"/>
            </w:tcMar>
            <w:vAlign w:val="center"/>
          </w:tcPr>
          <w:p w14:paraId="31FF7DD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09" w:type="pct"/>
            <w:tcBorders>
              <w:tl2br w:val="nil"/>
              <w:tr2bl w:val="nil"/>
            </w:tcBorders>
            <w:noWrap w:val="0"/>
            <w:tcMar>
              <w:top w:w="15" w:type="dxa"/>
              <w:left w:w="15" w:type="dxa"/>
              <w:right w:w="15" w:type="dxa"/>
            </w:tcMar>
            <w:vAlign w:val="center"/>
          </w:tcPr>
          <w:p w14:paraId="1A068FB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日平均</w:t>
            </w:r>
          </w:p>
        </w:tc>
        <w:tc>
          <w:tcPr>
            <w:tcW w:w="1917" w:type="dxa"/>
            <w:tcBorders>
              <w:tl2br w:val="nil"/>
              <w:tr2bl w:val="nil"/>
            </w:tcBorders>
            <w:noWrap/>
            <w:tcMar>
              <w:top w:w="15" w:type="dxa"/>
              <w:left w:w="15" w:type="dxa"/>
              <w:right w:w="15" w:type="dxa"/>
            </w:tcMar>
            <w:vAlign w:val="center"/>
          </w:tcPr>
          <w:p w14:paraId="55D8017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0.00071</w:t>
            </w:r>
          </w:p>
        </w:tc>
        <w:tc>
          <w:tcPr>
            <w:tcW w:w="966" w:type="dxa"/>
            <w:tcBorders>
              <w:tl2br w:val="nil"/>
              <w:tr2bl w:val="nil"/>
            </w:tcBorders>
            <w:noWrap/>
            <w:tcMar>
              <w:top w:w="15" w:type="dxa"/>
              <w:left w:w="15" w:type="dxa"/>
              <w:right w:w="15" w:type="dxa"/>
            </w:tcMar>
            <w:vAlign w:val="center"/>
          </w:tcPr>
          <w:p w14:paraId="53BEF14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241206</w:t>
            </w:r>
          </w:p>
        </w:tc>
        <w:tc>
          <w:tcPr>
            <w:tcW w:w="1211" w:type="dxa"/>
            <w:tcBorders>
              <w:tl2br w:val="nil"/>
              <w:tr2bl w:val="nil"/>
            </w:tcBorders>
            <w:noWrap/>
            <w:tcMar>
              <w:top w:w="15" w:type="dxa"/>
              <w:left w:w="15" w:type="dxa"/>
              <w:right w:w="15" w:type="dxa"/>
            </w:tcMar>
            <w:vAlign w:val="center"/>
          </w:tcPr>
          <w:p w14:paraId="60557F3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w:t>
            </w:r>
          </w:p>
        </w:tc>
        <w:tc>
          <w:tcPr>
            <w:tcW w:w="606" w:type="pct"/>
            <w:tcBorders>
              <w:tl2br w:val="nil"/>
              <w:tr2bl w:val="nil"/>
            </w:tcBorders>
            <w:noWrap w:val="0"/>
            <w:tcMar>
              <w:top w:w="15" w:type="dxa"/>
              <w:left w:w="15" w:type="dxa"/>
              <w:right w:w="15" w:type="dxa"/>
            </w:tcMar>
            <w:vAlign w:val="center"/>
          </w:tcPr>
          <w:p w14:paraId="5C394ADE">
            <w:pPr>
              <w:keepNext w:val="0"/>
              <w:keepLines w:val="0"/>
              <w:pageBreakBefore w:val="0"/>
              <w:widowControl/>
              <w:suppressLineNumbers w:val="0"/>
              <w:kinsoku/>
              <w:wordWrap/>
              <w:overflowPunct/>
              <w:topLinePunct w:val="0"/>
              <w:bidi w:val="0"/>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0213C11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1CDCCA07">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22" w:type="pct"/>
            <w:vMerge w:val="continue"/>
            <w:tcBorders>
              <w:tl2br w:val="nil"/>
              <w:tr2bl w:val="nil"/>
            </w:tcBorders>
            <w:noWrap w:val="0"/>
            <w:tcMar>
              <w:top w:w="15" w:type="dxa"/>
              <w:left w:w="15" w:type="dxa"/>
              <w:right w:w="15" w:type="dxa"/>
            </w:tcMar>
            <w:vAlign w:val="center"/>
          </w:tcPr>
          <w:p w14:paraId="5BE979D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709" w:type="pct"/>
            <w:tcBorders>
              <w:tl2br w:val="nil"/>
              <w:tr2bl w:val="nil"/>
            </w:tcBorders>
            <w:noWrap w:val="0"/>
            <w:tcMar>
              <w:top w:w="15" w:type="dxa"/>
              <w:left w:w="15" w:type="dxa"/>
              <w:right w:w="15" w:type="dxa"/>
            </w:tcMar>
            <w:vAlign w:val="center"/>
          </w:tcPr>
          <w:p w14:paraId="203C994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年平均</w:t>
            </w:r>
          </w:p>
        </w:tc>
        <w:tc>
          <w:tcPr>
            <w:tcW w:w="1917" w:type="dxa"/>
            <w:tcBorders>
              <w:tl2br w:val="nil"/>
              <w:tr2bl w:val="nil"/>
            </w:tcBorders>
            <w:noWrap/>
            <w:tcMar>
              <w:top w:w="15" w:type="dxa"/>
              <w:left w:w="15" w:type="dxa"/>
              <w:right w:w="15" w:type="dxa"/>
            </w:tcMar>
            <w:vAlign w:val="center"/>
          </w:tcPr>
          <w:p w14:paraId="2ED2306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w:t>
            </w:r>
          </w:p>
        </w:tc>
        <w:tc>
          <w:tcPr>
            <w:tcW w:w="966" w:type="dxa"/>
            <w:tcBorders>
              <w:tl2br w:val="nil"/>
              <w:tr2bl w:val="nil"/>
            </w:tcBorders>
            <w:noWrap/>
            <w:tcMar>
              <w:top w:w="15" w:type="dxa"/>
              <w:left w:w="15" w:type="dxa"/>
              <w:right w:w="15" w:type="dxa"/>
            </w:tcMar>
            <w:vAlign w:val="center"/>
          </w:tcPr>
          <w:p w14:paraId="5EAFA2B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211" w:type="dxa"/>
            <w:tcBorders>
              <w:tl2br w:val="nil"/>
              <w:tr2bl w:val="nil"/>
            </w:tcBorders>
            <w:noWrap/>
            <w:tcMar>
              <w:top w:w="15" w:type="dxa"/>
              <w:left w:w="15" w:type="dxa"/>
              <w:right w:w="15" w:type="dxa"/>
            </w:tcMar>
            <w:vAlign w:val="center"/>
          </w:tcPr>
          <w:p w14:paraId="2104647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w:t>
            </w:r>
          </w:p>
        </w:tc>
        <w:tc>
          <w:tcPr>
            <w:tcW w:w="606" w:type="pct"/>
            <w:tcBorders>
              <w:tl2br w:val="nil"/>
              <w:tr2bl w:val="nil"/>
            </w:tcBorders>
            <w:noWrap w:val="0"/>
            <w:tcMar>
              <w:top w:w="15" w:type="dxa"/>
              <w:left w:w="15" w:type="dxa"/>
              <w:right w:w="15" w:type="dxa"/>
            </w:tcMar>
            <w:vAlign w:val="center"/>
          </w:tcPr>
          <w:p w14:paraId="08C43437">
            <w:pPr>
              <w:keepNext w:val="0"/>
              <w:keepLines w:val="0"/>
              <w:pageBreakBefore w:val="0"/>
              <w:widowControl/>
              <w:suppressLineNumbers w:val="0"/>
              <w:kinsoku/>
              <w:wordWrap/>
              <w:overflowPunct/>
              <w:topLinePunct w:val="0"/>
              <w:bidi w:val="0"/>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557AB26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337BFD0C">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22" w:type="pct"/>
            <w:vMerge w:val="restart"/>
            <w:tcBorders>
              <w:tl2br w:val="nil"/>
              <w:tr2bl w:val="nil"/>
            </w:tcBorders>
            <w:noWrap w:val="0"/>
            <w:tcMar>
              <w:top w:w="15" w:type="dxa"/>
              <w:left w:w="15" w:type="dxa"/>
              <w:right w:w="15" w:type="dxa"/>
            </w:tcMar>
            <w:vAlign w:val="center"/>
          </w:tcPr>
          <w:p w14:paraId="13E27684">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黑锻新城小区</w:t>
            </w:r>
          </w:p>
        </w:tc>
        <w:tc>
          <w:tcPr>
            <w:tcW w:w="709" w:type="pct"/>
            <w:tcBorders>
              <w:tl2br w:val="nil"/>
              <w:tr2bl w:val="nil"/>
            </w:tcBorders>
            <w:noWrap w:val="0"/>
            <w:tcMar>
              <w:top w:w="15" w:type="dxa"/>
              <w:left w:w="15" w:type="dxa"/>
              <w:right w:w="15" w:type="dxa"/>
            </w:tcMar>
            <w:vAlign w:val="center"/>
          </w:tcPr>
          <w:p w14:paraId="552E07C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1小时平均</w:t>
            </w:r>
          </w:p>
        </w:tc>
        <w:tc>
          <w:tcPr>
            <w:tcW w:w="1917" w:type="dxa"/>
            <w:tcBorders>
              <w:tl2br w:val="nil"/>
              <w:tr2bl w:val="nil"/>
            </w:tcBorders>
            <w:noWrap/>
            <w:tcMar>
              <w:top w:w="15" w:type="dxa"/>
              <w:left w:w="15" w:type="dxa"/>
              <w:right w:w="15" w:type="dxa"/>
            </w:tcMar>
            <w:vAlign w:val="center"/>
          </w:tcPr>
          <w:p w14:paraId="1D6992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0.89244</w:t>
            </w:r>
          </w:p>
        </w:tc>
        <w:tc>
          <w:tcPr>
            <w:tcW w:w="966" w:type="dxa"/>
            <w:tcBorders>
              <w:tl2br w:val="nil"/>
              <w:tr2bl w:val="nil"/>
            </w:tcBorders>
            <w:noWrap/>
            <w:tcMar>
              <w:top w:w="15" w:type="dxa"/>
              <w:left w:w="15" w:type="dxa"/>
              <w:right w:w="15" w:type="dxa"/>
            </w:tcMar>
            <w:vAlign w:val="center"/>
          </w:tcPr>
          <w:p w14:paraId="3634DB9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24021713</w:t>
            </w:r>
          </w:p>
        </w:tc>
        <w:tc>
          <w:tcPr>
            <w:tcW w:w="1211" w:type="dxa"/>
            <w:tcBorders>
              <w:tl2br w:val="nil"/>
              <w:tr2bl w:val="nil"/>
            </w:tcBorders>
            <w:noWrap/>
            <w:tcMar>
              <w:top w:w="15" w:type="dxa"/>
              <w:left w:w="15" w:type="dxa"/>
              <w:right w:w="15" w:type="dxa"/>
            </w:tcMar>
            <w:vAlign w:val="center"/>
          </w:tcPr>
          <w:p w14:paraId="04A45A7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0.45</w:t>
            </w:r>
          </w:p>
        </w:tc>
        <w:tc>
          <w:tcPr>
            <w:tcW w:w="606" w:type="pct"/>
            <w:tcBorders>
              <w:tl2br w:val="nil"/>
              <w:tr2bl w:val="nil"/>
            </w:tcBorders>
            <w:noWrap w:val="0"/>
            <w:tcMar>
              <w:top w:w="15" w:type="dxa"/>
              <w:left w:w="15" w:type="dxa"/>
              <w:right w:w="15" w:type="dxa"/>
            </w:tcMar>
            <w:vAlign w:val="center"/>
          </w:tcPr>
          <w:p w14:paraId="014C607C">
            <w:pPr>
              <w:keepNext w:val="0"/>
              <w:keepLines w:val="0"/>
              <w:pageBreakBefore w:val="0"/>
              <w:widowControl/>
              <w:suppressLineNumbers w:val="0"/>
              <w:kinsoku/>
              <w:wordWrap/>
              <w:overflowPunct/>
              <w:topLinePunct w:val="0"/>
              <w:bidi w:val="0"/>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5783EBF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64D1B95E">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22" w:type="pct"/>
            <w:vMerge w:val="continue"/>
            <w:tcBorders>
              <w:tl2br w:val="nil"/>
              <w:tr2bl w:val="nil"/>
            </w:tcBorders>
            <w:noWrap w:val="0"/>
            <w:tcMar>
              <w:top w:w="15" w:type="dxa"/>
              <w:left w:w="15" w:type="dxa"/>
              <w:right w:w="15" w:type="dxa"/>
            </w:tcMar>
            <w:vAlign w:val="center"/>
          </w:tcPr>
          <w:p w14:paraId="1B4215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09" w:type="pct"/>
            <w:tcBorders>
              <w:tl2br w:val="nil"/>
              <w:tr2bl w:val="nil"/>
            </w:tcBorders>
            <w:noWrap w:val="0"/>
            <w:tcMar>
              <w:top w:w="15" w:type="dxa"/>
              <w:left w:w="15" w:type="dxa"/>
              <w:right w:w="15" w:type="dxa"/>
            </w:tcMar>
            <w:vAlign w:val="center"/>
          </w:tcPr>
          <w:p w14:paraId="5C0DAB5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日平均</w:t>
            </w:r>
          </w:p>
        </w:tc>
        <w:tc>
          <w:tcPr>
            <w:tcW w:w="1917" w:type="dxa"/>
            <w:tcBorders>
              <w:tl2br w:val="nil"/>
              <w:tr2bl w:val="nil"/>
            </w:tcBorders>
            <w:noWrap/>
            <w:tcMar>
              <w:top w:w="15" w:type="dxa"/>
              <w:left w:w="15" w:type="dxa"/>
              <w:right w:w="15" w:type="dxa"/>
            </w:tcMar>
            <w:vAlign w:val="center"/>
          </w:tcPr>
          <w:p w14:paraId="7D69C18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0.07961</w:t>
            </w:r>
          </w:p>
        </w:tc>
        <w:tc>
          <w:tcPr>
            <w:tcW w:w="966" w:type="dxa"/>
            <w:tcBorders>
              <w:tl2br w:val="nil"/>
              <w:tr2bl w:val="nil"/>
            </w:tcBorders>
            <w:noWrap/>
            <w:tcMar>
              <w:top w:w="15" w:type="dxa"/>
              <w:left w:w="15" w:type="dxa"/>
              <w:right w:w="15" w:type="dxa"/>
            </w:tcMar>
            <w:vAlign w:val="center"/>
          </w:tcPr>
          <w:p w14:paraId="544044D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240217</w:t>
            </w:r>
          </w:p>
        </w:tc>
        <w:tc>
          <w:tcPr>
            <w:tcW w:w="1211" w:type="dxa"/>
            <w:tcBorders>
              <w:tl2br w:val="nil"/>
              <w:tr2bl w:val="nil"/>
            </w:tcBorders>
            <w:noWrap/>
            <w:tcMar>
              <w:top w:w="15" w:type="dxa"/>
              <w:left w:w="15" w:type="dxa"/>
              <w:right w:w="15" w:type="dxa"/>
            </w:tcMar>
            <w:vAlign w:val="center"/>
          </w:tcPr>
          <w:p w14:paraId="4D43301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0.10</w:t>
            </w:r>
          </w:p>
        </w:tc>
        <w:tc>
          <w:tcPr>
            <w:tcW w:w="606" w:type="pct"/>
            <w:tcBorders>
              <w:tl2br w:val="nil"/>
              <w:tr2bl w:val="nil"/>
            </w:tcBorders>
            <w:noWrap w:val="0"/>
            <w:tcMar>
              <w:top w:w="15" w:type="dxa"/>
              <w:left w:w="15" w:type="dxa"/>
              <w:right w:w="15" w:type="dxa"/>
            </w:tcMar>
            <w:vAlign w:val="center"/>
          </w:tcPr>
          <w:p w14:paraId="64784F52">
            <w:pPr>
              <w:keepNext w:val="0"/>
              <w:keepLines w:val="0"/>
              <w:pageBreakBefore w:val="0"/>
              <w:widowControl/>
              <w:suppressLineNumbers w:val="0"/>
              <w:kinsoku/>
              <w:wordWrap/>
              <w:overflowPunct/>
              <w:topLinePunct w:val="0"/>
              <w:bidi w:val="0"/>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1A6CF58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38A2657E">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22" w:type="pct"/>
            <w:vMerge w:val="continue"/>
            <w:tcBorders>
              <w:tl2br w:val="nil"/>
              <w:tr2bl w:val="nil"/>
            </w:tcBorders>
            <w:noWrap w:val="0"/>
            <w:tcMar>
              <w:top w:w="15" w:type="dxa"/>
              <w:left w:w="15" w:type="dxa"/>
              <w:right w:w="15" w:type="dxa"/>
            </w:tcMar>
            <w:vAlign w:val="center"/>
          </w:tcPr>
          <w:p w14:paraId="07A75B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709" w:type="pct"/>
            <w:tcBorders>
              <w:tl2br w:val="nil"/>
              <w:tr2bl w:val="nil"/>
            </w:tcBorders>
            <w:noWrap w:val="0"/>
            <w:tcMar>
              <w:top w:w="15" w:type="dxa"/>
              <w:left w:w="15" w:type="dxa"/>
              <w:right w:w="15" w:type="dxa"/>
            </w:tcMar>
            <w:vAlign w:val="center"/>
          </w:tcPr>
          <w:p w14:paraId="6D6810C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年平均</w:t>
            </w:r>
          </w:p>
        </w:tc>
        <w:tc>
          <w:tcPr>
            <w:tcW w:w="1917" w:type="dxa"/>
            <w:tcBorders>
              <w:tl2br w:val="nil"/>
              <w:tr2bl w:val="nil"/>
            </w:tcBorders>
            <w:noWrap/>
            <w:tcMar>
              <w:top w:w="15" w:type="dxa"/>
              <w:left w:w="15" w:type="dxa"/>
              <w:right w:w="15" w:type="dxa"/>
            </w:tcMar>
            <w:vAlign w:val="center"/>
          </w:tcPr>
          <w:p w14:paraId="742630C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0.00072</w:t>
            </w:r>
          </w:p>
        </w:tc>
        <w:tc>
          <w:tcPr>
            <w:tcW w:w="966" w:type="dxa"/>
            <w:tcBorders>
              <w:tl2br w:val="nil"/>
              <w:tr2bl w:val="nil"/>
            </w:tcBorders>
            <w:noWrap/>
            <w:tcMar>
              <w:top w:w="15" w:type="dxa"/>
              <w:left w:w="15" w:type="dxa"/>
              <w:right w:w="15" w:type="dxa"/>
            </w:tcMar>
            <w:vAlign w:val="center"/>
          </w:tcPr>
          <w:p w14:paraId="07449B6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211" w:type="dxa"/>
            <w:tcBorders>
              <w:tl2br w:val="nil"/>
              <w:tr2bl w:val="nil"/>
            </w:tcBorders>
            <w:noWrap/>
            <w:tcMar>
              <w:top w:w="15" w:type="dxa"/>
              <w:left w:w="15" w:type="dxa"/>
              <w:right w:w="15" w:type="dxa"/>
            </w:tcMar>
            <w:vAlign w:val="center"/>
          </w:tcPr>
          <w:p w14:paraId="6514173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w:t>
            </w:r>
          </w:p>
        </w:tc>
        <w:tc>
          <w:tcPr>
            <w:tcW w:w="606" w:type="pct"/>
            <w:tcBorders>
              <w:tl2br w:val="nil"/>
              <w:tr2bl w:val="nil"/>
            </w:tcBorders>
            <w:noWrap w:val="0"/>
            <w:tcMar>
              <w:top w:w="15" w:type="dxa"/>
              <w:left w:w="15" w:type="dxa"/>
              <w:right w:w="15" w:type="dxa"/>
            </w:tcMar>
            <w:vAlign w:val="center"/>
          </w:tcPr>
          <w:p w14:paraId="6B4A0109">
            <w:pPr>
              <w:keepNext w:val="0"/>
              <w:keepLines w:val="0"/>
              <w:pageBreakBefore w:val="0"/>
              <w:widowControl/>
              <w:suppressLineNumbers w:val="0"/>
              <w:kinsoku/>
              <w:wordWrap/>
              <w:overflowPunct/>
              <w:topLinePunct w:val="0"/>
              <w:bidi w:val="0"/>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691ABA2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6AC405DE">
            <w:pPr>
              <w:pStyle w:val="3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color w:val="FF0000"/>
                <w:sz w:val="21"/>
                <w:szCs w:val="21"/>
                <w:highlight w:val="none"/>
              </w:rPr>
            </w:pPr>
          </w:p>
        </w:tc>
        <w:tc>
          <w:tcPr>
            <w:tcW w:w="722" w:type="pct"/>
            <w:vMerge w:val="restart"/>
            <w:tcBorders>
              <w:tl2br w:val="nil"/>
              <w:tr2bl w:val="nil"/>
            </w:tcBorders>
            <w:noWrap w:val="0"/>
            <w:tcMar>
              <w:top w:w="15" w:type="dxa"/>
              <w:left w:w="15" w:type="dxa"/>
              <w:right w:w="15" w:type="dxa"/>
            </w:tcMar>
            <w:vAlign w:val="center"/>
          </w:tcPr>
          <w:p w14:paraId="64F51BF7">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东侧市区（绿云社区）</w:t>
            </w:r>
          </w:p>
        </w:tc>
        <w:tc>
          <w:tcPr>
            <w:tcW w:w="709" w:type="pct"/>
            <w:tcBorders>
              <w:tl2br w:val="nil"/>
              <w:tr2bl w:val="nil"/>
            </w:tcBorders>
            <w:noWrap w:val="0"/>
            <w:tcMar>
              <w:top w:w="15" w:type="dxa"/>
              <w:left w:w="15" w:type="dxa"/>
              <w:right w:w="15" w:type="dxa"/>
            </w:tcMar>
            <w:vAlign w:val="center"/>
          </w:tcPr>
          <w:p w14:paraId="3B33C98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1小时平均</w:t>
            </w:r>
          </w:p>
        </w:tc>
        <w:tc>
          <w:tcPr>
            <w:tcW w:w="1917" w:type="dxa"/>
            <w:tcBorders>
              <w:tl2br w:val="nil"/>
              <w:tr2bl w:val="nil"/>
            </w:tcBorders>
            <w:noWrap/>
            <w:tcMar>
              <w:top w:w="15" w:type="dxa"/>
              <w:left w:w="15" w:type="dxa"/>
              <w:right w:w="15" w:type="dxa"/>
            </w:tcMar>
            <w:vAlign w:val="center"/>
          </w:tcPr>
          <w:p w14:paraId="56A991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1.96981</w:t>
            </w:r>
          </w:p>
        </w:tc>
        <w:tc>
          <w:tcPr>
            <w:tcW w:w="966" w:type="dxa"/>
            <w:tcBorders>
              <w:tl2br w:val="nil"/>
              <w:tr2bl w:val="nil"/>
            </w:tcBorders>
            <w:noWrap/>
            <w:tcMar>
              <w:top w:w="15" w:type="dxa"/>
              <w:left w:w="15" w:type="dxa"/>
              <w:right w:w="15" w:type="dxa"/>
            </w:tcMar>
            <w:vAlign w:val="center"/>
          </w:tcPr>
          <w:p w14:paraId="10B8F25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24022511</w:t>
            </w:r>
          </w:p>
        </w:tc>
        <w:tc>
          <w:tcPr>
            <w:tcW w:w="1211" w:type="dxa"/>
            <w:tcBorders>
              <w:tl2br w:val="nil"/>
              <w:tr2bl w:val="nil"/>
            </w:tcBorders>
            <w:noWrap/>
            <w:tcMar>
              <w:top w:w="15" w:type="dxa"/>
              <w:left w:w="15" w:type="dxa"/>
              <w:right w:w="15" w:type="dxa"/>
            </w:tcMar>
            <w:vAlign w:val="center"/>
          </w:tcPr>
          <w:p w14:paraId="7F9F09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0.98</w:t>
            </w:r>
          </w:p>
        </w:tc>
        <w:tc>
          <w:tcPr>
            <w:tcW w:w="606" w:type="pct"/>
            <w:tcBorders>
              <w:tl2br w:val="nil"/>
              <w:tr2bl w:val="nil"/>
            </w:tcBorders>
            <w:noWrap w:val="0"/>
            <w:tcMar>
              <w:top w:w="15" w:type="dxa"/>
              <w:left w:w="15" w:type="dxa"/>
              <w:right w:w="15" w:type="dxa"/>
            </w:tcMar>
            <w:vAlign w:val="center"/>
          </w:tcPr>
          <w:p w14:paraId="41020505">
            <w:pPr>
              <w:keepNext w:val="0"/>
              <w:keepLines w:val="0"/>
              <w:pageBreakBefore w:val="0"/>
              <w:widowControl/>
              <w:suppressLineNumbers w:val="0"/>
              <w:kinsoku/>
              <w:wordWrap/>
              <w:overflowPunct/>
              <w:topLinePunct w:val="0"/>
              <w:bidi w:val="0"/>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6DBD6BD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0AF8C492">
            <w:pPr>
              <w:pStyle w:val="3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color w:val="FF0000"/>
                <w:sz w:val="21"/>
                <w:szCs w:val="21"/>
                <w:highlight w:val="none"/>
              </w:rPr>
            </w:pPr>
          </w:p>
        </w:tc>
        <w:tc>
          <w:tcPr>
            <w:tcW w:w="722" w:type="pct"/>
            <w:vMerge w:val="continue"/>
            <w:tcBorders>
              <w:tl2br w:val="nil"/>
              <w:tr2bl w:val="nil"/>
            </w:tcBorders>
            <w:noWrap w:val="0"/>
            <w:tcMar>
              <w:top w:w="15" w:type="dxa"/>
              <w:left w:w="15" w:type="dxa"/>
              <w:right w:w="15" w:type="dxa"/>
            </w:tcMar>
            <w:vAlign w:val="center"/>
          </w:tcPr>
          <w:p w14:paraId="2A7FFC3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09" w:type="pct"/>
            <w:tcBorders>
              <w:tl2br w:val="nil"/>
              <w:tr2bl w:val="nil"/>
            </w:tcBorders>
            <w:noWrap w:val="0"/>
            <w:tcMar>
              <w:top w:w="15" w:type="dxa"/>
              <w:left w:w="15" w:type="dxa"/>
              <w:right w:w="15" w:type="dxa"/>
            </w:tcMar>
            <w:vAlign w:val="center"/>
          </w:tcPr>
          <w:p w14:paraId="69F401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日平均</w:t>
            </w:r>
          </w:p>
        </w:tc>
        <w:tc>
          <w:tcPr>
            <w:tcW w:w="1917" w:type="dxa"/>
            <w:tcBorders>
              <w:tl2br w:val="nil"/>
              <w:tr2bl w:val="nil"/>
            </w:tcBorders>
            <w:noWrap/>
            <w:tcMar>
              <w:top w:w="15" w:type="dxa"/>
              <w:left w:w="15" w:type="dxa"/>
              <w:right w:w="15" w:type="dxa"/>
            </w:tcMar>
            <w:vAlign w:val="center"/>
          </w:tcPr>
          <w:p w14:paraId="4ABD25F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0.23082</w:t>
            </w:r>
          </w:p>
        </w:tc>
        <w:tc>
          <w:tcPr>
            <w:tcW w:w="966" w:type="dxa"/>
            <w:tcBorders>
              <w:tl2br w:val="nil"/>
              <w:tr2bl w:val="nil"/>
            </w:tcBorders>
            <w:noWrap/>
            <w:tcMar>
              <w:top w:w="15" w:type="dxa"/>
              <w:left w:w="15" w:type="dxa"/>
              <w:right w:w="15" w:type="dxa"/>
            </w:tcMar>
            <w:vAlign w:val="center"/>
          </w:tcPr>
          <w:p w14:paraId="4770E81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241203</w:t>
            </w:r>
          </w:p>
        </w:tc>
        <w:tc>
          <w:tcPr>
            <w:tcW w:w="1211" w:type="dxa"/>
            <w:tcBorders>
              <w:tl2br w:val="nil"/>
              <w:tr2bl w:val="nil"/>
            </w:tcBorders>
            <w:noWrap/>
            <w:tcMar>
              <w:top w:w="15" w:type="dxa"/>
              <w:left w:w="15" w:type="dxa"/>
              <w:right w:w="15" w:type="dxa"/>
            </w:tcMar>
            <w:vAlign w:val="center"/>
          </w:tcPr>
          <w:p w14:paraId="2B83CD7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0.29</w:t>
            </w:r>
          </w:p>
        </w:tc>
        <w:tc>
          <w:tcPr>
            <w:tcW w:w="606" w:type="pct"/>
            <w:tcBorders>
              <w:tl2br w:val="nil"/>
              <w:tr2bl w:val="nil"/>
            </w:tcBorders>
            <w:noWrap w:val="0"/>
            <w:tcMar>
              <w:top w:w="15" w:type="dxa"/>
              <w:left w:w="15" w:type="dxa"/>
              <w:right w:w="15" w:type="dxa"/>
            </w:tcMar>
            <w:vAlign w:val="center"/>
          </w:tcPr>
          <w:p w14:paraId="3CC7C91D">
            <w:pPr>
              <w:keepNext w:val="0"/>
              <w:keepLines w:val="0"/>
              <w:pageBreakBefore w:val="0"/>
              <w:widowControl/>
              <w:suppressLineNumbers w:val="0"/>
              <w:kinsoku/>
              <w:wordWrap/>
              <w:overflowPunct/>
              <w:topLinePunct w:val="0"/>
              <w:bidi w:val="0"/>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14EACDE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34249E03">
            <w:pPr>
              <w:pStyle w:val="3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color w:val="FF0000"/>
                <w:sz w:val="21"/>
                <w:szCs w:val="21"/>
                <w:highlight w:val="none"/>
              </w:rPr>
            </w:pPr>
          </w:p>
        </w:tc>
        <w:tc>
          <w:tcPr>
            <w:tcW w:w="722" w:type="pct"/>
            <w:vMerge w:val="continue"/>
            <w:tcBorders>
              <w:tl2br w:val="nil"/>
              <w:tr2bl w:val="nil"/>
            </w:tcBorders>
            <w:noWrap w:val="0"/>
            <w:tcMar>
              <w:top w:w="15" w:type="dxa"/>
              <w:left w:w="15" w:type="dxa"/>
              <w:right w:w="15" w:type="dxa"/>
            </w:tcMar>
            <w:vAlign w:val="center"/>
          </w:tcPr>
          <w:p w14:paraId="50393C9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709" w:type="pct"/>
            <w:tcBorders>
              <w:tl2br w:val="nil"/>
              <w:tr2bl w:val="nil"/>
            </w:tcBorders>
            <w:noWrap w:val="0"/>
            <w:tcMar>
              <w:top w:w="15" w:type="dxa"/>
              <w:left w:w="15" w:type="dxa"/>
              <w:right w:w="15" w:type="dxa"/>
            </w:tcMar>
            <w:vAlign w:val="center"/>
          </w:tcPr>
          <w:p w14:paraId="4FCD8EA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年平均</w:t>
            </w:r>
          </w:p>
        </w:tc>
        <w:tc>
          <w:tcPr>
            <w:tcW w:w="1917" w:type="dxa"/>
            <w:tcBorders>
              <w:tl2br w:val="nil"/>
              <w:tr2bl w:val="nil"/>
            </w:tcBorders>
            <w:noWrap/>
            <w:tcMar>
              <w:top w:w="15" w:type="dxa"/>
              <w:left w:w="15" w:type="dxa"/>
              <w:right w:w="15" w:type="dxa"/>
            </w:tcMar>
            <w:vAlign w:val="center"/>
          </w:tcPr>
          <w:p w14:paraId="6D7FAB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0.01342</w:t>
            </w:r>
          </w:p>
        </w:tc>
        <w:tc>
          <w:tcPr>
            <w:tcW w:w="966" w:type="dxa"/>
            <w:tcBorders>
              <w:tl2br w:val="nil"/>
              <w:tr2bl w:val="nil"/>
            </w:tcBorders>
            <w:noWrap/>
            <w:tcMar>
              <w:top w:w="15" w:type="dxa"/>
              <w:left w:w="15" w:type="dxa"/>
              <w:right w:w="15" w:type="dxa"/>
            </w:tcMar>
            <w:vAlign w:val="center"/>
          </w:tcPr>
          <w:p w14:paraId="141F8B0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211" w:type="dxa"/>
            <w:tcBorders>
              <w:tl2br w:val="nil"/>
              <w:tr2bl w:val="nil"/>
            </w:tcBorders>
            <w:noWrap/>
            <w:tcMar>
              <w:top w:w="15" w:type="dxa"/>
              <w:left w:w="15" w:type="dxa"/>
              <w:right w:w="15" w:type="dxa"/>
            </w:tcMar>
            <w:vAlign w:val="center"/>
          </w:tcPr>
          <w:p w14:paraId="0BD931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0.03</w:t>
            </w:r>
          </w:p>
        </w:tc>
        <w:tc>
          <w:tcPr>
            <w:tcW w:w="606" w:type="pct"/>
            <w:tcBorders>
              <w:tl2br w:val="nil"/>
              <w:tr2bl w:val="nil"/>
            </w:tcBorders>
            <w:noWrap w:val="0"/>
            <w:tcMar>
              <w:top w:w="15" w:type="dxa"/>
              <w:left w:w="15" w:type="dxa"/>
              <w:right w:w="15" w:type="dxa"/>
            </w:tcMar>
            <w:vAlign w:val="center"/>
          </w:tcPr>
          <w:p w14:paraId="6C9EB940">
            <w:pPr>
              <w:keepNext w:val="0"/>
              <w:keepLines w:val="0"/>
              <w:pageBreakBefore w:val="0"/>
              <w:widowControl/>
              <w:suppressLineNumbers w:val="0"/>
              <w:kinsoku/>
              <w:wordWrap/>
              <w:overflowPunct/>
              <w:topLinePunct w:val="0"/>
              <w:bidi w:val="0"/>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56273C3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1AFB1FB7">
            <w:pPr>
              <w:pStyle w:val="3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color w:val="FF0000"/>
                <w:sz w:val="21"/>
                <w:szCs w:val="21"/>
                <w:highlight w:val="none"/>
              </w:rPr>
            </w:pPr>
          </w:p>
        </w:tc>
        <w:tc>
          <w:tcPr>
            <w:tcW w:w="722" w:type="pct"/>
            <w:vMerge w:val="restart"/>
            <w:tcBorders>
              <w:tl2br w:val="nil"/>
              <w:tr2bl w:val="nil"/>
            </w:tcBorders>
            <w:noWrap w:val="0"/>
            <w:tcMar>
              <w:top w:w="15" w:type="dxa"/>
              <w:left w:w="15" w:type="dxa"/>
              <w:right w:w="15" w:type="dxa"/>
            </w:tcMar>
            <w:vAlign w:val="center"/>
          </w:tcPr>
          <w:p w14:paraId="3C758A12">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南侧市区（佳木斯市第十六中学）</w:t>
            </w:r>
          </w:p>
        </w:tc>
        <w:tc>
          <w:tcPr>
            <w:tcW w:w="709" w:type="pct"/>
            <w:tcBorders>
              <w:tl2br w:val="nil"/>
              <w:tr2bl w:val="nil"/>
            </w:tcBorders>
            <w:noWrap w:val="0"/>
            <w:tcMar>
              <w:top w:w="15" w:type="dxa"/>
              <w:left w:w="15" w:type="dxa"/>
              <w:right w:w="15" w:type="dxa"/>
            </w:tcMar>
            <w:vAlign w:val="center"/>
          </w:tcPr>
          <w:p w14:paraId="3EC045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1小时平均</w:t>
            </w:r>
          </w:p>
        </w:tc>
        <w:tc>
          <w:tcPr>
            <w:tcW w:w="1917" w:type="dxa"/>
            <w:tcBorders>
              <w:tl2br w:val="nil"/>
              <w:tr2bl w:val="nil"/>
            </w:tcBorders>
            <w:noWrap/>
            <w:tcMar>
              <w:top w:w="15" w:type="dxa"/>
              <w:left w:w="15" w:type="dxa"/>
              <w:right w:w="15" w:type="dxa"/>
            </w:tcMar>
            <w:vAlign w:val="center"/>
          </w:tcPr>
          <w:p w14:paraId="6B2D986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3.07017</w:t>
            </w:r>
          </w:p>
        </w:tc>
        <w:tc>
          <w:tcPr>
            <w:tcW w:w="966" w:type="dxa"/>
            <w:tcBorders>
              <w:tl2br w:val="nil"/>
              <w:tr2bl w:val="nil"/>
            </w:tcBorders>
            <w:noWrap/>
            <w:tcMar>
              <w:top w:w="15" w:type="dxa"/>
              <w:left w:w="15" w:type="dxa"/>
              <w:right w:w="15" w:type="dxa"/>
            </w:tcMar>
            <w:vAlign w:val="center"/>
          </w:tcPr>
          <w:p w14:paraId="42D8F7F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24120612</w:t>
            </w:r>
          </w:p>
        </w:tc>
        <w:tc>
          <w:tcPr>
            <w:tcW w:w="1211" w:type="dxa"/>
            <w:tcBorders>
              <w:tl2br w:val="nil"/>
              <w:tr2bl w:val="nil"/>
            </w:tcBorders>
            <w:noWrap/>
            <w:tcMar>
              <w:top w:w="15" w:type="dxa"/>
              <w:left w:w="15" w:type="dxa"/>
              <w:right w:w="15" w:type="dxa"/>
            </w:tcMar>
            <w:vAlign w:val="center"/>
          </w:tcPr>
          <w:p w14:paraId="3D33AD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1.54</w:t>
            </w:r>
          </w:p>
        </w:tc>
        <w:tc>
          <w:tcPr>
            <w:tcW w:w="606" w:type="pct"/>
            <w:tcBorders>
              <w:tl2br w:val="nil"/>
              <w:tr2bl w:val="nil"/>
            </w:tcBorders>
            <w:noWrap w:val="0"/>
            <w:tcMar>
              <w:top w:w="15" w:type="dxa"/>
              <w:left w:w="15" w:type="dxa"/>
              <w:right w:w="15" w:type="dxa"/>
            </w:tcMar>
            <w:vAlign w:val="center"/>
          </w:tcPr>
          <w:p w14:paraId="7FF59207">
            <w:pPr>
              <w:keepNext w:val="0"/>
              <w:keepLines w:val="0"/>
              <w:pageBreakBefore w:val="0"/>
              <w:widowControl/>
              <w:suppressLineNumbers w:val="0"/>
              <w:kinsoku/>
              <w:wordWrap/>
              <w:overflowPunct/>
              <w:topLinePunct w:val="0"/>
              <w:bidi w:val="0"/>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6E677BA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53E30F18">
            <w:pPr>
              <w:pStyle w:val="3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color w:val="FF0000"/>
                <w:sz w:val="21"/>
                <w:szCs w:val="21"/>
                <w:highlight w:val="none"/>
              </w:rPr>
            </w:pPr>
          </w:p>
        </w:tc>
        <w:tc>
          <w:tcPr>
            <w:tcW w:w="722" w:type="pct"/>
            <w:vMerge w:val="continue"/>
            <w:tcBorders>
              <w:tl2br w:val="nil"/>
              <w:tr2bl w:val="nil"/>
            </w:tcBorders>
            <w:noWrap w:val="0"/>
            <w:tcMar>
              <w:top w:w="15" w:type="dxa"/>
              <w:left w:w="15" w:type="dxa"/>
              <w:right w:w="15" w:type="dxa"/>
            </w:tcMar>
            <w:vAlign w:val="center"/>
          </w:tcPr>
          <w:p w14:paraId="71FCFC4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09" w:type="pct"/>
            <w:tcBorders>
              <w:tl2br w:val="nil"/>
              <w:tr2bl w:val="nil"/>
            </w:tcBorders>
            <w:noWrap w:val="0"/>
            <w:tcMar>
              <w:top w:w="15" w:type="dxa"/>
              <w:left w:w="15" w:type="dxa"/>
              <w:right w:w="15" w:type="dxa"/>
            </w:tcMar>
            <w:vAlign w:val="center"/>
          </w:tcPr>
          <w:p w14:paraId="026D2C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日平均</w:t>
            </w:r>
          </w:p>
        </w:tc>
        <w:tc>
          <w:tcPr>
            <w:tcW w:w="1917" w:type="dxa"/>
            <w:tcBorders>
              <w:tl2br w:val="nil"/>
              <w:tr2bl w:val="nil"/>
            </w:tcBorders>
            <w:noWrap/>
            <w:tcMar>
              <w:top w:w="15" w:type="dxa"/>
              <w:left w:w="15" w:type="dxa"/>
              <w:right w:w="15" w:type="dxa"/>
            </w:tcMar>
            <w:vAlign w:val="center"/>
          </w:tcPr>
          <w:p w14:paraId="325B3F7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0.12792</w:t>
            </w:r>
          </w:p>
        </w:tc>
        <w:tc>
          <w:tcPr>
            <w:tcW w:w="966" w:type="dxa"/>
            <w:tcBorders>
              <w:tl2br w:val="nil"/>
              <w:tr2bl w:val="nil"/>
            </w:tcBorders>
            <w:noWrap/>
            <w:tcMar>
              <w:top w:w="15" w:type="dxa"/>
              <w:left w:w="15" w:type="dxa"/>
              <w:right w:w="15" w:type="dxa"/>
            </w:tcMar>
            <w:vAlign w:val="center"/>
          </w:tcPr>
          <w:p w14:paraId="00FB4B6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241206</w:t>
            </w:r>
          </w:p>
        </w:tc>
        <w:tc>
          <w:tcPr>
            <w:tcW w:w="1211" w:type="dxa"/>
            <w:tcBorders>
              <w:tl2br w:val="nil"/>
              <w:tr2bl w:val="nil"/>
            </w:tcBorders>
            <w:noWrap/>
            <w:tcMar>
              <w:top w:w="15" w:type="dxa"/>
              <w:left w:w="15" w:type="dxa"/>
              <w:right w:w="15" w:type="dxa"/>
            </w:tcMar>
            <w:vAlign w:val="center"/>
          </w:tcPr>
          <w:p w14:paraId="07054FB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0.16</w:t>
            </w:r>
          </w:p>
        </w:tc>
        <w:tc>
          <w:tcPr>
            <w:tcW w:w="606" w:type="pct"/>
            <w:tcBorders>
              <w:tl2br w:val="nil"/>
              <w:tr2bl w:val="nil"/>
            </w:tcBorders>
            <w:noWrap w:val="0"/>
            <w:tcMar>
              <w:top w:w="15" w:type="dxa"/>
              <w:left w:w="15" w:type="dxa"/>
              <w:right w:w="15" w:type="dxa"/>
            </w:tcMar>
            <w:vAlign w:val="center"/>
          </w:tcPr>
          <w:p w14:paraId="3E4BE5B1">
            <w:pPr>
              <w:keepNext w:val="0"/>
              <w:keepLines w:val="0"/>
              <w:pageBreakBefore w:val="0"/>
              <w:widowControl/>
              <w:suppressLineNumbers w:val="0"/>
              <w:kinsoku/>
              <w:wordWrap/>
              <w:overflowPunct/>
              <w:topLinePunct w:val="0"/>
              <w:bidi w:val="0"/>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77F85E1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36253022">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22" w:type="pct"/>
            <w:vMerge w:val="continue"/>
            <w:tcBorders>
              <w:tl2br w:val="nil"/>
              <w:tr2bl w:val="nil"/>
            </w:tcBorders>
            <w:noWrap w:val="0"/>
            <w:tcMar>
              <w:top w:w="15" w:type="dxa"/>
              <w:left w:w="15" w:type="dxa"/>
              <w:right w:w="15" w:type="dxa"/>
            </w:tcMar>
            <w:vAlign w:val="center"/>
          </w:tcPr>
          <w:p w14:paraId="0CEA0D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709" w:type="pct"/>
            <w:tcBorders>
              <w:tl2br w:val="nil"/>
              <w:tr2bl w:val="nil"/>
            </w:tcBorders>
            <w:noWrap w:val="0"/>
            <w:tcMar>
              <w:top w:w="15" w:type="dxa"/>
              <w:left w:w="15" w:type="dxa"/>
              <w:right w:w="15" w:type="dxa"/>
            </w:tcMar>
            <w:vAlign w:val="center"/>
          </w:tcPr>
          <w:p w14:paraId="04128A0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年平均</w:t>
            </w:r>
          </w:p>
        </w:tc>
        <w:tc>
          <w:tcPr>
            <w:tcW w:w="1917" w:type="dxa"/>
            <w:tcBorders>
              <w:tl2br w:val="nil"/>
              <w:tr2bl w:val="nil"/>
            </w:tcBorders>
            <w:noWrap/>
            <w:tcMar>
              <w:top w:w="15" w:type="dxa"/>
              <w:left w:w="15" w:type="dxa"/>
              <w:right w:w="15" w:type="dxa"/>
            </w:tcMar>
            <w:vAlign w:val="center"/>
          </w:tcPr>
          <w:p w14:paraId="183AAB0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0.001</w:t>
            </w:r>
          </w:p>
        </w:tc>
        <w:tc>
          <w:tcPr>
            <w:tcW w:w="966" w:type="dxa"/>
            <w:tcBorders>
              <w:tl2br w:val="nil"/>
              <w:tr2bl w:val="nil"/>
            </w:tcBorders>
            <w:noWrap/>
            <w:tcMar>
              <w:top w:w="15" w:type="dxa"/>
              <w:left w:w="15" w:type="dxa"/>
              <w:right w:w="15" w:type="dxa"/>
            </w:tcMar>
            <w:vAlign w:val="center"/>
          </w:tcPr>
          <w:p w14:paraId="7770EA7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211" w:type="dxa"/>
            <w:tcBorders>
              <w:tl2br w:val="nil"/>
              <w:tr2bl w:val="nil"/>
            </w:tcBorders>
            <w:noWrap/>
            <w:tcMar>
              <w:top w:w="15" w:type="dxa"/>
              <w:left w:w="15" w:type="dxa"/>
              <w:right w:w="15" w:type="dxa"/>
            </w:tcMar>
            <w:vAlign w:val="center"/>
          </w:tcPr>
          <w:p w14:paraId="3BC12D4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w:t>
            </w:r>
          </w:p>
        </w:tc>
        <w:tc>
          <w:tcPr>
            <w:tcW w:w="606" w:type="pct"/>
            <w:tcBorders>
              <w:tl2br w:val="nil"/>
              <w:tr2bl w:val="nil"/>
            </w:tcBorders>
            <w:noWrap w:val="0"/>
            <w:tcMar>
              <w:top w:w="15" w:type="dxa"/>
              <w:left w:w="15" w:type="dxa"/>
              <w:right w:w="15" w:type="dxa"/>
            </w:tcMar>
            <w:vAlign w:val="center"/>
          </w:tcPr>
          <w:p w14:paraId="75923334">
            <w:pPr>
              <w:keepNext w:val="0"/>
              <w:keepLines w:val="0"/>
              <w:pageBreakBefore w:val="0"/>
              <w:widowControl/>
              <w:suppressLineNumbers w:val="0"/>
              <w:kinsoku/>
              <w:wordWrap/>
              <w:overflowPunct/>
              <w:topLinePunct w:val="0"/>
              <w:bidi w:val="0"/>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7733AA5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4BB583B2">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22" w:type="pct"/>
            <w:vMerge w:val="restart"/>
            <w:tcBorders>
              <w:tl2br w:val="nil"/>
              <w:tr2bl w:val="nil"/>
            </w:tcBorders>
            <w:noWrap w:val="0"/>
            <w:tcMar>
              <w:top w:w="15" w:type="dxa"/>
              <w:left w:w="15" w:type="dxa"/>
              <w:right w:w="15" w:type="dxa"/>
            </w:tcMar>
            <w:vAlign w:val="center"/>
          </w:tcPr>
          <w:p w14:paraId="65C120D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区域最大落地浓度</w:t>
            </w:r>
          </w:p>
        </w:tc>
        <w:tc>
          <w:tcPr>
            <w:tcW w:w="709" w:type="pct"/>
            <w:tcBorders>
              <w:tl2br w:val="nil"/>
              <w:tr2bl w:val="nil"/>
            </w:tcBorders>
            <w:noWrap w:val="0"/>
            <w:tcMar>
              <w:top w:w="15" w:type="dxa"/>
              <w:left w:w="15" w:type="dxa"/>
              <w:right w:w="15" w:type="dxa"/>
            </w:tcMar>
            <w:vAlign w:val="center"/>
          </w:tcPr>
          <w:p w14:paraId="6AB0CC6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1小时平均</w:t>
            </w:r>
          </w:p>
        </w:tc>
        <w:tc>
          <w:tcPr>
            <w:tcW w:w="1917" w:type="dxa"/>
            <w:tcBorders>
              <w:tl2br w:val="nil"/>
              <w:tr2bl w:val="nil"/>
            </w:tcBorders>
            <w:noWrap/>
            <w:tcMar>
              <w:top w:w="15" w:type="dxa"/>
              <w:left w:w="15" w:type="dxa"/>
              <w:right w:w="15" w:type="dxa"/>
            </w:tcMar>
            <w:vAlign w:val="center"/>
          </w:tcPr>
          <w:p w14:paraId="40CCB21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4.40432</w:t>
            </w:r>
          </w:p>
        </w:tc>
        <w:tc>
          <w:tcPr>
            <w:tcW w:w="966" w:type="dxa"/>
            <w:tcBorders>
              <w:tl2br w:val="nil"/>
              <w:tr2bl w:val="nil"/>
            </w:tcBorders>
            <w:noWrap/>
            <w:tcMar>
              <w:top w:w="15" w:type="dxa"/>
              <w:left w:w="15" w:type="dxa"/>
              <w:right w:w="15" w:type="dxa"/>
            </w:tcMar>
            <w:vAlign w:val="center"/>
          </w:tcPr>
          <w:p w14:paraId="4D85F70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24011214</w:t>
            </w:r>
          </w:p>
        </w:tc>
        <w:tc>
          <w:tcPr>
            <w:tcW w:w="1211" w:type="dxa"/>
            <w:tcBorders>
              <w:tl2br w:val="nil"/>
              <w:tr2bl w:val="nil"/>
            </w:tcBorders>
            <w:noWrap/>
            <w:tcMar>
              <w:top w:w="15" w:type="dxa"/>
              <w:left w:w="15" w:type="dxa"/>
              <w:right w:w="15" w:type="dxa"/>
            </w:tcMar>
            <w:vAlign w:val="center"/>
          </w:tcPr>
          <w:p w14:paraId="3EE5FC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2.20</w:t>
            </w:r>
          </w:p>
        </w:tc>
        <w:tc>
          <w:tcPr>
            <w:tcW w:w="606" w:type="pct"/>
            <w:tcBorders>
              <w:tl2br w:val="nil"/>
              <w:tr2bl w:val="nil"/>
            </w:tcBorders>
            <w:noWrap w:val="0"/>
            <w:tcMar>
              <w:top w:w="15" w:type="dxa"/>
              <w:left w:w="15" w:type="dxa"/>
              <w:right w:w="15" w:type="dxa"/>
            </w:tcMar>
            <w:vAlign w:val="center"/>
          </w:tcPr>
          <w:p w14:paraId="09FE93A8">
            <w:pPr>
              <w:keepNext w:val="0"/>
              <w:keepLines w:val="0"/>
              <w:pageBreakBefore w:val="0"/>
              <w:widowControl/>
              <w:suppressLineNumbers w:val="0"/>
              <w:kinsoku/>
              <w:wordWrap/>
              <w:overflowPunct/>
              <w:topLinePunct w:val="0"/>
              <w:bidi w:val="0"/>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7736267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5AA47A9B">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22" w:type="pct"/>
            <w:vMerge w:val="continue"/>
            <w:tcBorders>
              <w:tl2br w:val="nil"/>
              <w:tr2bl w:val="nil"/>
            </w:tcBorders>
            <w:noWrap w:val="0"/>
            <w:tcMar>
              <w:top w:w="15" w:type="dxa"/>
              <w:left w:w="15" w:type="dxa"/>
              <w:right w:w="15" w:type="dxa"/>
            </w:tcMar>
            <w:vAlign w:val="center"/>
          </w:tcPr>
          <w:p w14:paraId="2D16883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709" w:type="pct"/>
            <w:tcBorders>
              <w:tl2br w:val="nil"/>
              <w:tr2bl w:val="nil"/>
            </w:tcBorders>
            <w:noWrap w:val="0"/>
            <w:tcMar>
              <w:top w:w="15" w:type="dxa"/>
              <w:left w:w="15" w:type="dxa"/>
              <w:right w:w="15" w:type="dxa"/>
            </w:tcMar>
            <w:vAlign w:val="center"/>
          </w:tcPr>
          <w:p w14:paraId="4C1BCE7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日平均</w:t>
            </w:r>
          </w:p>
        </w:tc>
        <w:tc>
          <w:tcPr>
            <w:tcW w:w="1917" w:type="dxa"/>
            <w:tcBorders>
              <w:tl2br w:val="nil"/>
              <w:tr2bl w:val="nil"/>
            </w:tcBorders>
            <w:noWrap/>
            <w:tcMar>
              <w:top w:w="15" w:type="dxa"/>
              <w:left w:w="15" w:type="dxa"/>
              <w:right w:w="15" w:type="dxa"/>
            </w:tcMar>
            <w:vAlign w:val="center"/>
          </w:tcPr>
          <w:p w14:paraId="5AAEA37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1.20445</w:t>
            </w:r>
          </w:p>
        </w:tc>
        <w:tc>
          <w:tcPr>
            <w:tcW w:w="966" w:type="dxa"/>
            <w:tcBorders>
              <w:tl2br w:val="nil"/>
              <w:tr2bl w:val="nil"/>
            </w:tcBorders>
            <w:noWrap/>
            <w:tcMar>
              <w:top w:w="15" w:type="dxa"/>
              <w:left w:w="15" w:type="dxa"/>
              <w:right w:w="15" w:type="dxa"/>
            </w:tcMar>
            <w:vAlign w:val="center"/>
          </w:tcPr>
          <w:p w14:paraId="7B4218A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240213</w:t>
            </w:r>
          </w:p>
        </w:tc>
        <w:tc>
          <w:tcPr>
            <w:tcW w:w="1211" w:type="dxa"/>
            <w:tcBorders>
              <w:tl2br w:val="nil"/>
              <w:tr2bl w:val="nil"/>
            </w:tcBorders>
            <w:noWrap/>
            <w:tcMar>
              <w:top w:w="15" w:type="dxa"/>
              <w:left w:w="15" w:type="dxa"/>
              <w:right w:w="15" w:type="dxa"/>
            </w:tcMar>
            <w:vAlign w:val="center"/>
          </w:tcPr>
          <w:p w14:paraId="5B05077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1.51</w:t>
            </w:r>
          </w:p>
        </w:tc>
        <w:tc>
          <w:tcPr>
            <w:tcW w:w="606" w:type="pct"/>
            <w:tcBorders>
              <w:tl2br w:val="nil"/>
              <w:tr2bl w:val="nil"/>
            </w:tcBorders>
            <w:noWrap w:val="0"/>
            <w:tcMar>
              <w:top w:w="15" w:type="dxa"/>
              <w:left w:w="15" w:type="dxa"/>
              <w:right w:w="15" w:type="dxa"/>
            </w:tcMar>
            <w:vAlign w:val="center"/>
          </w:tcPr>
          <w:p w14:paraId="09C932A7">
            <w:pPr>
              <w:keepNext w:val="0"/>
              <w:keepLines w:val="0"/>
              <w:pageBreakBefore w:val="0"/>
              <w:widowControl/>
              <w:suppressLineNumbers w:val="0"/>
              <w:kinsoku/>
              <w:wordWrap/>
              <w:overflowPunct/>
              <w:topLinePunct w:val="0"/>
              <w:bidi w:val="0"/>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0CFC937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502" w:type="pct"/>
            <w:vMerge w:val="continue"/>
            <w:tcBorders>
              <w:tl2br w:val="nil"/>
              <w:tr2bl w:val="nil"/>
            </w:tcBorders>
            <w:noWrap w:val="0"/>
            <w:tcMar>
              <w:top w:w="15" w:type="dxa"/>
              <w:left w:w="15" w:type="dxa"/>
              <w:right w:w="15" w:type="dxa"/>
            </w:tcMar>
            <w:vAlign w:val="center"/>
          </w:tcPr>
          <w:p w14:paraId="39BDEAB2">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22" w:type="pct"/>
            <w:vMerge w:val="continue"/>
            <w:tcBorders>
              <w:tl2br w:val="nil"/>
              <w:tr2bl w:val="nil"/>
            </w:tcBorders>
            <w:noWrap w:val="0"/>
            <w:tcMar>
              <w:top w:w="15" w:type="dxa"/>
              <w:left w:w="15" w:type="dxa"/>
              <w:right w:w="15" w:type="dxa"/>
            </w:tcMar>
            <w:vAlign w:val="center"/>
          </w:tcPr>
          <w:p w14:paraId="6396488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709" w:type="pct"/>
            <w:tcBorders>
              <w:tl2br w:val="nil"/>
              <w:tr2bl w:val="nil"/>
            </w:tcBorders>
            <w:noWrap w:val="0"/>
            <w:tcMar>
              <w:top w:w="15" w:type="dxa"/>
              <w:left w:w="15" w:type="dxa"/>
              <w:right w:w="15" w:type="dxa"/>
            </w:tcMar>
            <w:vAlign w:val="center"/>
          </w:tcPr>
          <w:p w14:paraId="249952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年平均</w:t>
            </w:r>
          </w:p>
        </w:tc>
        <w:tc>
          <w:tcPr>
            <w:tcW w:w="1917" w:type="dxa"/>
            <w:tcBorders>
              <w:tl2br w:val="nil"/>
              <w:tr2bl w:val="nil"/>
            </w:tcBorders>
            <w:noWrap/>
            <w:tcMar>
              <w:top w:w="15" w:type="dxa"/>
              <w:left w:w="15" w:type="dxa"/>
              <w:right w:w="15" w:type="dxa"/>
            </w:tcMar>
            <w:vAlign w:val="center"/>
          </w:tcPr>
          <w:p w14:paraId="78A8DB3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0.05608</w:t>
            </w:r>
          </w:p>
        </w:tc>
        <w:tc>
          <w:tcPr>
            <w:tcW w:w="966" w:type="dxa"/>
            <w:tcBorders>
              <w:tl2br w:val="nil"/>
              <w:tr2bl w:val="nil"/>
            </w:tcBorders>
            <w:noWrap/>
            <w:tcMar>
              <w:top w:w="15" w:type="dxa"/>
              <w:left w:w="15" w:type="dxa"/>
              <w:right w:w="15" w:type="dxa"/>
            </w:tcMar>
            <w:vAlign w:val="center"/>
          </w:tcPr>
          <w:p w14:paraId="0E0E41D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211" w:type="dxa"/>
            <w:tcBorders>
              <w:tl2br w:val="nil"/>
              <w:tr2bl w:val="nil"/>
            </w:tcBorders>
            <w:noWrap/>
            <w:tcMar>
              <w:top w:w="15" w:type="dxa"/>
              <w:left w:w="15" w:type="dxa"/>
              <w:right w:w="15" w:type="dxa"/>
            </w:tcMar>
            <w:vAlign w:val="center"/>
          </w:tcPr>
          <w:p w14:paraId="2B78BCC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0.14</w:t>
            </w:r>
          </w:p>
        </w:tc>
        <w:tc>
          <w:tcPr>
            <w:tcW w:w="606" w:type="pct"/>
            <w:tcBorders>
              <w:tl2br w:val="nil"/>
              <w:tr2bl w:val="nil"/>
            </w:tcBorders>
            <w:noWrap w:val="0"/>
            <w:tcMar>
              <w:top w:w="15" w:type="dxa"/>
              <w:left w:w="15" w:type="dxa"/>
              <w:right w:w="15" w:type="dxa"/>
            </w:tcMar>
            <w:vAlign w:val="center"/>
          </w:tcPr>
          <w:p w14:paraId="4CBBA65B">
            <w:pPr>
              <w:keepNext w:val="0"/>
              <w:keepLines w:val="0"/>
              <w:pageBreakBefore w:val="0"/>
              <w:widowControl/>
              <w:suppressLineNumbers w:val="0"/>
              <w:kinsoku/>
              <w:wordWrap/>
              <w:overflowPunct/>
              <w:topLinePunct w:val="0"/>
              <w:bidi w:val="0"/>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bl>
    <w:p w14:paraId="7B50B544">
      <w:pPr>
        <w:keepNext w:val="0"/>
        <w:keepLines w:val="0"/>
        <w:pageBreakBefore w:val="0"/>
        <w:widowControl w:val="0"/>
        <w:kinsoku/>
        <w:wordWrap/>
        <w:overflowPunct/>
        <w:topLinePunct w:val="0"/>
        <w:autoSpaceDE/>
        <w:autoSpaceDN/>
        <w:bidi w:val="0"/>
        <w:adjustRightInd/>
        <w:snapToGrid/>
        <w:spacing w:after="0" w:line="480" w:lineRule="exact"/>
        <w:ind w:firstLine="0" w:firstLineChars="0"/>
        <w:jc w:val="center"/>
        <w:textAlignment w:val="auto"/>
        <w:outlineLvl w:val="9"/>
        <w:rPr>
          <w:rFonts w:hint="default" w:ascii="Times New Roman" w:hAnsi="Times New Roman" w:eastAsia="宋体" w:cs="Times New Roman"/>
          <w:snapToGrid w:val="0"/>
          <w:color w:val="FF0000"/>
          <w:kern w:val="2"/>
          <w:sz w:val="24"/>
          <w:szCs w:val="24"/>
          <w:highlight w:val="none"/>
          <w:lang w:val="en-US" w:eastAsia="zh-CN" w:bidi="ar-SA"/>
        </w:rPr>
      </w:pPr>
      <w:r>
        <w:rPr>
          <w:rFonts w:hint="default" w:ascii="Times New Roman" w:hAnsi="Times New Roman" w:eastAsia="宋体" w:cs="Times New Roman"/>
          <w:snapToGrid w:val="0"/>
          <w:color w:val="FF0000"/>
          <w:kern w:val="2"/>
          <w:sz w:val="24"/>
          <w:szCs w:val="24"/>
          <w:highlight w:val="none"/>
          <w:lang w:val="en-US" w:eastAsia="zh-CN" w:bidi="ar-SA"/>
        </w:rPr>
        <w:t>表6.2-1</w:t>
      </w:r>
      <w:r>
        <w:rPr>
          <w:rFonts w:hint="eastAsia" w:ascii="Times New Roman" w:hAnsi="Times New Roman" w:eastAsia="宋体" w:cs="Times New Roman"/>
          <w:snapToGrid w:val="0"/>
          <w:color w:val="FF0000"/>
          <w:kern w:val="2"/>
          <w:sz w:val="24"/>
          <w:szCs w:val="24"/>
          <w:highlight w:val="none"/>
          <w:lang w:val="en-US" w:eastAsia="zh-CN" w:bidi="ar-SA"/>
        </w:rPr>
        <w:t>2</w:t>
      </w:r>
      <w:r>
        <w:rPr>
          <w:rFonts w:hint="default" w:ascii="Times New Roman" w:hAnsi="Times New Roman" w:eastAsia="宋体" w:cs="Times New Roman"/>
          <w:snapToGrid w:val="0"/>
          <w:color w:val="FF0000"/>
          <w:kern w:val="2"/>
          <w:sz w:val="24"/>
          <w:szCs w:val="24"/>
          <w:highlight w:val="none"/>
          <w:lang w:val="en-US" w:eastAsia="zh-CN" w:bidi="ar-SA"/>
        </w:rPr>
        <w:t xml:space="preserve">  本项目</w:t>
      </w:r>
      <w:r>
        <w:rPr>
          <w:rFonts w:hint="default" w:ascii="Times New Roman" w:hAnsi="Times New Roman" w:eastAsia="宋体" w:cs="Times New Roman"/>
          <w:snapToGrid w:val="0"/>
          <w:color w:val="FF0000"/>
          <w:spacing w:val="0"/>
          <w:kern w:val="2"/>
          <w:sz w:val="24"/>
          <w:szCs w:val="24"/>
          <w:highlight w:val="none"/>
          <w:lang w:val="en-US" w:eastAsia="zh-CN" w:bidi="ar-SA"/>
        </w:rPr>
        <w:t>Hg</w:t>
      </w:r>
      <w:r>
        <w:rPr>
          <w:rFonts w:hint="default" w:ascii="Times New Roman" w:hAnsi="Times New Roman" w:eastAsia="宋体" w:cs="Times New Roman"/>
          <w:snapToGrid w:val="0"/>
          <w:color w:val="FF0000"/>
          <w:kern w:val="2"/>
          <w:sz w:val="24"/>
          <w:szCs w:val="24"/>
          <w:highlight w:val="none"/>
          <w:lang w:val="en-US" w:eastAsia="zh-CN" w:bidi="ar-SA"/>
        </w:rPr>
        <w:t>贡献质量浓度预测结果表</w:t>
      </w:r>
    </w:p>
    <w:tbl>
      <w:tblPr>
        <w:tblStyle w:val="37"/>
        <w:tblW w:w="4995" w:type="pct"/>
        <w:jc w:val="center"/>
        <w:tblLayout w:type="autofit"/>
        <w:tblCellMar>
          <w:top w:w="0" w:type="dxa"/>
          <w:left w:w="0" w:type="dxa"/>
          <w:bottom w:w="0" w:type="dxa"/>
          <w:right w:w="0" w:type="dxa"/>
        </w:tblCellMar>
      </w:tblPr>
      <w:tblGrid>
        <w:gridCol w:w="834"/>
        <w:gridCol w:w="1234"/>
        <w:gridCol w:w="1164"/>
        <w:gridCol w:w="1895"/>
        <w:gridCol w:w="976"/>
        <w:gridCol w:w="1209"/>
        <w:gridCol w:w="1010"/>
      </w:tblGrid>
      <w:tr w14:paraId="45268D8D">
        <w:tblPrEx>
          <w:tblCellMar>
            <w:top w:w="0" w:type="dxa"/>
            <w:left w:w="0" w:type="dxa"/>
            <w:bottom w:w="0" w:type="dxa"/>
            <w:right w:w="0" w:type="dxa"/>
          </w:tblCellMar>
        </w:tblPrEx>
        <w:trPr>
          <w:trHeight w:val="397" w:hRule="atLeast"/>
          <w:jc w:val="center"/>
        </w:trPr>
        <w:tc>
          <w:tcPr>
            <w:tcW w:w="501" w:type="pct"/>
            <w:tcBorders>
              <w:top w:val="single" w:color="000000" w:sz="12" w:space="0"/>
              <w:left w:val="nil"/>
              <w:bottom w:val="single" w:color="000000" w:sz="4" w:space="0"/>
              <w:right w:val="single" w:color="000000" w:sz="4" w:space="0"/>
            </w:tcBorders>
            <w:noWrap w:val="0"/>
            <w:tcMar>
              <w:top w:w="15" w:type="dxa"/>
              <w:left w:w="15" w:type="dxa"/>
              <w:right w:w="15" w:type="dxa"/>
            </w:tcMar>
            <w:vAlign w:val="center"/>
          </w:tcPr>
          <w:p w14:paraId="3715B8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污染物</w:t>
            </w:r>
          </w:p>
        </w:tc>
        <w:tc>
          <w:tcPr>
            <w:tcW w:w="741" w:type="pct"/>
            <w:tcBorders>
              <w:top w:val="single" w:color="000000" w:sz="12" w:space="0"/>
              <w:left w:val="single" w:color="000000" w:sz="4" w:space="0"/>
              <w:bottom w:val="single" w:color="000000" w:sz="4" w:space="0"/>
              <w:right w:val="single" w:color="000000" w:sz="4" w:space="0"/>
            </w:tcBorders>
            <w:noWrap w:val="0"/>
            <w:tcMar>
              <w:top w:w="15" w:type="dxa"/>
              <w:left w:w="15" w:type="dxa"/>
              <w:right w:w="15" w:type="dxa"/>
            </w:tcMar>
            <w:vAlign w:val="center"/>
          </w:tcPr>
          <w:p w14:paraId="5DFD58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预测点</w:t>
            </w:r>
          </w:p>
        </w:tc>
        <w:tc>
          <w:tcPr>
            <w:tcW w:w="699" w:type="pct"/>
            <w:tcBorders>
              <w:top w:val="single" w:color="000000" w:sz="12" w:space="0"/>
              <w:left w:val="single" w:color="000000" w:sz="4" w:space="0"/>
              <w:bottom w:val="single" w:color="000000" w:sz="4" w:space="0"/>
              <w:right w:val="single" w:color="000000" w:sz="4" w:space="0"/>
            </w:tcBorders>
            <w:noWrap w:val="0"/>
            <w:tcMar>
              <w:top w:w="15" w:type="dxa"/>
              <w:left w:w="15" w:type="dxa"/>
              <w:right w:w="15" w:type="dxa"/>
            </w:tcMar>
            <w:vAlign w:val="center"/>
          </w:tcPr>
          <w:p w14:paraId="3C486E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平均时段</w:t>
            </w:r>
          </w:p>
        </w:tc>
        <w:tc>
          <w:tcPr>
            <w:tcW w:w="1138" w:type="pct"/>
            <w:tcBorders>
              <w:top w:val="single" w:color="000000" w:sz="12" w:space="0"/>
              <w:left w:val="single" w:color="000000" w:sz="4" w:space="0"/>
              <w:bottom w:val="single" w:color="000000" w:sz="4" w:space="0"/>
              <w:right w:val="single" w:color="000000" w:sz="4" w:space="0"/>
            </w:tcBorders>
            <w:noWrap w:val="0"/>
            <w:tcMar>
              <w:top w:w="15" w:type="dxa"/>
              <w:left w:w="15" w:type="dxa"/>
              <w:right w:w="15" w:type="dxa"/>
            </w:tcMar>
            <w:vAlign w:val="center"/>
          </w:tcPr>
          <w:p w14:paraId="5A0D44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最大贡献值/</w:t>
            </w:r>
            <w:r>
              <w:rPr>
                <w:rFonts w:hint="default" w:ascii="Times New Roman" w:hAnsi="Times New Roman" w:eastAsia="宋体" w:cs="Times New Roman"/>
                <w:color w:val="FF0000"/>
                <w:sz w:val="21"/>
                <w:szCs w:val="21"/>
                <w:highlight w:val="none"/>
                <w:u w:val="none"/>
                <w:lang w:val="en-US" w:eastAsia="zh-CN" w:bidi="ar"/>
              </w:rPr>
              <w:t>（</w:t>
            </w:r>
            <w:r>
              <w:rPr>
                <w:rFonts w:hint="eastAsia" w:ascii="Times New Roman" w:hAnsi="Times New Roman" w:eastAsia="宋体" w:cs="Times New Roman"/>
                <w:color w:val="FF0000"/>
                <w:sz w:val="21"/>
                <w:szCs w:val="21"/>
                <w:highlight w:val="none"/>
                <w:u w:val="none"/>
                <w:lang w:val="en-US" w:eastAsia="zh-CN" w:bidi="ar"/>
              </w:rPr>
              <w:t>n</w:t>
            </w:r>
            <w:r>
              <w:rPr>
                <w:rFonts w:hint="default" w:ascii="Times New Roman" w:hAnsi="Times New Roman" w:eastAsia="宋体" w:cs="Times New Roman"/>
                <w:i w:val="0"/>
                <w:color w:val="FF0000"/>
                <w:kern w:val="0"/>
                <w:sz w:val="21"/>
                <w:szCs w:val="21"/>
                <w:highlight w:val="none"/>
                <w:u w:val="none"/>
                <w:lang w:val="en-US" w:eastAsia="zh-CN" w:bidi="ar"/>
              </w:rPr>
              <w:t>g/m</w:t>
            </w:r>
            <w:r>
              <w:rPr>
                <w:rFonts w:hint="default" w:ascii="Times New Roman" w:hAnsi="Times New Roman" w:eastAsia="宋体" w:cs="Times New Roman"/>
                <w:i w:val="0"/>
                <w:color w:val="FF0000"/>
                <w:kern w:val="0"/>
                <w:sz w:val="21"/>
                <w:szCs w:val="21"/>
                <w:highlight w:val="none"/>
                <w:u w:val="none"/>
                <w:vertAlign w:val="superscript"/>
                <w:lang w:val="en-US" w:eastAsia="zh-CN" w:bidi="ar"/>
              </w:rPr>
              <w:t>3</w:t>
            </w:r>
            <w:r>
              <w:rPr>
                <w:rFonts w:hint="default" w:ascii="Times New Roman" w:hAnsi="Times New Roman" w:eastAsia="宋体" w:cs="Times New Roman"/>
                <w:color w:val="FF0000"/>
                <w:sz w:val="21"/>
                <w:szCs w:val="21"/>
                <w:highlight w:val="none"/>
                <w:u w:val="none"/>
                <w:lang w:val="en-US" w:eastAsia="zh-CN" w:bidi="ar"/>
              </w:rPr>
              <w:t>）</w:t>
            </w:r>
          </w:p>
        </w:tc>
        <w:tc>
          <w:tcPr>
            <w:tcW w:w="586" w:type="pct"/>
            <w:tcBorders>
              <w:top w:val="single" w:color="000000" w:sz="12" w:space="0"/>
              <w:left w:val="single" w:color="000000" w:sz="4" w:space="0"/>
              <w:bottom w:val="single" w:color="000000" w:sz="4" w:space="0"/>
              <w:right w:val="single" w:color="000000" w:sz="4" w:space="0"/>
            </w:tcBorders>
            <w:noWrap w:val="0"/>
            <w:tcMar>
              <w:top w:w="15" w:type="dxa"/>
              <w:left w:w="15" w:type="dxa"/>
              <w:right w:w="15" w:type="dxa"/>
            </w:tcMar>
            <w:vAlign w:val="center"/>
          </w:tcPr>
          <w:p w14:paraId="71FAC2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出现时间</w:t>
            </w:r>
          </w:p>
        </w:tc>
        <w:tc>
          <w:tcPr>
            <w:tcW w:w="726" w:type="pct"/>
            <w:tcBorders>
              <w:top w:val="single" w:color="000000" w:sz="12" w:space="0"/>
              <w:left w:val="single" w:color="000000" w:sz="4" w:space="0"/>
              <w:bottom w:val="single" w:color="000000" w:sz="4" w:space="0"/>
              <w:right w:val="single" w:color="000000" w:sz="4" w:space="0"/>
            </w:tcBorders>
            <w:noWrap w:val="0"/>
            <w:tcMar>
              <w:top w:w="15" w:type="dxa"/>
              <w:left w:w="15" w:type="dxa"/>
              <w:right w:w="15" w:type="dxa"/>
            </w:tcMar>
            <w:vAlign w:val="center"/>
          </w:tcPr>
          <w:p w14:paraId="13E2F7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占标率/</w:t>
            </w:r>
            <w:r>
              <w:rPr>
                <w:rFonts w:hint="default" w:ascii="Times New Roman" w:hAnsi="Times New Roman" w:eastAsia="宋体" w:cs="Times New Roman"/>
                <w:color w:val="FF0000"/>
                <w:sz w:val="21"/>
                <w:szCs w:val="21"/>
                <w:highlight w:val="none"/>
                <w:u w:val="none"/>
                <w:lang w:val="en-US" w:eastAsia="zh-CN" w:bidi="ar"/>
              </w:rPr>
              <w:t>（%）</w:t>
            </w:r>
          </w:p>
        </w:tc>
        <w:tc>
          <w:tcPr>
            <w:tcW w:w="606" w:type="pct"/>
            <w:tcBorders>
              <w:top w:val="single" w:color="000000" w:sz="12" w:space="0"/>
              <w:left w:val="single" w:color="000000" w:sz="4" w:space="0"/>
              <w:bottom w:val="single" w:color="000000" w:sz="4" w:space="0"/>
              <w:right w:val="nil"/>
            </w:tcBorders>
            <w:noWrap w:val="0"/>
            <w:tcMar>
              <w:top w:w="15" w:type="dxa"/>
              <w:left w:w="15" w:type="dxa"/>
              <w:right w:w="15" w:type="dxa"/>
            </w:tcMar>
            <w:vAlign w:val="center"/>
          </w:tcPr>
          <w:p w14:paraId="5AF5C6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达标情况</w:t>
            </w:r>
          </w:p>
        </w:tc>
      </w:tr>
      <w:tr w14:paraId="6C11FC0D">
        <w:tblPrEx>
          <w:tblCellMar>
            <w:top w:w="0" w:type="dxa"/>
            <w:left w:w="0" w:type="dxa"/>
            <w:bottom w:w="0" w:type="dxa"/>
            <w:right w:w="0" w:type="dxa"/>
          </w:tblCellMar>
        </w:tblPrEx>
        <w:trPr>
          <w:trHeight w:val="397" w:hRule="atLeast"/>
          <w:jc w:val="center"/>
        </w:trPr>
        <w:tc>
          <w:tcPr>
            <w:tcW w:w="501" w:type="pct"/>
            <w:vMerge w:val="restart"/>
            <w:tcBorders>
              <w:top w:val="single" w:color="000000" w:sz="4" w:space="0"/>
              <w:left w:val="nil"/>
              <w:right w:val="single" w:color="000000" w:sz="4" w:space="0"/>
            </w:tcBorders>
            <w:noWrap w:val="0"/>
            <w:tcMar>
              <w:top w:w="15" w:type="dxa"/>
              <w:left w:w="15" w:type="dxa"/>
              <w:right w:w="15" w:type="dxa"/>
            </w:tcMar>
            <w:vAlign w:val="center"/>
          </w:tcPr>
          <w:p w14:paraId="0FA4D91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aseline"/>
              <w:rPr>
                <w:rFonts w:hint="default" w:ascii="宋体" w:hAnsi="Calibri" w:eastAsia="宋体" w:cs="Times New Roman"/>
                <w:color w:val="FF0000"/>
                <w:kern w:val="2"/>
                <w:sz w:val="24"/>
                <w:szCs w:val="24"/>
                <w:highlight w:val="none"/>
                <w:lang w:val="en-US" w:eastAsia="zh-CN" w:bidi="ar-SA"/>
              </w:rPr>
            </w:pPr>
            <w:r>
              <w:rPr>
                <w:rFonts w:hint="eastAsia" w:ascii="Times New Roman" w:hAnsi="Times New Roman" w:eastAsia="宋体" w:cs="Times New Roman"/>
                <w:i w:val="0"/>
                <w:color w:val="FF0000"/>
                <w:kern w:val="0"/>
                <w:sz w:val="21"/>
                <w:szCs w:val="21"/>
                <w:highlight w:val="none"/>
                <w:u w:val="none"/>
                <w:lang w:val="en-US" w:eastAsia="zh-CN" w:bidi="ar"/>
              </w:rPr>
              <w:t>Hg</w:t>
            </w:r>
          </w:p>
        </w:tc>
        <w:tc>
          <w:tcPr>
            <w:tcW w:w="741"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09A86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范家屯</w:t>
            </w:r>
          </w:p>
        </w:tc>
        <w:tc>
          <w:tcPr>
            <w:tcW w:w="69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27128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年</w:t>
            </w:r>
            <w:r>
              <w:rPr>
                <w:rFonts w:hint="default" w:ascii="Times New Roman" w:hAnsi="Times New Roman" w:eastAsia="宋体" w:cs="Times New Roman"/>
                <w:i w:val="0"/>
                <w:iCs w:val="0"/>
                <w:color w:val="FF0000"/>
                <w:kern w:val="0"/>
                <w:sz w:val="21"/>
                <w:szCs w:val="21"/>
                <w:highlight w:val="none"/>
                <w:u w:val="none"/>
                <w:lang w:val="en-US" w:eastAsia="zh-CN" w:bidi="ar"/>
              </w:rPr>
              <w:t>平均</w:t>
            </w:r>
          </w:p>
        </w:tc>
        <w:tc>
          <w:tcPr>
            <w:tcW w:w="18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5F4A6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0.0000003</w:t>
            </w:r>
          </w:p>
        </w:tc>
        <w:tc>
          <w:tcPr>
            <w:tcW w:w="97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A8EA3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20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32017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w:t>
            </w:r>
          </w:p>
        </w:tc>
        <w:tc>
          <w:tcPr>
            <w:tcW w:w="606" w:type="pct"/>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7BF512B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64FD8386">
        <w:tblPrEx>
          <w:tblCellMar>
            <w:top w:w="0" w:type="dxa"/>
            <w:left w:w="0" w:type="dxa"/>
            <w:bottom w:w="0" w:type="dxa"/>
            <w:right w:w="0" w:type="dxa"/>
          </w:tblCellMar>
        </w:tblPrEx>
        <w:trPr>
          <w:trHeight w:val="397" w:hRule="atLeast"/>
          <w:jc w:val="center"/>
        </w:trPr>
        <w:tc>
          <w:tcPr>
            <w:tcW w:w="501" w:type="pct"/>
            <w:vMerge w:val="continue"/>
            <w:tcBorders>
              <w:left w:val="nil"/>
              <w:right w:val="single" w:color="000000" w:sz="4" w:space="0"/>
            </w:tcBorders>
            <w:noWrap w:val="0"/>
            <w:tcMar>
              <w:top w:w="15" w:type="dxa"/>
              <w:left w:w="15" w:type="dxa"/>
              <w:right w:w="15" w:type="dxa"/>
            </w:tcMar>
            <w:vAlign w:val="center"/>
          </w:tcPr>
          <w:p w14:paraId="652A956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color w:val="FF0000"/>
                <w:sz w:val="21"/>
                <w:szCs w:val="21"/>
                <w:highlight w:val="none"/>
                <w:u w:val="none"/>
              </w:rPr>
            </w:pPr>
          </w:p>
        </w:tc>
        <w:tc>
          <w:tcPr>
            <w:tcW w:w="741"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D4DCB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范家村</w:t>
            </w:r>
          </w:p>
        </w:tc>
        <w:tc>
          <w:tcPr>
            <w:tcW w:w="69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18E9A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年</w:t>
            </w:r>
            <w:r>
              <w:rPr>
                <w:rFonts w:hint="default" w:ascii="Times New Roman" w:hAnsi="Times New Roman" w:eastAsia="宋体" w:cs="Times New Roman"/>
                <w:i w:val="0"/>
                <w:iCs w:val="0"/>
                <w:color w:val="FF0000"/>
                <w:kern w:val="0"/>
                <w:sz w:val="21"/>
                <w:szCs w:val="21"/>
                <w:highlight w:val="none"/>
                <w:u w:val="none"/>
                <w:lang w:val="en-US" w:eastAsia="zh-CN" w:bidi="ar"/>
              </w:rPr>
              <w:t>平均</w:t>
            </w:r>
          </w:p>
        </w:tc>
        <w:tc>
          <w:tcPr>
            <w:tcW w:w="18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48808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0.00000088</w:t>
            </w:r>
          </w:p>
        </w:tc>
        <w:tc>
          <w:tcPr>
            <w:tcW w:w="97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F9AA2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20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AD435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w:t>
            </w:r>
          </w:p>
        </w:tc>
        <w:tc>
          <w:tcPr>
            <w:tcW w:w="606" w:type="pct"/>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2DD28CB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48CDB7A2">
        <w:tblPrEx>
          <w:tblCellMar>
            <w:top w:w="0" w:type="dxa"/>
            <w:left w:w="0" w:type="dxa"/>
            <w:bottom w:w="0" w:type="dxa"/>
            <w:right w:w="0" w:type="dxa"/>
          </w:tblCellMar>
        </w:tblPrEx>
        <w:trPr>
          <w:trHeight w:val="397" w:hRule="atLeast"/>
          <w:jc w:val="center"/>
        </w:trPr>
        <w:tc>
          <w:tcPr>
            <w:tcW w:w="501" w:type="pct"/>
            <w:vMerge w:val="continue"/>
            <w:tcBorders>
              <w:left w:val="nil"/>
              <w:right w:val="single" w:color="000000" w:sz="4" w:space="0"/>
            </w:tcBorders>
            <w:noWrap w:val="0"/>
            <w:tcMar>
              <w:top w:w="15" w:type="dxa"/>
              <w:left w:w="15" w:type="dxa"/>
              <w:right w:w="15" w:type="dxa"/>
            </w:tcMar>
            <w:vAlign w:val="center"/>
          </w:tcPr>
          <w:p w14:paraId="27B7854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color w:val="FF0000"/>
                <w:sz w:val="21"/>
                <w:szCs w:val="21"/>
                <w:highlight w:val="none"/>
                <w:u w:val="none"/>
              </w:rPr>
            </w:pPr>
          </w:p>
        </w:tc>
        <w:tc>
          <w:tcPr>
            <w:tcW w:w="741"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760E4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原热电厂家属区</w:t>
            </w:r>
          </w:p>
        </w:tc>
        <w:tc>
          <w:tcPr>
            <w:tcW w:w="69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C0CFD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年</w:t>
            </w:r>
            <w:r>
              <w:rPr>
                <w:rFonts w:hint="default" w:ascii="Times New Roman" w:hAnsi="Times New Roman" w:eastAsia="宋体" w:cs="Times New Roman"/>
                <w:i w:val="0"/>
                <w:iCs w:val="0"/>
                <w:color w:val="FF0000"/>
                <w:kern w:val="0"/>
                <w:sz w:val="21"/>
                <w:szCs w:val="21"/>
                <w:highlight w:val="none"/>
                <w:u w:val="none"/>
                <w:lang w:val="en-US" w:eastAsia="zh-CN" w:bidi="ar"/>
              </w:rPr>
              <w:t>平均</w:t>
            </w:r>
          </w:p>
        </w:tc>
        <w:tc>
          <w:tcPr>
            <w:tcW w:w="18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2DCCE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w:t>
            </w:r>
          </w:p>
        </w:tc>
        <w:tc>
          <w:tcPr>
            <w:tcW w:w="97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40509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20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E673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w:t>
            </w:r>
          </w:p>
        </w:tc>
        <w:tc>
          <w:tcPr>
            <w:tcW w:w="606" w:type="pct"/>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20FF4F7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0433CC24">
        <w:tblPrEx>
          <w:tblCellMar>
            <w:top w:w="0" w:type="dxa"/>
            <w:left w:w="0" w:type="dxa"/>
            <w:bottom w:w="0" w:type="dxa"/>
            <w:right w:w="0" w:type="dxa"/>
          </w:tblCellMar>
        </w:tblPrEx>
        <w:trPr>
          <w:trHeight w:val="397" w:hRule="atLeast"/>
          <w:jc w:val="center"/>
        </w:trPr>
        <w:tc>
          <w:tcPr>
            <w:tcW w:w="501" w:type="pct"/>
            <w:vMerge w:val="continue"/>
            <w:tcBorders>
              <w:left w:val="nil"/>
              <w:right w:val="single" w:color="000000" w:sz="4" w:space="0"/>
            </w:tcBorders>
            <w:noWrap w:val="0"/>
            <w:tcMar>
              <w:top w:w="15" w:type="dxa"/>
              <w:left w:w="15" w:type="dxa"/>
              <w:right w:w="15" w:type="dxa"/>
            </w:tcMar>
            <w:vAlign w:val="center"/>
          </w:tcPr>
          <w:p w14:paraId="3A18562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color w:val="FF0000"/>
                <w:sz w:val="21"/>
                <w:szCs w:val="21"/>
                <w:highlight w:val="none"/>
                <w:u w:val="none"/>
              </w:rPr>
            </w:pPr>
          </w:p>
        </w:tc>
        <w:tc>
          <w:tcPr>
            <w:tcW w:w="741"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1DB44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黑锻新城小区</w:t>
            </w:r>
          </w:p>
        </w:tc>
        <w:tc>
          <w:tcPr>
            <w:tcW w:w="699"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EA621E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年</w:t>
            </w:r>
            <w:r>
              <w:rPr>
                <w:rFonts w:hint="default" w:ascii="Times New Roman" w:hAnsi="Times New Roman" w:eastAsia="宋体" w:cs="Times New Roman"/>
                <w:i w:val="0"/>
                <w:iCs w:val="0"/>
                <w:color w:val="FF0000"/>
                <w:kern w:val="0"/>
                <w:sz w:val="21"/>
                <w:szCs w:val="21"/>
                <w:highlight w:val="none"/>
                <w:u w:val="none"/>
                <w:lang w:val="en-US" w:eastAsia="zh-CN" w:bidi="ar"/>
              </w:rPr>
              <w:t>平均</w:t>
            </w:r>
          </w:p>
        </w:tc>
        <w:tc>
          <w:tcPr>
            <w:tcW w:w="18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E01D1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0.00000016</w:t>
            </w:r>
          </w:p>
        </w:tc>
        <w:tc>
          <w:tcPr>
            <w:tcW w:w="97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1A2A7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20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BD03F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w:t>
            </w:r>
          </w:p>
        </w:tc>
        <w:tc>
          <w:tcPr>
            <w:tcW w:w="606" w:type="pct"/>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6E9CF98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230CAFA0">
        <w:tblPrEx>
          <w:tblCellMar>
            <w:top w:w="0" w:type="dxa"/>
            <w:left w:w="0" w:type="dxa"/>
            <w:bottom w:w="0" w:type="dxa"/>
            <w:right w:w="0" w:type="dxa"/>
          </w:tblCellMar>
        </w:tblPrEx>
        <w:trPr>
          <w:trHeight w:val="397" w:hRule="atLeast"/>
          <w:jc w:val="center"/>
        </w:trPr>
        <w:tc>
          <w:tcPr>
            <w:tcW w:w="501" w:type="pct"/>
            <w:vMerge w:val="continue"/>
            <w:tcBorders>
              <w:left w:val="nil"/>
              <w:right w:val="single" w:color="000000" w:sz="4" w:space="0"/>
            </w:tcBorders>
            <w:noWrap w:val="0"/>
            <w:tcMar>
              <w:top w:w="15" w:type="dxa"/>
              <w:left w:w="15" w:type="dxa"/>
              <w:right w:w="15" w:type="dxa"/>
            </w:tcMar>
            <w:vAlign w:val="center"/>
          </w:tcPr>
          <w:p w14:paraId="110AE30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color w:val="FF0000"/>
                <w:sz w:val="21"/>
                <w:szCs w:val="21"/>
                <w:highlight w:val="none"/>
                <w:u w:val="none"/>
              </w:rPr>
            </w:pPr>
          </w:p>
        </w:tc>
        <w:tc>
          <w:tcPr>
            <w:tcW w:w="741"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76283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东侧市区（绿云社区）</w:t>
            </w:r>
          </w:p>
        </w:tc>
        <w:tc>
          <w:tcPr>
            <w:tcW w:w="699"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E5352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年</w:t>
            </w:r>
            <w:r>
              <w:rPr>
                <w:rFonts w:hint="default" w:ascii="Times New Roman" w:hAnsi="Times New Roman" w:eastAsia="宋体" w:cs="Times New Roman"/>
                <w:i w:val="0"/>
                <w:iCs w:val="0"/>
                <w:color w:val="FF0000"/>
                <w:kern w:val="0"/>
                <w:sz w:val="21"/>
                <w:szCs w:val="21"/>
                <w:highlight w:val="none"/>
                <w:u w:val="none"/>
                <w:lang w:val="en-US" w:eastAsia="zh-CN" w:bidi="ar"/>
              </w:rPr>
              <w:t>平均</w:t>
            </w:r>
          </w:p>
        </w:tc>
        <w:tc>
          <w:tcPr>
            <w:tcW w:w="18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428CB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0.00000303</w:t>
            </w:r>
          </w:p>
        </w:tc>
        <w:tc>
          <w:tcPr>
            <w:tcW w:w="97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FD64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20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5AFA5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w:t>
            </w:r>
          </w:p>
        </w:tc>
        <w:tc>
          <w:tcPr>
            <w:tcW w:w="606" w:type="pct"/>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3F1867B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732470DE">
        <w:tblPrEx>
          <w:tblCellMar>
            <w:top w:w="0" w:type="dxa"/>
            <w:left w:w="0" w:type="dxa"/>
            <w:bottom w:w="0" w:type="dxa"/>
            <w:right w:w="0" w:type="dxa"/>
          </w:tblCellMar>
        </w:tblPrEx>
        <w:trPr>
          <w:trHeight w:val="397" w:hRule="atLeast"/>
          <w:jc w:val="center"/>
        </w:trPr>
        <w:tc>
          <w:tcPr>
            <w:tcW w:w="501" w:type="pct"/>
            <w:vMerge w:val="continue"/>
            <w:tcBorders>
              <w:left w:val="nil"/>
              <w:right w:val="single" w:color="000000" w:sz="4" w:space="0"/>
            </w:tcBorders>
            <w:noWrap w:val="0"/>
            <w:tcMar>
              <w:top w:w="15" w:type="dxa"/>
              <w:left w:w="15" w:type="dxa"/>
              <w:right w:w="15" w:type="dxa"/>
            </w:tcMar>
            <w:vAlign w:val="center"/>
          </w:tcPr>
          <w:p w14:paraId="04B05294">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aseline"/>
              <w:rPr>
                <w:rFonts w:hint="default" w:ascii="Times New Roman" w:hAnsi="Times New Roman" w:eastAsia="宋体" w:cs="Times New Roman"/>
                <w:color w:val="FF0000"/>
                <w:kern w:val="2"/>
                <w:sz w:val="21"/>
                <w:szCs w:val="21"/>
                <w:highlight w:val="none"/>
                <w:lang w:val="en-US" w:eastAsia="zh-CN" w:bidi="ar-SA"/>
              </w:rPr>
            </w:pPr>
          </w:p>
        </w:tc>
        <w:tc>
          <w:tcPr>
            <w:tcW w:w="741"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7BCB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南侧市区（佳木斯市第十六中学）</w:t>
            </w:r>
          </w:p>
        </w:tc>
        <w:tc>
          <w:tcPr>
            <w:tcW w:w="699"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B54A83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年</w:t>
            </w:r>
            <w:r>
              <w:rPr>
                <w:rFonts w:hint="default" w:ascii="Times New Roman" w:hAnsi="Times New Roman" w:eastAsia="宋体" w:cs="Times New Roman"/>
                <w:i w:val="0"/>
                <w:iCs w:val="0"/>
                <w:color w:val="FF0000"/>
                <w:kern w:val="0"/>
                <w:sz w:val="21"/>
                <w:szCs w:val="21"/>
                <w:highlight w:val="none"/>
                <w:u w:val="none"/>
                <w:lang w:val="en-US" w:eastAsia="zh-CN" w:bidi="ar"/>
              </w:rPr>
              <w:t>平均</w:t>
            </w:r>
          </w:p>
        </w:tc>
        <w:tc>
          <w:tcPr>
            <w:tcW w:w="18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23D4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0.00000022</w:t>
            </w:r>
          </w:p>
        </w:tc>
        <w:tc>
          <w:tcPr>
            <w:tcW w:w="97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2908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20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D89B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w:t>
            </w:r>
          </w:p>
        </w:tc>
        <w:tc>
          <w:tcPr>
            <w:tcW w:w="606" w:type="pct"/>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0123944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24102BFD">
        <w:tblPrEx>
          <w:tblCellMar>
            <w:top w:w="0" w:type="dxa"/>
            <w:left w:w="0" w:type="dxa"/>
            <w:bottom w:w="0" w:type="dxa"/>
            <w:right w:w="0" w:type="dxa"/>
          </w:tblCellMar>
        </w:tblPrEx>
        <w:trPr>
          <w:trHeight w:val="397" w:hRule="atLeast"/>
          <w:jc w:val="center"/>
        </w:trPr>
        <w:tc>
          <w:tcPr>
            <w:tcW w:w="501" w:type="pct"/>
            <w:vMerge w:val="continue"/>
            <w:tcBorders>
              <w:left w:val="nil"/>
              <w:bottom w:val="single" w:color="000000" w:sz="12" w:space="0"/>
              <w:right w:val="single" w:color="000000" w:sz="4" w:space="0"/>
            </w:tcBorders>
            <w:noWrap w:val="0"/>
            <w:tcMar>
              <w:top w:w="15" w:type="dxa"/>
              <w:left w:w="15" w:type="dxa"/>
              <w:right w:w="15" w:type="dxa"/>
            </w:tcMar>
            <w:vAlign w:val="center"/>
          </w:tcPr>
          <w:p w14:paraId="157E5FF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color w:val="FF0000"/>
                <w:sz w:val="21"/>
                <w:szCs w:val="21"/>
                <w:highlight w:val="none"/>
                <w:u w:val="none"/>
              </w:rPr>
            </w:pPr>
          </w:p>
        </w:tc>
        <w:tc>
          <w:tcPr>
            <w:tcW w:w="741" w:type="pct"/>
            <w:tcBorders>
              <w:top w:val="single" w:color="000000" w:sz="4" w:space="0"/>
              <w:left w:val="single" w:color="000000" w:sz="4" w:space="0"/>
              <w:bottom w:val="single" w:color="000000" w:sz="12" w:space="0"/>
              <w:right w:val="single" w:color="000000" w:sz="4" w:space="0"/>
            </w:tcBorders>
            <w:noWrap w:val="0"/>
            <w:tcMar>
              <w:top w:w="15" w:type="dxa"/>
              <w:left w:w="15" w:type="dxa"/>
              <w:right w:w="15" w:type="dxa"/>
            </w:tcMar>
            <w:vAlign w:val="center"/>
          </w:tcPr>
          <w:p w14:paraId="10FBEA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区域最大落地浓度</w:t>
            </w:r>
          </w:p>
        </w:tc>
        <w:tc>
          <w:tcPr>
            <w:tcW w:w="699" w:type="pct"/>
            <w:tcBorders>
              <w:top w:val="single" w:color="000000" w:sz="4" w:space="0"/>
              <w:left w:val="single" w:color="000000" w:sz="4" w:space="0"/>
              <w:bottom w:val="single" w:color="000000" w:sz="12" w:space="0"/>
              <w:right w:val="single" w:color="000000" w:sz="4" w:space="0"/>
            </w:tcBorders>
            <w:shd w:val="clear" w:color="auto" w:fill="auto"/>
            <w:noWrap w:val="0"/>
            <w:tcMar>
              <w:top w:w="15" w:type="dxa"/>
              <w:left w:w="15" w:type="dxa"/>
              <w:right w:w="15" w:type="dxa"/>
            </w:tcMar>
            <w:vAlign w:val="center"/>
          </w:tcPr>
          <w:p w14:paraId="5682619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年</w:t>
            </w:r>
            <w:r>
              <w:rPr>
                <w:rFonts w:hint="default" w:ascii="Times New Roman" w:hAnsi="Times New Roman" w:eastAsia="宋体" w:cs="Times New Roman"/>
                <w:i w:val="0"/>
                <w:iCs w:val="0"/>
                <w:color w:val="FF0000"/>
                <w:kern w:val="0"/>
                <w:sz w:val="21"/>
                <w:szCs w:val="21"/>
                <w:highlight w:val="none"/>
                <w:u w:val="none"/>
                <w:lang w:val="en-US" w:eastAsia="zh-CN" w:bidi="ar"/>
              </w:rPr>
              <w:t>平均</w:t>
            </w:r>
          </w:p>
        </w:tc>
        <w:tc>
          <w:tcPr>
            <w:tcW w:w="1895" w:type="dxa"/>
            <w:tcBorders>
              <w:top w:val="single" w:color="000000" w:sz="4" w:space="0"/>
              <w:left w:val="single" w:color="000000" w:sz="4" w:space="0"/>
              <w:bottom w:val="single" w:color="000000" w:sz="12" w:space="0"/>
              <w:right w:val="single" w:color="000000" w:sz="4" w:space="0"/>
            </w:tcBorders>
            <w:noWrap/>
            <w:tcMar>
              <w:top w:w="15" w:type="dxa"/>
              <w:left w:w="15" w:type="dxa"/>
              <w:right w:w="15" w:type="dxa"/>
            </w:tcMar>
            <w:vAlign w:val="center"/>
          </w:tcPr>
          <w:p w14:paraId="292635F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0.00001264</w:t>
            </w:r>
          </w:p>
        </w:tc>
        <w:tc>
          <w:tcPr>
            <w:tcW w:w="976" w:type="dxa"/>
            <w:tcBorders>
              <w:top w:val="single" w:color="000000" w:sz="4" w:space="0"/>
              <w:left w:val="single" w:color="000000" w:sz="4" w:space="0"/>
              <w:bottom w:val="single" w:color="000000" w:sz="12" w:space="0"/>
              <w:right w:val="single" w:color="000000" w:sz="4" w:space="0"/>
            </w:tcBorders>
            <w:noWrap/>
            <w:tcMar>
              <w:top w:w="15" w:type="dxa"/>
              <w:left w:w="15" w:type="dxa"/>
              <w:right w:w="15" w:type="dxa"/>
            </w:tcMar>
            <w:vAlign w:val="center"/>
          </w:tcPr>
          <w:p w14:paraId="426C3D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209" w:type="dxa"/>
            <w:tcBorders>
              <w:top w:val="single" w:color="000000" w:sz="4" w:space="0"/>
              <w:left w:val="single" w:color="000000" w:sz="4" w:space="0"/>
              <w:bottom w:val="single" w:color="000000" w:sz="12" w:space="0"/>
              <w:right w:val="single" w:color="000000" w:sz="4" w:space="0"/>
            </w:tcBorders>
            <w:noWrap/>
            <w:tcMar>
              <w:top w:w="15" w:type="dxa"/>
              <w:left w:w="15" w:type="dxa"/>
              <w:right w:w="15" w:type="dxa"/>
            </w:tcMar>
            <w:vAlign w:val="center"/>
          </w:tcPr>
          <w:p w14:paraId="1CFBD2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0.0003</w:t>
            </w:r>
          </w:p>
        </w:tc>
        <w:tc>
          <w:tcPr>
            <w:tcW w:w="606" w:type="pct"/>
            <w:tcBorders>
              <w:top w:val="single" w:color="000000" w:sz="4" w:space="0"/>
              <w:left w:val="single" w:color="000000" w:sz="4" w:space="0"/>
              <w:bottom w:val="single" w:color="000000" w:sz="12" w:space="0"/>
              <w:right w:val="nil"/>
            </w:tcBorders>
            <w:noWrap w:val="0"/>
            <w:tcMar>
              <w:top w:w="15" w:type="dxa"/>
              <w:left w:w="15" w:type="dxa"/>
              <w:right w:w="15" w:type="dxa"/>
            </w:tcMar>
            <w:vAlign w:val="center"/>
          </w:tcPr>
          <w:p w14:paraId="296EC8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bl>
    <w:p w14:paraId="15ECAC03">
      <w:pPr>
        <w:keepNext w:val="0"/>
        <w:keepLines w:val="0"/>
        <w:pageBreakBefore w:val="0"/>
        <w:widowControl w:val="0"/>
        <w:kinsoku/>
        <w:wordWrap/>
        <w:overflowPunct/>
        <w:topLinePunct w:val="0"/>
        <w:autoSpaceDE/>
        <w:autoSpaceDN/>
        <w:bidi w:val="0"/>
        <w:adjustRightInd/>
        <w:snapToGrid/>
        <w:spacing w:after="0" w:line="480" w:lineRule="exact"/>
        <w:ind w:firstLine="0" w:firstLineChars="0"/>
        <w:jc w:val="center"/>
        <w:textAlignment w:val="auto"/>
        <w:outlineLvl w:val="9"/>
        <w:rPr>
          <w:rFonts w:hint="default" w:ascii="Times New Roman" w:hAnsi="Times New Roman" w:eastAsia="宋体" w:cs="Times New Roman"/>
          <w:snapToGrid w:val="0"/>
          <w:color w:val="FF0000"/>
          <w:kern w:val="2"/>
          <w:sz w:val="24"/>
          <w:szCs w:val="24"/>
          <w:highlight w:val="none"/>
          <w:lang w:val="en-US" w:eastAsia="zh-CN" w:bidi="ar-SA"/>
        </w:rPr>
      </w:pPr>
      <w:r>
        <w:rPr>
          <w:rFonts w:hint="default" w:ascii="Times New Roman" w:hAnsi="Times New Roman" w:eastAsia="宋体" w:cs="Times New Roman"/>
          <w:snapToGrid w:val="0"/>
          <w:color w:val="FF0000"/>
          <w:kern w:val="2"/>
          <w:sz w:val="24"/>
          <w:szCs w:val="24"/>
          <w:highlight w:val="none"/>
          <w:lang w:val="en-US" w:eastAsia="zh-CN" w:bidi="ar-SA"/>
        </w:rPr>
        <w:t>表6.2-</w:t>
      </w:r>
      <w:r>
        <w:rPr>
          <w:rFonts w:hint="eastAsia" w:ascii="Times New Roman" w:hAnsi="Times New Roman" w:eastAsia="宋体" w:cs="Times New Roman"/>
          <w:snapToGrid w:val="0"/>
          <w:color w:val="FF0000"/>
          <w:kern w:val="2"/>
          <w:sz w:val="24"/>
          <w:szCs w:val="24"/>
          <w:highlight w:val="none"/>
          <w:lang w:val="en-US" w:eastAsia="zh-CN" w:bidi="ar-SA"/>
        </w:rPr>
        <w:t>13</w:t>
      </w:r>
      <w:r>
        <w:rPr>
          <w:rFonts w:hint="default" w:ascii="Times New Roman" w:hAnsi="Times New Roman" w:eastAsia="宋体" w:cs="Times New Roman"/>
          <w:snapToGrid w:val="0"/>
          <w:color w:val="FF0000"/>
          <w:kern w:val="2"/>
          <w:sz w:val="24"/>
          <w:szCs w:val="24"/>
          <w:highlight w:val="none"/>
          <w:lang w:val="en-US" w:eastAsia="zh-CN" w:bidi="ar-SA"/>
        </w:rPr>
        <w:t xml:space="preserve">  本项目</w:t>
      </w:r>
      <w:r>
        <w:rPr>
          <w:rFonts w:hint="default" w:ascii="Times New Roman" w:hAnsi="Times New Roman" w:eastAsia="宋体" w:cs="Times New Roman"/>
          <w:snapToGrid w:val="0"/>
          <w:color w:val="FF0000"/>
          <w:spacing w:val="0"/>
          <w:kern w:val="2"/>
          <w:sz w:val="24"/>
          <w:szCs w:val="24"/>
          <w:highlight w:val="none"/>
          <w:lang w:val="en-US" w:eastAsia="zh-CN" w:bidi="ar-SA"/>
        </w:rPr>
        <w:t>TSP</w:t>
      </w:r>
      <w:r>
        <w:rPr>
          <w:rFonts w:hint="default" w:ascii="Times New Roman" w:hAnsi="Times New Roman" w:eastAsia="宋体" w:cs="Times New Roman"/>
          <w:snapToGrid w:val="0"/>
          <w:color w:val="FF0000"/>
          <w:kern w:val="2"/>
          <w:sz w:val="24"/>
          <w:szCs w:val="24"/>
          <w:highlight w:val="none"/>
          <w:lang w:val="en-US" w:eastAsia="zh-CN" w:bidi="ar-SA"/>
        </w:rPr>
        <w:t>贡献质量浓度预测结果表</w:t>
      </w:r>
    </w:p>
    <w:tbl>
      <w:tblPr>
        <w:tblStyle w:val="37"/>
        <w:tblW w:w="4995"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786"/>
        <w:gridCol w:w="1223"/>
        <w:gridCol w:w="1078"/>
        <w:gridCol w:w="1869"/>
        <w:gridCol w:w="1239"/>
        <w:gridCol w:w="1164"/>
        <w:gridCol w:w="963"/>
      </w:tblGrid>
      <w:tr w14:paraId="4BE3439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2" w:type="pct"/>
            <w:tcBorders>
              <w:tl2br w:val="nil"/>
              <w:tr2bl w:val="nil"/>
            </w:tcBorders>
            <w:noWrap w:val="0"/>
            <w:tcMar>
              <w:top w:w="15" w:type="dxa"/>
              <w:left w:w="15" w:type="dxa"/>
              <w:right w:w="15" w:type="dxa"/>
            </w:tcMar>
            <w:vAlign w:val="center"/>
          </w:tcPr>
          <w:p w14:paraId="7905CA2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污染物</w:t>
            </w:r>
          </w:p>
        </w:tc>
        <w:tc>
          <w:tcPr>
            <w:tcW w:w="734" w:type="pct"/>
            <w:tcBorders>
              <w:tl2br w:val="nil"/>
              <w:tr2bl w:val="nil"/>
            </w:tcBorders>
            <w:noWrap w:val="0"/>
            <w:tcMar>
              <w:top w:w="15" w:type="dxa"/>
              <w:left w:w="15" w:type="dxa"/>
              <w:right w:w="15" w:type="dxa"/>
            </w:tcMar>
            <w:vAlign w:val="center"/>
          </w:tcPr>
          <w:p w14:paraId="0EC8F14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预测点</w:t>
            </w:r>
          </w:p>
        </w:tc>
        <w:tc>
          <w:tcPr>
            <w:tcW w:w="647" w:type="pct"/>
            <w:tcBorders>
              <w:tl2br w:val="nil"/>
              <w:tr2bl w:val="nil"/>
            </w:tcBorders>
            <w:noWrap w:val="0"/>
            <w:tcMar>
              <w:top w:w="15" w:type="dxa"/>
              <w:left w:w="15" w:type="dxa"/>
              <w:right w:w="15" w:type="dxa"/>
            </w:tcMar>
            <w:vAlign w:val="center"/>
          </w:tcPr>
          <w:p w14:paraId="003870A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平均时段</w:t>
            </w:r>
          </w:p>
        </w:tc>
        <w:tc>
          <w:tcPr>
            <w:tcW w:w="1122" w:type="pct"/>
            <w:tcBorders>
              <w:tl2br w:val="nil"/>
              <w:tr2bl w:val="nil"/>
            </w:tcBorders>
            <w:noWrap w:val="0"/>
            <w:tcMar>
              <w:top w:w="15" w:type="dxa"/>
              <w:left w:w="15" w:type="dxa"/>
              <w:right w:w="15" w:type="dxa"/>
            </w:tcMar>
            <w:vAlign w:val="center"/>
          </w:tcPr>
          <w:p w14:paraId="0FFAB87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最大贡献值/</w:t>
            </w:r>
            <w:r>
              <w:rPr>
                <w:rFonts w:hint="default" w:ascii="Times New Roman" w:hAnsi="Times New Roman" w:eastAsia="宋体" w:cs="Times New Roman"/>
                <w:color w:val="FF0000"/>
                <w:sz w:val="21"/>
                <w:szCs w:val="21"/>
                <w:highlight w:val="none"/>
                <w:u w:val="none"/>
                <w:lang w:val="en-US" w:eastAsia="zh-CN" w:bidi="ar"/>
              </w:rPr>
              <w:t>（μ</w:t>
            </w:r>
            <w:r>
              <w:rPr>
                <w:rFonts w:hint="default" w:ascii="Times New Roman" w:hAnsi="Times New Roman" w:eastAsia="宋体" w:cs="Times New Roman"/>
                <w:i w:val="0"/>
                <w:color w:val="FF0000"/>
                <w:kern w:val="0"/>
                <w:sz w:val="21"/>
                <w:szCs w:val="21"/>
                <w:highlight w:val="none"/>
                <w:u w:val="none"/>
                <w:lang w:val="en-US" w:eastAsia="zh-CN" w:bidi="ar"/>
              </w:rPr>
              <w:t>g/m</w:t>
            </w:r>
            <w:r>
              <w:rPr>
                <w:rFonts w:hint="default" w:ascii="Times New Roman" w:hAnsi="Times New Roman" w:eastAsia="宋体" w:cs="Times New Roman"/>
                <w:i w:val="0"/>
                <w:color w:val="FF0000"/>
                <w:kern w:val="0"/>
                <w:sz w:val="21"/>
                <w:szCs w:val="21"/>
                <w:highlight w:val="none"/>
                <w:u w:val="none"/>
                <w:vertAlign w:val="superscript"/>
                <w:lang w:val="en-US" w:eastAsia="zh-CN" w:bidi="ar"/>
              </w:rPr>
              <w:t>3</w:t>
            </w:r>
            <w:r>
              <w:rPr>
                <w:rFonts w:hint="default" w:ascii="Times New Roman" w:hAnsi="Times New Roman" w:eastAsia="宋体" w:cs="Times New Roman"/>
                <w:color w:val="FF0000"/>
                <w:sz w:val="21"/>
                <w:szCs w:val="21"/>
                <w:highlight w:val="none"/>
                <w:u w:val="none"/>
                <w:lang w:val="en-US" w:eastAsia="zh-CN" w:bidi="ar"/>
              </w:rPr>
              <w:t>）</w:t>
            </w:r>
          </w:p>
        </w:tc>
        <w:tc>
          <w:tcPr>
            <w:tcW w:w="744" w:type="pct"/>
            <w:tcBorders>
              <w:tl2br w:val="nil"/>
              <w:tr2bl w:val="nil"/>
            </w:tcBorders>
            <w:noWrap w:val="0"/>
            <w:tcMar>
              <w:top w:w="15" w:type="dxa"/>
              <w:left w:w="15" w:type="dxa"/>
              <w:right w:w="15" w:type="dxa"/>
            </w:tcMar>
            <w:vAlign w:val="center"/>
          </w:tcPr>
          <w:p w14:paraId="24E7C29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出现时间</w:t>
            </w:r>
          </w:p>
        </w:tc>
        <w:tc>
          <w:tcPr>
            <w:tcW w:w="699" w:type="pct"/>
            <w:tcBorders>
              <w:tl2br w:val="nil"/>
              <w:tr2bl w:val="nil"/>
            </w:tcBorders>
            <w:noWrap w:val="0"/>
            <w:tcMar>
              <w:top w:w="15" w:type="dxa"/>
              <w:left w:w="15" w:type="dxa"/>
              <w:right w:w="15" w:type="dxa"/>
            </w:tcMar>
            <w:vAlign w:val="center"/>
          </w:tcPr>
          <w:p w14:paraId="2742E27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占标率/</w:t>
            </w:r>
            <w:r>
              <w:rPr>
                <w:rFonts w:hint="default" w:ascii="Times New Roman" w:hAnsi="Times New Roman" w:eastAsia="宋体" w:cs="Times New Roman"/>
                <w:color w:val="FF0000"/>
                <w:sz w:val="21"/>
                <w:szCs w:val="21"/>
                <w:highlight w:val="none"/>
                <w:u w:val="none"/>
                <w:lang w:val="en-US" w:eastAsia="zh-CN" w:bidi="ar"/>
              </w:rPr>
              <w:t>（%）</w:t>
            </w:r>
          </w:p>
        </w:tc>
        <w:tc>
          <w:tcPr>
            <w:tcW w:w="578" w:type="pct"/>
            <w:tcBorders>
              <w:tl2br w:val="nil"/>
              <w:tr2bl w:val="nil"/>
            </w:tcBorders>
            <w:noWrap w:val="0"/>
            <w:tcMar>
              <w:top w:w="15" w:type="dxa"/>
              <w:left w:w="15" w:type="dxa"/>
              <w:right w:w="15" w:type="dxa"/>
            </w:tcMar>
            <w:vAlign w:val="center"/>
          </w:tcPr>
          <w:p w14:paraId="3BB5141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达标情况</w:t>
            </w:r>
          </w:p>
        </w:tc>
      </w:tr>
      <w:tr w14:paraId="338B54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2" w:type="pct"/>
            <w:vMerge w:val="restart"/>
            <w:tcBorders>
              <w:tl2br w:val="nil"/>
              <w:tr2bl w:val="nil"/>
            </w:tcBorders>
            <w:noWrap w:val="0"/>
            <w:tcMar>
              <w:top w:w="15" w:type="dxa"/>
              <w:left w:w="15" w:type="dxa"/>
              <w:right w:w="15" w:type="dxa"/>
            </w:tcMar>
            <w:vAlign w:val="center"/>
          </w:tcPr>
          <w:p w14:paraId="7726133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TSP</w:t>
            </w:r>
          </w:p>
          <w:p w14:paraId="6E99D90B">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color w:val="FF0000"/>
                <w:sz w:val="21"/>
                <w:szCs w:val="21"/>
                <w:highlight w:val="none"/>
              </w:rPr>
            </w:pPr>
          </w:p>
          <w:p w14:paraId="4E199A46">
            <w:pPr>
              <w:pStyle w:val="3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color w:val="FF0000"/>
                <w:sz w:val="21"/>
                <w:szCs w:val="21"/>
                <w:highlight w:val="none"/>
              </w:rPr>
            </w:pPr>
          </w:p>
          <w:p w14:paraId="4A2492DB">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p w14:paraId="0B82857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aseline"/>
              <w:rPr>
                <w:rFonts w:hint="default" w:ascii="Times New Roman" w:hAnsi="Times New Roman" w:eastAsia="宋体" w:cs="Times New Roman"/>
                <w:color w:val="FF0000"/>
                <w:kern w:val="2"/>
                <w:sz w:val="21"/>
                <w:szCs w:val="21"/>
                <w:highlight w:val="none"/>
                <w:lang w:val="en-US" w:eastAsia="zh-CN" w:bidi="ar-SA"/>
              </w:rPr>
            </w:pPr>
          </w:p>
        </w:tc>
        <w:tc>
          <w:tcPr>
            <w:tcW w:w="734" w:type="pct"/>
            <w:vMerge w:val="restart"/>
            <w:tcBorders>
              <w:tl2br w:val="nil"/>
              <w:tr2bl w:val="nil"/>
            </w:tcBorders>
            <w:noWrap w:val="0"/>
            <w:tcMar>
              <w:top w:w="15" w:type="dxa"/>
              <w:left w:w="15" w:type="dxa"/>
              <w:right w:w="15" w:type="dxa"/>
            </w:tcMar>
            <w:vAlign w:val="center"/>
          </w:tcPr>
          <w:p w14:paraId="6218F8EF">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范家屯</w:t>
            </w:r>
          </w:p>
        </w:tc>
        <w:tc>
          <w:tcPr>
            <w:tcW w:w="647" w:type="pct"/>
            <w:tcBorders>
              <w:tl2br w:val="nil"/>
              <w:tr2bl w:val="nil"/>
            </w:tcBorders>
            <w:noWrap w:val="0"/>
            <w:tcMar>
              <w:top w:w="15" w:type="dxa"/>
              <w:left w:w="15" w:type="dxa"/>
              <w:right w:w="15" w:type="dxa"/>
            </w:tcMar>
            <w:vAlign w:val="center"/>
          </w:tcPr>
          <w:p w14:paraId="34F813C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日平均</w:t>
            </w:r>
          </w:p>
        </w:tc>
        <w:tc>
          <w:tcPr>
            <w:tcW w:w="1869" w:type="dxa"/>
            <w:tcBorders>
              <w:tl2br w:val="nil"/>
              <w:tr2bl w:val="nil"/>
            </w:tcBorders>
            <w:noWrap/>
            <w:tcMar>
              <w:top w:w="15" w:type="dxa"/>
              <w:left w:w="15" w:type="dxa"/>
              <w:right w:w="15" w:type="dxa"/>
            </w:tcMar>
            <w:vAlign w:val="center"/>
          </w:tcPr>
          <w:p w14:paraId="7BE833D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1.06166</w:t>
            </w:r>
          </w:p>
        </w:tc>
        <w:tc>
          <w:tcPr>
            <w:tcW w:w="1239" w:type="dxa"/>
            <w:tcBorders>
              <w:tl2br w:val="nil"/>
              <w:tr2bl w:val="nil"/>
            </w:tcBorders>
            <w:noWrap/>
            <w:tcMar>
              <w:top w:w="15" w:type="dxa"/>
              <w:left w:w="15" w:type="dxa"/>
              <w:right w:w="15" w:type="dxa"/>
            </w:tcMar>
            <w:vAlign w:val="center"/>
          </w:tcPr>
          <w:p w14:paraId="57CF2A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240123</w:t>
            </w:r>
          </w:p>
        </w:tc>
        <w:tc>
          <w:tcPr>
            <w:tcW w:w="1164" w:type="dxa"/>
            <w:tcBorders>
              <w:tl2br w:val="nil"/>
              <w:tr2bl w:val="nil"/>
            </w:tcBorders>
            <w:noWrap/>
            <w:tcMar>
              <w:top w:w="15" w:type="dxa"/>
              <w:left w:w="15" w:type="dxa"/>
              <w:right w:w="15" w:type="dxa"/>
            </w:tcMar>
            <w:vAlign w:val="center"/>
          </w:tcPr>
          <w:p w14:paraId="34F150D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0.35</w:t>
            </w:r>
          </w:p>
        </w:tc>
        <w:tc>
          <w:tcPr>
            <w:tcW w:w="578" w:type="pct"/>
            <w:tcBorders>
              <w:tl2br w:val="nil"/>
              <w:tr2bl w:val="nil"/>
            </w:tcBorders>
            <w:noWrap w:val="0"/>
            <w:tcMar>
              <w:top w:w="15" w:type="dxa"/>
              <w:left w:w="15" w:type="dxa"/>
              <w:right w:w="15" w:type="dxa"/>
            </w:tcMar>
            <w:vAlign w:val="center"/>
          </w:tcPr>
          <w:p w14:paraId="04FE0F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2837D2E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2" w:type="pct"/>
            <w:vMerge w:val="continue"/>
            <w:tcBorders>
              <w:tl2br w:val="nil"/>
              <w:tr2bl w:val="nil"/>
            </w:tcBorders>
            <w:noWrap w:val="0"/>
            <w:tcMar>
              <w:top w:w="15" w:type="dxa"/>
              <w:left w:w="15" w:type="dxa"/>
              <w:right w:w="15" w:type="dxa"/>
            </w:tcMar>
            <w:vAlign w:val="center"/>
          </w:tcPr>
          <w:p w14:paraId="7C044EE5">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34" w:type="pct"/>
            <w:vMerge w:val="continue"/>
            <w:tcBorders>
              <w:tl2br w:val="nil"/>
              <w:tr2bl w:val="nil"/>
            </w:tcBorders>
            <w:noWrap w:val="0"/>
            <w:tcMar>
              <w:top w:w="15" w:type="dxa"/>
              <w:left w:w="15" w:type="dxa"/>
              <w:right w:w="15" w:type="dxa"/>
            </w:tcMar>
            <w:vAlign w:val="center"/>
          </w:tcPr>
          <w:p w14:paraId="04FF984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647" w:type="pct"/>
            <w:tcBorders>
              <w:tl2br w:val="nil"/>
              <w:tr2bl w:val="nil"/>
            </w:tcBorders>
            <w:noWrap w:val="0"/>
            <w:tcMar>
              <w:top w:w="15" w:type="dxa"/>
              <w:left w:w="15" w:type="dxa"/>
              <w:right w:w="15" w:type="dxa"/>
            </w:tcMar>
            <w:vAlign w:val="center"/>
          </w:tcPr>
          <w:p w14:paraId="7DFEDD7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年平均</w:t>
            </w:r>
          </w:p>
        </w:tc>
        <w:tc>
          <w:tcPr>
            <w:tcW w:w="1869" w:type="dxa"/>
            <w:tcBorders>
              <w:tl2br w:val="nil"/>
              <w:tr2bl w:val="nil"/>
            </w:tcBorders>
            <w:noWrap/>
            <w:tcMar>
              <w:top w:w="15" w:type="dxa"/>
              <w:left w:w="15" w:type="dxa"/>
              <w:right w:w="15" w:type="dxa"/>
            </w:tcMar>
            <w:vAlign w:val="center"/>
          </w:tcPr>
          <w:p w14:paraId="57B9190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0.02779</w:t>
            </w:r>
          </w:p>
        </w:tc>
        <w:tc>
          <w:tcPr>
            <w:tcW w:w="1239" w:type="dxa"/>
            <w:tcBorders>
              <w:tl2br w:val="nil"/>
              <w:tr2bl w:val="nil"/>
            </w:tcBorders>
            <w:noWrap/>
            <w:tcMar>
              <w:top w:w="15" w:type="dxa"/>
              <w:left w:w="15" w:type="dxa"/>
              <w:right w:w="15" w:type="dxa"/>
            </w:tcMar>
            <w:vAlign w:val="center"/>
          </w:tcPr>
          <w:p w14:paraId="149C40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平均值</w:t>
            </w:r>
          </w:p>
        </w:tc>
        <w:tc>
          <w:tcPr>
            <w:tcW w:w="1164" w:type="dxa"/>
            <w:tcBorders>
              <w:tl2br w:val="nil"/>
              <w:tr2bl w:val="nil"/>
            </w:tcBorders>
            <w:noWrap/>
            <w:tcMar>
              <w:top w:w="15" w:type="dxa"/>
              <w:left w:w="15" w:type="dxa"/>
              <w:right w:w="15" w:type="dxa"/>
            </w:tcMar>
            <w:vAlign w:val="center"/>
          </w:tcPr>
          <w:p w14:paraId="49A029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0.01</w:t>
            </w:r>
          </w:p>
        </w:tc>
        <w:tc>
          <w:tcPr>
            <w:tcW w:w="578" w:type="pct"/>
            <w:tcBorders>
              <w:tl2br w:val="nil"/>
              <w:tr2bl w:val="nil"/>
            </w:tcBorders>
            <w:noWrap w:val="0"/>
            <w:tcMar>
              <w:top w:w="15" w:type="dxa"/>
              <w:left w:w="15" w:type="dxa"/>
              <w:right w:w="15" w:type="dxa"/>
            </w:tcMar>
            <w:vAlign w:val="center"/>
          </w:tcPr>
          <w:p w14:paraId="6A763A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6D42ABF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2" w:type="pct"/>
            <w:vMerge w:val="continue"/>
            <w:tcBorders>
              <w:tl2br w:val="nil"/>
              <w:tr2bl w:val="nil"/>
            </w:tcBorders>
            <w:noWrap w:val="0"/>
            <w:tcMar>
              <w:top w:w="15" w:type="dxa"/>
              <w:left w:w="15" w:type="dxa"/>
              <w:right w:w="15" w:type="dxa"/>
            </w:tcMar>
            <w:vAlign w:val="center"/>
          </w:tcPr>
          <w:p w14:paraId="68EC16F3">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34" w:type="pct"/>
            <w:vMerge w:val="restart"/>
            <w:tcBorders>
              <w:tl2br w:val="nil"/>
              <w:tr2bl w:val="nil"/>
            </w:tcBorders>
            <w:noWrap w:val="0"/>
            <w:tcMar>
              <w:top w:w="15" w:type="dxa"/>
              <w:left w:w="15" w:type="dxa"/>
              <w:right w:w="15" w:type="dxa"/>
            </w:tcMar>
            <w:vAlign w:val="center"/>
          </w:tcPr>
          <w:p w14:paraId="55574E60">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范家村</w:t>
            </w:r>
          </w:p>
        </w:tc>
        <w:tc>
          <w:tcPr>
            <w:tcW w:w="647" w:type="pct"/>
            <w:tcBorders>
              <w:tl2br w:val="nil"/>
              <w:tr2bl w:val="nil"/>
            </w:tcBorders>
            <w:noWrap w:val="0"/>
            <w:tcMar>
              <w:top w:w="15" w:type="dxa"/>
              <w:left w:w="15" w:type="dxa"/>
              <w:right w:w="15" w:type="dxa"/>
            </w:tcMar>
            <w:vAlign w:val="center"/>
          </w:tcPr>
          <w:p w14:paraId="70926D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日平均</w:t>
            </w:r>
          </w:p>
        </w:tc>
        <w:tc>
          <w:tcPr>
            <w:tcW w:w="1869" w:type="dxa"/>
            <w:tcBorders>
              <w:tl2br w:val="nil"/>
              <w:tr2bl w:val="nil"/>
            </w:tcBorders>
            <w:noWrap/>
            <w:tcMar>
              <w:top w:w="15" w:type="dxa"/>
              <w:left w:w="15" w:type="dxa"/>
              <w:right w:w="15" w:type="dxa"/>
            </w:tcMar>
            <w:vAlign w:val="center"/>
          </w:tcPr>
          <w:p w14:paraId="3E4F04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3.01571</w:t>
            </w:r>
          </w:p>
        </w:tc>
        <w:tc>
          <w:tcPr>
            <w:tcW w:w="1239" w:type="dxa"/>
            <w:tcBorders>
              <w:tl2br w:val="nil"/>
              <w:tr2bl w:val="nil"/>
            </w:tcBorders>
            <w:noWrap/>
            <w:tcMar>
              <w:top w:w="15" w:type="dxa"/>
              <w:left w:w="15" w:type="dxa"/>
              <w:right w:w="15" w:type="dxa"/>
            </w:tcMar>
            <w:vAlign w:val="center"/>
          </w:tcPr>
          <w:p w14:paraId="16C1AAE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240226</w:t>
            </w:r>
          </w:p>
        </w:tc>
        <w:tc>
          <w:tcPr>
            <w:tcW w:w="1164" w:type="dxa"/>
            <w:tcBorders>
              <w:tl2br w:val="nil"/>
              <w:tr2bl w:val="nil"/>
            </w:tcBorders>
            <w:noWrap/>
            <w:tcMar>
              <w:top w:w="15" w:type="dxa"/>
              <w:left w:w="15" w:type="dxa"/>
              <w:right w:w="15" w:type="dxa"/>
            </w:tcMar>
            <w:vAlign w:val="center"/>
          </w:tcPr>
          <w:p w14:paraId="3B2E404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1.01</w:t>
            </w:r>
          </w:p>
        </w:tc>
        <w:tc>
          <w:tcPr>
            <w:tcW w:w="578" w:type="pct"/>
            <w:tcBorders>
              <w:tl2br w:val="nil"/>
              <w:tr2bl w:val="nil"/>
            </w:tcBorders>
            <w:noWrap w:val="0"/>
            <w:tcMar>
              <w:top w:w="15" w:type="dxa"/>
              <w:left w:w="15" w:type="dxa"/>
              <w:right w:w="15" w:type="dxa"/>
            </w:tcMar>
            <w:vAlign w:val="center"/>
          </w:tcPr>
          <w:p w14:paraId="1627D2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727509E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2" w:type="pct"/>
            <w:vMerge w:val="continue"/>
            <w:tcBorders>
              <w:tl2br w:val="nil"/>
              <w:tr2bl w:val="nil"/>
            </w:tcBorders>
            <w:noWrap w:val="0"/>
            <w:tcMar>
              <w:top w:w="15" w:type="dxa"/>
              <w:left w:w="15" w:type="dxa"/>
              <w:right w:w="15" w:type="dxa"/>
            </w:tcMar>
            <w:vAlign w:val="center"/>
          </w:tcPr>
          <w:p w14:paraId="666237C8">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34" w:type="pct"/>
            <w:vMerge w:val="continue"/>
            <w:tcBorders>
              <w:tl2br w:val="nil"/>
              <w:tr2bl w:val="nil"/>
            </w:tcBorders>
            <w:noWrap w:val="0"/>
            <w:tcMar>
              <w:top w:w="15" w:type="dxa"/>
              <w:left w:w="15" w:type="dxa"/>
              <w:right w:w="15" w:type="dxa"/>
            </w:tcMar>
            <w:vAlign w:val="center"/>
          </w:tcPr>
          <w:p w14:paraId="4AB45D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647" w:type="pct"/>
            <w:tcBorders>
              <w:tl2br w:val="nil"/>
              <w:tr2bl w:val="nil"/>
            </w:tcBorders>
            <w:noWrap w:val="0"/>
            <w:tcMar>
              <w:top w:w="15" w:type="dxa"/>
              <w:left w:w="15" w:type="dxa"/>
              <w:right w:w="15" w:type="dxa"/>
            </w:tcMar>
            <w:vAlign w:val="center"/>
          </w:tcPr>
          <w:p w14:paraId="1B7E342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年平均</w:t>
            </w:r>
          </w:p>
        </w:tc>
        <w:tc>
          <w:tcPr>
            <w:tcW w:w="1869" w:type="dxa"/>
            <w:tcBorders>
              <w:tl2br w:val="nil"/>
              <w:tr2bl w:val="nil"/>
            </w:tcBorders>
            <w:noWrap/>
            <w:tcMar>
              <w:top w:w="15" w:type="dxa"/>
              <w:left w:w="15" w:type="dxa"/>
              <w:right w:w="15" w:type="dxa"/>
            </w:tcMar>
            <w:vAlign w:val="center"/>
          </w:tcPr>
          <w:p w14:paraId="105E65A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0.13375</w:t>
            </w:r>
          </w:p>
        </w:tc>
        <w:tc>
          <w:tcPr>
            <w:tcW w:w="1239" w:type="dxa"/>
            <w:tcBorders>
              <w:tl2br w:val="nil"/>
              <w:tr2bl w:val="nil"/>
            </w:tcBorders>
            <w:noWrap/>
            <w:tcMar>
              <w:top w:w="15" w:type="dxa"/>
              <w:left w:w="15" w:type="dxa"/>
              <w:right w:w="15" w:type="dxa"/>
            </w:tcMar>
            <w:vAlign w:val="center"/>
          </w:tcPr>
          <w:p w14:paraId="733CA84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平均值</w:t>
            </w:r>
          </w:p>
        </w:tc>
        <w:tc>
          <w:tcPr>
            <w:tcW w:w="1164" w:type="dxa"/>
            <w:tcBorders>
              <w:tl2br w:val="nil"/>
              <w:tr2bl w:val="nil"/>
            </w:tcBorders>
            <w:noWrap/>
            <w:tcMar>
              <w:top w:w="15" w:type="dxa"/>
              <w:left w:w="15" w:type="dxa"/>
              <w:right w:w="15" w:type="dxa"/>
            </w:tcMar>
            <w:vAlign w:val="center"/>
          </w:tcPr>
          <w:p w14:paraId="694DD1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0.07</w:t>
            </w:r>
          </w:p>
        </w:tc>
        <w:tc>
          <w:tcPr>
            <w:tcW w:w="578" w:type="pct"/>
            <w:tcBorders>
              <w:tl2br w:val="nil"/>
              <w:tr2bl w:val="nil"/>
            </w:tcBorders>
            <w:noWrap w:val="0"/>
            <w:tcMar>
              <w:top w:w="15" w:type="dxa"/>
              <w:left w:w="15" w:type="dxa"/>
              <w:right w:w="15" w:type="dxa"/>
            </w:tcMar>
            <w:vAlign w:val="center"/>
          </w:tcPr>
          <w:p w14:paraId="4828AF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2B00871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2" w:type="pct"/>
            <w:vMerge w:val="continue"/>
            <w:tcBorders>
              <w:tl2br w:val="nil"/>
              <w:tr2bl w:val="nil"/>
            </w:tcBorders>
            <w:noWrap w:val="0"/>
            <w:tcMar>
              <w:top w:w="15" w:type="dxa"/>
              <w:left w:w="15" w:type="dxa"/>
              <w:right w:w="15" w:type="dxa"/>
            </w:tcMar>
            <w:vAlign w:val="center"/>
          </w:tcPr>
          <w:p w14:paraId="6DC67E75">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34" w:type="pct"/>
            <w:vMerge w:val="restart"/>
            <w:tcBorders>
              <w:tl2br w:val="nil"/>
              <w:tr2bl w:val="nil"/>
            </w:tcBorders>
            <w:noWrap w:val="0"/>
            <w:tcMar>
              <w:top w:w="15" w:type="dxa"/>
              <w:left w:w="15" w:type="dxa"/>
              <w:right w:w="15" w:type="dxa"/>
            </w:tcMar>
            <w:vAlign w:val="center"/>
          </w:tcPr>
          <w:p w14:paraId="57F1921E">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原热电厂家属区</w:t>
            </w:r>
          </w:p>
        </w:tc>
        <w:tc>
          <w:tcPr>
            <w:tcW w:w="647" w:type="pct"/>
            <w:tcBorders>
              <w:tl2br w:val="nil"/>
              <w:tr2bl w:val="nil"/>
            </w:tcBorders>
            <w:noWrap w:val="0"/>
            <w:tcMar>
              <w:top w:w="15" w:type="dxa"/>
              <w:left w:w="15" w:type="dxa"/>
              <w:right w:w="15" w:type="dxa"/>
            </w:tcMar>
            <w:vAlign w:val="center"/>
          </w:tcPr>
          <w:p w14:paraId="662F526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日平均</w:t>
            </w:r>
          </w:p>
        </w:tc>
        <w:tc>
          <w:tcPr>
            <w:tcW w:w="1869" w:type="dxa"/>
            <w:tcBorders>
              <w:tl2br w:val="nil"/>
              <w:tr2bl w:val="nil"/>
            </w:tcBorders>
            <w:noWrap/>
            <w:tcMar>
              <w:top w:w="15" w:type="dxa"/>
              <w:left w:w="15" w:type="dxa"/>
              <w:right w:w="15" w:type="dxa"/>
            </w:tcMar>
            <w:vAlign w:val="center"/>
          </w:tcPr>
          <w:p w14:paraId="12F4F82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1.673</w:t>
            </w:r>
          </w:p>
        </w:tc>
        <w:tc>
          <w:tcPr>
            <w:tcW w:w="1239" w:type="dxa"/>
            <w:tcBorders>
              <w:tl2br w:val="nil"/>
              <w:tr2bl w:val="nil"/>
            </w:tcBorders>
            <w:noWrap/>
            <w:tcMar>
              <w:top w:w="15" w:type="dxa"/>
              <w:left w:w="15" w:type="dxa"/>
              <w:right w:w="15" w:type="dxa"/>
            </w:tcMar>
            <w:vAlign w:val="center"/>
          </w:tcPr>
          <w:p w14:paraId="03A7F68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240113</w:t>
            </w:r>
          </w:p>
        </w:tc>
        <w:tc>
          <w:tcPr>
            <w:tcW w:w="1164" w:type="dxa"/>
            <w:tcBorders>
              <w:tl2br w:val="nil"/>
              <w:tr2bl w:val="nil"/>
            </w:tcBorders>
            <w:noWrap/>
            <w:tcMar>
              <w:top w:w="15" w:type="dxa"/>
              <w:left w:w="15" w:type="dxa"/>
              <w:right w:w="15" w:type="dxa"/>
            </w:tcMar>
            <w:vAlign w:val="center"/>
          </w:tcPr>
          <w:p w14:paraId="764999E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0.56</w:t>
            </w:r>
          </w:p>
        </w:tc>
        <w:tc>
          <w:tcPr>
            <w:tcW w:w="578" w:type="pct"/>
            <w:tcBorders>
              <w:tl2br w:val="nil"/>
              <w:tr2bl w:val="nil"/>
            </w:tcBorders>
            <w:noWrap w:val="0"/>
            <w:tcMar>
              <w:top w:w="15" w:type="dxa"/>
              <w:left w:w="15" w:type="dxa"/>
              <w:right w:w="15" w:type="dxa"/>
            </w:tcMar>
            <w:vAlign w:val="center"/>
          </w:tcPr>
          <w:p w14:paraId="68F506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6562A2F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2" w:type="pct"/>
            <w:vMerge w:val="continue"/>
            <w:tcBorders>
              <w:tl2br w:val="nil"/>
              <w:tr2bl w:val="nil"/>
            </w:tcBorders>
            <w:noWrap w:val="0"/>
            <w:tcMar>
              <w:top w:w="15" w:type="dxa"/>
              <w:left w:w="15" w:type="dxa"/>
              <w:right w:w="15" w:type="dxa"/>
            </w:tcMar>
            <w:vAlign w:val="center"/>
          </w:tcPr>
          <w:p w14:paraId="2D60717C">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34" w:type="pct"/>
            <w:vMerge w:val="continue"/>
            <w:tcBorders>
              <w:tl2br w:val="nil"/>
              <w:tr2bl w:val="nil"/>
            </w:tcBorders>
            <w:noWrap w:val="0"/>
            <w:tcMar>
              <w:top w:w="15" w:type="dxa"/>
              <w:left w:w="15" w:type="dxa"/>
              <w:right w:w="15" w:type="dxa"/>
            </w:tcMar>
            <w:vAlign w:val="center"/>
          </w:tcPr>
          <w:p w14:paraId="160980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647" w:type="pct"/>
            <w:tcBorders>
              <w:tl2br w:val="nil"/>
              <w:tr2bl w:val="nil"/>
            </w:tcBorders>
            <w:noWrap w:val="0"/>
            <w:tcMar>
              <w:top w:w="15" w:type="dxa"/>
              <w:left w:w="15" w:type="dxa"/>
              <w:right w:w="15" w:type="dxa"/>
            </w:tcMar>
            <w:vAlign w:val="center"/>
          </w:tcPr>
          <w:p w14:paraId="16F6BD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年平均</w:t>
            </w:r>
          </w:p>
        </w:tc>
        <w:tc>
          <w:tcPr>
            <w:tcW w:w="1869" w:type="dxa"/>
            <w:tcBorders>
              <w:tl2br w:val="nil"/>
              <w:tr2bl w:val="nil"/>
            </w:tcBorders>
            <w:noWrap/>
            <w:tcMar>
              <w:top w:w="15" w:type="dxa"/>
              <w:left w:w="15" w:type="dxa"/>
              <w:right w:w="15" w:type="dxa"/>
            </w:tcMar>
            <w:vAlign w:val="center"/>
          </w:tcPr>
          <w:p w14:paraId="79CFF1E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0.03796</w:t>
            </w:r>
          </w:p>
        </w:tc>
        <w:tc>
          <w:tcPr>
            <w:tcW w:w="1239" w:type="dxa"/>
            <w:tcBorders>
              <w:tl2br w:val="nil"/>
              <w:tr2bl w:val="nil"/>
            </w:tcBorders>
            <w:noWrap/>
            <w:tcMar>
              <w:top w:w="15" w:type="dxa"/>
              <w:left w:w="15" w:type="dxa"/>
              <w:right w:w="15" w:type="dxa"/>
            </w:tcMar>
            <w:vAlign w:val="center"/>
          </w:tcPr>
          <w:p w14:paraId="37DCD8E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平均值</w:t>
            </w:r>
          </w:p>
        </w:tc>
        <w:tc>
          <w:tcPr>
            <w:tcW w:w="1164" w:type="dxa"/>
            <w:tcBorders>
              <w:tl2br w:val="nil"/>
              <w:tr2bl w:val="nil"/>
            </w:tcBorders>
            <w:noWrap/>
            <w:tcMar>
              <w:top w:w="15" w:type="dxa"/>
              <w:left w:w="15" w:type="dxa"/>
              <w:right w:w="15" w:type="dxa"/>
            </w:tcMar>
            <w:vAlign w:val="center"/>
          </w:tcPr>
          <w:p w14:paraId="55A9492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0.02</w:t>
            </w:r>
          </w:p>
        </w:tc>
        <w:tc>
          <w:tcPr>
            <w:tcW w:w="578" w:type="pct"/>
            <w:tcBorders>
              <w:tl2br w:val="nil"/>
              <w:tr2bl w:val="nil"/>
            </w:tcBorders>
            <w:noWrap w:val="0"/>
            <w:tcMar>
              <w:top w:w="15" w:type="dxa"/>
              <w:left w:w="15" w:type="dxa"/>
              <w:right w:w="15" w:type="dxa"/>
            </w:tcMar>
            <w:vAlign w:val="center"/>
          </w:tcPr>
          <w:p w14:paraId="48600B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418C9D0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2" w:type="pct"/>
            <w:vMerge w:val="continue"/>
            <w:tcBorders>
              <w:tl2br w:val="nil"/>
              <w:tr2bl w:val="nil"/>
            </w:tcBorders>
            <w:noWrap w:val="0"/>
            <w:tcMar>
              <w:top w:w="15" w:type="dxa"/>
              <w:left w:w="15" w:type="dxa"/>
              <w:right w:w="15" w:type="dxa"/>
            </w:tcMar>
            <w:vAlign w:val="center"/>
          </w:tcPr>
          <w:p w14:paraId="2F909AAA">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34" w:type="pct"/>
            <w:vMerge w:val="restart"/>
            <w:tcBorders>
              <w:tl2br w:val="nil"/>
              <w:tr2bl w:val="nil"/>
            </w:tcBorders>
            <w:noWrap w:val="0"/>
            <w:tcMar>
              <w:top w:w="15" w:type="dxa"/>
              <w:left w:w="15" w:type="dxa"/>
              <w:right w:w="15" w:type="dxa"/>
            </w:tcMar>
            <w:vAlign w:val="center"/>
          </w:tcPr>
          <w:p w14:paraId="2E341B30">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黑锻新城小区</w:t>
            </w:r>
          </w:p>
        </w:tc>
        <w:tc>
          <w:tcPr>
            <w:tcW w:w="647" w:type="pct"/>
            <w:tcBorders>
              <w:tl2br w:val="nil"/>
              <w:tr2bl w:val="nil"/>
            </w:tcBorders>
            <w:noWrap w:val="0"/>
            <w:tcMar>
              <w:top w:w="15" w:type="dxa"/>
              <w:left w:w="15" w:type="dxa"/>
              <w:right w:w="15" w:type="dxa"/>
            </w:tcMar>
            <w:vAlign w:val="center"/>
          </w:tcPr>
          <w:p w14:paraId="7F031BE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日平均</w:t>
            </w:r>
          </w:p>
        </w:tc>
        <w:tc>
          <w:tcPr>
            <w:tcW w:w="1869" w:type="dxa"/>
            <w:tcBorders>
              <w:tl2br w:val="nil"/>
              <w:tr2bl w:val="nil"/>
            </w:tcBorders>
            <w:noWrap/>
            <w:tcMar>
              <w:top w:w="15" w:type="dxa"/>
              <w:left w:w="15" w:type="dxa"/>
              <w:right w:w="15" w:type="dxa"/>
            </w:tcMar>
            <w:vAlign w:val="center"/>
          </w:tcPr>
          <w:p w14:paraId="2CB2934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0.46466</w:t>
            </w:r>
          </w:p>
        </w:tc>
        <w:tc>
          <w:tcPr>
            <w:tcW w:w="1239" w:type="dxa"/>
            <w:tcBorders>
              <w:tl2br w:val="nil"/>
              <w:tr2bl w:val="nil"/>
            </w:tcBorders>
            <w:noWrap/>
            <w:tcMar>
              <w:top w:w="15" w:type="dxa"/>
              <w:left w:w="15" w:type="dxa"/>
              <w:right w:w="15" w:type="dxa"/>
            </w:tcMar>
            <w:vAlign w:val="center"/>
          </w:tcPr>
          <w:p w14:paraId="0285B4F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240228</w:t>
            </w:r>
          </w:p>
        </w:tc>
        <w:tc>
          <w:tcPr>
            <w:tcW w:w="1164" w:type="dxa"/>
            <w:tcBorders>
              <w:tl2br w:val="nil"/>
              <w:tr2bl w:val="nil"/>
            </w:tcBorders>
            <w:noWrap/>
            <w:tcMar>
              <w:top w:w="15" w:type="dxa"/>
              <w:left w:w="15" w:type="dxa"/>
              <w:right w:w="15" w:type="dxa"/>
            </w:tcMar>
            <w:vAlign w:val="center"/>
          </w:tcPr>
          <w:p w14:paraId="206CD5C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0.15</w:t>
            </w:r>
          </w:p>
        </w:tc>
        <w:tc>
          <w:tcPr>
            <w:tcW w:w="578" w:type="pct"/>
            <w:tcBorders>
              <w:tl2br w:val="nil"/>
              <w:tr2bl w:val="nil"/>
            </w:tcBorders>
            <w:noWrap w:val="0"/>
            <w:tcMar>
              <w:top w:w="15" w:type="dxa"/>
              <w:left w:w="15" w:type="dxa"/>
              <w:right w:w="15" w:type="dxa"/>
            </w:tcMar>
            <w:vAlign w:val="center"/>
          </w:tcPr>
          <w:p w14:paraId="5448D9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438FC6C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2" w:type="pct"/>
            <w:vMerge w:val="continue"/>
            <w:tcBorders>
              <w:tl2br w:val="nil"/>
              <w:tr2bl w:val="nil"/>
            </w:tcBorders>
            <w:noWrap w:val="0"/>
            <w:tcMar>
              <w:top w:w="15" w:type="dxa"/>
              <w:left w:w="15" w:type="dxa"/>
              <w:right w:w="15" w:type="dxa"/>
            </w:tcMar>
            <w:vAlign w:val="center"/>
          </w:tcPr>
          <w:p w14:paraId="39591A50">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34" w:type="pct"/>
            <w:vMerge w:val="continue"/>
            <w:tcBorders>
              <w:tl2br w:val="nil"/>
              <w:tr2bl w:val="nil"/>
            </w:tcBorders>
            <w:noWrap w:val="0"/>
            <w:tcMar>
              <w:top w:w="15" w:type="dxa"/>
              <w:left w:w="15" w:type="dxa"/>
              <w:right w:w="15" w:type="dxa"/>
            </w:tcMar>
            <w:vAlign w:val="center"/>
          </w:tcPr>
          <w:p w14:paraId="3A1B51E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647" w:type="pct"/>
            <w:tcBorders>
              <w:tl2br w:val="nil"/>
              <w:tr2bl w:val="nil"/>
            </w:tcBorders>
            <w:noWrap w:val="0"/>
            <w:tcMar>
              <w:top w:w="15" w:type="dxa"/>
              <w:left w:w="15" w:type="dxa"/>
              <w:right w:w="15" w:type="dxa"/>
            </w:tcMar>
            <w:vAlign w:val="center"/>
          </w:tcPr>
          <w:p w14:paraId="280B901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年平均</w:t>
            </w:r>
          </w:p>
        </w:tc>
        <w:tc>
          <w:tcPr>
            <w:tcW w:w="1869" w:type="dxa"/>
            <w:tcBorders>
              <w:tl2br w:val="nil"/>
              <w:tr2bl w:val="nil"/>
            </w:tcBorders>
            <w:noWrap/>
            <w:tcMar>
              <w:top w:w="15" w:type="dxa"/>
              <w:left w:w="15" w:type="dxa"/>
              <w:right w:w="15" w:type="dxa"/>
            </w:tcMar>
            <w:vAlign w:val="center"/>
          </w:tcPr>
          <w:p w14:paraId="1417584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0.01146</w:t>
            </w:r>
          </w:p>
        </w:tc>
        <w:tc>
          <w:tcPr>
            <w:tcW w:w="1239" w:type="dxa"/>
            <w:tcBorders>
              <w:tl2br w:val="nil"/>
              <w:tr2bl w:val="nil"/>
            </w:tcBorders>
            <w:noWrap/>
            <w:tcMar>
              <w:top w:w="15" w:type="dxa"/>
              <w:left w:w="15" w:type="dxa"/>
              <w:right w:w="15" w:type="dxa"/>
            </w:tcMar>
            <w:vAlign w:val="center"/>
          </w:tcPr>
          <w:p w14:paraId="25C0066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平均值</w:t>
            </w:r>
          </w:p>
        </w:tc>
        <w:tc>
          <w:tcPr>
            <w:tcW w:w="1164" w:type="dxa"/>
            <w:tcBorders>
              <w:tl2br w:val="nil"/>
              <w:tr2bl w:val="nil"/>
            </w:tcBorders>
            <w:noWrap/>
            <w:tcMar>
              <w:top w:w="15" w:type="dxa"/>
              <w:left w:w="15" w:type="dxa"/>
              <w:right w:w="15" w:type="dxa"/>
            </w:tcMar>
            <w:vAlign w:val="center"/>
          </w:tcPr>
          <w:p w14:paraId="485D597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0.01</w:t>
            </w:r>
          </w:p>
        </w:tc>
        <w:tc>
          <w:tcPr>
            <w:tcW w:w="578" w:type="pct"/>
            <w:tcBorders>
              <w:tl2br w:val="nil"/>
              <w:tr2bl w:val="nil"/>
            </w:tcBorders>
            <w:noWrap w:val="0"/>
            <w:tcMar>
              <w:top w:w="15" w:type="dxa"/>
              <w:left w:w="15" w:type="dxa"/>
              <w:right w:w="15" w:type="dxa"/>
            </w:tcMar>
            <w:vAlign w:val="center"/>
          </w:tcPr>
          <w:p w14:paraId="3D9481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49AD01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2" w:type="pct"/>
            <w:vMerge w:val="continue"/>
            <w:tcBorders>
              <w:tl2br w:val="nil"/>
              <w:tr2bl w:val="nil"/>
            </w:tcBorders>
            <w:noWrap w:val="0"/>
            <w:tcMar>
              <w:top w:w="15" w:type="dxa"/>
              <w:left w:w="15" w:type="dxa"/>
              <w:right w:w="15" w:type="dxa"/>
            </w:tcMar>
            <w:vAlign w:val="center"/>
          </w:tcPr>
          <w:p w14:paraId="3D66DD9E">
            <w:pPr>
              <w:pStyle w:val="3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color w:val="FF0000"/>
                <w:sz w:val="21"/>
                <w:szCs w:val="21"/>
                <w:highlight w:val="none"/>
              </w:rPr>
            </w:pPr>
          </w:p>
        </w:tc>
        <w:tc>
          <w:tcPr>
            <w:tcW w:w="734" w:type="pct"/>
            <w:vMerge w:val="restart"/>
            <w:tcBorders>
              <w:tl2br w:val="nil"/>
              <w:tr2bl w:val="nil"/>
            </w:tcBorders>
            <w:noWrap w:val="0"/>
            <w:tcMar>
              <w:top w:w="15" w:type="dxa"/>
              <w:left w:w="15" w:type="dxa"/>
              <w:right w:w="15" w:type="dxa"/>
            </w:tcMar>
            <w:vAlign w:val="center"/>
          </w:tcPr>
          <w:p w14:paraId="60CA958D">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东侧市区（绿云社区）</w:t>
            </w:r>
          </w:p>
        </w:tc>
        <w:tc>
          <w:tcPr>
            <w:tcW w:w="647" w:type="pct"/>
            <w:tcBorders>
              <w:tl2br w:val="nil"/>
              <w:tr2bl w:val="nil"/>
            </w:tcBorders>
            <w:noWrap w:val="0"/>
            <w:tcMar>
              <w:top w:w="15" w:type="dxa"/>
              <w:left w:w="15" w:type="dxa"/>
              <w:right w:w="15" w:type="dxa"/>
            </w:tcMar>
            <w:vAlign w:val="center"/>
          </w:tcPr>
          <w:p w14:paraId="5864F32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日平均</w:t>
            </w:r>
          </w:p>
        </w:tc>
        <w:tc>
          <w:tcPr>
            <w:tcW w:w="1869" w:type="dxa"/>
            <w:tcBorders>
              <w:tl2br w:val="nil"/>
              <w:tr2bl w:val="nil"/>
            </w:tcBorders>
            <w:noWrap/>
            <w:tcMar>
              <w:top w:w="15" w:type="dxa"/>
              <w:left w:w="15" w:type="dxa"/>
              <w:right w:w="15" w:type="dxa"/>
            </w:tcMar>
            <w:vAlign w:val="center"/>
          </w:tcPr>
          <w:p w14:paraId="1F3DC6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0.58809</w:t>
            </w:r>
          </w:p>
        </w:tc>
        <w:tc>
          <w:tcPr>
            <w:tcW w:w="1239" w:type="dxa"/>
            <w:tcBorders>
              <w:tl2br w:val="nil"/>
              <w:tr2bl w:val="nil"/>
            </w:tcBorders>
            <w:noWrap/>
            <w:tcMar>
              <w:top w:w="15" w:type="dxa"/>
              <w:left w:w="15" w:type="dxa"/>
              <w:right w:w="15" w:type="dxa"/>
            </w:tcMar>
            <w:vAlign w:val="center"/>
          </w:tcPr>
          <w:p w14:paraId="447778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240225</w:t>
            </w:r>
          </w:p>
        </w:tc>
        <w:tc>
          <w:tcPr>
            <w:tcW w:w="1164" w:type="dxa"/>
            <w:tcBorders>
              <w:tl2br w:val="nil"/>
              <w:tr2bl w:val="nil"/>
            </w:tcBorders>
            <w:noWrap/>
            <w:tcMar>
              <w:top w:w="15" w:type="dxa"/>
              <w:left w:w="15" w:type="dxa"/>
              <w:right w:w="15" w:type="dxa"/>
            </w:tcMar>
            <w:vAlign w:val="center"/>
          </w:tcPr>
          <w:p w14:paraId="672A8AE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0.20</w:t>
            </w:r>
          </w:p>
        </w:tc>
        <w:tc>
          <w:tcPr>
            <w:tcW w:w="578" w:type="pct"/>
            <w:tcBorders>
              <w:tl2br w:val="nil"/>
              <w:tr2bl w:val="nil"/>
            </w:tcBorders>
            <w:noWrap w:val="0"/>
            <w:tcMar>
              <w:top w:w="15" w:type="dxa"/>
              <w:left w:w="15" w:type="dxa"/>
              <w:right w:w="15" w:type="dxa"/>
            </w:tcMar>
            <w:vAlign w:val="center"/>
          </w:tcPr>
          <w:p w14:paraId="3CA2AF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46FB836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2" w:type="pct"/>
            <w:vMerge w:val="continue"/>
            <w:tcBorders>
              <w:tl2br w:val="nil"/>
              <w:tr2bl w:val="nil"/>
            </w:tcBorders>
            <w:noWrap w:val="0"/>
            <w:tcMar>
              <w:top w:w="15" w:type="dxa"/>
              <w:left w:w="15" w:type="dxa"/>
              <w:right w:w="15" w:type="dxa"/>
            </w:tcMar>
            <w:vAlign w:val="center"/>
          </w:tcPr>
          <w:p w14:paraId="0284540B">
            <w:pPr>
              <w:pStyle w:val="3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color w:val="FF0000"/>
                <w:sz w:val="21"/>
                <w:szCs w:val="21"/>
                <w:highlight w:val="none"/>
              </w:rPr>
            </w:pPr>
          </w:p>
        </w:tc>
        <w:tc>
          <w:tcPr>
            <w:tcW w:w="734" w:type="pct"/>
            <w:vMerge w:val="continue"/>
            <w:tcBorders>
              <w:tl2br w:val="nil"/>
              <w:tr2bl w:val="nil"/>
            </w:tcBorders>
            <w:noWrap w:val="0"/>
            <w:tcMar>
              <w:top w:w="15" w:type="dxa"/>
              <w:left w:w="15" w:type="dxa"/>
              <w:right w:w="15" w:type="dxa"/>
            </w:tcMar>
            <w:vAlign w:val="center"/>
          </w:tcPr>
          <w:p w14:paraId="7A92C7F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647" w:type="pct"/>
            <w:tcBorders>
              <w:tl2br w:val="nil"/>
              <w:tr2bl w:val="nil"/>
            </w:tcBorders>
            <w:noWrap w:val="0"/>
            <w:tcMar>
              <w:top w:w="15" w:type="dxa"/>
              <w:left w:w="15" w:type="dxa"/>
              <w:right w:w="15" w:type="dxa"/>
            </w:tcMar>
            <w:vAlign w:val="center"/>
          </w:tcPr>
          <w:p w14:paraId="494474C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年平均</w:t>
            </w:r>
          </w:p>
        </w:tc>
        <w:tc>
          <w:tcPr>
            <w:tcW w:w="1869" w:type="dxa"/>
            <w:tcBorders>
              <w:tl2br w:val="nil"/>
              <w:tr2bl w:val="nil"/>
            </w:tcBorders>
            <w:noWrap/>
            <w:tcMar>
              <w:top w:w="15" w:type="dxa"/>
              <w:left w:w="15" w:type="dxa"/>
              <w:right w:w="15" w:type="dxa"/>
            </w:tcMar>
            <w:vAlign w:val="center"/>
          </w:tcPr>
          <w:p w14:paraId="7426FA8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0.03361</w:t>
            </w:r>
          </w:p>
        </w:tc>
        <w:tc>
          <w:tcPr>
            <w:tcW w:w="1239" w:type="dxa"/>
            <w:tcBorders>
              <w:tl2br w:val="nil"/>
              <w:tr2bl w:val="nil"/>
            </w:tcBorders>
            <w:noWrap/>
            <w:tcMar>
              <w:top w:w="15" w:type="dxa"/>
              <w:left w:w="15" w:type="dxa"/>
              <w:right w:w="15" w:type="dxa"/>
            </w:tcMar>
            <w:vAlign w:val="center"/>
          </w:tcPr>
          <w:p w14:paraId="05A2C8F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平均值</w:t>
            </w:r>
          </w:p>
        </w:tc>
        <w:tc>
          <w:tcPr>
            <w:tcW w:w="1164" w:type="dxa"/>
            <w:tcBorders>
              <w:tl2br w:val="nil"/>
              <w:tr2bl w:val="nil"/>
            </w:tcBorders>
            <w:noWrap/>
            <w:tcMar>
              <w:top w:w="15" w:type="dxa"/>
              <w:left w:w="15" w:type="dxa"/>
              <w:right w:w="15" w:type="dxa"/>
            </w:tcMar>
            <w:vAlign w:val="center"/>
          </w:tcPr>
          <w:p w14:paraId="739CC91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0.02</w:t>
            </w:r>
          </w:p>
        </w:tc>
        <w:tc>
          <w:tcPr>
            <w:tcW w:w="578" w:type="pct"/>
            <w:tcBorders>
              <w:tl2br w:val="nil"/>
              <w:tr2bl w:val="nil"/>
            </w:tcBorders>
            <w:noWrap w:val="0"/>
            <w:tcMar>
              <w:top w:w="15" w:type="dxa"/>
              <w:left w:w="15" w:type="dxa"/>
              <w:right w:w="15" w:type="dxa"/>
            </w:tcMar>
            <w:vAlign w:val="center"/>
          </w:tcPr>
          <w:p w14:paraId="0987DE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4D68D06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2" w:type="pct"/>
            <w:vMerge w:val="continue"/>
            <w:tcBorders>
              <w:tl2br w:val="nil"/>
              <w:tr2bl w:val="nil"/>
            </w:tcBorders>
            <w:noWrap w:val="0"/>
            <w:tcMar>
              <w:top w:w="15" w:type="dxa"/>
              <w:left w:w="15" w:type="dxa"/>
              <w:right w:w="15" w:type="dxa"/>
            </w:tcMar>
            <w:vAlign w:val="center"/>
          </w:tcPr>
          <w:p w14:paraId="56FDCA9D">
            <w:pPr>
              <w:pStyle w:val="3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color w:val="FF0000"/>
                <w:sz w:val="21"/>
                <w:szCs w:val="21"/>
                <w:highlight w:val="none"/>
              </w:rPr>
            </w:pPr>
          </w:p>
        </w:tc>
        <w:tc>
          <w:tcPr>
            <w:tcW w:w="734" w:type="pct"/>
            <w:vMerge w:val="restart"/>
            <w:tcBorders>
              <w:tl2br w:val="nil"/>
              <w:tr2bl w:val="nil"/>
            </w:tcBorders>
            <w:noWrap w:val="0"/>
            <w:tcMar>
              <w:top w:w="15" w:type="dxa"/>
              <w:left w:w="15" w:type="dxa"/>
              <w:right w:w="15" w:type="dxa"/>
            </w:tcMar>
            <w:vAlign w:val="center"/>
          </w:tcPr>
          <w:p w14:paraId="0E76B551">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南侧市区（佳木斯市第十六中学）</w:t>
            </w:r>
          </w:p>
        </w:tc>
        <w:tc>
          <w:tcPr>
            <w:tcW w:w="647" w:type="pct"/>
            <w:tcBorders>
              <w:tl2br w:val="nil"/>
              <w:tr2bl w:val="nil"/>
            </w:tcBorders>
            <w:noWrap w:val="0"/>
            <w:tcMar>
              <w:top w:w="15" w:type="dxa"/>
              <w:left w:w="15" w:type="dxa"/>
              <w:right w:w="15" w:type="dxa"/>
            </w:tcMar>
            <w:vAlign w:val="center"/>
          </w:tcPr>
          <w:p w14:paraId="2010FB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日平均</w:t>
            </w:r>
          </w:p>
        </w:tc>
        <w:tc>
          <w:tcPr>
            <w:tcW w:w="1869" w:type="dxa"/>
            <w:tcBorders>
              <w:tl2br w:val="nil"/>
              <w:tr2bl w:val="nil"/>
            </w:tcBorders>
            <w:noWrap/>
            <w:tcMar>
              <w:top w:w="15" w:type="dxa"/>
              <w:left w:w="15" w:type="dxa"/>
              <w:right w:w="15" w:type="dxa"/>
            </w:tcMar>
            <w:vAlign w:val="center"/>
          </w:tcPr>
          <w:p w14:paraId="4E89DE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0.43967</w:t>
            </w:r>
          </w:p>
        </w:tc>
        <w:tc>
          <w:tcPr>
            <w:tcW w:w="1239" w:type="dxa"/>
            <w:tcBorders>
              <w:tl2br w:val="nil"/>
              <w:tr2bl w:val="nil"/>
            </w:tcBorders>
            <w:noWrap/>
            <w:tcMar>
              <w:top w:w="15" w:type="dxa"/>
              <w:left w:w="15" w:type="dxa"/>
              <w:right w:w="15" w:type="dxa"/>
            </w:tcMar>
            <w:vAlign w:val="center"/>
          </w:tcPr>
          <w:p w14:paraId="00E339D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241230</w:t>
            </w:r>
          </w:p>
        </w:tc>
        <w:tc>
          <w:tcPr>
            <w:tcW w:w="1164" w:type="dxa"/>
            <w:tcBorders>
              <w:tl2br w:val="nil"/>
              <w:tr2bl w:val="nil"/>
            </w:tcBorders>
            <w:noWrap/>
            <w:tcMar>
              <w:top w:w="15" w:type="dxa"/>
              <w:left w:w="15" w:type="dxa"/>
              <w:right w:w="15" w:type="dxa"/>
            </w:tcMar>
            <w:vAlign w:val="center"/>
          </w:tcPr>
          <w:p w14:paraId="7DFAA37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0.15</w:t>
            </w:r>
          </w:p>
        </w:tc>
        <w:tc>
          <w:tcPr>
            <w:tcW w:w="578" w:type="pct"/>
            <w:tcBorders>
              <w:tl2br w:val="nil"/>
              <w:tr2bl w:val="nil"/>
            </w:tcBorders>
            <w:noWrap w:val="0"/>
            <w:tcMar>
              <w:top w:w="15" w:type="dxa"/>
              <w:left w:w="15" w:type="dxa"/>
              <w:right w:w="15" w:type="dxa"/>
            </w:tcMar>
            <w:vAlign w:val="center"/>
          </w:tcPr>
          <w:p w14:paraId="5DD6DE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13234F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2" w:type="pct"/>
            <w:vMerge w:val="continue"/>
            <w:tcBorders>
              <w:tl2br w:val="nil"/>
              <w:tr2bl w:val="nil"/>
            </w:tcBorders>
            <w:noWrap w:val="0"/>
            <w:tcMar>
              <w:top w:w="15" w:type="dxa"/>
              <w:left w:w="15" w:type="dxa"/>
              <w:right w:w="15" w:type="dxa"/>
            </w:tcMar>
            <w:vAlign w:val="center"/>
          </w:tcPr>
          <w:p w14:paraId="131027E7">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34" w:type="pct"/>
            <w:vMerge w:val="continue"/>
            <w:tcBorders>
              <w:tl2br w:val="nil"/>
              <w:tr2bl w:val="nil"/>
            </w:tcBorders>
            <w:noWrap w:val="0"/>
            <w:tcMar>
              <w:top w:w="15" w:type="dxa"/>
              <w:left w:w="15" w:type="dxa"/>
              <w:right w:w="15" w:type="dxa"/>
            </w:tcMar>
            <w:vAlign w:val="center"/>
          </w:tcPr>
          <w:p w14:paraId="535FB3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647" w:type="pct"/>
            <w:tcBorders>
              <w:tl2br w:val="nil"/>
              <w:tr2bl w:val="nil"/>
            </w:tcBorders>
            <w:noWrap w:val="0"/>
            <w:tcMar>
              <w:top w:w="15" w:type="dxa"/>
              <w:left w:w="15" w:type="dxa"/>
              <w:right w:w="15" w:type="dxa"/>
            </w:tcMar>
            <w:vAlign w:val="center"/>
          </w:tcPr>
          <w:p w14:paraId="05F952C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年平均</w:t>
            </w:r>
          </w:p>
        </w:tc>
        <w:tc>
          <w:tcPr>
            <w:tcW w:w="1869" w:type="dxa"/>
            <w:tcBorders>
              <w:tl2br w:val="nil"/>
              <w:tr2bl w:val="nil"/>
            </w:tcBorders>
            <w:noWrap/>
            <w:tcMar>
              <w:top w:w="15" w:type="dxa"/>
              <w:left w:w="15" w:type="dxa"/>
              <w:right w:w="15" w:type="dxa"/>
            </w:tcMar>
            <w:vAlign w:val="center"/>
          </w:tcPr>
          <w:p w14:paraId="6FA8B47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0.00983</w:t>
            </w:r>
          </w:p>
        </w:tc>
        <w:tc>
          <w:tcPr>
            <w:tcW w:w="1239" w:type="dxa"/>
            <w:tcBorders>
              <w:tl2br w:val="nil"/>
              <w:tr2bl w:val="nil"/>
            </w:tcBorders>
            <w:noWrap/>
            <w:tcMar>
              <w:top w:w="15" w:type="dxa"/>
              <w:left w:w="15" w:type="dxa"/>
              <w:right w:w="15" w:type="dxa"/>
            </w:tcMar>
            <w:vAlign w:val="center"/>
          </w:tcPr>
          <w:p w14:paraId="77D5D73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平均值</w:t>
            </w:r>
          </w:p>
        </w:tc>
        <w:tc>
          <w:tcPr>
            <w:tcW w:w="1164" w:type="dxa"/>
            <w:tcBorders>
              <w:tl2br w:val="nil"/>
              <w:tr2bl w:val="nil"/>
            </w:tcBorders>
            <w:noWrap/>
            <w:tcMar>
              <w:top w:w="15" w:type="dxa"/>
              <w:left w:w="15" w:type="dxa"/>
              <w:right w:w="15" w:type="dxa"/>
            </w:tcMar>
            <w:vAlign w:val="center"/>
          </w:tcPr>
          <w:p w14:paraId="5556C86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w:t>
            </w:r>
          </w:p>
        </w:tc>
        <w:tc>
          <w:tcPr>
            <w:tcW w:w="578" w:type="pct"/>
            <w:tcBorders>
              <w:tl2br w:val="nil"/>
              <w:tr2bl w:val="nil"/>
            </w:tcBorders>
            <w:noWrap w:val="0"/>
            <w:tcMar>
              <w:top w:w="15" w:type="dxa"/>
              <w:left w:w="15" w:type="dxa"/>
              <w:right w:w="15" w:type="dxa"/>
            </w:tcMar>
            <w:vAlign w:val="center"/>
          </w:tcPr>
          <w:p w14:paraId="110AB8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643FF31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2" w:type="pct"/>
            <w:vMerge w:val="continue"/>
            <w:tcBorders>
              <w:tl2br w:val="nil"/>
              <w:tr2bl w:val="nil"/>
            </w:tcBorders>
            <w:noWrap w:val="0"/>
            <w:tcMar>
              <w:top w:w="15" w:type="dxa"/>
              <w:left w:w="15" w:type="dxa"/>
              <w:right w:w="15" w:type="dxa"/>
            </w:tcMar>
            <w:vAlign w:val="center"/>
          </w:tcPr>
          <w:p w14:paraId="3E4508B0">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34" w:type="pct"/>
            <w:vMerge w:val="restart"/>
            <w:tcBorders>
              <w:tl2br w:val="nil"/>
              <w:tr2bl w:val="nil"/>
            </w:tcBorders>
            <w:noWrap w:val="0"/>
            <w:tcMar>
              <w:top w:w="15" w:type="dxa"/>
              <w:left w:w="15" w:type="dxa"/>
              <w:right w:w="15" w:type="dxa"/>
            </w:tcMar>
            <w:vAlign w:val="center"/>
          </w:tcPr>
          <w:p w14:paraId="511DE4A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区域最大落地浓度</w:t>
            </w:r>
          </w:p>
        </w:tc>
        <w:tc>
          <w:tcPr>
            <w:tcW w:w="647" w:type="pct"/>
            <w:tcBorders>
              <w:tl2br w:val="nil"/>
              <w:tr2bl w:val="nil"/>
            </w:tcBorders>
            <w:noWrap w:val="0"/>
            <w:tcMar>
              <w:top w:w="15" w:type="dxa"/>
              <w:left w:w="15" w:type="dxa"/>
              <w:right w:w="15" w:type="dxa"/>
            </w:tcMar>
            <w:vAlign w:val="center"/>
          </w:tcPr>
          <w:p w14:paraId="1D18DEF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日平均</w:t>
            </w:r>
          </w:p>
        </w:tc>
        <w:tc>
          <w:tcPr>
            <w:tcW w:w="1869" w:type="dxa"/>
            <w:tcBorders>
              <w:tl2br w:val="nil"/>
              <w:tr2bl w:val="nil"/>
            </w:tcBorders>
            <w:noWrap/>
            <w:tcMar>
              <w:top w:w="15" w:type="dxa"/>
              <w:left w:w="15" w:type="dxa"/>
              <w:right w:w="15" w:type="dxa"/>
            </w:tcMar>
            <w:vAlign w:val="center"/>
          </w:tcPr>
          <w:p w14:paraId="6CD6257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13.18095</w:t>
            </w:r>
          </w:p>
        </w:tc>
        <w:tc>
          <w:tcPr>
            <w:tcW w:w="1239" w:type="dxa"/>
            <w:tcBorders>
              <w:tl2br w:val="nil"/>
              <w:tr2bl w:val="nil"/>
            </w:tcBorders>
            <w:noWrap/>
            <w:tcMar>
              <w:top w:w="15" w:type="dxa"/>
              <w:left w:w="15" w:type="dxa"/>
              <w:right w:w="15" w:type="dxa"/>
            </w:tcMar>
            <w:vAlign w:val="center"/>
          </w:tcPr>
          <w:p w14:paraId="5625FF9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240124</w:t>
            </w:r>
          </w:p>
        </w:tc>
        <w:tc>
          <w:tcPr>
            <w:tcW w:w="1164" w:type="dxa"/>
            <w:tcBorders>
              <w:tl2br w:val="nil"/>
              <w:tr2bl w:val="nil"/>
            </w:tcBorders>
            <w:noWrap/>
            <w:tcMar>
              <w:top w:w="15" w:type="dxa"/>
              <w:left w:w="15" w:type="dxa"/>
              <w:right w:w="15" w:type="dxa"/>
            </w:tcMar>
            <w:vAlign w:val="center"/>
          </w:tcPr>
          <w:p w14:paraId="0265571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4.39</w:t>
            </w:r>
          </w:p>
        </w:tc>
        <w:tc>
          <w:tcPr>
            <w:tcW w:w="578" w:type="pct"/>
            <w:tcBorders>
              <w:tl2br w:val="nil"/>
              <w:tr2bl w:val="nil"/>
            </w:tcBorders>
            <w:noWrap w:val="0"/>
            <w:tcMar>
              <w:top w:w="15" w:type="dxa"/>
              <w:left w:w="15" w:type="dxa"/>
              <w:right w:w="15" w:type="dxa"/>
            </w:tcMar>
            <w:vAlign w:val="center"/>
          </w:tcPr>
          <w:p w14:paraId="1AA96E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135C58A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2" w:type="pct"/>
            <w:vMerge w:val="continue"/>
            <w:tcBorders>
              <w:tl2br w:val="nil"/>
              <w:tr2bl w:val="nil"/>
            </w:tcBorders>
            <w:noWrap w:val="0"/>
            <w:tcMar>
              <w:top w:w="15" w:type="dxa"/>
              <w:left w:w="15" w:type="dxa"/>
              <w:right w:w="15" w:type="dxa"/>
            </w:tcMar>
            <w:vAlign w:val="center"/>
          </w:tcPr>
          <w:p w14:paraId="1D0A056F">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i w:val="0"/>
                <w:color w:val="FF0000"/>
                <w:sz w:val="21"/>
                <w:szCs w:val="21"/>
                <w:highlight w:val="none"/>
                <w:u w:val="none"/>
              </w:rPr>
            </w:pPr>
          </w:p>
        </w:tc>
        <w:tc>
          <w:tcPr>
            <w:tcW w:w="734" w:type="pct"/>
            <w:vMerge w:val="continue"/>
            <w:tcBorders>
              <w:tl2br w:val="nil"/>
              <w:tr2bl w:val="nil"/>
            </w:tcBorders>
            <w:noWrap w:val="0"/>
            <w:tcMar>
              <w:top w:w="15" w:type="dxa"/>
              <w:left w:w="15" w:type="dxa"/>
              <w:right w:w="15" w:type="dxa"/>
            </w:tcMar>
            <w:vAlign w:val="center"/>
          </w:tcPr>
          <w:p w14:paraId="6F27A7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647" w:type="pct"/>
            <w:tcBorders>
              <w:tl2br w:val="nil"/>
              <w:tr2bl w:val="nil"/>
            </w:tcBorders>
            <w:noWrap w:val="0"/>
            <w:tcMar>
              <w:top w:w="15" w:type="dxa"/>
              <w:left w:w="15" w:type="dxa"/>
              <w:right w:w="15" w:type="dxa"/>
            </w:tcMar>
            <w:vAlign w:val="center"/>
          </w:tcPr>
          <w:p w14:paraId="6D88B57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年平均</w:t>
            </w:r>
          </w:p>
        </w:tc>
        <w:tc>
          <w:tcPr>
            <w:tcW w:w="1869" w:type="dxa"/>
            <w:tcBorders>
              <w:tl2br w:val="nil"/>
              <w:tr2bl w:val="nil"/>
            </w:tcBorders>
            <w:noWrap/>
            <w:tcMar>
              <w:top w:w="15" w:type="dxa"/>
              <w:left w:w="15" w:type="dxa"/>
              <w:right w:w="15" w:type="dxa"/>
            </w:tcMar>
            <w:vAlign w:val="center"/>
          </w:tcPr>
          <w:p w14:paraId="3E74F1A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1.02094</w:t>
            </w:r>
          </w:p>
        </w:tc>
        <w:tc>
          <w:tcPr>
            <w:tcW w:w="1239" w:type="dxa"/>
            <w:tcBorders>
              <w:tl2br w:val="nil"/>
              <w:tr2bl w:val="nil"/>
            </w:tcBorders>
            <w:noWrap/>
            <w:tcMar>
              <w:top w:w="15" w:type="dxa"/>
              <w:left w:w="15" w:type="dxa"/>
              <w:right w:w="15" w:type="dxa"/>
            </w:tcMar>
            <w:vAlign w:val="center"/>
          </w:tcPr>
          <w:p w14:paraId="69A9BC7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平均值</w:t>
            </w:r>
          </w:p>
        </w:tc>
        <w:tc>
          <w:tcPr>
            <w:tcW w:w="1164" w:type="dxa"/>
            <w:tcBorders>
              <w:tl2br w:val="nil"/>
              <w:tr2bl w:val="nil"/>
            </w:tcBorders>
            <w:noWrap/>
            <w:tcMar>
              <w:top w:w="15" w:type="dxa"/>
              <w:left w:w="15" w:type="dxa"/>
              <w:right w:w="15" w:type="dxa"/>
            </w:tcMar>
            <w:vAlign w:val="center"/>
          </w:tcPr>
          <w:p w14:paraId="30A8AF6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0.51</w:t>
            </w:r>
          </w:p>
        </w:tc>
        <w:tc>
          <w:tcPr>
            <w:tcW w:w="578" w:type="pct"/>
            <w:tcBorders>
              <w:tl2br w:val="nil"/>
              <w:tr2bl w:val="nil"/>
            </w:tcBorders>
            <w:noWrap w:val="0"/>
            <w:tcMar>
              <w:top w:w="15" w:type="dxa"/>
              <w:left w:w="15" w:type="dxa"/>
              <w:right w:w="15" w:type="dxa"/>
            </w:tcMar>
            <w:vAlign w:val="center"/>
          </w:tcPr>
          <w:p w14:paraId="767A6A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bl>
    <w:p w14:paraId="6EF5C7EF">
      <w:pPr>
        <w:keepNext w:val="0"/>
        <w:keepLines w:val="0"/>
        <w:pageBreakBefore w:val="0"/>
        <w:widowControl w:val="0"/>
        <w:kinsoku/>
        <w:wordWrap/>
        <w:overflowPunct/>
        <w:topLinePunct w:val="0"/>
        <w:autoSpaceDE/>
        <w:autoSpaceDN/>
        <w:bidi w:val="0"/>
        <w:adjustRightInd/>
        <w:snapToGrid/>
        <w:spacing w:after="0" w:line="480" w:lineRule="exact"/>
        <w:ind w:firstLine="0" w:firstLineChars="0"/>
        <w:jc w:val="center"/>
        <w:textAlignment w:val="auto"/>
        <w:outlineLvl w:val="9"/>
        <w:rPr>
          <w:rFonts w:hint="default" w:ascii="Times New Roman" w:hAnsi="Times New Roman" w:eastAsia="宋体" w:cs="Times New Roman"/>
          <w:snapToGrid w:val="0"/>
          <w:color w:val="FF0000"/>
          <w:kern w:val="2"/>
          <w:sz w:val="24"/>
          <w:szCs w:val="24"/>
          <w:highlight w:val="none"/>
          <w:lang w:val="en-US" w:eastAsia="zh-CN" w:bidi="ar-SA"/>
        </w:rPr>
      </w:pPr>
      <w:r>
        <w:rPr>
          <w:rFonts w:hint="default" w:ascii="Times New Roman" w:hAnsi="Times New Roman" w:eastAsia="宋体" w:cs="Times New Roman"/>
          <w:snapToGrid w:val="0"/>
          <w:color w:val="FF0000"/>
          <w:kern w:val="2"/>
          <w:sz w:val="24"/>
          <w:szCs w:val="24"/>
          <w:highlight w:val="none"/>
          <w:lang w:val="en-US" w:eastAsia="zh-CN" w:bidi="ar-SA"/>
        </w:rPr>
        <w:t>表6.2-</w:t>
      </w:r>
      <w:r>
        <w:rPr>
          <w:rFonts w:hint="eastAsia" w:ascii="Times New Roman" w:hAnsi="Times New Roman" w:eastAsia="宋体" w:cs="Times New Roman"/>
          <w:snapToGrid w:val="0"/>
          <w:color w:val="FF0000"/>
          <w:kern w:val="2"/>
          <w:sz w:val="24"/>
          <w:szCs w:val="24"/>
          <w:highlight w:val="none"/>
          <w:lang w:val="en-US" w:eastAsia="zh-CN" w:bidi="ar-SA"/>
        </w:rPr>
        <w:t>14</w:t>
      </w:r>
      <w:r>
        <w:rPr>
          <w:rFonts w:hint="default" w:ascii="Times New Roman" w:hAnsi="Times New Roman" w:eastAsia="宋体" w:cs="Times New Roman"/>
          <w:snapToGrid w:val="0"/>
          <w:color w:val="FF0000"/>
          <w:kern w:val="2"/>
          <w:sz w:val="24"/>
          <w:szCs w:val="24"/>
          <w:highlight w:val="none"/>
          <w:lang w:val="en-US" w:eastAsia="zh-CN" w:bidi="ar-SA"/>
        </w:rPr>
        <w:t xml:space="preserve">  本项目</w:t>
      </w:r>
      <w:r>
        <w:rPr>
          <w:rFonts w:hint="default" w:ascii="Times New Roman" w:hAnsi="Times New Roman" w:eastAsia="宋体" w:cs="Times New Roman"/>
          <w:snapToGrid w:val="0"/>
          <w:color w:val="FF0000"/>
          <w:spacing w:val="0"/>
          <w:kern w:val="2"/>
          <w:sz w:val="24"/>
          <w:szCs w:val="24"/>
          <w:highlight w:val="none"/>
          <w:lang w:val="en-US" w:eastAsia="zh-CN" w:bidi="ar-SA"/>
        </w:rPr>
        <w:t>NH</w:t>
      </w:r>
      <w:r>
        <w:rPr>
          <w:rFonts w:hint="default" w:ascii="Times New Roman" w:hAnsi="Times New Roman" w:eastAsia="宋体" w:cs="Times New Roman"/>
          <w:snapToGrid w:val="0"/>
          <w:color w:val="FF0000"/>
          <w:spacing w:val="0"/>
          <w:kern w:val="2"/>
          <w:sz w:val="24"/>
          <w:szCs w:val="24"/>
          <w:highlight w:val="none"/>
          <w:vertAlign w:val="subscript"/>
          <w:lang w:val="en-US" w:eastAsia="zh-CN" w:bidi="ar-SA"/>
        </w:rPr>
        <w:t>3</w:t>
      </w:r>
      <w:r>
        <w:rPr>
          <w:rFonts w:hint="default" w:ascii="Times New Roman" w:hAnsi="Times New Roman" w:eastAsia="宋体" w:cs="Times New Roman"/>
          <w:snapToGrid w:val="0"/>
          <w:color w:val="FF0000"/>
          <w:kern w:val="2"/>
          <w:sz w:val="24"/>
          <w:szCs w:val="24"/>
          <w:highlight w:val="none"/>
          <w:lang w:val="en-US" w:eastAsia="zh-CN" w:bidi="ar-SA"/>
        </w:rPr>
        <w:t>贡献质量浓度预测结果表</w:t>
      </w:r>
    </w:p>
    <w:tbl>
      <w:tblPr>
        <w:tblStyle w:val="37"/>
        <w:tblW w:w="8874" w:type="dxa"/>
        <w:jc w:val="center"/>
        <w:tblLayout w:type="fixed"/>
        <w:tblCellMar>
          <w:top w:w="0" w:type="dxa"/>
          <w:left w:w="0" w:type="dxa"/>
          <w:bottom w:w="0" w:type="dxa"/>
          <w:right w:w="0" w:type="dxa"/>
        </w:tblCellMar>
      </w:tblPr>
      <w:tblGrid>
        <w:gridCol w:w="815"/>
        <w:gridCol w:w="1995"/>
        <w:gridCol w:w="1049"/>
        <w:gridCol w:w="1864"/>
        <w:gridCol w:w="961"/>
        <w:gridCol w:w="1282"/>
        <w:gridCol w:w="908"/>
      </w:tblGrid>
      <w:tr w14:paraId="3D17B6BF">
        <w:tblPrEx>
          <w:tblCellMar>
            <w:top w:w="0" w:type="dxa"/>
            <w:left w:w="0" w:type="dxa"/>
            <w:bottom w:w="0" w:type="dxa"/>
            <w:right w:w="0" w:type="dxa"/>
          </w:tblCellMar>
        </w:tblPrEx>
        <w:trPr>
          <w:trHeight w:val="397" w:hRule="atLeast"/>
          <w:jc w:val="center"/>
        </w:trPr>
        <w:tc>
          <w:tcPr>
            <w:tcW w:w="815" w:type="dxa"/>
            <w:tcBorders>
              <w:top w:val="single" w:color="000000" w:sz="12" w:space="0"/>
              <w:left w:val="nil"/>
              <w:bottom w:val="single" w:color="000000" w:sz="4" w:space="0"/>
              <w:right w:val="single" w:color="000000" w:sz="4" w:space="0"/>
            </w:tcBorders>
            <w:noWrap w:val="0"/>
            <w:tcMar>
              <w:top w:w="15" w:type="dxa"/>
              <w:left w:w="15" w:type="dxa"/>
              <w:right w:w="15" w:type="dxa"/>
            </w:tcMar>
            <w:vAlign w:val="center"/>
          </w:tcPr>
          <w:p w14:paraId="2E6A54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污染物</w:t>
            </w:r>
          </w:p>
        </w:tc>
        <w:tc>
          <w:tcPr>
            <w:tcW w:w="1995" w:type="dxa"/>
            <w:tcBorders>
              <w:top w:val="single" w:color="000000" w:sz="12" w:space="0"/>
              <w:left w:val="single" w:color="000000" w:sz="4" w:space="0"/>
              <w:bottom w:val="single" w:color="000000" w:sz="4" w:space="0"/>
              <w:right w:val="single" w:color="000000" w:sz="4" w:space="0"/>
            </w:tcBorders>
            <w:noWrap w:val="0"/>
            <w:tcMar>
              <w:top w:w="15" w:type="dxa"/>
              <w:left w:w="15" w:type="dxa"/>
              <w:right w:w="15" w:type="dxa"/>
            </w:tcMar>
            <w:vAlign w:val="center"/>
          </w:tcPr>
          <w:p w14:paraId="34C21B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预测点</w:t>
            </w:r>
          </w:p>
        </w:tc>
        <w:tc>
          <w:tcPr>
            <w:tcW w:w="1049" w:type="dxa"/>
            <w:tcBorders>
              <w:top w:val="single" w:color="000000" w:sz="12" w:space="0"/>
              <w:left w:val="single" w:color="000000" w:sz="4" w:space="0"/>
              <w:bottom w:val="single" w:color="000000" w:sz="4" w:space="0"/>
              <w:right w:val="single" w:color="000000" w:sz="4" w:space="0"/>
            </w:tcBorders>
            <w:noWrap w:val="0"/>
            <w:tcMar>
              <w:top w:w="15" w:type="dxa"/>
              <w:left w:w="15" w:type="dxa"/>
              <w:right w:w="15" w:type="dxa"/>
            </w:tcMar>
            <w:vAlign w:val="center"/>
          </w:tcPr>
          <w:p w14:paraId="1A9B13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平均时段</w:t>
            </w:r>
          </w:p>
        </w:tc>
        <w:tc>
          <w:tcPr>
            <w:tcW w:w="1864" w:type="dxa"/>
            <w:tcBorders>
              <w:top w:val="single" w:color="000000" w:sz="12" w:space="0"/>
              <w:left w:val="single" w:color="000000" w:sz="4" w:space="0"/>
              <w:bottom w:val="single" w:color="000000" w:sz="4" w:space="0"/>
              <w:right w:val="single" w:color="000000" w:sz="4" w:space="0"/>
            </w:tcBorders>
            <w:noWrap w:val="0"/>
            <w:tcMar>
              <w:top w:w="15" w:type="dxa"/>
              <w:left w:w="15" w:type="dxa"/>
              <w:right w:w="15" w:type="dxa"/>
            </w:tcMar>
            <w:vAlign w:val="center"/>
          </w:tcPr>
          <w:p w14:paraId="397BBF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最大贡献值/</w:t>
            </w:r>
            <w:r>
              <w:rPr>
                <w:rFonts w:hint="default" w:ascii="Times New Roman" w:hAnsi="Times New Roman" w:eastAsia="宋体" w:cs="Times New Roman"/>
                <w:color w:val="FF0000"/>
                <w:sz w:val="21"/>
                <w:szCs w:val="21"/>
                <w:highlight w:val="none"/>
                <w:u w:val="none"/>
                <w:lang w:val="en-US" w:eastAsia="zh-CN" w:bidi="ar"/>
              </w:rPr>
              <w:t>（μ</w:t>
            </w:r>
            <w:r>
              <w:rPr>
                <w:rFonts w:hint="default" w:ascii="Times New Roman" w:hAnsi="Times New Roman" w:eastAsia="宋体" w:cs="Times New Roman"/>
                <w:i w:val="0"/>
                <w:color w:val="FF0000"/>
                <w:kern w:val="0"/>
                <w:sz w:val="21"/>
                <w:szCs w:val="21"/>
                <w:highlight w:val="none"/>
                <w:u w:val="none"/>
                <w:lang w:val="en-US" w:eastAsia="zh-CN" w:bidi="ar"/>
              </w:rPr>
              <w:t>g/m</w:t>
            </w:r>
            <w:r>
              <w:rPr>
                <w:rFonts w:hint="default" w:ascii="Times New Roman" w:hAnsi="Times New Roman" w:eastAsia="宋体" w:cs="Times New Roman"/>
                <w:i w:val="0"/>
                <w:color w:val="FF0000"/>
                <w:kern w:val="0"/>
                <w:sz w:val="21"/>
                <w:szCs w:val="21"/>
                <w:highlight w:val="none"/>
                <w:u w:val="none"/>
                <w:vertAlign w:val="superscript"/>
                <w:lang w:val="en-US" w:eastAsia="zh-CN" w:bidi="ar"/>
              </w:rPr>
              <w:t>3</w:t>
            </w:r>
            <w:r>
              <w:rPr>
                <w:rFonts w:hint="default" w:ascii="Times New Roman" w:hAnsi="Times New Roman" w:eastAsia="宋体" w:cs="Times New Roman"/>
                <w:color w:val="FF0000"/>
                <w:sz w:val="21"/>
                <w:szCs w:val="21"/>
                <w:highlight w:val="none"/>
                <w:u w:val="none"/>
                <w:lang w:val="en-US" w:eastAsia="zh-CN" w:bidi="ar"/>
              </w:rPr>
              <w:t>）</w:t>
            </w:r>
          </w:p>
        </w:tc>
        <w:tc>
          <w:tcPr>
            <w:tcW w:w="961" w:type="dxa"/>
            <w:tcBorders>
              <w:top w:val="single" w:color="000000" w:sz="12" w:space="0"/>
              <w:left w:val="single" w:color="000000" w:sz="4" w:space="0"/>
              <w:bottom w:val="single" w:color="000000" w:sz="4" w:space="0"/>
              <w:right w:val="single" w:color="000000" w:sz="4" w:space="0"/>
            </w:tcBorders>
            <w:noWrap w:val="0"/>
            <w:tcMar>
              <w:top w:w="15" w:type="dxa"/>
              <w:left w:w="15" w:type="dxa"/>
              <w:right w:w="15" w:type="dxa"/>
            </w:tcMar>
            <w:vAlign w:val="center"/>
          </w:tcPr>
          <w:p w14:paraId="709404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出现时间</w:t>
            </w:r>
          </w:p>
        </w:tc>
        <w:tc>
          <w:tcPr>
            <w:tcW w:w="1282" w:type="dxa"/>
            <w:tcBorders>
              <w:top w:val="single" w:color="000000" w:sz="12" w:space="0"/>
              <w:left w:val="single" w:color="000000" w:sz="4" w:space="0"/>
              <w:bottom w:val="single" w:color="000000" w:sz="4" w:space="0"/>
              <w:right w:val="single" w:color="000000" w:sz="4" w:space="0"/>
            </w:tcBorders>
            <w:noWrap w:val="0"/>
            <w:tcMar>
              <w:top w:w="15" w:type="dxa"/>
              <w:left w:w="15" w:type="dxa"/>
              <w:right w:w="15" w:type="dxa"/>
            </w:tcMar>
            <w:vAlign w:val="center"/>
          </w:tcPr>
          <w:p w14:paraId="1F63BE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占标率/</w:t>
            </w:r>
            <w:r>
              <w:rPr>
                <w:rFonts w:hint="default" w:ascii="Times New Roman" w:hAnsi="Times New Roman" w:eastAsia="宋体" w:cs="Times New Roman"/>
                <w:color w:val="FF0000"/>
                <w:sz w:val="21"/>
                <w:szCs w:val="21"/>
                <w:highlight w:val="none"/>
                <w:u w:val="none"/>
                <w:lang w:val="en-US" w:eastAsia="zh-CN" w:bidi="ar"/>
              </w:rPr>
              <w:t>（%）</w:t>
            </w:r>
          </w:p>
        </w:tc>
        <w:tc>
          <w:tcPr>
            <w:tcW w:w="908" w:type="dxa"/>
            <w:tcBorders>
              <w:top w:val="single" w:color="000000" w:sz="12" w:space="0"/>
              <w:left w:val="single" w:color="000000" w:sz="4" w:space="0"/>
              <w:bottom w:val="single" w:color="000000" w:sz="4" w:space="0"/>
              <w:right w:val="nil"/>
            </w:tcBorders>
            <w:noWrap w:val="0"/>
            <w:tcMar>
              <w:top w:w="15" w:type="dxa"/>
              <w:left w:w="15" w:type="dxa"/>
              <w:right w:w="15" w:type="dxa"/>
            </w:tcMar>
            <w:vAlign w:val="center"/>
          </w:tcPr>
          <w:p w14:paraId="418DA9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达标情况</w:t>
            </w:r>
          </w:p>
        </w:tc>
      </w:tr>
      <w:tr w14:paraId="1C9F4F1B">
        <w:tblPrEx>
          <w:tblCellMar>
            <w:top w:w="0" w:type="dxa"/>
            <w:left w:w="0" w:type="dxa"/>
            <w:bottom w:w="0" w:type="dxa"/>
            <w:right w:w="0" w:type="dxa"/>
          </w:tblCellMar>
        </w:tblPrEx>
        <w:trPr>
          <w:trHeight w:val="397" w:hRule="atLeast"/>
          <w:jc w:val="center"/>
        </w:trPr>
        <w:tc>
          <w:tcPr>
            <w:tcW w:w="815" w:type="dxa"/>
            <w:vMerge w:val="restart"/>
            <w:tcBorders>
              <w:top w:val="single" w:color="000000" w:sz="4" w:space="0"/>
              <w:left w:val="nil"/>
              <w:right w:val="single" w:color="000000" w:sz="4" w:space="0"/>
            </w:tcBorders>
            <w:noWrap w:val="0"/>
            <w:tcMar>
              <w:top w:w="15" w:type="dxa"/>
              <w:left w:w="15" w:type="dxa"/>
              <w:right w:w="15" w:type="dxa"/>
            </w:tcMar>
            <w:vAlign w:val="center"/>
          </w:tcPr>
          <w:p w14:paraId="6C2114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NH</w:t>
            </w:r>
            <w:r>
              <w:rPr>
                <w:rFonts w:hint="default" w:ascii="Times New Roman" w:hAnsi="Times New Roman" w:eastAsia="宋体" w:cs="Times New Roman"/>
                <w:i w:val="0"/>
                <w:color w:val="FF0000"/>
                <w:kern w:val="0"/>
                <w:sz w:val="21"/>
                <w:szCs w:val="21"/>
                <w:highlight w:val="none"/>
                <w:u w:val="none"/>
                <w:vertAlign w:val="subscript"/>
                <w:lang w:val="en-US" w:eastAsia="zh-CN" w:bidi="ar"/>
              </w:rPr>
              <w:t>3</w:t>
            </w:r>
          </w:p>
          <w:p w14:paraId="3597127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color w:val="FF0000"/>
                <w:sz w:val="21"/>
                <w:szCs w:val="21"/>
                <w:highlight w:val="none"/>
                <w:u w:val="none"/>
              </w:rPr>
            </w:pPr>
          </w:p>
          <w:p w14:paraId="6BC2797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aseline"/>
              <w:rPr>
                <w:rFonts w:hint="default" w:ascii="Times New Roman" w:hAnsi="Times New Roman" w:eastAsia="宋体" w:cs="Times New Roman"/>
                <w:color w:val="FF0000"/>
                <w:kern w:val="2"/>
                <w:sz w:val="21"/>
                <w:szCs w:val="21"/>
                <w:highlight w:val="none"/>
                <w:lang w:val="en-US" w:eastAsia="zh-CN" w:bidi="ar-SA"/>
              </w:rPr>
            </w:pPr>
          </w:p>
        </w:tc>
        <w:tc>
          <w:tcPr>
            <w:tcW w:w="19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688842">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default" w:ascii="Times New Roman" w:hAnsi="Times New Roman" w:eastAsia="宋体" w:cs="Times New Roman"/>
                <w:i w:val="0"/>
                <w:color w:val="FF0000"/>
                <w:sz w:val="21"/>
                <w:szCs w:val="21"/>
                <w:highlight w:val="none"/>
                <w:u w:val="none"/>
                <w:lang w:val="en-US" w:eastAsia="zh-CN"/>
              </w:rPr>
              <w:t>范家屯</w:t>
            </w:r>
          </w:p>
        </w:tc>
        <w:tc>
          <w:tcPr>
            <w:tcW w:w="104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BF12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default" w:ascii="Times New Roman" w:hAnsi="Times New Roman" w:eastAsia="宋体" w:cs="Times New Roman"/>
                <w:i w:val="0"/>
                <w:color w:val="FF0000"/>
                <w:sz w:val="21"/>
                <w:szCs w:val="21"/>
                <w:highlight w:val="none"/>
                <w:u w:val="none"/>
                <w:lang w:val="en-US" w:eastAsia="zh-CN"/>
              </w:rPr>
              <w:t>1小时平均</w:t>
            </w:r>
          </w:p>
        </w:tc>
        <w:tc>
          <w:tcPr>
            <w:tcW w:w="18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5ADB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0.33338</w:t>
            </w:r>
          </w:p>
        </w:tc>
        <w:tc>
          <w:tcPr>
            <w:tcW w:w="9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D49C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24021411</w:t>
            </w:r>
          </w:p>
        </w:tc>
        <w:tc>
          <w:tcPr>
            <w:tcW w:w="128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C5D0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0.17</w:t>
            </w:r>
          </w:p>
        </w:tc>
        <w:tc>
          <w:tcPr>
            <w:tcW w:w="908"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46BEE9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49A57DA2">
        <w:tblPrEx>
          <w:tblCellMar>
            <w:top w:w="0" w:type="dxa"/>
            <w:left w:w="0" w:type="dxa"/>
            <w:bottom w:w="0" w:type="dxa"/>
            <w:right w:w="0" w:type="dxa"/>
          </w:tblCellMar>
        </w:tblPrEx>
        <w:trPr>
          <w:trHeight w:val="397" w:hRule="atLeast"/>
          <w:jc w:val="center"/>
        </w:trPr>
        <w:tc>
          <w:tcPr>
            <w:tcW w:w="815" w:type="dxa"/>
            <w:vMerge w:val="continue"/>
            <w:tcBorders>
              <w:left w:val="nil"/>
              <w:right w:val="single" w:color="000000" w:sz="4" w:space="0"/>
            </w:tcBorders>
            <w:noWrap w:val="0"/>
            <w:tcMar>
              <w:top w:w="15" w:type="dxa"/>
              <w:left w:w="15" w:type="dxa"/>
              <w:right w:w="15" w:type="dxa"/>
            </w:tcMar>
            <w:vAlign w:val="center"/>
          </w:tcPr>
          <w:p w14:paraId="2E6EF3F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color w:val="FF0000"/>
                <w:sz w:val="21"/>
                <w:szCs w:val="21"/>
                <w:highlight w:val="none"/>
                <w:u w:val="none"/>
              </w:rPr>
            </w:pPr>
          </w:p>
        </w:tc>
        <w:tc>
          <w:tcPr>
            <w:tcW w:w="19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6A7709">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default" w:ascii="Times New Roman" w:hAnsi="Times New Roman" w:eastAsia="宋体" w:cs="Times New Roman"/>
                <w:i w:val="0"/>
                <w:color w:val="FF0000"/>
                <w:sz w:val="21"/>
                <w:szCs w:val="21"/>
                <w:highlight w:val="none"/>
                <w:u w:val="none"/>
                <w:lang w:val="en-US" w:eastAsia="zh-CN"/>
              </w:rPr>
              <w:t>范家村</w:t>
            </w:r>
          </w:p>
        </w:tc>
        <w:tc>
          <w:tcPr>
            <w:tcW w:w="104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BDE1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sz w:val="21"/>
                <w:szCs w:val="21"/>
                <w:highlight w:val="none"/>
                <w:u w:val="none"/>
                <w:lang w:val="en-US" w:eastAsia="zh-CN"/>
              </w:rPr>
              <w:t>1小时平均</w:t>
            </w:r>
          </w:p>
        </w:tc>
        <w:tc>
          <w:tcPr>
            <w:tcW w:w="18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82CF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0.38408</w:t>
            </w:r>
          </w:p>
        </w:tc>
        <w:tc>
          <w:tcPr>
            <w:tcW w:w="9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5EA4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24013015</w:t>
            </w:r>
          </w:p>
        </w:tc>
        <w:tc>
          <w:tcPr>
            <w:tcW w:w="128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CDC5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0.19</w:t>
            </w:r>
          </w:p>
        </w:tc>
        <w:tc>
          <w:tcPr>
            <w:tcW w:w="908"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7AF241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0B4D5ABE">
        <w:tblPrEx>
          <w:tblCellMar>
            <w:top w:w="0" w:type="dxa"/>
            <w:left w:w="0" w:type="dxa"/>
            <w:bottom w:w="0" w:type="dxa"/>
            <w:right w:w="0" w:type="dxa"/>
          </w:tblCellMar>
        </w:tblPrEx>
        <w:trPr>
          <w:trHeight w:val="397" w:hRule="atLeast"/>
          <w:jc w:val="center"/>
        </w:trPr>
        <w:tc>
          <w:tcPr>
            <w:tcW w:w="815" w:type="dxa"/>
            <w:vMerge w:val="continue"/>
            <w:tcBorders>
              <w:left w:val="nil"/>
              <w:right w:val="single" w:color="000000" w:sz="4" w:space="0"/>
            </w:tcBorders>
            <w:noWrap w:val="0"/>
            <w:tcMar>
              <w:top w:w="15" w:type="dxa"/>
              <w:left w:w="15" w:type="dxa"/>
              <w:right w:w="15" w:type="dxa"/>
            </w:tcMar>
            <w:vAlign w:val="center"/>
          </w:tcPr>
          <w:p w14:paraId="1F19BF0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color w:val="FF0000"/>
                <w:sz w:val="21"/>
                <w:szCs w:val="21"/>
                <w:highlight w:val="none"/>
                <w:u w:val="none"/>
              </w:rPr>
            </w:pPr>
          </w:p>
        </w:tc>
        <w:tc>
          <w:tcPr>
            <w:tcW w:w="19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80803C">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default" w:ascii="Times New Roman" w:hAnsi="Times New Roman" w:eastAsia="宋体" w:cs="Times New Roman"/>
                <w:i w:val="0"/>
                <w:color w:val="FF0000"/>
                <w:sz w:val="21"/>
                <w:szCs w:val="21"/>
                <w:highlight w:val="none"/>
                <w:u w:val="none"/>
                <w:lang w:val="en-US" w:eastAsia="zh-CN"/>
              </w:rPr>
              <w:t>原热电厂家属区</w:t>
            </w:r>
          </w:p>
        </w:tc>
        <w:tc>
          <w:tcPr>
            <w:tcW w:w="104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0268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sz w:val="21"/>
                <w:szCs w:val="21"/>
                <w:highlight w:val="none"/>
                <w:u w:val="none"/>
                <w:lang w:val="en-US" w:eastAsia="zh-CN"/>
              </w:rPr>
              <w:t>1小时平均</w:t>
            </w:r>
          </w:p>
        </w:tc>
        <w:tc>
          <w:tcPr>
            <w:tcW w:w="18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46AE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0.00361</w:t>
            </w:r>
          </w:p>
        </w:tc>
        <w:tc>
          <w:tcPr>
            <w:tcW w:w="9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95B0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24120612</w:t>
            </w:r>
          </w:p>
        </w:tc>
        <w:tc>
          <w:tcPr>
            <w:tcW w:w="128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A1D8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0.00</w:t>
            </w:r>
          </w:p>
        </w:tc>
        <w:tc>
          <w:tcPr>
            <w:tcW w:w="908"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00E764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065E37BB">
        <w:tblPrEx>
          <w:tblCellMar>
            <w:top w:w="0" w:type="dxa"/>
            <w:left w:w="0" w:type="dxa"/>
            <w:bottom w:w="0" w:type="dxa"/>
            <w:right w:w="0" w:type="dxa"/>
          </w:tblCellMar>
        </w:tblPrEx>
        <w:trPr>
          <w:trHeight w:val="397" w:hRule="atLeast"/>
          <w:jc w:val="center"/>
        </w:trPr>
        <w:tc>
          <w:tcPr>
            <w:tcW w:w="815" w:type="dxa"/>
            <w:vMerge w:val="continue"/>
            <w:tcBorders>
              <w:left w:val="nil"/>
              <w:right w:val="single" w:color="000000" w:sz="4" w:space="0"/>
            </w:tcBorders>
            <w:noWrap w:val="0"/>
            <w:tcMar>
              <w:top w:w="15" w:type="dxa"/>
              <w:left w:w="15" w:type="dxa"/>
              <w:right w:w="15" w:type="dxa"/>
            </w:tcMar>
            <w:vAlign w:val="center"/>
          </w:tcPr>
          <w:p w14:paraId="66BDBF1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color w:val="FF0000"/>
                <w:sz w:val="21"/>
                <w:szCs w:val="21"/>
                <w:highlight w:val="none"/>
                <w:u w:val="none"/>
              </w:rPr>
            </w:pPr>
          </w:p>
        </w:tc>
        <w:tc>
          <w:tcPr>
            <w:tcW w:w="19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54405F">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default" w:ascii="Times New Roman" w:hAnsi="Times New Roman" w:eastAsia="宋体" w:cs="Times New Roman"/>
                <w:i w:val="0"/>
                <w:color w:val="FF0000"/>
                <w:sz w:val="21"/>
                <w:szCs w:val="21"/>
                <w:highlight w:val="none"/>
                <w:u w:val="none"/>
                <w:lang w:val="en-US" w:eastAsia="zh-CN"/>
              </w:rPr>
              <w:t>黑锻新城小区</w:t>
            </w:r>
          </w:p>
        </w:tc>
        <w:tc>
          <w:tcPr>
            <w:tcW w:w="104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8C4A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sz w:val="21"/>
                <w:szCs w:val="21"/>
                <w:highlight w:val="none"/>
                <w:u w:val="none"/>
                <w:lang w:val="en-US" w:eastAsia="zh-CN"/>
              </w:rPr>
              <w:t>1小时平均</w:t>
            </w:r>
          </w:p>
        </w:tc>
        <w:tc>
          <w:tcPr>
            <w:tcW w:w="18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2DA6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0.18876</w:t>
            </w:r>
          </w:p>
        </w:tc>
        <w:tc>
          <w:tcPr>
            <w:tcW w:w="9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4209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24021713</w:t>
            </w:r>
          </w:p>
        </w:tc>
        <w:tc>
          <w:tcPr>
            <w:tcW w:w="128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3C9E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0.09</w:t>
            </w:r>
          </w:p>
        </w:tc>
        <w:tc>
          <w:tcPr>
            <w:tcW w:w="908"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75DB0C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3D09DF9F">
        <w:tblPrEx>
          <w:tblCellMar>
            <w:top w:w="0" w:type="dxa"/>
            <w:left w:w="0" w:type="dxa"/>
            <w:bottom w:w="0" w:type="dxa"/>
            <w:right w:w="0" w:type="dxa"/>
          </w:tblCellMar>
        </w:tblPrEx>
        <w:trPr>
          <w:trHeight w:val="397" w:hRule="atLeast"/>
          <w:jc w:val="center"/>
        </w:trPr>
        <w:tc>
          <w:tcPr>
            <w:tcW w:w="815" w:type="dxa"/>
            <w:vMerge w:val="continue"/>
            <w:tcBorders>
              <w:left w:val="nil"/>
              <w:right w:val="single" w:color="000000" w:sz="4" w:space="0"/>
            </w:tcBorders>
            <w:noWrap w:val="0"/>
            <w:tcMar>
              <w:top w:w="15" w:type="dxa"/>
              <w:left w:w="15" w:type="dxa"/>
              <w:right w:w="15" w:type="dxa"/>
            </w:tcMar>
            <w:vAlign w:val="center"/>
          </w:tcPr>
          <w:p w14:paraId="6EDEF4E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color w:val="FF0000"/>
                <w:sz w:val="21"/>
                <w:szCs w:val="21"/>
                <w:highlight w:val="none"/>
                <w:u w:val="none"/>
              </w:rPr>
            </w:pPr>
          </w:p>
        </w:tc>
        <w:tc>
          <w:tcPr>
            <w:tcW w:w="19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990DA5">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default" w:ascii="Times New Roman" w:hAnsi="Times New Roman" w:eastAsia="宋体" w:cs="Times New Roman"/>
                <w:i w:val="0"/>
                <w:color w:val="FF0000"/>
                <w:sz w:val="21"/>
                <w:szCs w:val="21"/>
                <w:highlight w:val="none"/>
                <w:u w:val="none"/>
                <w:lang w:val="en-US" w:eastAsia="zh-CN"/>
              </w:rPr>
              <w:t>东侧市区（绿云社区）</w:t>
            </w:r>
          </w:p>
        </w:tc>
        <w:tc>
          <w:tcPr>
            <w:tcW w:w="104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FBDA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default" w:ascii="Times New Roman" w:hAnsi="Times New Roman" w:eastAsia="宋体" w:cs="Times New Roman"/>
                <w:i w:val="0"/>
                <w:color w:val="FF0000"/>
                <w:sz w:val="21"/>
                <w:szCs w:val="21"/>
                <w:highlight w:val="none"/>
                <w:u w:val="none"/>
                <w:lang w:val="en-US" w:eastAsia="zh-CN"/>
              </w:rPr>
              <w:t>1小时平均</w:t>
            </w:r>
          </w:p>
        </w:tc>
        <w:tc>
          <w:tcPr>
            <w:tcW w:w="18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5C77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0.41663</w:t>
            </w:r>
          </w:p>
        </w:tc>
        <w:tc>
          <w:tcPr>
            <w:tcW w:w="9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3A1F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24022511</w:t>
            </w:r>
          </w:p>
        </w:tc>
        <w:tc>
          <w:tcPr>
            <w:tcW w:w="128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56F6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0.21</w:t>
            </w:r>
          </w:p>
        </w:tc>
        <w:tc>
          <w:tcPr>
            <w:tcW w:w="908"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0861CD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67D4F5F8">
        <w:tblPrEx>
          <w:tblCellMar>
            <w:top w:w="0" w:type="dxa"/>
            <w:left w:w="0" w:type="dxa"/>
            <w:bottom w:w="0" w:type="dxa"/>
            <w:right w:w="0" w:type="dxa"/>
          </w:tblCellMar>
        </w:tblPrEx>
        <w:trPr>
          <w:trHeight w:val="397" w:hRule="atLeast"/>
          <w:jc w:val="center"/>
        </w:trPr>
        <w:tc>
          <w:tcPr>
            <w:tcW w:w="815" w:type="dxa"/>
            <w:vMerge w:val="continue"/>
            <w:tcBorders>
              <w:left w:val="nil"/>
              <w:right w:val="single" w:color="000000" w:sz="4" w:space="0"/>
            </w:tcBorders>
            <w:noWrap w:val="0"/>
            <w:tcMar>
              <w:top w:w="15" w:type="dxa"/>
              <w:left w:w="15" w:type="dxa"/>
              <w:right w:w="15" w:type="dxa"/>
            </w:tcMar>
            <w:vAlign w:val="center"/>
          </w:tcPr>
          <w:p w14:paraId="303DB3F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aseline"/>
              <w:rPr>
                <w:rFonts w:hint="default" w:ascii="Times New Roman" w:hAnsi="Times New Roman" w:eastAsia="宋体" w:cs="Times New Roman"/>
                <w:color w:val="FF0000"/>
                <w:kern w:val="2"/>
                <w:sz w:val="21"/>
                <w:szCs w:val="21"/>
                <w:highlight w:val="none"/>
                <w:lang w:val="en-US" w:eastAsia="zh-CN" w:bidi="ar-SA"/>
              </w:rPr>
            </w:pPr>
          </w:p>
        </w:tc>
        <w:tc>
          <w:tcPr>
            <w:tcW w:w="19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539191">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default" w:ascii="Times New Roman" w:hAnsi="Times New Roman" w:eastAsia="宋体" w:cs="Times New Roman"/>
                <w:i w:val="0"/>
                <w:color w:val="FF0000"/>
                <w:sz w:val="21"/>
                <w:szCs w:val="21"/>
                <w:highlight w:val="none"/>
                <w:u w:val="none"/>
                <w:lang w:val="en-US" w:eastAsia="zh-CN"/>
              </w:rPr>
              <w:t>南侧市区（佳木斯市第十六中学）</w:t>
            </w:r>
          </w:p>
        </w:tc>
        <w:tc>
          <w:tcPr>
            <w:tcW w:w="104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5DA8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default" w:ascii="Times New Roman" w:hAnsi="Times New Roman" w:eastAsia="宋体" w:cs="Times New Roman"/>
                <w:i w:val="0"/>
                <w:color w:val="FF0000"/>
                <w:sz w:val="21"/>
                <w:szCs w:val="21"/>
                <w:highlight w:val="none"/>
                <w:u w:val="none"/>
                <w:lang w:val="en-US" w:eastAsia="zh-CN"/>
              </w:rPr>
              <w:t>1小时平均</w:t>
            </w:r>
          </w:p>
        </w:tc>
        <w:tc>
          <w:tcPr>
            <w:tcW w:w="18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AE31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0.64936</w:t>
            </w:r>
          </w:p>
        </w:tc>
        <w:tc>
          <w:tcPr>
            <w:tcW w:w="9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6D47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24120612</w:t>
            </w:r>
          </w:p>
        </w:tc>
        <w:tc>
          <w:tcPr>
            <w:tcW w:w="128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12BA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0.32</w:t>
            </w:r>
          </w:p>
        </w:tc>
        <w:tc>
          <w:tcPr>
            <w:tcW w:w="908"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4BDB73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5F4E07E3">
        <w:tblPrEx>
          <w:tblCellMar>
            <w:top w:w="0" w:type="dxa"/>
            <w:left w:w="0" w:type="dxa"/>
            <w:bottom w:w="0" w:type="dxa"/>
            <w:right w:w="0" w:type="dxa"/>
          </w:tblCellMar>
        </w:tblPrEx>
        <w:trPr>
          <w:trHeight w:val="397" w:hRule="atLeast"/>
          <w:jc w:val="center"/>
        </w:trPr>
        <w:tc>
          <w:tcPr>
            <w:tcW w:w="815" w:type="dxa"/>
            <w:vMerge w:val="continue"/>
            <w:tcBorders>
              <w:left w:val="nil"/>
              <w:bottom w:val="single" w:color="000000" w:sz="12" w:space="0"/>
              <w:right w:val="single" w:color="000000" w:sz="4" w:space="0"/>
            </w:tcBorders>
            <w:noWrap w:val="0"/>
            <w:tcMar>
              <w:top w:w="15" w:type="dxa"/>
              <w:left w:w="15" w:type="dxa"/>
              <w:right w:w="15" w:type="dxa"/>
            </w:tcMar>
            <w:vAlign w:val="center"/>
          </w:tcPr>
          <w:p w14:paraId="5C2CDDE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color w:val="FF0000"/>
                <w:sz w:val="21"/>
                <w:szCs w:val="21"/>
                <w:highlight w:val="none"/>
                <w:u w:val="none"/>
              </w:rPr>
            </w:pPr>
          </w:p>
        </w:tc>
        <w:tc>
          <w:tcPr>
            <w:tcW w:w="1995" w:type="dxa"/>
            <w:tcBorders>
              <w:top w:val="single" w:color="000000" w:sz="4" w:space="0"/>
              <w:left w:val="single" w:color="000000" w:sz="4" w:space="0"/>
              <w:bottom w:val="single" w:color="000000" w:sz="12" w:space="0"/>
              <w:right w:val="single" w:color="000000" w:sz="4" w:space="0"/>
            </w:tcBorders>
            <w:noWrap w:val="0"/>
            <w:tcMar>
              <w:top w:w="15" w:type="dxa"/>
              <w:left w:w="15" w:type="dxa"/>
              <w:right w:w="15" w:type="dxa"/>
            </w:tcMar>
            <w:vAlign w:val="center"/>
          </w:tcPr>
          <w:p w14:paraId="78E21A5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default" w:ascii="Times New Roman" w:hAnsi="Times New Roman" w:eastAsia="宋体" w:cs="Times New Roman"/>
                <w:i w:val="0"/>
                <w:color w:val="FF0000"/>
                <w:kern w:val="0"/>
                <w:sz w:val="21"/>
                <w:szCs w:val="21"/>
                <w:highlight w:val="none"/>
                <w:u w:val="none"/>
                <w:lang w:val="en-US" w:eastAsia="zh-CN" w:bidi="ar"/>
              </w:rPr>
              <w:t>区域最大落地浓度</w:t>
            </w:r>
          </w:p>
        </w:tc>
        <w:tc>
          <w:tcPr>
            <w:tcW w:w="1049" w:type="dxa"/>
            <w:tcBorders>
              <w:top w:val="single" w:color="000000" w:sz="4" w:space="0"/>
              <w:left w:val="single" w:color="000000" w:sz="4" w:space="0"/>
              <w:bottom w:val="single" w:color="000000" w:sz="12" w:space="0"/>
              <w:right w:val="single" w:color="000000" w:sz="4" w:space="0"/>
            </w:tcBorders>
            <w:noWrap w:val="0"/>
            <w:tcMar>
              <w:top w:w="15" w:type="dxa"/>
              <w:left w:w="15" w:type="dxa"/>
              <w:right w:w="15" w:type="dxa"/>
            </w:tcMar>
            <w:vAlign w:val="center"/>
          </w:tcPr>
          <w:p w14:paraId="55BF69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default" w:ascii="Times New Roman" w:hAnsi="Times New Roman" w:eastAsia="宋体" w:cs="Times New Roman"/>
                <w:i w:val="0"/>
                <w:color w:val="FF0000"/>
                <w:sz w:val="21"/>
                <w:szCs w:val="21"/>
                <w:highlight w:val="none"/>
                <w:u w:val="none"/>
                <w:lang w:val="en-US" w:eastAsia="zh-CN"/>
              </w:rPr>
              <w:t>1小时平均</w:t>
            </w:r>
          </w:p>
        </w:tc>
        <w:tc>
          <w:tcPr>
            <w:tcW w:w="1864" w:type="dxa"/>
            <w:tcBorders>
              <w:top w:val="single" w:color="000000" w:sz="4" w:space="0"/>
              <w:left w:val="single" w:color="000000" w:sz="4" w:space="0"/>
              <w:bottom w:val="single" w:color="000000" w:sz="12" w:space="0"/>
              <w:right w:val="single" w:color="000000" w:sz="4" w:space="0"/>
            </w:tcBorders>
            <w:noWrap/>
            <w:tcMar>
              <w:top w:w="15" w:type="dxa"/>
              <w:left w:w="15" w:type="dxa"/>
              <w:right w:w="15" w:type="dxa"/>
            </w:tcMar>
            <w:vAlign w:val="center"/>
          </w:tcPr>
          <w:p w14:paraId="5E9140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0.93154</w:t>
            </w:r>
          </w:p>
        </w:tc>
        <w:tc>
          <w:tcPr>
            <w:tcW w:w="961" w:type="dxa"/>
            <w:tcBorders>
              <w:top w:val="single" w:color="000000" w:sz="4" w:space="0"/>
              <w:left w:val="single" w:color="000000" w:sz="4" w:space="0"/>
              <w:bottom w:val="single" w:color="000000" w:sz="12" w:space="0"/>
              <w:right w:val="single" w:color="000000" w:sz="4" w:space="0"/>
            </w:tcBorders>
            <w:noWrap/>
            <w:tcMar>
              <w:top w:w="15" w:type="dxa"/>
              <w:left w:w="15" w:type="dxa"/>
              <w:right w:w="15" w:type="dxa"/>
            </w:tcMar>
            <w:vAlign w:val="center"/>
          </w:tcPr>
          <w:p w14:paraId="52D446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24011214</w:t>
            </w:r>
          </w:p>
        </w:tc>
        <w:tc>
          <w:tcPr>
            <w:tcW w:w="1282" w:type="dxa"/>
            <w:tcBorders>
              <w:top w:val="single" w:color="000000" w:sz="4" w:space="0"/>
              <w:left w:val="single" w:color="000000" w:sz="4" w:space="0"/>
              <w:bottom w:val="single" w:color="000000" w:sz="12" w:space="0"/>
              <w:right w:val="single" w:color="000000" w:sz="4" w:space="0"/>
            </w:tcBorders>
            <w:noWrap/>
            <w:tcMar>
              <w:top w:w="15" w:type="dxa"/>
              <w:left w:w="15" w:type="dxa"/>
              <w:right w:w="15" w:type="dxa"/>
            </w:tcMar>
            <w:vAlign w:val="center"/>
          </w:tcPr>
          <w:p w14:paraId="0D2A43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0.47</w:t>
            </w:r>
          </w:p>
        </w:tc>
        <w:tc>
          <w:tcPr>
            <w:tcW w:w="908" w:type="dxa"/>
            <w:tcBorders>
              <w:top w:val="single" w:color="000000" w:sz="4" w:space="0"/>
              <w:left w:val="single" w:color="000000" w:sz="4" w:space="0"/>
              <w:bottom w:val="single" w:color="000000" w:sz="12" w:space="0"/>
              <w:right w:val="nil"/>
            </w:tcBorders>
            <w:noWrap w:val="0"/>
            <w:tcMar>
              <w:top w:w="15" w:type="dxa"/>
              <w:left w:w="15" w:type="dxa"/>
              <w:right w:w="15" w:type="dxa"/>
            </w:tcMar>
            <w:vAlign w:val="center"/>
          </w:tcPr>
          <w:p w14:paraId="447DA9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bl>
    <w:p w14:paraId="67E2134D">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jc w:val="both"/>
        <w:textAlignment w:val="bottom"/>
        <w:outlineLvl w:val="9"/>
        <w:rPr>
          <w:rFonts w:hint="default" w:ascii="Times New Roman" w:hAnsi="Times New Roman" w:eastAsia="宋体" w:cs="Times New Roman"/>
          <w:color w:val="FF0000"/>
          <w:spacing w:val="0"/>
          <w:sz w:val="24"/>
          <w:szCs w:val="24"/>
          <w:highlight w:val="none"/>
          <w:lang w:val="en-US" w:eastAsia="zh-CN"/>
        </w:rPr>
      </w:pPr>
      <w:r>
        <w:rPr>
          <w:rFonts w:hint="default" w:ascii="Times New Roman" w:hAnsi="Times New Roman" w:eastAsia="宋体" w:cs="Times New Roman"/>
          <w:color w:val="FF0000"/>
          <w:spacing w:val="0"/>
          <w:sz w:val="24"/>
          <w:szCs w:val="24"/>
          <w:highlight w:val="none"/>
          <w:lang w:val="en-US" w:eastAsia="zh-CN"/>
        </w:rPr>
        <w:t>②本项目叠加环境质量浓度预测分析</w:t>
      </w:r>
    </w:p>
    <w:p w14:paraId="4208750D">
      <w:pPr>
        <w:pStyle w:val="120"/>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eastAsia="宋体" w:cs="Times New Roman"/>
          <w:b w:val="0"/>
          <w:bCs w:val="0"/>
          <w:color w:val="FF0000"/>
          <w:kern w:val="2"/>
          <w:sz w:val="24"/>
          <w:szCs w:val="24"/>
          <w:highlight w:val="none"/>
          <w:lang w:val="en-US" w:eastAsia="zh-CN" w:bidi="ar-SA"/>
        </w:rPr>
      </w:pPr>
      <w:r>
        <w:rPr>
          <w:rFonts w:hint="default" w:ascii="Times New Roman" w:hAnsi="Times New Roman" w:eastAsia="宋体" w:cs="Times New Roman"/>
          <w:color w:val="FF0000"/>
          <w:kern w:val="0"/>
          <w:sz w:val="24"/>
          <w:szCs w:val="24"/>
          <w:highlight w:val="none"/>
          <w:lang w:val="en-US" w:eastAsia="zh-CN"/>
        </w:rPr>
        <w:t>本项目以环境空气质量达标区的评价要求进行大气环境影响预测分析</w:t>
      </w:r>
      <w:r>
        <w:rPr>
          <w:rFonts w:hint="default" w:ascii="Times New Roman" w:hAnsi="Times New Roman" w:eastAsia="宋体" w:cs="Times New Roman"/>
          <w:color w:val="FF0000"/>
          <w:sz w:val="24"/>
          <w:szCs w:val="24"/>
          <w:highlight w:val="none"/>
          <w:lang w:val="en-US" w:eastAsia="zh-CN"/>
        </w:rPr>
        <w:t>，</w:t>
      </w:r>
      <w:r>
        <w:rPr>
          <w:rFonts w:hint="default" w:ascii="Times New Roman" w:hAnsi="Times New Roman" w:eastAsia="宋体" w:cs="Times New Roman"/>
          <w:color w:val="FF0000"/>
          <w:spacing w:val="0"/>
          <w:sz w:val="24"/>
          <w:szCs w:val="24"/>
          <w:highlight w:val="none"/>
          <w:lang w:val="en-US" w:eastAsia="zh-CN"/>
        </w:rPr>
        <w:t>本次叠加预测分析只考虑PM</w:t>
      </w:r>
      <w:r>
        <w:rPr>
          <w:rFonts w:hint="default" w:ascii="Times New Roman" w:hAnsi="Times New Roman" w:eastAsia="宋体" w:cs="Times New Roman"/>
          <w:color w:val="FF0000"/>
          <w:spacing w:val="0"/>
          <w:sz w:val="24"/>
          <w:szCs w:val="24"/>
          <w:highlight w:val="none"/>
          <w:vertAlign w:val="subscript"/>
          <w:lang w:val="en-US" w:eastAsia="zh-CN"/>
        </w:rPr>
        <w:t>10</w:t>
      </w:r>
      <w:r>
        <w:rPr>
          <w:rFonts w:hint="default" w:ascii="Times New Roman" w:hAnsi="Times New Roman" w:eastAsia="宋体" w:cs="Times New Roman"/>
          <w:color w:val="FF0000"/>
          <w:spacing w:val="0"/>
          <w:sz w:val="24"/>
          <w:szCs w:val="24"/>
          <w:highlight w:val="none"/>
          <w:lang w:val="en-US" w:eastAsia="zh-CN"/>
        </w:rPr>
        <w:t>、SO</w:t>
      </w:r>
      <w:r>
        <w:rPr>
          <w:rFonts w:hint="default" w:ascii="Times New Roman" w:hAnsi="Times New Roman" w:eastAsia="宋体" w:cs="Times New Roman"/>
          <w:color w:val="FF0000"/>
          <w:spacing w:val="0"/>
          <w:sz w:val="24"/>
          <w:szCs w:val="24"/>
          <w:highlight w:val="none"/>
          <w:vertAlign w:val="subscript"/>
          <w:lang w:val="en-US" w:eastAsia="zh-CN"/>
        </w:rPr>
        <w:t>2</w:t>
      </w:r>
      <w:r>
        <w:rPr>
          <w:rFonts w:hint="default" w:ascii="Times New Roman" w:hAnsi="Times New Roman" w:eastAsia="宋体" w:cs="Times New Roman"/>
          <w:color w:val="FF0000"/>
          <w:spacing w:val="0"/>
          <w:sz w:val="24"/>
          <w:szCs w:val="24"/>
          <w:highlight w:val="none"/>
          <w:lang w:val="en-US" w:eastAsia="zh-CN"/>
        </w:rPr>
        <w:t>、NO</w:t>
      </w:r>
      <w:r>
        <w:rPr>
          <w:rFonts w:hint="default" w:ascii="Times New Roman" w:hAnsi="Times New Roman" w:eastAsia="宋体" w:cs="Times New Roman"/>
          <w:color w:val="FF0000"/>
          <w:spacing w:val="0"/>
          <w:sz w:val="24"/>
          <w:szCs w:val="24"/>
          <w:highlight w:val="none"/>
          <w:vertAlign w:val="subscript"/>
          <w:lang w:val="en-US" w:eastAsia="zh-CN"/>
        </w:rPr>
        <w:t>2</w:t>
      </w:r>
      <w:r>
        <w:rPr>
          <w:rFonts w:hint="default" w:ascii="Times New Roman" w:hAnsi="Times New Roman" w:eastAsia="宋体" w:cs="Times New Roman"/>
          <w:color w:val="FF0000"/>
          <w:spacing w:val="0"/>
          <w:sz w:val="24"/>
          <w:szCs w:val="24"/>
          <w:highlight w:val="none"/>
          <w:lang w:val="en-US" w:eastAsia="zh-CN"/>
        </w:rPr>
        <w:t>、NH</w:t>
      </w:r>
      <w:r>
        <w:rPr>
          <w:rFonts w:hint="default" w:ascii="Times New Roman" w:hAnsi="Times New Roman" w:eastAsia="宋体" w:cs="Times New Roman"/>
          <w:color w:val="FF0000"/>
          <w:spacing w:val="0"/>
          <w:sz w:val="24"/>
          <w:szCs w:val="24"/>
          <w:highlight w:val="none"/>
          <w:vertAlign w:val="subscript"/>
          <w:lang w:val="en-US" w:eastAsia="zh-CN"/>
        </w:rPr>
        <w:t>3</w:t>
      </w:r>
      <w:r>
        <w:rPr>
          <w:rFonts w:hint="default" w:ascii="Times New Roman" w:hAnsi="Times New Roman" w:eastAsia="宋体" w:cs="Times New Roman"/>
          <w:color w:val="FF0000"/>
          <w:spacing w:val="0"/>
          <w:sz w:val="24"/>
          <w:szCs w:val="24"/>
          <w:highlight w:val="none"/>
          <w:lang w:val="en-US" w:eastAsia="zh-CN"/>
        </w:rPr>
        <w:t>、Hg和TSP。污染物PM</w:t>
      </w:r>
      <w:r>
        <w:rPr>
          <w:rFonts w:hint="default" w:ascii="Times New Roman" w:hAnsi="Times New Roman" w:eastAsia="宋体" w:cs="Times New Roman"/>
          <w:color w:val="FF0000"/>
          <w:spacing w:val="0"/>
          <w:sz w:val="24"/>
          <w:szCs w:val="24"/>
          <w:highlight w:val="none"/>
          <w:vertAlign w:val="subscript"/>
          <w:lang w:val="en-US" w:eastAsia="zh-CN"/>
        </w:rPr>
        <w:t>10</w:t>
      </w:r>
      <w:r>
        <w:rPr>
          <w:rFonts w:hint="default" w:ascii="Times New Roman" w:hAnsi="Times New Roman" w:eastAsia="宋体" w:cs="Times New Roman"/>
          <w:color w:val="FF0000"/>
          <w:spacing w:val="0"/>
          <w:sz w:val="24"/>
          <w:szCs w:val="24"/>
          <w:highlight w:val="none"/>
          <w:lang w:val="en-US" w:eastAsia="zh-CN"/>
        </w:rPr>
        <w:t>、SO</w:t>
      </w:r>
      <w:r>
        <w:rPr>
          <w:rFonts w:hint="default" w:ascii="Times New Roman" w:hAnsi="Times New Roman" w:eastAsia="宋体" w:cs="Times New Roman"/>
          <w:color w:val="FF0000"/>
          <w:spacing w:val="0"/>
          <w:sz w:val="24"/>
          <w:szCs w:val="24"/>
          <w:highlight w:val="none"/>
          <w:vertAlign w:val="subscript"/>
          <w:lang w:val="en-US" w:eastAsia="zh-CN"/>
        </w:rPr>
        <w:t>2</w:t>
      </w:r>
      <w:r>
        <w:rPr>
          <w:rFonts w:hint="default" w:ascii="Times New Roman" w:hAnsi="Times New Roman" w:eastAsia="宋体" w:cs="Times New Roman"/>
          <w:color w:val="FF0000"/>
          <w:spacing w:val="0"/>
          <w:sz w:val="24"/>
          <w:szCs w:val="24"/>
          <w:highlight w:val="none"/>
          <w:lang w:val="en-US" w:eastAsia="zh-CN"/>
        </w:rPr>
        <w:t>、NO</w:t>
      </w:r>
      <w:r>
        <w:rPr>
          <w:rFonts w:hint="default" w:ascii="Times New Roman" w:hAnsi="Times New Roman" w:eastAsia="宋体" w:cs="Times New Roman"/>
          <w:color w:val="FF0000"/>
          <w:spacing w:val="0"/>
          <w:sz w:val="24"/>
          <w:szCs w:val="24"/>
          <w:highlight w:val="none"/>
          <w:vertAlign w:val="subscript"/>
          <w:lang w:val="en-US" w:eastAsia="zh-CN"/>
        </w:rPr>
        <w:t>2</w:t>
      </w:r>
      <w:r>
        <w:rPr>
          <w:rFonts w:hint="default" w:ascii="Times New Roman" w:hAnsi="Times New Roman" w:eastAsia="宋体" w:cs="Times New Roman"/>
          <w:color w:val="FF0000"/>
          <w:spacing w:val="0"/>
          <w:sz w:val="24"/>
          <w:szCs w:val="24"/>
          <w:highlight w:val="none"/>
          <w:lang w:val="en-US" w:eastAsia="zh-CN"/>
        </w:rPr>
        <w:t>、NH</w:t>
      </w:r>
      <w:r>
        <w:rPr>
          <w:rFonts w:hint="default" w:ascii="Times New Roman" w:hAnsi="Times New Roman" w:eastAsia="宋体" w:cs="Times New Roman"/>
          <w:color w:val="FF0000"/>
          <w:spacing w:val="0"/>
          <w:sz w:val="24"/>
          <w:szCs w:val="24"/>
          <w:highlight w:val="none"/>
          <w:vertAlign w:val="subscript"/>
          <w:lang w:val="en-US" w:eastAsia="zh-CN"/>
        </w:rPr>
        <w:t>3</w:t>
      </w:r>
      <w:r>
        <w:rPr>
          <w:rFonts w:hint="default" w:ascii="Times New Roman" w:hAnsi="Times New Roman" w:eastAsia="宋体" w:cs="Times New Roman"/>
          <w:color w:val="FF0000"/>
          <w:spacing w:val="0"/>
          <w:sz w:val="24"/>
          <w:szCs w:val="24"/>
          <w:highlight w:val="none"/>
          <w:lang w:val="en-US" w:eastAsia="zh-CN"/>
        </w:rPr>
        <w:t>、Hg、TSP叠加浓度预测分析为</w:t>
      </w:r>
      <w:r>
        <w:rPr>
          <w:rFonts w:hint="default" w:ascii="Times New Roman" w:hAnsi="Times New Roman" w:eastAsia="宋体" w:cs="Times New Roman"/>
          <w:b w:val="0"/>
          <w:bCs/>
          <w:color w:val="FF0000"/>
          <w:sz w:val="24"/>
          <w:szCs w:val="24"/>
          <w:highlight w:val="none"/>
        </w:rPr>
        <w:t>本项目</w:t>
      </w:r>
      <w:r>
        <w:rPr>
          <w:rFonts w:hint="default" w:ascii="Times New Roman" w:hAnsi="Times New Roman" w:eastAsia="宋体" w:cs="Times New Roman"/>
          <w:color w:val="FF0000"/>
          <w:sz w:val="24"/>
          <w:szCs w:val="24"/>
          <w:highlight w:val="none"/>
          <w:lang w:eastAsia="zh-CN"/>
        </w:rPr>
        <w:t>新增污染源</w:t>
      </w:r>
      <w:r>
        <w:rPr>
          <w:rFonts w:hint="default" w:ascii="Times New Roman" w:hAnsi="Times New Roman" w:eastAsia="宋体" w:cs="Times New Roman"/>
          <w:b w:val="0"/>
          <w:bCs/>
          <w:color w:val="FF0000"/>
          <w:sz w:val="24"/>
          <w:szCs w:val="24"/>
          <w:highlight w:val="none"/>
        </w:rPr>
        <w:t>贡献浓度</w:t>
      </w:r>
      <w:r>
        <w:rPr>
          <w:rFonts w:hint="default" w:ascii="Times New Roman" w:hAnsi="Times New Roman" w:eastAsia="宋体" w:cs="Times New Roman"/>
          <w:b w:val="0"/>
          <w:bCs/>
          <w:color w:val="FF0000"/>
          <w:sz w:val="24"/>
          <w:szCs w:val="24"/>
          <w:highlight w:val="none"/>
          <w:lang w:val="en-US" w:eastAsia="zh-CN"/>
        </w:rPr>
        <w:t>值</w:t>
      </w:r>
      <w:r>
        <w:rPr>
          <w:rFonts w:hint="eastAsia" w:ascii="Times New Roman" w:hAnsi="Times New Roman" w:eastAsia="宋体" w:cs="Times New Roman"/>
          <w:b w:val="0"/>
          <w:bCs/>
          <w:color w:val="FF0000"/>
          <w:sz w:val="24"/>
          <w:szCs w:val="24"/>
          <w:highlight w:val="none"/>
          <w:lang w:val="en-US" w:eastAsia="zh-CN"/>
        </w:rPr>
        <w:t>－</w:t>
      </w:r>
      <w:r>
        <w:rPr>
          <w:rFonts w:hint="eastAsia" w:ascii="Times New Roman" w:hAnsi="Times New Roman" w:eastAsia="宋体" w:cs="Times New Roman"/>
          <w:color w:val="FF0000"/>
          <w:kern w:val="0"/>
          <w:sz w:val="24"/>
          <w:szCs w:val="24"/>
          <w:highlight w:val="none"/>
          <w:vertAlign w:val="baseline"/>
          <w:lang w:val="en-US" w:eastAsia="zh-CN"/>
        </w:rPr>
        <w:t>“以新带老”</w:t>
      </w:r>
      <w:r>
        <w:rPr>
          <w:rFonts w:hint="default" w:ascii="Times New Roman" w:hAnsi="Times New Roman" w:eastAsia="宋体" w:cs="Times New Roman"/>
          <w:color w:val="FF0000"/>
          <w:kern w:val="0"/>
          <w:sz w:val="24"/>
          <w:szCs w:val="24"/>
          <w:highlight w:val="none"/>
          <w:vertAlign w:val="baseline"/>
          <w:lang w:val="en-US" w:eastAsia="zh-CN"/>
        </w:rPr>
        <w:t>污染源+区域其他在建、拟建污染源</w:t>
      </w:r>
      <w:r>
        <w:rPr>
          <w:rFonts w:hint="default" w:ascii="Times New Roman" w:hAnsi="Times New Roman" w:eastAsia="宋体" w:cs="Times New Roman"/>
          <w:b w:val="0"/>
          <w:bCs/>
          <w:color w:val="FF0000"/>
          <w:sz w:val="24"/>
          <w:szCs w:val="24"/>
          <w:highlight w:val="none"/>
          <w:lang w:val="en-US" w:eastAsia="zh-CN"/>
        </w:rPr>
        <w:t>+现状</w:t>
      </w:r>
      <w:r>
        <w:rPr>
          <w:rFonts w:hint="default" w:ascii="Times New Roman" w:hAnsi="Times New Roman" w:eastAsia="宋体" w:cs="Times New Roman"/>
          <w:b w:val="0"/>
          <w:bCs/>
          <w:color w:val="FF0000"/>
          <w:sz w:val="24"/>
          <w:szCs w:val="24"/>
          <w:highlight w:val="none"/>
        </w:rPr>
        <w:t>背景浓度</w:t>
      </w:r>
      <w:r>
        <w:rPr>
          <w:rFonts w:hint="default" w:ascii="Times New Roman" w:hAnsi="Times New Roman" w:eastAsia="宋体" w:cs="Times New Roman"/>
          <w:b w:val="0"/>
          <w:bCs/>
          <w:color w:val="FF0000"/>
          <w:sz w:val="24"/>
          <w:szCs w:val="24"/>
          <w:highlight w:val="none"/>
          <w:lang w:eastAsia="zh-CN"/>
        </w:rPr>
        <w:t>，</w:t>
      </w:r>
      <w:r>
        <w:rPr>
          <w:rFonts w:hint="default" w:ascii="Times New Roman" w:hAnsi="Times New Roman" w:eastAsia="宋体" w:cs="Times New Roman"/>
          <w:color w:val="FF0000"/>
          <w:spacing w:val="0"/>
          <w:sz w:val="24"/>
          <w:szCs w:val="24"/>
          <w:highlight w:val="none"/>
          <w:lang w:val="en-US" w:eastAsia="zh-CN"/>
        </w:rPr>
        <w:t>本项目叠加后的环境空气保护目标和网格点主要污染物保证率日平均质量浓度和年平均质量浓度的达标情况见表6.2-</w:t>
      </w:r>
      <w:r>
        <w:rPr>
          <w:rFonts w:hint="eastAsia" w:ascii="Times New Roman" w:hAnsi="Times New Roman" w:eastAsia="宋体" w:cs="Times New Roman"/>
          <w:color w:val="FF0000"/>
          <w:spacing w:val="0"/>
          <w:sz w:val="24"/>
          <w:szCs w:val="24"/>
          <w:highlight w:val="none"/>
          <w:lang w:val="en-US" w:eastAsia="zh-CN"/>
        </w:rPr>
        <w:t>15～</w:t>
      </w:r>
      <w:r>
        <w:rPr>
          <w:rFonts w:hint="default" w:ascii="Times New Roman" w:hAnsi="Times New Roman" w:eastAsia="宋体" w:cs="Times New Roman"/>
          <w:color w:val="FF0000"/>
          <w:spacing w:val="0"/>
          <w:sz w:val="24"/>
          <w:szCs w:val="24"/>
          <w:highlight w:val="none"/>
          <w:lang w:val="en-US" w:eastAsia="zh-CN"/>
        </w:rPr>
        <w:t>表6.2-2</w:t>
      </w:r>
      <w:r>
        <w:rPr>
          <w:rFonts w:hint="eastAsia" w:ascii="Times New Roman" w:hAnsi="Times New Roman" w:eastAsia="宋体" w:cs="Times New Roman"/>
          <w:color w:val="FF0000"/>
          <w:spacing w:val="0"/>
          <w:sz w:val="24"/>
          <w:szCs w:val="24"/>
          <w:highlight w:val="none"/>
          <w:lang w:val="en-US" w:eastAsia="zh-CN"/>
        </w:rPr>
        <w:t>1</w:t>
      </w:r>
      <w:r>
        <w:rPr>
          <w:rFonts w:hint="default" w:ascii="Times New Roman" w:hAnsi="Times New Roman" w:eastAsia="宋体" w:cs="Times New Roman"/>
          <w:color w:val="FF0000"/>
          <w:spacing w:val="0"/>
          <w:sz w:val="24"/>
          <w:szCs w:val="24"/>
          <w:highlight w:val="none"/>
          <w:lang w:val="en-US" w:eastAsia="zh-CN"/>
        </w:rPr>
        <w:t>及图6</w:t>
      </w:r>
      <w:r>
        <w:rPr>
          <w:rFonts w:hint="eastAsia" w:ascii="Times New Roman" w:hAnsi="Times New Roman" w:eastAsia="宋体" w:cs="Times New Roman"/>
          <w:color w:val="FF0000"/>
          <w:spacing w:val="0"/>
          <w:sz w:val="24"/>
          <w:szCs w:val="24"/>
          <w:highlight w:val="none"/>
          <w:lang w:val="en-US" w:eastAsia="zh-CN"/>
        </w:rPr>
        <w:t>.2-2～</w:t>
      </w:r>
      <w:r>
        <w:rPr>
          <w:rFonts w:hint="default" w:ascii="Times New Roman" w:hAnsi="Times New Roman" w:eastAsia="宋体" w:cs="Times New Roman"/>
          <w:color w:val="FF0000"/>
          <w:spacing w:val="0"/>
          <w:sz w:val="24"/>
          <w:szCs w:val="24"/>
          <w:highlight w:val="none"/>
          <w:lang w:val="en-US" w:eastAsia="zh-CN"/>
        </w:rPr>
        <w:t>图6</w:t>
      </w:r>
      <w:r>
        <w:rPr>
          <w:rFonts w:hint="eastAsia" w:ascii="Times New Roman" w:hAnsi="Times New Roman" w:eastAsia="宋体" w:cs="Times New Roman"/>
          <w:color w:val="FF0000"/>
          <w:spacing w:val="0"/>
          <w:sz w:val="24"/>
          <w:szCs w:val="24"/>
          <w:highlight w:val="none"/>
          <w:lang w:val="en-US" w:eastAsia="zh-CN"/>
        </w:rPr>
        <w:t>.2-13</w:t>
      </w:r>
      <w:r>
        <w:rPr>
          <w:rFonts w:hint="default" w:ascii="Times New Roman" w:hAnsi="Times New Roman" w:eastAsia="宋体" w:cs="Times New Roman"/>
          <w:color w:val="FF0000"/>
          <w:spacing w:val="0"/>
          <w:sz w:val="24"/>
          <w:szCs w:val="24"/>
          <w:highlight w:val="none"/>
          <w:lang w:val="en-US" w:eastAsia="zh-CN"/>
        </w:rPr>
        <w:t>。</w:t>
      </w:r>
    </w:p>
    <w:p w14:paraId="150D97DC">
      <w:pPr>
        <w:pStyle w:val="120"/>
        <w:keepNext w:val="0"/>
        <w:keepLines w:val="0"/>
        <w:pageBreakBefore w:val="0"/>
        <w:widowControl w:val="0"/>
        <w:kinsoku/>
        <w:wordWrap/>
        <w:overflowPunct/>
        <w:topLinePunct w:val="0"/>
        <w:bidi w:val="0"/>
        <w:snapToGrid/>
        <w:spacing w:line="480" w:lineRule="exact"/>
        <w:ind w:left="0" w:leftChars="0" w:firstLine="0" w:firstLineChars="0"/>
        <w:jc w:val="both"/>
        <w:rPr>
          <w:rFonts w:hint="default" w:ascii="Times New Roman" w:hAnsi="Times New Roman" w:eastAsia="宋体" w:cs="Times New Roman"/>
          <w:b w:val="0"/>
          <w:bCs w:val="0"/>
          <w:color w:val="FF0000"/>
          <w:kern w:val="2"/>
          <w:sz w:val="24"/>
          <w:szCs w:val="24"/>
          <w:highlight w:val="none"/>
          <w:lang w:val="en-US" w:eastAsia="zh-CN" w:bidi="ar-SA"/>
        </w:rPr>
        <w:sectPr>
          <w:pgSz w:w="11906" w:h="16838"/>
          <w:pgMar w:top="1440" w:right="1803" w:bottom="1440" w:left="1803" w:header="1134" w:footer="1191" w:gutter="0"/>
          <w:pgBorders>
            <w:top w:val="none" w:sz="0" w:space="0"/>
            <w:left w:val="none" w:sz="0" w:space="0"/>
            <w:bottom w:val="none" w:sz="0" w:space="0"/>
            <w:right w:val="none" w:sz="0" w:space="0"/>
          </w:pgBorders>
          <w:pgNumType w:fmt="decimal"/>
          <w:cols w:space="720" w:num="1"/>
          <w:docGrid w:linePitch="286" w:charSpace="0"/>
        </w:sectPr>
      </w:pPr>
    </w:p>
    <w:p w14:paraId="6BC716A3">
      <w:pPr>
        <w:pStyle w:val="120"/>
        <w:keepNext w:val="0"/>
        <w:keepLines w:val="0"/>
        <w:pageBreakBefore w:val="0"/>
        <w:widowControl w:val="0"/>
        <w:kinsoku/>
        <w:wordWrap/>
        <w:overflowPunct/>
        <w:topLinePunct w:val="0"/>
        <w:bidi w:val="0"/>
        <w:snapToGrid/>
        <w:spacing w:line="480" w:lineRule="exact"/>
        <w:rPr>
          <w:rFonts w:hint="default" w:ascii="Times New Roman" w:hAnsi="Times New Roman" w:eastAsia="宋体" w:cs="Times New Roman"/>
          <w:b w:val="0"/>
          <w:bCs w:val="0"/>
          <w:color w:val="FF0000"/>
          <w:kern w:val="2"/>
          <w:sz w:val="24"/>
          <w:szCs w:val="24"/>
          <w:highlight w:val="none"/>
          <w:vertAlign w:val="superscript"/>
          <w:lang w:val="en-US" w:eastAsia="zh-CN" w:bidi="ar-SA"/>
        </w:rPr>
      </w:pPr>
      <w:r>
        <w:rPr>
          <w:rFonts w:hint="default" w:ascii="Times New Roman" w:hAnsi="Times New Roman" w:eastAsia="宋体" w:cs="Times New Roman"/>
          <w:b w:val="0"/>
          <w:bCs w:val="0"/>
          <w:color w:val="FF0000"/>
          <w:kern w:val="2"/>
          <w:sz w:val="24"/>
          <w:szCs w:val="24"/>
          <w:highlight w:val="none"/>
          <w:lang w:val="en-US" w:eastAsia="zh-CN" w:bidi="ar-SA"/>
        </w:rPr>
        <w:t>表6.2-</w:t>
      </w:r>
      <w:r>
        <w:rPr>
          <w:rFonts w:hint="eastAsia" w:ascii="Times New Roman" w:hAnsi="Times New Roman" w:eastAsia="宋体" w:cs="Times New Roman"/>
          <w:b w:val="0"/>
          <w:bCs w:val="0"/>
          <w:color w:val="FF0000"/>
          <w:kern w:val="2"/>
          <w:sz w:val="24"/>
          <w:szCs w:val="24"/>
          <w:highlight w:val="none"/>
          <w:lang w:val="en-US" w:eastAsia="zh-CN" w:bidi="ar-SA"/>
        </w:rPr>
        <w:t>15</w:t>
      </w:r>
      <w:r>
        <w:rPr>
          <w:rFonts w:hint="default" w:ascii="Times New Roman" w:hAnsi="Times New Roman" w:eastAsia="宋体" w:cs="Times New Roman"/>
          <w:b w:val="0"/>
          <w:bCs w:val="0"/>
          <w:color w:val="FF0000"/>
          <w:kern w:val="2"/>
          <w:sz w:val="24"/>
          <w:szCs w:val="24"/>
          <w:highlight w:val="none"/>
          <w:lang w:val="en-US" w:eastAsia="zh-CN" w:bidi="ar-SA"/>
        </w:rPr>
        <w:t xml:space="preserve">  本项目PM</w:t>
      </w:r>
      <w:r>
        <w:rPr>
          <w:rFonts w:hint="default" w:ascii="Times New Roman" w:hAnsi="Times New Roman" w:eastAsia="宋体" w:cs="Times New Roman"/>
          <w:b w:val="0"/>
          <w:bCs w:val="0"/>
          <w:color w:val="FF0000"/>
          <w:kern w:val="2"/>
          <w:sz w:val="24"/>
          <w:szCs w:val="24"/>
          <w:highlight w:val="none"/>
          <w:vertAlign w:val="subscript"/>
          <w:lang w:val="en-US" w:eastAsia="zh-CN" w:bidi="ar-SA"/>
        </w:rPr>
        <w:t>10</w:t>
      </w:r>
      <w:r>
        <w:rPr>
          <w:rFonts w:hint="eastAsia" w:ascii="Times New Roman" w:hAnsi="Times New Roman" w:eastAsia="宋体" w:cs="Times New Roman"/>
          <w:b w:val="0"/>
          <w:bCs w:val="0"/>
          <w:color w:val="FF0000"/>
          <w:kern w:val="2"/>
          <w:sz w:val="24"/>
          <w:szCs w:val="24"/>
          <w:highlight w:val="none"/>
          <w:vertAlign w:val="baseline"/>
          <w:lang w:val="en-US" w:eastAsia="zh-CN" w:bidi="ar-SA"/>
        </w:rPr>
        <w:t>叠加后</w:t>
      </w:r>
      <w:r>
        <w:rPr>
          <w:rFonts w:hint="default" w:ascii="Times New Roman" w:hAnsi="Times New Roman" w:eastAsia="宋体" w:cs="Times New Roman"/>
          <w:b w:val="0"/>
          <w:bCs w:val="0"/>
          <w:color w:val="FF0000"/>
          <w:kern w:val="2"/>
          <w:sz w:val="24"/>
          <w:szCs w:val="24"/>
          <w:highlight w:val="none"/>
          <w:lang w:val="en-US" w:eastAsia="zh-CN" w:bidi="ar-SA"/>
        </w:rPr>
        <w:t>环境质量浓度预测结果表</w:t>
      </w:r>
    </w:p>
    <w:tbl>
      <w:tblPr>
        <w:tblStyle w:val="38"/>
        <w:tblW w:w="499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84"/>
        <w:gridCol w:w="1473"/>
        <w:gridCol w:w="3252"/>
        <w:gridCol w:w="1500"/>
        <w:gridCol w:w="1208"/>
        <w:gridCol w:w="2005"/>
        <w:gridCol w:w="1676"/>
        <w:gridCol w:w="1138"/>
        <w:gridCol w:w="1071"/>
      </w:tblGrid>
      <w:tr w14:paraId="0AA317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1" w:type="pct"/>
            <w:tcBorders>
              <w:tl2br w:val="nil"/>
              <w:tr2bl w:val="nil"/>
            </w:tcBorders>
            <w:vAlign w:val="center"/>
          </w:tcPr>
          <w:p w14:paraId="213000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污染物</w:t>
            </w:r>
          </w:p>
        </w:tc>
        <w:tc>
          <w:tcPr>
            <w:tcW w:w="518" w:type="pct"/>
            <w:tcBorders>
              <w:tl2br w:val="nil"/>
              <w:tr2bl w:val="nil"/>
            </w:tcBorders>
            <w:vAlign w:val="center"/>
          </w:tcPr>
          <w:p w14:paraId="32E5EA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预测点</w:t>
            </w:r>
          </w:p>
        </w:tc>
        <w:tc>
          <w:tcPr>
            <w:tcW w:w="1144" w:type="pct"/>
            <w:tcBorders>
              <w:tl2br w:val="nil"/>
              <w:tr2bl w:val="nil"/>
            </w:tcBorders>
            <w:vAlign w:val="center"/>
          </w:tcPr>
          <w:p w14:paraId="05D513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平均时段</w:t>
            </w:r>
          </w:p>
        </w:tc>
        <w:tc>
          <w:tcPr>
            <w:tcW w:w="527" w:type="pct"/>
            <w:tcBorders>
              <w:tl2br w:val="nil"/>
              <w:tr2bl w:val="nil"/>
            </w:tcBorders>
            <w:vAlign w:val="center"/>
          </w:tcPr>
          <w:p w14:paraId="5C232A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贡献值/（μg/m</w:t>
            </w:r>
            <w:r>
              <w:rPr>
                <w:rFonts w:hint="default" w:ascii="Times New Roman" w:hAnsi="Times New Roman" w:eastAsia="宋体" w:cs="Times New Roman"/>
                <w:i w:val="0"/>
                <w:iCs w:val="0"/>
                <w:color w:val="FF0000"/>
                <w:kern w:val="0"/>
                <w:sz w:val="21"/>
                <w:szCs w:val="21"/>
                <w:highlight w:val="none"/>
                <w:u w:val="none"/>
                <w:vertAlign w:val="superscript"/>
                <w:lang w:val="en-US" w:eastAsia="zh-CN" w:bidi="ar"/>
              </w:rPr>
              <w:t>3</w:t>
            </w:r>
            <w:r>
              <w:rPr>
                <w:rFonts w:hint="default" w:ascii="Times New Roman" w:hAnsi="Times New Roman" w:eastAsia="宋体" w:cs="Times New Roman"/>
                <w:i w:val="0"/>
                <w:iCs w:val="0"/>
                <w:color w:val="FF0000"/>
                <w:kern w:val="0"/>
                <w:sz w:val="21"/>
                <w:szCs w:val="21"/>
                <w:highlight w:val="none"/>
                <w:u w:val="none"/>
                <w:lang w:val="en-US" w:eastAsia="zh-CN" w:bidi="ar"/>
              </w:rPr>
              <w:t>）</w:t>
            </w:r>
          </w:p>
        </w:tc>
        <w:tc>
          <w:tcPr>
            <w:tcW w:w="425" w:type="pct"/>
            <w:tcBorders>
              <w:tl2br w:val="nil"/>
              <w:tr2bl w:val="nil"/>
            </w:tcBorders>
            <w:vAlign w:val="center"/>
          </w:tcPr>
          <w:p w14:paraId="0F24E3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出现时间</w:t>
            </w:r>
          </w:p>
        </w:tc>
        <w:tc>
          <w:tcPr>
            <w:tcW w:w="705" w:type="pct"/>
            <w:tcBorders>
              <w:tl2br w:val="nil"/>
              <w:tr2bl w:val="nil"/>
            </w:tcBorders>
            <w:vAlign w:val="center"/>
          </w:tcPr>
          <w:p w14:paraId="421A60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现状浓度</w:t>
            </w:r>
            <w:r>
              <w:rPr>
                <w:rFonts w:hint="eastAsia" w:ascii="Times New Roman" w:hAnsi="Times New Roman" w:eastAsia="宋体" w:cs="Times New Roman"/>
                <w:i w:val="0"/>
                <w:iCs w:val="0"/>
                <w:color w:val="FF0000"/>
                <w:kern w:val="0"/>
                <w:sz w:val="21"/>
                <w:szCs w:val="21"/>
                <w:highlight w:val="none"/>
                <w:u w:val="none"/>
                <w:lang w:val="en-US" w:eastAsia="zh-CN" w:bidi="ar"/>
              </w:rPr>
              <w:t>/</w:t>
            </w:r>
          </w:p>
          <w:p w14:paraId="70CFFE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w:t>
            </w:r>
            <w:r>
              <w:rPr>
                <w:rFonts w:hint="default" w:ascii="Times New Roman" w:hAnsi="Times New Roman" w:eastAsia="宋体" w:cs="Times New Roman"/>
                <w:i w:val="0"/>
                <w:iCs w:val="0"/>
                <w:color w:val="FF0000"/>
                <w:kern w:val="0"/>
                <w:sz w:val="21"/>
                <w:szCs w:val="21"/>
                <w:highlight w:val="none"/>
                <w:u w:val="none"/>
                <w:lang w:val="en-US" w:eastAsia="zh-CN" w:bidi="ar"/>
              </w:rPr>
              <w:t>μg/m</w:t>
            </w:r>
            <w:r>
              <w:rPr>
                <w:rFonts w:hint="default" w:ascii="Times New Roman" w:hAnsi="Times New Roman" w:eastAsia="宋体" w:cs="Times New Roman"/>
                <w:i w:val="0"/>
                <w:iCs w:val="0"/>
                <w:color w:val="FF0000"/>
                <w:kern w:val="0"/>
                <w:sz w:val="21"/>
                <w:szCs w:val="21"/>
                <w:highlight w:val="none"/>
                <w:u w:val="none"/>
                <w:vertAlign w:val="superscript"/>
                <w:lang w:val="en-US" w:eastAsia="zh-CN" w:bidi="ar"/>
              </w:rPr>
              <w:t>3</w:t>
            </w:r>
            <w:r>
              <w:rPr>
                <w:rFonts w:hint="eastAsia" w:ascii="Times New Roman" w:hAnsi="Times New Roman" w:eastAsia="宋体" w:cs="Times New Roman"/>
                <w:i w:val="0"/>
                <w:iCs w:val="0"/>
                <w:color w:val="FF0000"/>
                <w:kern w:val="0"/>
                <w:sz w:val="21"/>
                <w:szCs w:val="21"/>
                <w:highlight w:val="none"/>
                <w:u w:val="none"/>
                <w:vertAlign w:val="superscript"/>
                <w:lang w:val="en-US" w:eastAsia="zh-CN" w:bidi="ar"/>
              </w:rPr>
              <w:t>)</w:t>
            </w:r>
          </w:p>
        </w:tc>
        <w:tc>
          <w:tcPr>
            <w:tcW w:w="589" w:type="pct"/>
            <w:tcBorders>
              <w:tl2br w:val="nil"/>
              <w:tr2bl w:val="nil"/>
            </w:tcBorders>
            <w:vAlign w:val="center"/>
          </w:tcPr>
          <w:p w14:paraId="00FB27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叠加后浓度/（μg/m</w:t>
            </w:r>
            <w:r>
              <w:rPr>
                <w:rFonts w:hint="default" w:ascii="Times New Roman" w:hAnsi="Times New Roman" w:eastAsia="宋体" w:cs="Times New Roman"/>
                <w:i w:val="0"/>
                <w:iCs w:val="0"/>
                <w:color w:val="FF0000"/>
                <w:kern w:val="0"/>
                <w:sz w:val="21"/>
                <w:szCs w:val="21"/>
                <w:highlight w:val="none"/>
                <w:u w:val="none"/>
                <w:vertAlign w:val="superscript"/>
                <w:lang w:val="en-US" w:eastAsia="zh-CN" w:bidi="ar"/>
              </w:rPr>
              <w:t>3</w:t>
            </w:r>
            <w:r>
              <w:rPr>
                <w:rFonts w:hint="default" w:ascii="Times New Roman" w:hAnsi="Times New Roman" w:eastAsia="宋体" w:cs="Times New Roman"/>
                <w:i w:val="0"/>
                <w:iCs w:val="0"/>
                <w:color w:val="FF0000"/>
                <w:kern w:val="0"/>
                <w:sz w:val="21"/>
                <w:szCs w:val="21"/>
                <w:highlight w:val="none"/>
                <w:u w:val="none"/>
                <w:lang w:val="en-US" w:eastAsia="zh-CN" w:bidi="ar"/>
              </w:rPr>
              <w:t>）</w:t>
            </w:r>
          </w:p>
        </w:tc>
        <w:tc>
          <w:tcPr>
            <w:tcW w:w="400" w:type="pct"/>
            <w:tcBorders>
              <w:tl2br w:val="nil"/>
              <w:tr2bl w:val="nil"/>
            </w:tcBorders>
            <w:vAlign w:val="center"/>
          </w:tcPr>
          <w:p w14:paraId="331CF1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占标率/%</w:t>
            </w:r>
          </w:p>
        </w:tc>
        <w:tc>
          <w:tcPr>
            <w:tcW w:w="376" w:type="pct"/>
            <w:tcBorders>
              <w:tl2br w:val="nil"/>
              <w:tr2bl w:val="nil"/>
            </w:tcBorders>
            <w:vAlign w:val="center"/>
          </w:tcPr>
          <w:p w14:paraId="08EAEB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达标情况</w:t>
            </w:r>
          </w:p>
        </w:tc>
      </w:tr>
      <w:tr w14:paraId="3BD4A4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1" w:type="pct"/>
            <w:vMerge w:val="restart"/>
            <w:tcBorders>
              <w:tl2br w:val="nil"/>
              <w:tr2bl w:val="nil"/>
            </w:tcBorders>
            <w:vAlign w:val="center"/>
          </w:tcPr>
          <w:p w14:paraId="4B3413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PM</w:t>
            </w:r>
            <w:r>
              <w:rPr>
                <w:rFonts w:hint="default" w:ascii="Times New Roman" w:hAnsi="Times New Roman" w:eastAsia="宋体" w:cs="Times New Roman"/>
                <w:i w:val="0"/>
                <w:iCs w:val="0"/>
                <w:color w:val="FF0000"/>
                <w:kern w:val="0"/>
                <w:sz w:val="21"/>
                <w:szCs w:val="21"/>
                <w:highlight w:val="none"/>
                <w:u w:val="none"/>
                <w:vertAlign w:val="subscript"/>
                <w:lang w:val="en-US" w:eastAsia="zh-CN" w:bidi="ar"/>
              </w:rPr>
              <w:t>10</w:t>
            </w:r>
          </w:p>
        </w:tc>
        <w:tc>
          <w:tcPr>
            <w:tcW w:w="518" w:type="pct"/>
            <w:vMerge w:val="restart"/>
            <w:tcBorders>
              <w:tl2br w:val="nil"/>
              <w:tr2bl w:val="nil"/>
            </w:tcBorders>
            <w:vAlign w:val="center"/>
          </w:tcPr>
          <w:p w14:paraId="26BD66AA">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范家屯</w:t>
            </w:r>
          </w:p>
        </w:tc>
        <w:tc>
          <w:tcPr>
            <w:tcW w:w="1144" w:type="pct"/>
            <w:tcBorders>
              <w:tl2br w:val="nil"/>
              <w:tr2bl w:val="nil"/>
            </w:tcBorders>
            <w:vAlign w:val="center"/>
          </w:tcPr>
          <w:p w14:paraId="64E564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第95百分位数日平均质量浓度</w:t>
            </w:r>
          </w:p>
        </w:tc>
        <w:tc>
          <w:tcPr>
            <w:tcW w:w="1500" w:type="dxa"/>
            <w:tcBorders>
              <w:tl2br w:val="nil"/>
              <w:tr2bl w:val="nil"/>
            </w:tcBorders>
            <w:vAlign w:val="center"/>
          </w:tcPr>
          <w:p w14:paraId="216DF7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w:t>
            </w:r>
          </w:p>
        </w:tc>
        <w:tc>
          <w:tcPr>
            <w:tcW w:w="1208" w:type="dxa"/>
            <w:tcBorders>
              <w:tl2br w:val="nil"/>
              <w:tr2bl w:val="nil"/>
            </w:tcBorders>
            <w:vAlign w:val="center"/>
          </w:tcPr>
          <w:p w14:paraId="4DF4BE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240104</w:t>
            </w:r>
          </w:p>
        </w:tc>
        <w:tc>
          <w:tcPr>
            <w:tcW w:w="2005" w:type="dxa"/>
            <w:tcBorders>
              <w:tl2br w:val="nil"/>
              <w:tr2bl w:val="nil"/>
            </w:tcBorders>
            <w:vAlign w:val="center"/>
          </w:tcPr>
          <w:p w14:paraId="7E9B56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103.0</w:t>
            </w:r>
          </w:p>
        </w:tc>
        <w:tc>
          <w:tcPr>
            <w:tcW w:w="1676" w:type="dxa"/>
            <w:tcBorders>
              <w:tl2br w:val="nil"/>
              <w:tr2bl w:val="nil"/>
            </w:tcBorders>
            <w:vAlign w:val="center"/>
          </w:tcPr>
          <w:p w14:paraId="76A89D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103.0</w:t>
            </w:r>
          </w:p>
        </w:tc>
        <w:tc>
          <w:tcPr>
            <w:tcW w:w="1138" w:type="dxa"/>
            <w:tcBorders>
              <w:tl2br w:val="nil"/>
              <w:tr2bl w:val="nil"/>
            </w:tcBorders>
            <w:vAlign w:val="center"/>
          </w:tcPr>
          <w:p w14:paraId="78F66B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68.67</w:t>
            </w:r>
          </w:p>
        </w:tc>
        <w:tc>
          <w:tcPr>
            <w:tcW w:w="376" w:type="pct"/>
            <w:tcBorders>
              <w:tl2br w:val="nil"/>
              <w:tr2bl w:val="nil"/>
            </w:tcBorders>
            <w:vAlign w:val="center"/>
          </w:tcPr>
          <w:p w14:paraId="5C58D6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0EBEEA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1" w:type="pct"/>
            <w:vMerge w:val="continue"/>
            <w:tcBorders>
              <w:tl2br w:val="nil"/>
              <w:tr2bl w:val="nil"/>
            </w:tcBorders>
            <w:vAlign w:val="center"/>
          </w:tcPr>
          <w:p w14:paraId="51AC18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518" w:type="pct"/>
            <w:vMerge w:val="continue"/>
            <w:tcBorders>
              <w:tl2br w:val="nil"/>
              <w:tr2bl w:val="nil"/>
            </w:tcBorders>
            <w:vAlign w:val="center"/>
          </w:tcPr>
          <w:p w14:paraId="602C56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1144" w:type="pct"/>
            <w:tcBorders>
              <w:tl2br w:val="nil"/>
              <w:tr2bl w:val="nil"/>
            </w:tcBorders>
            <w:vAlign w:val="center"/>
          </w:tcPr>
          <w:p w14:paraId="741F56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年均浓度</w:t>
            </w:r>
          </w:p>
        </w:tc>
        <w:tc>
          <w:tcPr>
            <w:tcW w:w="1500" w:type="dxa"/>
            <w:tcBorders>
              <w:tl2br w:val="nil"/>
              <w:tr2bl w:val="nil"/>
            </w:tcBorders>
            <w:vAlign w:val="center"/>
          </w:tcPr>
          <w:p w14:paraId="72211A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0.00061</w:t>
            </w:r>
          </w:p>
        </w:tc>
        <w:tc>
          <w:tcPr>
            <w:tcW w:w="1208" w:type="dxa"/>
            <w:tcBorders>
              <w:tl2br w:val="nil"/>
              <w:tr2bl w:val="nil"/>
            </w:tcBorders>
            <w:vAlign w:val="center"/>
          </w:tcPr>
          <w:p w14:paraId="6C8B9C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2005" w:type="dxa"/>
            <w:tcBorders>
              <w:tl2br w:val="nil"/>
              <w:tr2bl w:val="nil"/>
            </w:tcBorders>
            <w:vAlign w:val="center"/>
          </w:tcPr>
          <w:p w14:paraId="421AED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42.06849</w:t>
            </w:r>
          </w:p>
        </w:tc>
        <w:tc>
          <w:tcPr>
            <w:tcW w:w="1676" w:type="dxa"/>
            <w:tcBorders>
              <w:tl2br w:val="nil"/>
              <w:tr2bl w:val="nil"/>
            </w:tcBorders>
            <w:vAlign w:val="center"/>
          </w:tcPr>
          <w:p w14:paraId="32F4BE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42.0691</w:t>
            </w:r>
          </w:p>
        </w:tc>
        <w:tc>
          <w:tcPr>
            <w:tcW w:w="1138" w:type="dxa"/>
            <w:tcBorders>
              <w:tl2br w:val="nil"/>
              <w:tr2bl w:val="nil"/>
            </w:tcBorders>
            <w:vAlign w:val="center"/>
          </w:tcPr>
          <w:p w14:paraId="492C20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60.1</w:t>
            </w:r>
          </w:p>
        </w:tc>
        <w:tc>
          <w:tcPr>
            <w:tcW w:w="376" w:type="pct"/>
            <w:tcBorders>
              <w:tl2br w:val="nil"/>
              <w:tr2bl w:val="nil"/>
            </w:tcBorders>
            <w:vAlign w:val="center"/>
          </w:tcPr>
          <w:p w14:paraId="095D87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1EE3DA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1" w:type="pct"/>
            <w:vMerge w:val="continue"/>
            <w:tcBorders>
              <w:tl2br w:val="nil"/>
              <w:tr2bl w:val="nil"/>
            </w:tcBorders>
            <w:vAlign w:val="center"/>
          </w:tcPr>
          <w:p w14:paraId="086B14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518" w:type="pct"/>
            <w:vMerge w:val="restart"/>
            <w:tcBorders>
              <w:tl2br w:val="nil"/>
              <w:tr2bl w:val="nil"/>
            </w:tcBorders>
            <w:vAlign w:val="center"/>
          </w:tcPr>
          <w:p w14:paraId="44BEE0C5">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范家村</w:t>
            </w:r>
          </w:p>
        </w:tc>
        <w:tc>
          <w:tcPr>
            <w:tcW w:w="1144" w:type="pct"/>
            <w:tcBorders>
              <w:tl2br w:val="nil"/>
              <w:tr2bl w:val="nil"/>
            </w:tcBorders>
            <w:vAlign w:val="center"/>
          </w:tcPr>
          <w:p w14:paraId="47E0E2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第95百分位数日平均质量浓度</w:t>
            </w:r>
          </w:p>
        </w:tc>
        <w:tc>
          <w:tcPr>
            <w:tcW w:w="1500" w:type="dxa"/>
            <w:tcBorders>
              <w:tl2br w:val="nil"/>
              <w:tr2bl w:val="nil"/>
            </w:tcBorders>
            <w:vAlign w:val="center"/>
          </w:tcPr>
          <w:p w14:paraId="5D4164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0.000015</w:t>
            </w:r>
          </w:p>
        </w:tc>
        <w:tc>
          <w:tcPr>
            <w:tcW w:w="1208" w:type="dxa"/>
            <w:tcBorders>
              <w:tl2br w:val="nil"/>
              <w:tr2bl w:val="nil"/>
            </w:tcBorders>
            <w:vAlign w:val="center"/>
          </w:tcPr>
          <w:p w14:paraId="3966B7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240104</w:t>
            </w:r>
          </w:p>
        </w:tc>
        <w:tc>
          <w:tcPr>
            <w:tcW w:w="2005" w:type="dxa"/>
            <w:tcBorders>
              <w:tl2br w:val="nil"/>
              <w:tr2bl w:val="nil"/>
            </w:tcBorders>
            <w:vAlign w:val="center"/>
          </w:tcPr>
          <w:p w14:paraId="6E6D5C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103.0</w:t>
            </w:r>
          </w:p>
        </w:tc>
        <w:tc>
          <w:tcPr>
            <w:tcW w:w="1676" w:type="dxa"/>
            <w:tcBorders>
              <w:tl2br w:val="nil"/>
              <w:tr2bl w:val="nil"/>
            </w:tcBorders>
            <w:vAlign w:val="center"/>
          </w:tcPr>
          <w:p w14:paraId="61EEC6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103.0</w:t>
            </w:r>
          </w:p>
        </w:tc>
        <w:tc>
          <w:tcPr>
            <w:tcW w:w="1138" w:type="dxa"/>
            <w:tcBorders>
              <w:tl2br w:val="nil"/>
              <w:tr2bl w:val="nil"/>
            </w:tcBorders>
            <w:vAlign w:val="center"/>
          </w:tcPr>
          <w:p w14:paraId="122946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68.67</w:t>
            </w:r>
          </w:p>
        </w:tc>
        <w:tc>
          <w:tcPr>
            <w:tcW w:w="376" w:type="pct"/>
            <w:tcBorders>
              <w:tl2br w:val="nil"/>
              <w:tr2bl w:val="nil"/>
            </w:tcBorders>
            <w:vAlign w:val="center"/>
          </w:tcPr>
          <w:p w14:paraId="6A4DF4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526D19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311" w:type="pct"/>
            <w:vMerge w:val="continue"/>
            <w:tcBorders>
              <w:tl2br w:val="nil"/>
              <w:tr2bl w:val="nil"/>
            </w:tcBorders>
            <w:vAlign w:val="center"/>
          </w:tcPr>
          <w:p w14:paraId="7BCC1E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518" w:type="pct"/>
            <w:vMerge w:val="continue"/>
            <w:tcBorders>
              <w:tl2br w:val="nil"/>
              <w:tr2bl w:val="nil"/>
            </w:tcBorders>
            <w:vAlign w:val="center"/>
          </w:tcPr>
          <w:p w14:paraId="456D56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1144" w:type="pct"/>
            <w:tcBorders>
              <w:tl2br w:val="nil"/>
              <w:tr2bl w:val="nil"/>
            </w:tcBorders>
            <w:vAlign w:val="center"/>
          </w:tcPr>
          <w:p w14:paraId="1FA986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年均浓度</w:t>
            </w:r>
          </w:p>
        </w:tc>
        <w:tc>
          <w:tcPr>
            <w:tcW w:w="1500" w:type="dxa"/>
            <w:tcBorders>
              <w:tl2br w:val="nil"/>
              <w:tr2bl w:val="nil"/>
            </w:tcBorders>
            <w:vAlign w:val="center"/>
          </w:tcPr>
          <w:p w14:paraId="358469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0.00431</w:t>
            </w:r>
          </w:p>
        </w:tc>
        <w:tc>
          <w:tcPr>
            <w:tcW w:w="1208" w:type="dxa"/>
            <w:tcBorders>
              <w:tl2br w:val="nil"/>
              <w:tr2bl w:val="nil"/>
            </w:tcBorders>
            <w:vAlign w:val="center"/>
          </w:tcPr>
          <w:p w14:paraId="266123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2005" w:type="dxa"/>
            <w:tcBorders>
              <w:tl2br w:val="nil"/>
              <w:tr2bl w:val="nil"/>
            </w:tcBorders>
            <w:vAlign w:val="center"/>
          </w:tcPr>
          <w:p w14:paraId="63756B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42.06849</w:t>
            </w:r>
          </w:p>
        </w:tc>
        <w:tc>
          <w:tcPr>
            <w:tcW w:w="1676" w:type="dxa"/>
            <w:tcBorders>
              <w:tl2br w:val="nil"/>
              <w:tr2bl w:val="nil"/>
            </w:tcBorders>
            <w:vAlign w:val="center"/>
          </w:tcPr>
          <w:p w14:paraId="54244A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42.0728</w:t>
            </w:r>
          </w:p>
        </w:tc>
        <w:tc>
          <w:tcPr>
            <w:tcW w:w="1138" w:type="dxa"/>
            <w:tcBorders>
              <w:tl2br w:val="nil"/>
              <w:tr2bl w:val="nil"/>
            </w:tcBorders>
            <w:vAlign w:val="center"/>
          </w:tcPr>
          <w:p w14:paraId="57067F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60.10</w:t>
            </w:r>
          </w:p>
        </w:tc>
        <w:tc>
          <w:tcPr>
            <w:tcW w:w="376" w:type="pct"/>
            <w:tcBorders>
              <w:tl2br w:val="nil"/>
              <w:tr2bl w:val="nil"/>
            </w:tcBorders>
            <w:vAlign w:val="center"/>
          </w:tcPr>
          <w:p w14:paraId="1BBEAB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4790D7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1" w:type="pct"/>
            <w:vMerge w:val="continue"/>
            <w:tcBorders>
              <w:tl2br w:val="nil"/>
              <w:tr2bl w:val="nil"/>
            </w:tcBorders>
            <w:vAlign w:val="center"/>
          </w:tcPr>
          <w:p w14:paraId="009CFB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518" w:type="pct"/>
            <w:vMerge w:val="restart"/>
            <w:tcBorders>
              <w:tl2br w:val="nil"/>
              <w:tr2bl w:val="nil"/>
            </w:tcBorders>
            <w:vAlign w:val="center"/>
          </w:tcPr>
          <w:p w14:paraId="7113AE23">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原热电厂家属区</w:t>
            </w:r>
          </w:p>
        </w:tc>
        <w:tc>
          <w:tcPr>
            <w:tcW w:w="1144" w:type="pct"/>
            <w:tcBorders>
              <w:tl2br w:val="nil"/>
              <w:tr2bl w:val="nil"/>
            </w:tcBorders>
            <w:vAlign w:val="center"/>
          </w:tcPr>
          <w:p w14:paraId="6F060E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第95百分位数日平均质量浓度</w:t>
            </w:r>
          </w:p>
        </w:tc>
        <w:tc>
          <w:tcPr>
            <w:tcW w:w="1500" w:type="dxa"/>
            <w:tcBorders>
              <w:tl2br w:val="nil"/>
              <w:tr2bl w:val="nil"/>
            </w:tcBorders>
            <w:vAlign w:val="center"/>
          </w:tcPr>
          <w:p w14:paraId="4A08EC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0.09568</w:t>
            </w:r>
          </w:p>
        </w:tc>
        <w:tc>
          <w:tcPr>
            <w:tcW w:w="1208" w:type="dxa"/>
            <w:tcBorders>
              <w:tl2br w:val="nil"/>
              <w:tr2bl w:val="nil"/>
            </w:tcBorders>
            <w:vAlign w:val="center"/>
          </w:tcPr>
          <w:p w14:paraId="5F8D07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240104</w:t>
            </w:r>
          </w:p>
        </w:tc>
        <w:tc>
          <w:tcPr>
            <w:tcW w:w="2005" w:type="dxa"/>
            <w:tcBorders>
              <w:tl2br w:val="nil"/>
              <w:tr2bl w:val="nil"/>
            </w:tcBorders>
            <w:vAlign w:val="center"/>
          </w:tcPr>
          <w:p w14:paraId="32666E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103.0</w:t>
            </w:r>
          </w:p>
        </w:tc>
        <w:tc>
          <w:tcPr>
            <w:tcW w:w="1676" w:type="dxa"/>
            <w:tcBorders>
              <w:tl2br w:val="nil"/>
              <w:tr2bl w:val="nil"/>
            </w:tcBorders>
            <w:vAlign w:val="center"/>
          </w:tcPr>
          <w:p w14:paraId="2178EC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103.0957</w:t>
            </w:r>
          </w:p>
        </w:tc>
        <w:tc>
          <w:tcPr>
            <w:tcW w:w="1138" w:type="dxa"/>
            <w:tcBorders>
              <w:tl2br w:val="nil"/>
              <w:tr2bl w:val="nil"/>
            </w:tcBorders>
            <w:vAlign w:val="center"/>
          </w:tcPr>
          <w:p w14:paraId="05BDCC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68.67</w:t>
            </w:r>
          </w:p>
        </w:tc>
        <w:tc>
          <w:tcPr>
            <w:tcW w:w="376" w:type="pct"/>
            <w:tcBorders>
              <w:tl2br w:val="nil"/>
              <w:tr2bl w:val="nil"/>
            </w:tcBorders>
            <w:vAlign w:val="center"/>
          </w:tcPr>
          <w:p w14:paraId="535F61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580B13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1" w:type="pct"/>
            <w:vMerge w:val="continue"/>
            <w:tcBorders>
              <w:tl2br w:val="nil"/>
              <w:tr2bl w:val="nil"/>
            </w:tcBorders>
            <w:vAlign w:val="center"/>
          </w:tcPr>
          <w:p w14:paraId="7F921C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518" w:type="pct"/>
            <w:vMerge w:val="continue"/>
            <w:tcBorders>
              <w:tl2br w:val="nil"/>
              <w:tr2bl w:val="nil"/>
            </w:tcBorders>
            <w:vAlign w:val="center"/>
          </w:tcPr>
          <w:p w14:paraId="7CB5D1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1144" w:type="pct"/>
            <w:tcBorders>
              <w:tl2br w:val="nil"/>
              <w:tr2bl w:val="nil"/>
            </w:tcBorders>
            <w:vAlign w:val="center"/>
          </w:tcPr>
          <w:p w14:paraId="084F0A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年均浓度</w:t>
            </w:r>
          </w:p>
        </w:tc>
        <w:tc>
          <w:tcPr>
            <w:tcW w:w="1500" w:type="dxa"/>
            <w:tcBorders>
              <w:tl2br w:val="nil"/>
              <w:tr2bl w:val="nil"/>
            </w:tcBorders>
            <w:vAlign w:val="center"/>
          </w:tcPr>
          <w:p w14:paraId="56FC47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0.00114</w:t>
            </w:r>
          </w:p>
        </w:tc>
        <w:tc>
          <w:tcPr>
            <w:tcW w:w="1208" w:type="dxa"/>
            <w:tcBorders>
              <w:tl2br w:val="nil"/>
              <w:tr2bl w:val="nil"/>
            </w:tcBorders>
            <w:vAlign w:val="center"/>
          </w:tcPr>
          <w:p w14:paraId="185349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2005" w:type="dxa"/>
            <w:tcBorders>
              <w:tl2br w:val="nil"/>
              <w:tr2bl w:val="nil"/>
            </w:tcBorders>
            <w:vAlign w:val="center"/>
          </w:tcPr>
          <w:p w14:paraId="6679BB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42.06849</w:t>
            </w:r>
          </w:p>
        </w:tc>
        <w:tc>
          <w:tcPr>
            <w:tcW w:w="1676" w:type="dxa"/>
            <w:tcBorders>
              <w:tl2br w:val="nil"/>
              <w:tr2bl w:val="nil"/>
            </w:tcBorders>
            <w:vAlign w:val="center"/>
          </w:tcPr>
          <w:p w14:paraId="641C5F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42.06963</w:t>
            </w:r>
          </w:p>
        </w:tc>
        <w:tc>
          <w:tcPr>
            <w:tcW w:w="1138" w:type="dxa"/>
            <w:tcBorders>
              <w:tl2br w:val="nil"/>
              <w:tr2bl w:val="nil"/>
            </w:tcBorders>
            <w:vAlign w:val="center"/>
          </w:tcPr>
          <w:p w14:paraId="59C4AB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60.10</w:t>
            </w:r>
          </w:p>
        </w:tc>
        <w:tc>
          <w:tcPr>
            <w:tcW w:w="376" w:type="pct"/>
            <w:tcBorders>
              <w:tl2br w:val="nil"/>
              <w:tr2bl w:val="nil"/>
            </w:tcBorders>
            <w:vAlign w:val="center"/>
          </w:tcPr>
          <w:p w14:paraId="5A19EB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55C664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1" w:type="pct"/>
            <w:vMerge w:val="continue"/>
            <w:tcBorders>
              <w:tl2br w:val="nil"/>
              <w:tr2bl w:val="nil"/>
            </w:tcBorders>
            <w:vAlign w:val="center"/>
          </w:tcPr>
          <w:p w14:paraId="7D00EE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518" w:type="pct"/>
            <w:vMerge w:val="restart"/>
            <w:tcBorders>
              <w:tl2br w:val="nil"/>
              <w:tr2bl w:val="nil"/>
            </w:tcBorders>
            <w:vAlign w:val="center"/>
          </w:tcPr>
          <w:p w14:paraId="6425AE60">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黑锻新城小区</w:t>
            </w:r>
          </w:p>
        </w:tc>
        <w:tc>
          <w:tcPr>
            <w:tcW w:w="1144" w:type="pct"/>
            <w:tcBorders>
              <w:tl2br w:val="nil"/>
              <w:tr2bl w:val="nil"/>
            </w:tcBorders>
            <w:vAlign w:val="center"/>
          </w:tcPr>
          <w:p w14:paraId="6864B9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第95百分位数日平均质量浓度</w:t>
            </w:r>
          </w:p>
        </w:tc>
        <w:tc>
          <w:tcPr>
            <w:tcW w:w="1500" w:type="dxa"/>
            <w:tcBorders>
              <w:tl2br w:val="nil"/>
              <w:tr2bl w:val="nil"/>
            </w:tcBorders>
            <w:vAlign w:val="center"/>
          </w:tcPr>
          <w:p w14:paraId="2EBA11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w:t>
            </w:r>
          </w:p>
        </w:tc>
        <w:tc>
          <w:tcPr>
            <w:tcW w:w="1208" w:type="dxa"/>
            <w:tcBorders>
              <w:tl2br w:val="nil"/>
              <w:tr2bl w:val="nil"/>
            </w:tcBorders>
            <w:vAlign w:val="center"/>
          </w:tcPr>
          <w:p w14:paraId="5FD23A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240104</w:t>
            </w:r>
          </w:p>
        </w:tc>
        <w:tc>
          <w:tcPr>
            <w:tcW w:w="2005" w:type="dxa"/>
            <w:tcBorders>
              <w:tl2br w:val="nil"/>
              <w:tr2bl w:val="nil"/>
            </w:tcBorders>
            <w:vAlign w:val="center"/>
          </w:tcPr>
          <w:p w14:paraId="46C98B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103.0</w:t>
            </w:r>
          </w:p>
        </w:tc>
        <w:tc>
          <w:tcPr>
            <w:tcW w:w="1676" w:type="dxa"/>
            <w:tcBorders>
              <w:tl2br w:val="nil"/>
              <w:tr2bl w:val="nil"/>
            </w:tcBorders>
            <w:vAlign w:val="center"/>
          </w:tcPr>
          <w:p w14:paraId="6604F8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103.0</w:t>
            </w:r>
          </w:p>
        </w:tc>
        <w:tc>
          <w:tcPr>
            <w:tcW w:w="1138" w:type="dxa"/>
            <w:tcBorders>
              <w:tl2br w:val="nil"/>
              <w:tr2bl w:val="nil"/>
            </w:tcBorders>
            <w:vAlign w:val="center"/>
          </w:tcPr>
          <w:p w14:paraId="5C20EA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68.67</w:t>
            </w:r>
          </w:p>
        </w:tc>
        <w:tc>
          <w:tcPr>
            <w:tcW w:w="376" w:type="pct"/>
            <w:tcBorders>
              <w:tl2br w:val="nil"/>
              <w:tr2bl w:val="nil"/>
            </w:tcBorders>
            <w:vAlign w:val="center"/>
          </w:tcPr>
          <w:p w14:paraId="07B76C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1758A2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1" w:type="pct"/>
            <w:vMerge w:val="continue"/>
            <w:tcBorders>
              <w:tl2br w:val="nil"/>
              <w:tr2bl w:val="nil"/>
            </w:tcBorders>
            <w:vAlign w:val="center"/>
          </w:tcPr>
          <w:p w14:paraId="16C442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518" w:type="pct"/>
            <w:vMerge w:val="continue"/>
            <w:tcBorders>
              <w:tl2br w:val="nil"/>
              <w:tr2bl w:val="nil"/>
            </w:tcBorders>
            <w:vAlign w:val="center"/>
          </w:tcPr>
          <w:p w14:paraId="4EE38F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1144" w:type="pct"/>
            <w:tcBorders>
              <w:tl2br w:val="nil"/>
              <w:tr2bl w:val="nil"/>
            </w:tcBorders>
            <w:vAlign w:val="center"/>
          </w:tcPr>
          <w:p w14:paraId="1386B2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年均浓度</w:t>
            </w:r>
          </w:p>
        </w:tc>
        <w:tc>
          <w:tcPr>
            <w:tcW w:w="1500" w:type="dxa"/>
            <w:tcBorders>
              <w:tl2br w:val="nil"/>
              <w:tr2bl w:val="nil"/>
            </w:tcBorders>
            <w:vAlign w:val="center"/>
          </w:tcPr>
          <w:p w14:paraId="526E8C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0.00052</w:t>
            </w:r>
          </w:p>
        </w:tc>
        <w:tc>
          <w:tcPr>
            <w:tcW w:w="1208" w:type="dxa"/>
            <w:tcBorders>
              <w:tl2br w:val="nil"/>
              <w:tr2bl w:val="nil"/>
            </w:tcBorders>
            <w:vAlign w:val="center"/>
          </w:tcPr>
          <w:p w14:paraId="289E77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2005" w:type="dxa"/>
            <w:tcBorders>
              <w:tl2br w:val="nil"/>
              <w:tr2bl w:val="nil"/>
            </w:tcBorders>
            <w:vAlign w:val="center"/>
          </w:tcPr>
          <w:p w14:paraId="39FF17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42.06849</w:t>
            </w:r>
          </w:p>
        </w:tc>
        <w:tc>
          <w:tcPr>
            <w:tcW w:w="1676" w:type="dxa"/>
            <w:tcBorders>
              <w:tl2br w:val="nil"/>
              <w:tr2bl w:val="nil"/>
            </w:tcBorders>
            <w:vAlign w:val="center"/>
          </w:tcPr>
          <w:p w14:paraId="302AE5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42.06901</w:t>
            </w:r>
          </w:p>
        </w:tc>
        <w:tc>
          <w:tcPr>
            <w:tcW w:w="1138" w:type="dxa"/>
            <w:tcBorders>
              <w:tl2br w:val="nil"/>
              <w:tr2bl w:val="nil"/>
            </w:tcBorders>
            <w:vAlign w:val="center"/>
          </w:tcPr>
          <w:p w14:paraId="53FAF3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60.10</w:t>
            </w:r>
          </w:p>
        </w:tc>
        <w:tc>
          <w:tcPr>
            <w:tcW w:w="376" w:type="pct"/>
            <w:tcBorders>
              <w:tl2br w:val="nil"/>
              <w:tr2bl w:val="nil"/>
            </w:tcBorders>
            <w:vAlign w:val="center"/>
          </w:tcPr>
          <w:p w14:paraId="39C5D9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1A7272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1" w:type="pct"/>
            <w:vMerge w:val="continue"/>
            <w:tcBorders>
              <w:tl2br w:val="nil"/>
              <w:tr2bl w:val="nil"/>
            </w:tcBorders>
            <w:vAlign w:val="center"/>
          </w:tcPr>
          <w:p w14:paraId="2C061A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518" w:type="pct"/>
            <w:vMerge w:val="restart"/>
            <w:tcBorders>
              <w:tl2br w:val="nil"/>
              <w:tr2bl w:val="nil"/>
            </w:tcBorders>
            <w:vAlign w:val="center"/>
          </w:tcPr>
          <w:p w14:paraId="6B4A6A10">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东侧市区（绿云社区）</w:t>
            </w:r>
          </w:p>
        </w:tc>
        <w:tc>
          <w:tcPr>
            <w:tcW w:w="1144" w:type="pct"/>
            <w:tcBorders>
              <w:tl2br w:val="nil"/>
              <w:tr2bl w:val="nil"/>
            </w:tcBorders>
            <w:vAlign w:val="center"/>
          </w:tcPr>
          <w:p w14:paraId="5204A2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第95百分位数日平均质量浓度</w:t>
            </w:r>
          </w:p>
        </w:tc>
        <w:tc>
          <w:tcPr>
            <w:tcW w:w="1500" w:type="dxa"/>
            <w:tcBorders>
              <w:tl2br w:val="nil"/>
              <w:tr2bl w:val="nil"/>
            </w:tcBorders>
            <w:vAlign w:val="center"/>
          </w:tcPr>
          <w:p w14:paraId="45E226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w:t>
            </w:r>
          </w:p>
        </w:tc>
        <w:tc>
          <w:tcPr>
            <w:tcW w:w="1208" w:type="dxa"/>
            <w:tcBorders>
              <w:tl2br w:val="nil"/>
              <w:tr2bl w:val="nil"/>
            </w:tcBorders>
            <w:vAlign w:val="center"/>
          </w:tcPr>
          <w:p w14:paraId="6BDCA2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240104</w:t>
            </w:r>
          </w:p>
        </w:tc>
        <w:tc>
          <w:tcPr>
            <w:tcW w:w="2005" w:type="dxa"/>
            <w:tcBorders>
              <w:tl2br w:val="nil"/>
              <w:tr2bl w:val="nil"/>
            </w:tcBorders>
            <w:vAlign w:val="center"/>
          </w:tcPr>
          <w:p w14:paraId="275AD4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103.0</w:t>
            </w:r>
          </w:p>
        </w:tc>
        <w:tc>
          <w:tcPr>
            <w:tcW w:w="1676" w:type="dxa"/>
            <w:tcBorders>
              <w:tl2br w:val="nil"/>
              <w:tr2bl w:val="nil"/>
            </w:tcBorders>
            <w:vAlign w:val="center"/>
          </w:tcPr>
          <w:p w14:paraId="24B37C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103.0</w:t>
            </w:r>
          </w:p>
        </w:tc>
        <w:tc>
          <w:tcPr>
            <w:tcW w:w="1138" w:type="dxa"/>
            <w:tcBorders>
              <w:tl2br w:val="nil"/>
              <w:tr2bl w:val="nil"/>
            </w:tcBorders>
            <w:vAlign w:val="center"/>
          </w:tcPr>
          <w:p w14:paraId="5C632C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68.67</w:t>
            </w:r>
          </w:p>
        </w:tc>
        <w:tc>
          <w:tcPr>
            <w:tcW w:w="376" w:type="pct"/>
            <w:tcBorders>
              <w:tl2br w:val="nil"/>
              <w:tr2bl w:val="nil"/>
            </w:tcBorders>
            <w:vAlign w:val="center"/>
          </w:tcPr>
          <w:p w14:paraId="0AC238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1A1165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1" w:type="pct"/>
            <w:vMerge w:val="continue"/>
            <w:tcBorders>
              <w:tl2br w:val="nil"/>
              <w:tr2bl w:val="nil"/>
            </w:tcBorders>
            <w:vAlign w:val="center"/>
          </w:tcPr>
          <w:p w14:paraId="2ABA4B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518" w:type="pct"/>
            <w:vMerge w:val="continue"/>
            <w:tcBorders>
              <w:tl2br w:val="nil"/>
              <w:tr2bl w:val="nil"/>
            </w:tcBorders>
            <w:vAlign w:val="center"/>
          </w:tcPr>
          <w:p w14:paraId="189417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1144" w:type="pct"/>
            <w:tcBorders>
              <w:tl2br w:val="nil"/>
              <w:tr2bl w:val="nil"/>
            </w:tcBorders>
            <w:vAlign w:val="center"/>
          </w:tcPr>
          <w:p w14:paraId="2AA4C4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年均浓度</w:t>
            </w:r>
          </w:p>
        </w:tc>
        <w:tc>
          <w:tcPr>
            <w:tcW w:w="1500" w:type="dxa"/>
            <w:tcBorders>
              <w:tl2br w:val="nil"/>
              <w:tr2bl w:val="nil"/>
            </w:tcBorders>
            <w:vAlign w:val="center"/>
          </w:tcPr>
          <w:p w14:paraId="23B85E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0.00329</w:t>
            </w:r>
          </w:p>
        </w:tc>
        <w:tc>
          <w:tcPr>
            <w:tcW w:w="1208" w:type="dxa"/>
            <w:tcBorders>
              <w:tl2br w:val="nil"/>
              <w:tr2bl w:val="nil"/>
            </w:tcBorders>
            <w:vAlign w:val="center"/>
          </w:tcPr>
          <w:p w14:paraId="09EA78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2005" w:type="dxa"/>
            <w:tcBorders>
              <w:tl2br w:val="nil"/>
              <w:tr2bl w:val="nil"/>
            </w:tcBorders>
            <w:vAlign w:val="center"/>
          </w:tcPr>
          <w:p w14:paraId="16A3AB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42.06849</w:t>
            </w:r>
          </w:p>
        </w:tc>
        <w:tc>
          <w:tcPr>
            <w:tcW w:w="1676" w:type="dxa"/>
            <w:tcBorders>
              <w:tl2br w:val="nil"/>
              <w:tr2bl w:val="nil"/>
            </w:tcBorders>
            <w:vAlign w:val="center"/>
          </w:tcPr>
          <w:p w14:paraId="0BBCF0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42.07178</w:t>
            </w:r>
          </w:p>
        </w:tc>
        <w:tc>
          <w:tcPr>
            <w:tcW w:w="1138" w:type="dxa"/>
            <w:tcBorders>
              <w:tl2br w:val="nil"/>
              <w:tr2bl w:val="nil"/>
            </w:tcBorders>
            <w:vAlign w:val="center"/>
          </w:tcPr>
          <w:p w14:paraId="649920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60.10</w:t>
            </w:r>
          </w:p>
        </w:tc>
        <w:tc>
          <w:tcPr>
            <w:tcW w:w="376" w:type="pct"/>
            <w:tcBorders>
              <w:tl2br w:val="nil"/>
              <w:tr2bl w:val="nil"/>
            </w:tcBorders>
            <w:vAlign w:val="center"/>
          </w:tcPr>
          <w:p w14:paraId="0269A4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4644B2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1" w:type="pct"/>
            <w:vMerge w:val="continue"/>
            <w:tcBorders>
              <w:tl2br w:val="nil"/>
              <w:tr2bl w:val="nil"/>
            </w:tcBorders>
            <w:vAlign w:val="center"/>
          </w:tcPr>
          <w:p w14:paraId="3E5587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518" w:type="pct"/>
            <w:vMerge w:val="restart"/>
            <w:tcBorders>
              <w:tl2br w:val="nil"/>
              <w:tr2bl w:val="nil"/>
            </w:tcBorders>
            <w:vAlign w:val="center"/>
          </w:tcPr>
          <w:p w14:paraId="1B3B0E2C">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南侧市区（佳木斯市第十六中学）</w:t>
            </w:r>
          </w:p>
        </w:tc>
        <w:tc>
          <w:tcPr>
            <w:tcW w:w="1144" w:type="pct"/>
            <w:tcBorders>
              <w:tl2br w:val="nil"/>
              <w:tr2bl w:val="nil"/>
            </w:tcBorders>
            <w:vAlign w:val="center"/>
          </w:tcPr>
          <w:p w14:paraId="020943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第95百分位数日平均质量浓度</w:t>
            </w:r>
          </w:p>
        </w:tc>
        <w:tc>
          <w:tcPr>
            <w:tcW w:w="1500" w:type="dxa"/>
            <w:tcBorders>
              <w:tl2br w:val="nil"/>
              <w:tr2bl w:val="nil"/>
            </w:tcBorders>
            <w:vAlign w:val="center"/>
          </w:tcPr>
          <w:p w14:paraId="268467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0.025826</w:t>
            </w:r>
          </w:p>
        </w:tc>
        <w:tc>
          <w:tcPr>
            <w:tcW w:w="1208" w:type="dxa"/>
            <w:tcBorders>
              <w:tl2br w:val="nil"/>
              <w:tr2bl w:val="nil"/>
            </w:tcBorders>
            <w:vAlign w:val="center"/>
          </w:tcPr>
          <w:p w14:paraId="4D6DAF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240104</w:t>
            </w:r>
          </w:p>
        </w:tc>
        <w:tc>
          <w:tcPr>
            <w:tcW w:w="2005" w:type="dxa"/>
            <w:tcBorders>
              <w:tl2br w:val="nil"/>
              <w:tr2bl w:val="nil"/>
            </w:tcBorders>
            <w:vAlign w:val="center"/>
          </w:tcPr>
          <w:p w14:paraId="2F9777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103.0</w:t>
            </w:r>
          </w:p>
        </w:tc>
        <w:tc>
          <w:tcPr>
            <w:tcW w:w="1676" w:type="dxa"/>
            <w:tcBorders>
              <w:tl2br w:val="nil"/>
              <w:tr2bl w:val="nil"/>
            </w:tcBorders>
            <w:vAlign w:val="center"/>
          </w:tcPr>
          <w:p w14:paraId="36E126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103.0258</w:t>
            </w:r>
          </w:p>
        </w:tc>
        <w:tc>
          <w:tcPr>
            <w:tcW w:w="1138" w:type="dxa"/>
            <w:tcBorders>
              <w:tl2br w:val="nil"/>
              <w:tr2bl w:val="nil"/>
            </w:tcBorders>
            <w:vAlign w:val="center"/>
          </w:tcPr>
          <w:p w14:paraId="0EFE30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68.68</w:t>
            </w:r>
          </w:p>
        </w:tc>
        <w:tc>
          <w:tcPr>
            <w:tcW w:w="376" w:type="pct"/>
            <w:tcBorders>
              <w:tl2br w:val="nil"/>
              <w:tr2bl w:val="nil"/>
            </w:tcBorders>
            <w:vAlign w:val="center"/>
          </w:tcPr>
          <w:p w14:paraId="6E223C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5A1ED7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1" w:type="pct"/>
            <w:vMerge w:val="continue"/>
            <w:tcBorders>
              <w:tl2br w:val="nil"/>
              <w:tr2bl w:val="nil"/>
            </w:tcBorders>
            <w:vAlign w:val="center"/>
          </w:tcPr>
          <w:p w14:paraId="7DD635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518" w:type="pct"/>
            <w:vMerge w:val="continue"/>
            <w:tcBorders>
              <w:tl2br w:val="nil"/>
              <w:tr2bl w:val="nil"/>
            </w:tcBorders>
            <w:vAlign w:val="center"/>
          </w:tcPr>
          <w:p w14:paraId="10583F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1144" w:type="pct"/>
            <w:tcBorders>
              <w:tl2br w:val="nil"/>
              <w:tr2bl w:val="nil"/>
            </w:tcBorders>
            <w:vAlign w:val="center"/>
          </w:tcPr>
          <w:p w14:paraId="442909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年均浓度</w:t>
            </w:r>
          </w:p>
        </w:tc>
        <w:tc>
          <w:tcPr>
            <w:tcW w:w="1500" w:type="dxa"/>
            <w:tcBorders>
              <w:tl2br w:val="nil"/>
              <w:tr2bl w:val="nil"/>
            </w:tcBorders>
            <w:vAlign w:val="center"/>
          </w:tcPr>
          <w:p w14:paraId="586416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0.00051</w:t>
            </w:r>
          </w:p>
        </w:tc>
        <w:tc>
          <w:tcPr>
            <w:tcW w:w="1208" w:type="dxa"/>
            <w:tcBorders>
              <w:tl2br w:val="nil"/>
              <w:tr2bl w:val="nil"/>
            </w:tcBorders>
            <w:vAlign w:val="center"/>
          </w:tcPr>
          <w:p w14:paraId="4E1DE6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2005" w:type="dxa"/>
            <w:tcBorders>
              <w:tl2br w:val="nil"/>
              <w:tr2bl w:val="nil"/>
            </w:tcBorders>
            <w:vAlign w:val="center"/>
          </w:tcPr>
          <w:p w14:paraId="5BD5EC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42.06849</w:t>
            </w:r>
          </w:p>
        </w:tc>
        <w:tc>
          <w:tcPr>
            <w:tcW w:w="1676" w:type="dxa"/>
            <w:tcBorders>
              <w:tl2br w:val="nil"/>
              <w:tr2bl w:val="nil"/>
            </w:tcBorders>
            <w:vAlign w:val="center"/>
          </w:tcPr>
          <w:p w14:paraId="714869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42.069</w:t>
            </w:r>
          </w:p>
        </w:tc>
        <w:tc>
          <w:tcPr>
            <w:tcW w:w="1138" w:type="dxa"/>
            <w:tcBorders>
              <w:tl2br w:val="nil"/>
              <w:tr2bl w:val="nil"/>
            </w:tcBorders>
            <w:vAlign w:val="center"/>
          </w:tcPr>
          <w:p w14:paraId="1A8F4F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60.10</w:t>
            </w:r>
          </w:p>
        </w:tc>
        <w:tc>
          <w:tcPr>
            <w:tcW w:w="376" w:type="pct"/>
            <w:tcBorders>
              <w:tl2br w:val="nil"/>
              <w:tr2bl w:val="nil"/>
            </w:tcBorders>
            <w:vAlign w:val="center"/>
          </w:tcPr>
          <w:p w14:paraId="529328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2040D8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1" w:type="pct"/>
            <w:vMerge w:val="continue"/>
            <w:tcBorders>
              <w:tl2br w:val="nil"/>
              <w:tr2bl w:val="nil"/>
            </w:tcBorders>
            <w:vAlign w:val="center"/>
          </w:tcPr>
          <w:p w14:paraId="141B8C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518" w:type="pct"/>
            <w:vMerge w:val="restart"/>
            <w:tcBorders>
              <w:tl2br w:val="nil"/>
              <w:tr2bl w:val="nil"/>
            </w:tcBorders>
            <w:vAlign w:val="center"/>
          </w:tcPr>
          <w:p w14:paraId="17C562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区域最大落地浓度</w:t>
            </w:r>
          </w:p>
        </w:tc>
        <w:tc>
          <w:tcPr>
            <w:tcW w:w="1144" w:type="pct"/>
            <w:tcBorders>
              <w:tl2br w:val="nil"/>
              <w:tr2bl w:val="nil"/>
            </w:tcBorders>
            <w:vAlign w:val="center"/>
          </w:tcPr>
          <w:p w14:paraId="7B1DA4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第95百分位数日平均质量浓度</w:t>
            </w:r>
          </w:p>
        </w:tc>
        <w:tc>
          <w:tcPr>
            <w:tcW w:w="1500" w:type="dxa"/>
            <w:tcBorders>
              <w:tl2br w:val="nil"/>
              <w:tr2bl w:val="nil"/>
            </w:tcBorders>
            <w:vAlign w:val="center"/>
          </w:tcPr>
          <w:p w14:paraId="30777A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0.184753</w:t>
            </w:r>
          </w:p>
        </w:tc>
        <w:tc>
          <w:tcPr>
            <w:tcW w:w="1208" w:type="dxa"/>
            <w:tcBorders>
              <w:tl2br w:val="nil"/>
              <w:tr2bl w:val="nil"/>
            </w:tcBorders>
            <w:vAlign w:val="center"/>
          </w:tcPr>
          <w:p w14:paraId="2C1253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240104</w:t>
            </w:r>
          </w:p>
        </w:tc>
        <w:tc>
          <w:tcPr>
            <w:tcW w:w="2005" w:type="dxa"/>
            <w:tcBorders>
              <w:tl2br w:val="nil"/>
              <w:tr2bl w:val="nil"/>
            </w:tcBorders>
            <w:vAlign w:val="center"/>
          </w:tcPr>
          <w:p w14:paraId="63F248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103.0</w:t>
            </w:r>
          </w:p>
        </w:tc>
        <w:tc>
          <w:tcPr>
            <w:tcW w:w="1676" w:type="dxa"/>
            <w:tcBorders>
              <w:tl2br w:val="nil"/>
              <w:tr2bl w:val="nil"/>
            </w:tcBorders>
            <w:vAlign w:val="center"/>
          </w:tcPr>
          <w:p w14:paraId="13AADA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103.1848</w:t>
            </w:r>
          </w:p>
        </w:tc>
        <w:tc>
          <w:tcPr>
            <w:tcW w:w="1138" w:type="dxa"/>
            <w:tcBorders>
              <w:tl2br w:val="nil"/>
              <w:tr2bl w:val="nil"/>
            </w:tcBorders>
            <w:vAlign w:val="center"/>
          </w:tcPr>
          <w:p w14:paraId="776A04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68.79</w:t>
            </w:r>
          </w:p>
        </w:tc>
        <w:tc>
          <w:tcPr>
            <w:tcW w:w="376" w:type="pct"/>
            <w:tcBorders>
              <w:tl2br w:val="nil"/>
              <w:tr2bl w:val="nil"/>
            </w:tcBorders>
            <w:vAlign w:val="center"/>
          </w:tcPr>
          <w:p w14:paraId="448D31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320A53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11" w:type="pct"/>
            <w:vMerge w:val="continue"/>
            <w:tcBorders>
              <w:tl2br w:val="nil"/>
              <w:tr2bl w:val="nil"/>
            </w:tcBorders>
            <w:vAlign w:val="center"/>
          </w:tcPr>
          <w:p w14:paraId="02DBB6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518" w:type="pct"/>
            <w:vMerge w:val="continue"/>
            <w:tcBorders>
              <w:tl2br w:val="nil"/>
              <w:tr2bl w:val="nil"/>
            </w:tcBorders>
            <w:vAlign w:val="center"/>
          </w:tcPr>
          <w:p w14:paraId="04C4DE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1144" w:type="pct"/>
            <w:tcBorders>
              <w:tl2br w:val="nil"/>
              <w:tr2bl w:val="nil"/>
            </w:tcBorders>
            <w:vAlign w:val="center"/>
          </w:tcPr>
          <w:p w14:paraId="74B8C8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年均浓度</w:t>
            </w:r>
          </w:p>
        </w:tc>
        <w:tc>
          <w:tcPr>
            <w:tcW w:w="1500" w:type="dxa"/>
            <w:tcBorders>
              <w:tl2br w:val="nil"/>
              <w:tr2bl w:val="nil"/>
            </w:tcBorders>
            <w:vAlign w:val="center"/>
          </w:tcPr>
          <w:p w14:paraId="2E2814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0.03452</w:t>
            </w:r>
          </w:p>
        </w:tc>
        <w:tc>
          <w:tcPr>
            <w:tcW w:w="1208" w:type="dxa"/>
            <w:tcBorders>
              <w:tl2br w:val="nil"/>
              <w:tr2bl w:val="nil"/>
            </w:tcBorders>
            <w:vAlign w:val="center"/>
          </w:tcPr>
          <w:p w14:paraId="2DD27D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2005" w:type="dxa"/>
            <w:tcBorders>
              <w:tl2br w:val="nil"/>
              <w:tr2bl w:val="nil"/>
            </w:tcBorders>
            <w:vAlign w:val="center"/>
          </w:tcPr>
          <w:p w14:paraId="16B523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42.06849</w:t>
            </w:r>
          </w:p>
        </w:tc>
        <w:tc>
          <w:tcPr>
            <w:tcW w:w="1676" w:type="dxa"/>
            <w:tcBorders>
              <w:tl2br w:val="nil"/>
              <w:tr2bl w:val="nil"/>
            </w:tcBorders>
            <w:vAlign w:val="center"/>
          </w:tcPr>
          <w:p w14:paraId="548F2C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42.10301</w:t>
            </w:r>
          </w:p>
        </w:tc>
        <w:tc>
          <w:tcPr>
            <w:tcW w:w="1138" w:type="dxa"/>
            <w:tcBorders>
              <w:tl2br w:val="nil"/>
              <w:tr2bl w:val="nil"/>
            </w:tcBorders>
            <w:vAlign w:val="center"/>
          </w:tcPr>
          <w:p w14:paraId="261732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60.15</w:t>
            </w:r>
          </w:p>
        </w:tc>
        <w:tc>
          <w:tcPr>
            <w:tcW w:w="376" w:type="pct"/>
            <w:tcBorders>
              <w:tl2br w:val="nil"/>
              <w:tr2bl w:val="nil"/>
            </w:tcBorders>
            <w:vAlign w:val="center"/>
          </w:tcPr>
          <w:p w14:paraId="57DCCF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bl>
    <w:p w14:paraId="5DDB8D9A">
      <w:pPr>
        <w:pStyle w:val="120"/>
        <w:keepNext w:val="0"/>
        <w:keepLines w:val="0"/>
        <w:pageBreakBefore w:val="0"/>
        <w:widowControl w:val="0"/>
        <w:kinsoku/>
        <w:wordWrap/>
        <w:overflowPunct/>
        <w:topLinePunct w:val="0"/>
        <w:bidi w:val="0"/>
        <w:snapToGrid/>
        <w:spacing w:line="480" w:lineRule="exact"/>
        <w:rPr>
          <w:rFonts w:hint="default" w:ascii="Times New Roman" w:hAnsi="Times New Roman" w:eastAsia="宋体" w:cs="Times New Roman"/>
          <w:b w:val="0"/>
          <w:bCs w:val="0"/>
          <w:color w:val="FF0000"/>
          <w:kern w:val="2"/>
          <w:sz w:val="24"/>
          <w:szCs w:val="24"/>
          <w:highlight w:val="none"/>
          <w:lang w:val="en-US" w:eastAsia="zh-CN" w:bidi="ar-SA"/>
        </w:rPr>
      </w:pPr>
    </w:p>
    <w:p w14:paraId="7B6481C0">
      <w:pPr>
        <w:pStyle w:val="120"/>
        <w:keepNext w:val="0"/>
        <w:keepLines w:val="0"/>
        <w:pageBreakBefore w:val="0"/>
        <w:widowControl w:val="0"/>
        <w:kinsoku/>
        <w:wordWrap/>
        <w:overflowPunct/>
        <w:topLinePunct w:val="0"/>
        <w:bidi w:val="0"/>
        <w:snapToGrid/>
        <w:spacing w:line="480" w:lineRule="exact"/>
        <w:rPr>
          <w:rFonts w:hint="default" w:ascii="Times New Roman" w:hAnsi="Times New Roman" w:eastAsia="宋体" w:cs="Times New Roman"/>
          <w:b w:val="0"/>
          <w:bCs w:val="0"/>
          <w:color w:val="FF0000"/>
          <w:kern w:val="2"/>
          <w:sz w:val="24"/>
          <w:szCs w:val="24"/>
          <w:highlight w:val="none"/>
          <w:lang w:val="en-US" w:eastAsia="zh-CN" w:bidi="ar-SA"/>
        </w:rPr>
      </w:pPr>
    </w:p>
    <w:p w14:paraId="473D9F69">
      <w:pPr>
        <w:pStyle w:val="120"/>
        <w:keepNext w:val="0"/>
        <w:keepLines w:val="0"/>
        <w:pageBreakBefore w:val="0"/>
        <w:widowControl w:val="0"/>
        <w:kinsoku/>
        <w:wordWrap/>
        <w:overflowPunct/>
        <w:topLinePunct w:val="0"/>
        <w:bidi w:val="0"/>
        <w:snapToGrid/>
        <w:spacing w:line="480" w:lineRule="exact"/>
        <w:rPr>
          <w:rFonts w:hint="default" w:ascii="Times New Roman" w:hAnsi="Times New Roman" w:eastAsia="宋体" w:cs="Times New Roman"/>
          <w:b w:val="0"/>
          <w:bCs w:val="0"/>
          <w:color w:val="FF0000"/>
          <w:kern w:val="2"/>
          <w:sz w:val="24"/>
          <w:szCs w:val="24"/>
          <w:highlight w:val="none"/>
          <w:vertAlign w:val="superscript"/>
          <w:lang w:val="en-US" w:eastAsia="zh-CN" w:bidi="ar-SA"/>
        </w:rPr>
      </w:pPr>
      <w:r>
        <w:rPr>
          <w:rFonts w:hint="default" w:ascii="Times New Roman" w:hAnsi="Times New Roman" w:eastAsia="宋体" w:cs="Times New Roman"/>
          <w:b w:val="0"/>
          <w:bCs w:val="0"/>
          <w:color w:val="FF0000"/>
          <w:kern w:val="2"/>
          <w:sz w:val="24"/>
          <w:szCs w:val="24"/>
          <w:highlight w:val="none"/>
          <w:lang w:val="en-US" w:eastAsia="zh-CN" w:bidi="ar-SA"/>
        </w:rPr>
        <w:t>表6.2-</w:t>
      </w:r>
      <w:r>
        <w:rPr>
          <w:rFonts w:hint="eastAsia" w:ascii="Times New Roman" w:hAnsi="Times New Roman" w:eastAsia="宋体" w:cs="Times New Roman"/>
          <w:b w:val="0"/>
          <w:bCs w:val="0"/>
          <w:color w:val="FF0000"/>
          <w:kern w:val="2"/>
          <w:sz w:val="24"/>
          <w:szCs w:val="24"/>
          <w:highlight w:val="none"/>
          <w:lang w:val="en-US" w:eastAsia="zh-CN" w:bidi="ar-SA"/>
        </w:rPr>
        <w:t>16</w:t>
      </w:r>
      <w:r>
        <w:rPr>
          <w:rFonts w:hint="default" w:ascii="Times New Roman" w:hAnsi="Times New Roman" w:eastAsia="宋体" w:cs="Times New Roman"/>
          <w:b w:val="0"/>
          <w:bCs w:val="0"/>
          <w:color w:val="FF0000"/>
          <w:kern w:val="2"/>
          <w:sz w:val="24"/>
          <w:szCs w:val="24"/>
          <w:highlight w:val="none"/>
          <w:lang w:val="en-US" w:eastAsia="zh-CN" w:bidi="ar-SA"/>
        </w:rPr>
        <w:t xml:space="preserve">  本项目PM</w:t>
      </w:r>
      <w:r>
        <w:rPr>
          <w:rFonts w:hint="eastAsia" w:ascii="Times New Roman" w:hAnsi="Times New Roman" w:eastAsia="宋体" w:cs="Times New Roman"/>
          <w:b w:val="0"/>
          <w:bCs w:val="0"/>
          <w:color w:val="FF0000"/>
          <w:kern w:val="2"/>
          <w:sz w:val="24"/>
          <w:szCs w:val="24"/>
          <w:highlight w:val="none"/>
          <w:vertAlign w:val="subscript"/>
          <w:lang w:val="en-US" w:eastAsia="zh-CN" w:bidi="ar-SA"/>
        </w:rPr>
        <w:t>2.5</w:t>
      </w:r>
      <w:r>
        <w:rPr>
          <w:rFonts w:hint="eastAsia" w:ascii="Times New Roman" w:hAnsi="Times New Roman" w:eastAsia="宋体" w:cs="Times New Roman"/>
          <w:b w:val="0"/>
          <w:bCs w:val="0"/>
          <w:color w:val="FF0000"/>
          <w:kern w:val="2"/>
          <w:sz w:val="24"/>
          <w:szCs w:val="24"/>
          <w:highlight w:val="none"/>
          <w:vertAlign w:val="baseline"/>
          <w:lang w:val="en-US" w:eastAsia="zh-CN" w:bidi="ar-SA"/>
        </w:rPr>
        <w:t>叠加后</w:t>
      </w:r>
      <w:r>
        <w:rPr>
          <w:rFonts w:hint="default" w:ascii="Times New Roman" w:hAnsi="Times New Roman" w:eastAsia="宋体" w:cs="Times New Roman"/>
          <w:b w:val="0"/>
          <w:bCs w:val="0"/>
          <w:color w:val="FF0000"/>
          <w:kern w:val="2"/>
          <w:sz w:val="24"/>
          <w:szCs w:val="24"/>
          <w:highlight w:val="none"/>
          <w:lang w:val="en-US" w:eastAsia="zh-CN" w:bidi="ar-SA"/>
        </w:rPr>
        <w:t>环境质量浓度预测结果表</w:t>
      </w:r>
    </w:p>
    <w:tbl>
      <w:tblPr>
        <w:tblStyle w:val="38"/>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58"/>
        <w:gridCol w:w="2136"/>
        <w:gridCol w:w="3399"/>
        <w:gridCol w:w="1587"/>
        <w:gridCol w:w="1152"/>
        <w:gridCol w:w="1382"/>
        <w:gridCol w:w="1416"/>
        <w:gridCol w:w="1075"/>
        <w:gridCol w:w="1104"/>
      </w:tblGrid>
      <w:tr w14:paraId="7422A3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7" w:type="pct"/>
            <w:tcBorders>
              <w:tl2br w:val="nil"/>
              <w:tr2bl w:val="nil"/>
            </w:tcBorders>
            <w:vAlign w:val="center"/>
          </w:tcPr>
          <w:p w14:paraId="6DA7AD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污染物</w:t>
            </w:r>
          </w:p>
        </w:tc>
        <w:tc>
          <w:tcPr>
            <w:tcW w:w="751" w:type="pct"/>
            <w:tcBorders>
              <w:tl2br w:val="nil"/>
              <w:tr2bl w:val="nil"/>
            </w:tcBorders>
            <w:vAlign w:val="center"/>
          </w:tcPr>
          <w:p w14:paraId="7617FB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预测点</w:t>
            </w:r>
          </w:p>
        </w:tc>
        <w:tc>
          <w:tcPr>
            <w:tcW w:w="1195" w:type="pct"/>
            <w:tcBorders>
              <w:tl2br w:val="nil"/>
              <w:tr2bl w:val="nil"/>
            </w:tcBorders>
            <w:vAlign w:val="center"/>
          </w:tcPr>
          <w:p w14:paraId="2650AB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平均时段</w:t>
            </w:r>
          </w:p>
        </w:tc>
        <w:tc>
          <w:tcPr>
            <w:tcW w:w="558" w:type="pct"/>
            <w:tcBorders>
              <w:tl2br w:val="nil"/>
              <w:tr2bl w:val="nil"/>
            </w:tcBorders>
            <w:vAlign w:val="center"/>
          </w:tcPr>
          <w:p w14:paraId="22CE43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贡献值/（μg/m</w:t>
            </w:r>
            <w:r>
              <w:rPr>
                <w:rFonts w:hint="default" w:ascii="Times New Roman" w:hAnsi="Times New Roman" w:eastAsia="宋体" w:cs="Times New Roman"/>
                <w:i w:val="0"/>
                <w:iCs w:val="0"/>
                <w:color w:val="FF0000"/>
                <w:kern w:val="0"/>
                <w:sz w:val="21"/>
                <w:szCs w:val="21"/>
                <w:highlight w:val="none"/>
                <w:u w:val="none"/>
                <w:vertAlign w:val="superscript"/>
                <w:lang w:val="en-US" w:eastAsia="zh-CN" w:bidi="ar"/>
              </w:rPr>
              <w:t>3</w:t>
            </w:r>
            <w:r>
              <w:rPr>
                <w:rFonts w:hint="default" w:ascii="Times New Roman" w:hAnsi="Times New Roman" w:eastAsia="宋体" w:cs="Times New Roman"/>
                <w:i w:val="0"/>
                <w:iCs w:val="0"/>
                <w:color w:val="FF0000"/>
                <w:kern w:val="0"/>
                <w:sz w:val="21"/>
                <w:szCs w:val="21"/>
                <w:highlight w:val="none"/>
                <w:u w:val="none"/>
                <w:lang w:val="en-US" w:eastAsia="zh-CN" w:bidi="ar"/>
              </w:rPr>
              <w:t>）</w:t>
            </w:r>
          </w:p>
        </w:tc>
        <w:tc>
          <w:tcPr>
            <w:tcW w:w="405" w:type="pct"/>
            <w:tcBorders>
              <w:tl2br w:val="nil"/>
              <w:tr2bl w:val="nil"/>
            </w:tcBorders>
            <w:vAlign w:val="center"/>
          </w:tcPr>
          <w:p w14:paraId="3046DD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出现时间</w:t>
            </w:r>
          </w:p>
        </w:tc>
        <w:tc>
          <w:tcPr>
            <w:tcW w:w="486" w:type="pct"/>
            <w:tcBorders>
              <w:tl2br w:val="nil"/>
              <w:tr2bl w:val="nil"/>
            </w:tcBorders>
            <w:vAlign w:val="center"/>
          </w:tcPr>
          <w:p w14:paraId="455ED4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现状浓度/（μg/m</w:t>
            </w:r>
            <w:r>
              <w:rPr>
                <w:rFonts w:hint="default" w:ascii="Times New Roman" w:hAnsi="Times New Roman" w:eastAsia="宋体" w:cs="Times New Roman"/>
                <w:i w:val="0"/>
                <w:iCs w:val="0"/>
                <w:color w:val="FF0000"/>
                <w:kern w:val="0"/>
                <w:sz w:val="21"/>
                <w:szCs w:val="21"/>
                <w:highlight w:val="none"/>
                <w:u w:val="none"/>
                <w:vertAlign w:val="superscript"/>
                <w:lang w:val="en-US" w:eastAsia="zh-CN" w:bidi="ar"/>
              </w:rPr>
              <w:t>3</w:t>
            </w:r>
            <w:r>
              <w:rPr>
                <w:rFonts w:hint="default" w:ascii="Times New Roman" w:hAnsi="Times New Roman" w:eastAsia="宋体" w:cs="Times New Roman"/>
                <w:i w:val="0"/>
                <w:iCs w:val="0"/>
                <w:color w:val="FF0000"/>
                <w:kern w:val="0"/>
                <w:sz w:val="21"/>
                <w:szCs w:val="21"/>
                <w:highlight w:val="none"/>
                <w:u w:val="none"/>
                <w:lang w:val="en-US" w:eastAsia="zh-CN" w:bidi="ar"/>
              </w:rPr>
              <w:t>）</w:t>
            </w:r>
          </w:p>
        </w:tc>
        <w:tc>
          <w:tcPr>
            <w:tcW w:w="498" w:type="pct"/>
            <w:tcBorders>
              <w:tl2br w:val="nil"/>
              <w:tr2bl w:val="nil"/>
            </w:tcBorders>
            <w:vAlign w:val="center"/>
          </w:tcPr>
          <w:p w14:paraId="5A0F21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叠加后浓度/（μg/m</w:t>
            </w:r>
            <w:r>
              <w:rPr>
                <w:rFonts w:hint="default" w:ascii="Times New Roman" w:hAnsi="Times New Roman" w:eastAsia="宋体" w:cs="Times New Roman"/>
                <w:i w:val="0"/>
                <w:iCs w:val="0"/>
                <w:color w:val="FF0000"/>
                <w:kern w:val="0"/>
                <w:sz w:val="21"/>
                <w:szCs w:val="21"/>
                <w:highlight w:val="none"/>
                <w:u w:val="none"/>
                <w:vertAlign w:val="superscript"/>
                <w:lang w:val="en-US" w:eastAsia="zh-CN" w:bidi="ar"/>
              </w:rPr>
              <w:t>3</w:t>
            </w:r>
            <w:r>
              <w:rPr>
                <w:rFonts w:hint="default" w:ascii="Times New Roman" w:hAnsi="Times New Roman" w:eastAsia="宋体" w:cs="Times New Roman"/>
                <w:i w:val="0"/>
                <w:iCs w:val="0"/>
                <w:color w:val="FF0000"/>
                <w:kern w:val="0"/>
                <w:sz w:val="21"/>
                <w:szCs w:val="21"/>
                <w:highlight w:val="none"/>
                <w:u w:val="none"/>
                <w:lang w:val="en-US" w:eastAsia="zh-CN" w:bidi="ar"/>
              </w:rPr>
              <w:t>）</w:t>
            </w:r>
          </w:p>
        </w:tc>
        <w:tc>
          <w:tcPr>
            <w:tcW w:w="378" w:type="pct"/>
            <w:tcBorders>
              <w:tl2br w:val="nil"/>
              <w:tr2bl w:val="nil"/>
            </w:tcBorders>
            <w:vAlign w:val="center"/>
          </w:tcPr>
          <w:p w14:paraId="3E27DF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占标率/%</w:t>
            </w:r>
          </w:p>
        </w:tc>
        <w:tc>
          <w:tcPr>
            <w:tcW w:w="388" w:type="pct"/>
            <w:tcBorders>
              <w:tl2br w:val="nil"/>
              <w:tr2bl w:val="nil"/>
            </w:tcBorders>
            <w:vAlign w:val="center"/>
          </w:tcPr>
          <w:p w14:paraId="6CF4F0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达标情况</w:t>
            </w:r>
          </w:p>
        </w:tc>
      </w:tr>
      <w:tr w14:paraId="3128F2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7" w:type="pct"/>
            <w:vMerge w:val="restart"/>
            <w:tcBorders>
              <w:tl2br w:val="nil"/>
              <w:tr2bl w:val="nil"/>
            </w:tcBorders>
            <w:vAlign w:val="center"/>
          </w:tcPr>
          <w:p w14:paraId="44884B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PM</w:t>
            </w:r>
            <w:r>
              <w:rPr>
                <w:rFonts w:hint="eastAsia" w:ascii="Times New Roman" w:hAnsi="Times New Roman" w:eastAsia="宋体" w:cs="Times New Roman"/>
                <w:i w:val="0"/>
                <w:iCs w:val="0"/>
                <w:color w:val="FF0000"/>
                <w:kern w:val="0"/>
                <w:sz w:val="21"/>
                <w:szCs w:val="21"/>
                <w:highlight w:val="none"/>
                <w:u w:val="none"/>
                <w:vertAlign w:val="subscript"/>
                <w:lang w:val="en-US" w:eastAsia="zh-CN" w:bidi="ar"/>
              </w:rPr>
              <w:t>2.5</w:t>
            </w:r>
          </w:p>
        </w:tc>
        <w:tc>
          <w:tcPr>
            <w:tcW w:w="751" w:type="pct"/>
            <w:vMerge w:val="restart"/>
            <w:tcBorders>
              <w:tl2br w:val="nil"/>
              <w:tr2bl w:val="nil"/>
            </w:tcBorders>
            <w:vAlign w:val="center"/>
          </w:tcPr>
          <w:p w14:paraId="79A8AB20">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范家屯</w:t>
            </w:r>
          </w:p>
        </w:tc>
        <w:tc>
          <w:tcPr>
            <w:tcW w:w="1195" w:type="pct"/>
            <w:tcBorders>
              <w:tl2br w:val="nil"/>
              <w:tr2bl w:val="nil"/>
            </w:tcBorders>
            <w:vAlign w:val="center"/>
          </w:tcPr>
          <w:p w14:paraId="0305E7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第95百分位数日平均质量浓度</w:t>
            </w:r>
          </w:p>
        </w:tc>
        <w:tc>
          <w:tcPr>
            <w:tcW w:w="1587" w:type="dxa"/>
            <w:tcBorders>
              <w:tl2br w:val="nil"/>
              <w:tr2bl w:val="nil"/>
            </w:tcBorders>
            <w:vAlign w:val="center"/>
          </w:tcPr>
          <w:p w14:paraId="7A9AA7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w:t>
            </w:r>
          </w:p>
        </w:tc>
        <w:tc>
          <w:tcPr>
            <w:tcW w:w="1152" w:type="dxa"/>
            <w:tcBorders>
              <w:tl2br w:val="nil"/>
              <w:tr2bl w:val="nil"/>
            </w:tcBorders>
            <w:vAlign w:val="center"/>
          </w:tcPr>
          <w:p w14:paraId="07FB90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241102</w:t>
            </w:r>
          </w:p>
        </w:tc>
        <w:tc>
          <w:tcPr>
            <w:tcW w:w="1382" w:type="dxa"/>
            <w:tcBorders>
              <w:tl2br w:val="nil"/>
              <w:tr2bl w:val="nil"/>
            </w:tcBorders>
            <w:vAlign w:val="center"/>
          </w:tcPr>
          <w:p w14:paraId="6D4D68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74</w:t>
            </w:r>
          </w:p>
        </w:tc>
        <w:tc>
          <w:tcPr>
            <w:tcW w:w="1416" w:type="dxa"/>
            <w:tcBorders>
              <w:tl2br w:val="nil"/>
              <w:tr2bl w:val="nil"/>
            </w:tcBorders>
            <w:vAlign w:val="center"/>
          </w:tcPr>
          <w:p w14:paraId="6D77B1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74</w:t>
            </w:r>
          </w:p>
        </w:tc>
        <w:tc>
          <w:tcPr>
            <w:tcW w:w="1075" w:type="dxa"/>
            <w:tcBorders>
              <w:tl2br w:val="nil"/>
              <w:tr2bl w:val="nil"/>
            </w:tcBorders>
            <w:vAlign w:val="center"/>
          </w:tcPr>
          <w:p w14:paraId="238303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98.67</w:t>
            </w:r>
          </w:p>
        </w:tc>
        <w:tc>
          <w:tcPr>
            <w:tcW w:w="388" w:type="pct"/>
            <w:tcBorders>
              <w:tl2br w:val="nil"/>
              <w:tr2bl w:val="nil"/>
            </w:tcBorders>
            <w:vAlign w:val="center"/>
          </w:tcPr>
          <w:p w14:paraId="63B98D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103314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7" w:type="pct"/>
            <w:vMerge w:val="continue"/>
            <w:tcBorders>
              <w:tl2br w:val="nil"/>
              <w:tr2bl w:val="nil"/>
            </w:tcBorders>
            <w:vAlign w:val="center"/>
          </w:tcPr>
          <w:p w14:paraId="3A3872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51" w:type="pct"/>
            <w:vMerge w:val="continue"/>
            <w:tcBorders>
              <w:tl2br w:val="nil"/>
              <w:tr2bl w:val="nil"/>
            </w:tcBorders>
            <w:vAlign w:val="center"/>
          </w:tcPr>
          <w:p w14:paraId="54EA42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1195" w:type="pct"/>
            <w:tcBorders>
              <w:tl2br w:val="nil"/>
              <w:tr2bl w:val="nil"/>
            </w:tcBorders>
            <w:vAlign w:val="center"/>
          </w:tcPr>
          <w:p w14:paraId="7931E6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年均浓度</w:t>
            </w:r>
          </w:p>
        </w:tc>
        <w:tc>
          <w:tcPr>
            <w:tcW w:w="1587" w:type="dxa"/>
            <w:tcBorders>
              <w:tl2br w:val="nil"/>
              <w:tr2bl w:val="nil"/>
            </w:tcBorders>
            <w:vAlign w:val="center"/>
          </w:tcPr>
          <w:p w14:paraId="120060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0.00014</w:t>
            </w:r>
          </w:p>
        </w:tc>
        <w:tc>
          <w:tcPr>
            <w:tcW w:w="1152" w:type="dxa"/>
            <w:tcBorders>
              <w:tl2br w:val="nil"/>
              <w:tr2bl w:val="nil"/>
            </w:tcBorders>
            <w:vAlign w:val="center"/>
          </w:tcPr>
          <w:p w14:paraId="57D517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382" w:type="dxa"/>
            <w:tcBorders>
              <w:tl2br w:val="nil"/>
              <w:tr2bl w:val="nil"/>
            </w:tcBorders>
            <w:vAlign w:val="center"/>
          </w:tcPr>
          <w:p w14:paraId="1D03AD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26.33699</w:t>
            </w:r>
          </w:p>
        </w:tc>
        <w:tc>
          <w:tcPr>
            <w:tcW w:w="1416" w:type="dxa"/>
            <w:tcBorders>
              <w:tl2br w:val="nil"/>
              <w:tr2bl w:val="nil"/>
            </w:tcBorders>
            <w:vAlign w:val="center"/>
          </w:tcPr>
          <w:p w14:paraId="237880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26.33713</w:t>
            </w:r>
          </w:p>
        </w:tc>
        <w:tc>
          <w:tcPr>
            <w:tcW w:w="1075" w:type="dxa"/>
            <w:tcBorders>
              <w:tl2br w:val="nil"/>
              <w:tr2bl w:val="nil"/>
            </w:tcBorders>
            <w:vAlign w:val="center"/>
          </w:tcPr>
          <w:p w14:paraId="6674D2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75.25</w:t>
            </w:r>
          </w:p>
        </w:tc>
        <w:tc>
          <w:tcPr>
            <w:tcW w:w="388" w:type="pct"/>
            <w:tcBorders>
              <w:tl2br w:val="nil"/>
              <w:tr2bl w:val="nil"/>
            </w:tcBorders>
            <w:vAlign w:val="center"/>
          </w:tcPr>
          <w:p w14:paraId="51634D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70C522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7" w:type="pct"/>
            <w:vMerge w:val="continue"/>
            <w:tcBorders>
              <w:tl2br w:val="nil"/>
              <w:tr2bl w:val="nil"/>
            </w:tcBorders>
            <w:vAlign w:val="center"/>
          </w:tcPr>
          <w:p w14:paraId="6CA098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51" w:type="pct"/>
            <w:vMerge w:val="restart"/>
            <w:tcBorders>
              <w:tl2br w:val="nil"/>
              <w:tr2bl w:val="nil"/>
            </w:tcBorders>
            <w:vAlign w:val="center"/>
          </w:tcPr>
          <w:p w14:paraId="00A2B88A">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范家村</w:t>
            </w:r>
          </w:p>
        </w:tc>
        <w:tc>
          <w:tcPr>
            <w:tcW w:w="1195" w:type="pct"/>
            <w:tcBorders>
              <w:tl2br w:val="nil"/>
              <w:tr2bl w:val="nil"/>
            </w:tcBorders>
            <w:vAlign w:val="center"/>
          </w:tcPr>
          <w:p w14:paraId="456B4F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第95百分位数日平均质量浓度</w:t>
            </w:r>
          </w:p>
        </w:tc>
        <w:tc>
          <w:tcPr>
            <w:tcW w:w="1587" w:type="dxa"/>
            <w:tcBorders>
              <w:tl2br w:val="nil"/>
              <w:tr2bl w:val="nil"/>
            </w:tcBorders>
            <w:shd w:val="clear" w:color="auto" w:fill="auto"/>
            <w:vAlign w:val="center"/>
          </w:tcPr>
          <w:p w14:paraId="2BD548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w:t>
            </w:r>
          </w:p>
        </w:tc>
        <w:tc>
          <w:tcPr>
            <w:tcW w:w="1152" w:type="dxa"/>
            <w:tcBorders>
              <w:tl2br w:val="nil"/>
              <w:tr2bl w:val="nil"/>
            </w:tcBorders>
            <w:shd w:val="clear" w:color="auto" w:fill="auto"/>
            <w:vAlign w:val="center"/>
          </w:tcPr>
          <w:p w14:paraId="74BC00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241102</w:t>
            </w:r>
          </w:p>
        </w:tc>
        <w:tc>
          <w:tcPr>
            <w:tcW w:w="1382" w:type="dxa"/>
            <w:tcBorders>
              <w:tl2br w:val="nil"/>
              <w:tr2bl w:val="nil"/>
            </w:tcBorders>
            <w:shd w:val="clear" w:color="auto" w:fill="auto"/>
            <w:vAlign w:val="center"/>
          </w:tcPr>
          <w:p w14:paraId="3C9AF6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74</w:t>
            </w:r>
          </w:p>
        </w:tc>
        <w:tc>
          <w:tcPr>
            <w:tcW w:w="1416" w:type="dxa"/>
            <w:tcBorders>
              <w:tl2br w:val="nil"/>
              <w:tr2bl w:val="nil"/>
            </w:tcBorders>
            <w:shd w:val="clear" w:color="auto" w:fill="auto"/>
            <w:vAlign w:val="center"/>
          </w:tcPr>
          <w:p w14:paraId="703D45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74</w:t>
            </w:r>
          </w:p>
        </w:tc>
        <w:tc>
          <w:tcPr>
            <w:tcW w:w="1075" w:type="dxa"/>
            <w:tcBorders>
              <w:tl2br w:val="nil"/>
              <w:tr2bl w:val="nil"/>
            </w:tcBorders>
            <w:shd w:val="clear" w:color="auto" w:fill="auto"/>
            <w:vAlign w:val="center"/>
          </w:tcPr>
          <w:p w14:paraId="7C34E3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98.67</w:t>
            </w:r>
          </w:p>
        </w:tc>
        <w:tc>
          <w:tcPr>
            <w:tcW w:w="388" w:type="pct"/>
            <w:tcBorders>
              <w:tl2br w:val="nil"/>
              <w:tr2bl w:val="nil"/>
            </w:tcBorders>
            <w:vAlign w:val="center"/>
          </w:tcPr>
          <w:p w14:paraId="7CD314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407A28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337" w:type="pct"/>
            <w:vMerge w:val="continue"/>
            <w:tcBorders>
              <w:tl2br w:val="nil"/>
              <w:tr2bl w:val="nil"/>
            </w:tcBorders>
            <w:vAlign w:val="center"/>
          </w:tcPr>
          <w:p w14:paraId="64D765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51" w:type="pct"/>
            <w:vMerge w:val="continue"/>
            <w:tcBorders>
              <w:tl2br w:val="nil"/>
              <w:tr2bl w:val="nil"/>
            </w:tcBorders>
            <w:vAlign w:val="center"/>
          </w:tcPr>
          <w:p w14:paraId="2E18F8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1195" w:type="pct"/>
            <w:tcBorders>
              <w:tl2br w:val="nil"/>
              <w:tr2bl w:val="nil"/>
            </w:tcBorders>
            <w:vAlign w:val="center"/>
          </w:tcPr>
          <w:p w14:paraId="219E4C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年均浓度</w:t>
            </w:r>
          </w:p>
        </w:tc>
        <w:tc>
          <w:tcPr>
            <w:tcW w:w="1587" w:type="dxa"/>
            <w:tcBorders>
              <w:tl2br w:val="nil"/>
              <w:tr2bl w:val="nil"/>
            </w:tcBorders>
            <w:vAlign w:val="center"/>
          </w:tcPr>
          <w:p w14:paraId="1D2CE8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0.00042</w:t>
            </w:r>
          </w:p>
        </w:tc>
        <w:tc>
          <w:tcPr>
            <w:tcW w:w="1152" w:type="dxa"/>
            <w:tcBorders>
              <w:tl2br w:val="nil"/>
              <w:tr2bl w:val="nil"/>
            </w:tcBorders>
            <w:vAlign w:val="center"/>
          </w:tcPr>
          <w:p w14:paraId="7E69CE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382" w:type="dxa"/>
            <w:tcBorders>
              <w:tl2br w:val="nil"/>
              <w:tr2bl w:val="nil"/>
            </w:tcBorders>
            <w:vAlign w:val="center"/>
          </w:tcPr>
          <w:p w14:paraId="767D62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26.33699</w:t>
            </w:r>
          </w:p>
        </w:tc>
        <w:tc>
          <w:tcPr>
            <w:tcW w:w="1416" w:type="dxa"/>
            <w:tcBorders>
              <w:tl2br w:val="nil"/>
              <w:tr2bl w:val="nil"/>
            </w:tcBorders>
            <w:vAlign w:val="center"/>
          </w:tcPr>
          <w:p w14:paraId="3F9450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26.33741</w:t>
            </w:r>
          </w:p>
        </w:tc>
        <w:tc>
          <w:tcPr>
            <w:tcW w:w="1075" w:type="dxa"/>
            <w:tcBorders>
              <w:tl2br w:val="nil"/>
              <w:tr2bl w:val="nil"/>
            </w:tcBorders>
            <w:vAlign w:val="center"/>
          </w:tcPr>
          <w:p w14:paraId="1D93C0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75.25</w:t>
            </w:r>
          </w:p>
        </w:tc>
        <w:tc>
          <w:tcPr>
            <w:tcW w:w="388" w:type="pct"/>
            <w:tcBorders>
              <w:tl2br w:val="nil"/>
              <w:tr2bl w:val="nil"/>
            </w:tcBorders>
            <w:vAlign w:val="center"/>
          </w:tcPr>
          <w:p w14:paraId="0441C8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322956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7" w:type="pct"/>
            <w:vMerge w:val="continue"/>
            <w:tcBorders>
              <w:tl2br w:val="nil"/>
              <w:tr2bl w:val="nil"/>
            </w:tcBorders>
            <w:vAlign w:val="center"/>
          </w:tcPr>
          <w:p w14:paraId="1D8E23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51" w:type="pct"/>
            <w:vMerge w:val="restart"/>
            <w:tcBorders>
              <w:tl2br w:val="nil"/>
              <w:tr2bl w:val="nil"/>
            </w:tcBorders>
            <w:vAlign w:val="center"/>
          </w:tcPr>
          <w:p w14:paraId="6C306F99">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原热电厂家属区</w:t>
            </w:r>
          </w:p>
        </w:tc>
        <w:tc>
          <w:tcPr>
            <w:tcW w:w="1195" w:type="pct"/>
            <w:tcBorders>
              <w:tl2br w:val="nil"/>
              <w:tr2bl w:val="nil"/>
            </w:tcBorders>
            <w:vAlign w:val="center"/>
          </w:tcPr>
          <w:p w14:paraId="1523BD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第95百分位数日平均质量浓度</w:t>
            </w:r>
          </w:p>
        </w:tc>
        <w:tc>
          <w:tcPr>
            <w:tcW w:w="1587" w:type="dxa"/>
            <w:tcBorders>
              <w:tl2br w:val="nil"/>
              <w:tr2bl w:val="nil"/>
            </w:tcBorders>
            <w:shd w:val="clear" w:color="auto" w:fill="auto"/>
            <w:vAlign w:val="center"/>
          </w:tcPr>
          <w:p w14:paraId="688325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w:t>
            </w:r>
          </w:p>
        </w:tc>
        <w:tc>
          <w:tcPr>
            <w:tcW w:w="1152" w:type="dxa"/>
            <w:tcBorders>
              <w:tl2br w:val="nil"/>
              <w:tr2bl w:val="nil"/>
            </w:tcBorders>
            <w:shd w:val="clear" w:color="auto" w:fill="auto"/>
            <w:vAlign w:val="center"/>
          </w:tcPr>
          <w:p w14:paraId="571E06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241102</w:t>
            </w:r>
          </w:p>
        </w:tc>
        <w:tc>
          <w:tcPr>
            <w:tcW w:w="1382" w:type="dxa"/>
            <w:tcBorders>
              <w:tl2br w:val="nil"/>
              <w:tr2bl w:val="nil"/>
            </w:tcBorders>
            <w:shd w:val="clear" w:color="auto" w:fill="auto"/>
            <w:vAlign w:val="center"/>
          </w:tcPr>
          <w:p w14:paraId="6DA826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74</w:t>
            </w:r>
          </w:p>
        </w:tc>
        <w:tc>
          <w:tcPr>
            <w:tcW w:w="1416" w:type="dxa"/>
            <w:tcBorders>
              <w:tl2br w:val="nil"/>
              <w:tr2bl w:val="nil"/>
            </w:tcBorders>
            <w:shd w:val="clear" w:color="auto" w:fill="auto"/>
            <w:vAlign w:val="center"/>
          </w:tcPr>
          <w:p w14:paraId="74F292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74</w:t>
            </w:r>
          </w:p>
        </w:tc>
        <w:tc>
          <w:tcPr>
            <w:tcW w:w="1075" w:type="dxa"/>
            <w:tcBorders>
              <w:tl2br w:val="nil"/>
              <w:tr2bl w:val="nil"/>
            </w:tcBorders>
            <w:shd w:val="clear" w:color="auto" w:fill="auto"/>
            <w:vAlign w:val="center"/>
          </w:tcPr>
          <w:p w14:paraId="4E3803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98.67</w:t>
            </w:r>
          </w:p>
        </w:tc>
        <w:tc>
          <w:tcPr>
            <w:tcW w:w="388" w:type="pct"/>
            <w:tcBorders>
              <w:tl2br w:val="nil"/>
              <w:tr2bl w:val="nil"/>
            </w:tcBorders>
            <w:vAlign w:val="center"/>
          </w:tcPr>
          <w:p w14:paraId="09A513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7BF68F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7" w:type="pct"/>
            <w:vMerge w:val="continue"/>
            <w:tcBorders>
              <w:tl2br w:val="nil"/>
              <w:tr2bl w:val="nil"/>
            </w:tcBorders>
            <w:vAlign w:val="center"/>
          </w:tcPr>
          <w:p w14:paraId="427B27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51" w:type="pct"/>
            <w:vMerge w:val="continue"/>
            <w:tcBorders>
              <w:tl2br w:val="nil"/>
              <w:tr2bl w:val="nil"/>
            </w:tcBorders>
            <w:vAlign w:val="center"/>
          </w:tcPr>
          <w:p w14:paraId="18FD91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1195" w:type="pct"/>
            <w:tcBorders>
              <w:tl2br w:val="nil"/>
              <w:tr2bl w:val="nil"/>
            </w:tcBorders>
            <w:vAlign w:val="center"/>
          </w:tcPr>
          <w:p w14:paraId="0CE1B3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年均浓度</w:t>
            </w:r>
          </w:p>
        </w:tc>
        <w:tc>
          <w:tcPr>
            <w:tcW w:w="1587" w:type="dxa"/>
            <w:tcBorders>
              <w:tl2br w:val="nil"/>
              <w:tr2bl w:val="nil"/>
            </w:tcBorders>
            <w:vAlign w:val="center"/>
          </w:tcPr>
          <w:p w14:paraId="72FB08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w:t>
            </w:r>
          </w:p>
        </w:tc>
        <w:tc>
          <w:tcPr>
            <w:tcW w:w="1152" w:type="dxa"/>
            <w:tcBorders>
              <w:tl2br w:val="nil"/>
              <w:tr2bl w:val="nil"/>
            </w:tcBorders>
            <w:vAlign w:val="center"/>
          </w:tcPr>
          <w:p w14:paraId="721B0F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382" w:type="dxa"/>
            <w:tcBorders>
              <w:tl2br w:val="nil"/>
              <w:tr2bl w:val="nil"/>
            </w:tcBorders>
            <w:vAlign w:val="center"/>
          </w:tcPr>
          <w:p w14:paraId="1B5924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26.33699</w:t>
            </w:r>
          </w:p>
        </w:tc>
        <w:tc>
          <w:tcPr>
            <w:tcW w:w="1416" w:type="dxa"/>
            <w:tcBorders>
              <w:tl2br w:val="nil"/>
              <w:tr2bl w:val="nil"/>
            </w:tcBorders>
            <w:vAlign w:val="center"/>
          </w:tcPr>
          <w:p w14:paraId="24F99C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26.33699</w:t>
            </w:r>
          </w:p>
        </w:tc>
        <w:tc>
          <w:tcPr>
            <w:tcW w:w="1075" w:type="dxa"/>
            <w:tcBorders>
              <w:tl2br w:val="nil"/>
              <w:tr2bl w:val="nil"/>
            </w:tcBorders>
            <w:vAlign w:val="center"/>
          </w:tcPr>
          <w:p w14:paraId="0C38FA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75.25</w:t>
            </w:r>
          </w:p>
        </w:tc>
        <w:tc>
          <w:tcPr>
            <w:tcW w:w="388" w:type="pct"/>
            <w:tcBorders>
              <w:tl2br w:val="nil"/>
              <w:tr2bl w:val="nil"/>
            </w:tcBorders>
            <w:vAlign w:val="center"/>
          </w:tcPr>
          <w:p w14:paraId="49AA48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3DC4F0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7" w:type="pct"/>
            <w:vMerge w:val="continue"/>
            <w:tcBorders>
              <w:tl2br w:val="nil"/>
              <w:tr2bl w:val="nil"/>
            </w:tcBorders>
            <w:vAlign w:val="center"/>
          </w:tcPr>
          <w:p w14:paraId="3F2F83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51" w:type="pct"/>
            <w:vMerge w:val="restart"/>
            <w:tcBorders>
              <w:tl2br w:val="nil"/>
              <w:tr2bl w:val="nil"/>
            </w:tcBorders>
            <w:vAlign w:val="center"/>
          </w:tcPr>
          <w:p w14:paraId="6934BC4A">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黑锻新城小区</w:t>
            </w:r>
          </w:p>
        </w:tc>
        <w:tc>
          <w:tcPr>
            <w:tcW w:w="1195" w:type="pct"/>
            <w:tcBorders>
              <w:tl2br w:val="nil"/>
              <w:tr2bl w:val="nil"/>
            </w:tcBorders>
            <w:vAlign w:val="center"/>
          </w:tcPr>
          <w:p w14:paraId="09EB51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第95百分位数日平均质量浓度</w:t>
            </w:r>
          </w:p>
        </w:tc>
        <w:tc>
          <w:tcPr>
            <w:tcW w:w="1587" w:type="dxa"/>
            <w:tcBorders>
              <w:tl2br w:val="nil"/>
              <w:tr2bl w:val="nil"/>
            </w:tcBorders>
            <w:shd w:val="clear" w:color="auto" w:fill="auto"/>
            <w:vAlign w:val="center"/>
          </w:tcPr>
          <w:p w14:paraId="158674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w:t>
            </w:r>
          </w:p>
        </w:tc>
        <w:tc>
          <w:tcPr>
            <w:tcW w:w="1152" w:type="dxa"/>
            <w:tcBorders>
              <w:tl2br w:val="nil"/>
              <w:tr2bl w:val="nil"/>
            </w:tcBorders>
            <w:shd w:val="clear" w:color="auto" w:fill="auto"/>
            <w:vAlign w:val="center"/>
          </w:tcPr>
          <w:p w14:paraId="153F06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241102</w:t>
            </w:r>
          </w:p>
        </w:tc>
        <w:tc>
          <w:tcPr>
            <w:tcW w:w="1382" w:type="dxa"/>
            <w:tcBorders>
              <w:tl2br w:val="nil"/>
              <w:tr2bl w:val="nil"/>
            </w:tcBorders>
            <w:shd w:val="clear" w:color="auto" w:fill="auto"/>
            <w:vAlign w:val="center"/>
          </w:tcPr>
          <w:p w14:paraId="44CF68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74</w:t>
            </w:r>
          </w:p>
        </w:tc>
        <w:tc>
          <w:tcPr>
            <w:tcW w:w="1416" w:type="dxa"/>
            <w:tcBorders>
              <w:tl2br w:val="nil"/>
              <w:tr2bl w:val="nil"/>
            </w:tcBorders>
            <w:shd w:val="clear" w:color="auto" w:fill="auto"/>
            <w:vAlign w:val="center"/>
          </w:tcPr>
          <w:p w14:paraId="59F144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74</w:t>
            </w:r>
          </w:p>
        </w:tc>
        <w:tc>
          <w:tcPr>
            <w:tcW w:w="1075" w:type="dxa"/>
            <w:tcBorders>
              <w:tl2br w:val="nil"/>
              <w:tr2bl w:val="nil"/>
            </w:tcBorders>
            <w:shd w:val="clear" w:color="auto" w:fill="auto"/>
            <w:vAlign w:val="center"/>
          </w:tcPr>
          <w:p w14:paraId="0AB3BA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98.67</w:t>
            </w:r>
          </w:p>
        </w:tc>
        <w:tc>
          <w:tcPr>
            <w:tcW w:w="388" w:type="pct"/>
            <w:tcBorders>
              <w:tl2br w:val="nil"/>
              <w:tr2bl w:val="nil"/>
            </w:tcBorders>
            <w:vAlign w:val="center"/>
          </w:tcPr>
          <w:p w14:paraId="0C434F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63DE37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7" w:type="pct"/>
            <w:vMerge w:val="continue"/>
            <w:tcBorders>
              <w:tl2br w:val="nil"/>
              <w:tr2bl w:val="nil"/>
            </w:tcBorders>
            <w:vAlign w:val="center"/>
          </w:tcPr>
          <w:p w14:paraId="51C45F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51" w:type="pct"/>
            <w:vMerge w:val="continue"/>
            <w:tcBorders>
              <w:tl2br w:val="nil"/>
              <w:tr2bl w:val="nil"/>
            </w:tcBorders>
            <w:vAlign w:val="center"/>
          </w:tcPr>
          <w:p w14:paraId="344D3B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1195" w:type="pct"/>
            <w:tcBorders>
              <w:tl2br w:val="nil"/>
              <w:tr2bl w:val="nil"/>
            </w:tcBorders>
            <w:vAlign w:val="center"/>
          </w:tcPr>
          <w:p w14:paraId="30A4B3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年均浓度</w:t>
            </w:r>
          </w:p>
        </w:tc>
        <w:tc>
          <w:tcPr>
            <w:tcW w:w="1587" w:type="dxa"/>
            <w:tcBorders>
              <w:tl2br w:val="nil"/>
              <w:tr2bl w:val="nil"/>
            </w:tcBorders>
            <w:vAlign w:val="center"/>
          </w:tcPr>
          <w:p w14:paraId="0E3F66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0.00008</w:t>
            </w:r>
          </w:p>
        </w:tc>
        <w:tc>
          <w:tcPr>
            <w:tcW w:w="1152" w:type="dxa"/>
            <w:tcBorders>
              <w:tl2br w:val="nil"/>
              <w:tr2bl w:val="nil"/>
            </w:tcBorders>
            <w:vAlign w:val="center"/>
          </w:tcPr>
          <w:p w14:paraId="153260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382" w:type="dxa"/>
            <w:tcBorders>
              <w:tl2br w:val="nil"/>
              <w:tr2bl w:val="nil"/>
            </w:tcBorders>
            <w:vAlign w:val="center"/>
          </w:tcPr>
          <w:p w14:paraId="12B8E8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26.33699</w:t>
            </w:r>
          </w:p>
        </w:tc>
        <w:tc>
          <w:tcPr>
            <w:tcW w:w="1416" w:type="dxa"/>
            <w:tcBorders>
              <w:tl2br w:val="nil"/>
              <w:tr2bl w:val="nil"/>
            </w:tcBorders>
            <w:vAlign w:val="center"/>
          </w:tcPr>
          <w:p w14:paraId="396173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26.33707</w:t>
            </w:r>
          </w:p>
        </w:tc>
        <w:tc>
          <w:tcPr>
            <w:tcW w:w="1075" w:type="dxa"/>
            <w:tcBorders>
              <w:tl2br w:val="nil"/>
              <w:tr2bl w:val="nil"/>
            </w:tcBorders>
            <w:vAlign w:val="center"/>
          </w:tcPr>
          <w:p w14:paraId="66E938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75.25</w:t>
            </w:r>
          </w:p>
        </w:tc>
        <w:tc>
          <w:tcPr>
            <w:tcW w:w="388" w:type="pct"/>
            <w:tcBorders>
              <w:tl2br w:val="nil"/>
              <w:tr2bl w:val="nil"/>
            </w:tcBorders>
            <w:vAlign w:val="center"/>
          </w:tcPr>
          <w:p w14:paraId="550832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7BD4A8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7" w:type="pct"/>
            <w:vMerge w:val="continue"/>
            <w:tcBorders>
              <w:tl2br w:val="nil"/>
              <w:tr2bl w:val="nil"/>
            </w:tcBorders>
            <w:vAlign w:val="center"/>
          </w:tcPr>
          <w:p w14:paraId="5B1A8A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51" w:type="pct"/>
            <w:vMerge w:val="restart"/>
            <w:tcBorders>
              <w:tl2br w:val="nil"/>
              <w:tr2bl w:val="nil"/>
            </w:tcBorders>
            <w:vAlign w:val="center"/>
          </w:tcPr>
          <w:p w14:paraId="71BAF43D">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东侧市区（绿云社区）</w:t>
            </w:r>
          </w:p>
        </w:tc>
        <w:tc>
          <w:tcPr>
            <w:tcW w:w="1195" w:type="pct"/>
            <w:tcBorders>
              <w:tl2br w:val="nil"/>
              <w:tr2bl w:val="nil"/>
            </w:tcBorders>
            <w:vAlign w:val="center"/>
          </w:tcPr>
          <w:p w14:paraId="660F01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第95百分位数日平均质量浓度</w:t>
            </w:r>
          </w:p>
        </w:tc>
        <w:tc>
          <w:tcPr>
            <w:tcW w:w="1587" w:type="dxa"/>
            <w:tcBorders>
              <w:tl2br w:val="nil"/>
              <w:tr2bl w:val="nil"/>
            </w:tcBorders>
            <w:shd w:val="clear" w:color="auto" w:fill="auto"/>
            <w:vAlign w:val="center"/>
          </w:tcPr>
          <w:p w14:paraId="0DE274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w:t>
            </w:r>
          </w:p>
        </w:tc>
        <w:tc>
          <w:tcPr>
            <w:tcW w:w="1152" w:type="dxa"/>
            <w:tcBorders>
              <w:tl2br w:val="nil"/>
              <w:tr2bl w:val="nil"/>
            </w:tcBorders>
            <w:shd w:val="clear" w:color="auto" w:fill="auto"/>
            <w:vAlign w:val="center"/>
          </w:tcPr>
          <w:p w14:paraId="6FAEA2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241102</w:t>
            </w:r>
          </w:p>
        </w:tc>
        <w:tc>
          <w:tcPr>
            <w:tcW w:w="1382" w:type="dxa"/>
            <w:tcBorders>
              <w:tl2br w:val="nil"/>
              <w:tr2bl w:val="nil"/>
            </w:tcBorders>
            <w:shd w:val="clear" w:color="auto" w:fill="auto"/>
            <w:vAlign w:val="center"/>
          </w:tcPr>
          <w:p w14:paraId="58634B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74</w:t>
            </w:r>
          </w:p>
        </w:tc>
        <w:tc>
          <w:tcPr>
            <w:tcW w:w="1416" w:type="dxa"/>
            <w:tcBorders>
              <w:tl2br w:val="nil"/>
              <w:tr2bl w:val="nil"/>
            </w:tcBorders>
            <w:shd w:val="clear" w:color="auto" w:fill="auto"/>
            <w:vAlign w:val="center"/>
          </w:tcPr>
          <w:p w14:paraId="2931D9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74</w:t>
            </w:r>
          </w:p>
        </w:tc>
        <w:tc>
          <w:tcPr>
            <w:tcW w:w="1075" w:type="dxa"/>
            <w:tcBorders>
              <w:tl2br w:val="nil"/>
              <w:tr2bl w:val="nil"/>
            </w:tcBorders>
            <w:shd w:val="clear" w:color="auto" w:fill="auto"/>
            <w:vAlign w:val="center"/>
          </w:tcPr>
          <w:p w14:paraId="371866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98.67</w:t>
            </w:r>
          </w:p>
        </w:tc>
        <w:tc>
          <w:tcPr>
            <w:tcW w:w="388" w:type="pct"/>
            <w:tcBorders>
              <w:tl2br w:val="nil"/>
              <w:tr2bl w:val="nil"/>
            </w:tcBorders>
            <w:vAlign w:val="center"/>
          </w:tcPr>
          <w:p w14:paraId="021062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70CB41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7" w:type="pct"/>
            <w:vMerge w:val="continue"/>
            <w:tcBorders>
              <w:tl2br w:val="nil"/>
              <w:tr2bl w:val="nil"/>
            </w:tcBorders>
            <w:vAlign w:val="center"/>
          </w:tcPr>
          <w:p w14:paraId="669D0D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51" w:type="pct"/>
            <w:vMerge w:val="continue"/>
            <w:tcBorders>
              <w:tl2br w:val="nil"/>
              <w:tr2bl w:val="nil"/>
            </w:tcBorders>
            <w:vAlign w:val="center"/>
          </w:tcPr>
          <w:p w14:paraId="04E100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1195" w:type="pct"/>
            <w:tcBorders>
              <w:tl2br w:val="nil"/>
              <w:tr2bl w:val="nil"/>
            </w:tcBorders>
            <w:vAlign w:val="center"/>
          </w:tcPr>
          <w:p w14:paraId="0320C4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年均浓度</w:t>
            </w:r>
          </w:p>
        </w:tc>
        <w:tc>
          <w:tcPr>
            <w:tcW w:w="1587" w:type="dxa"/>
            <w:tcBorders>
              <w:tl2br w:val="nil"/>
              <w:tr2bl w:val="nil"/>
            </w:tcBorders>
            <w:vAlign w:val="center"/>
          </w:tcPr>
          <w:p w14:paraId="662825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0.00144</w:t>
            </w:r>
          </w:p>
        </w:tc>
        <w:tc>
          <w:tcPr>
            <w:tcW w:w="1152" w:type="dxa"/>
            <w:tcBorders>
              <w:tl2br w:val="nil"/>
              <w:tr2bl w:val="nil"/>
            </w:tcBorders>
            <w:vAlign w:val="center"/>
          </w:tcPr>
          <w:p w14:paraId="6AE6F9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382" w:type="dxa"/>
            <w:tcBorders>
              <w:tl2br w:val="nil"/>
              <w:tr2bl w:val="nil"/>
            </w:tcBorders>
            <w:vAlign w:val="center"/>
          </w:tcPr>
          <w:p w14:paraId="2DA207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26.33699</w:t>
            </w:r>
          </w:p>
        </w:tc>
        <w:tc>
          <w:tcPr>
            <w:tcW w:w="1416" w:type="dxa"/>
            <w:tcBorders>
              <w:tl2br w:val="nil"/>
              <w:tr2bl w:val="nil"/>
            </w:tcBorders>
            <w:vAlign w:val="center"/>
          </w:tcPr>
          <w:p w14:paraId="557BF5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26.33843</w:t>
            </w:r>
          </w:p>
        </w:tc>
        <w:tc>
          <w:tcPr>
            <w:tcW w:w="1075" w:type="dxa"/>
            <w:tcBorders>
              <w:tl2br w:val="nil"/>
              <w:tr2bl w:val="nil"/>
            </w:tcBorders>
            <w:vAlign w:val="center"/>
          </w:tcPr>
          <w:p w14:paraId="19FC96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75.25</w:t>
            </w:r>
          </w:p>
        </w:tc>
        <w:tc>
          <w:tcPr>
            <w:tcW w:w="388" w:type="pct"/>
            <w:tcBorders>
              <w:tl2br w:val="nil"/>
              <w:tr2bl w:val="nil"/>
            </w:tcBorders>
            <w:vAlign w:val="center"/>
          </w:tcPr>
          <w:p w14:paraId="21121E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420A2D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7" w:type="pct"/>
            <w:vMerge w:val="continue"/>
            <w:tcBorders>
              <w:tl2br w:val="nil"/>
              <w:tr2bl w:val="nil"/>
            </w:tcBorders>
            <w:vAlign w:val="center"/>
          </w:tcPr>
          <w:p w14:paraId="039A1F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51" w:type="pct"/>
            <w:vMerge w:val="restart"/>
            <w:tcBorders>
              <w:tl2br w:val="nil"/>
              <w:tr2bl w:val="nil"/>
            </w:tcBorders>
            <w:vAlign w:val="center"/>
          </w:tcPr>
          <w:p w14:paraId="16FD1004">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南侧市区（佳木斯市第十六中学）</w:t>
            </w:r>
          </w:p>
        </w:tc>
        <w:tc>
          <w:tcPr>
            <w:tcW w:w="1195" w:type="pct"/>
            <w:tcBorders>
              <w:tl2br w:val="nil"/>
              <w:tr2bl w:val="nil"/>
            </w:tcBorders>
            <w:vAlign w:val="center"/>
          </w:tcPr>
          <w:p w14:paraId="28A146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第95百分位数日平均质量浓度</w:t>
            </w:r>
          </w:p>
        </w:tc>
        <w:tc>
          <w:tcPr>
            <w:tcW w:w="1587" w:type="dxa"/>
            <w:tcBorders>
              <w:tl2br w:val="nil"/>
              <w:tr2bl w:val="nil"/>
            </w:tcBorders>
            <w:shd w:val="clear" w:color="auto" w:fill="auto"/>
            <w:vAlign w:val="center"/>
          </w:tcPr>
          <w:p w14:paraId="3E24C4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w:t>
            </w:r>
          </w:p>
        </w:tc>
        <w:tc>
          <w:tcPr>
            <w:tcW w:w="1152" w:type="dxa"/>
            <w:tcBorders>
              <w:tl2br w:val="nil"/>
              <w:tr2bl w:val="nil"/>
            </w:tcBorders>
            <w:shd w:val="clear" w:color="auto" w:fill="auto"/>
            <w:vAlign w:val="center"/>
          </w:tcPr>
          <w:p w14:paraId="6821BB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241102</w:t>
            </w:r>
          </w:p>
        </w:tc>
        <w:tc>
          <w:tcPr>
            <w:tcW w:w="1382" w:type="dxa"/>
            <w:tcBorders>
              <w:tl2br w:val="nil"/>
              <w:tr2bl w:val="nil"/>
            </w:tcBorders>
            <w:shd w:val="clear" w:color="auto" w:fill="auto"/>
            <w:vAlign w:val="center"/>
          </w:tcPr>
          <w:p w14:paraId="5D6818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74</w:t>
            </w:r>
          </w:p>
        </w:tc>
        <w:tc>
          <w:tcPr>
            <w:tcW w:w="1416" w:type="dxa"/>
            <w:tcBorders>
              <w:tl2br w:val="nil"/>
              <w:tr2bl w:val="nil"/>
            </w:tcBorders>
            <w:shd w:val="clear" w:color="auto" w:fill="auto"/>
            <w:vAlign w:val="center"/>
          </w:tcPr>
          <w:p w14:paraId="6E9A5E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74</w:t>
            </w:r>
          </w:p>
        </w:tc>
        <w:tc>
          <w:tcPr>
            <w:tcW w:w="1075" w:type="dxa"/>
            <w:tcBorders>
              <w:tl2br w:val="nil"/>
              <w:tr2bl w:val="nil"/>
            </w:tcBorders>
            <w:shd w:val="clear" w:color="auto" w:fill="auto"/>
            <w:vAlign w:val="center"/>
          </w:tcPr>
          <w:p w14:paraId="3FD1F5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98.67</w:t>
            </w:r>
          </w:p>
        </w:tc>
        <w:tc>
          <w:tcPr>
            <w:tcW w:w="388" w:type="pct"/>
            <w:tcBorders>
              <w:tl2br w:val="nil"/>
              <w:tr2bl w:val="nil"/>
            </w:tcBorders>
            <w:vAlign w:val="center"/>
          </w:tcPr>
          <w:p w14:paraId="1238E6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7DB767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7" w:type="pct"/>
            <w:vMerge w:val="continue"/>
            <w:tcBorders>
              <w:tl2br w:val="nil"/>
              <w:tr2bl w:val="nil"/>
            </w:tcBorders>
            <w:vAlign w:val="center"/>
          </w:tcPr>
          <w:p w14:paraId="7175C1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51" w:type="pct"/>
            <w:vMerge w:val="continue"/>
            <w:tcBorders>
              <w:tl2br w:val="nil"/>
              <w:tr2bl w:val="nil"/>
            </w:tcBorders>
            <w:vAlign w:val="center"/>
          </w:tcPr>
          <w:p w14:paraId="5BA268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1195" w:type="pct"/>
            <w:tcBorders>
              <w:tl2br w:val="nil"/>
              <w:tr2bl w:val="nil"/>
            </w:tcBorders>
            <w:vAlign w:val="center"/>
          </w:tcPr>
          <w:p w14:paraId="70461A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年均浓度</w:t>
            </w:r>
          </w:p>
        </w:tc>
        <w:tc>
          <w:tcPr>
            <w:tcW w:w="1587" w:type="dxa"/>
            <w:tcBorders>
              <w:tl2br w:val="nil"/>
              <w:tr2bl w:val="nil"/>
            </w:tcBorders>
            <w:vAlign w:val="center"/>
          </w:tcPr>
          <w:p w14:paraId="4C0710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0.00011</w:t>
            </w:r>
          </w:p>
        </w:tc>
        <w:tc>
          <w:tcPr>
            <w:tcW w:w="1152" w:type="dxa"/>
            <w:tcBorders>
              <w:tl2br w:val="nil"/>
              <w:tr2bl w:val="nil"/>
            </w:tcBorders>
            <w:vAlign w:val="center"/>
          </w:tcPr>
          <w:p w14:paraId="667793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382" w:type="dxa"/>
            <w:tcBorders>
              <w:tl2br w:val="nil"/>
              <w:tr2bl w:val="nil"/>
            </w:tcBorders>
            <w:vAlign w:val="center"/>
          </w:tcPr>
          <w:p w14:paraId="057F3F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26.33699</w:t>
            </w:r>
          </w:p>
        </w:tc>
        <w:tc>
          <w:tcPr>
            <w:tcW w:w="1416" w:type="dxa"/>
            <w:tcBorders>
              <w:tl2br w:val="nil"/>
              <w:tr2bl w:val="nil"/>
            </w:tcBorders>
            <w:vAlign w:val="center"/>
          </w:tcPr>
          <w:p w14:paraId="450F15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26.3371</w:t>
            </w:r>
          </w:p>
        </w:tc>
        <w:tc>
          <w:tcPr>
            <w:tcW w:w="1075" w:type="dxa"/>
            <w:tcBorders>
              <w:tl2br w:val="nil"/>
              <w:tr2bl w:val="nil"/>
            </w:tcBorders>
            <w:vAlign w:val="center"/>
          </w:tcPr>
          <w:p w14:paraId="6E0B4D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75.25</w:t>
            </w:r>
          </w:p>
        </w:tc>
        <w:tc>
          <w:tcPr>
            <w:tcW w:w="388" w:type="pct"/>
            <w:tcBorders>
              <w:tl2br w:val="nil"/>
              <w:tr2bl w:val="nil"/>
            </w:tcBorders>
            <w:vAlign w:val="center"/>
          </w:tcPr>
          <w:p w14:paraId="66DA50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367654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7" w:type="pct"/>
            <w:vMerge w:val="continue"/>
            <w:tcBorders>
              <w:tl2br w:val="nil"/>
              <w:tr2bl w:val="nil"/>
            </w:tcBorders>
            <w:vAlign w:val="center"/>
          </w:tcPr>
          <w:p w14:paraId="66AEEA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51" w:type="pct"/>
            <w:vMerge w:val="restart"/>
            <w:tcBorders>
              <w:tl2br w:val="nil"/>
              <w:tr2bl w:val="nil"/>
            </w:tcBorders>
            <w:vAlign w:val="center"/>
          </w:tcPr>
          <w:p w14:paraId="59906B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区域最大落地浓度</w:t>
            </w:r>
          </w:p>
        </w:tc>
        <w:tc>
          <w:tcPr>
            <w:tcW w:w="1195" w:type="pct"/>
            <w:tcBorders>
              <w:tl2br w:val="nil"/>
              <w:tr2bl w:val="nil"/>
            </w:tcBorders>
            <w:vAlign w:val="center"/>
          </w:tcPr>
          <w:p w14:paraId="13B38D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第95百分位数日平均质量浓度</w:t>
            </w:r>
          </w:p>
        </w:tc>
        <w:tc>
          <w:tcPr>
            <w:tcW w:w="1587" w:type="dxa"/>
            <w:tcBorders>
              <w:tl2br w:val="nil"/>
              <w:tr2bl w:val="nil"/>
            </w:tcBorders>
            <w:shd w:val="clear" w:color="auto" w:fill="auto"/>
            <w:vAlign w:val="center"/>
          </w:tcPr>
          <w:p w14:paraId="1AD155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w:t>
            </w:r>
          </w:p>
        </w:tc>
        <w:tc>
          <w:tcPr>
            <w:tcW w:w="1152" w:type="dxa"/>
            <w:tcBorders>
              <w:tl2br w:val="nil"/>
              <w:tr2bl w:val="nil"/>
            </w:tcBorders>
            <w:shd w:val="clear" w:color="auto" w:fill="auto"/>
            <w:vAlign w:val="center"/>
          </w:tcPr>
          <w:p w14:paraId="6EFEA5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241102</w:t>
            </w:r>
          </w:p>
        </w:tc>
        <w:tc>
          <w:tcPr>
            <w:tcW w:w="1382" w:type="dxa"/>
            <w:tcBorders>
              <w:tl2br w:val="nil"/>
              <w:tr2bl w:val="nil"/>
            </w:tcBorders>
            <w:shd w:val="clear" w:color="auto" w:fill="auto"/>
            <w:vAlign w:val="center"/>
          </w:tcPr>
          <w:p w14:paraId="1D9074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74</w:t>
            </w:r>
          </w:p>
        </w:tc>
        <w:tc>
          <w:tcPr>
            <w:tcW w:w="1416" w:type="dxa"/>
            <w:tcBorders>
              <w:tl2br w:val="nil"/>
              <w:tr2bl w:val="nil"/>
            </w:tcBorders>
            <w:shd w:val="clear" w:color="auto" w:fill="auto"/>
            <w:vAlign w:val="center"/>
          </w:tcPr>
          <w:p w14:paraId="381588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74</w:t>
            </w:r>
          </w:p>
        </w:tc>
        <w:tc>
          <w:tcPr>
            <w:tcW w:w="1075" w:type="dxa"/>
            <w:tcBorders>
              <w:tl2br w:val="nil"/>
              <w:tr2bl w:val="nil"/>
            </w:tcBorders>
            <w:shd w:val="clear" w:color="auto" w:fill="auto"/>
            <w:vAlign w:val="center"/>
          </w:tcPr>
          <w:p w14:paraId="252D36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98.67</w:t>
            </w:r>
          </w:p>
        </w:tc>
        <w:tc>
          <w:tcPr>
            <w:tcW w:w="388" w:type="pct"/>
            <w:tcBorders>
              <w:tl2br w:val="nil"/>
              <w:tr2bl w:val="nil"/>
            </w:tcBorders>
            <w:vAlign w:val="center"/>
          </w:tcPr>
          <w:p w14:paraId="68BA6C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7B084A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7" w:type="pct"/>
            <w:vMerge w:val="continue"/>
            <w:tcBorders>
              <w:tl2br w:val="nil"/>
              <w:tr2bl w:val="nil"/>
            </w:tcBorders>
            <w:vAlign w:val="center"/>
          </w:tcPr>
          <w:p w14:paraId="08F95A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51" w:type="pct"/>
            <w:vMerge w:val="continue"/>
            <w:tcBorders>
              <w:tl2br w:val="nil"/>
              <w:tr2bl w:val="nil"/>
            </w:tcBorders>
            <w:vAlign w:val="center"/>
          </w:tcPr>
          <w:p w14:paraId="6E6A87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1195" w:type="pct"/>
            <w:tcBorders>
              <w:tl2br w:val="nil"/>
              <w:tr2bl w:val="nil"/>
            </w:tcBorders>
            <w:vAlign w:val="center"/>
          </w:tcPr>
          <w:p w14:paraId="7AAEF6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年均浓度</w:t>
            </w:r>
          </w:p>
        </w:tc>
        <w:tc>
          <w:tcPr>
            <w:tcW w:w="1587" w:type="dxa"/>
            <w:tcBorders>
              <w:tl2br w:val="nil"/>
              <w:tr2bl w:val="nil"/>
            </w:tcBorders>
            <w:vAlign w:val="center"/>
          </w:tcPr>
          <w:p w14:paraId="58080A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0.00601</w:t>
            </w:r>
          </w:p>
        </w:tc>
        <w:tc>
          <w:tcPr>
            <w:tcW w:w="1152" w:type="dxa"/>
            <w:tcBorders>
              <w:tl2br w:val="nil"/>
              <w:tr2bl w:val="nil"/>
            </w:tcBorders>
            <w:vAlign w:val="center"/>
          </w:tcPr>
          <w:p w14:paraId="755A97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382" w:type="dxa"/>
            <w:tcBorders>
              <w:tl2br w:val="nil"/>
              <w:tr2bl w:val="nil"/>
            </w:tcBorders>
            <w:vAlign w:val="center"/>
          </w:tcPr>
          <w:p w14:paraId="348854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26.33699</w:t>
            </w:r>
          </w:p>
        </w:tc>
        <w:tc>
          <w:tcPr>
            <w:tcW w:w="1416" w:type="dxa"/>
            <w:tcBorders>
              <w:tl2br w:val="nil"/>
              <w:tr2bl w:val="nil"/>
            </w:tcBorders>
            <w:vAlign w:val="center"/>
          </w:tcPr>
          <w:p w14:paraId="2BA9D6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26.343</w:t>
            </w:r>
          </w:p>
        </w:tc>
        <w:tc>
          <w:tcPr>
            <w:tcW w:w="1075" w:type="dxa"/>
            <w:tcBorders>
              <w:tl2br w:val="nil"/>
              <w:tr2bl w:val="nil"/>
            </w:tcBorders>
            <w:vAlign w:val="center"/>
          </w:tcPr>
          <w:p w14:paraId="52C067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75.27</w:t>
            </w:r>
          </w:p>
        </w:tc>
        <w:tc>
          <w:tcPr>
            <w:tcW w:w="388" w:type="pct"/>
            <w:tcBorders>
              <w:tl2br w:val="nil"/>
              <w:tr2bl w:val="nil"/>
            </w:tcBorders>
            <w:vAlign w:val="center"/>
          </w:tcPr>
          <w:p w14:paraId="1AA428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bl>
    <w:p w14:paraId="0AA86C72">
      <w:pPr>
        <w:keepNext w:val="0"/>
        <w:keepLines w:val="0"/>
        <w:pageBreakBefore w:val="0"/>
        <w:widowControl w:val="0"/>
        <w:kinsoku/>
        <w:wordWrap/>
        <w:overflowPunct/>
        <w:topLinePunct w:val="0"/>
        <w:bidi w:val="0"/>
        <w:snapToGrid/>
        <w:spacing w:after="0" w:line="480" w:lineRule="exact"/>
        <w:ind w:firstLine="0" w:firstLineChars="0"/>
        <w:jc w:val="center"/>
        <w:outlineLvl w:val="9"/>
        <w:rPr>
          <w:rFonts w:hint="default" w:ascii="Times New Roman" w:hAnsi="Times New Roman" w:eastAsia="宋体" w:cs="Times New Roman"/>
          <w:snapToGrid w:val="0"/>
          <w:color w:val="FF0000"/>
          <w:kern w:val="2"/>
          <w:sz w:val="24"/>
          <w:szCs w:val="24"/>
          <w:highlight w:val="none"/>
          <w:lang w:val="en-US" w:eastAsia="zh-CN" w:bidi="ar-SA"/>
        </w:rPr>
      </w:pPr>
    </w:p>
    <w:p w14:paraId="2A7CAE60">
      <w:pPr>
        <w:keepNext w:val="0"/>
        <w:keepLines w:val="0"/>
        <w:pageBreakBefore w:val="0"/>
        <w:widowControl w:val="0"/>
        <w:kinsoku/>
        <w:wordWrap/>
        <w:overflowPunct/>
        <w:topLinePunct w:val="0"/>
        <w:bidi w:val="0"/>
        <w:snapToGrid/>
        <w:spacing w:after="0" w:line="480" w:lineRule="exact"/>
        <w:ind w:firstLine="0" w:firstLineChars="0"/>
        <w:jc w:val="center"/>
        <w:outlineLvl w:val="9"/>
        <w:rPr>
          <w:rFonts w:hint="default" w:ascii="Times New Roman" w:hAnsi="Times New Roman" w:eastAsia="宋体" w:cs="Times New Roman"/>
          <w:snapToGrid w:val="0"/>
          <w:color w:val="FF0000"/>
          <w:kern w:val="2"/>
          <w:sz w:val="24"/>
          <w:szCs w:val="24"/>
          <w:highlight w:val="none"/>
          <w:lang w:val="en-US" w:eastAsia="zh-CN" w:bidi="ar-SA"/>
        </w:rPr>
      </w:pPr>
    </w:p>
    <w:p w14:paraId="462E4C92">
      <w:pPr>
        <w:keepNext w:val="0"/>
        <w:keepLines w:val="0"/>
        <w:pageBreakBefore w:val="0"/>
        <w:widowControl w:val="0"/>
        <w:kinsoku/>
        <w:wordWrap/>
        <w:overflowPunct/>
        <w:topLinePunct w:val="0"/>
        <w:bidi w:val="0"/>
        <w:snapToGrid/>
        <w:spacing w:after="0" w:line="480" w:lineRule="exact"/>
        <w:ind w:firstLine="0" w:firstLineChars="0"/>
        <w:jc w:val="center"/>
        <w:outlineLvl w:val="9"/>
        <w:rPr>
          <w:rFonts w:hint="default" w:ascii="Times New Roman" w:hAnsi="Times New Roman" w:eastAsia="宋体" w:cs="Times New Roman"/>
          <w:snapToGrid w:val="0"/>
          <w:color w:val="FF0000"/>
          <w:kern w:val="2"/>
          <w:sz w:val="24"/>
          <w:szCs w:val="24"/>
          <w:highlight w:val="none"/>
          <w:vertAlign w:val="superscript"/>
          <w:lang w:val="en-US" w:eastAsia="zh-CN" w:bidi="ar-SA"/>
        </w:rPr>
      </w:pPr>
      <w:r>
        <w:rPr>
          <w:rFonts w:hint="default" w:ascii="Times New Roman" w:hAnsi="Times New Roman" w:eastAsia="宋体" w:cs="Times New Roman"/>
          <w:snapToGrid w:val="0"/>
          <w:color w:val="FF0000"/>
          <w:kern w:val="2"/>
          <w:sz w:val="24"/>
          <w:szCs w:val="24"/>
          <w:highlight w:val="none"/>
          <w:lang w:val="en-US" w:eastAsia="zh-CN" w:bidi="ar-SA"/>
        </w:rPr>
        <w:t>表6.2-</w:t>
      </w:r>
      <w:r>
        <w:rPr>
          <w:rFonts w:hint="eastAsia" w:ascii="Times New Roman" w:hAnsi="Times New Roman" w:eastAsia="宋体" w:cs="Times New Roman"/>
          <w:snapToGrid w:val="0"/>
          <w:color w:val="FF0000"/>
          <w:kern w:val="2"/>
          <w:sz w:val="24"/>
          <w:szCs w:val="24"/>
          <w:highlight w:val="none"/>
          <w:lang w:val="en-US" w:eastAsia="zh-CN" w:bidi="ar-SA"/>
        </w:rPr>
        <w:t>17</w:t>
      </w:r>
      <w:r>
        <w:rPr>
          <w:rFonts w:hint="default" w:ascii="Times New Roman" w:hAnsi="Times New Roman" w:eastAsia="宋体" w:cs="Times New Roman"/>
          <w:snapToGrid w:val="0"/>
          <w:color w:val="FF0000"/>
          <w:kern w:val="2"/>
          <w:sz w:val="24"/>
          <w:szCs w:val="24"/>
          <w:highlight w:val="none"/>
          <w:lang w:val="en-US" w:eastAsia="zh-CN" w:bidi="ar-SA"/>
        </w:rPr>
        <w:t xml:space="preserve">  本项目SO</w:t>
      </w:r>
      <w:r>
        <w:rPr>
          <w:rFonts w:hint="default" w:ascii="Times New Roman" w:hAnsi="Times New Roman" w:eastAsia="宋体" w:cs="Times New Roman"/>
          <w:snapToGrid w:val="0"/>
          <w:color w:val="FF0000"/>
          <w:kern w:val="2"/>
          <w:sz w:val="24"/>
          <w:szCs w:val="24"/>
          <w:highlight w:val="none"/>
          <w:vertAlign w:val="subscript"/>
          <w:lang w:val="en-US" w:eastAsia="zh-CN" w:bidi="ar-SA"/>
        </w:rPr>
        <w:t>2</w:t>
      </w:r>
      <w:r>
        <w:rPr>
          <w:rFonts w:hint="eastAsia" w:ascii="Times New Roman" w:hAnsi="Times New Roman" w:eastAsia="宋体" w:cs="Times New Roman"/>
          <w:snapToGrid w:val="0"/>
          <w:color w:val="FF0000"/>
          <w:kern w:val="2"/>
          <w:sz w:val="24"/>
          <w:szCs w:val="24"/>
          <w:highlight w:val="none"/>
          <w:vertAlign w:val="baseline"/>
          <w:lang w:val="en-US" w:eastAsia="zh-CN" w:bidi="ar-SA"/>
        </w:rPr>
        <w:t>叠加后</w:t>
      </w:r>
      <w:r>
        <w:rPr>
          <w:rFonts w:hint="default" w:ascii="Times New Roman" w:hAnsi="Times New Roman" w:eastAsia="宋体" w:cs="Times New Roman"/>
          <w:snapToGrid w:val="0"/>
          <w:color w:val="FF0000"/>
          <w:kern w:val="2"/>
          <w:sz w:val="24"/>
          <w:szCs w:val="24"/>
          <w:highlight w:val="none"/>
          <w:lang w:val="en-US" w:eastAsia="zh-CN" w:bidi="ar-SA"/>
        </w:rPr>
        <w:t>环境质量浓度预测结果表</w:t>
      </w:r>
    </w:p>
    <w:tbl>
      <w:tblPr>
        <w:tblStyle w:val="38"/>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72"/>
        <w:gridCol w:w="2127"/>
        <w:gridCol w:w="3380"/>
        <w:gridCol w:w="1589"/>
        <w:gridCol w:w="1180"/>
        <w:gridCol w:w="1356"/>
        <w:gridCol w:w="1396"/>
        <w:gridCol w:w="1106"/>
        <w:gridCol w:w="1103"/>
      </w:tblGrid>
      <w:tr w14:paraId="691E78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2" w:type="pct"/>
            <w:tcBorders>
              <w:tl2br w:val="nil"/>
              <w:tr2bl w:val="nil"/>
            </w:tcBorders>
            <w:vAlign w:val="center"/>
          </w:tcPr>
          <w:p w14:paraId="434DB9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污染物</w:t>
            </w:r>
          </w:p>
        </w:tc>
        <w:tc>
          <w:tcPr>
            <w:tcW w:w="748" w:type="pct"/>
            <w:tcBorders>
              <w:tl2br w:val="nil"/>
              <w:tr2bl w:val="nil"/>
            </w:tcBorders>
            <w:vAlign w:val="center"/>
          </w:tcPr>
          <w:p w14:paraId="057B7C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预测点</w:t>
            </w:r>
          </w:p>
        </w:tc>
        <w:tc>
          <w:tcPr>
            <w:tcW w:w="1189" w:type="pct"/>
            <w:tcBorders>
              <w:tl2br w:val="nil"/>
              <w:tr2bl w:val="nil"/>
            </w:tcBorders>
            <w:vAlign w:val="center"/>
          </w:tcPr>
          <w:p w14:paraId="22E9CB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平均时段</w:t>
            </w:r>
          </w:p>
        </w:tc>
        <w:tc>
          <w:tcPr>
            <w:tcW w:w="559" w:type="pct"/>
            <w:tcBorders>
              <w:tl2br w:val="nil"/>
              <w:tr2bl w:val="nil"/>
            </w:tcBorders>
            <w:vAlign w:val="center"/>
          </w:tcPr>
          <w:p w14:paraId="087518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贡献值/（μg/m</w:t>
            </w:r>
            <w:r>
              <w:rPr>
                <w:rFonts w:hint="default" w:ascii="Times New Roman" w:hAnsi="Times New Roman" w:eastAsia="宋体" w:cs="Times New Roman"/>
                <w:i w:val="0"/>
                <w:iCs w:val="0"/>
                <w:color w:val="FF0000"/>
                <w:kern w:val="0"/>
                <w:sz w:val="21"/>
                <w:szCs w:val="21"/>
                <w:highlight w:val="none"/>
                <w:u w:val="none"/>
                <w:vertAlign w:val="superscript"/>
                <w:lang w:val="en-US" w:eastAsia="zh-CN" w:bidi="ar"/>
              </w:rPr>
              <w:t>3</w:t>
            </w:r>
            <w:r>
              <w:rPr>
                <w:rFonts w:hint="default" w:ascii="Times New Roman" w:hAnsi="Times New Roman" w:eastAsia="宋体" w:cs="Times New Roman"/>
                <w:i w:val="0"/>
                <w:iCs w:val="0"/>
                <w:color w:val="FF0000"/>
                <w:kern w:val="0"/>
                <w:sz w:val="21"/>
                <w:szCs w:val="21"/>
                <w:highlight w:val="none"/>
                <w:u w:val="none"/>
                <w:lang w:val="en-US" w:eastAsia="zh-CN" w:bidi="ar"/>
              </w:rPr>
              <w:t>）</w:t>
            </w:r>
          </w:p>
        </w:tc>
        <w:tc>
          <w:tcPr>
            <w:tcW w:w="415" w:type="pct"/>
            <w:tcBorders>
              <w:tl2br w:val="nil"/>
              <w:tr2bl w:val="nil"/>
            </w:tcBorders>
            <w:shd w:val="clear" w:color="auto" w:fill="auto"/>
            <w:vAlign w:val="center"/>
          </w:tcPr>
          <w:p w14:paraId="627182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出现时间</w:t>
            </w:r>
          </w:p>
        </w:tc>
        <w:tc>
          <w:tcPr>
            <w:tcW w:w="477" w:type="pct"/>
            <w:tcBorders>
              <w:tl2br w:val="nil"/>
              <w:tr2bl w:val="nil"/>
            </w:tcBorders>
            <w:vAlign w:val="center"/>
          </w:tcPr>
          <w:p w14:paraId="4C5448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现状浓度/（μg/m</w:t>
            </w:r>
            <w:r>
              <w:rPr>
                <w:rFonts w:hint="default" w:ascii="Times New Roman" w:hAnsi="Times New Roman" w:eastAsia="宋体" w:cs="Times New Roman"/>
                <w:i w:val="0"/>
                <w:iCs w:val="0"/>
                <w:color w:val="FF0000"/>
                <w:kern w:val="0"/>
                <w:sz w:val="21"/>
                <w:szCs w:val="21"/>
                <w:highlight w:val="none"/>
                <w:u w:val="none"/>
                <w:vertAlign w:val="superscript"/>
                <w:lang w:val="en-US" w:eastAsia="zh-CN" w:bidi="ar"/>
              </w:rPr>
              <w:t>3</w:t>
            </w:r>
            <w:r>
              <w:rPr>
                <w:rFonts w:hint="default" w:ascii="Times New Roman" w:hAnsi="Times New Roman" w:eastAsia="宋体" w:cs="Times New Roman"/>
                <w:i w:val="0"/>
                <w:iCs w:val="0"/>
                <w:color w:val="FF0000"/>
                <w:kern w:val="0"/>
                <w:sz w:val="21"/>
                <w:szCs w:val="21"/>
                <w:highlight w:val="none"/>
                <w:u w:val="none"/>
                <w:lang w:val="en-US" w:eastAsia="zh-CN" w:bidi="ar"/>
              </w:rPr>
              <w:t>）</w:t>
            </w:r>
          </w:p>
        </w:tc>
        <w:tc>
          <w:tcPr>
            <w:tcW w:w="491" w:type="pct"/>
            <w:tcBorders>
              <w:tl2br w:val="nil"/>
              <w:tr2bl w:val="nil"/>
            </w:tcBorders>
            <w:vAlign w:val="center"/>
          </w:tcPr>
          <w:p w14:paraId="171B56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叠加后浓度/（μg/m</w:t>
            </w:r>
            <w:r>
              <w:rPr>
                <w:rFonts w:hint="default" w:ascii="Times New Roman" w:hAnsi="Times New Roman" w:eastAsia="宋体" w:cs="Times New Roman"/>
                <w:i w:val="0"/>
                <w:iCs w:val="0"/>
                <w:color w:val="FF0000"/>
                <w:kern w:val="0"/>
                <w:sz w:val="21"/>
                <w:szCs w:val="21"/>
                <w:highlight w:val="none"/>
                <w:u w:val="none"/>
                <w:vertAlign w:val="superscript"/>
                <w:lang w:val="en-US" w:eastAsia="zh-CN" w:bidi="ar"/>
              </w:rPr>
              <w:t>3</w:t>
            </w:r>
            <w:r>
              <w:rPr>
                <w:rFonts w:hint="default" w:ascii="Times New Roman" w:hAnsi="Times New Roman" w:eastAsia="宋体" w:cs="Times New Roman"/>
                <w:i w:val="0"/>
                <w:iCs w:val="0"/>
                <w:color w:val="FF0000"/>
                <w:kern w:val="0"/>
                <w:sz w:val="21"/>
                <w:szCs w:val="21"/>
                <w:highlight w:val="none"/>
                <w:u w:val="none"/>
                <w:lang w:val="en-US" w:eastAsia="zh-CN" w:bidi="ar"/>
              </w:rPr>
              <w:t>）</w:t>
            </w:r>
          </w:p>
        </w:tc>
        <w:tc>
          <w:tcPr>
            <w:tcW w:w="389" w:type="pct"/>
            <w:tcBorders>
              <w:tl2br w:val="nil"/>
              <w:tr2bl w:val="nil"/>
            </w:tcBorders>
            <w:vAlign w:val="center"/>
          </w:tcPr>
          <w:p w14:paraId="637D0F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占标率/%</w:t>
            </w:r>
          </w:p>
        </w:tc>
        <w:tc>
          <w:tcPr>
            <w:tcW w:w="388" w:type="pct"/>
            <w:tcBorders>
              <w:tl2br w:val="nil"/>
              <w:tr2bl w:val="nil"/>
            </w:tcBorders>
            <w:vAlign w:val="center"/>
          </w:tcPr>
          <w:p w14:paraId="534B70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达标情况</w:t>
            </w:r>
          </w:p>
        </w:tc>
      </w:tr>
      <w:tr w14:paraId="219ED4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2" w:type="pct"/>
            <w:vMerge w:val="restart"/>
            <w:tcBorders>
              <w:tl2br w:val="nil"/>
              <w:tr2bl w:val="nil"/>
            </w:tcBorders>
            <w:vAlign w:val="center"/>
          </w:tcPr>
          <w:p w14:paraId="45C1C7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vertAlign w:val="subscript"/>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SO</w:t>
            </w:r>
            <w:r>
              <w:rPr>
                <w:rFonts w:hint="eastAsia" w:ascii="Times New Roman" w:hAnsi="Times New Roman" w:eastAsia="宋体" w:cs="Times New Roman"/>
                <w:i w:val="0"/>
                <w:iCs w:val="0"/>
                <w:color w:val="FF0000"/>
                <w:kern w:val="0"/>
                <w:sz w:val="21"/>
                <w:szCs w:val="21"/>
                <w:highlight w:val="none"/>
                <w:u w:val="none"/>
                <w:vertAlign w:val="subscript"/>
                <w:lang w:val="en-US" w:eastAsia="zh-CN" w:bidi="ar"/>
              </w:rPr>
              <w:t>2</w:t>
            </w:r>
          </w:p>
        </w:tc>
        <w:tc>
          <w:tcPr>
            <w:tcW w:w="748" w:type="pct"/>
            <w:vMerge w:val="restart"/>
            <w:tcBorders>
              <w:tl2br w:val="nil"/>
              <w:tr2bl w:val="nil"/>
            </w:tcBorders>
            <w:vAlign w:val="center"/>
          </w:tcPr>
          <w:p w14:paraId="31791D4B">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范家屯</w:t>
            </w:r>
          </w:p>
        </w:tc>
        <w:tc>
          <w:tcPr>
            <w:tcW w:w="1189" w:type="pct"/>
            <w:tcBorders>
              <w:tl2br w:val="nil"/>
              <w:tr2bl w:val="nil"/>
            </w:tcBorders>
            <w:vAlign w:val="center"/>
          </w:tcPr>
          <w:p w14:paraId="644B4B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第</w:t>
            </w:r>
            <w:r>
              <w:rPr>
                <w:rFonts w:hint="eastAsia" w:ascii="Times New Roman" w:hAnsi="Times New Roman" w:eastAsia="宋体" w:cs="Times New Roman"/>
                <w:i w:val="0"/>
                <w:iCs w:val="0"/>
                <w:color w:val="FF0000"/>
                <w:kern w:val="0"/>
                <w:sz w:val="21"/>
                <w:szCs w:val="21"/>
                <w:highlight w:val="none"/>
                <w:u w:val="none"/>
                <w:lang w:val="en-US" w:eastAsia="zh-CN" w:bidi="ar"/>
              </w:rPr>
              <w:t>98</w:t>
            </w:r>
            <w:r>
              <w:rPr>
                <w:rFonts w:hint="default" w:ascii="Times New Roman" w:hAnsi="Times New Roman" w:eastAsia="宋体" w:cs="Times New Roman"/>
                <w:i w:val="0"/>
                <w:iCs w:val="0"/>
                <w:color w:val="FF0000"/>
                <w:kern w:val="0"/>
                <w:sz w:val="21"/>
                <w:szCs w:val="21"/>
                <w:highlight w:val="none"/>
                <w:u w:val="none"/>
                <w:lang w:val="en-US" w:eastAsia="zh-CN" w:bidi="ar"/>
              </w:rPr>
              <w:t>百分位数日平均质量浓度</w:t>
            </w:r>
          </w:p>
        </w:tc>
        <w:tc>
          <w:tcPr>
            <w:tcW w:w="1589" w:type="dxa"/>
            <w:tcBorders>
              <w:tl2br w:val="nil"/>
              <w:tr2bl w:val="nil"/>
            </w:tcBorders>
            <w:vAlign w:val="center"/>
          </w:tcPr>
          <w:p w14:paraId="75E464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w:t>
            </w:r>
          </w:p>
        </w:tc>
        <w:tc>
          <w:tcPr>
            <w:tcW w:w="1180" w:type="dxa"/>
            <w:tcBorders>
              <w:tl2br w:val="nil"/>
              <w:tr2bl w:val="nil"/>
            </w:tcBorders>
            <w:shd w:val="clear" w:color="auto" w:fill="auto"/>
            <w:vAlign w:val="center"/>
          </w:tcPr>
          <w:p w14:paraId="0DD3D9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241110</w:t>
            </w:r>
          </w:p>
        </w:tc>
        <w:tc>
          <w:tcPr>
            <w:tcW w:w="1356" w:type="dxa"/>
            <w:tcBorders>
              <w:tl2br w:val="nil"/>
              <w:tr2bl w:val="nil"/>
            </w:tcBorders>
            <w:vAlign w:val="center"/>
          </w:tcPr>
          <w:p w14:paraId="4BDD51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15.0</w:t>
            </w:r>
          </w:p>
        </w:tc>
        <w:tc>
          <w:tcPr>
            <w:tcW w:w="1396" w:type="dxa"/>
            <w:tcBorders>
              <w:tl2br w:val="nil"/>
              <w:tr2bl w:val="nil"/>
            </w:tcBorders>
            <w:vAlign w:val="center"/>
          </w:tcPr>
          <w:p w14:paraId="169841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15.0</w:t>
            </w:r>
          </w:p>
        </w:tc>
        <w:tc>
          <w:tcPr>
            <w:tcW w:w="1106" w:type="dxa"/>
            <w:tcBorders>
              <w:tl2br w:val="nil"/>
              <w:tr2bl w:val="nil"/>
            </w:tcBorders>
            <w:vAlign w:val="center"/>
          </w:tcPr>
          <w:p w14:paraId="7A6E78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10</w:t>
            </w:r>
          </w:p>
        </w:tc>
        <w:tc>
          <w:tcPr>
            <w:tcW w:w="388" w:type="pct"/>
            <w:tcBorders>
              <w:tl2br w:val="nil"/>
              <w:tr2bl w:val="nil"/>
            </w:tcBorders>
            <w:vAlign w:val="center"/>
          </w:tcPr>
          <w:p w14:paraId="52D7C6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达标</w:t>
            </w:r>
          </w:p>
        </w:tc>
      </w:tr>
      <w:tr w14:paraId="07E181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2" w:type="pct"/>
            <w:vMerge w:val="continue"/>
            <w:tcBorders>
              <w:tl2br w:val="nil"/>
              <w:tr2bl w:val="nil"/>
            </w:tcBorders>
            <w:vAlign w:val="center"/>
          </w:tcPr>
          <w:p w14:paraId="64E52E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48" w:type="pct"/>
            <w:vMerge w:val="continue"/>
            <w:tcBorders>
              <w:tl2br w:val="nil"/>
              <w:tr2bl w:val="nil"/>
            </w:tcBorders>
            <w:vAlign w:val="center"/>
          </w:tcPr>
          <w:p w14:paraId="0831F5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1189" w:type="pct"/>
            <w:tcBorders>
              <w:tl2br w:val="nil"/>
              <w:tr2bl w:val="nil"/>
            </w:tcBorders>
            <w:vAlign w:val="center"/>
          </w:tcPr>
          <w:p w14:paraId="07AC38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年均浓度</w:t>
            </w:r>
          </w:p>
        </w:tc>
        <w:tc>
          <w:tcPr>
            <w:tcW w:w="1589" w:type="dxa"/>
            <w:tcBorders>
              <w:tl2br w:val="nil"/>
              <w:tr2bl w:val="nil"/>
            </w:tcBorders>
            <w:vAlign w:val="center"/>
          </w:tcPr>
          <w:p w14:paraId="12393E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0.00092</w:t>
            </w:r>
          </w:p>
        </w:tc>
        <w:tc>
          <w:tcPr>
            <w:tcW w:w="1180" w:type="dxa"/>
            <w:tcBorders>
              <w:tl2br w:val="nil"/>
              <w:tr2bl w:val="nil"/>
            </w:tcBorders>
            <w:shd w:val="clear" w:color="auto" w:fill="auto"/>
            <w:vAlign w:val="center"/>
          </w:tcPr>
          <w:p w14:paraId="6354E3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356" w:type="dxa"/>
            <w:tcBorders>
              <w:tl2br w:val="nil"/>
              <w:tr2bl w:val="nil"/>
            </w:tcBorders>
            <w:vAlign w:val="center"/>
          </w:tcPr>
          <w:p w14:paraId="34D85E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7.947945</w:t>
            </w:r>
          </w:p>
        </w:tc>
        <w:tc>
          <w:tcPr>
            <w:tcW w:w="1396" w:type="dxa"/>
            <w:tcBorders>
              <w:tl2br w:val="nil"/>
              <w:tr2bl w:val="nil"/>
            </w:tcBorders>
            <w:vAlign w:val="center"/>
          </w:tcPr>
          <w:p w14:paraId="072F4B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7.948865</w:t>
            </w:r>
          </w:p>
        </w:tc>
        <w:tc>
          <w:tcPr>
            <w:tcW w:w="1106" w:type="dxa"/>
            <w:tcBorders>
              <w:tl2br w:val="nil"/>
              <w:tr2bl w:val="nil"/>
            </w:tcBorders>
            <w:vAlign w:val="center"/>
          </w:tcPr>
          <w:p w14:paraId="00955F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13.25</w:t>
            </w:r>
          </w:p>
        </w:tc>
        <w:tc>
          <w:tcPr>
            <w:tcW w:w="388" w:type="pct"/>
            <w:tcBorders>
              <w:tl2br w:val="nil"/>
              <w:tr2bl w:val="nil"/>
            </w:tcBorders>
            <w:vAlign w:val="center"/>
          </w:tcPr>
          <w:p w14:paraId="66083A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达标</w:t>
            </w:r>
          </w:p>
        </w:tc>
      </w:tr>
      <w:tr w14:paraId="14DBB9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2" w:type="pct"/>
            <w:vMerge w:val="continue"/>
            <w:tcBorders>
              <w:tl2br w:val="nil"/>
              <w:tr2bl w:val="nil"/>
            </w:tcBorders>
            <w:vAlign w:val="center"/>
          </w:tcPr>
          <w:p w14:paraId="4BF78A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48" w:type="pct"/>
            <w:vMerge w:val="restart"/>
            <w:tcBorders>
              <w:tl2br w:val="nil"/>
              <w:tr2bl w:val="nil"/>
            </w:tcBorders>
            <w:vAlign w:val="center"/>
          </w:tcPr>
          <w:p w14:paraId="195854E8">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范家村</w:t>
            </w:r>
          </w:p>
        </w:tc>
        <w:tc>
          <w:tcPr>
            <w:tcW w:w="1189" w:type="pct"/>
            <w:tcBorders>
              <w:tl2br w:val="nil"/>
              <w:tr2bl w:val="nil"/>
            </w:tcBorders>
            <w:vAlign w:val="center"/>
          </w:tcPr>
          <w:p w14:paraId="655515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第</w:t>
            </w:r>
            <w:r>
              <w:rPr>
                <w:rFonts w:hint="eastAsia" w:ascii="Times New Roman" w:hAnsi="Times New Roman" w:eastAsia="宋体" w:cs="Times New Roman"/>
                <w:i w:val="0"/>
                <w:iCs w:val="0"/>
                <w:color w:val="FF0000"/>
                <w:kern w:val="0"/>
                <w:sz w:val="21"/>
                <w:szCs w:val="21"/>
                <w:highlight w:val="none"/>
                <w:u w:val="none"/>
                <w:lang w:val="en-US" w:eastAsia="zh-CN" w:bidi="ar"/>
              </w:rPr>
              <w:t>98</w:t>
            </w:r>
            <w:r>
              <w:rPr>
                <w:rFonts w:hint="default" w:ascii="Times New Roman" w:hAnsi="Times New Roman" w:eastAsia="宋体" w:cs="Times New Roman"/>
                <w:i w:val="0"/>
                <w:iCs w:val="0"/>
                <w:color w:val="FF0000"/>
                <w:kern w:val="0"/>
                <w:sz w:val="21"/>
                <w:szCs w:val="21"/>
                <w:highlight w:val="none"/>
                <w:u w:val="none"/>
                <w:lang w:val="en-US" w:eastAsia="zh-CN" w:bidi="ar"/>
              </w:rPr>
              <w:t>百分位数日平均质量浓度</w:t>
            </w:r>
          </w:p>
        </w:tc>
        <w:tc>
          <w:tcPr>
            <w:tcW w:w="1589" w:type="dxa"/>
            <w:tcBorders>
              <w:tl2br w:val="nil"/>
              <w:tr2bl w:val="nil"/>
            </w:tcBorders>
            <w:vAlign w:val="center"/>
          </w:tcPr>
          <w:p w14:paraId="25D267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0.000001</w:t>
            </w:r>
          </w:p>
        </w:tc>
        <w:tc>
          <w:tcPr>
            <w:tcW w:w="1180" w:type="dxa"/>
            <w:tcBorders>
              <w:tl2br w:val="nil"/>
              <w:tr2bl w:val="nil"/>
            </w:tcBorders>
            <w:shd w:val="clear" w:color="auto" w:fill="auto"/>
            <w:vAlign w:val="center"/>
          </w:tcPr>
          <w:p w14:paraId="1D34E7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241218</w:t>
            </w:r>
          </w:p>
        </w:tc>
        <w:tc>
          <w:tcPr>
            <w:tcW w:w="1356" w:type="dxa"/>
            <w:tcBorders>
              <w:tl2br w:val="nil"/>
              <w:tr2bl w:val="nil"/>
            </w:tcBorders>
            <w:vAlign w:val="center"/>
          </w:tcPr>
          <w:p w14:paraId="28A66A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15.0</w:t>
            </w:r>
          </w:p>
        </w:tc>
        <w:tc>
          <w:tcPr>
            <w:tcW w:w="1396" w:type="dxa"/>
            <w:tcBorders>
              <w:tl2br w:val="nil"/>
              <w:tr2bl w:val="nil"/>
            </w:tcBorders>
            <w:vAlign w:val="center"/>
          </w:tcPr>
          <w:p w14:paraId="4AA83C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15.0</w:t>
            </w:r>
          </w:p>
        </w:tc>
        <w:tc>
          <w:tcPr>
            <w:tcW w:w="1106" w:type="dxa"/>
            <w:tcBorders>
              <w:tl2br w:val="nil"/>
              <w:tr2bl w:val="nil"/>
            </w:tcBorders>
            <w:vAlign w:val="center"/>
          </w:tcPr>
          <w:p w14:paraId="325AA1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10</w:t>
            </w:r>
          </w:p>
        </w:tc>
        <w:tc>
          <w:tcPr>
            <w:tcW w:w="388" w:type="pct"/>
            <w:tcBorders>
              <w:tl2br w:val="nil"/>
              <w:tr2bl w:val="nil"/>
            </w:tcBorders>
            <w:vAlign w:val="center"/>
          </w:tcPr>
          <w:p w14:paraId="47BCAA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达标</w:t>
            </w:r>
          </w:p>
        </w:tc>
      </w:tr>
      <w:tr w14:paraId="25F817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2" w:type="pct"/>
            <w:vMerge w:val="continue"/>
            <w:tcBorders>
              <w:tl2br w:val="nil"/>
              <w:tr2bl w:val="nil"/>
            </w:tcBorders>
            <w:vAlign w:val="center"/>
          </w:tcPr>
          <w:p w14:paraId="3DA321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48" w:type="pct"/>
            <w:vMerge w:val="continue"/>
            <w:tcBorders>
              <w:tl2br w:val="nil"/>
              <w:tr2bl w:val="nil"/>
            </w:tcBorders>
            <w:vAlign w:val="center"/>
          </w:tcPr>
          <w:p w14:paraId="52D8FA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1189" w:type="pct"/>
            <w:tcBorders>
              <w:tl2br w:val="nil"/>
              <w:tr2bl w:val="nil"/>
            </w:tcBorders>
            <w:vAlign w:val="center"/>
          </w:tcPr>
          <w:p w14:paraId="656C68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年均浓度</w:t>
            </w:r>
          </w:p>
        </w:tc>
        <w:tc>
          <w:tcPr>
            <w:tcW w:w="1589" w:type="dxa"/>
            <w:tcBorders>
              <w:tl2br w:val="nil"/>
              <w:tr2bl w:val="nil"/>
            </w:tcBorders>
            <w:vAlign w:val="center"/>
          </w:tcPr>
          <w:p w14:paraId="720121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0.00271</w:t>
            </w:r>
          </w:p>
        </w:tc>
        <w:tc>
          <w:tcPr>
            <w:tcW w:w="1180" w:type="dxa"/>
            <w:tcBorders>
              <w:tl2br w:val="nil"/>
              <w:tr2bl w:val="nil"/>
            </w:tcBorders>
            <w:shd w:val="clear" w:color="auto" w:fill="auto"/>
            <w:vAlign w:val="center"/>
          </w:tcPr>
          <w:p w14:paraId="2B6A7C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356" w:type="dxa"/>
            <w:tcBorders>
              <w:tl2br w:val="nil"/>
              <w:tr2bl w:val="nil"/>
            </w:tcBorders>
            <w:vAlign w:val="center"/>
          </w:tcPr>
          <w:p w14:paraId="0131D1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7.947945</w:t>
            </w:r>
          </w:p>
        </w:tc>
        <w:tc>
          <w:tcPr>
            <w:tcW w:w="1396" w:type="dxa"/>
            <w:tcBorders>
              <w:tl2br w:val="nil"/>
              <w:tr2bl w:val="nil"/>
            </w:tcBorders>
            <w:vAlign w:val="center"/>
          </w:tcPr>
          <w:p w14:paraId="320CEE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7.950655</w:t>
            </w:r>
          </w:p>
        </w:tc>
        <w:tc>
          <w:tcPr>
            <w:tcW w:w="1106" w:type="dxa"/>
            <w:tcBorders>
              <w:tl2br w:val="nil"/>
              <w:tr2bl w:val="nil"/>
            </w:tcBorders>
            <w:vAlign w:val="center"/>
          </w:tcPr>
          <w:p w14:paraId="1ED240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13.25</w:t>
            </w:r>
          </w:p>
        </w:tc>
        <w:tc>
          <w:tcPr>
            <w:tcW w:w="388" w:type="pct"/>
            <w:tcBorders>
              <w:tl2br w:val="nil"/>
              <w:tr2bl w:val="nil"/>
            </w:tcBorders>
            <w:vAlign w:val="center"/>
          </w:tcPr>
          <w:p w14:paraId="5860FE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达标</w:t>
            </w:r>
          </w:p>
        </w:tc>
      </w:tr>
      <w:tr w14:paraId="51CA99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2" w:type="pct"/>
            <w:vMerge w:val="continue"/>
            <w:tcBorders>
              <w:tl2br w:val="nil"/>
              <w:tr2bl w:val="nil"/>
            </w:tcBorders>
            <w:vAlign w:val="center"/>
          </w:tcPr>
          <w:p w14:paraId="04187A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48" w:type="pct"/>
            <w:vMerge w:val="restart"/>
            <w:tcBorders>
              <w:tl2br w:val="nil"/>
              <w:tr2bl w:val="nil"/>
            </w:tcBorders>
            <w:vAlign w:val="center"/>
          </w:tcPr>
          <w:p w14:paraId="5D1CDFA6">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原热电厂家属区</w:t>
            </w:r>
          </w:p>
        </w:tc>
        <w:tc>
          <w:tcPr>
            <w:tcW w:w="1189" w:type="pct"/>
            <w:tcBorders>
              <w:tl2br w:val="nil"/>
              <w:tr2bl w:val="nil"/>
            </w:tcBorders>
            <w:vAlign w:val="center"/>
          </w:tcPr>
          <w:p w14:paraId="6674FD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第</w:t>
            </w:r>
            <w:r>
              <w:rPr>
                <w:rFonts w:hint="eastAsia" w:ascii="Times New Roman" w:hAnsi="Times New Roman" w:eastAsia="宋体" w:cs="Times New Roman"/>
                <w:i w:val="0"/>
                <w:iCs w:val="0"/>
                <w:color w:val="FF0000"/>
                <w:kern w:val="0"/>
                <w:sz w:val="21"/>
                <w:szCs w:val="21"/>
                <w:highlight w:val="none"/>
                <w:u w:val="none"/>
                <w:lang w:val="en-US" w:eastAsia="zh-CN" w:bidi="ar"/>
              </w:rPr>
              <w:t>98</w:t>
            </w:r>
            <w:r>
              <w:rPr>
                <w:rFonts w:hint="default" w:ascii="Times New Roman" w:hAnsi="Times New Roman" w:eastAsia="宋体" w:cs="Times New Roman"/>
                <w:i w:val="0"/>
                <w:iCs w:val="0"/>
                <w:color w:val="FF0000"/>
                <w:kern w:val="0"/>
                <w:sz w:val="21"/>
                <w:szCs w:val="21"/>
                <w:highlight w:val="none"/>
                <w:u w:val="none"/>
                <w:lang w:val="en-US" w:eastAsia="zh-CN" w:bidi="ar"/>
              </w:rPr>
              <w:t>百分位数日平均质量浓度</w:t>
            </w:r>
          </w:p>
        </w:tc>
        <w:tc>
          <w:tcPr>
            <w:tcW w:w="1589" w:type="dxa"/>
            <w:tcBorders>
              <w:tl2br w:val="nil"/>
              <w:tr2bl w:val="nil"/>
            </w:tcBorders>
            <w:vAlign w:val="center"/>
          </w:tcPr>
          <w:p w14:paraId="1D7C3F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0.00001</w:t>
            </w:r>
          </w:p>
        </w:tc>
        <w:tc>
          <w:tcPr>
            <w:tcW w:w="1180" w:type="dxa"/>
            <w:tcBorders>
              <w:tl2br w:val="nil"/>
              <w:tr2bl w:val="nil"/>
            </w:tcBorders>
            <w:shd w:val="clear" w:color="auto" w:fill="auto"/>
            <w:vAlign w:val="center"/>
          </w:tcPr>
          <w:p w14:paraId="37B385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24012707</w:t>
            </w:r>
          </w:p>
        </w:tc>
        <w:tc>
          <w:tcPr>
            <w:tcW w:w="1356" w:type="dxa"/>
            <w:tcBorders>
              <w:tl2br w:val="nil"/>
              <w:tr2bl w:val="nil"/>
            </w:tcBorders>
            <w:vAlign w:val="center"/>
          </w:tcPr>
          <w:p w14:paraId="08C041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w:t>
            </w:r>
          </w:p>
        </w:tc>
        <w:tc>
          <w:tcPr>
            <w:tcW w:w="1396" w:type="dxa"/>
            <w:tcBorders>
              <w:tl2br w:val="nil"/>
              <w:tr2bl w:val="nil"/>
            </w:tcBorders>
            <w:vAlign w:val="center"/>
          </w:tcPr>
          <w:p w14:paraId="343CB7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0.00001</w:t>
            </w:r>
          </w:p>
        </w:tc>
        <w:tc>
          <w:tcPr>
            <w:tcW w:w="1106" w:type="dxa"/>
            <w:tcBorders>
              <w:tl2br w:val="nil"/>
              <w:tr2bl w:val="nil"/>
            </w:tcBorders>
            <w:vAlign w:val="center"/>
          </w:tcPr>
          <w:p w14:paraId="19D821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10</w:t>
            </w:r>
          </w:p>
        </w:tc>
        <w:tc>
          <w:tcPr>
            <w:tcW w:w="388" w:type="pct"/>
            <w:tcBorders>
              <w:tl2br w:val="nil"/>
              <w:tr2bl w:val="nil"/>
            </w:tcBorders>
            <w:vAlign w:val="center"/>
          </w:tcPr>
          <w:p w14:paraId="02C1C7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达标</w:t>
            </w:r>
          </w:p>
        </w:tc>
      </w:tr>
      <w:tr w14:paraId="442C29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2" w:type="pct"/>
            <w:vMerge w:val="continue"/>
            <w:tcBorders>
              <w:tl2br w:val="nil"/>
              <w:tr2bl w:val="nil"/>
            </w:tcBorders>
            <w:vAlign w:val="center"/>
          </w:tcPr>
          <w:p w14:paraId="3D5A48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48" w:type="pct"/>
            <w:vMerge w:val="continue"/>
            <w:tcBorders>
              <w:tl2br w:val="nil"/>
              <w:tr2bl w:val="nil"/>
            </w:tcBorders>
            <w:vAlign w:val="center"/>
          </w:tcPr>
          <w:p w14:paraId="517AEA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1189" w:type="pct"/>
            <w:tcBorders>
              <w:tl2br w:val="nil"/>
              <w:tr2bl w:val="nil"/>
            </w:tcBorders>
            <w:vAlign w:val="center"/>
          </w:tcPr>
          <w:p w14:paraId="15B57E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年均浓度</w:t>
            </w:r>
          </w:p>
        </w:tc>
        <w:tc>
          <w:tcPr>
            <w:tcW w:w="1589" w:type="dxa"/>
            <w:tcBorders>
              <w:tl2br w:val="nil"/>
              <w:tr2bl w:val="nil"/>
            </w:tcBorders>
            <w:vAlign w:val="center"/>
          </w:tcPr>
          <w:p w14:paraId="50539B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w:t>
            </w:r>
          </w:p>
        </w:tc>
        <w:tc>
          <w:tcPr>
            <w:tcW w:w="1180" w:type="dxa"/>
            <w:tcBorders>
              <w:tl2br w:val="nil"/>
              <w:tr2bl w:val="nil"/>
            </w:tcBorders>
            <w:shd w:val="clear" w:color="auto" w:fill="auto"/>
            <w:vAlign w:val="center"/>
          </w:tcPr>
          <w:p w14:paraId="0CD428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356" w:type="dxa"/>
            <w:tcBorders>
              <w:tl2br w:val="nil"/>
              <w:tr2bl w:val="nil"/>
            </w:tcBorders>
            <w:vAlign w:val="center"/>
          </w:tcPr>
          <w:p w14:paraId="060D27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7.947945</w:t>
            </w:r>
          </w:p>
        </w:tc>
        <w:tc>
          <w:tcPr>
            <w:tcW w:w="1396" w:type="dxa"/>
            <w:tcBorders>
              <w:tl2br w:val="nil"/>
              <w:tr2bl w:val="nil"/>
            </w:tcBorders>
            <w:vAlign w:val="center"/>
          </w:tcPr>
          <w:p w14:paraId="7E6128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7.947945</w:t>
            </w:r>
          </w:p>
        </w:tc>
        <w:tc>
          <w:tcPr>
            <w:tcW w:w="1106" w:type="dxa"/>
            <w:tcBorders>
              <w:tl2br w:val="nil"/>
              <w:tr2bl w:val="nil"/>
            </w:tcBorders>
            <w:vAlign w:val="center"/>
          </w:tcPr>
          <w:p w14:paraId="432848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13.25</w:t>
            </w:r>
          </w:p>
        </w:tc>
        <w:tc>
          <w:tcPr>
            <w:tcW w:w="388" w:type="pct"/>
            <w:tcBorders>
              <w:tl2br w:val="nil"/>
              <w:tr2bl w:val="nil"/>
            </w:tcBorders>
            <w:vAlign w:val="center"/>
          </w:tcPr>
          <w:p w14:paraId="219D1D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达标</w:t>
            </w:r>
          </w:p>
        </w:tc>
      </w:tr>
      <w:tr w14:paraId="054693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2" w:type="pct"/>
            <w:vMerge w:val="continue"/>
            <w:tcBorders>
              <w:tl2br w:val="nil"/>
              <w:tr2bl w:val="nil"/>
            </w:tcBorders>
            <w:vAlign w:val="center"/>
          </w:tcPr>
          <w:p w14:paraId="4BCF03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48" w:type="pct"/>
            <w:vMerge w:val="restart"/>
            <w:tcBorders>
              <w:tl2br w:val="nil"/>
              <w:tr2bl w:val="nil"/>
            </w:tcBorders>
            <w:vAlign w:val="center"/>
          </w:tcPr>
          <w:p w14:paraId="276F491B">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黑锻新城小区</w:t>
            </w:r>
          </w:p>
        </w:tc>
        <w:tc>
          <w:tcPr>
            <w:tcW w:w="1189" w:type="pct"/>
            <w:tcBorders>
              <w:tl2br w:val="nil"/>
              <w:tr2bl w:val="nil"/>
            </w:tcBorders>
            <w:vAlign w:val="center"/>
          </w:tcPr>
          <w:p w14:paraId="6C48F6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第</w:t>
            </w:r>
            <w:r>
              <w:rPr>
                <w:rFonts w:hint="eastAsia" w:ascii="Times New Roman" w:hAnsi="Times New Roman" w:eastAsia="宋体" w:cs="Times New Roman"/>
                <w:i w:val="0"/>
                <w:iCs w:val="0"/>
                <w:color w:val="FF0000"/>
                <w:kern w:val="0"/>
                <w:sz w:val="21"/>
                <w:szCs w:val="21"/>
                <w:highlight w:val="none"/>
                <w:u w:val="none"/>
                <w:lang w:val="en-US" w:eastAsia="zh-CN" w:bidi="ar"/>
              </w:rPr>
              <w:t>98</w:t>
            </w:r>
            <w:r>
              <w:rPr>
                <w:rFonts w:hint="default" w:ascii="Times New Roman" w:hAnsi="Times New Roman" w:eastAsia="宋体" w:cs="Times New Roman"/>
                <w:i w:val="0"/>
                <w:iCs w:val="0"/>
                <w:color w:val="FF0000"/>
                <w:kern w:val="0"/>
                <w:sz w:val="21"/>
                <w:szCs w:val="21"/>
                <w:highlight w:val="none"/>
                <w:u w:val="none"/>
                <w:lang w:val="en-US" w:eastAsia="zh-CN" w:bidi="ar"/>
              </w:rPr>
              <w:t>百分位数日平均质量浓度</w:t>
            </w:r>
          </w:p>
        </w:tc>
        <w:tc>
          <w:tcPr>
            <w:tcW w:w="1589" w:type="dxa"/>
            <w:tcBorders>
              <w:tl2br w:val="nil"/>
              <w:tr2bl w:val="nil"/>
            </w:tcBorders>
            <w:vAlign w:val="center"/>
          </w:tcPr>
          <w:p w14:paraId="6F3E5B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w:t>
            </w:r>
          </w:p>
        </w:tc>
        <w:tc>
          <w:tcPr>
            <w:tcW w:w="1180" w:type="dxa"/>
            <w:tcBorders>
              <w:tl2br w:val="nil"/>
              <w:tr2bl w:val="nil"/>
            </w:tcBorders>
            <w:shd w:val="clear" w:color="auto" w:fill="auto"/>
            <w:vAlign w:val="center"/>
          </w:tcPr>
          <w:p w14:paraId="0A0C2D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241110</w:t>
            </w:r>
          </w:p>
        </w:tc>
        <w:tc>
          <w:tcPr>
            <w:tcW w:w="1356" w:type="dxa"/>
            <w:tcBorders>
              <w:tl2br w:val="nil"/>
              <w:tr2bl w:val="nil"/>
            </w:tcBorders>
            <w:vAlign w:val="center"/>
          </w:tcPr>
          <w:p w14:paraId="30B7D3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15.0</w:t>
            </w:r>
          </w:p>
        </w:tc>
        <w:tc>
          <w:tcPr>
            <w:tcW w:w="1396" w:type="dxa"/>
            <w:tcBorders>
              <w:tl2br w:val="nil"/>
              <w:tr2bl w:val="nil"/>
            </w:tcBorders>
            <w:vAlign w:val="center"/>
          </w:tcPr>
          <w:p w14:paraId="28CBA5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15.0</w:t>
            </w:r>
          </w:p>
        </w:tc>
        <w:tc>
          <w:tcPr>
            <w:tcW w:w="1106" w:type="dxa"/>
            <w:tcBorders>
              <w:tl2br w:val="nil"/>
              <w:tr2bl w:val="nil"/>
            </w:tcBorders>
            <w:vAlign w:val="center"/>
          </w:tcPr>
          <w:p w14:paraId="4E7C1C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10</w:t>
            </w:r>
          </w:p>
        </w:tc>
        <w:tc>
          <w:tcPr>
            <w:tcW w:w="388" w:type="pct"/>
            <w:tcBorders>
              <w:tl2br w:val="nil"/>
              <w:tr2bl w:val="nil"/>
            </w:tcBorders>
            <w:vAlign w:val="center"/>
          </w:tcPr>
          <w:p w14:paraId="42FF31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达标</w:t>
            </w:r>
          </w:p>
        </w:tc>
      </w:tr>
      <w:tr w14:paraId="5A8CAE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2" w:type="pct"/>
            <w:vMerge w:val="continue"/>
            <w:tcBorders>
              <w:tl2br w:val="nil"/>
              <w:tr2bl w:val="nil"/>
            </w:tcBorders>
            <w:vAlign w:val="center"/>
          </w:tcPr>
          <w:p w14:paraId="05286C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48" w:type="pct"/>
            <w:vMerge w:val="continue"/>
            <w:tcBorders>
              <w:tl2br w:val="nil"/>
              <w:tr2bl w:val="nil"/>
            </w:tcBorders>
            <w:vAlign w:val="center"/>
          </w:tcPr>
          <w:p w14:paraId="782671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1189" w:type="pct"/>
            <w:tcBorders>
              <w:tl2br w:val="nil"/>
              <w:tr2bl w:val="nil"/>
            </w:tcBorders>
            <w:vAlign w:val="center"/>
          </w:tcPr>
          <w:p w14:paraId="6BB1A2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年均浓度</w:t>
            </w:r>
          </w:p>
        </w:tc>
        <w:tc>
          <w:tcPr>
            <w:tcW w:w="1589" w:type="dxa"/>
            <w:tcBorders>
              <w:tl2br w:val="nil"/>
              <w:tr2bl w:val="nil"/>
            </w:tcBorders>
            <w:vAlign w:val="center"/>
          </w:tcPr>
          <w:p w14:paraId="09F7F7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0.00051</w:t>
            </w:r>
          </w:p>
        </w:tc>
        <w:tc>
          <w:tcPr>
            <w:tcW w:w="1180" w:type="dxa"/>
            <w:tcBorders>
              <w:tl2br w:val="nil"/>
              <w:tr2bl w:val="nil"/>
            </w:tcBorders>
            <w:shd w:val="clear" w:color="auto" w:fill="auto"/>
            <w:vAlign w:val="center"/>
          </w:tcPr>
          <w:p w14:paraId="31913C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356" w:type="dxa"/>
            <w:tcBorders>
              <w:tl2br w:val="nil"/>
              <w:tr2bl w:val="nil"/>
            </w:tcBorders>
            <w:vAlign w:val="center"/>
          </w:tcPr>
          <w:p w14:paraId="4692C7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7.947945</w:t>
            </w:r>
          </w:p>
        </w:tc>
        <w:tc>
          <w:tcPr>
            <w:tcW w:w="1396" w:type="dxa"/>
            <w:tcBorders>
              <w:tl2br w:val="nil"/>
              <w:tr2bl w:val="nil"/>
            </w:tcBorders>
            <w:vAlign w:val="center"/>
          </w:tcPr>
          <w:p w14:paraId="249A9E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7.948455</w:t>
            </w:r>
          </w:p>
        </w:tc>
        <w:tc>
          <w:tcPr>
            <w:tcW w:w="1106" w:type="dxa"/>
            <w:tcBorders>
              <w:tl2br w:val="nil"/>
              <w:tr2bl w:val="nil"/>
            </w:tcBorders>
            <w:vAlign w:val="center"/>
          </w:tcPr>
          <w:p w14:paraId="0C54C0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13.25</w:t>
            </w:r>
          </w:p>
        </w:tc>
        <w:tc>
          <w:tcPr>
            <w:tcW w:w="388" w:type="pct"/>
            <w:tcBorders>
              <w:tl2br w:val="nil"/>
              <w:tr2bl w:val="nil"/>
            </w:tcBorders>
            <w:vAlign w:val="center"/>
          </w:tcPr>
          <w:p w14:paraId="72D650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达标</w:t>
            </w:r>
          </w:p>
        </w:tc>
      </w:tr>
      <w:tr w14:paraId="0666A7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2" w:type="pct"/>
            <w:vMerge w:val="continue"/>
            <w:tcBorders>
              <w:tl2br w:val="nil"/>
              <w:tr2bl w:val="nil"/>
            </w:tcBorders>
            <w:vAlign w:val="center"/>
          </w:tcPr>
          <w:p w14:paraId="4EB03E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48" w:type="pct"/>
            <w:vMerge w:val="restart"/>
            <w:tcBorders>
              <w:tl2br w:val="nil"/>
              <w:tr2bl w:val="nil"/>
            </w:tcBorders>
            <w:vAlign w:val="center"/>
          </w:tcPr>
          <w:p w14:paraId="3B1158A8">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东侧市区（绿云社区）</w:t>
            </w:r>
          </w:p>
        </w:tc>
        <w:tc>
          <w:tcPr>
            <w:tcW w:w="1189" w:type="pct"/>
            <w:tcBorders>
              <w:tl2br w:val="nil"/>
              <w:tr2bl w:val="nil"/>
            </w:tcBorders>
            <w:vAlign w:val="center"/>
          </w:tcPr>
          <w:p w14:paraId="726EB9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第</w:t>
            </w:r>
            <w:r>
              <w:rPr>
                <w:rFonts w:hint="eastAsia" w:ascii="Times New Roman" w:hAnsi="Times New Roman" w:eastAsia="宋体" w:cs="Times New Roman"/>
                <w:i w:val="0"/>
                <w:iCs w:val="0"/>
                <w:color w:val="FF0000"/>
                <w:kern w:val="0"/>
                <w:sz w:val="21"/>
                <w:szCs w:val="21"/>
                <w:highlight w:val="none"/>
                <w:u w:val="none"/>
                <w:lang w:val="en-US" w:eastAsia="zh-CN" w:bidi="ar"/>
              </w:rPr>
              <w:t>98</w:t>
            </w:r>
            <w:r>
              <w:rPr>
                <w:rFonts w:hint="default" w:ascii="Times New Roman" w:hAnsi="Times New Roman" w:eastAsia="宋体" w:cs="Times New Roman"/>
                <w:i w:val="0"/>
                <w:iCs w:val="0"/>
                <w:color w:val="FF0000"/>
                <w:kern w:val="0"/>
                <w:sz w:val="21"/>
                <w:szCs w:val="21"/>
                <w:highlight w:val="none"/>
                <w:u w:val="none"/>
                <w:lang w:val="en-US" w:eastAsia="zh-CN" w:bidi="ar"/>
              </w:rPr>
              <w:t>百分位数日平均质量浓度</w:t>
            </w:r>
          </w:p>
        </w:tc>
        <w:tc>
          <w:tcPr>
            <w:tcW w:w="1589" w:type="dxa"/>
            <w:tcBorders>
              <w:tl2br w:val="nil"/>
              <w:tr2bl w:val="nil"/>
            </w:tcBorders>
            <w:vAlign w:val="center"/>
          </w:tcPr>
          <w:p w14:paraId="054809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0.007458</w:t>
            </w:r>
          </w:p>
        </w:tc>
        <w:tc>
          <w:tcPr>
            <w:tcW w:w="1180" w:type="dxa"/>
            <w:tcBorders>
              <w:tl2br w:val="nil"/>
              <w:tr2bl w:val="nil"/>
            </w:tcBorders>
            <w:shd w:val="clear" w:color="auto" w:fill="auto"/>
            <w:vAlign w:val="center"/>
          </w:tcPr>
          <w:p w14:paraId="17460D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241224</w:t>
            </w:r>
          </w:p>
        </w:tc>
        <w:tc>
          <w:tcPr>
            <w:tcW w:w="1356" w:type="dxa"/>
            <w:tcBorders>
              <w:tl2br w:val="nil"/>
              <w:tr2bl w:val="nil"/>
            </w:tcBorders>
            <w:vAlign w:val="center"/>
          </w:tcPr>
          <w:p w14:paraId="362F73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15.0</w:t>
            </w:r>
          </w:p>
        </w:tc>
        <w:tc>
          <w:tcPr>
            <w:tcW w:w="1396" w:type="dxa"/>
            <w:tcBorders>
              <w:tl2br w:val="nil"/>
              <w:tr2bl w:val="nil"/>
            </w:tcBorders>
            <w:vAlign w:val="center"/>
          </w:tcPr>
          <w:p w14:paraId="3C3800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15.00746</w:t>
            </w:r>
          </w:p>
        </w:tc>
        <w:tc>
          <w:tcPr>
            <w:tcW w:w="1106" w:type="dxa"/>
            <w:tcBorders>
              <w:tl2br w:val="nil"/>
              <w:tr2bl w:val="nil"/>
            </w:tcBorders>
            <w:vAlign w:val="center"/>
          </w:tcPr>
          <w:p w14:paraId="3683DA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10.00</w:t>
            </w:r>
          </w:p>
        </w:tc>
        <w:tc>
          <w:tcPr>
            <w:tcW w:w="388" w:type="pct"/>
            <w:tcBorders>
              <w:tl2br w:val="nil"/>
              <w:tr2bl w:val="nil"/>
            </w:tcBorders>
            <w:vAlign w:val="center"/>
          </w:tcPr>
          <w:p w14:paraId="2DFAC3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达标</w:t>
            </w:r>
          </w:p>
        </w:tc>
      </w:tr>
      <w:tr w14:paraId="285CB0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2" w:type="pct"/>
            <w:vMerge w:val="continue"/>
            <w:tcBorders>
              <w:tl2br w:val="nil"/>
              <w:tr2bl w:val="nil"/>
            </w:tcBorders>
            <w:vAlign w:val="center"/>
          </w:tcPr>
          <w:p w14:paraId="325F00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48" w:type="pct"/>
            <w:vMerge w:val="continue"/>
            <w:tcBorders>
              <w:tl2br w:val="nil"/>
              <w:tr2bl w:val="nil"/>
            </w:tcBorders>
            <w:vAlign w:val="center"/>
          </w:tcPr>
          <w:p w14:paraId="087BFB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1189" w:type="pct"/>
            <w:tcBorders>
              <w:tl2br w:val="nil"/>
              <w:tr2bl w:val="nil"/>
            </w:tcBorders>
            <w:vAlign w:val="center"/>
          </w:tcPr>
          <w:p w14:paraId="71D52A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年均浓度</w:t>
            </w:r>
          </w:p>
        </w:tc>
        <w:tc>
          <w:tcPr>
            <w:tcW w:w="1589" w:type="dxa"/>
            <w:tcBorders>
              <w:tl2br w:val="nil"/>
              <w:tr2bl w:val="nil"/>
            </w:tcBorders>
            <w:vAlign w:val="center"/>
          </w:tcPr>
          <w:p w14:paraId="58CB2A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0.00938</w:t>
            </w:r>
          </w:p>
        </w:tc>
        <w:tc>
          <w:tcPr>
            <w:tcW w:w="1180" w:type="dxa"/>
            <w:tcBorders>
              <w:tl2br w:val="nil"/>
              <w:tr2bl w:val="nil"/>
            </w:tcBorders>
            <w:shd w:val="clear" w:color="auto" w:fill="auto"/>
            <w:vAlign w:val="center"/>
          </w:tcPr>
          <w:p w14:paraId="0A5C4B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356" w:type="dxa"/>
            <w:tcBorders>
              <w:tl2br w:val="nil"/>
              <w:tr2bl w:val="nil"/>
            </w:tcBorders>
            <w:vAlign w:val="center"/>
          </w:tcPr>
          <w:p w14:paraId="4F2D45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7.947945</w:t>
            </w:r>
          </w:p>
        </w:tc>
        <w:tc>
          <w:tcPr>
            <w:tcW w:w="1396" w:type="dxa"/>
            <w:tcBorders>
              <w:tl2br w:val="nil"/>
              <w:tr2bl w:val="nil"/>
            </w:tcBorders>
            <w:vAlign w:val="center"/>
          </w:tcPr>
          <w:p w14:paraId="1FA7FD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7.957325</w:t>
            </w:r>
          </w:p>
        </w:tc>
        <w:tc>
          <w:tcPr>
            <w:tcW w:w="1106" w:type="dxa"/>
            <w:tcBorders>
              <w:tl2br w:val="nil"/>
              <w:tr2bl w:val="nil"/>
            </w:tcBorders>
            <w:vAlign w:val="center"/>
          </w:tcPr>
          <w:p w14:paraId="773CE4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13.26</w:t>
            </w:r>
          </w:p>
        </w:tc>
        <w:tc>
          <w:tcPr>
            <w:tcW w:w="388" w:type="pct"/>
            <w:tcBorders>
              <w:tl2br w:val="nil"/>
              <w:tr2bl w:val="nil"/>
            </w:tcBorders>
            <w:vAlign w:val="center"/>
          </w:tcPr>
          <w:p w14:paraId="03CF94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达标</w:t>
            </w:r>
          </w:p>
        </w:tc>
      </w:tr>
      <w:tr w14:paraId="6D6C02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2" w:type="pct"/>
            <w:vMerge w:val="continue"/>
            <w:tcBorders>
              <w:tl2br w:val="nil"/>
              <w:tr2bl w:val="nil"/>
            </w:tcBorders>
            <w:vAlign w:val="center"/>
          </w:tcPr>
          <w:p w14:paraId="33377B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48" w:type="pct"/>
            <w:vMerge w:val="restart"/>
            <w:tcBorders>
              <w:tl2br w:val="nil"/>
              <w:tr2bl w:val="nil"/>
            </w:tcBorders>
            <w:vAlign w:val="center"/>
          </w:tcPr>
          <w:p w14:paraId="70A86AAA">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南侧市区（佳木斯市第十六中学）</w:t>
            </w:r>
          </w:p>
        </w:tc>
        <w:tc>
          <w:tcPr>
            <w:tcW w:w="1189" w:type="pct"/>
            <w:tcBorders>
              <w:tl2br w:val="nil"/>
              <w:tr2bl w:val="nil"/>
            </w:tcBorders>
            <w:vAlign w:val="center"/>
          </w:tcPr>
          <w:p w14:paraId="479473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第</w:t>
            </w:r>
            <w:r>
              <w:rPr>
                <w:rFonts w:hint="eastAsia" w:ascii="Times New Roman" w:hAnsi="Times New Roman" w:eastAsia="宋体" w:cs="Times New Roman"/>
                <w:i w:val="0"/>
                <w:iCs w:val="0"/>
                <w:color w:val="FF0000"/>
                <w:kern w:val="0"/>
                <w:sz w:val="21"/>
                <w:szCs w:val="21"/>
                <w:highlight w:val="none"/>
                <w:u w:val="none"/>
                <w:lang w:val="en-US" w:eastAsia="zh-CN" w:bidi="ar"/>
              </w:rPr>
              <w:t>98</w:t>
            </w:r>
            <w:r>
              <w:rPr>
                <w:rFonts w:hint="default" w:ascii="Times New Roman" w:hAnsi="Times New Roman" w:eastAsia="宋体" w:cs="Times New Roman"/>
                <w:i w:val="0"/>
                <w:iCs w:val="0"/>
                <w:color w:val="FF0000"/>
                <w:kern w:val="0"/>
                <w:sz w:val="21"/>
                <w:szCs w:val="21"/>
                <w:highlight w:val="none"/>
                <w:u w:val="none"/>
                <w:lang w:val="en-US" w:eastAsia="zh-CN" w:bidi="ar"/>
              </w:rPr>
              <w:t>百分位数日平均质量浓度</w:t>
            </w:r>
          </w:p>
        </w:tc>
        <w:tc>
          <w:tcPr>
            <w:tcW w:w="1589" w:type="dxa"/>
            <w:tcBorders>
              <w:tl2br w:val="nil"/>
              <w:tr2bl w:val="nil"/>
            </w:tcBorders>
            <w:vAlign w:val="center"/>
          </w:tcPr>
          <w:p w14:paraId="6DD19A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w:t>
            </w:r>
          </w:p>
        </w:tc>
        <w:tc>
          <w:tcPr>
            <w:tcW w:w="1180" w:type="dxa"/>
            <w:tcBorders>
              <w:tl2br w:val="nil"/>
              <w:tr2bl w:val="nil"/>
            </w:tcBorders>
            <w:shd w:val="clear" w:color="auto" w:fill="auto"/>
            <w:vAlign w:val="center"/>
          </w:tcPr>
          <w:p w14:paraId="514E48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241222</w:t>
            </w:r>
          </w:p>
        </w:tc>
        <w:tc>
          <w:tcPr>
            <w:tcW w:w="1356" w:type="dxa"/>
            <w:tcBorders>
              <w:tl2br w:val="nil"/>
              <w:tr2bl w:val="nil"/>
            </w:tcBorders>
            <w:vAlign w:val="center"/>
          </w:tcPr>
          <w:p w14:paraId="0472CE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15.0</w:t>
            </w:r>
          </w:p>
        </w:tc>
        <w:tc>
          <w:tcPr>
            <w:tcW w:w="1396" w:type="dxa"/>
            <w:tcBorders>
              <w:tl2br w:val="nil"/>
              <w:tr2bl w:val="nil"/>
            </w:tcBorders>
            <w:vAlign w:val="center"/>
          </w:tcPr>
          <w:p w14:paraId="4A9987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15.0</w:t>
            </w:r>
          </w:p>
        </w:tc>
        <w:tc>
          <w:tcPr>
            <w:tcW w:w="1106" w:type="dxa"/>
            <w:tcBorders>
              <w:tl2br w:val="nil"/>
              <w:tr2bl w:val="nil"/>
            </w:tcBorders>
            <w:vAlign w:val="center"/>
          </w:tcPr>
          <w:p w14:paraId="61EF06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10</w:t>
            </w:r>
          </w:p>
        </w:tc>
        <w:tc>
          <w:tcPr>
            <w:tcW w:w="388" w:type="pct"/>
            <w:tcBorders>
              <w:tl2br w:val="nil"/>
              <w:tr2bl w:val="nil"/>
            </w:tcBorders>
            <w:vAlign w:val="center"/>
          </w:tcPr>
          <w:p w14:paraId="1D7E6F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达标</w:t>
            </w:r>
          </w:p>
        </w:tc>
      </w:tr>
      <w:tr w14:paraId="5A48E6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2" w:type="pct"/>
            <w:vMerge w:val="continue"/>
            <w:tcBorders>
              <w:tl2br w:val="nil"/>
              <w:tr2bl w:val="nil"/>
            </w:tcBorders>
            <w:vAlign w:val="center"/>
          </w:tcPr>
          <w:p w14:paraId="651B60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48" w:type="pct"/>
            <w:vMerge w:val="continue"/>
            <w:tcBorders>
              <w:tl2br w:val="nil"/>
              <w:tr2bl w:val="nil"/>
            </w:tcBorders>
            <w:vAlign w:val="center"/>
          </w:tcPr>
          <w:p w14:paraId="6EF776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1189" w:type="pct"/>
            <w:tcBorders>
              <w:tl2br w:val="nil"/>
              <w:tr2bl w:val="nil"/>
            </w:tcBorders>
            <w:vAlign w:val="center"/>
          </w:tcPr>
          <w:p w14:paraId="2555FA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年均浓度</w:t>
            </w:r>
          </w:p>
        </w:tc>
        <w:tc>
          <w:tcPr>
            <w:tcW w:w="1589" w:type="dxa"/>
            <w:tcBorders>
              <w:tl2br w:val="nil"/>
              <w:tr2bl w:val="nil"/>
            </w:tcBorders>
            <w:vAlign w:val="center"/>
          </w:tcPr>
          <w:p w14:paraId="3A150C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0.0007</w:t>
            </w:r>
          </w:p>
        </w:tc>
        <w:tc>
          <w:tcPr>
            <w:tcW w:w="1180" w:type="dxa"/>
            <w:tcBorders>
              <w:tl2br w:val="nil"/>
              <w:tr2bl w:val="nil"/>
            </w:tcBorders>
            <w:shd w:val="clear" w:color="auto" w:fill="auto"/>
            <w:vAlign w:val="center"/>
          </w:tcPr>
          <w:p w14:paraId="34A4E1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356" w:type="dxa"/>
            <w:tcBorders>
              <w:tl2br w:val="nil"/>
              <w:tr2bl w:val="nil"/>
            </w:tcBorders>
            <w:vAlign w:val="center"/>
          </w:tcPr>
          <w:p w14:paraId="017FFF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7.947945</w:t>
            </w:r>
          </w:p>
        </w:tc>
        <w:tc>
          <w:tcPr>
            <w:tcW w:w="1396" w:type="dxa"/>
            <w:tcBorders>
              <w:tl2br w:val="nil"/>
              <w:tr2bl w:val="nil"/>
            </w:tcBorders>
            <w:vAlign w:val="center"/>
          </w:tcPr>
          <w:p w14:paraId="5B2C7E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7.948645</w:t>
            </w:r>
          </w:p>
        </w:tc>
        <w:tc>
          <w:tcPr>
            <w:tcW w:w="1106" w:type="dxa"/>
            <w:tcBorders>
              <w:tl2br w:val="nil"/>
              <w:tr2bl w:val="nil"/>
            </w:tcBorders>
            <w:vAlign w:val="center"/>
          </w:tcPr>
          <w:p w14:paraId="497C07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13.25</w:t>
            </w:r>
          </w:p>
        </w:tc>
        <w:tc>
          <w:tcPr>
            <w:tcW w:w="388" w:type="pct"/>
            <w:tcBorders>
              <w:tl2br w:val="nil"/>
              <w:tr2bl w:val="nil"/>
            </w:tcBorders>
            <w:vAlign w:val="center"/>
          </w:tcPr>
          <w:p w14:paraId="23A65C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达标</w:t>
            </w:r>
          </w:p>
        </w:tc>
      </w:tr>
      <w:tr w14:paraId="6F9C29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2" w:type="pct"/>
            <w:vMerge w:val="continue"/>
            <w:tcBorders>
              <w:tl2br w:val="nil"/>
              <w:tr2bl w:val="nil"/>
            </w:tcBorders>
            <w:vAlign w:val="center"/>
          </w:tcPr>
          <w:p w14:paraId="192EDF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48" w:type="pct"/>
            <w:vMerge w:val="restart"/>
            <w:tcBorders>
              <w:tl2br w:val="nil"/>
              <w:tr2bl w:val="nil"/>
            </w:tcBorders>
            <w:vAlign w:val="center"/>
          </w:tcPr>
          <w:p w14:paraId="6D5477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区域最大落地浓度</w:t>
            </w:r>
          </w:p>
        </w:tc>
        <w:tc>
          <w:tcPr>
            <w:tcW w:w="1189" w:type="pct"/>
            <w:tcBorders>
              <w:tl2br w:val="nil"/>
              <w:tr2bl w:val="nil"/>
            </w:tcBorders>
            <w:vAlign w:val="center"/>
          </w:tcPr>
          <w:p w14:paraId="395C82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第</w:t>
            </w:r>
            <w:r>
              <w:rPr>
                <w:rFonts w:hint="eastAsia" w:ascii="Times New Roman" w:hAnsi="Times New Roman" w:eastAsia="宋体" w:cs="Times New Roman"/>
                <w:i w:val="0"/>
                <w:iCs w:val="0"/>
                <w:color w:val="FF0000"/>
                <w:kern w:val="0"/>
                <w:sz w:val="21"/>
                <w:szCs w:val="21"/>
                <w:highlight w:val="none"/>
                <w:u w:val="none"/>
                <w:lang w:val="en-US" w:eastAsia="zh-CN" w:bidi="ar"/>
              </w:rPr>
              <w:t>98</w:t>
            </w:r>
            <w:r>
              <w:rPr>
                <w:rFonts w:hint="default" w:ascii="Times New Roman" w:hAnsi="Times New Roman" w:eastAsia="宋体" w:cs="Times New Roman"/>
                <w:i w:val="0"/>
                <w:iCs w:val="0"/>
                <w:color w:val="FF0000"/>
                <w:kern w:val="0"/>
                <w:sz w:val="21"/>
                <w:szCs w:val="21"/>
                <w:highlight w:val="none"/>
                <w:u w:val="none"/>
                <w:lang w:val="en-US" w:eastAsia="zh-CN" w:bidi="ar"/>
              </w:rPr>
              <w:t>百分位数日平均质量浓度</w:t>
            </w:r>
          </w:p>
        </w:tc>
        <w:tc>
          <w:tcPr>
            <w:tcW w:w="1589" w:type="dxa"/>
            <w:tcBorders>
              <w:tl2br w:val="nil"/>
              <w:tr2bl w:val="nil"/>
            </w:tcBorders>
            <w:vAlign w:val="center"/>
          </w:tcPr>
          <w:p w14:paraId="00C599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0.057195</w:t>
            </w:r>
          </w:p>
        </w:tc>
        <w:tc>
          <w:tcPr>
            <w:tcW w:w="1180" w:type="dxa"/>
            <w:tcBorders>
              <w:tl2br w:val="nil"/>
              <w:tr2bl w:val="nil"/>
            </w:tcBorders>
            <w:vAlign w:val="center"/>
          </w:tcPr>
          <w:p w14:paraId="08B41F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241224</w:t>
            </w:r>
          </w:p>
        </w:tc>
        <w:tc>
          <w:tcPr>
            <w:tcW w:w="1356" w:type="dxa"/>
            <w:tcBorders>
              <w:tl2br w:val="nil"/>
              <w:tr2bl w:val="nil"/>
            </w:tcBorders>
            <w:vAlign w:val="center"/>
          </w:tcPr>
          <w:p w14:paraId="2E05E8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15.0</w:t>
            </w:r>
          </w:p>
        </w:tc>
        <w:tc>
          <w:tcPr>
            <w:tcW w:w="1396" w:type="dxa"/>
            <w:tcBorders>
              <w:tl2br w:val="nil"/>
              <w:tr2bl w:val="nil"/>
            </w:tcBorders>
            <w:vAlign w:val="center"/>
          </w:tcPr>
          <w:p w14:paraId="1DAC95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15.05719</w:t>
            </w:r>
          </w:p>
        </w:tc>
        <w:tc>
          <w:tcPr>
            <w:tcW w:w="1106" w:type="dxa"/>
            <w:tcBorders>
              <w:tl2br w:val="nil"/>
              <w:tr2bl w:val="nil"/>
            </w:tcBorders>
            <w:vAlign w:val="center"/>
          </w:tcPr>
          <w:p w14:paraId="5DC783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10.04</w:t>
            </w:r>
          </w:p>
        </w:tc>
        <w:tc>
          <w:tcPr>
            <w:tcW w:w="388" w:type="pct"/>
            <w:tcBorders>
              <w:tl2br w:val="nil"/>
              <w:tr2bl w:val="nil"/>
            </w:tcBorders>
            <w:vAlign w:val="center"/>
          </w:tcPr>
          <w:p w14:paraId="706713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达标</w:t>
            </w:r>
          </w:p>
        </w:tc>
      </w:tr>
      <w:tr w14:paraId="3A5E9F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2" w:type="pct"/>
            <w:vMerge w:val="continue"/>
            <w:tcBorders>
              <w:tl2br w:val="nil"/>
              <w:tr2bl w:val="nil"/>
            </w:tcBorders>
            <w:vAlign w:val="center"/>
          </w:tcPr>
          <w:p w14:paraId="02D092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48" w:type="pct"/>
            <w:vMerge w:val="continue"/>
            <w:tcBorders>
              <w:tl2br w:val="nil"/>
              <w:tr2bl w:val="nil"/>
            </w:tcBorders>
            <w:vAlign w:val="center"/>
          </w:tcPr>
          <w:p w14:paraId="2D1737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1189" w:type="pct"/>
            <w:tcBorders>
              <w:tl2br w:val="nil"/>
              <w:tr2bl w:val="nil"/>
            </w:tcBorders>
            <w:vAlign w:val="center"/>
          </w:tcPr>
          <w:p w14:paraId="0935CE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年均浓度</w:t>
            </w:r>
          </w:p>
        </w:tc>
        <w:tc>
          <w:tcPr>
            <w:tcW w:w="1589" w:type="dxa"/>
            <w:tcBorders>
              <w:tl2br w:val="nil"/>
              <w:tr2bl w:val="nil"/>
            </w:tcBorders>
            <w:vAlign w:val="center"/>
          </w:tcPr>
          <w:p w14:paraId="608759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0.03922</w:t>
            </w:r>
          </w:p>
        </w:tc>
        <w:tc>
          <w:tcPr>
            <w:tcW w:w="1180" w:type="dxa"/>
            <w:tcBorders>
              <w:tl2br w:val="nil"/>
              <w:tr2bl w:val="nil"/>
            </w:tcBorders>
            <w:vAlign w:val="center"/>
          </w:tcPr>
          <w:p w14:paraId="3E9FB9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356" w:type="dxa"/>
            <w:tcBorders>
              <w:tl2br w:val="nil"/>
              <w:tr2bl w:val="nil"/>
            </w:tcBorders>
            <w:vAlign w:val="center"/>
          </w:tcPr>
          <w:p w14:paraId="2C1F28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7.947945</w:t>
            </w:r>
          </w:p>
        </w:tc>
        <w:tc>
          <w:tcPr>
            <w:tcW w:w="1396" w:type="dxa"/>
            <w:tcBorders>
              <w:tl2br w:val="nil"/>
              <w:tr2bl w:val="nil"/>
            </w:tcBorders>
            <w:vAlign w:val="center"/>
          </w:tcPr>
          <w:p w14:paraId="52DF27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7.987165</w:t>
            </w:r>
          </w:p>
        </w:tc>
        <w:tc>
          <w:tcPr>
            <w:tcW w:w="1106" w:type="dxa"/>
            <w:tcBorders>
              <w:tl2br w:val="nil"/>
              <w:tr2bl w:val="nil"/>
            </w:tcBorders>
            <w:vAlign w:val="center"/>
          </w:tcPr>
          <w:p w14:paraId="2789BA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13.31</w:t>
            </w:r>
          </w:p>
        </w:tc>
        <w:tc>
          <w:tcPr>
            <w:tcW w:w="388" w:type="pct"/>
            <w:tcBorders>
              <w:tl2br w:val="nil"/>
              <w:tr2bl w:val="nil"/>
            </w:tcBorders>
            <w:vAlign w:val="center"/>
          </w:tcPr>
          <w:p w14:paraId="06C015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达标</w:t>
            </w:r>
          </w:p>
        </w:tc>
      </w:tr>
    </w:tbl>
    <w:p w14:paraId="2266A6F5">
      <w:pPr>
        <w:keepNext w:val="0"/>
        <w:keepLines w:val="0"/>
        <w:pageBreakBefore w:val="0"/>
        <w:widowControl w:val="0"/>
        <w:kinsoku/>
        <w:wordWrap/>
        <w:overflowPunct/>
        <w:topLinePunct w:val="0"/>
        <w:bidi w:val="0"/>
        <w:snapToGrid/>
        <w:spacing w:after="0" w:line="480" w:lineRule="exact"/>
        <w:ind w:firstLine="0" w:firstLineChars="0"/>
        <w:jc w:val="center"/>
        <w:outlineLvl w:val="9"/>
        <w:rPr>
          <w:rFonts w:hint="default" w:ascii="Times New Roman" w:hAnsi="Times New Roman" w:eastAsia="宋体" w:cs="Times New Roman"/>
          <w:snapToGrid w:val="0"/>
          <w:color w:val="FF0000"/>
          <w:kern w:val="2"/>
          <w:sz w:val="24"/>
          <w:szCs w:val="24"/>
          <w:highlight w:val="none"/>
          <w:lang w:val="en-US" w:eastAsia="zh-CN" w:bidi="ar-SA"/>
        </w:rPr>
      </w:pPr>
    </w:p>
    <w:p w14:paraId="3DDD9C4E">
      <w:pPr>
        <w:keepNext w:val="0"/>
        <w:keepLines w:val="0"/>
        <w:pageBreakBefore w:val="0"/>
        <w:widowControl w:val="0"/>
        <w:kinsoku/>
        <w:wordWrap/>
        <w:overflowPunct/>
        <w:topLinePunct w:val="0"/>
        <w:bidi w:val="0"/>
        <w:snapToGrid/>
        <w:spacing w:after="0" w:line="480" w:lineRule="exact"/>
        <w:ind w:firstLine="0" w:firstLineChars="0"/>
        <w:jc w:val="center"/>
        <w:outlineLvl w:val="9"/>
        <w:rPr>
          <w:rFonts w:hint="default" w:ascii="Times New Roman" w:hAnsi="Times New Roman" w:eastAsia="宋体" w:cs="Times New Roman"/>
          <w:snapToGrid w:val="0"/>
          <w:color w:val="FF0000"/>
          <w:kern w:val="2"/>
          <w:sz w:val="24"/>
          <w:szCs w:val="24"/>
          <w:highlight w:val="none"/>
          <w:lang w:val="en-US" w:eastAsia="zh-CN" w:bidi="ar-SA"/>
        </w:rPr>
      </w:pPr>
    </w:p>
    <w:p w14:paraId="76C47646">
      <w:pPr>
        <w:keepNext w:val="0"/>
        <w:keepLines w:val="0"/>
        <w:pageBreakBefore w:val="0"/>
        <w:widowControl w:val="0"/>
        <w:kinsoku/>
        <w:wordWrap/>
        <w:overflowPunct/>
        <w:topLinePunct w:val="0"/>
        <w:bidi w:val="0"/>
        <w:snapToGrid/>
        <w:spacing w:after="0" w:line="480" w:lineRule="exact"/>
        <w:ind w:firstLine="0" w:firstLineChars="0"/>
        <w:jc w:val="center"/>
        <w:outlineLvl w:val="9"/>
        <w:rPr>
          <w:rFonts w:hint="default" w:ascii="Times New Roman" w:hAnsi="Times New Roman" w:eastAsia="宋体" w:cs="Times New Roman"/>
          <w:snapToGrid w:val="0"/>
          <w:color w:val="FF0000"/>
          <w:kern w:val="2"/>
          <w:sz w:val="24"/>
          <w:szCs w:val="24"/>
          <w:highlight w:val="none"/>
          <w:lang w:val="en-US" w:eastAsia="zh-CN" w:bidi="ar-SA"/>
        </w:rPr>
      </w:pPr>
    </w:p>
    <w:p w14:paraId="548774BD">
      <w:pPr>
        <w:keepNext w:val="0"/>
        <w:keepLines w:val="0"/>
        <w:pageBreakBefore w:val="0"/>
        <w:widowControl w:val="0"/>
        <w:kinsoku/>
        <w:wordWrap/>
        <w:overflowPunct/>
        <w:topLinePunct w:val="0"/>
        <w:bidi w:val="0"/>
        <w:snapToGrid/>
        <w:spacing w:after="0" w:line="480" w:lineRule="exact"/>
        <w:ind w:firstLine="0" w:firstLineChars="0"/>
        <w:jc w:val="center"/>
        <w:outlineLvl w:val="9"/>
        <w:rPr>
          <w:rFonts w:hint="default" w:ascii="Times New Roman" w:hAnsi="Times New Roman" w:eastAsia="宋体" w:cs="Times New Roman"/>
          <w:snapToGrid w:val="0"/>
          <w:color w:val="FF0000"/>
          <w:kern w:val="2"/>
          <w:sz w:val="24"/>
          <w:szCs w:val="24"/>
          <w:highlight w:val="none"/>
          <w:vertAlign w:val="superscript"/>
          <w:lang w:val="en-US" w:eastAsia="zh-CN" w:bidi="ar-SA"/>
        </w:rPr>
      </w:pPr>
      <w:r>
        <w:rPr>
          <w:rFonts w:hint="default" w:ascii="Times New Roman" w:hAnsi="Times New Roman" w:eastAsia="宋体" w:cs="Times New Roman"/>
          <w:snapToGrid w:val="0"/>
          <w:color w:val="FF0000"/>
          <w:kern w:val="2"/>
          <w:sz w:val="24"/>
          <w:szCs w:val="24"/>
          <w:highlight w:val="none"/>
          <w:lang w:val="en-US" w:eastAsia="zh-CN" w:bidi="ar-SA"/>
        </w:rPr>
        <w:t>表6.2-</w:t>
      </w:r>
      <w:r>
        <w:rPr>
          <w:rFonts w:hint="eastAsia" w:ascii="Times New Roman" w:hAnsi="Times New Roman" w:eastAsia="宋体" w:cs="Times New Roman"/>
          <w:snapToGrid w:val="0"/>
          <w:color w:val="FF0000"/>
          <w:kern w:val="2"/>
          <w:sz w:val="24"/>
          <w:szCs w:val="24"/>
          <w:highlight w:val="none"/>
          <w:lang w:val="en-US" w:eastAsia="zh-CN" w:bidi="ar-SA"/>
        </w:rPr>
        <w:t>18</w:t>
      </w:r>
      <w:r>
        <w:rPr>
          <w:rFonts w:hint="default" w:ascii="Times New Roman" w:hAnsi="Times New Roman" w:eastAsia="宋体" w:cs="Times New Roman"/>
          <w:snapToGrid w:val="0"/>
          <w:color w:val="FF0000"/>
          <w:kern w:val="2"/>
          <w:sz w:val="24"/>
          <w:szCs w:val="24"/>
          <w:highlight w:val="none"/>
          <w:lang w:val="en-US" w:eastAsia="zh-CN" w:bidi="ar-SA"/>
        </w:rPr>
        <w:t xml:space="preserve">  本项目NO</w:t>
      </w:r>
      <w:r>
        <w:rPr>
          <w:rFonts w:hint="default" w:ascii="Times New Roman" w:hAnsi="Times New Roman" w:eastAsia="宋体" w:cs="Times New Roman"/>
          <w:snapToGrid w:val="0"/>
          <w:color w:val="FF0000"/>
          <w:kern w:val="2"/>
          <w:sz w:val="24"/>
          <w:szCs w:val="24"/>
          <w:highlight w:val="none"/>
          <w:vertAlign w:val="subscript"/>
          <w:lang w:val="en-US" w:eastAsia="zh-CN" w:bidi="ar-SA"/>
        </w:rPr>
        <w:t>2</w:t>
      </w:r>
      <w:r>
        <w:rPr>
          <w:rFonts w:hint="eastAsia" w:ascii="Times New Roman" w:hAnsi="Times New Roman" w:eastAsia="宋体" w:cs="Times New Roman"/>
          <w:snapToGrid w:val="0"/>
          <w:color w:val="FF0000"/>
          <w:kern w:val="2"/>
          <w:sz w:val="24"/>
          <w:szCs w:val="24"/>
          <w:highlight w:val="none"/>
          <w:vertAlign w:val="baseline"/>
          <w:lang w:val="en-US" w:eastAsia="zh-CN" w:bidi="ar-SA"/>
        </w:rPr>
        <w:t>叠加后</w:t>
      </w:r>
      <w:r>
        <w:rPr>
          <w:rFonts w:hint="default" w:ascii="Times New Roman" w:hAnsi="Times New Roman" w:eastAsia="宋体" w:cs="Times New Roman"/>
          <w:snapToGrid w:val="0"/>
          <w:color w:val="FF0000"/>
          <w:kern w:val="2"/>
          <w:sz w:val="24"/>
          <w:szCs w:val="24"/>
          <w:highlight w:val="none"/>
          <w:lang w:val="en-US" w:eastAsia="zh-CN" w:bidi="ar-SA"/>
        </w:rPr>
        <w:t>环境质量浓度预测结果表</w:t>
      </w:r>
    </w:p>
    <w:tbl>
      <w:tblPr>
        <w:tblStyle w:val="38"/>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72"/>
        <w:gridCol w:w="2141"/>
        <w:gridCol w:w="3367"/>
        <w:gridCol w:w="1604"/>
        <w:gridCol w:w="1177"/>
        <w:gridCol w:w="1354"/>
        <w:gridCol w:w="1399"/>
        <w:gridCol w:w="1092"/>
        <w:gridCol w:w="1103"/>
      </w:tblGrid>
      <w:tr w14:paraId="7F83B9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2" w:type="pct"/>
            <w:tcBorders>
              <w:tl2br w:val="nil"/>
              <w:tr2bl w:val="nil"/>
            </w:tcBorders>
            <w:vAlign w:val="center"/>
          </w:tcPr>
          <w:p w14:paraId="385A30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污染物</w:t>
            </w:r>
          </w:p>
        </w:tc>
        <w:tc>
          <w:tcPr>
            <w:tcW w:w="753" w:type="pct"/>
            <w:tcBorders>
              <w:tl2br w:val="nil"/>
              <w:tr2bl w:val="nil"/>
            </w:tcBorders>
            <w:vAlign w:val="center"/>
          </w:tcPr>
          <w:p w14:paraId="49D75A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预测点</w:t>
            </w:r>
          </w:p>
        </w:tc>
        <w:tc>
          <w:tcPr>
            <w:tcW w:w="1184" w:type="pct"/>
            <w:tcBorders>
              <w:tl2br w:val="nil"/>
              <w:tr2bl w:val="nil"/>
            </w:tcBorders>
            <w:vAlign w:val="center"/>
          </w:tcPr>
          <w:p w14:paraId="538BAA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平均时段</w:t>
            </w:r>
          </w:p>
        </w:tc>
        <w:tc>
          <w:tcPr>
            <w:tcW w:w="564" w:type="pct"/>
            <w:tcBorders>
              <w:tl2br w:val="nil"/>
              <w:tr2bl w:val="nil"/>
            </w:tcBorders>
            <w:vAlign w:val="center"/>
          </w:tcPr>
          <w:p w14:paraId="39BB5C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贡献值/（μg/m</w:t>
            </w:r>
            <w:r>
              <w:rPr>
                <w:rFonts w:hint="default" w:ascii="Times New Roman" w:hAnsi="Times New Roman" w:eastAsia="宋体" w:cs="Times New Roman"/>
                <w:i w:val="0"/>
                <w:iCs w:val="0"/>
                <w:color w:val="FF0000"/>
                <w:kern w:val="0"/>
                <w:sz w:val="21"/>
                <w:szCs w:val="21"/>
                <w:highlight w:val="none"/>
                <w:u w:val="none"/>
                <w:vertAlign w:val="superscript"/>
                <w:lang w:val="en-US" w:eastAsia="zh-CN" w:bidi="ar"/>
              </w:rPr>
              <w:t>3</w:t>
            </w:r>
            <w:r>
              <w:rPr>
                <w:rFonts w:hint="default" w:ascii="Times New Roman" w:hAnsi="Times New Roman" w:eastAsia="宋体" w:cs="Times New Roman"/>
                <w:i w:val="0"/>
                <w:iCs w:val="0"/>
                <w:color w:val="FF0000"/>
                <w:kern w:val="0"/>
                <w:sz w:val="21"/>
                <w:szCs w:val="21"/>
                <w:highlight w:val="none"/>
                <w:u w:val="none"/>
                <w:lang w:val="en-US" w:eastAsia="zh-CN" w:bidi="ar"/>
              </w:rPr>
              <w:t>）</w:t>
            </w:r>
          </w:p>
        </w:tc>
        <w:tc>
          <w:tcPr>
            <w:tcW w:w="414" w:type="pct"/>
            <w:tcBorders>
              <w:tl2br w:val="nil"/>
              <w:tr2bl w:val="nil"/>
            </w:tcBorders>
            <w:vAlign w:val="center"/>
          </w:tcPr>
          <w:p w14:paraId="69E22E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出现时间</w:t>
            </w:r>
          </w:p>
        </w:tc>
        <w:tc>
          <w:tcPr>
            <w:tcW w:w="476" w:type="pct"/>
            <w:tcBorders>
              <w:tl2br w:val="nil"/>
              <w:tr2bl w:val="nil"/>
            </w:tcBorders>
            <w:vAlign w:val="center"/>
          </w:tcPr>
          <w:p w14:paraId="3BBFB0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现状浓度/（μg/m</w:t>
            </w:r>
            <w:r>
              <w:rPr>
                <w:rFonts w:hint="default" w:ascii="Times New Roman" w:hAnsi="Times New Roman" w:eastAsia="宋体" w:cs="Times New Roman"/>
                <w:i w:val="0"/>
                <w:iCs w:val="0"/>
                <w:color w:val="FF0000"/>
                <w:kern w:val="0"/>
                <w:sz w:val="21"/>
                <w:szCs w:val="21"/>
                <w:highlight w:val="none"/>
                <w:u w:val="none"/>
                <w:vertAlign w:val="superscript"/>
                <w:lang w:val="en-US" w:eastAsia="zh-CN" w:bidi="ar"/>
              </w:rPr>
              <w:t>3</w:t>
            </w:r>
            <w:r>
              <w:rPr>
                <w:rFonts w:hint="default" w:ascii="Times New Roman" w:hAnsi="Times New Roman" w:eastAsia="宋体" w:cs="Times New Roman"/>
                <w:i w:val="0"/>
                <w:iCs w:val="0"/>
                <w:color w:val="FF0000"/>
                <w:kern w:val="0"/>
                <w:sz w:val="21"/>
                <w:szCs w:val="21"/>
                <w:highlight w:val="none"/>
                <w:u w:val="none"/>
                <w:lang w:val="en-US" w:eastAsia="zh-CN" w:bidi="ar"/>
              </w:rPr>
              <w:t>）</w:t>
            </w:r>
          </w:p>
        </w:tc>
        <w:tc>
          <w:tcPr>
            <w:tcW w:w="492" w:type="pct"/>
            <w:tcBorders>
              <w:tl2br w:val="nil"/>
              <w:tr2bl w:val="nil"/>
            </w:tcBorders>
            <w:vAlign w:val="center"/>
          </w:tcPr>
          <w:p w14:paraId="311DDF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叠加后浓度/（μg/m</w:t>
            </w:r>
            <w:r>
              <w:rPr>
                <w:rFonts w:hint="default" w:ascii="Times New Roman" w:hAnsi="Times New Roman" w:eastAsia="宋体" w:cs="Times New Roman"/>
                <w:i w:val="0"/>
                <w:iCs w:val="0"/>
                <w:color w:val="FF0000"/>
                <w:kern w:val="0"/>
                <w:sz w:val="21"/>
                <w:szCs w:val="21"/>
                <w:highlight w:val="none"/>
                <w:u w:val="none"/>
                <w:vertAlign w:val="superscript"/>
                <w:lang w:val="en-US" w:eastAsia="zh-CN" w:bidi="ar"/>
              </w:rPr>
              <w:t>3</w:t>
            </w:r>
            <w:r>
              <w:rPr>
                <w:rFonts w:hint="default" w:ascii="Times New Roman" w:hAnsi="Times New Roman" w:eastAsia="宋体" w:cs="Times New Roman"/>
                <w:i w:val="0"/>
                <w:iCs w:val="0"/>
                <w:color w:val="FF0000"/>
                <w:kern w:val="0"/>
                <w:sz w:val="21"/>
                <w:szCs w:val="21"/>
                <w:highlight w:val="none"/>
                <w:u w:val="none"/>
                <w:lang w:val="en-US" w:eastAsia="zh-CN" w:bidi="ar"/>
              </w:rPr>
              <w:t>）</w:t>
            </w:r>
          </w:p>
        </w:tc>
        <w:tc>
          <w:tcPr>
            <w:tcW w:w="384" w:type="pct"/>
            <w:tcBorders>
              <w:tl2br w:val="nil"/>
              <w:tr2bl w:val="nil"/>
            </w:tcBorders>
            <w:vAlign w:val="center"/>
          </w:tcPr>
          <w:p w14:paraId="704098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占标率/%</w:t>
            </w:r>
          </w:p>
        </w:tc>
        <w:tc>
          <w:tcPr>
            <w:tcW w:w="388" w:type="pct"/>
            <w:tcBorders>
              <w:tl2br w:val="nil"/>
              <w:tr2bl w:val="nil"/>
            </w:tcBorders>
            <w:vAlign w:val="center"/>
          </w:tcPr>
          <w:p w14:paraId="530E27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达标情况</w:t>
            </w:r>
          </w:p>
        </w:tc>
      </w:tr>
      <w:tr w14:paraId="4C55E8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2" w:type="pct"/>
            <w:vMerge w:val="restart"/>
            <w:tcBorders>
              <w:tl2br w:val="nil"/>
              <w:tr2bl w:val="nil"/>
            </w:tcBorders>
            <w:vAlign w:val="center"/>
          </w:tcPr>
          <w:p w14:paraId="1F6FBD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vertAlign w:val="subscript"/>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NO</w:t>
            </w:r>
            <w:r>
              <w:rPr>
                <w:rFonts w:hint="eastAsia" w:ascii="Times New Roman" w:hAnsi="Times New Roman" w:eastAsia="宋体" w:cs="Times New Roman"/>
                <w:i w:val="0"/>
                <w:iCs w:val="0"/>
                <w:color w:val="FF0000"/>
                <w:kern w:val="0"/>
                <w:sz w:val="21"/>
                <w:szCs w:val="21"/>
                <w:highlight w:val="none"/>
                <w:u w:val="none"/>
                <w:vertAlign w:val="subscript"/>
                <w:lang w:val="en-US" w:eastAsia="zh-CN" w:bidi="ar"/>
              </w:rPr>
              <w:t>2</w:t>
            </w:r>
          </w:p>
        </w:tc>
        <w:tc>
          <w:tcPr>
            <w:tcW w:w="753" w:type="pct"/>
            <w:vMerge w:val="restart"/>
            <w:tcBorders>
              <w:tl2br w:val="nil"/>
              <w:tr2bl w:val="nil"/>
            </w:tcBorders>
            <w:vAlign w:val="center"/>
          </w:tcPr>
          <w:p w14:paraId="4FC3FB13">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范家屯</w:t>
            </w:r>
          </w:p>
        </w:tc>
        <w:tc>
          <w:tcPr>
            <w:tcW w:w="1184" w:type="pct"/>
            <w:tcBorders>
              <w:tl2br w:val="nil"/>
              <w:tr2bl w:val="nil"/>
            </w:tcBorders>
            <w:vAlign w:val="center"/>
          </w:tcPr>
          <w:p w14:paraId="5B9121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第</w:t>
            </w:r>
            <w:r>
              <w:rPr>
                <w:rFonts w:hint="eastAsia" w:ascii="Times New Roman" w:hAnsi="Times New Roman" w:eastAsia="宋体" w:cs="Times New Roman"/>
                <w:i w:val="0"/>
                <w:iCs w:val="0"/>
                <w:color w:val="FF0000"/>
                <w:kern w:val="0"/>
                <w:sz w:val="21"/>
                <w:szCs w:val="21"/>
                <w:highlight w:val="none"/>
                <w:u w:val="none"/>
                <w:lang w:val="en-US" w:eastAsia="zh-CN" w:bidi="ar"/>
              </w:rPr>
              <w:t>98</w:t>
            </w:r>
            <w:r>
              <w:rPr>
                <w:rFonts w:hint="default" w:ascii="Times New Roman" w:hAnsi="Times New Roman" w:eastAsia="宋体" w:cs="Times New Roman"/>
                <w:i w:val="0"/>
                <w:iCs w:val="0"/>
                <w:color w:val="FF0000"/>
                <w:kern w:val="0"/>
                <w:sz w:val="21"/>
                <w:szCs w:val="21"/>
                <w:highlight w:val="none"/>
                <w:u w:val="none"/>
                <w:lang w:val="en-US" w:eastAsia="zh-CN" w:bidi="ar"/>
              </w:rPr>
              <w:t>百分位数日平均质量浓度</w:t>
            </w:r>
          </w:p>
        </w:tc>
        <w:tc>
          <w:tcPr>
            <w:tcW w:w="1604" w:type="dxa"/>
            <w:tcBorders>
              <w:tl2br w:val="nil"/>
              <w:tr2bl w:val="nil"/>
            </w:tcBorders>
            <w:vAlign w:val="center"/>
          </w:tcPr>
          <w:p w14:paraId="7D1939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0.039772</w:t>
            </w:r>
          </w:p>
        </w:tc>
        <w:tc>
          <w:tcPr>
            <w:tcW w:w="1177" w:type="dxa"/>
            <w:tcBorders>
              <w:tl2br w:val="nil"/>
              <w:tr2bl w:val="nil"/>
            </w:tcBorders>
            <w:vAlign w:val="center"/>
          </w:tcPr>
          <w:p w14:paraId="705BB1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240130</w:t>
            </w:r>
          </w:p>
        </w:tc>
        <w:tc>
          <w:tcPr>
            <w:tcW w:w="1354" w:type="dxa"/>
            <w:tcBorders>
              <w:tl2br w:val="nil"/>
              <w:tr2bl w:val="nil"/>
            </w:tcBorders>
            <w:vAlign w:val="center"/>
          </w:tcPr>
          <w:p w14:paraId="7766D7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52.0</w:t>
            </w:r>
          </w:p>
        </w:tc>
        <w:tc>
          <w:tcPr>
            <w:tcW w:w="1399" w:type="dxa"/>
            <w:tcBorders>
              <w:tl2br w:val="nil"/>
              <w:tr2bl w:val="nil"/>
            </w:tcBorders>
            <w:vAlign w:val="center"/>
          </w:tcPr>
          <w:p w14:paraId="754B92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52.03977</w:t>
            </w:r>
          </w:p>
        </w:tc>
        <w:tc>
          <w:tcPr>
            <w:tcW w:w="1092" w:type="dxa"/>
            <w:tcBorders>
              <w:tl2br w:val="nil"/>
              <w:tr2bl w:val="nil"/>
            </w:tcBorders>
            <w:vAlign w:val="center"/>
          </w:tcPr>
          <w:p w14:paraId="7D8CCC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65.05</w:t>
            </w:r>
          </w:p>
        </w:tc>
        <w:tc>
          <w:tcPr>
            <w:tcW w:w="388" w:type="pct"/>
            <w:tcBorders>
              <w:tl2br w:val="nil"/>
              <w:tr2bl w:val="nil"/>
            </w:tcBorders>
            <w:vAlign w:val="center"/>
          </w:tcPr>
          <w:p w14:paraId="46AF92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273648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2" w:type="pct"/>
            <w:vMerge w:val="continue"/>
            <w:tcBorders>
              <w:tl2br w:val="nil"/>
              <w:tr2bl w:val="nil"/>
            </w:tcBorders>
            <w:vAlign w:val="center"/>
          </w:tcPr>
          <w:p w14:paraId="03E04E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53" w:type="pct"/>
            <w:vMerge w:val="continue"/>
            <w:tcBorders>
              <w:tl2br w:val="nil"/>
              <w:tr2bl w:val="nil"/>
            </w:tcBorders>
            <w:vAlign w:val="center"/>
          </w:tcPr>
          <w:p w14:paraId="5FC097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1184" w:type="pct"/>
            <w:tcBorders>
              <w:tl2br w:val="nil"/>
              <w:tr2bl w:val="nil"/>
            </w:tcBorders>
            <w:vAlign w:val="center"/>
          </w:tcPr>
          <w:p w14:paraId="2CFE33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年均浓度</w:t>
            </w:r>
          </w:p>
        </w:tc>
        <w:tc>
          <w:tcPr>
            <w:tcW w:w="1604" w:type="dxa"/>
            <w:tcBorders>
              <w:tl2br w:val="nil"/>
              <w:tr2bl w:val="nil"/>
            </w:tcBorders>
            <w:vAlign w:val="center"/>
          </w:tcPr>
          <w:p w14:paraId="631FFA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0.00132</w:t>
            </w:r>
          </w:p>
        </w:tc>
        <w:tc>
          <w:tcPr>
            <w:tcW w:w="1177" w:type="dxa"/>
            <w:tcBorders>
              <w:tl2br w:val="nil"/>
              <w:tr2bl w:val="nil"/>
            </w:tcBorders>
            <w:vAlign w:val="center"/>
          </w:tcPr>
          <w:p w14:paraId="44FF9F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354" w:type="dxa"/>
            <w:tcBorders>
              <w:tl2br w:val="nil"/>
              <w:tr2bl w:val="nil"/>
            </w:tcBorders>
            <w:vAlign w:val="center"/>
          </w:tcPr>
          <w:p w14:paraId="0E035B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20.3726</w:t>
            </w:r>
          </w:p>
        </w:tc>
        <w:tc>
          <w:tcPr>
            <w:tcW w:w="1399" w:type="dxa"/>
            <w:tcBorders>
              <w:tl2br w:val="nil"/>
              <w:tr2bl w:val="nil"/>
            </w:tcBorders>
            <w:vAlign w:val="center"/>
          </w:tcPr>
          <w:p w14:paraId="7AF115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20.37392</w:t>
            </w:r>
          </w:p>
        </w:tc>
        <w:tc>
          <w:tcPr>
            <w:tcW w:w="1092" w:type="dxa"/>
            <w:tcBorders>
              <w:tl2br w:val="nil"/>
              <w:tr2bl w:val="nil"/>
            </w:tcBorders>
            <w:vAlign w:val="center"/>
          </w:tcPr>
          <w:p w14:paraId="790E6A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50.93</w:t>
            </w:r>
          </w:p>
        </w:tc>
        <w:tc>
          <w:tcPr>
            <w:tcW w:w="388" w:type="pct"/>
            <w:tcBorders>
              <w:tl2br w:val="nil"/>
              <w:tr2bl w:val="nil"/>
            </w:tcBorders>
            <w:vAlign w:val="center"/>
          </w:tcPr>
          <w:p w14:paraId="405602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2AF7C5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2" w:type="pct"/>
            <w:vMerge w:val="continue"/>
            <w:tcBorders>
              <w:tl2br w:val="nil"/>
              <w:tr2bl w:val="nil"/>
            </w:tcBorders>
            <w:vAlign w:val="center"/>
          </w:tcPr>
          <w:p w14:paraId="558F2A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53" w:type="pct"/>
            <w:vMerge w:val="restart"/>
            <w:tcBorders>
              <w:tl2br w:val="nil"/>
              <w:tr2bl w:val="nil"/>
            </w:tcBorders>
            <w:vAlign w:val="center"/>
          </w:tcPr>
          <w:p w14:paraId="60E5A423">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范家村</w:t>
            </w:r>
          </w:p>
        </w:tc>
        <w:tc>
          <w:tcPr>
            <w:tcW w:w="1184" w:type="pct"/>
            <w:tcBorders>
              <w:tl2br w:val="nil"/>
              <w:tr2bl w:val="nil"/>
            </w:tcBorders>
            <w:vAlign w:val="center"/>
          </w:tcPr>
          <w:p w14:paraId="5E855F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第</w:t>
            </w:r>
            <w:r>
              <w:rPr>
                <w:rFonts w:hint="eastAsia" w:ascii="Times New Roman" w:hAnsi="Times New Roman" w:eastAsia="宋体" w:cs="Times New Roman"/>
                <w:i w:val="0"/>
                <w:iCs w:val="0"/>
                <w:color w:val="FF0000"/>
                <w:kern w:val="0"/>
                <w:sz w:val="21"/>
                <w:szCs w:val="21"/>
                <w:highlight w:val="none"/>
                <w:u w:val="none"/>
                <w:lang w:val="en-US" w:eastAsia="zh-CN" w:bidi="ar"/>
              </w:rPr>
              <w:t>98</w:t>
            </w:r>
            <w:r>
              <w:rPr>
                <w:rFonts w:hint="default" w:ascii="Times New Roman" w:hAnsi="Times New Roman" w:eastAsia="宋体" w:cs="Times New Roman"/>
                <w:i w:val="0"/>
                <w:iCs w:val="0"/>
                <w:color w:val="FF0000"/>
                <w:kern w:val="0"/>
                <w:sz w:val="21"/>
                <w:szCs w:val="21"/>
                <w:highlight w:val="none"/>
                <w:u w:val="none"/>
                <w:lang w:val="en-US" w:eastAsia="zh-CN" w:bidi="ar"/>
              </w:rPr>
              <w:t>百分位数日平均质量浓度</w:t>
            </w:r>
          </w:p>
        </w:tc>
        <w:tc>
          <w:tcPr>
            <w:tcW w:w="1604" w:type="dxa"/>
            <w:tcBorders>
              <w:tl2br w:val="nil"/>
              <w:tr2bl w:val="nil"/>
            </w:tcBorders>
            <w:vAlign w:val="center"/>
          </w:tcPr>
          <w:p w14:paraId="045CEF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0.075665</w:t>
            </w:r>
          </w:p>
        </w:tc>
        <w:tc>
          <w:tcPr>
            <w:tcW w:w="1177" w:type="dxa"/>
            <w:tcBorders>
              <w:tl2br w:val="nil"/>
              <w:tr2bl w:val="nil"/>
            </w:tcBorders>
            <w:vAlign w:val="center"/>
          </w:tcPr>
          <w:p w14:paraId="4C860B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240130</w:t>
            </w:r>
          </w:p>
        </w:tc>
        <w:tc>
          <w:tcPr>
            <w:tcW w:w="1354" w:type="dxa"/>
            <w:tcBorders>
              <w:tl2br w:val="nil"/>
              <w:tr2bl w:val="nil"/>
            </w:tcBorders>
            <w:vAlign w:val="center"/>
          </w:tcPr>
          <w:p w14:paraId="3261CE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52.0</w:t>
            </w:r>
          </w:p>
        </w:tc>
        <w:tc>
          <w:tcPr>
            <w:tcW w:w="1399" w:type="dxa"/>
            <w:tcBorders>
              <w:tl2br w:val="nil"/>
              <w:tr2bl w:val="nil"/>
            </w:tcBorders>
            <w:vAlign w:val="center"/>
          </w:tcPr>
          <w:p w14:paraId="1FD203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52.07566</w:t>
            </w:r>
          </w:p>
        </w:tc>
        <w:tc>
          <w:tcPr>
            <w:tcW w:w="1092" w:type="dxa"/>
            <w:tcBorders>
              <w:tl2br w:val="nil"/>
              <w:tr2bl w:val="nil"/>
            </w:tcBorders>
            <w:vAlign w:val="center"/>
          </w:tcPr>
          <w:p w14:paraId="07224F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65.09</w:t>
            </w:r>
          </w:p>
        </w:tc>
        <w:tc>
          <w:tcPr>
            <w:tcW w:w="388" w:type="pct"/>
            <w:tcBorders>
              <w:tl2br w:val="nil"/>
              <w:tr2bl w:val="nil"/>
            </w:tcBorders>
            <w:vAlign w:val="center"/>
          </w:tcPr>
          <w:p w14:paraId="625169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02A9BB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2" w:type="pct"/>
            <w:vMerge w:val="continue"/>
            <w:tcBorders>
              <w:tl2br w:val="nil"/>
              <w:tr2bl w:val="nil"/>
            </w:tcBorders>
            <w:vAlign w:val="center"/>
          </w:tcPr>
          <w:p w14:paraId="71D68A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53" w:type="pct"/>
            <w:vMerge w:val="continue"/>
            <w:tcBorders>
              <w:tl2br w:val="nil"/>
              <w:tr2bl w:val="nil"/>
            </w:tcBorders>
            <w:vAlign w:val="center"/>
          </w:tcPr>
          <w:p w14:paraId="1CDF5A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1184" w:type="pct"/>
            <w:tcBorders>
              <w:tl2br w:val="nil"/>
              <w:tr2bl w:val="nil"/>
            </w:tcBorders>
            <w:vAlign w:val="center"/>
          </w:tcPr>
          <w:p w14:paraId="179C70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年均浓度</w:t>
            </w:r>
          </w:p>
        </w:tc>
        <w:tc>
          <w:tcPr>
            <w:tcW w:w="1604" w:type="dxa"/>
            <w:tcBorders>
              <w:tl2br w:val="nil"/>
              <w:tr2bl w:val="nil"/>
            </w:tcBorders>
            <w:vAlign w:val="center"/>
          </w:tcPr>
          <w:p w14:paraId="049110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0.00388</w:t>
            </w:r>
          </w:p>
        </w:tc>
        <w:tc>
          <w:tcPr>
            <w:tcW w:w="1177" w:type="dxa"/>
            <w:tcBorders>
              <w:tl2br w:val="nil"/>
              <w:tr2bl w:val="nil"/>
            </w:tcBorders>
            <w:vAlign w:val="center"/>
          </w:tcPr>
          <w:p w14:paraId="4C0B35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354" w:type="dxa"/>
            <w:tcBorders>
              <w:tl2br w:val="nil"/>
              <w:tr2bl w:val="nil"/>
            </w:tcBorders>
            <w:vAlign w:val="center"/>
          </w:tcPr>
          <w:p w14:paraId="56D116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20.3726</w:t>
            </w:r>
          </w:p>
        </w:tc>
        <w:tc>
          <w:tcPr>
            <w:tcW w:w="1399" w:type="dxa"/>
            <w:tcBorders>
              <w:tl2br w:val="nil"/>
              <w:tr2bl w:val="nil"/>
            </w:tcBorders>
            <w:vAlign w:val="center"/>
          </w:tcPr>
          <w:p w14:paraId="289F5D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20.37648</w:t>
            </w:r>
          </w:p>
        </w:tc>
        <w:tc>
          <w:tcPr>
            <w:tcW w:w="1092" w:type="dxa"/>
            <w:tcBorders>
              <w:tl2br w:val="nil"/>
              <w:tr2bl w:val="nil"/>
            </w:tcBorders>
            <w:vAlign w:val="center"/>
          </w:tcPr>
          <w:p w14:paraId="64E9A3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50.94</w:t>
            </w:r>
          </w:p>
        </w:tc>
        <w:tc>
          <w:tcPr>
            <w:tcW w:w="388" w:type="pct"/>
            <w:tcBorders>
              <w:tl2br w:val="nil"/>
              <w:tr2bl w:val="nil"/>
            </w:tcBorders>
            <w:vAlign w:val="center"/>
          </w:tcPr>
          <w:p w14:paraId="06710C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5D23FF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2" w:type="pct"/>
            <w:vMerge w:val="continue"/>
            <w:tcBorders>
              <w:tl2br w:val="nil"/>
              <w:tr2bl w:val="nil"/>
            </w:tcBorders>
            <w:vAlign w:val="center"/>
          </w:tcPr>
          <w:p w14:paraId="0E67E0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53" w:type="pct"/>
            <w:vMerge w:val="restart"/>
            <w:tcBorders>
              <w:tl2br w:val="nil"/>
              <w:tr2bl w:val="nil"/>
            </w:tcBorders>
            <w:vAlign w:val="center"/>
          </w:tcPr>
          <w:p w14:paraId="6CBBF2E0">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原热电厂家属区</w:t>
            </w:r>
          </w:p>
        </w:tc>
        <w:tc>
          <w:tcPr>
            <w:tcW w:w="1184" w:type="pct"/>
            <w:tcBorders>
              <w:tl2br w:val="nil"/>
              <w:tr2bl w:val="nil"/>
            </w:tcBorders>
            <w:vAlign w:val="center"/>
          </w:tcPr>
          <w:p w14:paraId="0021FB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第</w:t>
            </w:r>
            <w:r>
              <w:rPr>
                <w:rFonts w:hint="eastAsia" w:ascii="Times New Roman" w:hAnsi="Times New Roman" w:eastAsia="宋体" w:cs="Times New Roman"/>
                <w:i w:val="0"/>
                <w:iCs w:val="0"/>
                <w:color w:val="FF0000"/>
                <w:kern w:val="0"/>
                <w:sz w:val="21"/>
                <w:szCs w:val="21"/>
                <w:highlight w:val="none"/>
                <w:u w:val="none"/>
                <w:lang w:val="en-US" w:eastAsia="zh-CN" w:bidi="ar"/>
              </w:rPr>
              <w:t>98</w:t>
            </w:r>
            <w:r>
              <w:rPr>
                <w:rFonts w:hint="default" w:ascii="Times New Roman" w:hAnsi="Times New Roman" w:eastAsia="宋体" w:cs="Times New Roman"/>
                <w:i w:val="0"/>
                <w:iCs w:val="0"/>
                <w:color w:val="FF0000"/>
                <w:kern w:val="0"/>
                <w:sz w:val="21"/>
                <w:szCs w:val="21"/>
                <w:highlight w:val="none"/>
                <w:u w:val="none"/>
                <w:lang w:val="en-US" w:eastAsia="zh-CN" w:bidi="ar"/>
              </w:rPr>
              <w:t>百分位数日平均质量浓度</w:t>
            </w:r>
          </w:p>
        </w:tc>
        <w:tc>
          <w:tcPr>
            <w:tcW w:w="1604" w:type="dxa"/>
            <w:tcBorders>
              <w:tl2br w:val="nil"/>
              <w:tr2bl w:val="nil"/>
            </w:tcBorders>
            <w:vAlign w:val="center"/>
          </w:tcPr>
          <w:p w14:paraId="2160D5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w:t>
            </w:r>
          </w:p>
        </w:tc>
        <w:tc>
          <w:tcPr>
            <w:tcW w:w="1177" w:type="dxa"/>
            <w:tcBorders>
              <w:tl2br w:val="nil"/>
              <w:tr2bl w:val="nil"/>
            </w:tcBorders>
            <w:vAlign w:val="center"/>
          </w:tcPr>
          <w:p w14:paraId="4DC810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240130</w:t>
            </w:r>
          </w:p>
        </w:tc>
        <w:tc>
          <w:tcPr>
            <w:tcW w:w="1354" w:type="dxa"/>
            <w:tcBorders>
              <w:tl2br w:val="nil"/>
              <w:tr2bl w:val="nil"/>
            </w:tcBorders>
            <w:vAlign w:val="center"/>
          </w:tcPr>
          <w:p w14:paraId="04C578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52.0</w:t>
            </w:r>
          </w:p>
        </w:tc>
        <w:tc>
          <w:tcPr>
            <w:tcW w:w="1399" w:type="dxa"/>
            <w:tcBorders>
              <w:tl2br w:val="nil"/>
              <w:tr2bl w:val="nil"/>
            </w:tcBorders>
            <w:vAlign w:val="center"/>
          </w:tcPr>
          <w:p w14:paraId="71857D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52.0</w:t>
            </w:r>
          </w:p>
        </w:tc>
        <w:tc>
          <w:tcPr>
            <w:tcW w:w="1092" w:type="dxa"/>
            <w:tcBorders>
              <w:tl2br w:val="nil"/>
              <w:tr2bl w:val="nil"/>
            </w:tcBorders>
            <w:vAlign w:val="center"/>
          </w:tcPr>
          <w:p w14:paraId="165AA2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65</w:t>
            </w:r>
          </w:p>
        </w:tc>
        <w:tc>
          <w:tcPr>
            <w:tcW w:w="388" w:type="pct"/>
            <w:tcBorders>
              <w:tl2br w:val="nil"/>
              <w:tr2bl w:val="nil"/>
            </w:tcBorders>
            <w:vAlign w:val="center"/>
          </w:tcPr>
          <w:p w14:paraId="4750AC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6B5569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2" w:type="pct"/>
            <w:vMerge w:val="continue"/>
            <w:tcBorders>
              <w:tl2br w:val="nil"/>
              <w:tr2bl w:val="nil"/>
            </w:tcBorders>
            <w:vAlign w:val="center"/>
          </w:tcPr>
          <w:p w14:paraId="38BBBE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53" w:type="pct"/>
            <w:vMerge w:val="continue"/>
            <w:tcBorders>
              <w:tl2br w:val="nil"/>
              <w:tr2bl w:val="nil"/>
            </w:tcBorders>
            <w:vAlign w:val="center"/>
          </w:tcPr>
          <w:p w14:paraId="7C11AA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1184" w:type="pct"/>
            <w:tcBorders>
              <w:tl2br w:val="nil"/>
              <w:tr2bl w:val="nil"/>
            </w:tcBorders>
            <w:vAlign w:val="center"/>
          </w:tcPr>
          <w:p w14:paraId="3F12B9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年均浓度</w:t>
            </w:r>
          </w:p>
        </w:tc>
        <w:tc>
          <w:tcPr>
            <w:tcW w:w="1604" w:type="dxa"/>
            <w:tcBorders>
              <w:tl2br w:val="nil"/>
              <w:tr2bl w:val="nil"/>
            </w:tcBorders>
            <w:vAlign w:val="center"/>
          </w:tcPr>
          <w:p w14:paraId="635637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w:t>
            </w:r>
          </w:p>
        </w:tc>
        <w:tc>
          <w:tcPr>
            <w:tcW w:w="1177" w:type="dxa"/>
            <w:tcBorders>
              <w:tl2br w:val="nil"/>
              <w:tr2bl w:val="nil"/>
            </w:tcBorders>
            <w:vAlign w:val="center"/>
          </w:tcPr>
          <w:p w14:paraId="73D83B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354" w:type="dxa"/>
            <w:tcBorders>
              <w:tl2br w:val="nil"/>
              <w:tr2bl w:val="nil"/>
            </w:tcBorders>
            <w:vAlign w:val="center"/>
          </w:tcPr>
          <w:p w14:paraId="5B7CBA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20.3726</w:t>
            </w:r>
          </w:p>
        </w:tc>
        <w:tc>
          <w:tcPr>
            <w:tcW w:w="1399" w:type="dxa"/>
            <w:tcBorders>
              <w:tl2br w:val="nil"/>
              <w:tr2bl w:val="nil"/>
            </w:tcBorders>
            <w:vAlign w:val="center"/>
          </w:tcPr>
          <w:p w14:paraId="4EFB5B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20.3726</w:t>
            </w:r>
          </w:p>
        </w:tc>
        <w:tc>
          <w:tcPr>
            <w:tcW w:w="1092" w:type="dxa"/>
            <w:tcBorders>
              <w:tl2br w:val="nil"/>
              <w:tr2bl w:val="nil"/>
            </w:tcBorders>
            <w:vAlign w:val="center"/>
          </w:tcPr>
          <w:p w14:paraId="775CA2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50.93</w:t>
            </w:r>
          </w:p>
        </w:tc>
        <w:tc>
          <w:tcPr>
            <w:tcW w:w="388" w:type="pct"/>
            <w:tcBorders>
              <w:tl2br w:val="nil"/>
              <w:tr2bl w:val="nil"/>
            </w:tcBorders>
            <w:vAlign w:val="center"/>
          </w:tcPr>
          <w:p w14:paraId="7A6333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13CB00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2" w:type="pct"/>
            <w:vMerge w:val="continue"/>
            <w:tcBorders>
              <w:tl2br w:val="nil"/>
              <w:tr2bl w:val="nil"/>
            </w:tcBorders>
            <w:vAlign w:val="center"/>
          </w:tcPr>
          <w:p w14:paraId="4A301C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53" w:type="pct"/>
            <w:vMerge w:val="restart"/>
            <w:tcBorders>
              <w:tl2br w:val="nil"/>
              <w:tr2bl w:val="nil"/>
            </w:tcBorders>
            <w:vAlign w:val="center"/>
          </w:tcPr>
          <w:p w14:paraId="5451D762">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黑锻新城小区</w:t>
            </w:r>
          </w:p>
        </w:tc>
        <w:tc>
          <w:tcPr>
            <w:tcW w:w="1184" w:type="pct"/>
            <w:tcBorders>
              <w:tl2br w:val="nil"/>
              <w:tr2bl w:val="nil"/>
            </w:tcBorders>
            <w:vAlign w:val="center"/>
          </w:tcPr>
          <w:p w14:paraId="0159E0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第</w:t>
            </w:r>
            <w:r>
              <w:rPr>
                <w:rFonts w:hint="eastAsia" w:ascii="Times New Roman" w:hAnsi="Times New Roman" w:eastAsia="宋体" w:cs="Times New Roman"/>
                <w:i w:val="0"/>
                <w:iCs w:val="0"/>
                <w:color w:val="FF0000"/>
                <w:kern w:val="0"/>
                <w:sz w:val="21"/>
                <w:szCs w:val="21"/>
                <w:highlight w:val="none"/>
                <w:u w:val="none"/>
                <w:lang w:val="en-US" w:eastAsia="zh-CN" w:bidi="ar"/>
              </w:rPr>
              <w:t>98</w:t>
            </w:r>
            <w:r>
              <w:rPr>
                <w:rFonts w:hint="default" w:ascii="Times New Roman" w:hAnsi="Times New Roman" w:eastAsia="宋体" w:cs="Times New Roman"/>
                <w:i w:val="0"/>
                <w:iCs w:val="0"/>
                <w:color w:val="FF0000"/>
                <w:kern w:val="0"/>
                <w:sz w:val="21"/>
                <w:szCs w:val="21"/>
                <w:highlight w:val="none"/>
                <w:u w:val="none"/>
                <w:lang w:val="en-US" w:eastAsia="zh-CN" w:bidi="ar"/>
              </w:rPr>
              <w:t>百分位数日平均质量浓度</w:t>
            </w:r>
          </w:p>
        </w:tc>
        <w:tc>
          <w:tcPr>
            <w:tcW w:w="1604" w:type="dxa"/>
            <w:tcBorders>
              <w:tl2br w:val="nil"/>
              <w:tr2bl w:val="nil"/>
            </w:tcBorders>
            <w:vAlign w:val="center"/>
          </w:tcPr>
          <w:p w14:paraId="732EA5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0.006939</w:t>
            </w:r>
          </w:p>
        </w:tc>
        <w:tc>
          <w:tcPr>
            <w:tcW w:w="1177" w:type="dxa"/>
            <w:tcBorders>
              <w:tl2br w:val="nil"/>
              <w:tr2bl w:val="nil"/>
            </w:tcBorders>
            <w:vAlign w:val="center"/>
          </w:tcPr>
          <w:p w14:paraId="7094C8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240130</w:t>
            </w:r>
          </w:p>
        </w:tc>
        <w:tc>
          <w:tcPr>
            <w:tcW w:w="1354" w:type="dxa"/>
            <w:tcBorders>
              <w:tl2br w:val="nil"/>
              <w:tr2bl w:val="nil"/>
            </w:tcBorders>
            <w:vAlign w:val="center"/>
          </w:tcPr>
          <w:p w14:paraId="356690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52.0</w:t>
            </w:r>
          </w:p>
        </w:tc>
        <w:tc>
          <w:tcPr>
            <w:tcW w:w="1399" w:type="dxa"/>
            <w:tcBorders>
              <w:tl2br w:val="nil"/>
              <w:tr2bl w:val="nil"/>
            </w:tcBorders>
            <w:vAlign w:val="center"/>
          </w:tcPr>
          <w:p w14:paraId="48A56D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52.00694</w:t>
            </w:r>
          </w:p>
        </w:tc>
        <w:tc>
          <w:tcPr>
            <w:tcW w:w="1092" w:type="dxa"/>
            <w:tcBorders>
              <w:tl2br w:val="nil"/>
              <w:tr2bl w:val="nil"/>
            </w:tcBorders>
            <w:vAlign w:val="center"/>
          </w:tcPr>
          <w:p w14:paraId="0CA617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65.01</w:t>
            </w:r>
          </w:p>
        </w:tc>
        <w:tc>
          <w:tcPr>
            <w:tcW w:w="388" w:type="pct"/>
            <w:tcBorders>
              <w:tl2br w:val="nil"/>
              <w:tr2bl w:val="nil"/>
            </w:tcBorders>
            <w:vAlign w:val="center"/>
          </w:tcPr>
          <w:p w14:paraId="6E8B18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74F208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2" w:type="pct"/>
            <w:vMerge w:val="continue"/>
            <w:tcBorders>
              <w:tl2br w:val="nil"/>
              <w:tr2bl w:val="nil"/>
            </w:tcBorders>
            <w:vAlign w:val="center"/>
          </w:tcPr>
          <w:p w14:paraId="107854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53" w:type="pct"/>
            <w:vMerge w:val="continue"/>
            <w:tcBorders>
              <w:tl2br w:val="nil"/>
              <w:tr2bl w:val="nil"/>
            </w:tcBorders>
            <w:vAlign w:val="center"/>
          </w:tcPr>
          <w:p w14:paraId="555190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1184" w:type="pct"/>
            <w:tcBorders>
              <w:tl2br w:val="nil"/>
              <w:tr2bl w:val="nil"/>
            </w:tcBorders>
            <w:vAlign w:val="center"/>
          </w:tcPr>
          <w:p w14:paraId="2AA6F7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年均浓度</w:t>
            </w:r>
          </w:p>
        </w:tc>
        <w:tc>
          <w:tcPr>
            <w:tcW w:w="1604" w:type="dxa"/>
            <w:tcBorders>
              <w:tl2br w:val="nil"/>
              <w:tr2bl w:val="nil"/>
            </w:tcBorders>
            <w:vAlign w:val="center"/>
          </w:tcPr>
          <w:p w14:paraId="19F0E0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0.00072</w:t>
            </w:r>
          </w:p>
        </w:tc>
        <w:tc>
          <w:tcPr>
            <w:tcW w:w="1177" w:type="dxa"/>
            <w:tcBorders>
              <w:tl2br w:val="nil"/>
              <w:tr2bl w:val="nil"/>
            </w:tcBorders>
            <w:vAlign w:val="center"/>
          </w:tcPr>
          <w:p w14:paraId="3C73C9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354" w:type="dxa"/>
            <w:tcBorders>
              <w:tl2br w:val="nil"/>
              <w:tr2bl w:val="nil"/>
            </w:tcBorders>
            <w:vAlign w:val="center"/>
          </w:tcPr>
          <w:p w14:paraId="1552A8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20.3726</w:t>
            </w:r>
          </w:p>
        </w:tc>
        <w:tc>
          <w:tcPr>
            <w:tcW w:w="1399" w:type="dxa"/>
            <w:tcBorders>
              <w:tl2br w:val="nil"/>
              <w:tr2bl w:val="nil"/>
            </w:tcBorders>
            <w:vAlign w:val="center"/>
          </w:tcPr>
          <w:p w14:paraId="3FB220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20.37332</w:t>
            </w:r>
          </w:p>
        </w:tc>
        <w:tc>
          <w:tcPr>
            <w:tcW w:w="1092" w:type="dxa"/>
            <w:tcBorders>
              <w:tl2br w:val="nil"/>
              <w:tr2bl w:val="nil"/>
            </w:tcBorders>
            <w:vAlign w:val="center"/>
          </w:tcPr>
          <w:p w14:paraId="114F2E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50.93</w:t>
            </w:r>
          </w:p>
        </w:tc>
        <w:tc>
          <w:tcPr>
            <w:tcW w:w="388" w:type="pct"/>
            <w:tcBorders>
              <w:tl2br w:val="nil"/>
              <w:tr2bl w:val="nil"/>
            </w:tcBorders>
            <w:vAlign w:val="center"/>
          </w:tcPr>
          <w:p w14:paraId="795AEC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59667F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2" w:type="pct"/>
            <w:vMerge w:val="continue"/>
            <w:tcBorders>
              <w:tl2br w:val="nil"/>
              <w:tr2bl w:val="nil"/>
            </w:tcBorders>
            <w:vAlign w:val="center"/>
          </w:tcPr>
          <w:p w14:paraId="56A9CA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53" w:type="pct"/>
            <w:vMerge w:val="restart"/>
            <w:tcBorders>
              <w:tl2br w:val="nil"/>
              <w:tr2bl w:val="nil"/>
            </w:tcBorders>
            <w:vAlign w:val="center"/>
          </w:tcPr>
          <w:p w14:paraId="1760F83D">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color w:val="FF0000"/>
                <w:sz w:val="21"/>
                <w:szCs w:val="21"/>
                <w:highlight w:val="none"/>
                <w:u w:val="none"/>
                <w:lang w:val="en-US" w:eastAsia="zh-CN"/>
              </w:rPr>
              <w:t>东侧市区（绿云社区）</w:t>
            </w:r>
          </w:p>
        </w:tc>
        <w:tc>
          <w:tcPr>
            <w:tcW w:w="1184" w:type="pct"/>
            <w:tcBorders>
              <w:tl2br w:val="nil"/>
              <w:tr2bl w:val="nil"/>
            </w:tcBorders>
            <w:vAlign w:val="center"/>
          </w:tcPr>
          <w:p w14:paraId="7FF757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第</w:t>
            </w:r>
            <w:r>
              <w:rPr>
                <w:rFonts w:hint="eastAsia" w:ascii="Times New Roman" w:hAnsi="Times New Roman" w:eastAsia="宋体" w:cs="Times New Roman"/>
                <w:i w:val="0"/>
                <w:iCs w:val="0"/>
                <w:color w:val="FF0000"/>
                <w:kern w:val="0"/>
                <w:sz w:val="21"/>
                <w:szCs w:val="21"/>
                <w:highlight w:val="none"/>
                <w:u w:val="none"/>
                <w:lang w:val="en-US" w:eastAsia="zh-CN" w:bidi="ar"/>
              </w:rPr>
              <w:t>98</w:t>
            </w:r>
            <w:r>
              <w:rPr>
                <w:rFonts w:hint="default" w:ascii="Times New Roman" w:hAnsi="Times New Roman" w:eastAsia="宋体" w:cs="Times New Roman"/>
                <w:i w:val="0"/>
                <w:iCs w:val="0"/>
                <w:color w:val="FF0000"/>
                <w:kern w:val="0"/>
                <w:sz w:val="21"/>
                <w:szCs w:val="21"/>
                <w:highlight w:val="none"/>
                <w:u w:val="none"/>
                <w:lang w:val="en-US" w:eastAsia="zh-CN" w:bidi="ar"/>
              </w:rPr>
              <w:t>百分位数日平均质量浓度</w:t>
            </w:r>
          </w:p>
        </w:tc>
        <w:tc>
          <w:tcPr>
            <w:tcW w:w="1604" w:type="dxa"/>
            <w:tcBorders>
              <w:tl2br w:val="nil"/>
              <w:tr2bl w:val="nil"/>
            </w:tcBorders>
            <w:vAlign w:val="center"/>
          </w:tcPr>
          <w:p w14:paraId="4A87DA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0.009346</w:t>
            </w:r>
          </w:p>
        </w:tc>
        <w:tc>
          <w:tcPr>
            <w:tcW w:w="1177" w:type="dxa"/>
            <w:tcBorders>
              <w:tl2br w:val="nil"/>
              <w:tr2bl w:val="nil"/>
            </w:tcBorders>
            <w:vAlign w:val="center"/>
          </w:tcPr>
          <w:p w14:paraId="23FE85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240130</w:t>
            </w:r>
          </w:p>
        </w:tc>
        <w:tc>
          <w:tcPr>
            <w:tcW w:w="1354" w:type="dxa"/>
            <w:tcBorders>
              <w:tl2br w:val="nil"/>
              <w:tr2bl w:val="nil"/>
            </w:tcBorders>
            <w:vAlign w:val="center"/>
          </w:tcPr>
          <w:p w14:paraId="396EF1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52.0</w:t>
            </w:r>
          </w:p>
        </w:tc>
        <w:tc>
          <w:tcPr>
            <w:tcW w:w="1399" w:type="dxa"/>
            <w:tcBorders>
              <w:tl2br w:val="nil"/>
              <w:tr2bl w:val="nil"/>
            </w:tcBorders>
            <w:vAlign w:val="center"/>
          </w:tcPr>
          <w:p w14:paraId="289E03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52.00935</w:t>
            </w:r>
          </w:p>
        </w:tc>
        <w:tc>
          <w:tcPr>
            <w:tcW w:w="1092" w:type="dxa"/>
            <w:tcBorders>
              <w:tl2br w:val="nil"/>
              <w:tr2bl w:val="nil"/>
            </w:tcBorders>
            <w:vAlign w:val="center"/>
          </w:tcPr>
          <w:p w14:paraId="2D7844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65.01</w:t>
            </w:r>
          </w:p>
        </w:tc>
        <w:tc>
          <w:tcPr>
            <w:tcW w:w="388" w:type="pct"/>
            <w:tcBorders>
              <w:tl2br w:val="nil"/>
              <w:tr2bl w:val="nil"/>
            </w:tcBorders>
            <w:vAlign w:val="center"/>
          </w:tcPr>
          <w:p w14:paraId="435FC2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233CDB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2" w:type="pct"/>
            <w:vMerge w:val="continue"/>
            <w:tcBorders>
              <w:tl2br w:val="nil"/>
              <w:tr2bl w:val="nil"/>
            </w:tcBorders>
            <w:vAlign w:val="center"/>
          </w:tcPr>
          <w:p w14:paraId="29AE49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53" w:type="pct"/>
            <w:vMerge w:val="continue"/>
            <w:tcBorders>
              <w:tl2br w:val="nil"/>
              <w:tr2bl w:val="nil"/>
            </w:tcBorders>
            <w:vAlign w:val="center"/>
          </w:tcPr>
          <w:p w14:paraId="1B70DC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1184" w:type="pct"/>
            <w:tcBorders>
              <w:tl2br w:val="nil"/>
              <w:tr2bl w:val="nil"/>
            </w:tcBorders>
            <w:vAlign w:val="center"/>
          </w:tcPr>
          <w:p w14:paraId="5CE875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年均浓度</w:t>
            </w:r>
          </w:p>
        </w:tc>
        <w:tc>
          <w:tcPr>
            <w:tcW w:w="1604" w:type="dxa"/>
            <w:tcBorders>
              <w:tl2br w:val="nil"/>
              <w:tr2bl w:val="nil"/>
            </w:tcBorders>
            <w:vAlign w:val="center"/>
          </w:tcPr>
          <w:p w14:paraId="493C0E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0.01342</w:t>
            </w:r>
          </w:p>
        </w:tc>
        <w:tc>
          <w:tcPr>
            <w:tcW w:w="1177" w:type="dxa"/>
            <w:tcBorders>
              <w:tl2br w:val="nil"/>
              <w:tr2bl w:val="nil"/>
            </w:tcBorders>
            <w:vAlign w:val="center"/>
          </w:tcPr>
          <w:p w14:paraId="58F3F4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354" w:type="dxa"/>
            <w:tcBorders>
              <w:tl2br w:val="nil"/>
              <w:tr2bl w:val="nil"/>
            </w:tcBorders>
            <w:vAlign w:val="center"/>
          </w:tcPr>
          <w:p w14:paraId="2C3E23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20.3726</w:t>
            </w:r>
          </w:p>
        </w:tc>
        <w:tc>
          <w:tcPr>
            <w:tcW w:w="1399" w:type="dxa"/>
            <w:tcBorders>
              <w:tl2br w:val="nil"/>
              <w:tr2bl w:val="nil"/>
            </w:tcBorders>
            <w:vAlign w:val="center"/>
          </w:tcPr>
          <w:p w14:paraId="5622BF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20.38602</w:t>
            </w:r>
          </w:p>
        </w:tc>
        <w:tc>
          <w:tcPr>
            <w:tcW w:w="1092" w:type="dxa"/>
            <w:tcBorders>
              <w:tl2br w:val="nil"/>
              <w:tr2bl w:val="nil"/>
            </w:tcBorders>
            <w:vAlign w:val="center"/>
          </w:tcPr>
          <w:p w14:paraId="6BA202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50.97</w:t>
            </w:r>
          </w:p>
        </w:tc>
        <w:tc>
          <w:tcPr>
            <w:tcW w:w="388" w:type="pct"/>
            <w:tcBorders>
              <w:tl2br w:val="nil"/>
              <w:tr2bl w:val="nil"/>
            </w:tcBorders>
            <w:vAlign w:val="center"/>
          </w:tcPr>
          <w:p w14:paraId="66A783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502E30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2" w:type="pct"/>
            <w:vMerge w:val="continue"/>
            <w:tcBorders>
              <w:tl2br w:val="nil"/>
              <w:tr2bl w:val="nil"/>
            </w:tcBorders>
            <w:vAlign w:val="center"/>
          </w:tcPr>
          <w:p w14:paraId="2F3420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53" w:type="pct"/>
            <w:vMerge w:val="restart"/>
            <w:tcBorders>
              <w:tl2br w:val="nil"/>
              <w:tr2bl w:val="nil"/>
            </w:tcBorders>
            <w:vAlign w:val="center"/>
          </w:tcPr>
          <w:p w14:paraId="06A38E6E">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南侧市区（佳木斯市第十六中学）</w:t>
            </w:r>
          </w:p>
        </w:tc>
        <w:tc>
          <w:tcPr>
            <w:tcW w:w="1184" w:type="pct"/>
            <w:tcBorders>
              <w:tl2br w:val="nil"/>
              <w:tr2bl w:val="nil"/>
            </w:tcBorders>
            <w:vAlign w:val="center"/>
          </w:tcPr>
          <w:p w14:paraId="513337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第</w:t>
            </w:r>
            <w:r>
              <w:rPr>
                <w:rFonts w:hint="eastAsia" w:ascii="Times New Roman" w:hAnsi="Times New Roman" w:eastAsia="宋体" w:cs="Times New Roman"/>
                <w:i w:val="0"/>
                <w:iCs w:val="0"/>
                <w:color w:val="FF0000"/>
                <w:kern w:val="0"/>
                <w:sz w:val="21"/>
                <w:szCs w:val="21"/>
                <w:highlight w:val="none"/>
                <w:u w:val="none"/>
                <w:lang w:val="en-US" w:eastAsia="zh-CN" w:bidi="ar"/>
              </w:rPr>
              <w:t>98</w:t>
            </w:r>
            <w:r>
              <w:rPr>
                <w:rFonts w:hint="default" w:ascii="Times New Roman" w:hAnsi="Times New Roman" w:eastAsia="宋体" w:cs="Times New Roman"/>
                <w:i w:val="0"/>
                <w:iCs w:val="0"/>
                <w:color w:val="FF0000"/>
                <w:kern w:val="0"/>
                <w:sz w:val="21"/>
                <w:szCs w:val="21"/>
                <w:highlight w:val="none"/>
                <w:u w:val="none"/>
                <w:lang w:val="en-US" w:eastAsia="zh-CN" w:bidi="ar"/>
              </w:rPr>
              <w:t>百分位数日平均质量浓度</w:t>
            </w:r>
          </w:p>
        </w:tc>
        <w:tc>
          <w:tcPr>
            <w:tcW w:w="1604" w:type="dxa"/>
            <w:tcBorders>
              <w:tl2br w:val="nil"/>
              <w:tr2bl w:val="nil"/>
            </w:tcBorders>
            <w:vAlign w:val="center"/>
          </w:tcPr>
          <w:p w14:paraId="53E8AB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w:t>
            </w:r>
          </w:p>
        </w:tc>
        <w:tc>
          <w:tcPr>
            <w:tcW w:w="1177" w:type="dxa"/>
            <w:tcBorders>
              <w:tl2br w:val="nil"/>
              <w:tr2bl w:val="nil"/>
            </w:tcBorders>
            <w:vAlign w:val="center"/>
          </w:tcPr>
          <w:p w14:paraId="10A8F6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240130</w:t>
            </w:r>
          </w:p>
        </w:tc>
        <w:tc>
          <w:tcPr>
            <w:tcW w:w="1354" w:type="dxa"/>
            <w:tcBorders>
              <w:tl2br w:val="nil"/>
              <w:tr2bl w:val="nil"/>
            </w:tcBorders>
            <w:vAlign w:val="center"/>
          </w:tcPr>
          <w:p w14:paraId="7F5B49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52.0</w:t>
            </w:r>
          </w:p>
        </w:tc>
        <w:tc>
          <w:tcPr>
            <w:tcW w:w="1399" w:type="dxa"/>
            <w:tcBorders>
              <w:tl2br w:val="nil"/>
              <w:tr2bl w:val="nil"/>
            </w:tcBorders>
            <w:vAlign w:val="center"/>
          </w:tcPr>
          <w:p w14:paraId="3997EA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52.0</w:t>
            </w:r>
          </w:p>
        </w:tc>
        <w:tc>
          <w:tcPr>
            <w:tcW w:w="1092" w:type="dxa"/>
            <w:tcBorders>
              <w:tl2br w:val="nil"/>
              <w:tr2bl w:val="nil"/>
            </w:tcBorders>
            <w:vAlign w:val="center"/>
          </w:tcPr>
          <w:p w14:paraId="1D174A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65</w:t>
            </w:r>
          </w:p>
        </w:tc>
        <w:tc>
          <w:tcPr>
            <w:tcW w:w="388" w:type="pct"/>
            <w:tcBorders>
              <w:tl2br w:val="nil"/>
              <w:tr2bl w:val="nil"/>
            </w:tcBorders>
            <w:vAlign w:val="center"/>
          </w:tcPr>
          <w:p w14:paraId="5FF516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1CD62D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2" w:type="pct"/>
            <w:vMerge w:val="continue"/>
            <w:tcBorders>
              <w:tl2br w:val="nil"/>
              <w:tr2bl w:val="nil"/>
            </w:tcBorders>
            <w:vAlign w:val="center"/>
          </w:tcPr>
          <w:p w14:paraId="34B27B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53" w:type="pct"/>
            <w:vMerge w:val="continue"/>
            <w:tcBorders>
              <w:tl2br w:val="nil"/>
              <w:tr2bl w:val="nil"/>
            </w:tcBorders>
            <w:vAlign w:val="center"/>
          </w:tcPr>
          <w:p w14:paraId="1D2400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1184" w:type="pct"/>
            <w:tcBorders>
              <w:tl2br w:val="nil"/>
              <w:tr2bl w:val="nil"/>
            </w:tcBorders>
            <w:vAlign w:val="center"/>
          </w:tcPr>
          <w:p w14:paraId="23CBB7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年均浓度</w:t>
            </w:r>
          </w:p>
        </w:tc>
        <w:tc>
          <w:tcPr>
            <w:tcW w:w="1604" w:type="dxa"/>
            <w:tcBorders>
              <w:tl2br w:val="nil"/>
              <w:tr2bl w:val="nil"/>
            </w:tcBorders>
            <w:vAlign w:val="center"/>
          </w:tcPr>
          <w:p w14:paraId="0110B1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0.001</w:t>
            </w:r>
          </w:p>
        </w:tc>
        <w:tc>
          <w:tcPr>
            <w:tcW w:w="1177" w:type="dxa"/>
            <w:tcBorders>
              <w:tl2br w:val="nil"/>
              <w:tr2bl w:val="nil"/>
            </w:tcBorders>
            <w:vAlign w:val="center"/>
          </w:tcPr>
          <w:p w14:paraId="285FDA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354" w:type="dxa"/>
            <w:tcBorders>
              <w:tl2br w:val="nil"/>
              <w:tr2bl w:val="nil"/>
            </w:tcBorders>
            <w:vAlign w:val="center"/>
          </w:tcPr>
          <w:p w14:paraId="38E4E5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20.3726</w:t>
            </w:r>
          </w:p>
        </w:tc>
        <w:tc>
          <w:tcPr>
            <w:tcW w:w="1399" w:type="dxa"/>
            <w:tcBorders>
              <w:tl2br w:val="nil"/>
              <w:tr2bl w:val="nil"/>
            </w:tcBorders>
            <w:vAlign w:val="center"/>
          </w:tcPr>
          <w:p w14:paraId="5DDBF0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20.3736</w:t>
            </w:r>
          </w:p>
        </w:tc>
        <w:tc>
          <w:tcPr>
            <w:tcW w:w="1092" w:type="dxa"/>
            <w:tcBorders>
              <w:tl2br w:val="nil"/>
              <w:tr2bl w:val="nil"/>
            </w:tcBorders>
            <w:vAlign w:val="center"/>
          </w:tcPr>
          <w:p w14:paraId="1DEAE3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50.93</w:t>
            </w:r>
          </w:p>
        </w:tc>
        <w:tc>
          <w:tcPr>
            <w:tcW w:w="388" w:type="pct"/>
            <w:tcBorders>
              <w:tl2br w:val="nil"/>
              <w:tr2bl w:val="nil"/>
            </w:tcBorders>
            <w:vAlign w:val="center"/>
          </w:tcPr>
          <w:p w14:paraId="5C5490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64980A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2" w:type="pct"/>
            <w:vMerge w:val="continue"/>
            <w:tcBorders>
              <w:tl2br w:val="nil"/>
              <w:tr2bl w:val="nil"/>
            </w:tcBorders>
            <w:vAlign w:val="center"/>
          </w:tcPr>
          <w:p w14:paraId="67F6F2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53" w:type="pct"/>
            <w:vMerge w:val="restart"/>
            <w:tcBorders>
              <w:tl2br w:val="nil"/>
              <w:tr2bl w:val="nil"/>
            </w:tcBorders>
            <w:vAlign w:val="center"/>
          </w:tcPr>
          <w:p w14:paraId="72467B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区域最大落地浓度</w:t>
            </w:r>
          </w:p>
        </w:tc>
        <w:tc>
          <w:tcPr>
            <w:tcW w:w="1184" w:type="pct"/>
            <w:tcBorders>
              <w:tl2br w:val="nil"/>
              <w:tr2bl w:val="nil"/>
            </w:tcBorders>
            <w:vAlign w:val="center"/>
          </w:tcPr>
          <w:p w14:paraId="590168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第</w:t>
            </w:r>
            <w:r>
              <w:rPr>
                <w:rFonts w:hint="eastAsia" w:ascii="Times New Roman" w:hAnsi="Times New Roman" w:eastAsia="宋体" w:cs="Times New Roman"/>
                <w:i w:val="0"/>
                <w:iCs w:val="0"/>
                <w:color w:val="FF0000"/>
                <w:kern w:val="0"/>
                <w:sz w:val="21"/>
                <w:szCs w:val="21"/>
                <w:highlight w:val="none"/>
                <w:u w:val="none"/>
                <w:lang w:val="en-US" w:eastAsia="zh-CN" w:bidi="ar"/>
              </w:rPr>
              <w:t>98</w:t>
            </w:r>
            <w:r>
              <w:rPr>
                <w:rFonts w:hint="default" w:ascii="Times New Roman" w:hAnsi="Times New Roman" w:eastAsia="宋体" w:cs="Times New Roman"/>
                <w:i w:val="0"/>
                <w:iCs w:val="0"/>
                <w:color w:val="FF0000"/>
                <w:kern w:val="0"/>
                <w:sz w:val="21"/>
                <w:szCs w:val="21"/>
                <w:highlight w:val="none"/>
                <w:u w:val="none"/>
                <w:lang w:val="en-US" w:eastAsia="zh-CN" w:bidi="ar"/>
              </w:rPr>
              <w:t>百分位数日平均质量浓度</w:t>
            </w:r>
          </w:p>
        </w:tc>
        <w:tc>
          <w:tcPr>
            <w:tcW w:w="1604" w:type="dxa"/>
            <w:tcBorders>
              <w:tl2br w:val="nil"/>
              <w:tr2bl w:val="nil"/>
            </w:tcBorders>
            <w:vAlign w:val="center"/>
          </w:tcPr>
          <w:p w14:paraId="02F94A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0.174778</w:t>
            </w:r>
          </w:p>
        </w:tc>
        <w:tc>
          <w:tcPr>
            <w:tcW w:w="1177" w:type="dxa"/>
            <w:tcBorders>
              <w:tl2br w:val="nil"/>
              <w:tr2bl w:val="nil"/>
            </w:tcBorders>
            <w:vAlign w:val="center"/>
          </w:tcPr>
          <w:p w14:paraId="434E30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240130</w:t>
            </w:r>
          </w:p>
        </w:tc>
        <w:tc>
          <w:tcPr>
            <w:tcW w:w="1354" w:type="dxa"/>
            <w:tcBorders>
              <w:tl2br w:val="nil"/>
              <w:tr2bl w:val="nil"/>
            </w:tcBorders>
            <w:vAlign w:val="center"/>
          </w:tcPr>
          <w:p w14:paraId="1AE55B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52.0</w:t>
            </w:r>
          </w:p>
        </w:tc>
        <w:tc>
          <w:tcPr>
            <w:tcW w:w="1399" w:type="dxa"/>
            <w:tcBorders>
              <w:tl2br w:val="nil"/>
              <w:tr2bl w:val="nil"/>
            </w:tcBorders>
            <w:vAlign w:val="center"/>
          </w:tcPr>
          <w:p w14:paraId="5E66B0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52.17478</w:t>
            </w:r>
          </w:p>
        </w:tc>
        <w:tc>
          <w:tcPr>
            <w:tcW w:w="1092" w:type="dxa"/>
            <w:tcBorders>
              <w:tl2br w:val="nil"/>
              <w:tr2bl w:val="nil"/>
            </w:tcBorders>
            <w:vAlign w:val="center"/>
          </w:tcPr>
          <w:p w14:paraId="21BC3B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65.22</w:t>
            </w:r>
          </w:p>
        </w:tc>
        <w:tc>
          <w:tcPr>
            <w:tcW w:w="388" w:type="pct"/>
            <w:tcBorders>
              <w:tl2br w:val="nil"/>
              <w:tr2bl w:val="nil"/>
            </w:tcBorders>
            <w:vAlign w:val="center"/>
          </w:tcPr>
          <w:p w14:paraId="238063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733A61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2" w:type="pct"/>
            <w:vMerge w:val="continue"/>
            <w:tcBorders>
              <w:tl2br w:val="nil"/>
              <w:tr2bl w:val="nil"/>
            </w:tcBorders>
            <w:vAlign w:val="center"/>
          </w:tcPr>
          <w:p w14:paraId="74DAC2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753" w:type="pct"/>
            <w:vMerge w:val="continue"/>
            <w:tcBorders>
              <w:tl2br w:val="nil"/>
              <w:tr2bl w:val="nil"/>
            </w:tcBorders>
            <w:vAlign w:val="center"/>
          </w:tcPr>
          <w:p w14:paraId="2A9D2D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p>
        </w:tc>
        <w:tc>
          <w:tcPr>
            <w:tcW w:w="1184" w:type="pct"/>
            <w:tcBorders>
              <w:tl2br w:val="nil"/>
              <w:tr2bl w:val="nil"/>
            </w:tcBorders>
            <w:vAlign w:val="center"/>
          </w:tcPr>
          <w:p w14:paraId="1ED45C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年均浓度</w:t>
            </w:r>
          </w:p>
        </w:tc>
        <w:tc>
          <w:tcPr>
            <w:tcW w:w="1604" w:type="dxa"/>
            <w:tcBorders>
              <w:tl2br w:val="nil"/>
              <w:tr2bl w:val="nil"/>
            </w:tcBorders>
            <w:vAlign w:val="center"/>
          </w:tcPr>
          <w:p w14:paraId="539735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0.05608</w:t>
            </w:r>
          </w:p>
        </w:tc>
        <w:tc>
          <w:tcPr>
            <w:tcW w:w="1177" w:type="dxa"/>
            <w:tcBorders>
              <w:tl2br w:val="nil"/>
              <w:tr2bl w:val="nil"/>
            </w:tcBorders>
            <w:vAlign w:val="center"/>
          </w:tcPr>
          <w:p w14:paraId="1960C3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平均值</w:t>
            </w:r>
          </w:p>
        </w:tc>
        <w:tc>
          <w:tcPr>
            <w:tcW w:w="1354" w:type="dxa"/>
            <w:tcBorders>
              <w:tl2br w:val="nil"/>
              <w:tr2bl w:val="nil"/>
            </w:tcBorders>
            <w:vAlign w:val="center"/>
          </w:tcPr>
          <w:p w14:paraId="649F37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20.3726</w:t>
            </w:r>
          </w:p>
        </w:tc>
        <w:tc>
          <w:tcPr>
            <w:tcW w:w="1399" w:type="dxa"/>
            <w:tcBorders>
              <w:tl2br w:val="nil"/>
              <w:tr2bl w:val="nil"/>
            </w:tcBorders>
            <w:vAlign w:val="center"/>
          </w:tcPr>
          <w:p w14:paraId="39DDBA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20.42868</w:t>
            </w:r>
          </w:p>
        </w:tc>
        <w:tc>
          <w:tcPr>
            <w:tcW w:w="1092" w:type="dxa"/>
            <w:tcBorders>
              <w:tl2br w:val="nil"/>
              <w:tr2bl w:val="nil"/>
            </w:tcBorders>
            <w:vAlign w:val="center"/>
          </w:tcPr>
          <w:p w14:paraId="61E026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51.07</w:t>
            </w:r>
          </w:p>
        </w:tc>
        <w:tc>
          <w:tcPr>
            <w:tcW w:w="388" w:type="pct"/>
            <w:tcBorders>
              <w:tl2br w:val="nil"/>
              <w:tr2bl w:val="nil"/>
            </w:tcBorders>
            <w:vAlign w:val="center"/>
          </w:tcPr>
          <w:p w14:paraId="7F429C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bl>
    <w:p w14:paraId="5D20DF5C">
      <w:pPr>
        <w:ind w:left="0" w:leftChars="0" w:firstLine="0" w:firstLineChars="0"/>
        <w:rPr>
          <w:rFonts w:hint="default" w:ascii="Times New Roman" w:hAnsi="Times New Roman" w:eastAsia="宋体" w:cs="Times New Roman"/>
          <w:b w:val="0"/>
          <w:bCs/>
          <w:color w:val="FF0000"/>
          <w:sz w:val="21"/>
          <w:szCs w:val="21"/>
          <w:highlight w:val="none"/>
        </w:rPr>
        <w:sectPr>
          <w:pgSz w:w="16838" w:h="11906" w:orient="landscape"/>
          <w:pgMar w:top="1417" w:right="1417" w:bottom="1417" w:left="1417" w:header="1134" w:footer="1191" w:gutter="0"/>
          <w:pgBorders>
            <w:top w:val="none" w:sz="0" w:space="0"/>
            <w:left w:val="none" w:sz="0" w:space="0"/>
            <w:bottom w:val="none" w:sz="0" w:space="0"/>
            <w:right w:val="none" w:sz="0" w:space="0"/>
          </w:pgBorders>
          <w:pgNumType w:fmt="decimal"/>
          <w:cols w:space="720" w:num="1"/>
          <w:docGrid w:linePitch="286" w:charSpace="0"/>
        </w:sectPr>
      </w:pPr>
    </w:p>
    <w:p w14:paraId="0E9FD5BB">
      <w:pPr>
        <w:keepNext w:val="0"/>
        <w:keepLines w:val="0"/>
        <w:pageBreakBefore w:val="0"/>
        <w:widowControl w:val="0"/>
        <w:kinsoku/>
        <w:wordWrap/>
        <w:overflowPunct/>
        <w:topLinePunct w:val="0"/>
        <w:bidi w:val="0"/>
        <w:snapToGrid/>
        <w:spacing w:after="0" w:line="480" w:lineRule="exact"/>
        <w:ind w:firstLine="0" w:firstLineChars="0"/>
        <w:jc w:val="center"/>
        <w:outlineLvl w:val="9"/>
        <w:rPr>
          <w:rFonts w:hint="default" w:ascii="Times New Roman" w:hAnsi="Times New Roman" w:eastAsia="宋体" w:cs="Times New Roman"/>
          <w:snapToGrid w:val="0"/>
          <w:color w:val="FF0000"/>
          <w:kern w:val="2"/>
          <w:sz w:val="24"/>
          <w:szCs w:val="24"/>
          <w:highlight w:val="none"/>
          <w:lang w:val="en-US" w:eastAsia="zh-CN" w:bidi="ar-SA"/>
        </w:rPr>
      </w:pPr>
      <w:r>
        <w:rPr>
          <w:rFonts w:hint="default" w:ascii="Times New Roman" w:hAnsi="Times New Roman" w:eastAsia="宋体" w:cs="Times New Roman"/>
          <w:snapToGrid w:val="0"/>
          <w:color w:val="FF0000"/>
          <w:kern w:val="2"/>
          <w:sz w:val="24"/>
          <w:szCs w:val="24"/>
          <w:highlight w:val="none"/>
          <w:lang w:val="en-US" w:eastAsia="zh-CN" w:bidi="ar-SA"/>
        </w:rPr>
        <w:t>表6.2-</w:t>
      </w:r>
      <w:r>
        <w:rPr>
          <w:rFonts w:hint="eastAsia" w:ascii="Times New Roman" w:hAnsi="Times New Roman" w:eastAsia="宋体" w:cs="Times New Roman"/>
          <w:snapToGrid w:val="0"/>
          <w:color w:val="FF0000"/>
          <w:kern w:val="2"/>
          <w:sz w:val="24"/>
          <w:szCs w:val="24"/>
          <w:highlight w:val="none"/>
          <w:lang w:val="en-US" w:eastAsia="zh-CN" w:bidi="ar-SA"/>
        </w:rPr>
        <w:t>19</w:t>
      </w:r>
      <w:r>
        <w:rPr>
          <w:rFonts w:hint="default" w:ascii="Times New Roman" w:hAnsi="Times New Roman" w:eastAsia="宋体" w:cs="Times New Roman"/>
          <w:snapToGrid w:val="0"/>
          <w:color w:val="FF0000"/>
          <w:kern w:val="2"/>
          <w:sz w:val="24"/>
          <w:szCs w:val="24"/>
          <w:highlight w:val="none"/>
          <w:lang w:val="en-US" w:eastAsia="zh-CN" w:bidi="ar-SA"/>
        </w:rPr>
        <w:t xml:space="preserve">  本项目</w:t>
      </w:r>
      <w:r>
        <w:rPr>
          <w:rFonts w:hint="eastAsia" w:ascii="Times New Roman" w:hAnsi="Times New Roman" w:eastAsia="宋体" w:cs="Times New Roman"/>
          <w:snapToGrid w:val="0"/>
          <w:color w:val="FF0000"/>
          <w:kern w:val="2"/>
          <w:sz w:val="24"/>
          <w:szCs w:val="24"/>
          <w:highlight w:val="none"/>
          <w:lang w:val="en-US" w:eastAsia="zh-CN" w:bidi="ar-SA"/>
        </w:rPr>
        <w:t>Hg</w:t>
      </w:r>
      <w:r>
        <w:rPr>
          <w:rFonts w:hint="eastAsia" w:ascii="Times New Roman" w:hAnsi="Times New Roman" w:eastAsia="宋体" w:cs="Times New Roman"/>
          <w:snapToGrid w:val="0"/>
          <w:color w:val="FF0000"/>
          <w:kern w:val="2"/>
          <w:sz w:val="24"/>
          <w:szCs w:val="24"/>
          <w:highlight w:val="none"/>
          <w:vertAlign w:val="baseline"/>
          <w:lang w:val="en-US" w:eastAsia="zh-CN" w:bidi="ar-SA"/>
        </w:rPr>
        <w:t>叠加后</w:t>
      </w:r>
      <w:r>
        <w:rPr>
          <w:rFonts w:hint="default" w:ascii="Times New Roman" w:hAnsi="Times New Roman" w:eastAsia="宋体" w:cs="Times New Roman"/>
          <w:snapToGrid w:val="0"/>
          <w:color w:val="FF0000"/>
          <w:kern w:val="2"/>
          <w:sz w:val="24"/>
          <w:szCs w:val="24"/>
          <w:highlight w:val="none"/>
          <w:lang w:val="en-US" w:eastAsia="zh-CN" w:bidi="ar-SA"/>
        </w:rPr>
        <w:t>环境质量浓度预测结果表</w:t>
      </w:r>
    </w:p>
    <w:tbl>
      <w:tblPr>
        <w:tblStyle w:val="37"/>
        <w:tblW w:w="4997"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858"/>
        <w:gridCol w:w="2015"/>
        <w:gridCol w:w="1093"/>
        <w:gridCol w:w="1148"/>
        <w:gridCol w:w="742"/>
        <w:gridCol w:w="976"/>
        <w:gridCol w:w="1049"/>
        <w:gridCol w:w="597"/>
        <w:gridCol w:w="619"/>
      </w:tblGrid>
      <w:tr w14:paraId="305BD5C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71" w:type="pct"/>
            <w:noWrap w:val="0"/>
            <w:tcMar>
              <w:top w:w="15" w:type="dxa"/>
              <w:left w:w="15" w:type="dxa"/>
              <w:right w:w="15" w:type="dxa"/>
            </w:tcMar>
            <w:vAlign w:val="center"/>
          </w:tcPr>
          <w:p w14:paraId="7911950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color w:val="FF0000"/>
                <w:sz w:val="21"/>
                <w:szCs w:val="21"/>
                <w:highlight w:val="none"/>
                <w:u w:val="none"/>
                <w:lang w:val="en-US" w:eastAsia="zh-CN"/>
              </w:rPr>
            </w:pPr>
            <w:r>
              <w:rPr>
                <w:rFonts w:hint="default" w:ascii="Times New Roman" w:hAnsi="Times New Roman" w:eastAsia="宋体" w:cs="Times New Roman"/>
                <w:i w:val="0"/>
                <w:color w:val="FF0000"/>
                <w:sz w:val="21"/>
                <w:szCs w:val="21"/>
                <w:highlight w:val="none"/>
                <w:u w:val="none"/>
                <w:lang w:val="en-US" w:eastAsia="zh-CN"/>
              </w:rPr>
              <w:t>污染物</w:t>
            </w:r>
          </w:p>
        </w:tc>
        <w:tc>
          <w:tcPr>
            <w:tcW w:w="1107" w:type="pct"/>
            <w:noWrap w:val="0"/>
            <w:tcMar>
              <w:top w:w="15" w:type="dxa"/>
              <w:left w:w="15" w:type="dxa"/>
              <w:right w:w="15" w:type="dxa"/>
            </w:tcMar>
            <w:vAlign w:val="center"/>
          </w:tcPr>
          <w:p w14:paraId="61527A3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预测点</w:t>
            </w:r>
          </w:p>
        </w:tc>
        <w:tc>
          <w:tcPr>
            <w:tcW w:w="600" w:type="pct"/>
            <w:noWrap w:val="0"/>
            <w:tcMar>
              <w:top w:w="15" w:type="dxa"/>
              <w:left w:w="15" w:type="dxa"/>
              <w:right w:w="15" w:type="dxa"/>
            </w:tcMar>
            <w:vAlign w:val="center"/>
          </w:tcPr>
          <w:p w14:paraId="738B8C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平均时段</w:t>
            </w:r>
          </w:p>
        </w:tc>
        <w:tc>
          <w:tcPr>
            <w:tcW w:w="630" w:type="pct"/>
            <w:noWrap w:val="0"/>
            <w:tcMar>
              <w:top w:w="15" w:type="dxa"/>
              <w:left w:w="15" w:type="dxa"/>
              <w:right w:w="15" w:type="dxa"/>
            </w:tcMar>
            <w:vAlign w:val="center"/>
          </w:tcPr>
          <w:p w14:paraId="660709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贡献值</w:t>
            </w:r>
            <w:r>
              <w:rPr>
                <w:rFonts w:hint="default" w:ascii="Times New Roman" w:hAnsi="Times New Roman" w:eastAsia="宋体" w:cs="Times New Roman"/>
                <w:b w:val="0"/>
                <w:bCs w:val="0"/>
                <w:color w:val="FF0000"/>
                <w:kern w:val="2"/>
                <w:sz w:val="21"/>
                <w:szCs w:val="21"/>
                <w:highlight w:val="none"/>
                <w:vertAlign w:val="baseline"/>
                <w:lang w:val="en-US" w:eastAsia="zh-CN" w:bidi="ar-SA"/>
              </w:rPr>
              <w:t>/（μ</w:t>
            </w:r>
            <w:r>
              <w:rPr>
                <w:rFonts w:hint="default" w:ascii="Times New Roman" w:hAnsi="Times New Roman" w:eastAsia="宋体" w:cs="Times New Roman"/>
                <w:b w:val="0"/>
                <w:bCs w:val="0"/>
                <w:color w:val="FF0000"/>
                <w:kern w:val="2"/>
                <w:sz w:val="21"/>
                <w:szCs w:val="21"/>
                <w:highlight w:val="none"/>
                <w:lang w:val="en-US" w:eastAsia="zh-CN" w:bidi="ar-SA"/>
              </w:rPr>
              <w:t>g/m</w:t>
            </w:r>
            <w:r>
              <w:rPr>
                <w:rFonts w:hint="default" w:ascii="Times New Roman" w:hAnsi="Times New Roman" w:eastAsia="宋体" w:cs="Times New Roman"/>
                <w:b w:val="0"/>
                <w:bCs w:val="0"/>
                <w:color w:val="FF0000"/>
                <w:kern w:val="2"/>
                <w:sz w:val="21"/>
                <w:szCs w:val="21"/>
                <w:highlight w:val="none"/>
                <w:vertAlign w:val="superscript"/>
                <w:lang w:val="en-US" w:eastAsia="zh-CN" w:bidi="ar-SA"/>
              </w:rPr>
              <w:t>3</w:t>
            </w:r>
            <w:r>
              <w:rPr>
                <w:rFonts w:hint="default" w:ascii="Times New Roman" w:hAnsi="Times New Roman" w:eastAsia="宋体" w:cs="Times New Roman"/>
                <w:b w:val="0"/>
                <w:bCs w:val="0"/>
                <w:color w:val="FF0000"/>
                <w:kern w:val="2"/>
                <w:sz w:val="21"/>
                <w:szCs w:val="21"/>
                <w:highlight w:val="none"/>
                <w:vertAlign w:val="baseline"/>
                <w:lang w:val="en-US" w:eastAsia="zh-CN" w:bidi="ar-SA"/>
              </w:rPr>
              <w:t>）</w:t>
            </w:r>
          </w:p>
        </w:tc>
        <w:tc>
          <w:tcPr>
            <w:tcW w:w="407" w:type="pct"/>
            <w:noWrap w:val="0"/>
            <w:tcMar>
              <w:top w:w="15" w:type="dxa"/>
              <w:left w:w="15" w:type="dxa"/>
              <w:right w:w="15" w:type="dxa"/>
            </w:tcMar>
            <w:vAlign w:val="center"/>
          </w:tcPr>
          <w:p w14:paraId="4B682B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出现</w:t>
            </w:r>
          </w:p>
          <w:p w14:paraId="5F0B81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时间</w:t>
            </w:r>
          </w:p>
        </w:tc>
        <w:tc>
          <w:tcPr>
            <w:tcW w:w="536" w:type="pct"/>
            <w:noWrap w:val="0"/>
            <w:tcMar>
              <w:top w:w="15" w:type="dxa"/>
              <w:left w:w="15" w:type="dxa"/>
              <w:right w:w="15" w:type="dxa"/>
            </w:tcMar>
            <w:vAlign w:val="center"/>
          </w:tcPr>
          <w:p w14:paraId="1D5901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现状浓度</w:t>
            </w:r>
            <w:r>
              <w:rPr>
                <w:rFonts w:hint="default" w:ascii="Times New Roman" w:hAnsi="Times New Roman" w:eastAsia="宋体" w:cs="Times New Roman"/>
                <w:b w:val="0"/>
                <w:bCs w:val="0"/>
                <w:color w:val="FF0000"/>
                <w:kern w:val="2"/>
                <w:sz w:val="21"/>
                <w:szCs w:val="21"/>
                <w:highlight w:val="none"/>
                <w:vertAlign w:val="baseline"/>
                <w:lang w:val="en-US" w:eastAsia="zh-CN" w:bidi="ar-SA"/>
              </w:rPr>
              <w:t>/（μ</w:t>
            </w:r>
            <w:r>
              <w:rPr>
                <w:rFonts w:hint="default" w:ascii="Times New Roman" w:hAnsi="Times New Roman" w:eastAsia="宋体" w:cs="Times New Roman"/>
                <w:b w:val="0"/>
                <w:bCs w:val="0"/>
                <w:color w:val="FF0000"/>
                <w:kern w:val="2"/>
                <w:sz w:val="21"/>
                <w:szCs w:val="21"/>
                <w:highlight w:val="none"/>
                <w:lang w:val="en-US" w:eastAsia="zh-CN" w:bidi="ar-SA"/>
              </w:rPr>
              <w:t>g/m</w:t>
            </w:r>
            <w:r>
              <w:rPr>
                <w:rFonts w:hint="default" w:ascii="Times New Roman" w:hAnsi="Times New Roman" w:eastAsia="宋体" w:cs="Times New Roman"/>
                <w:b w:val="0"/>
                <w:bCs w:val="0"/>
                <w:color w:val="FF0000"/>
                <w:kern w:val="2"/>
                <w:sz w:val="21"/>
                <w:szCs w:val="21"/>
                <w:highlight w:val="none"/>
                <w:vertAlign w:val="superscript"/>
                <w:lang w:val="en-US" w:eastAsia="zh-CN" w:bidi="ar-SA"/>
              </w:rPr>
              <w:t>3</w:t>
            </w:r>
            <w:r>
              <w:rPr>
                <w:rFonts w:hint="default" w:ascii="Times New Roman" w:hAnsi="Times New Roman" w:eastAsia="宋体" w:cs="Times New Roman"/>
                <w:b w:val="0"/>
                <w:bCs w:val="0"/>
                <w:color w:val="FF0000"/>
                <w:kern w:val="2"/>
                <w:sz w:val="21"/>
                <w:szCs w:val="21"/>
                <w:highlight w:val="none"/>
                <w:vertAlign w:val="baseline"/>
                <w:lang w:val="en-US" w:eastAsia="zh-CN" w:bidi="ar-SA"/>
              </w:rPr>
              <w:t>）</w:t>
            </w:r>
          </w:p>
        </w:tc>
        <w:tc>
          <w:tcPr>
            <w:tcW w:w="576" w:type="pct"/>
            <w:noWrap w:val="0"/>
            <w:tcMar>
              <w:top w:w="15" w:type="dxa"/>
              <w:left w:w="15" w:type="dxa"/>
              <w:right w:w="15" w:type="dxa"/>
            </w:tcMar>
            <w:vAlign w:val="center"/>
          </w:tcPr>
          <w:p w14:paraId="4AF7A3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叠加浓度</w:t>
            </w:r>
            <w:r>
              <w:rPr>
                <w:rFonts w:hint="default" w:ascii="Times New Roman" w:hAnsi="Times New Roman" w:eastAsia="宋体" w:cs="Times New Roman"/>
                <w:b w:val="0"/>
                <w:bCs w:val="0"/>
                <w:color w:val="FF0000"/>
                <w:kern w:val="2"/>
                <w:sz w:val="21"/>
                <w:szCs w:val="21"/>
                <w:highlight w:val="none"/>
                <w:vertAlign w:val="baseline"/>
                <w:lang w:val="en-US" w:eastAsia="zh-CN" w:bidi="ar-SA"/>
              </w:rPr>
              <w:t>/（μ</w:t>
            </w:r>
            <w:r>
              <w:rPr>
                <w:rFonts w:hint="default" w:ascii="Times New Roman" w:hAnsi="Times New Roman" w:eastAsia="宋体" w:cs="Times New Roman"/>
                <w:b w:val="0"/>
                <w:bCs w:val="0"/>
                <w:color w:val="FF0000"/>
                <w:kern w:val="2"/>
                <w:sz w:val="21"/>
                <w:szCs w:val="21"/>
                <w:highlight w:val="none"/>
                <w:lang w:val="en-US" w:eastAsia="zh-CN" w:bidi="ar-SA"/>
              </w:rPr>
              <w:t>g/m</w:t>
            </w:r>
            <w:r>
              <w:rPr>
                <w:rFonts w:hint="default" w:ascii="Times New Roman" w:hAnsi="Times New Roman" w:eastAsia="宋体" w:cs="Times New Roman"/>
                <w:b w:val="0"/>
                <w:bCs w:val="0"/>
                <w:color w:val="FF0000"/>
                <w:kern w:val="2"/>
                <w:sz w:val="21"/>
                <w:szCs w:val="21"/>
                <w:highlight w:val="none"/>
                <w:vertAlign w:val="superscript"/>
                <w:lang w:val="en-US" w:eastAsia="zh-CN" w:bidi="ar-SA"/>
              </w:rPr>
              <w:t>3</w:t>
            </w:r>
            <w:r>
              <w:rPr>
                <w:rFonts w:hint="default" w:ascii="Times New Roman" w:hAnsi="Times New Roman" w:eastAsia="宋体" w:cs="Times New Roman"/>
                <w:b w:val="0"/>
                <w:bCs w:val="0"/>
                <w:color w:val="FF0000"/>
                <w:kern w:val="2"/>
                <w:sz w:val="21"/>
                <w:szCs w:val="21"/>
                <w:highlight w:val="none"/>
                <w:vertAlign w:val="baseline"/>
                <w:lang w:val="en-US" w:eastAsia="zh-CN" w:bidi="ar-SA"/>
              </w:rPr>
              <w:t>）</w:t>
            </w:r>
          </w:p>
        </w:tc>
        <w:tc>
          <w:tcPr>
            <w:tcW w:w="328" w:type="pct"/>
            <w:noWrap w:val="0"/>
            <w:tcMar>
              <w:top w:w="15" w:type="dxa"/>
              <w:left w:w="15" w:type="dxa"/>
              <w:right w:w="15" w:type="dxa"/>
            </w:tcMar>
            <w:vAlign w:val="center"/>
          </w:tcPr>
          <w:p w14:paraId="64C084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占标率%</w:t>
            </w:r>
          </w:p>
        </w:tc>
        <w:tc>
          <w:tcPr>
            <w:tcW w:w="340" w:type="pct"/>
            <w:noWrap w:val="0"/>
            <w:tcMar>
              <w:top w:w="15" w:type="dxa"/>
              <w:left w:w="15" w:type="dxa"/>
              <w:right w:w="15" w:type="dxa"/>
            </w:tcMar>
            <w:vAlign w:val="center"/>
          </w:tcPr>
          <w:p w14:paraId="77AB2D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达标情况</w:t>
            </w:r>
          </w:p>
        </w:tc>
      </w:tr>
      <w:tr w14:paraId="1852D8D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71" w:type="pct"/>
            <w:vMerge w:val="restart"/>
            <w:noWrap/>
            <w:tcMar>
              <w:top w:w="15" w:type="dxa"/>
              <w:left w:w="15" w:type="dxa"/>
              <w:right w:w="15" w:type="dxa"/>
            </w:tcMar>
            <w:vAlign w:val="center"/>
          </w:tcPr>
          <w:p w14:paraId="4E971E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Hg</w:t>
            </w:r>
          </w:p>
        </w:tc>
        <w:tc>
          <w:tcPr>
            <w:tcW w:w="1107" w:type="pct"/>
            <w:noWrap w:val="0"/>
            <w:tcMar>
              <w:top w:w="15" w:type="dxa"/>
              <w:left w:w="15" w:type="dxa"/>
              <w:right w:w="15" w:type="dxa"/>
            </w:tcMar>
            <w:vAlign w:val="center"/>
          </w:tcPr>
          <w:p w14:paraId="6A204D3D">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i w:val="0"/>
                <w:color w:val="FF0000"/>
                <w:sz w:val="21"/>
                <w:szCs w:val="21"/>
                <w:highlight w:val="none"/>
                <w:u w:val="none"/>
                <w:lang w:val="en-US" w:eastAsia="zh-CN"/>
              </w:rPr>
              <w:t>范家屯</w:t>
            </w:r>
          </w:p>
        </w:tc>
        <w:tc>
          <w:tcPr>
            <w:tcW w:w="600" w:type="pct"/>
            <w:noWrap w:val="0"/>
            <w:tcMar>
              <w:top w:w="15" w:type="dxa"/>
              <w:left w:w="15" w:type="dxa"/>
              <w:right w:w="15" w:type="dxa"/>
            </w:tcMar>
            <w:vAlign w:val="center"/>
          </w:tcPr>
          <w:p w14:paraId="06AD8F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1小时平均</w:t>
            </w:r>
          </w:p>
        </w:tc>
        <w:tc>
          <w:tcPr>
            <w:tcW w:w="630" w:type="pct"/>
            <w:noWrap w:val="0"/>
            <w:tcMar>
              <w:top w:w="15" w:type="dxa"/>
              <w:left w:w="15" w:type="dxa"/>
              <w:right w:w="15" w:type="dxa"/>
            </w:tcMar>
            <w:vAlign w:val="center"/>
          </w:tcPr>
          <w:p w14:paraId="76DFAF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0.0000003</w:t>
            </w:r>
          </w:p>
        </w:tc>
        <w:tc>
          <w:tcPr>
            <w:tcW w:w="407" w:type="pct"/>
            <w:noWrap w:val="0"/>
            <w:tcMar>
              <w:top w:w="15" w:type="dxa"/>
              <w:left w:w="15" w:type="dxa"/>
              <w:right w:w="15" w:type="dxa"/>
            </w:tcMar>
            <w:vAlign w:val="center"/>
          </w:tcPr>
          <w:p w14:paraId="7D078F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平均值</w:t>
            </w:r>
          </w:p>
        </w:tc>
        <w:tc>
          <w:tcPr>
            <w:tcW w:w="536" w:type="pct"/>
            <w:noWrap w:val="0"/>
            <w:tcMar>
              <w:top w:w="15" w:type="dxa"/>
              <w:left w:w="15" w:type="dxa"/>
              <w:right w:w="15" w:type="dxa"/>
            </w:tcMar>
            <w:vAlign w:val="center"/>
          </w:tcPr>
          <w:p w14:paraId="62676B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0.0033</w:t>
            </w:r>
          </w:p>
        </w:tc>
        <w:tc>
          <w:tcPr>
            <w:tcW w:w="576" w:type="pct"/>
            <w:noWrap/>
            <w:tcMar>
              <w:top w:w="15" w:type="dxa"/>
              <w:left w:w="15" w:type="dxa"/>
              <w:right w:w="15" w:type="dxa"/>
            </w:tcMar>
            <w:vAlign w:val="center"/>
          </w:tcPr>
          <w:p w14:paraId="3F473B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0.0033</w:t>
            </w:r>
          </w:p>
        </w:tc>
        <w:tc>
          <w:tcPr>
            <w:tcW w:w="328" w:type="pct"/>
            <w:noWrap w:val="0"/>
            <w:tcMar>
              <w:top w:w="15" w:type="dxa"/>
              <w:left w:w="15" w:type="dxa"/>
              <w:right w:w="15" w:type="dxa"/>
            </w:tcMar>
            <w:vAlign w:val="center"/>
          </w:tcPr>
          <w:p w14:paraId="4B2899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6.60</w:t>
            </w:r>
          </w:p>
        </w:tc>
        <w:tc>
          <w:tcPr>
            <w:tcW w:w="340" w:type="pct"/>
            <w:noWrap w:val="0"/>
            <w:tcMar>
              <w:top w:w="15" w:type="dxa"/>
              <w:left w:w="15" w:type="dxa"/>
              <w:right w:w="15" w:type="dxa"/>
            </w:tcMar>
            <w:vAlign w:val="center"/>
          </w:tcPr>
          <w:p w14:paraId="1ABE10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5700453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71" w:type="pct"/>
            <w:vMerge w:val="continue"/>
            <w:noWrap/>
            <w:tcMar>
              <w:top w:w="15" w:type="dxa"/>
              <w:left w:w="15" w:type="dxa"/>
              <w:right w:w="15" w:type="dxa"/>
            </w:tcMar>
            <w:vAlign w:val="center"/>
          </w:tcPr>
          <w:p w14:paraId="3261BE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p>
        </w:tc>
        <w:tc>
          <w:tcPr>
            <w:tcW w:w="1107" w:type="pct"/>
            <w:noWrap w:val="0"/>
            <w:tcMar>
              <w:top w:w="15" w:type="dxa"/>
              <w:left w:w="15" w:type="dxa"/>
              <w:right w:w="15" w:type="dxa"/>
            </w:tcMar>
            <w:vAlign w:val="center"/>
          </w:tcPr>
          <w:p w14:paraId="7E568BED">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i w:val="0"/>
                <w:color w:val="FF0000"/>
                <w:sz w:val="21"/>
                <w:szCs w:val="21"/>
                <w:highlight w:val="none"/>
                <w:u w:val="none"/>
                <w:lang w:val="en-US" w:eastAsia="zh-CN"/>
              </w:rPr>
              <w:t>范家村</w:t>
            </w:r>
          </w:p>
        </w:tc>
        <w:tc>
          <w:tcPr>
            <w:tcW w:w="600" w:type="pct"/>
            <w:noWrap w:val="0"/>
            <w:tcMar>
              <w:top w:w="15" w:type="dxa"/>
              <w:left w:w="15" w:type="dxa"/>
              <w:right w:w="15" w:type="dxa"/>
            </w:tcMar>
            <w:vAlign w:val="center"/>
          </w:tcPr>
          <w:p w14:paraId="5F9CD0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1小时平均</w:t>
            </w:r>
          </w:p>
        </w:tc>
        <w:tc>
          <w:tcPr>
            <w:tcW w:w="630" w:type="pct"/>
            <w:noWrap w:val="0"/>
            <w:tcMar>
              <w:top w:w="15" w:type="dxa"/>
              <w:left w:w="15" w:type="dxa"/>
              <w:right w:w="15" w:type="dxa"/>
            </w:tcMar>
            <w:vAlign w:val="center"/>
          </w:tcPr>
          <w:p w14:paraId="0CDE01A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0.00000088</w:t>
            </w:r>
          </w:p>
        </w:tc>
        <w:tc>
          <w:tcPr>
            <w:tcW w:w="407" w:type="pct"/>
            <w:noWrap w:val="0"/>
            <w:tcMar>
              <w:top w:w="15" w:type="dxa"/>
              <w:left w:w="15" w:type="dxa"/>
              <w:right w:w="15" w:type="dxa"/>
            </w:tcMar>
            <w:vAlign w:val="center"/>
          </w:tcPr>
          <w:p w14:paraId="7448FE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平均值</w:t>
            </w:r>
          </w:p>
        </w:tc>
        <w:tc>
          <w:tcPr>
            <w:tcW w:w="536" w:type="pct"/>
            <w:noWrap w:val="0"/>
            <w:tcMar>
              <w:top w:w="15" w:type="dxa"/>
              <w:left w:w="15" w:type="dxa"/>
              <w:right w:w="15" w:type="dxa"/>
            </w:tcMar>
            <w:vAlign w:val="center"/>
          </w:tcPr>
          <w:p w14:paraId="22260E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0.0033</w:t>
            </w:r>
          </w:p>
        </w:tc>
        <w:tc>
          <w:tcPr>
            <w:tcW w:w="576" w:type="pct"/>
            <w:noWrap/>
            <w:tcMar>
              <w:top w:w="15" w:type="dxa"/>
              <w:left w:w="15" w:type="dxa"/>
              <w:right w:w="15" w:type="dxa"/>
            </w:tcMar>
            <w:vAlign w:val="center"/>
          </w:tcPr>
          <w:p w14:paraId="76482A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0.0033</w:t>
            </w:r>
          </w:p>
        </w:tc>
        <w:tc>
          <w:tcPr>
            <w:tcW w:w="328" w:type="pct"/>
            <w:noWrap w:val="0"/>
            <w:tcMar>
              <w:top w:w="15" w:type="dxa"/>
              <w:left w:w="15" w:type="dxa"/>
              <w:right w:w="15" w:type="dxa"/>
            </w:tcMar>
            <w:vAlign w:val="center"/>
          </w:tcPr>
          <w:p w14:paraId="287DE4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6.60</w:t>
            </w:r>
          </w:p>
        </w:tc>
        <w:tc>
          <w:tcPr>
            <w:tcW w:w="340" w:type="pct"/>
            <w:noWrap w:val="0"/>
            <w:tcMar>
              <w:top w:w="15" w:type="dxa"/>
              <w:left w:w="15" w:type="dxa"/>
              <w:right w:w="15" w:type="dxa"/>
            </w:tcMar>
            <w:vAlign w:val="center"/>
          </w:tcPr>
          <w:p w14:paraId="583A7E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68E5D4A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71" w:type="pct"/>
            <w:vMerge w:val="continue"/>
            <w:noWrap/>
            <w:tcMar>
              <w:top w:w="15" w:type="dxa"/>
              <w:left w:w="15" w:type="dxa"/>
              <w:right w:w="15" w:type="dxa"/>
            </w:tcMar>
            <w:vAlign w:val="center"/>
          </w:tcPr>
          <w:p w14:paraId="4DDF97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p>
        </w:tc>
        <w:tc>
          <w:tcPr>
            <w:tcW w:w="1107" w:type="pct"/>
            <w:noWrap w:val="0"/>
            <w:tcMar>
              <w:top w:w="15" w:type="dxa"/>
              <w:left w:w="15" w:type="dxa"/>
              <w:right w:w="15" w:type="dxa"/>
            </w:tcMar>
            <w:vAlign w:val="center"/>
          </w:tcPr>
          <w:p w14:paraId="70082D9F">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i w:val="0"/>
                <w:color w:val="FF0000"/>
                <w:sz w:val="21"/>
                <w:szCs w:val="21"/>
                <w:highlight w:val="none"/>
                <w:u w:val="none"/>
                <w:lang w:val="en-US" w:eastAsia="zh-CN"/>
              </w:rPr>
              <w:t>原热电厂家属区</w:t>
            </w:r>
          </w:p>
        </w:tc>
        <w:tc>
          <w:tcPr>
            <w:tcW w:w="600" w:type="pct"/>
            <w:noWrap w:val="0"/>
            <w:tcMar>
              <w:top w:w="15" w:type="dxa"/>
              <w:left w:w="15" w:type="dxa"/>
              <w:right w:w="15" w:type="dxa"/>
            </w:tcMar>
            <w:vAlign w:val="center"/>
          </w:tcPr>
          <w:p w14:paraId="0352F1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1小时平均</w:t>
            </w:r>
          </w:p>
        </w:tc>
        <w:tc>
          <w:tcPr>
            <w:tcW w:w="630" w:type="pct"/>
            <w:noWrap w:val="0"/>
            <w:tcMar>
              <w:top w:w="15" w:type="dxa"/>
              <w:left w:w="15" w:type="dxa"/>
              <w:right w:w="15" w:type="dxa"/>
            </w:tcMar>
            <w:vAlign w:val="center"/>
          </w:tcPr>
          <w:p w14:paraId="7B70D02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w:t>
            </w:r>
          </w:p>
        </w:tc>
        <w:tc>
          <w:tcPr>
            <w:tcW w:w="407" w:type="pct"/>
            <w:noWrap w:val="0"/>
            <w:tcMar>
              <w:top w:w="15" w:type="dxa"/>
              <w:left w:w="15" w:type="dxa"/>
              <w:right w:w="15" w:type="dxa"/>
            </w:tcMar>
            <w:vAlign w:val="center"/>
          </w:tcPr>
          <w:p w14:paraId="0C7235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平均值</w:t>
            </w:r>
          </w:p>
        </w:tc>
        <w:tc>
          <w:tcPr>
            <w:tcW w:w="536" w:type="pct"/>
            <w:noWrap w:val="0"/>
            <w:tcMar>
              <w:top w:w="15" w:type="dxa"/>
              <w:left w:w="15" w:type="dxa"/>
              <w:right w:w="15" w:type="dxa"/>
            </w:tcMar>
            <w:vAlign w:val="center"/>
          </w:tcPr>
          <w:p w14:paraId="7E77F7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0.0033</w:t>
            </w:r>
          </w:p>
        </w:tc>
        <w:tc>
          <w:tcPr>
            <w:tcW w:w="576" w:type="pct"/>
            <w:noWrap/>
            <w:tcMar>
              <w:top w:w="15" w:type="dxa"/>
              <w:left w:w="15" w:type="dxa"/>
              <w:right w:w="15" w:type="dxa"/>
            </w:tcMar>
            <w:vAlign w:val="center"/>
          </w:tcPr>
          <w:p w14:paraId="309229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0.0033</w:t>
            </w:r>
          </w:p>
        </w:tc>
        <w:tc>
          <w:tcPr>
            <w:tcW w:w="328" w:type="pct"/>
            <w:noWrap w:val="0"/>
            <w:tcMar>
              <w:top w:w="15" w:type="dxa"/>
              <w:left w:w="15" w:type="dxa"/>
              <w:right w:w="15" w:type="dxa"/>
            </w:tcMar>
            <w:vAlign w:val="center"/>
          </w:tcPr>
          <w:p w14:paraId="65748A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6.60</w:t>
            </w:r>
          </w:p>
        </w:tc>
        <w:tc>
          <w:tcPr>
            <w:tcW w:w="340" w:type="pct"/>
            <w:noWrap w:val="0"/>
            <w:tcMar>
              <w:top w:w="15" w:type="dxa"/>
              <w:left w:w="15" w:type="dxa"/>
              <w:right w:w="15" w:type="dxa"/>
            </w:tcMar>
            <w:vAlign w:val="center"/>
          </w:tcPr>
          <w:p w14:paraId="781C12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2250A3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71" w:type="pct"/>
            <w:vMerge w:val="continue"/>
            <w:noWrap/>
            <w:tcMar>
              <w:top w:w="15" w:type="dxa"/>
              <w:left w:w="15" w:type="dxa"/>
              <w:right w:w="15" w:type="dxa"/>
            </w:tcMar>
            <w:vAlign w:val="center"/>
          </w:tcPr>
          <w:p w14:paraId="469F6E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p>
        </w:tc>
        <w:tc>
          <w:tcPr>
            <w:tcW w:w="1107" w:type="pct"/>
            <w:noWrap w:val="0"/>
            <w:tcMar>
              <w:top w:w="15" w:type="dxa"/>
              <w:left w:w="15" w:type="dxa"/>
              <w:right w:w="15" w:type="dxa"/>
            </w:tcMar>
            <w:vAlign w:val="center"/>
          </w:tcPr>
          <w:p w14:paraId="4EC192A6">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i w:val="0"/>
                <w:color w:val="FF0000"/>
                <w:sz w:val="21"/>
                <w:szCs w:val="21"/>
                <w:highlight w:val="none"/>
                <w:u w:val="none"/>
                <w:lang w:val="en-US" w:eastAsia="zh-CN"/>
              </w:rPr>
              <w:t>黑锻新城小区</w:t>
            </w:r>
          </w:p>
        </w:tc>
        <w:tc>
          <w:tcPr>
            <w:tcW w:w="600" w:type="pct"/>
            <w:noWrap w:val="0"/>
            <w:tcMar>
              <w:top w:w="15" w:type="dxa"/>
              <w:left w:w="15" w:type="dxa"/>
              <w:right w:w="15" w:type="dxa"/>
            </w:tcMar>
            <w:vAlign w:val="center"/>
          </w:tcPr>
          <w:p w14:paraId="49215E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1小时平均</w:t>
            </w:r>
          </w:p>
        </w:tc>
        <w:tc>
          <w:tcPr>
            <w:tcW w:w="630" w:type="pct"/>
            <w:noWrap w:val="0"/>
            <w:tcMar>
              <w:top w:w="15" w:type="dxa"/>
              <w:left w:w="15" w:type="dxa"/>
              <w:right w:w="15" w:type="dxa"/>
            </w:tcMar>
            <w:vAlign w:val="center"/>
          </w:tcPr>
          <w:p w14:paraId="6BDE4A2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0.00000016</w:t>
            </w:r>
          </w:p>
        </w:tc>
        <w:tc>
          <w:tcPr>
            <w:tcW w:w="407" w:type="pct"/>
            <w:noWrap w:val="0"/>
            <w:tcMar>
              <w:top w:w="15" w:type="dxa"/>
              <w:left w:w="15" w:type="dxa"/>
              <w:right w:w="15" w:type="dxa"/>
            </w:tcMar>
            <w:vAlign w:val="center"/>
          </w:tcPr>
          <w:p w14:paraId="4CB00B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平均值</w:t>
            </w:r>
          </w:p>
        </w:tc>
        <w:tc>
          <w:tcPr>
            <w:tcW w:w="536" w:type="pct"/>
            <w:noWrap w:val="0"/>
            <w:tcMar>
              <w:top w:w="15" w:type="dxa"/>
              <w:left w:w="15" w:type="dxa"/>
              <w:right w:w="15" w:type="dxa"/>
            </w:tcMar>
            <w:vAlign w:val="center"/>
          </w:tcPr>
          <w:p w14:paraId="1D4381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0.0033</w:t>
            </w:r>
          </w:p>
        </w:tc>
        <w:tc>
          <w:tcPr>
            <w:tcW w:w="576" w:type="pct"/>
            <w:noWrap/>
            <w:tcMar>
              <w:top w:w="15" w:type="dxa"/>
              <w:left w:w="15" w:type="dxa"/>
              <w:right w:w="15" w:type="dxa"/>
            </w:tcMar>
            <w:vAlign w:val="center"/>
          </w:tcPr>
          <w:p w14:paraId="7F5B84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0.0033</w:t>
            </w:r>
          </w:p>
        </w:tc>
        <w:tc>
          <w:tcPr>
            <w:tcW w:w="328" w:type="pct"/>
            <w:noWrap w:val="0"/>
            <w:tcMar>
              <w:top w:w="15" w:type="dxa"/>
              <w:left w:w="15" w:type="dxa"/>
              <w:right w:w="15" w:type="dxa"/>
            </w:tcMar>
            <w:vAlign w:val="center"/>
          </w:tcPr>
          <w:p w14:paraId="42A0DB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6.60</w:t>
            </w:r>
          </w:p>
        </w:tc>
        <w:tc>
          <w:tcPr>
            <w:tcW w:w="340" w:type="pct"/>
            <w:noWrap w:val="0"/>
            <w:tcMar>
              <w:top w:w="15" w:type="dxa"/>
              <w:left w:w="15" w:type="dxa"/>
              <w:right w:w="15" w:type="dxa"/>
            </w:tcMar>
            <w:vAlign w:val="center"/>
          </w:tcPr>
          <w:p w14:paraId="1E6616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434341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71" w:type="pct"/>
            <w:vMerge w:val="continue"/>
            <w:noWrap/>
            <w:tcMar>
              <w:top w:w="15" w:type="dxa"/>
              <w:left w:w="15" w:type="dxa"/>
              <w:right w:w="15" w:type="dxa"/>
            </w:tcMar>
            <w:vAlign w:val="center"/>
          </w:tcPr>
          <w:p w14:paraId="60EE2E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p>
        </w:tc>
        <w:tc>
          <w:tcPr>
            <w:tcW w:w="1107" w:type="pct"/>
            <w:noWrap w:val="0"/>
            <w:tcMar>
              <w:top w:w="15" w:type="dxa"/>
              <w:left w:w="15" w:type="dxa"/>
              <w:right w:w="15" w:type="dxa"/>
            </w:tcMar>
            <w:vAlign w:val="center"/>
          </w:tcPr>
          <w:p w14:paraId="6111D45B">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i w:val="0"/>
                <w:color w:val="FF0000"/>
                <w:sz w:val="21"/>
                <w:szCs w:val="21"/>
                <w:highlight w:val="none"/>
                <w:u w:val="none"/>
                <w:lang w:val="en-US" w:eastAsia="zh-CN"/>
              </w:rPr>
              <w:t>东侧市区（绿云社区）</w:t>
            </w:r>
          </w:p>
        </w:tc>
        <w:tc>
          <w:tcPr>
            <w:tcW w:w="600" w:type="pct"/>
            <w:noWrap w:val="0"/>
            <w:tcMar>
              <w:top w:w="15" w:type="dxa"/>
              <w:left w:w="15" w:type="dxa"/>
              <w:right w:w="15" w:type="dxa"/>
            </w:tcMar>
            <w:vAlign w:val="center"/>
          </w:tcPr>
          <w:p w14:paraId="3F2BEC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1小时平均</w:t>
            </w:r>
          </w:p>
        </w:tc>
        <w:tc>
          <w:tcPr>
            <w:tcW w:w="630" w:type="pct"/>
            <w:noWrap w:val="0"/>
            <w:tcMar>
              <w:top w:w="15" w:type="dxa"/>
              <w:left w:w="15" w:type="dxa"/>
              <w:right w:w="15" w:type="dxa"/>
            </w:tcMar>
            <w:vAlign w:val="center"/>
          </w:tcPr>
          <w:p w14:paraId="06A1649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0.00000303</w:t>
            </w:r>
          </w:p>
        </w:tc>
        <w:tc>
          <w:tcPr>
            <w:tcW w:w="407" w:type="pct"/>
            <w:noWrap w:val="0"/>
            <w:tcMar>
              <w:top w:w="15" w:type="dxa"/>
              <w:left w:w="15" w:type="dxa"/>
              <w:right w:w="15" w:type="dxa"/>
            </w:tcMar>
            <w:vAlign w:val="center"/>
          </w:tcPr>
          <w:p w14:paraId="0F645C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平均值</w:t>
            </w:r>
          </w:p>
        </w:tc>
        <w:tc>
          <w:tcPr>
            <w:tcW w:w="536" w:type="pct"/>
            <w:noWrap w:val="0"/>
            <w:tcMar>
              <w:top w:w="15" w:type="dxa"/>
              <w:left w:w="15" w:type="dxa"/>
              <w:right w:w="15" w:type="dxa"/>
            </w:tcMar>
            <w:vAlign w:val="center"/>
          </w:tcPr>
          <w:p w14:paraId="2E1408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0.0033</w:t>
            </w:r>
          </w:p>
        </w:tc>
        <w:tc>
          <w:tcPr>
            <w:tcW w:w="576" w:type="pct"/>
            <w:noWrap/>
            <w:tcMar>
              <w:top w:w="15" w:type="dxa"/>
              <w:left w:w="15" w:type="dxa"/>
              <w:right w:w="15" w:type="dxa"/>
            </w:tcMar>
            <w:vAlign w:val="center"/>
          </w:tcPr>
          <w:p w14:paraId="3F72E6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0.0033</w:t>
            </w:r>
          </w:p>
        </w:tc>
        <w:tc>
          <w:tcPr>
            <w:tcW w:w="328" w:type="pct"/>
            <w:noWrap w:val="0"/>
            <w:tcMar>
              <w:top w:w="15" w:type="dxa"/>
              <w:left w:w="15" w:type="dxa"/>
              <w:right w:w="15" w:type="dxa"/>
            </w:tcMar>
            <w:vAlign w:val="center"/>
          </w:tcPr>
          <w:p w14:paraId="18BA6B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6.60</w:t>
            </w:r>
          </w:p>
        </w:tc>
        <w:tc>
          <w:tcPr>
            <w:tcW w:w="340" w:type="pct"/>
            <w:noWrap w:val="0"/>
            <w:tcMar>
              <w:top w:w="15" w:type="dxa"/>
              <w:left w:w="15" w:type="dxa"/>
              <w:right w:w="15" w:type="dxa"/>
            </w:tcMar>
            <w:vAlign w:val="center"/>
          </w:tcPr>
          <w:p w14:paraId="66933B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1A0C5C2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71" w:type="pct"/>
            <w:vMerge w:val="continue"/>
            <w:noWrap/>
            <w:tcMar>
              <w:top w:w="15" w:type="dxa"/>
              <w:left w:w="15" w:type="dxa"/>
              <w:right w:w="15" w:type="dxa"/>
            </w:tcMar>
            <w:vAlign w:val="center"/>
          </w:tcPr>
          <w:p w14:paraId="56167D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p>
        </w:tc>
        <w:tc>
          <w:tcPr>
            <w:tcW w:w="1107" w:type="pct"/>
            <w:noWrap w:val="0"/>
            <w:tcMar>
              <w:top w:w="15" w:type="dxa"/>
              <w:left w:w="15" w:type="dxa"/>
              <w:right w:w="15" w:type="dxa"/>
            </w:tcMar>
            <w:vAlign w:val="center"/>
          </w:tcPr>
          <w:p w14:paraId="698895F9">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南侧市区（佳木斯市第十六中学）</w:t>
            </w:r>
          </w:p>
        </w:tc>
        <w:tc>
          <w:tcPr>
            <w:tcW w:w="600" w:type="pct"/>
            <w:noWrap w:val="0"/>
            <w:tcMar>
              <w:top w:w="15" w:type="dxa"/>
              <w:left w:w="15" w:type="dxa"/>
              <w:right w:w="15" w:type="dxa"/>
            </w:tcMar>
            <w:vAlign w:val="center"/>
          </w:tcPr>
          <w:p w14:paraId="2E03CA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1小时平均</w:t>
            </w:r>
          </w:p>
        </w:tc>
        <w:tc>
          <w:tcPr>
            <w:tcW w:w="630" w:type="pct"/>
            <w:noWrap w:val="0"/>
            <w:tcMar>
              <w:top w:w="15" w:type="dxa"/>
              <w:left w:w="15" w:type="dxa"/>
              <w:right w:w="15" w:type="dxa"/>
            </w:tcMar>
            <w:vAlign w:val="center"/>
          </w:tcPr>
          <w:p w14:paraId="034129C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0.00000022</w:t>
            </w:r>
          </w:p>
        </w:tc>
        <w:tc>
          <w:tcPr>
            <w:tcW w:w="407" w:type="pct"/>
            <w:noWrap w:val="0"/>
            <w:tcMar>
              <w:top w:w="15" w:type="dxa"/>
              <w:left w:w="15" w:type="dxa"/>
              <w:right w:w="15" w:type="dxa"/>
            </w:tcMar>
            <w:vAlign w:val="center"/>
          </w:tcPr>
          <w:p w14:paraId="3CAFAD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平均值</w:t>
            </w:r>
          </w:p>
        </w:tc>
        <w:tc>
          <w:tcPr>
            <w:tcW w:w="536" w:type="pct"/>
            <w:noWrap w:val="0"/>
            <w:tcMar>
              <w:top w:w="15" w:type="dxa"/>
              <w:left w:w="15" w:type="dxa"/>
              <w:right w:w="15" w:type="dxa"/>
            </w:tcMar>
            <w:vAlign w:val="center"/>
          </w:tcPr>
          <w:p w14:paraId="6CAE5B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0.0033</w:t>
            </w:r>
          </w:p>
        </w:tc>
        <w:tc>
          <w:tcPr>
            <w:tcW w:w="576" w:type="pct"/>
            <w:noWrap/>
            <w:tcMar>
              <w:top w:w="15" w:type="dxa"/>
              <w:left w:w="15" w:type="dxa"/>
              <w:right w:w="15" w:type="dxa"/>
            </w:tcMar>
            <w:vAlign w:val="center"/>
          </w:tcPr>
          <w:p w14:paraId="0ED038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0.0033</w:t>
            </w:r>
          </w:p>
        </w:tc>
        <w:tc>
          <w:tcPr>
            <w:tcW w:w="328" w:type="pct"/>
            <w:noWrap w:val="0"/>
            <w:tcMar>
              <w:top w:w="15" w:type="dxa"/>
              <w:left w:w="15" w:type="dxa"/>
              <w:right w:w="15" w:type="dxa"/>
            </w:tcMar>
            <w:vAlign w:val="center"/>
          </w:tcPr>
          <w:p w14:paraId="188BDD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6.60</w:t>
            </w:r>
          </w:p>
        </w:tc>
        <w:tc>
          <w:tcPr>
            <w:tcW w:w="340" w:type="pct"/>
            <w:noWrap w:val="0"/>
            <w:tcMar>
              <w:top w:w="15" w:type="dxa"/>
              <w:left w:w="15" w:type="dxa"/>
              <w:right w:w="15" w:type="dxa"/>
            </w:tcMar>
            <w:vAlign w:val="center"/>
          </w:tcPr>
          <w:p w14:paraId="67797F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02917F5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71" w:type="pct"/>
            <w:vMerge w:val="continue"/>
            <w:vAlign w:val="center"/>
          </w:tcPr>
          <w:p w14:paraId="2BDB2E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p>
        </w:tc>
        <w:tc>
          <w:tcPr>
            <w:tcW w:w="1107" w:type="pct"/>
            <w:vAlign w:val="center"/>
          </w:tcPr>
          <w:p w14:paraId="174D9D02">
            <w:pPr>
              <w:pStyle w:val="12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区域最大落地浓度</w:t>
            </w:r>
          </w:p>
        </w:tc>
        <w:tc>
          <w:tcPr>
            <w:tcW w:w="600" w:type="pct"/>
            <w:vAlign w:val="center"/>
          </w:tcPr>
          <w:p w14:paraId="19BD37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1小时平均</w:t>
            </w:r>
          </w:p>
        </w:tc>
        <w:tc>
          <w:tcPr>
            <w:tcW w:w="630" w:type="pct"/>
            <w:vAlign w:val="center"/>
          </w:tcPr>
          <w:p w14:paraId="239D38F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iCs w:val="0"/>
                <w:color w:val="FF0000"/>
                <w:kern w:val="0"/>
                <w:sz w:val="21"/>
                <w:szCs w:val="21"/>
                <w:highlight w:val="none"/>
                <w:u w:val="none"/>
                <w:lang w:val="en-US" w:eastAsia="zh-CN" w:bidi="ar"/>
              </w:rPr>
              <w:t>0.00001264</w:t>
            </w:r>
          </w:p>
        </w:tc>
        <w:tc>
          <w:tcPr>
            <w:tcW w:w="407" w:type="pct"/>
            <w:vAlign w:val="center"/>
          </w:tcPr>
          <w:p w14:paraId="788632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平均值</w:t>
            </w:r>
          </w:p>
        </w:tc>
        <w:tc>
          <w:tcPr>
            <w:tcW w:w="536" w:type="pct"/>
            <w:vAlign w:val="center"/>
          </w:tcPr>
          <w:p w14:paraId="4C2DE5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0.0033</w:t>
            </w:r>
          </w:p>
        </w:tc>
        <w:tc>
          <w:tcPr>
            <w:tcW w:w="576" w:type="pct"/>
            <w:vAlign w:val="center"/>
          </w:tcPr>
          <w:p w14:paraId="76D2AA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0.00331264</w:t>
            </w:r>
          </w:p>
        </w:tc>
        <w:tc>
          <w:tcPr>
            <w:tcW w:w="328" w:type="pct"/>
            <w:vAlign w:val="center"/>
          </w:tcPr>
          <w:p w14:paraId="725880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6.64</w:t>
            </w:r>
          </w:p>
        </w:tc>
        <w:tc>
          <w:tcPr>
            <w:tcW w:w="340" w:type="pct"/>
            <w:vAlign w:val="center"/>
          </w:tcPr>
          <w:p w14:paraId="107FF9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bl>
    <w:p w14:paraId="270CB2CA">
      <w:pPr>
        <w:keepNext w:val="0"/>
        <w:keepLines w:val="0"/>
        <w:pageBreakBefore w:val="0"/>
        <w:widowControl w:val="0"/>
        <w:kinsoku/>
        <w:wordWrap/>
        <w:overflowPunct/>
        <w:topLinePunct w:val="0"/>
        <w:bidi w:val="0"/>
        <w:snapToGrid/>
        <w:spacing w:after="0" w:line="480" w:lineRule="exact"/>
        <w:ind w:firstLine="0" w:firstLineChars="0"/>
        <w:jc w:val="center"/>
        <w:outlineLvl w:val="9"/>
        <w:rPr>
          <w:rFonts w:hint="default" w:ascii="Times New Roman" w:hAnsi="Times New Roman" w:eastAsia="宋体" w:cs="Times New Roman"/>
          <w:snapToGrid w:val="0"/>
          <w:color w:val="FF0000"/>
          <w:kern w:val="2"/>
          <w:sz w:val="24"/>
          <w:szCs w:val="24"/>
          <w:highlight w:val="none"/>
          <w:lang w:val="en-US" w:eastAsia="zh-CN" w:bidi="ar-SA"/>
        </w:rPr>
      </w:pPr>
      <w:r>
        <w:rPr>
          <w:rFonts w:hint="default" w:ascii="Times New Roman" w:hAnsi="Times New Roman" w:eastAsia="宋体" w:cs="Times New Roman"/>
          <w:snapToGrid w:val="0"/>
          <w:color w:val="FF0000"/>
          <w:kern w:val="2"/>
          <w:sz w:val="24"/>
          <w:szCs w:val="24"/>
          <w:highlight w:val="none"/>
          <w:lang w:val="en-US" w:eastAsia="zh-CN" w:bidi="ar-SA"/>
        </w:rPr>
        <w:t>表6.2-2</w:t>
      </w:r>
      <w:r>
        <w:rPr>
          <w:rFonts w:hint="eastAsia" w:ascii="Times New Roman" w:hAnsi="Times New Roman" w:eastAsia="宋体" w:cs="Times New Roman"/>
          <w:snapToGrid w:val="0"/>
          <w:color w:val="FF0000"/>
          <w:kern w:val="2"/>
          <w:sz w:val="24"/>
          <w:szCs w:val="24"/>
          <w:highlight w:val="none"/>
          <w:lang w:val="en-US" w:eastAsia="zh-CN" w:bidi="ar-SA"/>
        </w:rPr>
        <w:t>0</w:t>
      </w:r>
      <w:r>
        <w:rPr>
          <w:rFonts w:hint="default" w:ascii="Times New Roman" w:hAnsi="Times New Roman" w:eastAsia="宋体" w:cs="Times New Roman"/>
          <w:snapToGrid w:val="0"/>
          <w:color w:val="FF0000"/>
          <w:kern w:val="2"/>
          <w:sz w:val="24"/>
          <w:szCs w:val="24"/>
          <w:highlight w:val="none"/>
          <w:lang w:val="en-US" w:eastAsia="zh-CN" w:bidi="ar-SA"/>
        </w:rPr>
        <w:t xml:space="preserve">  本项目TSP</w:t>
      </w:r>
      <w:r>
        <w:rPr>
          <w:rFonts w:hint="eastAsia" w:ascii="Times New Roman" w:hAnsi="Times New Roman" w:eastAsia="宋体" w:cs="Times New Roman"/>
          <w:snapToGrid w:val="0"/>
          <w:color w:val="FF0000"/>
          <w:kern w:val="2"/>
          <w:sz w:val="24"/>
          <w:szCs w:val="24"/>
          <w:highlight w:val="none"/>
          <w:lang w:val="en-US" w:eastAsia="zh-CN" w:bidi="ar-SA"/>
        </w:rPr>
        <w:t>叠加后</w:t>
      </w:r>
      <w:r>
        <w:rPr>
          <w:rFonts w:hint="default" w:ascii="Times New Roman" w:hAnsi="Times New Roman" w:eastAsia="宋体" w:cs="Times New Roman"/>
          <w:snapToGrid w:val="0"/>
          <w:color w:val="FF0000"/>
          <w:kern w:val="2"/>
          <w:sz w:val="24"/>
          <w:szCs w:val="24"/>
          <w:highlight w:val="none"/>
          <w:lang w:val="en-US" w:eastAsia="zh-CN" w:bidi="ar-SA"/>
        </w:rPr>
        <w:t>环境质量浓度预测结果表</w:t>
      </w:r>
    </w:p>
    <w:tbl>
      <w:tblPr>
        <w:tblStyle w:val="37"/>
        <w:tblW w:w="4997"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699"/>
        <w:gridCol w:w="1941"/>
        <w:gridCol w:w="756"/>
        <w:gridCol w:w="1062"/>
        <w:gridCol w:w="976"/>
        <w:gridCol w:w="991"/>
        <w:gridCol w:w="1122"/>
        <w:gridCol w:w="616"/>
        <w:gridCol w:w="934"/>
      </w:tblGrid>
      <w:tr w14:paraId="6D32441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84" w:type="pct"/>
            <w:tcBorders>
              <w:tl2br w:val="nil"/>
              <w:tr2bl w:val="nil"/>
            </w:tcBorders>
            <w:noWrap w:val="0"/>
            <w:tcMar>
              <w:top w:w="15" w:type="dxa"/>
              <w:left w:w="15" w:type="dxa"/>
              <w:right w:w="15" w:type="dxa"/>
            </w:tcMar>
            <w:vAlign w:val="center"/>
          </w:tcPr>
          <w:p w14:paraId="13B6106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color w:val="FF0000"/>
                <w:sz w:val="21"/>
                <w:szCs w:val="21"/>
                <w:highlight w:val="none"/>
                <w:u w:val="none"/>
              </w:rPr>
            </w:pPr>
            <w:r>
              <w:rPr>
                <w:rFonts w:hint="default" w:ascii="Times New Roman" w:hAnsi="Times New Roman" w:eastAsia="宋体" w:cs="Times New Roman"/>
                <w:i w:val="0"/>
                <w:color w:val="FF0000"/>
                <w:kern w:val="0"/>
                <w:sz w:val="21"/>
                <w:szCs w:val="21"/>
                <w:highlight w:val="none"/>
                <w:u w:val="none"/>
                <w:lang w:val="en-US" w:eastAsia="zh-CN" w:bidi="ar"/>
              </w:rPr>
              <w:t>污染物</w:t>
            </w:r>
          </w:p>
        </w:tc>
        <w:tc>
          <w:tcPr>
            <w:tcW w:w="1066" w:type="pct"/>
            <w:tcBorders>
              <w:tl2br w:val="nil"/>
              <w:tr2bl w:val="nil"/>
            </w:tcBorders>
            <w:noWrap w:val="0"/>
            <w:tcMar>
              <w:top w:w="15" w:type="dxa"/>
              <w:left w:w="15" w:type="dxa"/>
              <w:right w:w="15" w:type="dxa"/>
            </w:tcMar>
            <w:vAlign w:val="center"/>
          </w:tcPr>
          <w:p w14:paraId="5DC0AA7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预测点</w:t>
            </w:r>
          </w:p>
        </w:tc>
        <w:tc>
          <w:tcPr>
            <w:tcW w:w="415" w:type="pct"/>
            <w:tcBorders>
              <w:tl2br w:val="nil"/>
              <w:tr2bl w:val="nil"/>
            </w:tcBorders>
            <w:noWrap w:val="0"/>
            <w:tcMar>
              <w:top w:w="15" w:type="dxa"/>
              <w:left w:w="15" w:type="dxa"/>
              <w:right w:w="15" w:type="dxa"/>
            </w:tcMar>
            <w:vAlign w:val="center"/>
          </w:tcPr>
          <w:p w14:paraId="13495D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平均</w:t>
            </w:r>
          </w:p>
          <w:p w14:paraId="224C88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时段</w:t>
            </w:r>
          </w:p>
        </w:tc>
        <w:tc>
          <w:tcPr>
            <w:tcW w:w="583" w:type="pct"/>
            <w:tcBorders>
              <w:tl2br w:val="nil"/>
              <w:tr2bl w:val="nil"/>
            </w:tcBorders>
            <w:noWrap w:val="0"/>
            <w:tcMar>
              <w:top w:w="15" w:type="dxa"/>
              <w:left w:w="15" w:type="dxa"/>
              <w:right w:w="15" w:type="dxa"/>
            </w:tcMar>
            <w:vAlign w:val="center"/>
          </w:tcPr>
          <w:p w14:paraId="065F84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贡献值</w:t>
            </w:r>
            <w:r>
              <w:rPr>
                <w:rFonts w:hint="default" w:ascii="Times New Roman" w:hAnsi="Times New Roman" w:eastAsia="宋体" w:cs="Times New Roman"/>
                <w:b w:val="0"/>
                <w:bCs w:val="0"/>
                <w:color w:val="FF0000"/>
                <w:kern w:val="2"/>
                <w:sz w:val="21"/>
                <w:szCs w:val="21"/>
                <w:highlight w:val="none"/>
                <w:vertAlign w:val="baseline"/>
                <w:lang w:val="en-US" w:eastAsia="zh-CN" w:bidi="ar-SA"/>
              </w:rPr>
              <w:t>/（μ</w:t>
            </w:r>
            <w:r>
              <w:rPr>
                <w:rFonts w:hint="default" w:ascii="Times New Roman" w:hAnsi="Times New Roman" w:eastAsia="宋体" w:cs="Times New Roman"/>
                <w:b w:val="0"/>
                <w:bCs w:val="0"/>
                <w:color w:val="FF0000"/>
                <w:kern w:val="2"/>
                <w:sz w:val="21"/>
                <w:szCs w:val="21"/>
                <w:highlight w:val="none"/>
                <w:lang w:val="en-US" w:eastAsia="zh-CN" w:bidi="ar-SA"/>
              </w:rPr>
              <w:t>g/m</w:t>
            </w:r>
            <w:r>
              <w:rPr>
                <w:rFonts w:hint="default" w:ascii="Times New Roman" w:hAnsi="Times New Roman" w:eastAsia="宋体" w:cs="Times New Roman"/>
                <w:b w:val="0"/>
                <w:bCs w:val="0"/>
                <w:color w:val="FF0000"/>
                <w:kern w:val="2"/>
                <w:sz w:val="21"/>
                <w:szCs w:val="21"/>
                <w:highlight w:val="none"/>
                <w:vertAlign w:val="superscript"/>
                <w:lang w:val="en-US" w:eastAsia="zh-CN" w:bidi="ar-SA"/>
              </w:rPr>
              <w:t>3</w:t>
            </w:r>
            <w:r>
              <w:rPr>
                <w:rFonts w:hint="default" w:ascii="Times New Roman" w:hAnsi="Times New Roman" w:eastAsia="宋体" w:cs="Times New Roman"/>
                <w:b w:val="0"/>
                <w:bCs w:val="0"/>
                <w:color w:val="FF0000"/>
                <w:kern w:val="2"/>
                <w:sz w:val="21"/>
                <w:szCs w:val="21"/>
                <w:highlight w:val="none"/>
                <w:vertAlign w:val="baseline"/>
                <w:lang w:val="en-US" w:eastAsia="zh-CN" w:bidi="ar-SA"/>
              </w:rPr>
              <w:t>）</w:t>
            </w:r>
          </w:p>
        </w:tc>
        <w:tc>
          <w:tcPr>
            <w:tcW w:w="536" w:type="pct"/>
            <w:tcBorders>
              <w:tl2br w:val="nil"/>
              <w:tr2bl w:val="nil"/>
            </w:tcBorders>
            <w:noWrap w:val="0"/>
            <w:tcMar>
              <w:top w:w="15" w:type="dxa"/>
              <w:left w:w="15" w:type="dxa"/>
              <w:right w:w="15" w:type="dxa"/>
            </w:tcMar>
            <w:vAlign w:val="center"/>
          </w:tcPr>
          <w:p w14:paraId="4A0D94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出现时间</w:t>
            </w:r>
          </w:p>
        </w:tc>
        <w:tc>
          <w:tcPr>
            <w:tcW w:w="544" w:type="pct"/>
            <w:tcBorders>
              <w:tl2br w:val="nil"/>
              <w:tr2bl w:val="nil"/>
            </w:tcBorders>
            <w:noWrap w:val="0"/>
            <w:tcMar>
              <w:top w:w="15" w:type="dxa"/>
              <w:left w:w="15" w:type="dxa"/>
              <w:right w:w="15" w:type="dxa"/>
            </w:tcMar>
            <w:vAlign w:val="center"/>
          </w:tcPr>
          <w:p w14:paraId="09FDB0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现状浓度</w:t>
            </w:r>
            <w:r>
              <w:rPr>
                <w:rFonts w:hint="default" w:ascii="Times New Roman" w:hAnsi="Times New Roman" w:eastAsia="宋体" w:cs="Times New Roman"/>
                <w:b w:val="0"/>
                <w:bCs w:val="0"/>
                <w:color w:val="FF0000"/>
                <w:kern w:val="2"/>
                <w:sz w:val="21"/>
                <w:szCs w:val="21"/>
                <w:highlight w:val="none"/>
                <w:vertAlign w:val="baseline"/>
                <w:lang w:val="en-US" w:eastAsia="zh-CN" w:bidi="ar-SA"/>
              </w:rPr>
              <w:t>/（μ</w:t>
            </w:r>
            <w:r>
              <w:rPr>
                <w:rFonts w:hint="default" w:ascii="Times New Roman" w:hAnsi="Times New Roman" w:eastAsia="宋体" w:cs="Times New Roman"/>
                <w:b w:val="0"/>
                <w:bCs w:val="0"/>
                <w:color w:val="FF0000"/>
                <w:kern w:val="2"/>
                <w:sz w:val="21"/>
                <w:szCs w:val="21"/>
                <w:highlight w:val="none"/>
                <w:lang w:val="en-US" w:eastAsia="zh-CN" w:bidi="ar-SA"/>
              </w:rPr>
              <w:t>g/m</w:t>
            </w:r>
            <w:r>
              <w:rPr>
                <w:rFonts w:hint="default" w:ascii="Times New Roman" w:hAnsi="Times New Roman" w:eastAsia="宋体" w:cs="Times New Roman"/>
                <w:b w:val="0"/>
                <w:bCs w:val="0"/>
                <w:color w:val="FF0000"/>
                <w:kern w:val="2"/>
                <w:sz w:val="21"/>
                <w:szCs w:val="21"/>
                <w:highlight w:val="none"/>
                <w:vertAlign w:val="superscript"/>
                <w:lang w:val="en-US" w:eastAsia="zh-CN" w:bidi="ar-SA"/>
              </w:rPr>
              <w:t>3</w:t>
            </w:r>
            <w:r>
              <w:rPr>
                <w:rFonts w:hint="default" w:ascii="Times New Roman" w:hAnsi="Times New Roman" w:eastAsia="宋体" w:cs="Times New Roman"/>
                <w:b w:val="0"/>
                <w:bCs w:val="0"/>
                <w:color w:val="FF0000"/>
                <w:kern w:val="2"/>
                <w:sz w:val="21"/>
                <w:szCs w:val="21"/>
                <w:highlight w:val="none"/>
                <w:vertAlign w:val="baseline"/>
                <w:lang w:val="en-US" w:eastAsia="zh-CN" w:bidi="ar-SA"/>
              </w:rPr>
              <w:t>）</w:t>
            </w:r>
          </w:p>
        </w:tc>
        <w:tc>
          <w:tcPr>
            <w:tcW w:w="616" w:type="pct"/>
            <w:tcBorders>
              <w:tl2br w:val="nil"/>
              <w:tr2bl w:val="nil"/>
            </w:tcBorders>
            <w:noWrap w:val="0"/>
            <w:tcMar>
              <w:top w:w="15" w:type="dxa"/>
              <w:left w:w="15" w:type="dxa"/>
              <w:right w:w="15" w:type="dxa"/>
            </w:tcMar>
            <w:vAlign w:val="center"/>
          </w:tcPr>
          <w:p w14:paraId="2762FF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叠加浓度</w:t>
            </w:r>
            <w:r>
              <w:rPr>
                <w:rFonts w:hint="default" w:ascii="Times New Roman" w:hAnsi="Times New Roman" w:eastAsia="宋体" w:cs="Times New Roman"/>
                <w:b w:val="0"/>
                <w:bCs w:val="0"/>
                <w:color w:val="FF0000"/>
                <w:kern w:val="2"/>
                <w:sz w:val="21"/>
                <w:szCs w:val="21"/>
                <w:highlight w:val="none"/>
                <w:vertAlign w:val="baseline"/>
                <w:lang w:val="en-US" w:eastAsia="zh-CN" w:bidi="ar-SA"/>
              </w:rPr>
              <w:t>/（μ</w:t>
            </w:r>
            <w:r>
              <w:rPr>
                <w:rFonts w:hint="default" w:ascii="Times New Roman" w:hAnsi="Times New Roman" w:eastAsia="宋体" w:cs="Times New Roman"/>
                <w:b w:val="0"/>
                <w:bCs w:val="0"/>
                <w:color w:val="FF0000"/>
                <w:kern w:val="2"/>
                <w:sz w:val="21"/>
                <w:szCs w:val="21"/>
                <w:highlight w:val="none"/>
                <w:lang w:val="en-US" w:eastAsia="zh-CN" w:bidi="ar-SA"/>
              </w:rPr>
              <w:t>g/m</w:t>
            </w:r>
            <w:r>
              <w:rPr>
                <w:rFonts w:hint="default" w:ascii="Times New Roman" w:hAnsi="Times New Roman" w:eastAsia="宋体" w:cs="Times New Roman"/>
                <w:b w:val="0"/>
                <w:bCs w:val="0"/>
                <w:color w:val="FF0000"/>
                <w:kern w:val="2"/>
                <w:sz w:val="21"/>
                <w:szCs w:val="21"/>
                <w:highlight w:val="none"/>
                <w:vertAlign w:val="superscript"/>
                <w:lang w:val="en-US" w:eastAsia="zh-CN" w:bidi="ar-SA"/>
              </w:rPr>
              <w:t>3</w:t>
            </w:r>
            <w:r>
              <w:rPr>
                <w:rFonts w:hint="default" w:ascii="Times New Roman" w:hAnsi="Times New Roman" w:eastAsia="宋体" w:cs="Times New Roman"/>
                <w:b w:val="0"/>
                <w:bCs w:val="0"/>
                <w:color w:val="FF0000"/>
                <w:kern w:val="2"/>
                <w:sz w:val="21"/>
                <w:szCs w:val="21"/>
                <w:highlight w:val="none"/>
                <w:vertAlign w:val="baseline"/>
                <w:lang w:val="en-US" w:eastAsia="zh-CN" w:bidi="ar-SA"/>
              </w:rPr>
              <w:t>）</w:t>
            </w:r>
          </w:p>
        </w:tc>
        <w:tc>
          <w:tcPr>
            <w:tcW w:w="338" w:type="pct"/>
            <w:tcBorders>
              <w:tl2br w:val="nil"/>
              <w:tr2bl w:val="nil"/>
            </w:tcBorders>
            <w:noWrap w:val="0"/>
            <w:tcMar>
              <w:top w:w="15" w:type="dxa"/>
              <w:left w:w="15" w:type="dxa"/>
              <w:right w:w="15" w:type="dxa"/>
            </w:tcMar>
            <w:vAlign w:val="center"/>
          </w:tcPr>
          <w:p w14:paraId="6F5C96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占标率%</w:t>
            </w:r>
          </w:p>
        </w:tc>
        <w:tc>
          <w:tcPr>
            <w:tcW w:w="513" w:type="pct"/>
            <w:tcBorders>
              <w:tl2br w:val="nil"/>
              <w:tr2bl w:val="nil"/>
            </w:tcBorders>
            <w:noWrap w:val="0"/>
            <w:tcMar>
              <w:top w:w="15" w:type="dxa"/>
              <w:left w:w="15" w:type="dxa"/>
              <w:right w:w="15" w:type="dxa"/>
            </w:tcMar>
            <w:vAlign w:val="center"/>
          </w:tcPr>
          <w:p w14:paraId="0285B0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达标情况</w:t>
            </w:r>
          </w:p>
        </w:tc>
      </w:tr>
      <w:tr w14:paraId="393D28F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84" w:type="pct"/>
            <w:vMerge w:val="restart"/>
            <w:tcBorders>
              <w:tl2br w:val="nil"/>
              <w:tr2bl w:val="nil"/>
            </w:tcBorders>
            <w:noWrap/>
            <w:tcMar>
              <w:top w:w="15" w:type="dxa"/>
              <w:left w:w="15" w:type="dxa"/>
              <w:right w:w="15" w:type="dxa"/>
            </w:tcMar>
            <w:vAlign w:val="center"/>
          </w:tcPr>
          <w:p w14:paraId="78157D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default" w:ascii="Times New Roman" w:hAnsi="Times New Roman" w:eastAsia="宋体" w:cs="Times New Roman"/>
                <w:i w:val="0"/>
                <w:color w:val="FF0000"/>
                <w:sz w:val="21"/>
                <w:szCs w:val="21"/>
                <w:highlight w:val="none"/>
                <w:u w:val="none"/>
                <w:lang w:val="en-US" w:eastAsia="zh-CN"/>
              </w:rPr>
              <w:t>TSP</w:t>
            </w:r>
          </w:p>
        </w:tc>
        <w:tc>
          <w:tcPr>
            <w:tcW w:w="1066" w:type="pct"/>
            <w:vMerge w:val="restart"/>
            <w:tcBorders>
              <w:tl2br w:val="nil"/>
              <w:tr2bl w:val="nil"/>
            </w:tcBorders>
            <w:noWrap w:val="0"/>
            <w:tcMar>
              <w:top w:w="15" w:type="dxa"/>
              <w:left w:w="15" w:type="dxa"/>
              <w:right w:w="15" w:type="dxa"/>
            </w:tcMar>
            <w:vAlign w:val="center"/>
          </w:tcPr>
          <w:p w14:paraId="5CE44BAD">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i w:val="0"/>
                <w:color w:val="FF0000"/>
                <w:sz w:val="21"/>
                <w:szCs w:val="21"/>
                <w:highlight w:val="none"/>
                <w:u w:val="none"/>
                <w:lang w:val="en-US" w:eastAsia="zh-CN"/>
              </w:rPr>
              <w:t>范家屯</w:t>
            </w:r>
          </w:p>
        </w:tc>
        <w:tc>
          <w:tcPr>
            <w:tcW w:w="415" w:type="pct"/>
            <w:tcBorders>
              <w:tl2br w:val="nil"/>
              <w:tr2bl w:val="nil"/>
            </w:tcBorders>
            <w:noWrap w:val="0"/>
            <w:tcMar>
              <w:top w:w="15" w:type="dxa"/>
              <w:left w:w="15" w:type="dxa"/>
              <w:right w:w="15" w:type="dxa"/>
            </w:tcMar>
            <w:vAlign w:val="center"/>
          </w:tcPr>
          <w:p w14:paraId="327204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日平均</w:t>
            </w:r>
          </w:p>
        </w:tc>
        <w:tc>
          <w:tcPr>
            <w:tcW w:w="1062" w:type="dxa"/>
            <w:tcBorders>
              <w:tl2br w:val="nil"/>
              <w:tr2bl w:val="nil"/>
            </w:tcBorders>
            <w:noWrap w:val="0"/>
            <w:tcMar>
              <w:top w:w="15" w:type="dxa"/>
              <w:left w:w="15" w:type="dxa"/>
              <w:right w:w="15" w:type="dxa"/>
            </w:tcMar>
            <w:vAlign w:val="center"/>
          </w:tcPr>
          <w:p w14:paraId="52E1C2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1.06166</w:t>
            </w:r>
          </w:p>
        </w:tc>
        <w:tc>
          <w:tcPr>
            <w:tcW w:w="976" w:type="dxa"/>
            <w:tcBorders>
              <w:tl2br w:val="nil"/>
              <w:tr2bl w:val="nil"/>
            </w:tcBorders>
            <w:noWrap w:val="0"/>
            <w:tcMar>
              <w:top w:w="15" w:type="dxa"/>
              <w:left w:w="15" w:type="dxa"/>
              <w:right w:w="15" w:type="dxa"/>
            </w:tcMar>
            <w:vAlign w:val="center"/>
          </w:tcPr>
          <w:p w14:paraId="4D50D2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240123</w:t>
            </w:r>
          </w:p>
        </w:tc>
        <w:tc>
          <w:tcPr>
            <w:tcW w:w="991" w:type="dxa"/>
            <w:tcBorders>
              <w:tl2br w:val="nil"/>
              <w:tr2bl w:val="nil"/>
            </w:tcBorders>
            <w:noWrap w:val="0"/>
            <w:tcMar>
              <w:top w:w="15" w:type="dxa"/>
              <w:left w:w="15" w:type="dxa"/>
              <w:right w:w="15" w:type="dxa"/>
            </w:tcMar>
            <w:vAlign w:val="center"/>
          </w:tcPr>
          <w:p w14:paraId="2EE89E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0.187</w:t>
            </w:r>
          </w:p>
        </w:tc>
        <w:tc>
          <w:tcPr>
            <w:tcW w:w="1122" w:type="dxa"/>
            <w:tcBorders>
              <w:tl2br w:val="nil"/>
              <w:tr2bl w:val="nil"/>
            </w:tcBorders>
            <w:noWrap/>
            <w:tcMar>
              <w:top w:w="15" w:type="dxa"/>
              <w:left w:w="15" w:type="dxa"/>
              <w:right w:w="15" w:type="dxa"/>
            </w:tcMar>
            <w:vAlign w:val="center"/>
          </w:tcPr>
          <w:p w14:paraId="354AAE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1.24866</w:t>
            </w:r>
          </w:p>
        </w:tc>
        <w:tc>
          <w:tcPr>
            <w:tcW w:w="616" w:type="dxa"/>
            <w:tcBorders>
              <w:tl2br w:val="nil"/>
              <w:tr2bl w:val="nil"/>
            </w:tcBorders>
            <w:noWrap w:val="0"/>
            <w:tcMar>
              <w:top w:w="15" w:type="dxa"/>
              <w:left w:w="15" w:type="dxa"/>
              <w:right w:w="15" w:type="dxa"/>
            </w:tcMar>
            <w:vAlign w:val="center"/>
          </w:tcPr>
          <w:p w14:paraId="729337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0.42</w:t>
            </w:r>
          </w:p>
        </w:tc>
        <w:tc>
          <w:tcPr>
            <w:tcW w:w="513" w:type="pct"/>
            <w:tcBorders>
              <w:tl2br w:val="nil"/>
              <w:tr2bl w:val="nil"/>
            </w:tcBorders>
            <w:noWrap w:val="0"/>
            <w:tcMar>
              <w:top w:w="15" w:type="dxa"/>
              <w:left w:w="15" w:type="dxa"/>
              <w:right w:w="15" w:type="dxa"/>
            </w:tcMar>
            <w:vAlign w:val="center"/>
          </w:tcPr>
          <w:p w14:paraId="41A6FE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09E6D3F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84" w:type="pct"/>
            <w:vMerge w:val="continue"/>
            <w:tcBorders>
              <w:tl2br w:val="nil"/>
              <w:tr2bl w:val="nil"/>
            </w:tcBorders>
            <w:noWrap/>
            <w:tcMar>
              <w:top w:w="15" w:type="dxa"/>
              <w:left w:w="15" w:type="dxa"/>
              <w:right w:w="15" w:type="dxa"/>
            </w:tcMar>
            <w:vAlign w:val="center"/>
          </w:tcPr>
          <w:p w14:paraId="48C7CE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p>
        </w:tc>
        <w:tc>
          <w:tcPr>
            <w:tcW w:w="1066" w:type="pct"/>
            <w:vMerge w:val="continue"/>
            <w:tcBorders>
              <w:tl2br w:val="nil"/>
              <w:tr2bl w:val="nil"/>
            </w:tcBorders>
            <w:noWrap w:val="0"/>
            <w:tcMar>
              <w:top w:w="15" w:type="dxa"/>
              <w:left w:w="15" w:type="dxa"/>
              <w:right w:w="15" w:type="dxa"/>
            </w:tcMar>
            <w:vAlign w:val="center"/>
          </w:tcPr>
          <w:p w14:paraId="5180529D">
            <w:pPr>
              <w:pStyle w:val="12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FF0000"/>
                <w:kern w:val="2"/>
                <w:sz w:val="21"/>
                <w:szCs w:val="21"/>
                <w:highlight w:val="none"/>
                <w:lang w:val="en-US" w:eastAsia="zh-CN"/>
              </w:rPr>
            </w:pPr>
          </w:p>
        </w:tc>
        <w:tc>
          <w:tcPr>
            <w:tcW w:w="415" w:type="pct"/>
            <w:tcBorders>
              <w:tl2br w:val="nil"/>
              <w:tr2bl w:val="nil"/>
            </w:tcBorders>
            <w:noWrap w:val="0"/>
            <w:tcMar>
              <w:top w:w="15" w:type="dxa"/>
              <w:left w:w="15" w:type="dxa"/>
              <w:right w:w="15" w:type="dxa"/>
            </w:tcMar>
            <w:vAlign w:val="center"/>
          </w:tcPr>
          <w:p w14:paraId="217342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年平均</w:t>
            </w:r>
          </w:p>
        </w:tc>
        <w:tc>
          <w:tcPr>
            <w:tcW w:w="1062" w:type="dxa"/>
            <w:tcBorders>
              <w:tl2br w:val="nil"/>
              <w:tr2bl w:val="nil"/>
            </w:tcBorders>
            <w:noWrap w:val="0"/>
            <w:tcMar>
              <w:top w:w="15" w:type="dxa"/>
              <w:left w:w="15" w:type="dxa"/>
              <w:right w:w="15" w:type="dxa"/>
            </w:tcMar>
            <w:vAlign w:val="center"/>
          </w:tcPr>
          <w:p w14:paraId="2F2577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0.02779</w:t>
            </w:r>
          </w:p>
        </w:tc>
        <w:tc>
          <w:tcPr>
            <w:tcW w:w="976" w:type="dxa"/>
            <w:tcBorders>
              <w:tl2br w:val="nil"/>
              <w:tr2bl w:val="nil"/>
            </w:tcBorders>
            <w:noWrap w:val="0"/>
            <w:tcMar>
              <w:top w:w="15" w:type="dxa"/>
              <w:left w:w="15" w:type="dxa"/>
              <w:right w:w="15" w:type="dxa"/>
            </w:tcMar>
            <w:vAlign w:val="center"/>
          </w:tcPr>
          <w:p w14:paraId="22A8BD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平均值</w:t>
            </w:r>
          </w:p>
        </w:tc>
        <w:tc>
          <w:tcPr>
            <w:tcW w:w="991" w:type="dxa"/>
            <w:tcBorders>
              <w:tl2br w:val="nil"/>
              <w:tr2bl w:val="nil"/>
            </w:tcBorders>
            <w:noWrap w:val="0"/>
            <w:tcMar>
              <w:top w:w="15" w:type="dxa"/>
              <w:left w:w="15" w:type="dxa"/>
              <w:right w:w="15" w:type="dxa"/>
            </w:tcMar>
            <w:vAlign w:val="center"/>
          </w:tcPr>
          <w:p w14:paraId="046442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0.185143</w:t>
            </w:r>
          </w:p>
        </w:tc>
        <w:tc>
          <w:tcPr>
            <w:tcW w:w="1122" w:type="dxa"/>
            <w:tcBorders>
              <w:tl2br w:val="nil"/>
              <w:tr2bl w:val="nil"/>
            </w:tcBorders>
            <w:noWrap/>
            <w:tcMar>
              <w:top w:w="15" w:type="dxa"/>
              <w:left w:w="15" w:type="dxa"/>
              <w:right w:w="15" w:type="dxa"/>
            </w:tcMar>
            <w:vAlign w:val="center"/>
          </w:tcPr>
          <w:p w14:paraId="41EE65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0.212933</w:t>
            </w:r>
          </w:p>
        </w:tc>
        <w:tc>
          <w:tcPr>
            <w:tcW w:w="616" w:type="dxa"/>
            <w:tcBorders>
              <w:tl2br w:val="nil"/>
              <w:tr2bl w:val="nil"/>
            </w:tcBorders>
            <w:noWrap w:val="0"/>
            <w:tcMar>
              <w:top w:w="15" w:type="dxa"/>
              <w:left w:w="15" w:type="dxa"/>
              <w:right w:w="15" w:type="dxa"/>
            </w:tcMar>
            <w:vAlign w:val="center"/>
          </w:tcPr>
          <w:p w14:paraId="65F8A7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0.11</w:t>
            </w:r>
          </w:p>
        </w:tc>
        <w:tc>
          <w:tcPr>
            <w:tcW w:w="513" w:type="pct"/>
            <w:tcBorders>
              <w:tl2br w:val="nil"/>
              <w:tr2bl w:val="nil"/>
            </w:tcBorders>
            <w:noWrap w:val="0"/>
            <w:tcMar>
              <w:top w:w="15" w:type="dxa"/>
              <w:left w:w="15" w:type="dxa"/>
              <w:right w:w="15" w:type="dxa"/>
            </w:tcMar>
            <w:vAlign w:val="center"/>
          </w:tcPr>
          <w:p w14:paraId="0A2F0A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3137E6B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84" w:type="pct"/>
            <w:vMerge w:val="continue"/>
            <w:tcBorders>
              <w:tl2br w:val="nil"/>
              <w:tr2bl w:val="nil"/>
            </w:tcBorders>
            <w:noWrap/>
            <w:tcMar>
              <w:top w:w="15" w:type="dxa"/>
              <w:left w:w="15" w:type="dxa"/>
              <w:right w:w="15" w:type="dxa"/>
            </w:tcMar>
            <w:vAlign w:val="center"/>
          </w:tcPr>
          <w:p w14:paraId="2DFC31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p>
        </w:tc>
        <w:tc>
          <w:tcPr>
            <w:tcW w:w="1066" w:type="pct"/>
            <w:vMerge w:val="restart"/>
            <w:tcBorders>
              <w:tl2br w:val="nil"/>
              <w:tr2bl w:val="nil"/>
            </w:tcBorders>
            <w:noWrap w:val="0"/>
            <w:tcMar>
              <w:top w:w="15" w:type="dxa"/>
              <w:left w:w="15" w:type="dxa"/>
              <w:right w:w="15" w:type="dxa"/>
            </w:tcMar>
            <w:vAlign w:val="center"/>
          </w:tcPr>
          <w:p w14:paraId="46AFB927">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i w:val="0"/>
                <w:color w:val="FF0000"/>
                <w:sz w:val="21"/>
                <w:szCs w:val="21"/>
                <w:highlight w:val="none"/>
                <w:u w:val="none"/>
                <w:lang w:val="en-US" w:eastAsia="zh-CN"/>
              </w:rPr>
              <w:t>范家村</w:t>
            </w:r>
          </w:p>
        </w:tc>
        <w:tc>
          <w:tcPr>
            <w:tcW w:w="415" w:type="pct"/>
            <w:tcBorders>
              <w:tl2br w:val="nil"/>
              <w:tr2bl w:val="nil"/>
            </w:tcBorders>
            <w:noWrap w:val="0"/>
            <w:tcMar>
              <w:top w:w="15" w:type="dxa"/>
              <w:left w:w="15" w:type="dxa"/>
              <w:right w:w="15" w:type="dxa"/>
            </w:tcMar>
            <w:vAlign w:val="center"/>
          </w:tcPr>
          <w:p w14:paraId="2B5CB0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日平均</w:t>
            </w:r>
          </w:p>
        </w:tc>
        <w:tc>
          <w:tcPr>
            <w:tcW w:w="1062" w:type="dxa"/>
            <w:tcBorders>
              <w:tl2br w:val="nil"/>
              <w:tr2bl w:val="nil"/>
            </w:tcBorders>
            <w:noWrap w:val="0"/>
            <w:tcMar>
              <w:top w:w="15" w:type="dxa"/>
              <w:left w:w="15" w:type="dxa"/>
              <w:right w:w="15" w:type="dxa"/>
            </w:tcMar>
            <w:vAlign w:val="center"/>
          </w:tcPr>
          <w:p w14:paraId="4842CA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3.01571</w:t>
            </w:r>
          </w:p>
        </w:tc>
        <w:tc>
          <w:tcPr>
            <w:tcW w:w="976" w:type="dxa"/>
            <w:tcBorders>
              <w:tl2br w:val="nil"/>
              <w:tr2bl w:val="nil"/>
            </w:tcBorders>
            <w:noWrap w:val="0"/>
            <w:tcMar>
              <w:top w:w="15" w:type="dxa"/>
              <w:left w:w="15" w:type="dxa"/>
              <w:right w:w="15" w:type="dxa"/>
            </w:tcMar>
            <w:vAlign w:val="center"/>
          </w:tcPr>
          <w:p w14:paraId="1A42DC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240226</w:t>
            </w:r>
          </w:p>
        </w:tc>
        <w:tc>
          <w:tcPr>
            <w:tcW w:w="991" w:type="dxa"/>
            <w:tcBorders>
              <w:tl2br w:val="nil"/>
              <w:tr2bl w:val="nil"/>
            </w:tcBorders>
            <w:noWrap w:val="0"/>
            <w:tcMar>
              <w:top w:w="15" w:type="dxa"/>
              <w:left w:w="15" w:type="dxa"/>
              <w:right w:w="15" w:type="dxa"/>
            </w:tcMar>
            <w:vAlign w:val="center"/>
          </w:tcPr>
          <w:p w14:paraId="3D6020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0.187</w:t>
            </w:r>
          </w:p>
        </w:tc>
        <w:tc>
          <w:tcPr>
            <w:tcW w:w="1122" w:type="dxa"/>
            <w:tcBorders>
              <w:tl2br w:val="nil"/>
              <w:tr2bl w:val="nil"/>
            </w:tcBorders>
            <w:noWrap/>
            <w:tcMar>
              <w:top w:w="15" w:type="dxa"/>
              <w:left w:w="15" w:type="dxa"/>
              <w:right w:w="15" w:type="dxa"/>
            </w:tcMar>
            <w:vAlign w:val="center"/>
          </w:tcPr>
          <w:p w14:paraId="086DBA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3.20271</w:t>
            </w:r>
          </w:p>
        </w:tc>
        <w:tc>
          <w:tcPr>
            <w:tcW w:w="616" w:type="dxa"/>
            <w:tcBorders>
              <w:tl2br w:val="nil"/>
              <w:tr2bl w:val="nil"/>
            </w:tcBorders>
            <w:noWrap w:val="0"/>
            <w:tcMar>
              <w:top w:w="15" w:type="dxa"/>
              <w:left w:w="15" w:type="dxa"/>
              <w:right w:w="15" w:type="dxa"/>
            </w:tcMar>
            <w:vAlign w:val="center"/>
          </w:tcPr>
          <w:p w14:paraId="7220A7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1.07</w:t>
            </w:r>
          </w:p>
        </w:tc>
        <w:tc>
          <w:tcPr>
            <w:tcW w:w="513" w:type="pct"/>
            <w:tcBorders>
              <w:tl2br w:val="nil"/>
              <w:tr2bl w:val="nil"/>
            </w:tcBorders>
            <w:noWrap w:val="0"/>
            <w:tcMar>
              <w:top w:w="15" w:type="dxa"/>
              <w:left w:w="15" w:type="dxa"/>
              <w:right w:w="15" w:type="dxa"/>
            </w:tcMar>
            <w:vAlign w:val="center"/>
          </w:tcPr>
          <w:p w14:paraId="74D252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497B53B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84" w:type="pct"/>
            <w:vMerge w:val="continue"/>
            <w:tcBorders>
              <w:tl2br w:val="nil"/>
              <w:tr2bl w:val="nil"/>
            </w:tcBorders>
            <w:noWrap/>
            <w:tcMar>
              <w:top w:w="15" w:type="dxa"/>
              <w:left w:w="15" w:type="dxa"/>
              <w:right w:w="15" w:type="dxa"/>
            </w:tcMar>
            <w:vAlign w:val="center"/>
          </w:tcPr>
          <w:p w14:paraId="74BA95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p>
        </w:tc>
        <w:tc>
          <w:tcPr>
            <w:tcW w:w="1066" w:type="pct"/>
            <w:vMerge w:val="continue"/>
            <w:tcBorders>
              <w:tl2br w:val="nil"/>
              <w:tr2bl w:val="nil"/>
            </w:tcBorders>
            <w:noWrap w:val="0"/>
            <w:tcMar>
              <w:top w:w="15" w:type="dxa"/>
              <w:left w:w="15" w:type="dxa"/>
              <w:right w:w="15" w:type="dxa"/>
            </w:tcMar>
            <w:vAlign w:val="center"/>
          </w:tcPr>
          <w:p w14:paraId="201A2644">
            <w:pPr>
              <w:pStyle w:val="12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FF0000"/>
                <w:kern w:val="2"/>
                <w:sz w:val="21"/>
                <w:szCs w:val="21"/>
                <w:highlight w:val="none"/>
                <w:lang w:val="en-US" w:eastAsia="zh-CN"/>
              </w:rPr>
            </w:pPr>
          </w:p>
        </w:tc>
        <w:tc>
          <w:tcPr>
            <w:tcW w:w="415" w:type="pct"/>
            <w:tcBorders>
              <w:tl2br w:val="nil"/>
              <w:tr2bl w:val="nil"/>
            </w:tcBorders>
            <w:noWrap w:val="0"/>
            <w:tcMar>
              <w:top w:w="15" w:type="dxa"/>
              <w:left w:w="15" w:type="dxa"/>
              <w:right w:w="15" w:type="dxa"/>
            </w:tcMar>
            <w:vAlign w:val="center"/>
          </w:tcPr>
          <w:p w14:paraId="21F75B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年平均</w:t>
            </w:r>
          </w:p>
        </w:tc>
        <w:tc>
          <w:tcPr>
            <w:tcW w:w="1062" w:type="dxa"/>
            <w:tcBorders>
              <w:tl2br w:val="nil"/>
              <w:tr2bl w:val="nil"/>
            </w:tcBorders>
            <w:noWrap w:val="0"/>
            <w:tcMar>
              <w:top w:w="15" w:type="dxa"/>
              <w:left w:w="15" w:type="dxa"/>
              <w:right w:w="15" w:type="dxa"/>
            </w:tcMar>
            <w:vAlign w:val="center"/>
          </w:tcPr>
          <w:p w14:paraId="6DDF46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0.13375</w:t>
            </w:r>
          </w:p>
        </w:tc>
        <w:tc>
          <w:tcPr>
            <w:tcW w:w="976" w:type="dxa"/>
            <w:tcBorders>
              <w:tl2br w:val="nil"/>
              <w:tr2bl w:val="nil"/>
            </w:tcBorders>
            <w:noWrap w:val="0"/>
            <w:tcMar>
              <w:top w:w="15" w:type="dxa"/>
              <w:left w:w="15" w:type="dxa"/>
              <w:right w:w="15" w:type="dxa"/>
            </w:tcMar>
            <w:vAlign w:val="center"/>
          </w:tcPr>
          <w:p w14:paraId="51AB99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平均值</w:t>
            </w:r>
          </w:p>
        </w:tc>
        <w:tc>
          <w:tcPr>
            <w:tcW w:w="991" w:type="dxa"/>
            <w:tcBorders>
              <w:tl2br w:val="nil"/>
              <w:tr2bl w:val="nil"/>
            </w:tcBorders>
            <w:noWrap w:val="0"/>
            <w:tcMar>
              <w:top w:w="15" w:type="dxa"/>
              <w:left w:w="15" w:type="dxa"/>
              <w:right w:w="15" w:type="dxa"/>
            </w:tcMar>
            <w:vAlign w:val="center"/>
          </w:tcPr>
          <w:p w14:paraId="0517A4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0.185143</w:t>
            </w:r>
          </w:p>
        </w:tc>
        <w:tc>
          <w:tcPr>
            <w:tcW w:w="1122" w:type="dxa"/>
            <w:tcBorders>
              <w:tl2br w:val="nil"/>
              <w:tr2bl w:val="nil"/>
            </w:tcBorders>
            <w:noWrap/>
            <w:tcMar>
              <w:top w:w="15" w:type="dxa"/>
              <w:left w:w="15" w:type="dxa"/>
              <w:right w:w="15" w:type="dxa"/>
            </w:tcMar>
            <w:vAlign w:val="center"/>
          </w:tcPr>
          <w:p w14:paraId="217A77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0.318893</w:t>
            </w:r>
          </w:p>
        </w:tc>
        <w:tc>
          <w:tcPr>
            <w:tcW w:w="616" w:type="dxa"/>
            <w:tcBorders>
              <w:tl2br w:val="nil"/>
              <w:tr2bl w:val="nil"/>
            </w:tcBorders>
            <w:noWrap w:val="0"/>
            <w:tcMar>
              <w:top w:w="15" w:type="dxa"/>
              <w:left w:w="15" w:type="dxa"/>
              <w:right w:w="15" w:type="dxa"/>
            </w:tcMar>
            <w:vAlign w:val="center"/>
          </w:tcPr>
          <w:p w14:paraId="3DBD46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0.16</w:t>
            </w:r>
          </w:p>
        </w:tc>
        <w:tc>
          <w:tcPr>
            <w:tcW w:w="513" w:type="pct"/>
            <w:tcBorders>
              <w:tl2br w:val="nil"/>
              <w:tr2bl w:val="nil"/>
            </w:tcBorders>
            <w:noWrap w:val="0"/>
            <w:tcMar>
              <w:top w:w="15" w:type="dxa"/>
              <w:left w:w="15" w:type="dxa"/>
              <w:right w:w="15" w:type="dxa"/>
            </w:tcMar>
            <w:vAlign w:val="center"/>
          </w:tcPr>
          <w:p w14:paraId="7F0F40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7ADDF46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84" w:type="pct"/>
            <w:vMerge w:val="continue"/>
            <w:tcBorders>
              <w:tl2br w:val="nil"/>
              <w:tr2bl w:val="nil"/>
            </w:tcBorders>
            <w:noWrap/>
            <w:tcMar>
              <w:top w:w="15" w:type="dxa"/>
              <w:left w:w="15" w:type="dxa"/>
              <w:right w:w="15" w:type="dxa"/>
            </w:tcMar>
            <w:vAlign w:val="center"/>
          </w:tcPr>
          <w:p w14:paraId="59AA3D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p>
        </w:tc>
        <w:tc>
          <w:tcPr>
            <w:tcW w:w="1066" w:type="pct"/>
            <w:vMerge w:val="restart"/>
            <w:tcBorders>
              <w:tl2br w:val="nil"/>
              <w:tr2bl w:val="nil"/>
            </w:tcBorders>
            <w:noWrap w:val="0"/>
            <w:tcMar>
              <w:top w:w="15" w:type="dxa"/>
              <w:left w:w="15" w:type="dxa"/>
              <w:right w:w="15" w:type="dxa"/>
            </w:tcMar>
            <w:vAlign w:val="center"/>
          </w:tcPr>
          <w:p w14:paraId="6FA101EE">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i w:val="0"/>
                <w:color w:val="FF0000"/>
                <w:sz w:val="21"/>
                <w:szCs w:val="21"/>
                <w:highlight w:val="none"/>
                <w:u w:val="none"/>
                <w:lang w:val="en-US" w:eastAsia="zh-CN"/>
              </w:rPr>
              <w:t>原热电厂家属区</w:t>
            </w:r>
          </w:p>
        </w:tc>
        <w:tc>
          <w:tcPr>
            <w:tcW w:w="415" w:type="pct"/>
            <w:tcBorders>
              <w:tl2br w:val="nil"/>
              <w:tr2bl w:val="nil"/>
            </w:tcBorders>
            <w:noWrap w:val="0"/>
            <w:tcMar>
              <w:top w:w="15" w:type="dxa"/>
              <w:left w:w="15" w:type="dxa"/>
              <w:right w:w="15" w:type="dxa"/>
            </w:tcMar>
            <w:vAlign w:val="center"/>
          </w:tcPr>
          <w:p w14:paraId="5771AB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日平均</w:t>
            </w:r>
          </w:p>
        </w:tc>
        <w:tc>
          <w:tcPr>
            <w:tcW w:w="1062" w:type="dxa"/>
            <w:tcBorders>
              <w:tl2br w:val="nil"/>
              <w:tr2bl w:val="nil"/>
            </w:tcBorders>
            <w:noWrap w:val="0"/>
            <w:tcMar>
              <w:top w:w="15" w:type="dxa"/>
              <w:left w:w="15" w:type="dxa"/>
              <w:right w:w="15" w:type="dxa"/>
            </w:tcMar>
            <w:vAlign w:val="center"/>
          </w:tcPr>
          <w:p w14:paraId="6C3DC6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1.673</w:t>
            </w:r>
          </w:p>
        </w:tc>
        <w:tc>
          <w:tcPr>
            <w:tcW w:w="976" w:type="dxa"/>
            <w:tcBorders>
              <w:tl2br w:val="nil"/>
              <w:tr2bl w:val="nil"/>
            </w:tcBorders>
            <w:noWrap w:val="0"/>
            <w:tcMar>
              <w:top w:w="15" w:type="dxa"/>
              <w:left w:w="15" w:type="dxa"/>
              <w:right w:w="15" w:type="dxa"/>
            </w:tcMar>
            <w:vAlign w:val="center"/>
          </w:tcPr>
          <w:p w14:paraId="4885B8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240113</w:t>
            </w:r>
          </w:p>
        </w:tc>
        <w:tc>
          <w:tcPr>
            <w:tcW w:w="991" w:type="dxa"/>
            <w:tcBorders>
              <w:tl2br w:val="nil"/>
              <w:tr2bl w:val="nil"/>
            </w:tcBorders>
            <w:noWrap w:val="0"/>
            <w:tcMar>
              <w:top w:w="15" w:type="dxa"/>
              <w:left w:w="15" w:type="dxa"/>
              <w:right w:w="15" w:type="dxa"/>
            </w:tcMar>
            <w:vAlign w:val="center"/>
          </w:tcPr>
          <w:p w14:paraId="528FB4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0.187</w:t>
            </w:r>
          </w:p>
        </w:tc>
        <w:tc>
          <w:tcPr>
            <w:tcW w:w="1122" w:type="dxa"/>
            <w:tcBorders>
              <w:tl2br w:val="nil"/>
              <w:tr2bl w:val="nil"/>
            </w:tcBorders>
            <w:noWrap/>
            <w:tcMar>
              <w:top w:w="15" w:type="dxa"/>
              <w:left w:w="15" w:type="dxa"/>
              <w:right w:w="15" w:type="dxa"/>
            </w:tcMar>
            <w:vAlign w:val="center"/>
          </w:tcPr>
          <w:p w14:paraId="5BDA68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1.86</w:t>
            </w:r>
          </w:p>
        </w:tc>
        <w:tc>
          <w:tcPr>
            <w:tcW w:w="616" w:type="dxa"/>
            <w:tcBorders>
              <w:tl2br w:val="nil"/>
              <w:tr2bl w:val="nil"/>
            </w:tcBorders>
            <w:noWrap w:val="0"/>
            <w:tcMar>
              <w:top w:w="15" w:type="dxa"/>
              <w:left w:w="15" w:type="dxa"/>
              <w:right w:w="15" w:type="dxa"/>
            </w:tcMar>
            <w:vAlign w:val="center"/>
          </w:tcPr>
          <w:p w14:paraId="7CFDEF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0.62</w:t>
            </w:r>
          </w:p>
        </w:tc>
        <w:tc>
          <w:tcPr>
            <w:tcW w:w="513" w:type="pct"/>
            <w:tcBorders>
              <w:tl2br w:val="nil"/>
              <w:tr2bl w:val="nil"/>
            </w:tcBorders>
            <w:noWrap w:val="0"/>
            <w:tcMar>
              <w:top w:w="15" w:type="dxa"/>
              <w:left w:w="15" w:type="dxa"/>
              <w:right w:w="15" w:type="dxa"/>
            </w:tcMar>
            <w:vAlign w:val="center"/>
          </w:tcPr>
          <w:p w14:paraId="1112D4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2370507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84" w:type="pct"/>
            <w:vMerge w:val="continue"/>
            <w:tcBorders>
              <w:tl2br w:val="nil"/>
              <w:tr2bl w:val="nil"/>
            </w:tcBorders>
            <w:noWrap/>
            <w:tcMar>
              <w:top w:w="15" w:type="dxa"/>
              <w:left w:w="15" w:type="dxa"/>
              <w:right w:w="15" w:type="dxa"/>
            </w:tcMar>
            <w:vAlign w:val="center"/>
          </w:tcPr>
          <w:p w14:paraId="03AE83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p>
        </w:tc>
        <w:tc>
          <w:tcPr>
            <w:tcW w:w="1066" w:type="pct"/>
            <w:vMerge w:val="continue"/>
            <w:tcBorders>
              <w:tl2br w:val="nil"/>
              <w:tr2bl w:val="nil"/>
            </w:tcBorders>
            <w:noWrap w:val="0"/>
            <w:tcMar>
              <w:top w:w="15" w:type="dxa"/>
              <w:left w:w="15" w:type="dxa"/>
              <w:right w:w="15" w:type="dxa"/>
            </w:tcMar>
            <w:vAlign w:val="center"/>
          </w:tcPr>
          <w:p w14:paraId="291EB805">
            <w:pPr>
              <w:pStyle w:val="12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FF0000"/>
                <w:kern w:val="2"/>
                <w:sz w:val="21"/>
                <w:szCs w:val="21"/>
                <w:highlight w:val="none"/>
                <w:lang w:val="en-US" w:eastAsia="zh-CN"/>
              </w:rPr>
            </w:pPr>
          </w:p>
        </w:tc>
        <w:tc>
          <w:tcPr>
            <w:tcW w:w="415" w:type="pct"/>
            <w:tcBorders>
              <w:tl2br w:val="nil"/>
              <w:tr2bl w:val="nil"/>
            </w:tcBorders>
            <w:noWrap w:val="0"/>
            <w:tcMar>
              <w:top w:w="15" w:type="dxa"/>
              <w:left w:w="15" w:type="dxa"/>
              <w:right w:w="15" w:type="dxa"/>
            </w:tcMar>
            <w:vAlign w:val="center"/>
          </w:tcPr>
          <w:p w14:paraId="3B4D12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年平均</w:t>
            </w:r>
          </w:p>
        </w:tc>
        <w:tc>
          <w:tcPr>
            <w:tcW w:w="1062" w:type="dxa"/>
            <w:tcBorders>
              <w:tl2br w:val="nil"/>
              <w:tr2bl w:val="nil"/>
            </w:tcBorders>
            <w:noWrap w:val="0"/>
            <w:tcMar>
              <w:top w:w="15" w:type="dxa"/>
              <w:left w:w="15" w:type="dxa"/>
              <w:right w:w="15" w:type="dxa"/>
            </w:tcMar>
            <w:vAlign w:val="center"/>
          </w:tcPr>
          <w:p w14:paraId="279081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0.03796</w:t>
            </w:r>
          </w:p>
        </w:tc>
        <w:tc>
          <w:tcPr>
            <w:tcW w:w="976" w:type="dxa"/>
            <w:tcBorders>
              <w:tl2br w:val="nil"/>
              <w:tr2bl w:val="nil"/>
            </w:tcBorders>
            <w:noWrap w:val="0"/>
            <w:tcMar>
              <w:top w:w="15" w:type="dxa"/>
              <w:left w:w="15" w:type="dxa"/>
              <w:right w:w="15" w:type="dxa"/>
            </w:tcMar>
            <w:vAlign w:val="center"/>
          </w:tcPr>
          <w:p w14:paraId="1DAA18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平均值</w:t>
            </w:r>
          </w:p>
        </w:tc>
        <w:tc>
          <w:tcPr>
            <w:tcW w:w="991" w:type="dxa"/>
            <w:tcBorders>
              <w:tl2br w:val="nil"/>
              <w:tr2bl w:val="nil"/>
            </w:tcBorders>
            <w:noWrap w:val="0"/>
            <w:tcMar>
              <w:top w:w="15" w:type="dxa"/>
              <w:left w:w="15" w:type="dxa"/>
              <w:right w:w="15" w:type="dxa"/>
            </w:tcMar>
            <w:vAlign w:val="center"/>
          </w:tcPr>
          <w:p w14:paraId="614022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0.185143</w:t>
            </w:r>
          </w:p>
        </w:tc>
        <w:tc>
          <w:tcPr>
            <w:tcW w:w="1122" w:type="dxa"/>
            <w:tcBorders>
              <w:tl2br w:val="nil"/>
              <w:tr2bl w:val="nil"/>
            </w:tcBorders>
            <w:noWrap/>
            <w:tcMar>
              <w:top w:w="15" w:type="dxa"/>
              <w:left w:w="15" w:type="dxa"/>
              <w:right w:w="15" w:type="dxa"/>
            </w:tcMar>
            <w:vAlign w:val="center"/>
          </w:tcPr>
          <w:p w14:paraId="4A9155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0.223103</w:t>
            </w:r>
          </w:p>
        </w:tc>
        <w:tc>
          <w:tcPr>
            <w:tcW w:w="616" w:type="dxa"/>
            <w:tcBorders>
              <w:tl2br w:val="nil"/>
              <w:tr2bl w:val="nil"/>
            </w:tcBorders>
            <w:noWrap w:val="0"/>
            <w:tcMar>
              <w:top w:w="15" w:type="dxa"/>
              <w:left w:w="15" w:type="dxa"/>
              <w:right w:w="15" w:type="dxa"/>
            </w:tcMar>
            <w:vAlign w:val="center"/>
          </w:tcPr>
          <w:p w14:paraId="01B046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0.11</w:t>
            </w:r>
          </w:p>
        </w:tc>
        <w:tc>
          <w:tcPr>
            <w:tcW w:w="513" w:type="pct"/>
            <w:tcBorders>
              <w:tl2br w:val="nil"/>
              <w:tr2bl w:val="nil"/>
            </w:tcBorders>
            <w:noWrap w:val="0"/>
            <w:tcMar>
              <w:top w:w="15" w:type="dxa"/>
              <w:left w:w="15" w:type="dxa"/>
              <w:right w:w="15" w:type="dxa"/>
            </w:tcMar>
            <w:vAlign w:val="center"/>
          </w:tcPr>
          <w:p w14:paraId="61FDB4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04018B7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84" w:type="pct"/>
            <w:vMerge w:val="continue"/>
            <w:tcBorders>
              <w:tl2br w:val="nil"/>
              <w:tr2bl w:val="nil"/>
            </w:tcBorders>
            <w:noWrap/>
            <w:tcMar>
              <w:top w:w="15" w:type="dxa"/>
              <w:left w:w="15" w:type="dxa"/>
              <w:right w:w="15" w:type="dxa"/>
            </w:tcMar>
            <w:vAlign w:val="center"/>
          </w:tcPr>
          <w:p w14:paraId="5F8548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p>
        </w:tc>
        <w:tc>
          <w:tcPr>
            <w:tcW w:w="1066" w:type="pct"/>
            <w:vMerge w:val="restart"/>
            <w:tcBorders>
              <w:tl2br w:val="nil"/>
              <w:tr2bl w:val="nil"/>
            </w:tcBorders>
            <w:noWrap w:val="0"/>
            <w:tcMar>
              <w:top w:w="15" w:type="dxa"/>
              <w:left w:w="15" w:type="dxa"/>
              <w:right w:w="15" w:type="dxa"/>
            </w:tcMar>
            <w:vAlign w:val="center"/>
          </w:tcPr>
          <w:p w14:paraId="11A67BF7">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i w:val="0"/>
                <w:color w:val="FF0000"/>
                <w:sz w:val="21"/>
                <w:szCs w:val="21"/>
                <w:highlight w:val="none"/>
                <w:u w:val="none"/>
                <w:lang w:val="en-US" w:eastAsia="zh-CN"/>
              </w:rPr>
              <w:t>黑锻新城小区</w:t>
            </w:r>
          </w:p>
        </w:tc>
        <w:tc>
          <w:tcPr>
            <w:tcW w:w="415" w:type="pct"/>
            <w:tcBorders>
              <w:tl2br w:val="nil"/>
              <w:tr2bl w:val="nil"/>
            </w:tcBorders>
            <w:noWrap w:val="0"/>
            <w:tcMar>
              <w:top w:w="15" w:type="dxa"/>
              <w:left w:w="15" w:type="dxa"/>
              <w:right w:w="15" w:type="dxa"/>
            </w:tcMar>
            <w:vAlign w:val="center"/>
          </w:tcPr>
          <w:p w14:paraId="07DAAC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日平均</w:t>
            </w:r>
          </w:p>
        </w:tc>
        <w:tc>
          <w:tcPr>
            <w:tcW w:w="1062" w:type="dxa"/>
            <w:tcBorders>
              <w:tl2br w:val="nil"/>
              <w:tr2bl w:val="nil"/>
            </w:tcBorders>
            <w:noWrap w:val="0"/>
            <w:tcMar>
              <w:top w:w="15" w:type="dxa"/>
              <w:left w:w="15" w:type="dxa"/>
              <w:right w:w="15" w:type="dxa"/>
            </w:tcMar>
            <w:vAlign w:val="center"/>
          </w:tcPr>
          <w:p w14:paraId="6FA60D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0.46466</w:t>
            </w:r>
          </w:p>
        </w:tc>
        <w:tc>
          <w:tcPr>
            <w:tcW w:w="976" w:type="dxa"/>
            <w:tcBorders>
              <w:tl2br w:val="nil"/>
              <w:tr2bl w:val="nil"/>
            </w:tcBorders>
            <w:noWrap w:val="0"/>
            <w:tcMar>
              <w:top w:w="15" w:type="dxa"/>
              <w:left w:w="15" w:type="dxa"/>
              <w:right w:w="15" w:type="dxa"/>
            </w:tcMar>
            <w:vAlign w:val="center"/>
          </w:tcPr>
          <w:p w14:paraId="6BB8C8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240228</w:t>
            </w:r>
          </w:p>
        </w:tc>
        <w:tc>
          <w:tcPr>
            <w:tcW w:w="991" w:type="dxa"/>
            <w:tcBorders>
              <w:tl2br w:val="nil"/>
              <w:tr2bl w:val="nil"/>
            </w:tcBorders>
            <w:noWrap w:val="0"/>
            <w:tcMar>
              <w:top w:w="15" w:type="dxa"/>
              <w:left w:w="15" w:type="dxa"/>
              <w:right w:w="15" w:type="dxa"/>
            </w:tcMar>
            <w:vAlign w:val="center"/>
          </w:tcPr>
          <w:p w14:paraId="798852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0.187</w:t>
            </w:r>
          </w:p>
        </w:tc>
        <w:tc>
          <w:tcPr>
            <w:tcW w:w="1122" w:type="dxa"/>
            <w:tcBorders>
              <w:tl2br w:val="nil"/>
              <w:tr2bl w:val="nil"/>
            </w:tcBorders>
            <w:noWrap/>
            <w:tcMar>
              <w:top w:w="15" w:type="dxa"/>
              <w:left w:w="15" w:type="dxa"/>
              <w:right w:w="15" w:type="dxa"/>
            </w:tcMar>
            <w:vAlign w:val="center"/>
          </w:tcPr>
          <w:p w14:paraId="2F962A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0.65166</w:t>
            </w:r>
          </w:p>
        </w:tc>
        <w:tc>
          <w:tcPr>
            <w:tcW w:w="616" w:type="dxa"/>
            <w:tcBorders>
              <w:tl2br w:val="nil"/>
              <w:tr2bl w:val="nil"/>
            </w:tcBorders>
            <w:noWrap w:val="0"/>
            <w:tcMar>
              <w:top w:w="15" w:type="dxa"/>
              <w:left w:w="15" w:type="dxa"/>
              <w:right w:w="15" w:type="dxa"/>
            </w:tcMar>
            <w:vAlign w:val="center"/>
          </w:tcPr>
          <w:p w14:paraId="2A7E7B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0.22</w:t>
            </w:r>
          </w:p>
        </w:tc>
        <w:tc>
          <w:tcPr>
            <w:tcW w:w="513" w:type="pct"/>
            <w:tcBorders>
              <w:tl2br w:val="nil"/>
              <w:tr2bl w:val="nil"/>
            </w:tcBorders>
            <w:noWrap w:val="0"/>
            <w:tcMar>
              <w:top w:w="15" w:type="dxa"/>
              <w:left w:w="15" w:type="dxa"/>
              <w:right w:w="15" w:type="dxa"/>
            </w:tcMar>
            <w:vAlign w:val="center"/>
          </w:tcPr>
          <w:p w14:paraId="38B416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4044846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84" w:type="pct"/>
            <w:vMerge w:val="continue"/>
            <w:tcBorders>
              <w:tl2br w:val="nil"/>
              <w:tr2bl w:val="nil"/>
            </w:tcBorders>
            <w:noWrap/>
            <w:tcMar>
              <w:top w:w="15" w:type="dxa"/>
              <w:left w:w="15" w:type="dxa"/>
              <w:right w:w="15" w:type="dxa"/>
            </w:tcMar>
            <w:vAlign w:val="center"/>
          </w:tcPr>
          <w:p w14:paraId="35923A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p>
        </w:tc>
        <w:tc>
          <w:tcPr>
            <w:tcW w:w="1066" w:type="pct"/>
            <w:vMerge w:val="continue"/>
            <w:tcBorders>
              <w:tl2br w:val="nil"/>
              <w:tr2bl w:val="nil"/>
            </w:tcBorders>
            <w:noWrap w:val="0"/>
            <w:tcMar>
              <w:top w:w="15" w:type="dxa"/>
              <w:left w:w="15" w:type="dxa"/>
              <w:right w:w="15" w:type="dxa"/>
            </w:tcMar>
            <w:vAlign w:val="center"/>
          </w:tcPr>
          <w:p w14:paraId="703C9730">
            <w:pPr>
              <w:pStyle w:val="12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FF0000"/>
                <w:kern w:val="2"/>
                <w:sz w:val="21"/>
                <w:szCs w:val="21"/>
                <w:highlight w:val="none"/>
                <w:lang w:val="en-US" w:eastAsia="zh-CN"/>
              </w:rPr>
            </w:pPr>
          </w:p>
        </w:tc>
        <w:tc>
          <w:tcPr>
            <w:tcW w:w="415" w:type="pct"/>
            <w:tcBorders>
              <w:tl2br w:val="nil"/>
              <w:tr2bl w:val="nil"/>
            </w:tcBorders>
            <w:noWrap w:val="0"/>
            <w:tcMar>
              <w:top w:w="15" w:type="dxa"/>
              <w:left w:w="15" w:type="dxa"/>
              <w:right w:w="15" w:type="dxa"/>
            </w:tcMar>
            <w:vAlign w:val="center"/>
          </w:tcPr>
          <w:p w14:paraId="384DD5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年平均</w:t>
            </w:r>
          </w:p>
        </w:tc>
        <w:tc>
          <w:tcPr>
            <w:tcW w:w="1062" w:type="dxa"/>
            <w:tcBorders>
              <w:tl2br w:val="nil"/>
              <w:tr2bl w:val="nil"/>
            </w:tcBorders>
            <w:noWrap w:val="0"/>
            <w:tcMar>
              <w:top w:w="15" w:type="dxa"/>
              <w:left w:w="15" w:type="dxa"/>
              <w:right w:w="15" w:type="dxa"/>
            </w:tcMar>
            <w:vAlign w:val="center"/>
          </w:tcPr>
          <w:p w14:paraId="257281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0.01146</w:t>
            </w:r>
          </w:p>
        </w:tc>
        <w:tc>
          <w:tcPr>
            <w:tcW w:w="976" w:type="dxa"/>
            <w:tcBorders>
              <w:tl2br w:val="nil"/>
              <w:tr2bl w:val="nil"/>
            </w:tcBorders>
            <w:noWrap w:val="0"/>
            <w:tcMar>
              <w:top w:w="15" w:type="dxa"/>
              <w:left w:w="15" w:type="dxa"/>
              <w:right w:w="15" w:type="dxa"/>
            </w:tcMar>
            <w:vAlign w:val="center"/>
          </w:tcPr>
          <w:p w14:paraId="716648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平均值</w:t>
            </w:r>
          </w:p>
        </w:tc>
        <w:tc>
          <w:tcPr>
            <w:tcW w:w="991" w:type="dxa"/>
            <w:tcBorders>
              <w:tl2br w:val="nil"/>
              <w:tr2bl w:val="nil"/>
            </w:tcBorders>
            <w:noWrap w:val="0"/>
            <w:tcMar>
              <w:top w:w="15" w:type="dxa"/>
              <w:left w:w="15" w:type="dxa"/>
              <w:right w:w="15" w:type="dxa"/>
            </w:tcMar>
            <w:vAlign w:val="center"/>
          </w:tcPr>
          <w:p w14:paraId="673E77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0.185143</w:t>
            </w:r>
          </w:p>
        </w:tc>
        <w:tc>
          <w:tcPr>
            <w:tcW w:w="1122" w:type="dxa"/>
            <w:tcBorders>
              <w:tl2br w:val="nil"/>
              <w:tr2bl w:val="nil"/>
            </w:tcBorders>
            <w:noWrap/>
            <w:tcMar>
              <w:top w:w="15" w:type="dxa"/>
              <w:left w:w="15" w:type="dxa"/>
              <w:right w:w="15" w:type="dxa"/>
            </w:tcMar>
            <w:vAlign w:val="center"/>
          </w:tcPr>
          <w:p w14:paraId="7BC8C8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0.196603</w:t>
            </w:r>
          </w:p>
        </w:tc>
        <w:tc>
          <w:tcPr>
            <w:tcW w:w="616" w:type="dxa"/>
            <w:tcBorders>
              <w:tl2br w:val="nil"/>
              <w:tr2bl w:val="nil"/>
            </w:tcBorders>
            <w:noWrap w:val="0"/>
            <w:tcMar>
              <w:top w:w="15" w:type="dxa"/>
              <w:left w:w="15" w:type="dxa"/>
              <w:right w:w="15" w:type="dxa"/>
            </w:tcMar>
            <w:vAlign w:val="center"/>
          </w:tcPr>
          <w:p w14:paraId="405ACC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0.10</w:t>
            </w:r>
          </w:p>
        </w:tc>
        <w:tc>
          <w:tcPr>
            <w:tcW w:w="513" w:type="pct"/>
            <w:tcBorders>
              <w:tl2br w:val="nil"/>
              <w:tr2bl w:val="nil"/>
            </w:tcBorders>
            <w:noWrap w:val="0"/>
            <w:tcMar>
              <w:top w:w="15" w:type="dxa"/>
              <w:left w:w="15" w:type="dxa"/>
              <w:right w:w="15" w:type="dxa"/>
            </w:tcMar>
            <w:vAlign w:val="center"/>
          </w:tcPr>
          <w:p w14:paraId="645DAD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45B2193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84" w:type="pct"/>
            <w:vMerge w:val="continue"/>
            <w:tcBorders>
              <w:tl2br w:val="nil"/>
              <w:tr2bl w:val="nil"/>
            </w:tcBorders>
            <w:noWrap/>
            <w:tcMar>
              <w:top w:w="15" w:type="dxa"/>
              <w:left w:w="15" w:type="dxa"/>
              <w:right w:w="15" w:type="dxa"/>
            </w:tcMar>
            <w:vAlign w:val="center"/>
          </w:tcPr>
          <w:p w14:paraId="111846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p>
        </w:tc>
        <w:tc>
          <w:tcPr>
            <w:tcW w:w="1066" w:type="pct"/>
            <w:vMerge w:val="restart"/>
            <w:tcBorders>
              <w:tl2br w:val="nil"/>
              <w:tr2bl w:val="nil"/>
            </w:tcBorders>
            <w:noWrap w:val="0"/>
            <w:tcMar>
              <w:top w:w="15" w:type="dxa"/>
              <w:left w:w="15" w:type="dxa"/>
              <w:right w:w="15" w:type="dxa"/>
            </w:tcMar>
            <w:vAlign w:val="center"/>
          </w:tcPr>
          <w:p w14:paraId="1837B84C">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i w:val="0"/>
                <w:color w:val="FF0000"/>
                <w:sz w:val="21"/>
                <w:szCs w:val="21"/>
                <w:highlight w:val="none"/>
                <w:u w:val="none"/>
                <w:lang w:val="en-US" w:eastAsia="zh-CN"/>
              </w:rPr>
              <w:t>东侧市区（绿云社区）</w:t>
            </w:r>
          </w:p>
        </w:tc>
        <w:tc>
          <w:tcPr>
            <w:tcW w:w="415" w:type="pct"/>
            <w:tcBorders>
              <w:tl2br w:val="nil"/>
              <w:tr2bl w:val="nil"/>
            </w:tcBorders>
            <w:noWrap w:val="0"/>
            <w:tcMar>
              <w:top w:w="15" w:type="dxa"/>
              <w:left w:w="15" w:type="dxa"/>
              <w:right w:w="15" w:type="dxa"/>
            </w:tcMar>
            <w:vAlign w:val="center"/>
          </w:tcPr>
          <w:p w14:paraId="7E6B2D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日平均</w:t>
            </w:r>
          </w:p>
        </w:tc>
        <w:tc>
          <w:tcPr>
            <w:tcW w:w="1062" w:type="dxa"/>
            <w:tcBorders>
              <w:tl2br w:val="nil"/>
              <w:tr2bl w:val="nil"/>
            </w:tcBorders>
            <w:noWrap w:val="0"/>
            <w:tcMar>
              <w:top w:w="15" w:type="dxa"/>
              <w:left w:w="15" w:type="dxa"/>
              <w:right w:w="15" w:type="dxa"/>
            </w:tcMar>
            <w:vAlign w:val="center"/>
          </w:tcPr>
          <w:p w14:paraId="0955DC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0.58809</w:t>
            </w:r>
          </w:p>
        </w:tc>
        <w:tc>
          <w:tcPr>
            <w:tcW w:w="976" w:type="dxa"/>
            <w:tcBorders>
              <w:tl2br w:val="nil"/>
              <w:tr2bl w:val="nil"/>
            </w:tcBorders>
            <w:noWrap w:val="0"/>
            <w:tcMar>
              <w:top w:w="15" w:type="dxa"/>
              <w:left w:w="15" w:type="dxa"/>
              <w:right w:w="15" w:type="dxa"/>
            </w:tcMar>
            <w:vAlign w:val="center"/>
          </w:tcPr>
          <w:p w14:paraId="038287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240225</w:t>
            </w:r>
          </w:p>
        </w:tc>
        <w:tc>
          <w:tcPr>
            <w:tcW w:w="991" w:type="dxa"/>
            <w:tcBorders>
              <w:tl2br w:val="nil"/>
              <w:tr2bl w:val="nil"/>
            </w:tcBorders>
            <w:noWrap w:val="0"/>
            <w:tcMar>
              <w:top w:w="15" w:type="dxa"/>
              <w:left w:w="15" w:type="dxa"/>
              <w:right w:w="15" w:type="dxa"/>
            </w:tcMar>
            <w:vAlign w:val="center"/>
          </w:tcPr>
          <w:p w14:paraId="473FC3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0.187</w:t>
            </w:r>
          </w:p>
        </w:tc>
        <w:tc>
          <w:tcPr>
            <w:tcW w:w="1122" w:type="dxa"/>
            <w:tcBorders>
              <w:tl2br w:val="nil"/>
              <w:tr2bl w:val="nil"/>
            </w:tcBorders>
            <w:noWrap/>
            <w:tcMar>
              <w:top w:w="15" w:type="dxa"/>
              <w:left w:w="15" w:type="dxa"/>
              <w:right w:w="15" w:type="dxa"/>
            </w:tcMar>
            <w:vAlign w:val="center"/>
          </w:tcPr>
          <w:p w14:paraId="65048D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0.77509</w:t>
            </w:r>
          </w:p>
        </w:tc>
        <w:tc>
          <w:tcPr>
            <w:tcW w:w="616" w:type="dxa"/>
            <w:tcBorders>
              <w:tl2br w:val="nil"/>
              <w:tr2bl w:val="nil"/>
            </w:tcBorders>
            <w:noWrap w:val="0"/>
            <w:tcMar>
              <w:top w:w="15" w:type="dxa"/>
              <w:left w:w="15" w:type="dxa"/>
              <w:right w:w="15" w:type="dxa"/>
            </w:tcMar>
            <w:vAlign w:val="center"/>
          </w:tcPr>
          <w:p w14:paraId="3AF7EF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0.26</w:t>
            </w:r>
          </w:p>
        </w:tc>
        <w:tc>
          <w:tcPr>
            <w:tcW w:w="513" w:type="pct"/>
            <w:tcBorders>
              <w:tl2br w:val="nil"/>
              <w:tr2bl w:val="nil"/>
            </w:tcBorders>
            <w:noWrap w:val="0"/>
            <w:tcMar>
              <w:top w:w="15" w:type="dxa"/>
              <w:left w:w="15" w:type="dxa"/>
              <w:right w:w="15" w:type="dxa"/>
            </w:tcMar>
            <w:vAlign w:val="center"/>
          </w:tcPr>
          <w:p w14:paraId="33C622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1C75E59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84" w:type="pct"/>
            <w:vMerge w:val="continue"/>
            <w:tcBorders>
              <w:tl2br w:val="nil"/>
              <w:tr2bl w:val="nil"/>
            </w:tcBorders>
            <w:noWrap/>
            <w:tcMar>
              <w:top w:w="15" w:type="dxa"/>
              <w:left w:w="15" w:type="dxa"/>
              <w:right w:w="15" w:type="dxa"/>
            </w:tcMar>
            <w:vAlign w:val="center"/>
          </w:tcPr>
          <w:p w14:paraId="360B5E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p>
        </w:tc>
        <w:tc>
          <w:tcPr>
            <w:tcW w:w="1066" w:type="pct"/>
            <w:vMerge w:val="continue"/>
            <w:tcBorders>
              <w:tl2br w:val="nil"/>
              <w:tr2bl w:val="nil"/>
            </w:tcBorders>
            <w:noWrap w:val="0"/>
            <w:tcMar>
              <w:top w:w="15" w:type="dxa"/>
              <w:left w:w="15" w:type="dxa"/>
              <w:right w:w="15" w:type="dxa"/>
            </w:tcMar>
            <w:vAlign w:val="center"/>
          </w:tcPr>
          <w:p w14:paraId="3EDEF508">
            <w:pPr>
              <w:pStyle w:val="12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FF0000"/>
                <w:kern w:val="2"/>
                <w:sz w:val="21"/>
                <w:szCs w:val="21"/>
                <w:highlight w:val="none"/>
                <w:lang w:val="en-US" w:eastAsia="zh-CN"/>
              </w:rPr>
            </w:pPr>
          </w:p>
        </w:tc>
        <w:tc>
          <w:tcPr>
            <w:tcW w:w="415" w:type="pct"/>
            <w:tcBorders>
              <w:tl2br w:val="nil"/>
              <w:tr2bl w:val="nil"/>
            </w:tcBorders>
            <w:noWrap w:val="0"/>
            <w:tcMar>
              <w:top w:w="15" w:type="dxa"/>
              <w:left w:w="15" w:type="dxa"/>
              <w:right w:w="15" w:type="dxa"/>
            </w:tcMar>
            <w:vAlign w:val="center"/>
          </w:tcPr>
          <w:p w14:paraId="35534D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年平均</w:t>
            </w:r>
          </w:p>
        </w:tc>
        <w:tc>
          <w:tcPr>
            <w:tcW w:w="1062" w:type="dxa"/>
            <w:tcBorders>
              <w:tl2br w:val="nil"/>
              <w:tr2bl w:val="nil"/>
            </w:tcBorders>
            <w:noWrap w:val="0"/>
            <w:tcMar>
              <w:top w:w="15" w:type="dxa"/>
              <w:left w:w="15" w:type="dxa"/>
              <w:right w:w="15" w:type="dxa"/>
            </w:tcMar>
            <w:vAlign w:val="center"/>
          </w:tcPr>
          <w:p w14:paraId="199AAE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0.03361</w:t>
            </w:r>
          </w:p>
        </w:tc>
        <w:tc>
          <w:tcPr>
            <w:tcW w:w="976" w:type="dxa"/>
            <w:tcBorders>
              <w:tl2br w:val="nil"/>
              <w:tr2bl w:val="nil"/>
            </w:tcBorders>
            <w:noWrap w:val="0"/>
            <w:tcMar>
              <w:top w:w="15" w:type="dxa"/>
              <w:left w:w="15" w:type="dxa"/>
              <w:right w:w="15" w:type="dxa"/>
            </w:tcMar>
            <w:vAlign w:val="center"/>
          </w:tcPr>
          <w:p w14:paraId="381E8B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平均值</w:t>
            </w:r>
          </w:p>
        </w:tc>
        <w:tc>
          <w:tcPr>
            <w:tcW w:w="991" w:type="dxa"/>
            <w:tcBorders>
              <w:tl2br w:val="nil"/>
              <w:tr2bl w:val="nil"/>
            </w:tcBorders>
            <w:noWrap w:val="0"/>
            <w:tcMar>
              <w:top w:w="15" w:type="dxa"/>
              <w:left w:w="15" w:type="dxa"/>
              <w:right w:w="15" w:type="dxa"/>
            </w:tcMar>
            <w:vAlign w:val="center"/>
          </w:tcPr>
          <w:p w14:paraId="0ED89B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0.185143</w:t>
            </w:r>
          </w:p>
        </w:tc>
        <w:tc>
          <w:tcPr>
            <w:tcW w:w="1122" w:type="dxa"/>
            <w:tcBorders>
              <w:tl2br w:val="nil"/>
              <w:tr2bl w:val="nil"/>
            </w:tcBorders>
            <w:noWrap/>
            <w:tcMar>
              <w:top w:w="15" w:type="dxa"/>
              <w:left w:w="15" w:type="dxa"/>
              <w:right w:w="15" w:type="dxa"/>
            </w:tcMar>
            <w:vAlign w:val="center"/>
          </w:tcPr>
          <w:p w14:paraId="7457BE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0.218753</w:t>
            </w:r>
          </w:p>
        </w:tc>
        <w:tc>
          <w:tcPr>
            <w:tcW w:w="616" w:type="dxa"/>
            <w:tcBorders>
              <w:tl2br w:val="nil"/>
              <w:tr2bl w:val="nil"/>
            </w:tcBorders>
            <w:noWrap w:val="0"/>
            <w:tcMar>
              <w:top w:w="15" w:type="dxa"/>
              <w:left w:w="15" w:type="dxa"/>
              <w:right w:w="15" w:type="dxa"/>
            </w:tcMar>
            <w:vAlign w:val="center"/>
          </w:tcPr>
          <w:p w14:paraId="178E31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0.11</w:t>
            </w:r>
          </w:p>
        </w:tc>
        <w:tc>
          <w:tcPr>
            <w:tcW w:w="513" w:type="pct"/>
            <w:tcBorders>
              <w:tl2br w:val="nil"/>
              <w:tr2bl w:val="nil"/>
            </w:tcBorders>
            <w:noWrap w:val="0"/>
            <w:tcMar>
              <w:top w:w="15" w:type="dxa"/>
              <w:left w:w="15" w:type="dxa"/>
              <w:right w:w="15" w:type="dxa"/>
            </w:tcMar>
            <w:vAlign w:val="center"/>
          </w:tcPr>
          <w:p w14:paraId="2DD77B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4731FAF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84" w:type="pct"/>
            <w:vMerge w:val="continue"/>
            <w:tcBorders>
              <w:tl2br w:val="nil"/>
              <w:tr2bl w:val="nil"/>
            </w:tcBorders>
            <w:noWrap/>
            <w:tcMar>
              <w:top w:w="15" w:type="dxa"/>
              <w:left w:w="15" w:type="dxa"/>
              <w:right w:w="15" w:type="dxa"/>
            </w:tcMar>
            <w:vAlign w:val="center"/>
          </w:tcPr>
          <w:p w14:paraId="1654ED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p>
        </w:tc>
        <w:tc>
          <w:tcPr>
            <w:tcW w:w="1066" w:type="pct"/>
            <w:vMerge w:val="restart"/>
            <w:tcBorders>
              <w:tl2br w:val="nil"/>
              <w:tr2bl w:val="nil"/>
            </w:tcBorders>
            <w:noWrap w:val="0"/>
            <w:tcMar>
              <w:top w:w="15" w:type="dxa"/>
              <w:left w:w="15" w:type="dxa"/>
              <w:right w:w="15" w:type="dxa"/>
            </w:tcMar>
            <w:vAlign w:val="center"/>
          </w:tcPr>
          <w:p w14:paraId="40915419">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南侧市区（佳木斯市第十六中学）</w:t>
            </w:r>
          </w:p>
        </w:tc>
        <w:tc>
          <w:tcPr>
            <w:tcW w:w="415" w:type="pct"/>
            <w:tcBorders>
              <w:tl2br w:val="nil"/>
              <w:tr2bl w:val="nil"/>
            </w:tcBorders>
            <w:noWrap w:val="0"/>
            <w:tcMar>
              <w:top w:w="15" w:type="dxa"/>
              <w:left w:w="15" w:type="dxa"/>
              <w:right w:w="15" w:type="dxa"/>
            </w:tcMar>
            <w:vAlign w:val="center"/>
          </w:tcPr>
          <w:p w14:paraId="1BFF18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日平均</w:t>
            </w:r>
          </w:p>
        </w:tc>
        <w:tc>
          <w:tcPr>
            <w:tcW w:w="1062" w:type="dxa"/>
            <w:tcBorders>
              <w:tl2br w:val="nil"/>
              <w:tr2bl w:val="nil"/>
            </w:tcBorders>
            <w:noWrap w:val="0"/>
            <w:tcMar>
              <w:top w:w="15" w:type="dxa"/>
              <w:left w:w="15" w:type="dxa"/>
              <w:right w:w="15" w:type="dxa"/>
            </w:tcMar>
            <w:vAlign w:val="center"/>
          </w:tcPr>
          <w:p w14:paraId="60BD07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0.43967</w:t>
            </w:r>
          </w:p>
        </w:tc>
        <w:tc>
          <w:tcPr>
            <w:tcW w:w="976" w:type="dxa"/>
            <w:tcBorders>
              <w:tl2br w:val="nil"/>
              <w:tr2bl w:val="nil"/>
            </w:tcBorders>
            <w:noWrap w:val="0"/>
            <w:tcMar>
              <w:top w:w="15" w:type="dxa"/>
              <w:left w:w="15" w:type="dxa"/>
              <w:right w:w="15" w:type="dxa"/>
            </w:tcMar>
            <w:vAlign w:val="center"/>
          </w:tcPr>
          <w:p w14:paraId="1ABFBD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241230</w:t>
            </w:r>
          </w:p>
        </w:tc>
        <w:tc>
          <w:tcPr>
            <w:tcW w:w="991" w:type="dxa"/>
            <w:tcBorders>
              <w:tl2br w:val="nil"/>
              <w:tr2bl w:val="nil"/>
            </w:tcBorders>
            <w:noWrap w:val="0"/>
            <w:tcMar>
              <w:top w:w="15" w:type="dxa"/>
              <w:left w:w="15" w:type="dxa"/>
              <w:right w:w="15" w:type="dxa"/>
            </w:tcMar>
            <w:vAlign w:val="center"/>
          </w:tcPr>
          <w:p w14:paraId="719CEB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0.187</w:t>
            </w:r>
          </w:p>
        </w:tc>
        <w:tc>
          <w:tcPr>
            <w:tcW w:w="1122" w:type="dxa"/>
            <w:tcBorders>
              <w:tl2br w:val="nil"/>
              <w:tr2bl w:val="nil"/>
            </w:tcBorders>
            <w:noWrap/>
            <w:tcMar>
              <w:top w:w="15" w:type="dxa"/>
              <w:left w:w="15" w:type="dxa"/>
              <w:right w:w="15" w:type="dxa"/>
            </w:tcMar>
            <w:vAlign w:val="center"/>
          </w:tcPr>
          <w:p w14:paraId="30CC1D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0.62667</w:t>
            </w:r>
          </w:p>
        </w:tc>
        <w:tc>
          <w:tcPr>
            <w:tcW w:w="616" w:type="dxa"/>
            <w:tcBorders>
              <w:tl2br w:val="nil"/>
              <w:tr2bl w:val="nil"/>
            </w:tcBorders>
            <w:noWrap w:val="0"/>
            <w:tcMar>
              <w:top w:w="15" w:type="dxa"/>
              <w:left w:w="15" w:type="dxa"/>
              <w:right w:w="15" w:type="dxa"/>
            </w:tcMar>
            <w:vAlign w:val="center"/>
          </w:tcPr>
          <w:p w14:paraId="7BBC35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0.21</w:t>
            </w:r>
          </w:p>
        </w:tc>
        <w:tc>
          <w:tcPr>
            <w:tcW w:w="513" w:type="pct"/>
            <w:tcBorders>
              <w:tl2br w:val="nil"/>
              <w:tr2bl w:val="nil"/>
            </w:tcBorders>
            <w:noWrap w:val="0"/>
            <w:tcMar>
              <w:top w:w="15" w:type="dxa"/>
              <w:left w:w="15" w:type="dxa"/>
              <w:right w:w="15" w:type="dxa"/>
            </w:tcMar>
            <w:vAlign w:val="center"/>
          </w:tcPr>
          <w:p w14:paraId="3C1300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72B0223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84" w:type="pct"/>
            <w:vMerge w:val="continue"/>
            <w:tcBorders>
              <w:tl2br w:val="nil"/>
              <w:tr2bl w:val="nil"/>
            </w:tcBorders>
            <w:noWrap/>
            <w:tcMar>
              <w:top w:w="15" w:type="dxa"/>
              <w:left w:w="15" w:type="dxa"/>
              <w:right w:w="15" w:type="dxa"/>
            </w:tcMar>
            <w:vAlign w:val="center"/>
          </w:tcPr>
          <w:p w14:paraId="60D8CF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p>
        </w:tc>
        <w:tc>
          <w:tcPr>
            <w:tcW w:w="1066" w:type="pct"/>
            <w:vMerge w:val="continue"/>
            <w:tcBorders>
              <w:tl2br w:val="nil"/>
              <w:tr2bl w:val="nil"/>
            </w:tcBorders>
            <w:noWrap w:val="0"/>
            <w:tcMar>
              <w:top w:w="15" w:type="dxa"/>
              <w:left w:w="15" w:type="dxa"/>
              <w:right w:w="15" w:type="dxa"/>
            </w:tcMar>
            <w:vAlign w:val="center"/>
          </w:tcPr>
          <w:p w14:paraId="5B5AA92E">
            <w:pPr>
              <w:pStyle w:val="12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FF0000"/>
                <w:kern w:val="2"/>
                <w:sz w:val="21"/>
                <w:szCs w:val="21"/>
                <w:highlight w:val="none"/>
                <w:lang w:val="en-US" w:eastAsia="zh-CN"/>
              </w:rPr>
            </w:pPr>
          </w:p>
        </w:tc>
        <w:tc>
          <w:tcPr>
            <w:tcW w:w="415" w:type="pct"/>
            <w:tcBorders>
              <w:tl2br w:val="nil"/>
              <w:tr2bl w:val="nil"/>
            </w:tcBorders>
            <w:noWrap w:val="0"/>
            <w:tcMar>
              <w:top w:w="15" w:type="dxa"/>
              <w:left w:w="15" w:type="dxa"/>
              <w:right w:w="15" w:type="dxa"/>
            </w:tcMar>
            <w:vAlign w:val="center"/>
          </w:tcPr>
          <w:p w14:paraId="7B77E6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年平均</w:t>
            </w:r>
          </w:p>
        </w:tc>
        <w:tc>
          <w:tcPr>
            <w:tcW w:w="1062" w:type="dxa"/>
            <w:tcBorders>
              <w:tl2br w:val="nil"/>
              <w:tr2bl w:val="nil"/>
            </w:tcBorders>
            <w:noWrap w:val="0"/>
            <w:tcMar>
              <w:top w:w="15" w:type="dxa"/>
              <w:left w:w="15" w:type="dxa"/>
              <w:right w:w="15" w:type="dxa"/>
            </w:tcMar>
            <w:vAlign w:val="center"/>
          </w:tcPr>
          <w:p w14:paraId="686598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0.00983</w:t>
            </w:r>
          </w:p>
        </w:tc>
        <w:tc>
          <w:tcPr>
            <w:tcW w:w="976" w:type="dxa"/>
            <w:tcBorders>
              <w:tl2br w:val="nil"/>
              <w:tr2bl w:val="nil"/>
            </w:tcBorders>
            <w:noWrap w:val="0"/>
            <w:tcMar>
              <w:top w:w="15" w:type="dxa"/>
              <w:left w:w="15" w:type="dxa"/>
              <w:right w:w="15" w:type="dxa"/>
            </w:tcMar>
            <w:vAlign w:val="center"/>
          </w:tcPr>
          <w:p w14:paraId="753835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平均值</w:t>
            </w:r>
          </w:p>
        </w:tc>
        <w:tc>
          <w:tcPr>
            <w:tcW w:w="991" w:type="dxa"/>
            <w:tcBorders>
              <w:tl2br w:val="nil"/>
              <w:tr2bl w:val="nil"/>
            </w:tcBorders>
            <w:noWrap w:val="0"/>
            <w:tcMar>
              <w:top w:w="15" w:type="dxa"/>
              <w:left w:w="15" w:type="dxa"/>
              <w:right w:w="15" w:type="dxa"/>
            </w:tcMar>
            <w:vAlign w:val="center"/>
          </w:tcPr>
          <w:p w14:paraId="27C9ED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0.185143</w:t>
            </w:r>
          </w:p>
        </w:tc>
        <w:tc>
          <w:tcPr>
            <w:tcW w:w="1122" w:type="dxa"/>
            <w:tcBorders>
              <w:tl2br w:val="nil"/>
              <w:tr2bl w:val="nil"/>
            </w:tcBorders>
            <w:noWrap/>
            <w:tcMar>
              <w:top w:w="15" w:type="dxa"/>
              <w:left w:w="15" w:type="dxa"/>
              <w:right w:w="15" w:type="dxa"/>
            </w:tcMar>
            <w:vAlign w:val="center"/>
          </w:tcPr>
          <w:p w14:paraId="14AD6F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0.194973</w:t>
            </w:r>
          </w:p>
        </w:tc>
        <w:tc>
          <w:tcPr>
            <w:tcW w:w="616" w:type="dxa"/>
            <w:tcBorders>
              <w:tl2br w:val="nil"/>
              <w:tr2bl w:val="nil"/>
            </w:tcBorders>
            <w:noWrap w:val="0"/>
            <w:tcMar>
              <w:top w:w="15" w:type="dxa"/>
              <w:left w:w="15" w:type="dxa"/>
              <w:right w:w="15" w:type="dxa"/>
            </w:tcMar>
            <w:vAlign w:val="center"/>
          </w:tcPr>
          <w:p w14:paraId="6D1A0C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0.10</w:t>
            </w:r>
          </w:p>
        </w:tc>
        <w:tc>
          <w:tcPr>
            <w:tcW w:w="513" w:type="pct"/>
            <w:tcBorders>
              <w:tl2br w:val="nil"/>
              <w:tr2bl w:val="nil"/>
            </w:tcBorders>
            <w:noWrap w:val="0"/>
            <w:tcMar>
              <w:top w:w="15" w:type="dxa"/>
              <w:left w:w="15" w:type="dxa"/>
              <w:right w:w="15" w:type="dxa"/>
            </w:tcMar>
            <w:vAlign w:val="center"/>
          </w:tcPr>
          <w:p w14:paraId="496D6D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35823DA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84" w:type="pct"/>
            <w:vMerge w:val="continue"/>
            <w:tcBorders>
              <w:tl2br w:val="nil"/>
              <w:tr2bl w:val="nil"/>
            </w:tcBorders>
            <w:noWrap w:val="0"/>
            <w:tcMar>
              <w:top w:w="15" w:type="dxa"/>
              <w:left w:w="15" w:type="dxa"/>
              <w:right w:w="15" w:type="dxa"/>
            </w:tcMar>
            <w:vAlign w:val="center"/>
          </w:tcPr>
          <w:p w14:paraId="34ACF1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p>
        </w:tc>
        <w:tc>
          <w:tcPr>
            <w:tcW w:w="1066" w:type="pct"/>
            <w:vMerge w:val="restart"/>
            <w:tcBorders>
              <w:tl2br w:val="nil"/>
              <w:tr2bl w:val="nil"/>
            </w:tcBorders>
            <w:noWrap w:val="0"/>
            <w:tcMar>
              <w:top w:w="15" w:type="dxa"/>
              <w:left w:w="15" w:type="dxa"/>
              <w:right w:w="15" w:type="dxa"/>
            </w:tcMar>
            <w:vAlign w:val="center"/>
          </w:tcPr>
          <w:p w14:paraId="30A0D430">
            <w:pPr>
              <w:pStyle w:val="12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区域最大落地浓度</w:t>
            </w:r>
          </w:p>
        </w:tc>
        <w:tc>
          <w:tcPr>
            <w:tcW w:w="415" w:type="pct"/>
            <w:tcBorders>
              <w:tl2br w:val="nil"/>
              <w:tr2bl w:val="nil"/>
            </w:tcBorders>
            <w:noWrap w:val="0"/>
            <w:tcMar>
              <w:top w:w="15" w:type="dxa"/>
              <w:left w:w="15" w:type="dxa"/>
              <w:right w:w="15" w:type="dxa"/>
            </w:tcMar>
            <w:vAlign w:val="center"/>
          </w:tcPr>
          <w:p w14:paraId="33064F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日平均</w:t>
            </w:r>
          </w:p>
        </w:tc>
        <w:tc>
          <w:tcPr>
            <w:tcW w:w="1062" w:type="dxa"/>
            <w:tcBorders>
              <w:tl2br w:val="nil"/>
              <w:tr2bl w:val="nil"/>
            </w:tcBorders>
            <w:noWrap w:val="0"/>
            <w:tcMar>
              <w:top w:w="15" w:type="dxa"/>
              <w:left w:w="15" w:type="dxa"/>
              <w:right w:w="15" w:type="dxa"/>
            </w:tcMar>
            <w:vAlign w:val="center"/>
          </w:tcPr>
          <w:p w14:paraId="1EB600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13.18095</w:t>
            </w:r>
          </w:p>
        </w:tc>
        <w:tc>
          <w:tcPr>
            <w:tcW w:w="976" w:type="dxa"/>
            <w:tcBorders>
              <w:tl2br w:val="nil"/>
              <w:tr2bl w:val="nil"/>
            </w:tcBorders>
            <w:noWrap w:val="0"/>
            <w:tcMar>
              <w:top w:w="15" w:type="dxa"/>
              <w:left w:w="15" w:type="dxa"/>
              <w:right w:w="15" w:type="dxa"/>
            </w:tcMar>
            <w:vAlign w:val="center"/>
          </w:tcPr>
          <w:p w14:paraId="609E10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240124</w:t>
            </w:r>
          </w:p>
        </w:tc>
        <w:tc>
          <w:tcPr>
            <w:tcW w:w="991" w:type="dxa"/>
            <w:tcBorders>
              <w:tl2br w:val="nil"/>
              <w:tr2bl w:val="nil"/>
            </w:tcBorders>
            <w:noWrap w:val="0"/>
            <w:tcMar>
              <w:top w:w="15" w:type="dxa"/>
              <w:left w:w="15" w:type="dxa"/>
              <w:right w:w="15" w:type="dxa"/>
            </w:tcMar>
            <w:vAlign w:val="center"/>
          </w:tcPr>
          <w:p w14:paraId="54B4EC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0.187</w:t>
            </w:r>
          </w:p>
        </w:tc>
        <w:tc>
          <w:tcPr>
            <w:tcW w:w="1122" w:type="dxa"/>
            <w:tcBorders>
              <w:tl2br w:val="nil"/>
              <w:tr2bl w:val="nil"/>
            </w:tcBorders>
            <w:noWrap/>
            <w:tcMar>
              <w:top w:w="15" w:type="dxa"/>
              <w:left w:w="15" w:type="dxa"/>
              <w:right w:w="15" w:type="dxa"/>
            </w:tcMar>
            <w:vAlign w:val="center"/>
          </w:tcPr>
          <w:p w14:paraId="2BB42B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13.36795</w:t>
            </w:r>
          </w:p>
        </w:tc>
        <w:tc>
          <w:tcPr>
            <w:tcW w:w="616" w:type="dxa"/>
            <w:tcBorders>
              <w:tl2br w:val="nil"/>
              <w:tr2bl w:val="nil"/>
            </w:tcBorders>
            <w:noWrap w:val="0"/>
            <w:tcMar>
              <w:top w:w="15" w:type="dxa"/>
              <w:left w:w="15" w:type="dxa"/>
              <w:right w:w="15" w:type="dxa"/>
            </w:tcMar>
            <w:vAlign w:val="center"/>
          </w:tcPr>
          <w:p w14:paraId="1B4B12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4.46</w:t>
            </w:r>
          </w:p>
        </w:tc>
        <w:tc>
          <w:tcPr>
            <w:tcW w:w="513" w:type="pct"/>
            <w:tcBorders>
              <w:tl2br w:val="nil"/>
              <w:tr2bl w:val="nil"/>
            </w:tcBorders>
            <w:noWrap w:val="0"/>
            <w:tcMar>
              <w:top w:w="15" w:type="dxa"/>
              <w:left w:w="15" w:type="dxa"/>
              <w:right w:w="15" w:type="dxa"/>
            </w:tcMar>
            <w:vAlign w:val="center"/>
          </w:tcPr>
          <w:p w14:paraId="01DE65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598E437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384" w:type="pct"/>
            <w:vMerge w:val="continue"/>
            <w:tcBorders>
              <w:tl2br w:val="nil"/>
              <w:tr2bl w:val="nil"/>
            </w:tcBorders>
            <w:noWrap w:val="0"/>
            <w:tcMar>
              <w:top w:w="15" w:type="dxa"/>
              <w:left w:w="15" w:type="dxa"/>
              <w:right w:w="15" w:type="dxa"/>
            </w:tcMar>
            <w:vAlign w:val="center"/>
          </w:tcPr>
          <w:p w14:paraId="189001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p>
        </w:tc>
        <w:tc>
          <w:tcPr>
            <w:tcW w:w="1066" w:type="pct"/>
            <w:vMerge w:val="continue"/>
            <w:tcBorders>
              <w:tl2br w:val="nil"/>
              <w:tr2bl w:val="nil"/>
            </w:tcBorders>
            <w:noWrap w:val="0"/>
            <w:tcMar>
              <w:top w:w="15" w:type="dxa"/>
              <w:left w:w="15" w:type="dxa"/>
              <w:right w:w="15" w:type="dxa"/>
            </w:tcMar>
            <w:vAlign w:val="center"/>
          </w:tcPr>
          <w:p w14:paraId="159802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p>
        </w:tc>
        <w:tc>
          <w:tcPr>
            <w:tcW w:w="415" w:type="pct"/>
            <w:tcBorders>
              <w:tl2br w:val="nil"/>
              <w:tr2bl w:val="nil"/>
            </w:tcBorders>
            <w:noWrap w:val="0"/>
            <w:tcMar>
              <w:top w:w="15" w:type="dxa"/>
              <w:left w:w="15" w:type="dxa"/>
              <w:right w:w="15" w:type="dxa"/>
            </w:tcMar>
            <w:vAlign w:val="center"/>
          </w:tcPr>
          <w:p w14:paraId="4A6CD3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年平均</w:t>
            </w:r>
          </w:p>
        </w:tc>
        <w:tc>
          <w:tcPr>
            <w:tcW w:w="1062" w:type="dxa"/>
            <w:tcBorders>
              <w:tl2br w:val="nil"/>
              <w:tr2bl w:val="nil"/>
            </w:tcBorders>
            <w:noWrap w:val="0"/>
            <w:tcMar>
              <w:top w:w="15" w:type="dxa"/>
              <w:left w:w="15" w:type="dxa"/>
              <w:right w:w="15" w:type="dxa"/>
            </w:tcMar>
            <w:vAlign w:val="center"/>
          </w:tcPr>
          <w:p w14:paraId="127BCB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1.02094</w:t>
            </w:r>
          </w:p>
        </w:tc>
        <w:tc>
          <w:tcPr>
            <w:tcW w:w="976" w:type="dxa"/>
            <w:tcBorders>
              <w:tl2br w:val="nil"/>
              <w:tr2bl w:val="nil"/>
            </w:tcBorders>
            <w:noWrap w:val="0"/>
            <w:tcMar>
              <w:top w:w="15" w:type="dxa"/>
              <w:left w:w="15" w:type="dxa"/>
              <w:right w:w="15" w:type="dxa"/>
            </w:tcMar>
            <w:vAlign w:val="center"/>
          </w:tcPr>
          <w:p w14:paraId="52CAEC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平均值</w:t>
            </w:r>
          </w:p>
        </w:tc>
        <w:tc>
          <w:tcPr>
            <w:tcW w:w="991" w:type="dxa"/>
            <w:tcBorders>
              <w:tl2br w:val="nil"/>
              <w:tr2bl w:val="nil"/>
            </w:tcBorders>
            <w:noWrap w:val="0"/>
            <w:tcMar>
              <w:top w:w="15" w:type="dxa"/>
              <w:left w:w="15" w:type="dxa"/>
              <w:right w:w="15" w:type="dxa"/>
            </w:tcMar>
            <w:vAlign w:val="center"/>
          </w:tcPr>
          <w:p w14:paraId="6FB985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0.185143</w:t>
            </w:r>
          </w:p>
        </w:tc>
        <w:tc>
          <w:tcPr>
            <w:tcW w:w="1122" w:type="dxa"/>
            <w:tcBorders>
              <w:tl2br w:val="nil"/>
              <w:tr2bl w:val="nil"/>
            </w:tcBorders>
            <w:noWrap/>
            <w:tcMar>
              <w:top w:w="15" w:type="dxa"/>
              <w:left w:w="15" w:type="dxa"/>
              <w:right w:w="15" w:type="dxa"/>
            </w:tcMar>
            <w:vAlign w:val="center"/>
          </w:tcPr>
          <w:p w14:paraId="786EFF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1.206083</w:t>
            </w:r>
          </w:p>
        </w:tc>
        <w:tc>
          <w:tcPr>
            <w:tcW w:w="616" w:type="dxa"/>
            <w:tcBorders>
              <w:tl2br w:val="nil"/>
              <w:tr2bl w:val="nil"/>
            </w:tcBorders>
            <w:noWrap w:val="0"/>
            <w:tcMar>
              <w:top w:w="15" w:type="dxa"/>
              <w:left w:w="15" w:type="dxa"/>
              <w:right w:w="15" w:type="dxa"/>
            </w:tcMar>
            <w:vAlign w:val="center"/>
          </w:tcPr>
          <w:p w14:paraId="230066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eastAsia" w:ascii="Times New Roman" w:hAnsi="Times New Roman" w:eastAsia="宋体" w:cs="Times New Roman"/>
                <w:i w:val="0"/>
                <w:color w:val="FF0000"/>
                <w:sz w:val="21"/>
                <w:szCs w:val="21"/>
                <w:highlight w:val="none"/>
                <w:u w:val="none"/>
                <w:lang w:val="en-US" w:eastAsia="zh-CN"/>
              </w:rPr>
              <w:t>0.60</w:t>
            </w:r>
          </w:p>
        </w:tc>
        <w:tc>
          <w:tcPr>
            <w:tcW w:w="513" w:type="pct"/>
            <w:tcBorders>
              <w:tl2br w:val="nil"/>
              <w:tr2bl w:val="nil"/>
            </w:tcBorders>
            <w:noWrap w:val="0"/>
            <w:tcMar>
              <w:top w:w="15" w:type="dxa"/>
              <w:left w:w="15" w:type="dxa"/>
              <w:right w:w="15" w:type="dxa"/>
            </w:tcMar>
            <w:vAlign w:val="center"/>
          </w:tcPr>
          <w:p w14:paraId="6B9933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bl>
    <w:p w14:paraId="1CF8D0CF">
      <w:pPr>
        <w:keepNext w:val="0"/>
        <w:keepLines w:val="0"/>
        <w:pageBreakBefore w:val="0"/>
        <w:widowControl w:val="0"/>
        <w:kinsoku/>
        <w:wordWrap/>
        <w:overflowPunct/>
        <w:topLinePunct w:val="0"/>
        <w:bidi w:val="0"/>
        <w:snapToGrid/>
        <w:spacing w:after="0" w:line="480" w:lineRule="exact"/>
        <w:ind w:firstLine="0" w:firstLineChars="0"/>
        <w:jc w:val="center"/>
        <w:outlineLvl w:val="9"/>
        <w:rPr>
          <w:rFonts w:hint="default" w:ascii="Times New Roman" w:hAnsi="Times New Roman" w:eastAsia="宋体" w:cs="Times New Roman"/>
          <w:snapToGrid w:val="0"/>
          <w:color w:val="FF0000"/>
          <w:kern w:val="2"/>
          <w:sz w:val="24"/>
          <w:szCs w:val="24"/>
          <w:highlight w:val="none"/>
          <w:lang w:val="en-US" w:eastAsia="zh-CN" w:bidi="ar-SA"/>
        </w:rPr>
      </w:pPr>
    </w:p>
    <w:p w14:paraId="09C2CB65">
      <w:pPr>
        <w:keepNext w:val="0"/>
        <w:keepLines w:val="0"/>
        <w:pageBreakBefore w:val="0"/>
        <w:widowControl w:val="0"/>
        <w:kinsoku/>
        <w:wordWrap/>
        <w:overflowPunct/>
        <w:topLinePunct w:val="0"/>
        <w:bidi w:val="0"/>
        <w:snapToGrid/>
        <w:spacing w:after="0" w:line="480" w:lineRule="exact"/>
        <w:ind w:firstLine="0" w:firstLineChars="0"/>
        <w:jc w:val="center"/>
        <w:outlineLvl w:val="9"/>
        <w:rPr>
          <w:rFonts w:hint="default" w:ascii="Times New Roman" w:hAnsi="Times New Roman" w:eastAsia="宋体" w:cs="Times New Roman"/>
          <w:snapToGrid w:val="0"/>
          <w:color w:val="FF0000"/>
          <w:kern w:val="2"/>
          <w:sz w:val="24"/>
          <w:szCs w:val="24"/>
          <w:highlight w:val="none"/>
          <w:lang w:val="en-US" w:eastAsia="zh-CN" w:bidi="ar-SA"/>
        </w:rPr>
      </w:pPr>
    </w:p>
    <w:p w14:paraId="086D004E">
      <w:pPr>
        <w:keepNext w:val="0"/>
        <w:keepLines w:val="0"/>
        <w:pageBreakBefore w:val="0"/>
        <w:widowControl w:val="0"/>
        <w:kinsoku/>
        <w:wordWrap/>
        <w:overflowPunct/>
        <w:topLinePunct w:val="0"/>
        <w:bidi w:val="0"/>
        <w:snapToGrid/>
        <w:spacing w:after="0" w:line="480" w:lineRule="exact"/>
        <w:ind w:firstLine="0" w:firstLineChars="0"/>
        <w:jc w:val="center"/>
        <w:outlineLvl w:val="9"/>
        <w:rPr>
          <w:rFonts w:hint="default" w:ascii="Times New Roman" w:hAnsi="Times New Roman" w:eastAsia="宋体" w:cs="Times New Roman"/>
          <w:snapToGrid w:val="0"/>
          <w:color w:val="FF0000"/>
          <w:kern w:val="2"/>
          <w:sz w:val="24"/>
          <w:szCs w:val="24"/>
          <w:highlight w:val="none"/>
          <w:lang w:val="en-US" w:eastAsia="zh-CN" w:bidi="ar-SA"/>
        </w:rPr>
      </w:pPr>
    </w:p>
    <w:p w14:paraId="6F62026B">
      <w:pPr>
        <w:keepNext w:val="0"/>
        <w:keepLines w:val="0"/>
        <w:pageBreakBefore w:val="0"/>
        <w:widowControl w:val="0"/>
        <w:kinsoku/>
        <w:wordWrap/>
        <w:overflowPunct/>
        <w:topLinePunct w:val="0"/>
        <w:bidi w:val="0"/>
        <w:snapToGrid/>
        <w:spacing w:after="0" w:line="480" w:lineRule="exact"/>
        <w:ind w:firstLine="0" w:firstLineChars="0"/>
        <w:jc w:val="center"/>
        <w:outlineLvl w:val="9"/>
        <w:rPr>
          <w:rFonts w:hint="default" w:ascii="Times New Roman" w:hAnsi="Times New Roman" w:eastAsia="宋体" w:cs="Times New Roman"/>
          <w:snapToGrid w:val="0"/>
          <w:color w:val="FF0000"/>
          <w:kern w:val="2"/>
          <w:sz w:val="24"/>
          <w:szCs w:val="24"/>
          <w:highlight w:val="none"/>
          <w:lang w:val="en-US" w:eastAsia="zh-CN" w:bidi="ar-SA"/>
        </w:rPr>
      </w:pPr>
      <w:r>
        <w:rPr>
          <w:rFonts w:hint="default" w:ascii="Times New Roman" w:hAnsi="Times New Roman" w:eastAsia="宋体" w:cs="Times New Roman"/>
          <w:snapToGrid w:val="0"/>
          <w:color w:val="FF0000"/>
          <w:kern w:val="2"/>
          <w:sz w:val="24"/>
          <w:szCs w:val="24"/>
          <w:highlight w:val="none"/>
          <w:lang w:val="en-US" w:eastAsia="zh-CN" w:bidi="ar-SA"/>
        </w:rPr>
        <w:t>表6.2-2</w:t>
      </w:r>
      <w:r>
        <w:rPr>
          <w:rFonts w:hint="eastAsia" w:ascii="Times New Roman" w:hAnsi="Times New Roman" w:eastAsia="宋体" w:cs="Times New Roman"/>
          <w:snapToGrid w:val="0"/>
          <w:color w:val="FF0000"/>
          <w:kern w:val="2"/>
          <w:sz w:val="24"/>
          <w:szCs w:val="24"/>
          <w:highlight w:val="none"/>
          <w:lang w:val="en-US" w:eastAsia="zh-CN" w:bidi="ar-SA"/>
        </w:rPr>
        <w:t>1</w:t>
      </w:r>
      <w:r>
        <w:rPr>
          <w:rFonts w:hint="default" w:ascii="Times New Roman" w:hAnsi="Times New Roman" w:eastAsia="宋体" w:cs="Times New Roman"/>
          <w:snapToGrid w:val="0"/>
          <w:color w:val="FF0000"/>
          <w:kern w:val="2"/>
          <w:sz w:val="24"/>
          <w:szCs w:val="24"/>
          <w:highlight w:val="none"/>
          <w:lang w:val="en-US" w:eastAsia="zh-CN" w:bidi="ar-SA"/>
        </w:rPr>
        <w:t xml:space="preserve">  本项目</w:t>
      </w:r>
      <w:r>
        <w:rPr>
          <w:rFonts w:hint="eastAsia" w:ascii="Times New Roman" w:hAnsi="Times New Roman" w:eastAsia="宋体" w:cs="Times New Roman"/>
          <w:snapToGrid w:val="0"/>
          <w:color w:val="FF0000"/>
          <w:kern w:val="2"/>
          <w:sz w:val="24"/>
          <w:szCs w:val="24"/>
          <w:highlight w:val="none"/>
          <w:lang w:val="en-US" w:eastAsia="zh-CN" w:bidi="ar-SA"/>
        </w:rPr>
        <w:t>NH</w:t>
      </w:r>
      <w:r>
        <w:rPr>
          <w:rFonts w:hint="eastAsia" w:ascii="Times New Roman" w:hAnsi="Times New Roman" w:eastAsia="宋体" w:cs="Times New Roman"/>
          <w:snapToGrid w:val="0"/>
          <w:color w:val="FF0000"/>
          <w:kern w:val="2"/>
          <w:sz w:val="24"/>
          <w:szCs w:val="24"/>
          <w:highlight w:val="none"/>
          <w:vertAlign w:val="subscript"/>
          <w:lang w:val="en-US" w:eastAsia="zh-CN" w:bidi="ar-SA"/>
        </w:rPr>
        <w:t>3</w:t>
      </w:r>
      <w:r>
        <w:rPr>
          <w:rFonts w:hint="default" w:ascii="Times New Roman" w:hAnsi="Times New Roman" w:eastAsia="宋体" w:cs="Times New Roman"/>
          <w:snapToGrid w:val="0"/>
          <w:color w:val="FF0000"/>
          <w:kern w:val="2"/>
          <w:sz w:val="24"/>
          <w:szCs w:val="24"/>
          <w:highlight w:val="none"/>
          <w:lang w:val="en-US" w:eastAsia="zh-CN" w:bidi="ar-SA"/>
        </w:rPr>
        <w:t>叠加后环境质量浓度预测结果表</w:t>
      </w:r>
    </w:p>
    <w:tbl>
      <w:tblPr>
        <w:tblStyle w:val="37"/>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857"/>
        <w:gridCol w:w="1943"/>
        <w:gridCol w:w="1034"/>
        <w:gridCol w:w="946"/>
        <w:gridCol w:w="1019"/>
        <w:gridCol w:w="917"/>
        <w:gridCol w:w="1050"/>
        <w:gridCol w:w="604"/>
        <w:gridCol w:w="727"/>
      </w:tblGrid>
      <w:tr w14:paraId="5D9C86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71" w:type="pct"/>
            <w:tcBorders>
              <w:tl2br w:val="nil"/>
              <w:tr2bl w:val="nil"/>
            </w:tcBorders>
            <w:noWrap w:val="0"/>
            <w:tcMar>
              <w:top w:w="15" w:type="dxa"/>
              <w:left w:w="15" w:type="dxa"/>
              <w:right w:w="15" w:type="dxa"/>
            </w:tcMar>
            <w:vAlign w:val="center"/>
          </w:tcPr>
          <w:p w14:paraId="72DA21F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color w:val="FF0000"/>
                <w:sz w:val="21"/>
                <w:szCs w:val="21"/>
                <w:highlight w:val="none"/>
                <w:u w:val="none"/>
                <w:lang w:val="en-US" w:eastAsia="zh-CN"/>
              </w:rPr>
            </w:pPr>
            <w:r>
              <w:rPr>
                <w:rFonts w:hint="default" w:ascii="Times New Roman" w:hAnsi="Times New Roman" w:eastAsia="宋体" w:cs="Times New Roman"/>
                <w:i w:val="0"/>
                <w:color w:val="FF0000"/>
                <w:sz w:val="21"/>
                <w:szCs w:val="21"/>
                <w:highlight w:val="none"/>
                <w:u w:val="none"/>
                <w:lang w:val="en-US" w:eastAsia="zh-CN"/>
              </w:rPr>
              <w:t>污染物</w:t>
            </w:r>
          </w:p>
        </w:tc>
        <w:tc>
          <w:tcPr>
            <w:tcW w:w="1067" w:type="pct"/>
            <w:tcBorders>
              <w:tl2br w:val="nil"/>
              <w:tr2bl w:val="nil"/>
            </w:tcBorders>
            <w:noWrap w:val="0"/>
            <w:tcMar>
              <w:top w:w="15" w:type="dxa"/>
              <w:left w:w="15" w:type="dxa"/>
              <w:right w:w="15" w:type="dxa"/>
            </w:tcMar>
            <w:vAlign w:val="center"/>
          </w:tcPr>
          <w:p w14:paraId="2AE80C3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预测点</w:t>
            </w:r>
          </w:p>
        </w:tc>
        <w:tc>
          <w:tcPr>
            <w:tcW w:w="568" w:type="pct"/>
            <w:tcBorders>
              <w:tl2br w:val="nil"/>
              <w:tr2bl w:val="nil"/>
            </w:tcBorders>
            <w:noWrap w:val="0"/>
            <w:tcMar>
              <w:top w:w="15" w:type="dxa"/>
              <w:left w:w="15" w:type="dxa"/>
              <w:right w:w="15" w:type="dxa"/>
            </w:tcMar>
            <w:vAlign w:val="center"/>
          </w:tcPr>
          <w:p w14:paraId="0472D6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平均时段</w:t>
            </w:r>
          </w:p>
        </w:tc>
        <w:tc>
          <w:tcPr>
            <w:tcW w:w="519" w:type="pct"/>
            <w:tcBorders>
              <w:tl2br w:val="nil"/>
              <w:tr2bl w:val="nil"/>
            </w:tcBorders>
            <w:noWrap w:val="0"/>
            <w:tcMar>
              <w:top w:w="15" w:type="dxa"/>
              <w:left w:w="15" w:type="dxa"/>
              <w:right w:w="15" w:type="dxa"/>
            </w:tcMar>
            <w:vAlign w:val="center"/>
          </w:tcPr>
          <w:p w14:paraId="5B1651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贡献值</w:t>
            </w:r>
            <w:r>
              <w:rPr>
                <w:rFonts w:hint="default" w:ascii="Times New Roman" w:hAnsi="Times New Roman" w:eastAsia="宋体" w:cs="Times New Roman"/>
                <w:b w:val="0"/>
                <w:bCs w:val="0"/>
                <w:color w:val="FF0000"/>
                <w:kern w:val="2"/>
                <w:sz w:val="21"/>
                <w:szCs w:val="21"/>
                <w:highlight w:val="none"/>
                <w:vertAlign w:val="baseline"/>
                <w:lang w:val="en-US" w:eastAsia="zh-CN" w:bidi="ar-SA"/>
              </w:rPr>
              <w:t>/（μ</w:t>
            </w:r>
            <w:r>
              <w:rPr>
                <w:rFonts w:hint="default" w:ascii="Times New Roman" w:hAnsi="Times New Roman" w:eastAsia="宋体" w:cs="Times New Roman"/>
                <w:b w:val="0"/>
                <w:bCs w:val="0"/>
                <w:color w:val="FF0000"/>
                <w:kern w:val="2"/>
                <w:sz w:val="21"/>
                <w:szCs w:val="21"/>
                <w:highlight w:val="none"/>
                <w:lang w:val="en-US" w:eastAsia="zh-CN" w:bidi="ar-SA"/>
              </w:rPr>
              <w:t>g/m</w:t>
            </w:r>
            <w:r>
              <w:rPr>
                <w:rFonts w:hint="default" w:ascii="Times New Roman" w:hAnsi="Times New Roman" w:eastAsia="宋体" w:cs="Times New Roman"/>
                <w:b w:val="0"/>
                <w:bCs w:val="0"/>
                <w:color w:val="FF0000"/>
                <w:kern w:val="2"/>
                <w:sz w:val="21"/>
                <w:szCs w:val="21"/>
                <w:highlight w:val="none"/>
                <w:vertAlign w:val="superscript"/>
                <w:lang w:val="en-US" w:eastAsia="zh-CN" w:bidi="ar-SA"/>
              </w:rPr>
              <w:t>3</w:t>
            </w:r>
            <w:r>
              <w:rPr>
                <w:rFonts w:hint="default" w:ascii="Times New Roman" w:hAnsi="Times New Roman" w:eastAsia="宋体" w:cs="Times New Roman"/>
                <w:b w:val="0"/>
                <w:bCs w:val="0"/>
                <w:color w:val="FF0000"/>
                <w:kern w:val="2"/>
                <w:sz w:val="21"/>
                <w:szCs w:val="21"/>
                <w:highlight w:val="none"/>
                <w:vertAlign w:val="baseline"/>
                <w:lang w:val="en-US" w:eastAsia="zh-CN" w:bidi="ar-SA"/>
              </w:rPr>
              <w:t>）</w:t>
            </w:r>
          </w:p>
        </w:tc>
        <w:tc>
          <w:tcPr>
            <w:tcW w:w="560" w:type="pct"/>
            <w:tcBorders>
              <w:tl2br w:val="nil"/>
              <w:tr2bl w:val="nil"/>
            </w:tcBorders>
            <w:noWrap w:val="0"/>
            <w:tcMar>
              <w:top w:w="15" w:type="dxa"/>
              <w:left w:w="15" w:type="dxa"/>
              <w:right w:w="15" w:type="dxa"/>
            </w:tcMar>
            <w:vAlign w:val="center"/>
          </w:tcPr>
          <w:p w14:paraId="51392B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出现时间</w:t>
            </w:r>
          </w:p>
        </w:tc>
        <w:tc>
          <w:tcPr>
            <w:tcW w:w="504" w:type="pct"/>
            <w:tcBorders>
              <w:tl2br w:val="nil"/>
              <w:tr2bl w:val="nil"/>
            </w:tcBorders>
            <w:noWrap w:val="0"/>
            <w:tcMar>
              <w:top w:w="15" w:type="dxa"/>
              <w:left w:w="15" w:type="dxa"/>
              <w:right w:w="15" w:type="dxa"/>
            </w:tcMar>
            <w:vAlign w:val="center"/>
          </w:tcPr>
          <w:p w14:paraId="0A417D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现状浓度</w:t>
            </w:r>
            <w:r>
              <w:rPr>
                <w:rFonts w:hint="default" w:ascii="Times New Roman" w:hAnsi="Times New Roman" w:eastAsia="宋体" w:cs="Times New Roman"/>
                <w:b w:val="0"/>
                <w:bCs w:val="0"/>
                <w:color w:val="FF0000"/>
                <w:kern w:val="2"/>
                <w:sz w:val="21"/>
                <w:szCs w:val="21"/>
                <w:highlight w:val="none"/>
                <w:vertAlign w:val="baseline"/>
                <w:lang w:val="en-US" w:eastAsia="zh-CN" w:bidi="ar-SA"/>
              </w:rPr>
              <w:t>/（μ</w:t>
            </w:r>
            <w:r>
              <w:rPr>
                <w:rFonts w:hint="default" w:ascii="Times New Roman" w:hAnsi="Times New Roman" w:eastAsia="宋体" w:cs="Times New Roman"/>
                <w:b w:val="0"/>
                <w:bCs w:val="0"/>
                <w:color w:val="FF0000"/>
                <w:kern w:val="2"/>
                <w:sz w:val="21"/>
                <w:szCs w:val="21"/>
                <w:highlight w:val="none"/>
                <w:lang w:val="en-US" w:eastAsia="zh-CN" w:bidi="ar-SA"/>
              </w:rPr>
              <w:t>g/m</w:t>
            </w:r>
            <w:r>
              <w:rPr>
                <w:rFonts w:hint="default" w:ascii="Times New Roman" w:hAnsi="Times New Roman" w:eastAsia="宋体" w:cs="Times New Roman"/>
                <w:b w:val="0"/>
                <w:bCs w:val="0"/>
                <w:color w:val="FF0000"/>
                <w:kern w:val="2"/>
                <w:sz w:val="21"/>
                <w:szCs w:val="21"/>
                <w:highlight w:val="none"/>
                <w:vertAlign w:val="superscript"/>
                <w:lang w:val="en-US" w:eastAsia="zh-CN" w:bidi="ar-SA"/>
              </w:rPr>
              <w:t>3</w:t>
            </w:r>
            <w:r>
              <w:rPr>
                <w:rFonts w:hint="default" w:ascii="Times New Roman" w:hAnsi="Times New Roman" w:eastAsia="宋体" w:cs="Times New Roman"/>
                <w:b w:val="0"/>
                <w:bCs w:val="0"/>
                <w:color w:val="FF0000"/>
                <w:kern w:val="2"/>
                <w:sz w:val="21"/>
                <w:szCs w:val="21"/>
                <w:highlight w:val="none"/>
                <w:vertAlign w:val="baseline"/>
                <w:lang w:val="en-US" w:eastAsia="zh-CN" w:bidi="ar-SA"/>
              </w:rPr>
              <w:t>）</w:t>
            </w:r>
          </w:p>
        </w:tc>
        <w:tc>
          <w:tcPr>
            <w:tcW w:w="577" w:type="pct"/>
            <w:tcBorders>
              <w:tl2br w:val="nil"/>
              <w:tr2bl w:val="nil"/>
            </w:tcBorders>
            <w:noWrap w:val="0"/>
            <w:tcMar>
              <w:top w:w="15" w:type="dxa"/>
              <w:left w:w="15" w:type="dxa"/>
              <w:right w:w="15" w:type="dxa"/>
            </w:tcMar>
            <w:vAlign w:val="center"/>
          </w:tcPr>
          <w:p w14:paraId="0DED93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叠加浓度</w:t>
            </w:r>
            <w:r>
              <w:rPr>
                <w:rFonts w:hint="default" w:ascii="Times New Roman" w:hAnsi="Times New Roman" w:eastAsia="宋体" w:cs="Times New Roman"/>
                <w:b w:val="0"/>
                <w:bCs w:val="0"/>
                <w:color w:val="FF0000"/>
                <w:kern w:val="2"/>
                <w:sz w:val="21"/>
                <w:szCs w:val="21"/>
                <w:highlight w:val="none"/>
                <w:vertAlign w:val="baseline"/>
                <w:lang w:val="en-US" w:eastAsia="zh-CN" w:bidi="ar-SA"/>
              </w:rPr>
              <w:t>/（μ</w:t>
            </w:r>
            <w:r>
              <w:rPr>
                <w:rFonts w:hint="default" w:ascii="Times New Roman" w:hAnsi="Times New Roman" w:eastAsia="宋体" w:cs="Times New Roman"/>
                <w:b w:val="0"/>
                <w:bCs w:val="0"/>
                <w:color w:val="FF0000"/>
                <w:kern w:val="2"/>
                <w:sz w:val="21"/>
                <w:szCs w:val="21"/>
                <w:highlight w:val="none"/>
                <w:lang w:val="en-US" w:eastAsia="zh-CN" w:bidi="ar-SA"/>
              </w:rPr>
              <w:t>g/m</w:t>
            </w:r>
            <w:r>
              <w:rPr>
                <w:rFonts w:hint="default" w:ascii="Times New Roman" w:hAnsi="Times New Roman" w:eastAsia="宋体" w:cs="Times New Roman"/>
                <w:b w:val="0"/>
                <w:bCs w:val="0"/>
                <w:color w:val="FF0000"/>
                <w:kern w:val="2"/>
                <w:sz w:val="21"/>
                <w:szCs w:val="21"/>
                <w:highlight w:val="none"/>
                <w:vertAlign w:val="superscript"/>
                <w:lang w:val="en-US" w:eastAsia="zh-CN" w:bidi="ar-SA"/>
              </w:rPr>
              <w:t>3</w:t>
            </w:r>
            <w:r>
              <w:rPr>
                <w:rFonts w:hint="default" w:ascii="Times New Roman" w:hAnsi="Times New Roman" w:eastAsia="宋体" w:cs="Times New Roman"/>
                <w:b w:val="0"/>
                <w:bCs w:val="0"/>
                <w:color w:val="FF0000"/>
                <w:kern w:val="2"/>
                <w:sz w:val="21"/>
                <w:szCs w:val="21"/>
                <w:highlight w:val="none"/>
                <w:vertAlign w:val="baseline"/>
                <w:lang w:val="en-US" w:eastAsia="zh-CN" w:bidi="ar-SA"/>
              </w:rPr>
              <w:t>）</w:t>
            </w:r>
          </w:p>
        </w:tc>
        <w:tc>
          <w:tcPr>
            <w:tcW w:w="331" w:type="pct"/>
            <w:tcBorders>
              <w:tl2br w:val="nil"/>
              <w:tr2bl w:val="nil"/>
            </w:tcBorders>
            <w:noWrap w:val="0"/>
            <w:tcMar>
              <w:top w:w="15" w:type="dxa"/>
              <w:left w:w="15" w:type="dxa"/>
              <w:right w:w="15" w:type="dxa"/>
            </w:tcMar>
            <w:vAlign w:val="center"/>
          </w:tcPr>
          <w:p w14:paraId="22A870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占标率%</w:t>
            </w:r>
          </w:p>
        </w:tc>
        <w:tc>
          <w:tcPr>
            <w:tcW w:w="399" w:type="pct"/>
            <w:tcBorders>
              <w:tl2br w:val="nil"/>
              <w:tr2bl w:val="nil"/>
            </w:tcBorders>
            <w:noWrap w:val="0"/>
            <w:tcMar>
              <w:top w:w="15" w:type="dxa"/>
              <w:left w:w="15" w:type="dxa"/>
              <w:right w:w="15" w:type="dxa"/>
            </w:tcMar>
            <w:vAlign w:val="center"/>
          </w:tcPr>
          <w:p w14:paraId="06A9EE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达标情况</w:t>
            </w:r>
          </w:p>
        </w:tc>
      </w:tr>
      <w:tr w14:paraId="381026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71" w:type="pct"/>
            <w:vMerge w:val="restart"/>
            <w:tcBorders>
              <w:tl2br w:val="nil"/>
              <w:tr2bl w:val="nil"/>
            </w:tcBorders>
            <w:noWrap/>
            <w:tcMar>
              <w:top w:w="15" w:type="dxa"/>
              <w:left w:w="15" w:type="dxa"/>
              <w:right w:w="15" w:type="dxa"/>
            </w:tcMar>
            <w:vAlign w:val="center"/>
          </w:tcPr>
          <w:p w14:paraId="4B8B4B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lang w:val="en-US" w:eastAsia="zh-CN"/>
              </w:rPr>
            </w:pPr>
            <w:r>
              <w:rPr>
                <w:rFonts w:hint="default" w:ascii="Times New Roman" w:hAnsi="Times New Roman" w:eastAsia="宋体" w:cs="Times New Roman"/>
                <w:i w:val="0"/>
                <w:color w:val="FF0000"/>
                <w:sz w:val="21"/>
                <w:szCs w:val="21"/>
                <w:highlight w:val="none"/>
                <w:u w:val="none"/>
                <w:lang w:val="en-US" w:eastAsia="zh-CN"/>
              </w:rPr>
              <w:t>NH</w:t>
            </w:r>
            <w:r>
              <w:rPr>
                <w:rFonts w:hint="default" w:ascii="Times New Roman" w:hAnsi="Times New Roman" w:eastAsia="宋体" w:cs="Times New Roman"/>
                <w:i w:val="0"/>
                <w:color w:val="FF0000"/>
                <w:sz w:val="21"/>
                <w:szCs w:val="21"/>
                <w:highlight w:val="none"/>
                <w:u w:val="none"/>
                <w:vertAlign w:val="subscript"/>
                <w:lang w:val="en-US" w:eastAsia="zh-CN"/>
              </w:rPr>
              <w:t>3</w:t>
            </w:r>
          </w:p>
        </w:tc>
        <w:tc>
          <w:tcPr>
            <w:tcW w:w="1067" w:type="pct"/>
            <w:tcBorders>
              <w:tl2br w:val="nil"/>
              <w:tr2bl w:val="nil"/>
            </w:tcBorders>
            <w:noWrap w:val="0"/>
            <w:tcMar>
              <w:top w:w="15" w:type="dxa"/>
              <w:left w:w="15" w:type="dxa"/>
              <w:right w:w="15" w:type="dxa"/>
            </w:tcMar>
            <w:vAlign w:val="center"/>
          </w:tcPr>
          <w:p w14:paraId="652F0374">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i w:val="0"/>
                <w:color w:val="FF0000"/>
                <w:sz w:val="21"/>
                <w:szCs w:val="21"/>
                <w:highlight w:val="none"/>
                <w:u w:val="none"/>
                <w:lang w:val="en-US" w:eastAsia="zh-CN"/>
              </w:rPr>
              <w:t>范家屯</w:t>
            </w:r>
          </w:p>
        </w:tc>
        <w:tc>
          <w:tcPr>
            <w:tcW w:w="568" w:type="pct"/>
            <w:tcBorders>
              <w:tl2br w:val="nil"/>
              <w:tr2bl w:val="nil"/>
            </w:tcBorders>
            <w:noWrap w:val="0"/>
            <w:tcMar>
              <w:top w:w="15" w:type="dxa"/>
              <w:left w:w="15" w:type="dxa"/>
              <w:right w:w="15" w:type="dxa"/>
            </w:tcMar>
            <w:vAlign w:val="center"/>
          </w:tcPr>
          <w:p w14:paraId="1910DC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1小时平均</w:t>
            </w:r>
          </w:p>
        </w:tc>
        <w:tc>
          <w:tcPr>
            <w:tcW w:w="946" w:type="dxa"/>
            <w:tcBorders>
              <w:tl2br w:val="nil"/>
              <w:tr2bl w:val="nil"/>
            </w:tcBorders>
            <w:noWrap w:val="0"/>
            <w:tcMar>
              <w:top w:w="15" w:type="dxa"/>
              <w:left w:w="15" w:type="dxa"/>
              <w:right w:w="15" w:type="dxa"/>
            </w:tcMar>
            <w:vAlign w:val="center"/>
          </w:tcPr>
          <w:p w14:paraId="71C815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0.33338</w:t>
            </w:r>
          </w:p>
        </w:tc>
        <w:tc>
          <w:tcPr>
            <w:tcW w:w="1019" w:type="dxa"/>
            <w:tcBorders>
              <w:tl2br w:val="nil"/>
              <w:tr2bl w:val="nil"/>
            </w:tcBorders>
            <w:noWrap w:val="0"/>
            <w:tcMar>
              <w:top w:w="15" w:type="dxa"/>
              <w:left w:w="15" w:type="dxa"/>
              <w:right w:w="15" w:type="dxa"/>
            </w:tcMar>
            <w:vAlign w:val="center"/>
          </w:tcPr>
          <w:p w14:paraId="3A3A24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24021411</w:t>
            </w:r>
          </w:p>
        </w:tc>
        <w:tc>
          <w:tcPr>
            <w:tcW w:w="917" w:type="dxa"/>
            <w:tcBorders>
              <w:tl2br w:val="nil"/>
              <w:tr2bl w:val="nil"/>
            </w:tcBorders>
            <w:noWrap w:val="0"/>
            <w:tcMar>
              <w:top w:w="15" w:type="dxa"/>
              <w:left w:w="15" w:type="dxa"/>
              <w:right w:w="15" w:type="dxa"/>
            </w:tcMar>
            <w:vAlign w:val="center"/>
          </w:tcPr>
          <w:p w14:paraId="3E638C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0.005</w:t>
            </w:r>
          </w:p>
        </w:tc>
        <w:tc>
          <w:tcPr>
            <w:tcW w:w="1050" w:type="dxa"/>
            <w:tcBorders>
              <w:tl2br w:val="nil"/>
              <w:tr2bl w:val="nil"/>
            </w:tcBorders>
            <w:noWrap/>
            <w:tcMar>
              <w:top w:w="15" w:type="dxa"/>
              <w:left w:w="15" w:type="dxa"/>
              <w:right w:w="15" w:type="dxa"/>
            </w:tcMar>
            <w:vAlign w:val="center"/>
          </w:tcPr>
          <w:p w14:paraId="5C7B78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0.33838</w:t>
            </w:r>
          </w:p>
        </w:tc>
        <w:tc>
          <w:tcPr>
            <w:tcW w:w="604" w:type="dxa"/>
            <w:tcBorders>
              <w:tl2br w:val="nil"/>
              <w:tr2bl w:val="nil"/>
            </w:tcBorders>
            <w:noWrap w:val="0"/>
            <w:tcMar>
              <w:top w:w="15" w:type="dxa"/>
              <w:left w:w="15" w:type="dxa"/>
              <w:right w:w="15" w:type="dxa"/>
            </w:tcMar>
            <w:vAlign w:val="center"/>
          </w:tcPr>
          <w:p w14:paraId="76F962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0.17</w:t>
            </w:r>
          </w:p>
        </w:tc>
        <w:tc>
          <w:tcPr>
            <w:tcW w:w="399" w:type="pct"/>
            <w:tcBorders>
              <w:tl2br w:val="nil"/>
              <w:tr2bl w:val="nil"/>
            </w:tcBorders>
            <w:noWrap w:val="0"/>
            <w:tcMar>
              <w:top w:w="15" w:type="dxa"/>
              <w:left w:w="15" w:type="dxa"/>
              <w:right w:w="15" w:type="dxa"/>
            </w:tcMar>
            <w:vAlign w:val="center"/>
          </w:tcPr>
          <w:p w14:paraId="0F2573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4486C8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71" w:type="pct"/>
            <w:vMerge w:val="continue"/>
            <w:tcBorders>
              <w:tl2br w:val="nil"/>
              <w:tr2bl w:val="nil"/>
            </w:tcBorders>
            <w:noWrap/>
            <w:tcMar>
              <w:top w:w="15" w:type="dxa"/>
              <w:left w:w="15" w:type="dxa"/>
              <w:right w:w="15" w:type="dxa"/>
            </w:tcMar>
            <w:vAlign w:val="center"/>
          </w:tcPr>
          <w:p w14:paraId="012A16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p>
        </w:tc>
        <w:tc>
          <w:tcPr>
            <w:tcW w:w="1067" w:type="pct"/>
            <w:tcBorders>
              <w:tl2br w:val="nil"/>
              <w:tr2bl w:val="nil"/>
            </w:tcBorders>
            <w:noWrap w:val="0"/>
            <w:tcMar>
              <w:top w:w="15" w:type="dxa"/>
              <w:left w:w="15" w:type="dxa"/>
              <w:right w:w="15" w:type="dxa"/>
            </w:tcMar>
            <w:vAlign w:val="center"/>
          </w:tcPr>
          <w:p w14:paraId="71017D89">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i w:val="0"/>
                <w:color w:val="FF0000"/>
                <w:sz w:val="21"/>
                <w:szCs w:val="21"/>
                <w:highlight w:val="none"/>
                <w:u w:val="none"/>
                <w:lang w:val="en-US" w:eastAsia="zh-CN"/>
              </w:rPr>
              <w:t>范家村</w:t>
            </w:r>
          </w:p>
        </w:tc>
        <w:tc>
          <w:tcPr>
            <w:tcW w:w="568" w:type="pct"/>
            <w:tcBorders>
              <w:tl2br w:val="nil"/>
              <w:tr2bl w:val="nil"/>
            </w:tcBorders>
            <w:noWrap w:val="0"/>
            <w:tcMar>
              <w:top w:w="15" w:type="dxa"/>
              <w:left w:w="15" w:type="dxa"/>
              <w:right w:w="15" w:type="dxa"/>
            </w:tcMar>
            <w:vAlign w:val="center"/>
          </w:tcPr>
          <w:p w14:paraId="1FFF50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1小时平均</w:t>
            </w:r>
          </w:p>
        </w:tc>
        <w:tc>
          <w:tcPr>
            <w:tcW w:w="946" w:type="dxa"/>
            <w:tcBorders>
              <w:tl2br w:val="nil"/>
              <w:tr2bl w:val="nil"/>
            </w:tcBorders>
            <w:noWrap w:val="0"/>
            <w:tcMar>
              <w:top w:w="15" w:type="dxa"/>
              <w:left w:w="15" w:type="dxa"/>
              <w:right w:w="15" w:type="dxa"/>
            </w:tcMar>
            <w:vAlign w:val="center"/>
          </w:tcPr>
          <w:p w14:paraId="35B2C7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0.38408</w:t>
            </w:r>
          </w:p>
        </w:tc>
        <w:tc>
          <w:tcPr>
            <w:tcW w:w="1019" w:type="dxa"/>
            <w:tcBorders>
              <w:tl2br w:val="nil"/>
              <w:tr2bl w:val="nil"/>
            </w:tcBorders>
            <w:noWrap w:val="0"/>
            <w:tcMar>
              <w:top w:w="15" w:type="dxa"/>
              <w:left w:w="15" w:type="dxa"/>
              <w:right w:w="15" w:type="dxa"/>
            </w:tcMar>
            <w:vAlign w:val="center"/>
          </w:tcPr>
          <w:p w14:paraId="0DCB58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24013015</w:t>
            </w:r>
          </w:p>
        </w:tc>
        <w:tc>
          <w:tcPr>
            <w:tcW w:w="917" w:type="dxa"/>
            <w:tcBorders>
              <w:tl2br w:val="nil"/>
              <w:tr2bl w:val="nil"/>
            </w:tcBorders>
            <w:noWrap w:val="0"/>
            <w:tcMar>
              <w:top w:w="15" w:type="dxa"/>
              <w:left w:w="15" w:type="dxa"/>
              <w:right w:w="15" w:type="dxa"/>
            </w:tcMar>
            <w:vAlign w:val="center"/>
          </w:tcPr>
          <w:p w14:paraId="451BCF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0.005</w:t>
            </w:r>
          </w:p>
        </w:tc>
        <w:tc>
          <w:tcPr>
            <w:tcW w:w="1050" w:type="dxa"/>
            <w:tcBorders>
              <w:tl2br w:val="nil"/>
              <w:tr2bl w:val="nil"/>
            </w:tcBorders>
            <w:noWrap/>
            <w:tcMar>
              <w:top w:w="15" w:type="dxa"/>
              <w:left w:w="15" w:type="dxa"/>
              <w:right w:w="15" w:type="dxa"/>
            </w:tcMar>
            <w:vAlign w:val="center"/>
          </w:tcPr>
          <w:p w14:paraId="5E610E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0.38908</w:t>
            </w:r>
          </w:p>
        </w:tc>
        <w:tc>
          <w:tcPr>
            <w:tcW w:w="604" w:type="dxa"/>
            <w:tcBorders>
              <w:tl2br w:val="nil"/>
              <w:tr2bl w:val="nil"/>
            </w:tcBorders>
            <w:noWrap w:val="0"/>
            <w:tcMar>
              <w:top w:w="15" w:type="dxa"/>
              <w:left w:w="15" w:type="dxa"/>
              <w:right w:w="15" w:type="dxa"/>
            </w:tcMar>
            <w:vAlign w:val="center"/>
          </w:tcPr>
          <w:p w14:paraId="766339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0.19</w:t>
            </w:r>
          </w:p>
        </w:tc>
        <w:tc>
          <w:tcPr>
            <w:tcW w:w="399" w:type="pct"/>
            <w:tcBorders>
              <w:tl2br w:val="nil"/>
              <w:tr2bl w:val="nil"/>
            </w:tcBorders>
            <w:noWrap w:val="0"/>
            <w:tcMar>
              <w:top w:w="15" w:type="dxa"/>
              <w:left w:w="15" w:type="dxa"/>
              <w:right w:w="15" w:type="dxa"/>
            </w:tcMar>
            <w:vAlign w:val="center"/>
          </w:tcPr>
          <w:p w14:paraId="63AB0D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53244F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71" w:type="pct"/>
            <w:vMerge w:val="continue"/>
            <w:tcBorders>
              <w:tl2br w:val="nil"/>
              <w:tr2bl w:val="nil"/>
            </w:tcBorders>
            <w:noWrap/>
            <w:tcMar>
              <w:top w:w="15" w:type="dxa"/>
              <w:left w:w="15" w:type="dxa"/>
              <w:right w:w="15" w:type="dxa"/>
            </w:tcMar>
            <w:vAlign w:val="center"/>
          </w:tcPr>
          <w:p w14:paraId="568B4F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p>
        </w:tc>
        <w:tc>
          <w:tcPr>
            <w:tcW w:w="1067" w:type="pct"/>
            <w:tcBorders>
              <w:tl2br w:val="nil"/>
              <w:tr2bl w:val="nil"/>
            </w:tcBorders>
            <w:noWrap w:val="0"/>
            <w:tcMar>
              <w:top w:w="15" w:type="dxa"/>
              <w:left w:w="15" w:type="dxa"/>
              <w:right w:w="15" w:type="dxa"/>
            </w:tcMar>
            <w:vAlign w:val="center"/>
          </w:tcPr>
          <w:p w14:paraId="4EC10ACB">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i w:val="0"/>
                <w:color w:val="FF0000"/>
                <w:sz w:val="21"/>
                <w:szCs w:val="21"/>
                <w:highlight w:val="none"/>
                <w:u w:val="none"/>
                <w:lang w:val="en-US" w:eastAsia="zh-CN"/>
              </w:rPr>
              <w:t>原热电厂家属区</w:t>
            </w:r>
          </w:p>
        </w:tc>
        <w:tc>
          <w:tcPr>
            <w:tcW w:w="568" w:type="pct"/>
            <w:tcBorders>
              <w:tl2br w:val="nil"/>
              <w:tr2bl w:val="nil"/>
            </w:tcBorders>
            <w:noWrap w:val="0"/>
            <w:tcMar>
              <w:top w:w="15" w:type="dxa"/>
              <w:left w:w="15" w:type="dxa"/>
              <w:right w:w="15" w:type="dxa"/>
            </w:tcMar>
            <w:vAlign w:val="center"/>
          </w:tcPr>
          <w:p w14:paraId="553427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1小时平均</w:t>
            </w:r>
          </w:p>
        </w:tc>
        <w:tc>
          <w:tcPr>
            <w:tcW w:w="946" w:type="dxa"/>
            <w:tcBorders>
              <w:tl2br w:val="nil"/>
              <w:tr2bl w:val="nil"/>
            </w:tcBorders>
            <w:noWrap w:val="0"/>
            <w:tcMar>
              <w:top w:w="15" w:type="dxa"/>
              <w:left w:w="15" w:type="dxa"/>
              <w:right w:w="15" w:type="dxa"/>
            </w:tcMar>
            <w:vAlign w:val="center"/>
          </w:tcPr>
          <w:p w14:paraId="7D30D0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0.00361</w:t>
            </w:r>
          </w:p>
        </w:tc>
        <w:tc>
          <w:tcPr>
            <w:tcW w:w="1019" w:type="dxa"/>
            <w:tcBorders>
              <w:tl2br w:val="nil"/>
              <w:tr2bl w:val="nil"/>
            </w:tcBorders>
            <w:noWrap w:val="0"/>
            <w:tcMar>
              <w:top w:w="15" w:type="dxa"/>
              <w:left w:w="15" w:type="dxa"/>
              <w:right w:w="15" w:type="dxa"/>
            </w:tcMar>
            <w:vAlign w:val="center"/>
          </w:tcPr>
          <w:p w14:paraId="53F54F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24120612</w:t>
            </w:r>
          </w:p>
        </w:tc>
        <w:tc>
          <w:tcPr>
            <w:tcW w:w="917" w:type="dxa"/>
            <w:tcBorders>
              <w:tl2br w:val="nil"/>
              <w:tr2bl w:val="nil"/>
            </w:tcBorders>
            <w:noWrap w:val="0"/>
            <w:tcMar>
              <w:top w:w="15" w:type="dxa"/>
              <w:left w:w="15" w:type="dxa"/>
              <w:right w:w="15" w:type="dxa"/>
            </w:tcMar>
            <w:vAlign w:val="center"/>
          </w:tcPr>
          <w:p w14:paraId="373102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0.005</w:t>
            </w:r>
          </w:p>
        </w:tc>
        <w:tc>
          <w:tcPr>
            <w:tcW w:w="1050" w:type="dxa"/>
            <w:tcBorders>
              <w:tl2br w:val="nil"/>
              <w:tr2bl w:val="nil"/>
            </w:tcBorders>
            <w:noWrap/>
            <w:tcMar>
              <w:top w:w="15" w:type="dxa"/>
              <w:left w:w="15" w:type="dxa"/>
              <w:right w:w="15" w:type="dxa"/>
            </w:tcMar>
            <w:vAlign w:val="center"/>
          </w:tcPr>
          <w:p w14:paraId="3A5285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0.00861</w:t>
            </w:r>
          </w:p>
        </w:tc>
        <w:tc>
          <w:tcPr>
            <w:tcW w:w="604" w:type="dxa"/>
            <w:tcBorders>
              <w:tl2br w:val="nil"/>
              <w:tr2bl w:val="nil"/>
            </w:tcBorders>
            <w:noWrap w:val="0"/>
            <w:tcMar>
              <w:top w:w="15" w:type="dxa"/>
              <w:left w:w="15" w:type="dxa"/>
              <w:right w:w="15" w:type="dxa"/>
            </w:tcMar>
            <w:vAlign w:val="center"/>
          </w:tcPr>
          <w:p w14:paraId="724A1E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w:t>
            </w:r>
          </w:p>
        </w:tc>
        <w:tc>
          <w:tcPr>
            <w:tcW w:w="399" w:type="pct"/>
            <w:tcBorders>
              <w:tl2br w:val="nil"/>
              <w:tr2bl w:val="nil"/>
            </w:tcBorders>
            <w:noWrap w:val="0"/>
            <w:tcMar>
              <w:top w:w="15" w:type="dxa"/>
              <w:left w:w="15" w:type="dxa"/>
              <w:right w:w="15" w:type="dxa"/>
            </w:tcMar>
            <w:vAlign w:val="center"/>
          </w:tcPr>
          <w:p w14:paraId="423E68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66396B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71" w:type="pct"/>
            <w:vMerge w:val="continue"/>
            <w:tcBorders>
              <w:tl2br w:val="nil"/>
              <w:tr2bl w:val="nil"/>
            </w:tcBorders>
            <w:noWrap/>
            <w:tcMar>
              <w:top w:w="15" w:type="dxa"/>
              <w:left w:w="15" w:type="dxa"/>
              <w:right w:w="15" w:type="dxa"/>
            </w:tcMar>
            <w:vAlign w:val="center"/>
          </w:tcPr>
          <w:p w14:paraId="45119E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p>
        </w:tc>
        <w:tc>
          <w:tcPr>
            <w:tcW w:w="1067" w:type="pct"/>
            <w:tcBorders>
              <w:tl2br w:val="nil"/>
              <w:tr2bl w:val="nil"/>
            </w:tcBorders>
            <w:noWrap w:val="0"/>
            <w:tcMar>
              <w:top w:w="15" w:type="dxa"/>
              <w:left w:w="15" w:type="dxa"/>
              <w:right w:w="15" w:type="dxa"/>
            </w:tcMar>
            <w:vAlign w:val="center"/>
          </w:tcPr>
          <w:p w14:paraId="4CFB9FA6">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i w:val="0"/>
                <w:color w:val="FF0000"/>
                <w:sz w:val="21"/>
                <w:szCs w:val="21"/>
                <w:highlight w:val="none"/>
                <w:u w:val="none"/>
                <w:lang w:val="en-US" w:eastAsia="zh-CN"/>
              </w:rPr>
              <w:t>黑锻新城小区</w:t>
            </w:r>
          </w:p>
        </w:tc>
        <w:tc>
          <w:tcPr>
            <w:tcW w:w="568" w:type="pct"/>
            <w:tcBorders>
              <w:tl2br w:val="nil"/>
              <w:tr2bl w:val="nil"/>
            </w:tcBorders>
            <w:noWrap w:val="0"/>
            <w:tcMar>
              <w:top w:w="15" w:type="dxa"/>
              <w:left w:w="15" w:type="dxa"/>
              <w:right w:w="15" w:type="dxa"/>
            </w:tcMar>
            <w:vAlign w:val="center"/>
          </w:tcPr>
          <w:p w14:paraId="39BFEF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1小时平均</w:t>
            </w:r>
          </w:p>
        </w:tc>
        <w:tc>
          <w:tcPr>
            <w:tcW w:w="946" w:type="dxa"/>
            <w:tcBorders>
              <w:tl2br w:val="nil"/>
              <w:tr2bl w:val="nil"/>
            </w:tcBorders>
            <w:noWrap w:val="0"/>
            <w:tcMar>
              <w:top w:w="15" w:type="dxa"/>
              <w:left w:w="15" w:type="dxa"/>
              <w:right w:w="15" w:type="dxa"/>
            </w:tcMar>
            <w:vAlign w:val="center"/>
          </w:tcPr>
          <w:p w14:paraId="63FCBB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0.18876</w:t>
            </w:r>
          </w:p>
        </w:tc>
        <w:tc>
          <w:tcPr>
            <w:tcW w:w="1019" w:type="dxa"/>
            <w:tcBorders>
              <w:tl2br w:val="nil"/>
              <w:tr2bl w:val="nil"/>
            </w:tcBorders>
            <w:noWrap w:val="0"/>
            <w:tcMar>
              <w:top w:w="15" w:type="dxa"/>
              <w:left w:w="15" w:type="dxa"/>
              <w:right w:w="15" w:type="dxa"/>
            </w:tcMar>
            <w:vAlign w:val="center"/>
          </w:tcPr>
          <w:p w14:paraId="6CCC34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24021713</w:t>
            </w:r>
          </w:p>
        </w:tc>
        <w:tc>
          <w:tcPr>
            <w:tcW w:w="917" w:type="dxa"/>
            <w:tcBorders>
              <w:tl2br w:val="nil"/>
              <w:tr2bl w:val="nil"/>
            </w:tcBorders>
            <w:noWrap w:val="0"/>
            <w:tcMar>
              <w:top w:w="15" w:type="dxa"/>
              <w:left w:w="15" w:type="dxa"/>
              <w:right w:w="15" w:type="dxa"/>
            </w:tcMar>
            <w:vAlign w:val="center"/>
          </w:tcPr>
          <w:p w14:paraId="333715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0.005</w:t>
            </w:r>
          </w:p>
        </w:tc>
        <w:tc>
          <w:tcPr>
            <w:tcW w:w="1050" w:type="dxa"/>
            <w:tcBorders>
              <w:tl2br w:val="nil"/>
              <w:tr2bl w:val="nil"/>
            </w:tcBorders>
            <w:noWrap/>
            <w:tcMar>
              <w:top w:w="15" w:type="dxa"/>
              <w:left w:w="15" w:type="dxa"/>
              <w:right w:w="15" w:type="dxa"/>
            </w:tcMar>
            <w:vAlign w:val="center"/>
          </w:tcPr>
          <w:p w14:paraId="197B8C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0.19376</w:t>
            </w:r>
          </w:p>
        </w:tc>
        <w:tc>
          <w:tcPr>
            <w:tcW w:w="604" w:type="dxa"/>
            <w:tcBorders>
              <w:tl2br w:val="nil"/>
              <w:tr2bl w:val="nil"/>
            </w:tcBorders>
            <w:noWrap w:val="0"/>
            <w:tcMar>
              <w:top w:w="15" w:type="dxa"/>
              <w:left w:w="15" w:type="dxa"/>
              <w:right w:w="15" w:type="dxa"/>
            </w:tcMar>
            <w:vAlign w:val="center"/>
          </w:tcPr>
          <w:p w14:paraId="6A16DB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0.10</w:t>
            </w:r>
          </w:p>
        </w:tc>
        <w:tc>
          <w:tcPr>
            <w:tcW w:w="399" w:type="pct"/>
            <w:tcBorders>
              <w:tl2br w:val="nil"/>
              <w:tr2bl w:val="nil"/>
            </w:tcBorders>
            <w:noWrap w:val="0"/>
            <w:tcMar>
              <w:top w:w="15" w:type="dxa"/>
              <w:left w:w="15" w:type="dxa"/>
              <w:right w:w="15" w:type="dxa"/>
            </w:tcMar>
            <w:vAlign w:val="center"/>
          </w:tcPr>
          <w:p w14:paraId="124F29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017E93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71" w:type="pct"/>
            <w:vMerge w:val="continue"/>
            <w:tcBorders>
              <w:tl2br w:val="nil"/>
              <w:tr2bl w:val="nil"/>
            </w:tcBorders>
            <w:noWrap/>
            <w:tcMar>
              <w:top w:w="15" w:type="dxa"/>
              <w:left w:w="15" w:type="dxa"/>
              <w:right w:w="15" w:type="dxa"/>
            </w:tcMar>
            <w:vAlign w:val="center"/>
          </w:tcPr>
          <w:p w14:paraId="65B584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p>
        </w:tc>
        <w:tc>
          <w:tcPr>
            <w:tcW w:w="1067" w:type="pct"/>
            <w:tcBorders>
              <w:tl2br w:val="nil"/>
              <w:tr2bl w:val="nil"/>
            </w:tcBorders>
            <w:noWrap w:val="0"/>
            <w:tcMar>
              <w:top w:w="15" w:type="dxa"/>
              <w:left w:w="15" w:type="dxa"/>
              <w:right w:w="15" w:type="dxa"/>
            </w:tcMar>
            <w:vAlign w:val="center"/>
          </w:tcPr>
          <w:p w14:paraId="490A3B92">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i w:val="0"/>
                <w:color w:val="FF0000"/>
                <w:sz w:val="21"/>
                <w:szCs w:val="21"/>
                <w:highlight w:val="none"/>
                <w:u w:val="none"/>
                <w:lang w:val="en-US" w:eastAsia="zh-CN"/>
              </w:rPr>
              <w:t>东侧市区（绿云社区）</w:t>
            </w:r>
          </w:p>
        </w:tc>
        <w:tc>
          <w:tcPr>
            <w:tcW w:w="568" w:type="pct"/>
            <w:tcBorders>
              <w:tl2br w:val="nil"/>
              <w:tr2bl w:val="nil"/>
            </w:tcBorders>
            <w:noWrap w:val="0"/>
            <w:tcMar>
              <w:top w:w="15" w:type="dxa"/>
              <w:left w:w="15" w:type="dxa"/>
              <w:right w:w="15" w:type="dxa"/>
            </w:tcMar>
            <w:vAlign w:val="center"/>
          </w:tcPr>
          <w:p w14:paraId="33075C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1小时平均</w:t>
            </w:r>
          </w:p>
        </w:tc>
        <w:tc>
          <w:tcPr>
            <w:tcW w:w="946" w:type="dxa"/>
            <w:tcBorders>
              <w:tl2br w:val="nil"/>
              <w:tr2bl w:val="nil"/>
            </w:tcBorders>
            <w:noWrap w:val="0"/>
            <w:tcMar>
              <w:top w:w="15" w:type="dxa"/>
              <w:left w:w="15" w:type="dxa"/>
              <w:right w:w="15" w:type="dxa"/>
            </w:tcMar>
            <w:vAlign w:val="center"/>
          </w:tcPr>
          <w:p w14:paraId="0FD140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0.41663</w:t>
            </w:r>
          </w:p>
        </w:tc>
        <w:tc>
          <w:tcPr>
            <w:tcW w:w="1019" w:type="dxa"/>
            <w:tcBorders>
              <w:tl2br w:val="nil"/>
              <w:tr2bl w:val="nil"/>
            </w:tcBorders>
            <w:noWrap w:val="0"/>
            <w:tcMar>
              <w:top w:w="15" w:type="dxa"/>
              <w:left w:w="15" w:type="dxa"/>
              <w:right w:w="15" w:type="dxa"/>
            </w:tcMar>
            <w:vAlign w:val="center"/>
          </w:tcPr>
          <w:p w14:paraId="252577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24022511</w:t>
            </w:r>
          </w:p>
        </w:tc>
        <w:tc>
          <w:tcPr>
            <w:tcW w:w="917" w:type="dxa"/>
            <w:tcBorders>
              <w:tl2br w:val="nil"/>
              <w:tr2bl w:val="nil"/>
            </w:tcBorders>
            <w:noWrap w:val="0"/>
            <w:tcMar>
              <w:top w:w="15" w:type="dxa"/>
              <w:left w:w="15" w:type="dxa"/>
              <w:right w:w="15" w:type="dxa"/>
            </w:tcMar>
            <w:vAlign w:val="center"/>
          </w:tcPr>
          <w:p w14:paraId="09E7F0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0.005</w:t>
            </w:r>
          </w:p>
        </w:tc>
        <w:tc>
          <w:tcPr>
            <w:tcW w:w="1050" w:type="dxa"/>
            <w:tcBorders>
              <w:tl2br w:val="nil"/>
              <w:tr2bl w:val="nil"/>
            </w:tcBorders>
            <w:noWrap/>
            <w:tcMar>
              <w:top w:w="15" w:type="dxa"/>
              <w:left w:w="15" w:type="dxa"/>
              <w:right w:w="15" w:type="dxa"/>
            </w:tcMar>
            <w:vAlign w:val="center"/>
          </w:tcPr>
          <w:p w14:paraId="1B1EEC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0.42163</w:t>
            </w:r>
          </w:p>
        </w:tc>
        <w:tc>
          <w:tcPr>
            <w:tcW w:w="604" w:type="dxa"/>
            <w:tcBorders>
              <w:tl2br w:val="nil"/>
              <w:tr2bl w:val="nil"/>
            </w:tcBorders>
            <w:noWrap w:val="0"/>
            <w:tcMar>
              <w:top w:w="15" w:type="dxa"/>
              <w:left w:w="15" w:type="dxa"/>
              <w:right w:w="15" w:type="dxa"/>
            </w:tcMar>
            <w:vAlign w:val="center"/>
          </w:tcPr>
          <w:p w14:paraId="3B56EB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0.21</w:t>
            </w:r>
          </w:p>
        </w:tc>
        <w:tc>
          <w:tcPr>
            <w:tcW w:w="399" w:type="pct"/>
            <w:tcBorders>
              <w:tl2br w:val="nil"/>
              <w:tr2bl w:val="nil"/>
            </w:tcBorders>
            <w:noWrap w:val="0"/>
            <w:tcMar>
              <w:top w:w="15" w:type="dxa"/>
              <w:left w:w="15" w:type="dxa"/>
              <w:right w:w="15" w:type="dxa"/>
            </w:tcMar>
            <w:vAlign w:val="center"/>
          </w:tcPr>
          <w:p w14:paraId="6BA1EE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3F870C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71" w:type="pct"/>
            <w:vMerge w:val="continue"/>
            <w:tcBorders>
              <w:tl2br w:val="nil"/>
              <w:tr2bl w:val="nil"/>
            </w:tcBorders>
            <w:noWrap/>
            <w:tcMar>
              <w:top w:w="15" w:type="dxa"/>
              <w:left w:w="15" w:type="dxa"/>
              <w:right w:w="15" w:type="dxa"/>
            </w:tcMar>
            <w:vAlign w:val="center"/>
          </w:tcPr>
          <w:p w14:paraId="40FC9D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p>
        </w:tc>
        <w:tc>
          <w:tcPr>
            <w:tcW w:w="1067" w:type="pct"/>
            <w:tcBorders>
              <w:tl2br w:val="nil"/>
              <w:tr2bl w:val="nil"/>
            </w:tcBorders>
            <w:noWrap w:val="0"/>
            <w:tcMar>
              <w:top w:w="15" w:type="dxa"/>
              <w:left w:w="15" w:type="dxa"/>
              <w:right w:w="15" w:type="dxa"/>
            </w:tcMar>
            <w:vAlign w:val="center"/>
          </w:tcPr>
          <w:p w14:paraId="115A8E38">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南侧市区（佳木斯市第十六中学）</w:t>
            </w:r>
          </w:p>
        </w:tc>
        <w:tc>
          <w:tcPr>
            <w:tcW w:w="568" w:type="pct"/>
            <w:tcBorders>
              <w:tl2br w:val="nil"/>
              <w:tr2bl w:val="nil"/>
            </w:tcBorders>
            <w:noWrap w:val="0"/>
            <w:tcMar>
              <w:top w:w="15" w:type="dxa"/>
              <w:left w:w="15" w:type="dxa"/>
              <w:right w:w="15" w:type="dxa"/>
            </w:tcMar>
            <w:vAlign w:val="center"/>
          </w:tcPr>
          <w:p w14:paraId="3DBD0E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1小时平均</w:t>
            </w:r>
          </w:p>
        </w:tc>
        <w:tc>
          <w:tcPr>
            <w:tcW w:w="946" w:type="dxa"/>
            <w:tcBorders>
              <w:tl2br w:val="nil"/>
              <w:tr2bl w:val="nil"/>
            </w:tcBorders>
            <w:noWrap w:val="0"/>
            <w:tcMar>
              <w:top w:w="15" w:type="dxa"/>
              <w:left w:w="15" w:type="dxa"/>
              <w:right w:w="15" w:type="dxa"/>
            </w:tcMar>
            <w:vAlign w:val="center"/>
          </w:tcPr>
          <w:p w14:paraId="14D114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0.64936</w:t>
            </w:r>
          </w:p>
        </w:tc>
        <w:tc>
          <w:tcPr>
            <w:tcW w:w="1019" w:type="dxa"/>
            <w:tcBorders>
              <w:tl2br w:val="nil"/>
              <w:tr2bl w:val="nil"/>
            </w:tcBorders>
            <w:noWrap w:val="0"/>
            <w:tcMar>
              <w:top w:w="15" w:type="dxa"/>
              <w:left w:w="15" w:type="dxa"/>
              <w:right w:w="15" w:type="dxa"/>
            </w:tcMar>
            <w:vAlign w:val="center"/>
          </w:tcPr>
          <w:p w14:paraId="0D39E5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24120612</w:t>
            </w:r>
          </w:p>
        </w:tc>
        <w:tc>
          <w:tcPr>
            <w:tcW w:w="917" w:type="dxa"/>
            <w:tcBorders>
              <w:tl2br w:val="nil"/>
              <w:tr2bl w:val="nil"/>
            </w:tcBorders>
            <w:noWrap w:val="0"/>
            <w:tcMar>
              <w:top w:w="15" w:type="dxa"/>
              <w:left w:w="15" w:type="dxa"/>
              <w:right w:w="15" w:type="dxa"/>
            </w:tcMar>
            <w:vAlign w:val="center"/>
          </w:tcPr>
          <w:p w14:paraId="006977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0.005</w:t>
            </w:r>
          </w:p>
        </w:tc>
        <w:tc>
          <w:tcPr>
            <w:tcW w:w="1050" w:type="dxa"/>
            <w:tcBorders>
              <w:tl2br w:val="nil"/>
              <w:tr2bl w:val="nil"/>
            </w:tcBorders>
            <w:noWrap/>
            <w:tcMar>
              <w:top w:w="15" w:type="dxa"/>
              <w:left w:w="15" w:type="dxa"/>
              <w:right w:w="15" w:type="dxa"/>
            </w:tcMar>
            <w:vAlign w:val="center"/>
          </w:tcPr>
          <w:p w14:paraId="1CA1BD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0.65436</w:t>
            </w:r>
          </w:p>
        </w:tc>
        <w:tc>
          <w:tcPr>
            <w:tcW w:w="604" w:type="dxa"/>
            <w:tcBorders>
              <w:tl2br w:val="nil"/>
              <w:tr2bl w:val="nil"/>
            </w:tcBorders>
            <w:noWrap w:val="0"/>
            <w:tcMar>
              <w:top w:w="15" w:type="dxa"/>
              <w:left w:w="15" w:type="dxa"/>
              <w:right w:w="15" w:type="dxa"/>
            </w:tcMar>
            <w:vAlign w:val="center"/>
          </w:tcPr>
          <w:p w14:paraId="2ECC1A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0.33</w:t>
            </w:r>
          </w:p>
        </w:tc>
        <w:tc>
          <w:tcPr>
            <w:tcW w:w="399" w:type="pct"/>
            <w:tcBorders>
              <w:tl2br w:val="nil"/>
              <w:tr2bl w:val="nil"/>
            </w:tcBorders>
            <w:noWrap w:val="0"/>
            <w:tcMar>
              <w:top w:w="15" w:type="dxa"/>
              <w:left w:w="15" w:type="dxa"/>
              <w:right w:w="15" w:type="dxa"/>
            </w:tcMar>
            <w:vAlign w:val="center"/>
          </w:tcPr>
          <w:p w14:paraId="7537D0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r w14:paraId="6A1205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71" w:type="pct"/>
            <w:vMerge w:val="continue"/>
            <w:tcBorders>
              <w:tl2br w:val="nil"/>
              <w:tr2bl w:val="nil"/>
            </w:tcBorders>
            <w:vAlign w:val="center"/>
          </w:tcPr>
          <w:p w14:paraId="6D7A3D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sz w:val="21"/>
                <w:szCs w:val="21"/>
                <w:highlight w:val="none"/>
                <w:u w:val="none"/>
              </w:rPr>
            </w:pPr>
          </w:p>
        </w:tc>
        <w:tc>
          <w:tcPr>
            <w:tcW w:w="1067" w:type="pct"/>
            <w:tcBorders>
              <w:tl2br w:val="nil"/>
              <w:tr2bl w:val="nil"/>
            </w:tcBorders>
            <w:vAlign w:val="center"/>
          </w:tcPr>
          <w:p w14:paraId="51A5E864">
            <w:pPr>
              <w:pStyle w:val="12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FF0000"/>
                <w:kern w:val="2"/>
                <w:sz w:val="21"/>
                <w:szCs w:val="21"/>
                <w:highlight w:val="none"/>
                <w:lang w:val="en-US" w:eastAsia="zh-CN"/>
              </w:rPr>
            </w:pPr>
            <w:r>
              <w:rPr>
                <w:rFonts w:hint="default" w:ascii="Times New Roman" w:hAnsi="Times New Roman" w:eastAsia="宋体" w:cs="Times New Roman"/>
                <w:color w:val="FF0000"/>
                <w:kern w:val="2"/>
                <w:sz w:val="21"/>
                <w:szCs w:val="21"/>
                <w:highlight w:val="none"/>
                <w:lang w:val="en-US" w:eastAsia="zh-CN"/>
              </w:rPr>
              <w:t>区域最大落地浓度</w:t>
            </w:r>
          </w:p>
        </w:tc>
        <w:tc>
          <w:tcPr>
            <w:tcW w:w="568" w:type="pct"/>
            <w:tcBorders>
              <w:tl2br w:val="nil"/>
              <w:tr2bl w:val="nil"/>
            </w:tcBorders>
            <w:vAlign w:val="center"/>
          </w:tcPr>
          <w:p w14:paraId="70CB1E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default" w:ascii="Times New Roman" w:hAnsi="Times New Roman" w:eastAsia="宋体" w:cs="Times New Roman"/>
                <w:i w:val="0"/>
                <w:color w:val="FF0000"/>
                <w:kern w:val="0"/>
                <w:sz w:val="21"/>
                <w:szCs w:val="21"/>
                <w:highlight w:val="none"/>
                <w:u w:val="none"/>
                <w:lang w:val="en-US" w:eastAsia="zh-CN" w:bidi="ar"/>
              </w:rPr>
              <w:t>1小时平均</w:t>
            </w:r>
          </w:p>
        </w:tc>
        <w:tc>
          <w:tcPr>
            <w:tcW w:w="946" w:type="dxa"/>
            <w:tcBorders>
              <w:tl2br w:val="nil"/>
              <w:tr2bl w:val="nil"/>
            </w:tcBorders>
            <w:vAlign w:val="center"/>
          </w:tcPr>
          <w:p w14:paraId="54F3A7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0.93154</w:t>
            </w:r>
          </w:p>
        </w:tc>
        <w:tc>
          <w:tcPr>
            <w:tcW w:w="1019" w:type="dxa"/>
            <w:tcBorders>
              <w:tl2br w:val="nil"/>
              <w:tr2bl w:val="nil"/>
            </w:tcBorders>
            <w:vAlign w:val="center"/>
          </w:tcPr>
          <w:p w14:paraId="37946A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24011214</w:t>
            </w:r>
          </w:p>
        </w:tc>
        <w:tc>
          <w:tcPr>
            <w:tcW w:w="917" w:type="dxa"/>
            <w:tcBorders>
              <w:tl2br w:val="nil"/>
              <w:tr2bl w:val="nil"/>
            </w:tcBorders>
            <w:vAlign w:val="center"/>
          </w:tcPr>
          <w:p w14:paraId="71788E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0.005</w:t>
            </w:r>
          </w:p>
        </w:tc>
        <w:tc>
          <w:tcPr>
            <w:tcW w:w="1050" w:type="dxa"/>
            <w:tcBorders>
              <w:tl2br w:val="nil"/>
              <w:tr2bl w:val="nil"/>
            </w:tcBorders>
            <w:vAlign w:val="center"/>
          </w:tcPr>
          <w:p w14:paraId="213327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0.93654</w:t>
            </w:r>
          </w:p>
        </w:tc>
        <w:tc>
          <w:tcPr>
            <w:tcW w:w="604" w:type="dxa"/>
            <w:tcBorders>
              <w:tl2br w:val="nil"/>
              <w:tr2bl w:val="nil"/>
            </w:tcBorders>
            <w:vAlign w:val="center"/>
          </w:tcPr>
          <w:p w14:paraId="277FA6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color w:val="FF0000"/>
                <w:kern w:val="0"/>
                <w:sz w:val="21"/>
                <w:szCs w:val="21"/>
                <w:highlight w:val="none"/>
                <w:u w:val="none"/>
                <w:lang w:val="en-US" w:eastAsia="zh-CN" w:bidi="ar"/>
              </w:rPr>
            </w:pPr>
            <w:r>
              <w:rPr>
                <w:rFonts w:hint="eastAsia" w:ascii="Times New Roman" w:hAnsi="Times New Roman" w:eastAsia="宋体" w:cs="Times New Roman"/>
                <w:i w:val="0"/>
                <w:color w:val="FF0000"/>
                <w:kern w:val="0"/>
                <w:sz w:val="21"/>
                <w:szCs w:val="21"/>
                <w:highlight w:val="none"/>
                <w:u w:val="none"/>
                <w:lang w:val="en-US" w:eastAsia="zh-CN" w:bidi="ar"/>
              </w:rPr>
              <w:t>0.47</w:t>
            </w:r>
          </w:p>
        </w:tc>
        <w:tc>
          <w:tcPr>
            <w:tcW w:w="399" w:type="pct"/>
            <w:tcBorders>
              <w:tl2br w:val="nil"/>
              <w:tr2bl w:val="nil"/>
            </w:tcBorders>
            <w:vAlign w:val="center"/>
          </w:tcPr>
          <w:p w14:paraId="340EE5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达标</w:t>
            </w:r>
          </w:p>
        </w:tc>
      </w:tr>
    </w:tbl>
    <w:p w14:paraId="691A6835">
      <w:pPr>
        <w:jc w:val="center"/>
        <w:rPr>
          <w:rFonts w:hint="default" w:ascii="Times New Roman" w:hAnsi="Times New Roman" w:eastAsia="宋体" w:cs="Times New Roman"/>
          <w:color w:val="FF0000"/>
          <w:highlight w:val="none"/>
        </w:rPr>
        <w:sectPr>
          <w:pgSz w:w="11906" w:h="16838"/>
          <w:pgMar w:top="1417" w:right="1417" w:bottom="1417" w:left="1417" w:header="1191" w:footer="1191" w:gutter="0"/>
          <w:pgBorders>
            <w:top w:val="none" w:sz="0" w:space="0"/>
            <w:left w:val="none" w:sz="0" w:space="0"/>
            <w:bottom w:val="none" w:sz="0" w:space="0"/>
            <w:right w:val="none" w:sz="0" w:space="0"/>
          </w:pgBorders>
          <w:pgNumType w:fmt="decimal"/>
          <w:cols w:space="720" w:num="1"/>
          <w:docGrid w:linePitch="286" w:charSpace="0"/>
        </w:sectPr>
      </w:pPr>
    </w:p>
    <w:p w14:paraId="7108F4A2">
      <w:pPr>
        <w:bidi w:val="0"/>
        <w:ind w:left="0" w:leftChars="0" w:firstLine="0" w:firstLineChars="0"/>
        <w:jc w:val="center"/>
        <w:rPr>
          <w:rFonts w:hint="default" w:ascii="Times New Roman" w:hAnsi="Times New Roman" w:eastAsia="宋体" w:cs="Times New Roman"/>
          <w:color w:val="FF0000"/>
          <w:highlight w:val="none"/>
          <w:lang w:eastAsia="zh-CN"/>
        </w:rPr>
      </w:pPr>
      <w:r>
        <w:rPr>
          <w:color w:val="FF0000"/>
          <w:highlight w:val="none"/>
        </w:rPr>
        <w:drawing>
          <wp:anchor distT="0" distB="0" distL="114300" distR="114300" simplePos="0" relativeHeight="251673600" behindDoc="0" locked="0" layoutInCell="1" allowOverlap="1">
            <wp:simplePos x="0" y="0"/>
            <wp:positionH relativeFrom="column">
              <wp:posOffset>4879340</wp:posOffset>
            </wp:positionH>
            <wp:positionV relativeFrom="paragraph">
              <wp:posOffset>99060</wp:posOffset>
            </wp:positionV>
            <wp:extent cx="923925" cy="952500"/>
            <wp:effectExtent l="0" t="0" r="9525" b="0"/>
            <wp:wrapNone/>
            <wp:docPr id="2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1"/>
                    <pic:cNvPicPr>
                      <a:picLocks noChangeAspect="1"/>
                    </pic:cNvPicPr>
                  </pic:nvPicPr>
                  <pic:blipFill>
                    <a:blip r:embed="rId97"/>
                    <a:stretch>
                      <a:fillRect/>
                    </a:stretch>
                  </pic:blipFill>
                  <pic:spPr>
                    <a:xfrm>
                      <a:off x="0" y="0"/>
                      <a:ext cx="923925" cy="952500"/>
                    </a:xfrm>
                    <a:prstGeom prst="rect">
                      <a:avLst/>
                    </a:prstGeom>
                    <a:noFill/>
                    <a:ln>
                      <a:noFill/>
                    </a:ln>
                  </pic:spPr>
                </pic:pic>
              </a:graphicData>
            </a:graphic>
          </wp:anchor>
        </w:drawing>
      </w:r>
      <w:r>
        <w:rPr>
          <w:color w:val="FF0000"/>
          <w:highlight w:val="none"/>
        </w:rPr>
        <w:drawing>
          <wp:inline distT="0" distB="0" distL="114300" distR="114300">
            <wp:extent cx="5400040" cy="3669030"/>
            <wp:effectExtent l="0" t="0" r="10160" b="7620"/>
            <wp:docPr id="15"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0"/>
                    <pic:cNvPicPr>
                      <a:picLocks noChangeAspect="1"/>
                    </pic:cNvPicPr>
                  </pic:nvPicPr>
                  <pic:blipFill>
                    <a:blip r:embed="rId98"/>
                    <a:stretch>
                      <a:fillRect/>
                    </a:stretch>
                  </pic:blipFill>
                  <pic:spPr>
                    <a:xfrm>
                      <a:off x="0" y="0"/>
                      <a:ext cx="5400040" cy="3669030"/>
                    </a:xfrm>
                    <a:prstGeom prst="rect">
                      <a:avLst/>
                    </a:prstGeom>
                    <a:noFill/>
                    <a:ln>
                      <a:noFill/>
                    </a:ln>
                  </pic:spPr>
                </pic:pic>
              </a:graphicData>
            </a:graphic>
          </wp:inline>
        </w:drawing>
      </w:r>
    </w:p>
    <w:p w14:paraId="252142F4">
      <w:pPr>
        <w:bidi w:val="0"/>
        <w:ind w:left="0" w:leftChars="0" w:firstLine="0" w:firstLineChars="0"/>
        <w:jc w:val="center"/>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图6</w:t>
      </w:r>
      <w:r>
        <w:rPr>
          <w:rFonts w:hint="eastAsia" w:ascii="Times New Roman" w:hAnsi="Times New Roman" w:eastAsia="宋体" w:cs="Times New Roman"/>
          <w:color w:val="FF0000"/>
          <w:highlight w:val="none"/>
          <w:lang w:val="en-US" w:eastAsia="zh-CN"/>
        </w:rPr>
        <w:t>.2-2</w:t>
      </w:r>
      <w:r>
        <w:rPr>
          <w:rFonts w:hint="default" w:ascii="Times New Roman" w:hAnsi="Times New Roman" w:eastAsia="宋体" w:cs="Times New Roman"/>
          <w:color w:val="FF0000"/>
          <w:highlight w:val="none"/>
        </w:rPr>
        <w:t xml:space="preserve"> </w:t>
      </w:r>
      <w:r>
        <w:rPr>
          <w:rFonts w:hint="default" w:ascii="Times New Roman" w:hAnsi="Times New Roman" w:eastAsia="宋体" w:cs="Times New Roman"/>
          <w:color w:val="FF0000"/>
          <w:highlight w:val="none"/>
          <w:lang w:val="en-US" w:eastAsia="zh-CN"/>
        </w:rPr>
        <w:t xml:space="preserve"> </w:t>
      </w:r>
      <w:r>
        <w:rPr>
          <w:rFonts w:hint="default" w:ascii="Times New Roman" w:hAnsi="Times New Roman" w:eastAsia="宋体" w:cs="Times New Roman"/>
          <w:color w:val="FF0000"/>
          <w:highlight w:val="none"/>
        </w:rPr>
        <w:t>本项目</w:t>
      </w:r>
      <w:r>
        <w:rPr>
          <w:rFonts w:hint="default" w:ascii="Times New Roman" w:hAnsi="Times New Roman" w:eastAsia="宋体" w:cs="Times New Roman"/>
          <w:color w:val="FF0000"/>
          <w:highlight w:val="none"/>
          <w:lang w:val="en-US" w:eastAsia="zh-CN"/>
        </w:rPr>
        <w:t>PM</w:t>
      </w:r>
      <w:r>
        <w:rPr>
          <w:rFonts w:hint="default" w:ascii="Times New Roman" w:hAnsi="Times New Roman" w:eastAsia="宋体" w:cs="Times New Roman"/>
          <w:color w:val="FF0000"/>
          <w:highlight w:val="none"/>
          <w:vertAlign w:val="subscript"/>
          <w:lang w:val="en-US" w:eastAsia="zh-CN"/>
        </w:rPr>
        <w:t>10</w:t>
      </w:r>
      <w:r>
        <w:rPr>
          <w:rFonts w:hint="default" w:ascii="Times New Roman" w:hAnsi="Times New Roman" w:eastAsia="宋体" w:cs="Times New Roman"/>
          <w:color w:val="FF0000"/>
          <w:highlight w:val="none"/>
          <w:vertAlign w:val="baseline"/>
          <w:lang w:val="en-US" w:eastAsia="zh-CN"/>
        </w:rPr>
        <w:t>年</w:t>
      </w:r>
      <w:r>
        <w:rPr>
          <w:rFonts w:hint="default" w:ascii="Times New Roman" w:hAnsi="Times New Roman" w:eastAsia="宋体" w:cs="Times New Roman"/>
          <w:color w:val="FF0000"/>
          <w:highlight w:val="none"/>
          <w:vertAlign w:val="baseline"/>
          <w:lang w:eastAsia="zh-CN"/>
        </w:rPr>
        <w:t>平均质量浓度分布图</w:t>
      </w:r>
      <w:r>
        <w:rPr>
          <w:rFonts w:hint="default" w:ascii="Times New Roman" w:hAnsi="Times New Roman" w:eastAsia="宋体" w:cs="Times New Roman"/>
          <w:color w:val="FF0000"/>
          <w:highlight w:val="none"/>
        </w:rPr>
        <w:t>（μg/m</w:t>
      </w:r>
      <w:r>
        <w:rPr>
          <w:rFonts w:hint="default" w:ascii="Times New Roman" w:hAnsi="Times New Roman" w:eastAsia="宋体" w:cs="Times New Roman"/>
          <w:color w:val="FF0000"/>
          <w:highlight w:val="none"/>
          <w:vertAlign w:val="superscript"/>
        </w:rPr>
        <w:t>3</w:t>
      </w:r>
      <w:r>
        <w:rPr>
          <w:rFonts w:hint="default" w:ascii="Times New Roman" w:hAnsi="Times New Roman" w:eastAsia="宋体" w:cs="Times New Roman"/>
          <w:color w:val="FF0000"/>
          <w:highlight w:val="none"/>
        </w:rPr>
        <w:t>）</w:t>
      </w:r>
    </w:p>
    <w:p w14:paraId="30CBF0FA">
      <w:pPr>
        <w:bidi w:val="0"/>
        <w:ind w:left="0" w:leftChars="0" w:firstLine="0" w:firstLineChars="0"/>
        <w:jc w:val="center"/>
        <w:rPr>
          <w:rFonts w:hint="default" w:ascii="Times New Roman" w:hAnsi="Times New Roman" w:eastAsia="宋体" w:cs="Times New Roman"/>
          <w:color w:val="FF0000"/>
          <w:highlight w:val="none"/>
          <w:lang w:eastAsia="zh-CN"/>
        </w:rPr>
      </w:pPr>
      <w:r>
        <w:rPr>
          <w:color w:val="FF0000"/>
          <w:highlight w:val="none"/>
        </w:rPr>
        <w:drawing>
          <wp:anchor distT="0" distB="0" distL="114300" distR="114300" simplePos="0" relativeHeight="251674624" behindDoc="0" locked="0" layoutInCell="1" allowOverlap="1">
            <wp:simplePos x="0" y="0"/>
            <wp:positionH relativeFrom="column">
              <wp:posOffset>4650740</wp:posOffset>
            </wp:positionH>
            <wp:positionV relativeFrom="paragraph">
              <wp:posOffset>129540</wp:posOffset>
            </wp:positionV>
            <wp:extent cx="923925" cy="952500"/>
            <wp:effectExtent l="0" t="0" r="9525" b="0"/>
            <wp:wrapNone/>
            <wp:docPr id="28"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41"/>
                    <pic:cNvPicPr>
                      <a:picLocks noChangeAspect="1"/>
                    </pic:cNvPicPr>
                  </pic:nvPicPr>
                  <pic:blipFill>
                    <a:blip r:embed="rId97"/>
                    <a:stretch>
                      <a:fillRect/>
                    </a:stretch>
                  </pic:blipFill>
                  <pic:spPr>
                    <a:xfrm>
                      <a:off x="0" y="0"/>
                      <a:ext cx="923925" cy="952500"/>
                    </a:xfrm>
                    <a:prstGeom prst="rect">
                      <a:avLst/>
                    </a:prstGeom>
                    <a:noFill/>
                    <a:ln>
                      <a:noFill/>
                    </a:ln>
                  </pic:spPr>
                </pic:pic>
              </a:graphicData>
            </a:graphic>
          </wp:anchor>
        </w:drawing>
      </w:r>
      <w:r>
        <w:rPr>
          <w:color w:val="FF0000"/>
          <w:highlight w:val="none"/>
        </w:rPr>
        <w:drawing>
          <wp:inline distT="0" distB="0" distL="114300" distR="114300">
            <wp:extent cx="5400040" cy="3636010"/>
            <wp:effectExtent l="0" t="0" r="10160" b="2540"/>
            <wp:docPr id="25"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1"/>
                    <pic:cNvPicPr>
                      <a:picLocks noChangeAspect="1"/>
                    </pic:cNvPicPr>
                  </pic:nvPicPr>
                  <pic:blipFill>
                    <a:blip r:embed="rId99"/>
                    <a:stretch>
                      <a:fillRect/>
                    </a:stretch>
                  </pic:blipFill>
                  <pic:spPr>
                    <a:xfrm>
                      <a:off x="0" y="0"/>
                      <a:ext cx="5400040" cy="3636010"/>
                    </a:xfrm>
                    <a:prstGeom prst="rect">
                      <a:avLst/>
                    </a:prstGeom>
                    <a:noFill/>
                    <a:ln>
                      <a:noFill/>
                    </a:ln>
                  </pic:spPr>
                </pic:pic>
              </a:graphicData>
            </a:graphic>
          </wp:inline>
        </w:drawing>
      </w:r>
    </w:p>
    <w:p w14:paraId="07756740">
      <w:pPr>
        <w:bidi w:val="0"/>
        <w:ind w:left="0" w:leftChars="0" w:firstLine="0" w:firstLineChars="0"/>
        <w:jc w:val="center"/>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图6</w:t>
      </w:r>
      <w:r>
        <w:rPr>
          <w:rFonts w:hint="eastAsia" w:ascii="Times New Roman" w:hAnsi="Times New Roman" w:eastAsia="宋体" w:cs="Times New Roman"/>
          <w:color w:val="FF0000"/>
          <w:highlight w:val="none"/>
          <w:lang w:val="en-US" w:eastAsia="zh-CN"/>
        </w:rPr>
        <w:t>.2</w:t>
      </w:r>
      <w:r>
        <w:rPr>
          <w:rFonts w:hint="default" w:ascii="Times New Roman" w:hAnsi="Times New Roman" w:eastAsia="宋体" w:cs="Times New Roman"/>
          <w:color w:val="FF0000"/>
          <w:highlight w:val="none"/>
        </w:rPr>
        <w:t>-</w:t>
      </w:r>
      <w:r>
        <w:rPr>
          <w:rFonts w:hint="eastAsia" w:ascii="Times New Roman" w:hAnsi="Times New Roman" w:eastAsia="宋体" w:cs="Times New Roman"/>
          <w:color w:val="FF0000"/>
          <w:highlight w:val="none"/>
          <w:lang w:val="en-US" w:eastAsia="zh-CN"/>
        </w:rPr>
        <w:t>3</w:t>
      </w:r>
      <w:r>
        <w:rPr>
          <w:rFonts w:hint="default" w:ascii="Times New Roman" w:hAnsi="Times New Roman" w:eastAsia="宋体" w:cs="Times New Roman"/>
          <w:color w:val="FF0000"/>
          <w:highlight w:val="none"/>
          <w:lang w:val="en-US" w:eastAsia="zh-CN"/>
        </w:rPr>
        <w:t xml:space="preserve"> </w:t>
      </w:r>
      <w:r>
        <w:rPr>
          <w:rFonts w:hint="default" w:ascii="Times New Roman" w:hAnsi="Times New Roman" w:eastAsia="宋体" w:cs="Times New Roman"/>
          <w:color w:val="FF0000"/>
          <w:highlight w:val="none"/>
        </w:rPr>
        <w:t>本项目</w:t>
      </w:r>
      <w:r>
        <w:rPr>
          <w:rFonts w:hint="default" w:ascii="Times New Roman" w:hAnsi="Times New Roman" w:eastAsia="宋体" w:cs="Times New Roman"/>
          <w:color w:val="FF0000"/>
          <w:highlight w:val="none"/>
          <w:lang w:val="en-US" w:eastAsia="zh-CN"/>
        </w:rPr>
        <w:t>PM</w:t>
      </w:r>
      <w:r>
        <w:rPr>
          <w:rFonts w:hint="default" w:ascii="Times New Roman" w:hAnsi="Times New Roman" w:eastAsia="宋体" w:cs="Times New Roman"/>
          <w:color w:val="FF0000"/>
          <w:highlight w:val="none"/>
          <w:vertAlign w:val="subscript"/>
          <w:lang w:val="en-US" w:eastAsia="zh-CN"/>
        </w:rPr>
        <w:t>10</w:t>
      </w:r>
      <w:r>
        <w:rPr>
          <w:rFonts w:hint="eastAsia" w:ascii="Times New Roman" w:hAnsi="Times New Roman" w:eastAsia="宋体" w:cs="Times New Roman"/>
          <w:color w:val="FF0000"/>
          <w:highlight w:val="none"/>
          <w:vertAlign w:val="baseline"/>
          <w:lang w:val="en-US" w:eastAsia="zh-CN"/>
        </w:rPr>
        <w:t>保证率</w:t>
      </w:r>
      <w:r>
        <w:rPr>
          <w:rFonts w:hint="default" w:ascii="Times New Roman" w:hAnsi="Times New Roman" w:eastAsia="宋体" w:cs="Times New Roman"/>
          <w:color w:val="FF0000"/>
          <w:highlight w:val="none"/>
          <w:vertAlign w:val="baseline"/>
          <w:lang w:eastAsia="zh-CN"/>
        </w:rPr>
        <w:t>日平均质量浓度分布图</w:t>
      </w:r>
      <w:r>
        <w:rPr>
          <w:rFonts w:hint="default" w:ascii="Times New Roman" w:hAnsi="Times New Roman" w:eastAsia="宋体" w:cs="Times New Roman"/>
          <w:color w:val="FF0000"/>
          <w:highlight w:val="none"/>
        </w:rPr>
        <w:t>（μg/m</w:t>
      </w:r>
      <w:r>
        <w:rPr>
          <w:rFonts w:hint="default" w:ascii="Times New Roman" w:hAnsi="Times New Roman" w:eastAsia="宋体" w:cs="Times New Roman"/>
          <w:color w:val="FF0000"/>
          <w:highlight w:val="none"/>
          <w:vertAlign w:val="superscript"/>
        </w:rPr>
        <w:t>3</w:t>
      </w:r>
      <w:r>
        <w:rPr>
          <w:rFonts w:hint="default" w:ascii="Times New Roman" w:hAnsi="Times New Roman" w:eastAsia="宋体" w:cs="Times New Roman"/>
          <w:color w:val="FF0000"/>
          <w:highlight w:val="none"/>
        </w:rPr>
        <w:t>）</w:t>
      </w:r>
    </w:p>
    <w:p w14:paraId="2FD83E1E">
      <w:pPr>
        <w:bidi w:val="0"/>
        <w:ind w:left="0" w:leftChars="0" w:firstLine="0" w:firstLineChars="0"/>
        <w:jc w:val="center"/>
        <w:rPr>
          <w:color w:val="FF0000"/>
          <w:highlight w:val="none"/>
        </w:rPr>
      </w:pPr>
      <w:r>
        <w:rPr>
          <w:color w:val="FF0000"/>
          <w:highlight w:val="none"/>
        </w:rPr>
        <w:drawing>
          <wp:anchor distT="0" distB="0" distL="114300" distR="114300" simplePos="0" relativeHeight="251675648" behindDoc="0" locked="0" layoutInCell="1" allowOverlap="1">
            <wp:simplePos x="0" y="0"/>
            <wp:positionH relativeFrom="column">
              <wp:posOffset>4650740</wp:posOffset>
            </wp:positionH>
            <wp:positionV relativeFrom="paragraph">
              <wp:posOffset>120015</wp:posOffset>
            </wp:positionV>
            <wp:extent cx="923925" cy="952500"/>
            <wp:effectExtent l="0" t="0" r="9525" b="0"/>
            <wp:wrapNone/>
            <wp:docPr id="49"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1"/>
                    <pic:cNvPicPr>
                      <a:picLocks noChangeAspect="1"/>
                    </pic:cNvPicPr>
                  </pic:nvPicPr>
                  <pic:blipFill>
                    <a:blip r:embed="rId97"/>
                    <a:stretch>
                      <a:fillRect/>
                    </a:stretch>
                  </pic:blipFill>
                  <pic:spPr>
                    <a:xfrm>
                      <a:off x="0" y="0"/>
                      <a:ext cx="923925" cy="952500"/>
                    </a:xfrm>
                    <a:prstGeom prst="rect">
                      <a:avLst/>
                    </a:prstGeom>
                    <a:noFill/>
                    <a:ln>
                      <a:noFill/>
                    </a:ln>
                  </pic:spPr>
                </pic:pic>
              </a:graphicData>
            </a:graphic>
          </wp:anchor>
        </w:drawing>
      </w:r>
      <w:r>
        <w:rPr>
          <w:color w:val="FF0000"/>
          <w:highlight w:val="none"/>
        </w:rPr>
        <w:drawing>
          <wp:inline distT="0" distB="0" distL="114300" distR="114300">
            <wp:extent cx="5400040" cy="3647440"/>
            <wp:effectExtent l="0" t="0" r="10160" b="10160"/>
            <wp:docPr id="169"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42"/>
                    <pic:cNvPicPr>
                      <a:picLocks noChangeAspect="1"/>
                    </pic:cNvPicPr>
                  </pic:nvPicPr>
                  <pic:blipFill>
                    <a:blip r:embed="rId100"/>
                    <a:stretch>
                      <a:fillRect/>
                    </a:stretch>
                  </pic:blipFill>
                  <pic:spPr>
                    <a:xfrm>
                      <a:off x="0" y="0"/>
                      <a:ext cx="5400040" cy="3647440"/>
                    </a:xfrm>
                    <a:prstGeom prst="rect">
                      <a:avLst/>
                    </a:prstGeom>
                    <a:noFill/>
                    <a:ln>
                      <a:noFill/>
                    </a:ln>
                  </pic:spPr>
                </pic:pic>
              </a:graphicData>
            </a:graphic>
          </wp:inline>
        </w:drawing>
      </w:r>
    </w:p>
    <w:p w14:paraId="52C0AF55">
      <w:pPr>
        <w:bidi w:val="0"/>
        <w:ind w:left="0" w:leftChars="0" w:firstLine="0" w:firstLineChars="0"/>
        <w:jc w:val="center"/>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图6</w:t>
      </w:r>
      <w:r>
        <w:rPr>
          <w:rFonts w:hint="eastAsia" w:ascii="Times New Roman" w:hAnsi="Times New Roman" w:eastAsia="宋体" w:cs="Times New Roman"/>
          <w:color w:val="FF0000"/>
          <w:highlight w:val="none"/>
          <w:lang w:val="en-US" w:eastAsia="zh-CN"/>
        </w:rPr>
        <w:t>.2-4</w:t>
      </w:r>
      <w:r>
        <w:rPr>
          <w:rFonts w:hint="default" w:ascii="Times New Roman" w:hAnsi="Times New Roman" w:eastAsia="宋体" w:cs="Times New Roman"/>
          <w:color w:val="FF0000"/>
          <w:highlight w:val="none"/>
        </w:rPr>
        <w:t xml:space="preserve"> </w:t>
      </w:r>
      <w:r>
        <w:rPr>
          <w:rFonts w:hint="default" w:ascii="Times New Roman" w:hAnsi="Times New Roman" w:eastAsia="宋体" w:cs="Times New Roman"/>
          <w:color w:val="FF0000"/>
          <w:highlight w:val="none"/>
          <w:lang w:val="en-US" w:eastAsia="zh-CN"/>
        </w:rPr>
        <w:t xml:space="preserve"> </w:t>
      </w:r>
      <w:r>
        <w:rPr>
          <w:rFonts w:hint="default" w:ascii="Times New Roman" w:hAnsi="Times New Roman" w:eastAsia="宋体" w:cs="Times New Roman"/>
          <w:color w:val="FF0000"/>
          <w:highlight w:val="none"/>
        </w:rPr>
        <w:t>本项目</w:t>
      </w:r>
      <w:r>
        <w:rPr>
          <w:rFonts w:hint="default" w:ascii="Times New Roman" w:hAnsi="Times New Roman" w:eastAsia="宋体" w:cs="Times New Roman"/>
          <w:color w:val="FF0000"/>
          <w:highlight w:val="none"/>
          <w:lang w:val="en-US" w:eastAsia="zh-CN"/>
        </w:rPr>
        <w:t>PM</w:t>
      </w:r>
      <w:r>
        <w:rPr>
          <w:rFonts w:hint="eastAsia" w:ascii="Times New Roman" w:hAnsi="Times New Roman" w:eastAsia="宋体" w:cs="Times New Roman"/>
          <w:color w:val="FF0000"/>
          <w:highlight w:val="none"/>
          <w:vertAlign w:val="subscript"/>
          <w:lang w:val="en-US" w:eastAsia="zh-CN"/>
        </w:rPr>
        <w:t>2.5</w:t>
      </w:r>
      <w:r>
        <w:rPr>
          <w:rFonts w:hint="default" w:ascii="Times New Roman" w:hAnsi="Times New Roman" w:eastAsia="宋体" w:cs="Times New Roman"/>
          <w:color w:val="FF0000"/>
          <w:highlight w:val="none"/>
          <w:vertAlign w:val="baseline"/>
          <w:lang w:val="en-US" w:eastAsia="zh-CN"/>
        </w:rPr>
        <w:t>年</w:t>
      </w:r>
      <w:r>
        <w:rPr>
          <w:rFonts w:hint="default" w:ascii="Times New Roman" w:hAnsi="Times New Roman" w:eastAsia="宋体" w:cs="Times New Roman"/>
          <w:color w:val="FF0000"/>
          <w:highlight w:val="none"/>
          <w:vertAlign w:val="baseline"/>
          <w:lang w:eastAsia="zh-CN"/>
        </w:rPr>
        <w:t>平均质量浓度分布图</w:t>
      </w:r>
      <w:r>
        <w:rPr>
          <w:rFonts w:hint="default" w:ascii="Times New Roman" w:hAnsi="Times New Roman" w:eastAsia="宋体" w:cs="Times New Roman"/>
          <w:color w:val="FF0000"/>
          <w:highlight w:val="none"/>
        </w:rPr>
        <w:t>（μg/m</w:t>
      </w:r>
      <w:r>
        <w:rPr>
          <w:rFonts w:hint="default" w:ascii="Times New Roman" w:hAnsi="Times New Roman" w:eastAsia="宋体" w:cs="Times New Roman"/>
          <w:color w:val="FF0000"/>
          <w:highlight w:val="none"/>
          <w:vertAlign w:val="superscript"/>
        </w:rPr>
        <w:t>3</w:t>
      </w:r>
      <w:r>
        <w:rPr>
          <w:rFonts w:hint="default" w:ascii="Times New Roman" w:hAnsi="Times New Roman" w:eastAsia="宋体" w:cs="Times New Roman"/>
          <w:color w:val="FF0000"/>
          <w:highlight w:val="none"/>
        </w:rPr>
        <w:t>）</w:t>
      </w:r>
    </w:p>
    <w:p w14:paraId="73573503">
      <w:pPr>
        <w:bidi w:val="0"/>
        <w:ind w:left="0" w:leftChars="0" w:firstLine="0" w:firstLineChars="0"/>
        <w:jc w:val="center"/>
        <w:rPr>
          <w:color w:val="FF0000"/>
          <w:highlight w:val="none"/>
        </w:rPr>
      </w:pPr>
      <w:r>
        <w:rPr>
          <w:color w:val="FF0000"/>
          <w:highlight w:val="none"/>
        </w:rPr>
        <w:drawing>
          <wp:anchor distT="0" distB="0" distL="114300" distR="114300" simplePos="0" relativeHeight="251676672" behindDoc="0" locked="0" layoutInCell="1" allowOverlap="1">
            <wp:simplePos x="0" y="0"/>
            <wp:positionH relativeFrom="column">
              <wp:posOffset>4709795</wp:posOffset>
            </wp:positionH>
            <wp:positionV relativeFrom="paragraph">
              <wp:posOffset>145415</wp:posOffset>
            </wp:positionV>
            <wp:extent cx="923925" cy="952500"/>
            <wp:effectExtent l="0" t="0" r="9525" b="0"/>
            <wp:wrapNone/>
            <wp:docPr id="50"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1"/>
                    <pic:cNvPicPr>
                      <a:picLocks noChangeAspect="1"/>
                    </pic:cNvPicPr>
                  </pic:nvPicPr>
                  <pic:blipFill>
                    <a:blip r:embed="rId97"/>
                    <a:stretch>
                      <a:fillRect/>
                    </a:stretch>
                  </pic:blipFill>
                  <pic:spPr>
                    <a:xfrm>
                      <a:off x="0" y="0"/>
                      <a:ext cx="923925" cy="952500"/>
                    </a:xfrm>
                    <a:prstGeom prst="rect">
                      <a:avLst/>
                    </a:prstGeom>
                    <a:noFill/>
                    <a:ln>
                      <a:noFill/>
                    </a:ln>
                  </pic:spPr>
                </pic:pic>
              </a:graphicData>
            </a:graphic>
          </wp:anchor>
        </w:drawing>
      </w:r>
      <w:r>
        <w:rPr>
          <w:color w:val="FF0000"/>
          <w:highlight w:val="none"/>
        </w:rPr>
        <w:drawing>
          <wp:inline distT="0" distB="0" distL="114300" distR="114300">
            <wp:extent cx="5400040" cy="3656965"/>
            <wp:effectExtent l="0" t="0" r="10160" b="635"/>
            <wp:docPr id="170"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41"/>
                    <pic:cNvPicPr>
                      <a:picLocks noChangeAspect="1"/>
                    </pic:cNvPicPr>
                  </pic:nvPicPr>
                  <pic:blipFill>
                    <a:blip r:embed="rId101"/>
                    <a:stretch>
                      <a:fillRect/>
                    </a:stretch>
                  </pic:blipFill>
                  <pic:spPr>
                    <a:xfrm>
                      <a:off x="0" y="0"/>
                      <a:ext cx="5400040" cy="3656965"/>
                    </a:xfrm>
                    <a:prstGeom prst="rect">
                      <a:avLst/>
                    </a:prstGeom>
                    <a:noFill/>
                    <a:ln>
                      <a:noFill/>
                    </a:ln>
                  </pic:spPr>
                </pic:pic>
              </a:graphicData>
            </a:graphic>
          </wp:inline>
        </w:drawing>
      </w:r>
    </w:p>
    <w:p w14:paraId="03831E37">
      <w:pPr>
        <w:bidi w:val="0"/>
        <w:ind w:left="0" w:leftChars="0" w:firstLine="0" w:firstLineChars="0"/>
        <w:jc w:val="center"/>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highlight w:val="none"/>
        </w:rPr>
        <w:t>图6</w:t>
      </w:r>
      <w:r>
        <w:rPr>
          <w:rFonts w:hint="eastAsia" w:ascii="Times New Roman" w:hAnsi="Times New Roman" w:eastAsia="宋体" w:cs="Times New Roman"/>
          <w:color w:val="FF0000"/>
          <w:highlight w:val="none"/>
          <w:lang w:val="en-US" w:eastAsia="zh-CN"/>
        </w:rPr>
        <w:t>.2-5</w:t>
      </w:r>
      <w:r>
        <w:rPr>
          <w:rFonts w:hint="default" w:ascii="Times New Roman" w:hAnsi="Times New Roman" w:eastAsia="宋体" w:cs="Times New Roman"/>
          <w:color w:val="FF0000"/>
          <w:highlight w:val="none"/>
        </w:rPr>
        <w:t xml:space="preserve"> </w:t>
      </w:r>
      <w:r>
        <w:rPr>
          <w:rFonts w:hint="default" w:ascii="Times New Roman" w:hAnsi="Times New Roman" w:eastAsia="宋体" w:cs="Times New Roman"/>
          <w:color w:val="FF0000"/>
          <w:highlight w:val="none"/>
          <w:lang w:val="en-US" w:eastAsia="zh-CN"/>
        </w:rPr>
        <w:t xml:space="preserve"> </w:t>
      </w:r>
      <w:r>
        <w:rPr>
          <w:rFonts w:hint="default" w:ascii="Times New Roman" w:hAnsi="Times New Roman" w:eastAsia="宋体" w:cs="Times New Roman"/>
          <w:color w:val="FF0000"/>
          <w:highlight w:val="none"/>
        </w:rPr>
        <w:t>本项目</w:t>
      </w:r>
      <w:r>
        <w:rPr>
          <w:rFonts w:hint="default" w:ascii="Times New Roman" w:hAnsi="Times New Roman" w:eastAsia="宋体" w:cs="Times New Roman"/>
          <w:color w:val="FF0000"/>
          <w:highlight w:val="none"/>
          <w:lang w:val="en-US" w:eastAsia="zh-CN"/>
        </w:rPr>
        <w:t>PM</w:t>
      </w:r>
      <w:r>
        <w:rPr>
          <w:rFonts w:hint="eastAsia" w:ascii="Times New Roman" w:hAnsi="Times New Roman" w:eastAsia="宋体" w:cs="Times New Roman"/>
          <w:color w:val="FF0000"/>
          <w:highlight w:val="none"/>
          <w:vertAlign w:val="subscript"/>
          <w:lang w:val="en-US" w:eastAsia="zh-CN"/>
        </w:rPr>
        <w:t>2.5</w:t>
      </w:r>
      <w:r>
        <w:rPr>
          <w:rFonts w:hint="eastAsia" w:ascii="Times New Roman" w:hAnsi="Times New Roman" w:eastAsia="宋体" w:cs="Times New Roman"/>
          <w:color w:val="FF0000"/>
          <w:highlight w:val="none"/>
          <w:vertAlign w:val="baseline"/>
          <w:lang w:val="en-US" w:eastAsia="zh-CN"/>
        </w:rPr>
        <w:t>保证率</w:t>
      </w:r>
      <w:r>
        <w:rPr>
          <w:rFonts w:hint="default" w:ascii="Times New Roman" w:hAnsi="Times New Roman" w:eastAsia="宋体" w:cs="Times New Roman"/>
          <w:color w:val="FF0000"/>
          <w:highlight w:val="none"/>
          <w:vertAlign w:val="baseline"/>
          <w:lang w:eastAsia="zh-CN"/>
        </w:rPr>
        <w:t>日平均质量浓度分布图</w:t>
      </w:r>
      <w:r>
        <w:rPr>
          <w:rFonts w:hint="default" w:ascii="Times New Roman" w:hAnsi="Times New Roman" w:eastAsia="宋体" w:cs="Times New Roman"/>
          <w:color w:val="FF0000"/>
          <w:highlight w:val="none"/>
        </w:rPr>
        <w:t>（μg/m</w:t>
      </w:r>
      <w:r>
        <w:rPr>
          <w:rFonts w:hint="default" w:ascii="Times New Roman" w:hAnsi="Times New Roman" w:eastAsia="宋体" w:cs="Times New Roman"/>
          <w:color w:val="FF0000"/>
          <w:highlight w:val="none"/>
          <w:vertAlign w:val="superscript"/>
        </w:rPr>
        <w:t>3</w:t>
      </w:r>
      <w:r>
        <w:rPr>
          <w:rFonts w:hint="default" w:ascii="Times New Roman" w:hAnsi="Times New Roman" w:eastAsia="宋体" w:cs="Times New Roman"/>
          <w:color w:val="FF0000"/>
          <w:highlight w:val="none"/>
        </w:rPr>
        <w:t>）</w:t>
      </w:r>
    </w:p>
    <w:p w14:paraId="6C0E8F7C">
      <w:pPr>
        <w:bidi w:val="0"/>
        <w:ind w:left="0" w:leftChars="0" w:firstLine="0" w:firstLineChars="0"/>
        <w:jc w:val="center"/>
        <w:rPr>
          <w:rFonts w:hint="default" w:ascii="Times New Roman" w:hAnsi="Times New Roman" w:eastAsia="宋体" w:cs="Times New Roman"/>
          <w:color w:val="FF0000"/>
          <w:highlight w:val="none"/>
          <w:lang w:eastAsia="zh-CN"/>
        </w:rPr>
      </w:pPr>
      <w:r>
        <w:rPr>
          <w:color w:val="FF0000"/>
          <w:highlight w:val="none"/>
        </w:rPr>
        <w:drawing>
          <wp:anchor distT="0" distB="0" distL="114300" distR="114300" simplePos="0" relativeHeight="251677696" behindDoc="0" locked="0" layoutInCell="1" allowOverlap="1">
            <wp:simplePos x="0" y="0"/>
            <wp:positionH relativeFrom="column">
              <wp:posOffset>4817110</wp:posOffset>
            </wp:positionH>
            <wp:positionV relativeFrom="paragraph">
              <wp:posOffset>125730</wp:posOffset>
            </wp:positionV>
            <wp:extent cx="923925" cy="952500"/>
            <wp:effectExtent l="0" t="0" r="9525" b="0"/>
            <wp:wrapNone/>
            <wp:docPr id="52"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41"/>
                    <pic:cNvPicPr>
                      <a:picLocks noChangeAspect="1"/>
                    </pic:cNvPicPr>
                  </pic:nvPicPr>
                  <pic:blipFill>
                    <a:blip r:embed="rId97"/>
                    <a:stretch>
                      <a:fillRect/>
                    </a:stretch>
                  </pic:blipFill>
                  <pic:spPr>
                    <a:xfrm>
                      <a:off x="0" y="0"/>
                      <a:ext cx="923925" cy="952500"/>
                    </a:xfrm>
                    <a:prstGeom prst="rect">
                      <a:avLst/>
                    </a:prstGeom>
                    <a:noFill/>
                    <a:ln>
                      <a:noFill/>
                    </a:ln>
                  </pic:spPr>
                </pic:pic>
              </a:graphicData>
            </a:graphic>
          </wp:anchor>
        </w:drawing>
      </w:r>
      <w:r>
        <w:rPr>
          <w:color w:val="FF0000"/>
          <w:highlight w:val="none"/>
        </w:rPr>
        <w:drawing>
          <wp:inline distT="0" distB="0" distL="114300" distR="114300">
            <wp:extent cx="5400040" cy="3853180"/>
            <wp:effectExtent l="0" t="0" r="10160" b="13970"/>
            <wp:docPr id="17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44"/>
                    <pic:cNvPicPr>
                      <a:picLocks noChangeAspect="1"/>
                    </pic:cNvPicPr>
                  </pic:nvPicPr>
                  <pic:blipFill>
                    <a:blip r:embed="rId102"/>
                    <a:stretch>
                      <a:fillRect/>
                    </a:stretch>
                  </pic:blipFill>
                  <pic:spPr>
                    <a:xfrm>
                      <a:off x="0" y="0"/>
                      <a:ext cx="5400040" cy="3853180"/>
                    </a:xfrm>
                    <a:prstGeom prst="rect">
                      <a:avLst/>
                    </a:prstGeom>
                    <a:noFill/>
                    <a:ln>
                      <a:noFill/>
                    </a:ln>
                  </pic:spPr>
                </pic:pic>
              </a:graphicData>
            </a:graphic>
          </wp:inline>
        </w:drawing>
      </w:r>
    </w:p>
    <w:p w14:paraId="3EE3ADD8">
      <w:pPr>
        <w:widowControl w:val="0"/>
        <w:spacing w:after="0" w:line="480" w:lineRule="exact"/>
        <w:ind w:firstLine="0" w:firstLineChars="0"/>
        <w:jc w:val="center"/>
        <w:rPr>
          <w:rFonts w:hint="default" w:ascii="Times New Roman" w:hAnsi="Times New Roman" w:eastAsia="宋体" w:cs="Times New Roman"/>
          <w:snapToGrid w:val="0"/>
          <w:color w:val="FF0000"/>
          <w:kern w:val="2"/>
          <w:sz w:val="24"/>
          <w:szCs w:val="24"/>
          <w:highlight w:val="none"/>
          <w:lang w:val="en-US" w:eastAsia="zh-CN" w:bidi="ar-SA"/>
        </w:rPr>
      </w:pPr>
      <w:r>
        <w:rPr>
          <w:rFonts w:hint="default" w:ascii="Times New Roman" w:hAnsi="Times New Roman" w:eastAsia="宋体" w:cs="Times New Roman"/>
          <w:snapToGrid w:val="0"/>
          <w:color w:val="FF0000"/>
          <w:kern w:val="2"/>
          <w:sz w:val="24"/>
          <w:szCs w:val="24"/>
          <w:highlight w:val="none"/>
          <w:lang w:val="en-US" w:eastAsia="zh-CN" w:bidi="ar-SA"/>
        </w:rPr>
        <w:t>图6</w:t>
      </w:r>
      <w:r>
        <w:rPr>
          <w:rFonts w:hint="eastAsia" w:ascii="Times New Roman" w:hAnsi="Times New Roman" w:eastAsia="宋体" w:cs="Times New Roman"/>
          <w:snapToGrid w:val="0"/>
          <w:color w:val="FF0000"/>
          <w:kern w:val="2"/>
          <w:sz w:val="24"/>
          <w:szCs w:val="24"/>
          <w:highlight w:val="none"/>
          <w:lang w:val="en-US" w:eastAsia="zh-CN" w:bidi="ar-SA"/>
        </w:rPr>
        <w:t>.2</w:t>
      </w:r>
      <w:r>
        <w:rPr>
          <w:rFonts w:hint="default" w:ascii="Times New Roman" w:hAnsi="Times New Roman" w:eastAsia="宋体" w:cs="Times New Roman"/>
          <w:snapToGrid w:val="0"/>
          <w:color w:val="FF0000"/>
          <w:kern w:val="2"/>
          <w:sz w:val="24"/>
          <w:szCs w:val="24"/>
          <w:highlight w:val="none"/>
          <w:lang w:val="en-US" w:eastAsia="zh-CN" w:bidi="ar-SA"/>
        </w:rPr>
        <w:t>-</w:t>
      </w:r>
      <w:r>
        <w:rPr>
          <w:rFonts w:hint="eastAsia" w:ascii="Times New Roman" w:hAnsi="Times New Roman" w:eastAsia="宋体" w:cs="Times New Roman"/>
          <w:snapToGrid w:val="0"/>
          <w:color w:val="FF0000"/>
          <w:kern w:val="2"/>
          <w:sz w:val="24"/>
          <w:szCs w:val="24"/>
          <w:highlight w:val="none"/>
          <w:lang w:val="en-US" w:eastAsia="zh-CN" w:bidi="ar-SA"/>
        </w:rPr>
        <w:t>6</w:t>
      </w:r>
      <w:r>
        <w:rPr>
          <w:rFonts w:hint="default" w:ascii="Times New Roman" w:hAnsi="Times New Roman" w:eastAsia="宋体" w:cs="Times New Roman"/>
          <w:snapToGrid w:val="0"/>
          <w:color w:val="FF0000"/>
          <w:kern w:val="2"/>
          <w:sz w:val="24"/>
          <w:szCs w:val="24"/>
          <w:highlight w:val="none"/>
          <w:lang w:val="en-US" w:eastAsia="zh-CN" w:bidi="ar-SA"/>
        </w:rPr>
        <w:t xml:space="preserve"> 本项目SO</w:t>
      </w:r>
      <w:r>
        <w:rPr>
          <w:rFonts w:hint="default" w:ascii="Times New Roman" w:hAnsi="Times New Roman" w:eastAsia="宋体" w:cs="Times New Roman"/>
          <w:snapToGrid w:val="0"/>
          <w:color w:val="FF0000"/>
          <w:kern w:val="2"/>
          <w:sz w:val="24"/>
          <w:szCs w:val="24"/>
          <w:highlight w:val="none"/>
          <w:vertAlign w:val="subscript"/>
          <w:lang w:val="en-US" w:eastAsia="zh-CN" w:bidi="ar-SA"/>
        </w:rPr>
        <w:t>2</w:t>
      </w:r>
      <w:r>
        <w:rPr>
          <w:rFonts w:hint="default" w:ascii="Times New Roman" w:hAnsi="Times New Roman" w:eastAsia="宋体" w:cs="Times New Roman"/>
          <w:snapToGrid w:val="0"/>
          <w:color w:val="FF0000"/>
          <w:kern w:val="2"/>
          <w:sz w:val="24"/>
          <w:szCs w:val="24"/>
          <w:highlight w:val="none"/>
          <w:vertAlign w:val="baseline"/>
          <w:lang w:val="en-US" w:eastAsia="zh-CN" w:bidi="ar-SA"/>
        </w:rPr>
        <w:t>年平均质量浓度分布图</w:t>
      </w:r>
      <w:r>
        <w:rPr>
          <w:rFonts w:hint="default" w:ascii="Times New Roman" w:hAnsi="Times New Roman" w:eastAsia="宋体" w:cs="Times New Roman"/>
          <w:snapToGrid w:val="0"/>
          <w:color w:val="FF0000"/>
          <w:kern w:val="2"/>
          <w:sz w:val="24"/>
          <w:szCs w:val="24"/>
          <w:highlight w:val="none"/>
          <w:lang w:val="en-US" w:eastAsia="zh-CN" w:bidi="ar-SA"/>
        </w:rPr>
        <w:t>（μg/m</w:t>
      </w:r>
      <w:r>
        <w:rPr>
          <w:rFonts w:hint="default" w:ascii="Times New Roman" w:hAnsi="Times New Roman" w:eastAsia="宋体" w:cs="Times New Roman"/>
          <w:snapToGrid w:val="0"/>
          <w:color w:val="FF0000"/>
          <w:kern w:val="2"/>
          <w:sz w:val="24"/>
          <w:szCs w:val="24"/>
          <w:highlight w:val="none"/>
          <w:vertAlign w:val="superscript"/>
          <w:lang w:val="en-US" w:eastAsia="zh-CN" w:bidi="ar-SA"/>
        </w:rPr>
        <w:t>3</w:t>
      </w:r>
      <w:r>
        <w:rPr>
          <w:rFonts w:hint="default" w:ascii="Times New Roman" w:hAnsi="Times New Roman" w:eastAsia="宋体" w:cs="Times New Roman"/>
          <w:snapToGrid w:val="0"/>
          <w:color w:val="FF0000"/>
          <w:kern w:val="2"/>
          <w:sz w:val="24"/>
          <w:szCs w:val="24"/>
          <w:highlight w:val="none"/>
          <w:lang w:val="en-US" w:eastAsia="zh-CN" w:bidi="ar-SA"/>
        </w:rPr>
        <w:t>）</w:t>
      </w:r>
    </w:p>
    <w:p w14:paraId="26F6BC49">
      <w:pPr>
        <w:bidi w:val="0"/>
        <w:ind w:left="0" w:leftChars="0" w:firstLine="0" w:firstLineChars="0"/>
        <w:jc w:val="center"/>
        <w:rPr>
          <w:color w:val="FF0000"/>
          <w:highlight w:val="none"/>
        </w:rPr>
      </w:pPr>
      <w:r>
        <w:rPr>
          <w:color w:val="FF0000"/>
          <w:highlight w:val="none"/>
        </w:rPr>
        <w:drawing>
          <wp:anchor distT="0" distB="0" distL="114300" distR="114300" simplePos="0" relativeHeight="251678720" behindDoc="0" locked="0" layoutInCell="1" allowOverlap="1">
            <wp:simplePos x="0" y="0"/>
            <wp:positionH relativeFrom="column">
              <wp:posOffset>4876800</wp:posOffset>
            </wp:positionH>
            <wp:positionV relativeFrom="paragraph">
              <wp:posOffset>166370</wp:posOffset>
            </wp:positionV>
            <wp:extent cx="923925" cy="952500"/>
            <wp:effectExtent l="0" t="0" r="9525" b="0"/>
            <wp:wrapNone/>
            <wp:docPr id="56"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41"/>
                    <pic:cNvPicPr>
                      <a:picLocks noChangeAspect="1"/>
                    </pic:cNvPicPr>
                  </pic:nvPicPr>
                  <pic:blipFill>
                    <a:blip r:embed="rId97"/>
                    <a:stretch>
                      <a:fillRect/>
                    </a:stretch>
                  </pic:blipFill>
                  <pic:spPr>
                    <a:xfrm>
                      <a:off x="0" y="0"/>
                      <a:ext cx="923925" cy="952500"/>
                    </a:xfrm>
                    <a:prstGeom prst="rect">
                      <a:avLst/>
                    </a:prstGeom>
                    <a:noFill/>
                    <a:ln>
                      <a:noFill/>
                    </a:ln>
                  </pic:spPr>
                </pic:pic>
              </a:graphicData>
            </a:graphic>
          </wp:anchor>
        </w:drawing>
      </w:r>
      <w:r>
        <w:rPr>
          <w:color w:val="FF0000"/>
          <w:highlight w:val="none"/>
        </w:rPr>
        <w:drawing>
          <wp:inline distT="0" distB="0" distL="114300" distR="114300">
            <wp:extent cx="5247640" cy="3646805"/>
            <wp:effectExtent l="0" t="0" r="10160" b="10795"/>
            <wp:docPr id="172"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43"/>
                    <pic:cNvPicPr>
                      <a:picLocks noChangeAspect="1"/>
                    </pic:cNvPicPr>
                  </pic:nvPicPr>
                  <pic:blipFill>
                    <a:blip r:embed="rId103"/>
                    <a:stretch>
                      <a:fillRect/>
                    </a:stretch>
                  </pic:blipFill>
                  <pic:spPr>
                    <a:xfrm>
                      <a:off x="0" y="0"/>
                      <a:ext cx="5247640" cy="3646805"/>
                    </a:xfrm>
                    <a:prstGeom prst="rect">
                      <a:avLst/>
                    </a:prstGeom>
                    <a:noFill/>
                    <a:ln>
                      <a:noFill/>
                    </a:ln>
                  </pic:spPr>
                </pic:pic>
              </a:graphicData>
            </a:graphic>
          </wp:inline>
        </w:drawing>
      </w:r>
    </w:p>
    <w:p w14:paraId="439C6D43">
      <w:pPr>
        <w:bidi w:val="0"/>
        <w:ind w:left="0" w:leftChars="0" w:firstLine="0" w:firstLineChars="0"/>
        <w:jc w:val="center"/>
        <w:rPr>
          <w:rFonts w:hint="default" w:ascii="Times New Roman" w:hAnsi="Times New Roman" w:eastAsia="宋体" w:cs="Times New Roman"/>
          <w:snapToGrid w:val="0"/>
          <w:color w:val="FF0000"/>
          <w:kern w:val="2"/>
          <w:sz w:val="24"/>
          <w:szCs w:val="24"/>
          <w:highlight w:val="none"/>
          <w:lang w:val="en-US" w:eastAsia="zh-CN" w:bidi="ar-SA"/>
        </w:rPr>
      </w:pPr>
      <w:r>
        <w:rPr>
          <w:rFonts w:hint="default" w:ascii="Times New Roman" w:hAnsi="Times New Roman" w:eastAsia="宋体" w:cs="Times New Roman"/>
          <w:snapToGrid w:val="0"/>
          <w:color w:val="FF0000"/>
          <w:kern w:val="2"/>
          <w:sz w:val="24"/>
          <w:szCs w:val="24"/>
          <w:highlight w:val="none"/>
          <w:lang w:val="en-US" w:eastAsia="zh-CN" w:bidi="ar-SA"/>
        </w:rPr>
        <w:t>图6</w:t>
      </w:r>
      <w:r>
        <w:rPr>
          <w:rFonts w:hint="eastAsia" w:ascii="Times New Roman" w:hAnsi="Times New Roman" w:eastAsia="宋体" w:cs="Times New Roman"/>
          <w:snapToGrid w:val="0"/>
          <w:color w:val="FF0000"/>
          <w:kern w:val="2"/>
          <w:sz w:val="24"/>
          <w:szCs w:val="24"/>
          <w:highlight w:val="none"/>
          <w:lang w:val="en-US" w:eastAsia="zh-CN" w:bidi="ar-SA"/>
        </w:rPr>
        <w:t>.2</w:t>
      </w:r>
      <w:r>
        <w:rPr>
          <w:rFonts w:hint="default" w:ascii="Times New Roman" w:hAnsi="Times New Roman" w:eastAsia="宋体" w:cs="Times New Roman"/>
          <w:snapToGrid w:val="0"/>
          <w:color w:val="FF0000"/>
          <w:kern w:val="2"/>
          <w:sz w:val="24"/>
          <w:szCs w:val="24"/>
          <w:highlight w:val="none"/>
          <w:lang w:val="en-US" w:eastAsia="zh-CN" w:bidi="ar-SA"/>
        </w:rPr>
        <w:t>-</w:t>
      </w:r>
      <w:r>
        <w:rPr>
          <w:rFonts w:hint="eastAsia" w:ascii="Times New Roman" w:hAnsi="Times New Roman" w:eastAsia="宋体" w:cs="Times New Roman"/>
          <w:snapToGrid w:val="0"/>
          <w:color w:val="FF0000"/>
          <w:kern w:val="2"/>
          <w:sz w:val="24"/>
          <w:szCs w:val="24"/>
          <w:highlight w:val="none"/>
          <w:lang w:val="en-US" w:eastAsia="zh-CN" w:bidi="ar-SA"/>
        </w:rPr>
        <w:t>7</w:t>
      </w:r>
      <w:r>
        <w:rPr>
          <w:rFonts w:hint="default" w:ascii="Times New Roman" w:hAnsi="Times New Roman" w:eastAsia="宋体" w:cs="Times New Roman"/>
          <w:snapToGrid w:val="0"/>
          <w:color w:val="FF0000"/>
          <w:kern w:val="2"/>
          <w:sz w:val="24"/>
          <w:szCs w:val="24"/>
          <w:highlight w:val="none"/>
          <w:lang w:val="en-US" w:eastAsia="zh-CN" w:bidi="ar-SA"/>
        </w:rPr>
        <w:t xml:space="preserve"> 本项目SO</w:t>
      </w:r>
      <w:r>
        <w:rPr>
          <w:rFonts w:hint="default" w:ascii="Times New Roman" w:hAnsi="Times New Roman" w:eastAsia="宋体" w:cs="Times New Roman"/>
          <w:snapToGrid w:val="0"/>
          <w:color w:val="FF0000"/>
          <w:kern w:val="2"/>
          <w:sz w:val="24"/>
          <w:szCs w:val="24"/>
          <w:highlight w:val="none"/>
          <w:vertAlign w:val="subscript"/>
          <w:lang w:val="en-US" w:eastAsia="zh-CN" w:bidi="ar-SA"/>
        </w:rPr>
        <w:t>2</w:t>
      </w:r>
      <w:r>
        <w:rPr>
          <w:rFonts w:hint="eastAsia" w:ascii="Times New Roman" w:hAnsi="Times New Roman" w:eastAsia="宋体" w:cs="Times New Roman"/>
          <w:snapToGrid w:val="0"/>
          <w:color w:val="FF0000"/>
          <w:kern w:val="2"/>
          <w:sz w:val="24"/>
          <w:szCs w:val="24"/>
          <w:highlight w:val="none"/>
          <w:vertAlign w:val="baseline"/>
          <w:lang w:val="en-US" w:eastAsia="zh-CN" w:bidi="ar-SA"/>
        </w:rPr>
        <w:t>保证率</w:t>
      </w:r>
      <w:r>
        <w:rPr>
          <w:rFonts w:hint="default" w:ascii="Times New Roman" w:hAnsi="Times New Roman" w:eastAsia="宋体" w:cs="Times New Roman"/>
          <w:snapToGrid w:val="0"/>
          <w:color w:val="FF0000"/>
          <w:kern w:val="2"/>
          <w:sz w:val="24"/>
          <w:szCs w:val="24"/>
          <w:highlight w:val="none"/>
          <w:vertAlign w:val="baseline"/>
          <w:lang w:val="en-US" w:eastAsia="zh-CN" w:bidi="ar-SA"/>
        </w:rPr>
        <w:t>日平均质量浓度分布图</w:t>
      </w:r>
      <w:r>
        <w:rPr>
          <w:rFonts w:hint="default" w:ascii="Times New Roman" w:hAnsi="Times New Roman" w:eastAsia="宋体" w:cs="Times New Roman"/>
          <w:snapToGrid w:val="0"/>
          <w:color w:val="FF0000"/>
          <w:kern w:val="2"/>
          <w:sz w:val="24"/>
          <w:szCs w:val="24"/>
          <w:highlight w:val="none"/>
          <w:lang w:val="en-US" w:eastAsia="zh-CN" w:bidi="ar-SA"/>
        </w:rPr>
        <w:t>（μg/m</w:t>
      </w:r>
      <w:r>
        <w:rPr>
          <w:rFonts w:hint="default" w:ascii="Times New Roman" w:hAnsi="Times New Roman" w:eastAsia="宋体" w:cs="Times New Roman"/>
          <w:snapToGrid w:val="0"/>
          <w:color w:val="FF0000"/>
          <w:kern w:val="2"/>
          <w:sz w:val="24"/>
          <w:szCs w:val="24"/>
          <w:highlight w:val="none"/>
          <w:vertAlign w:val="superscript"/>
          <w:lang w:val="en-US" w:eastAsia="zh-CN" w:bidi="ar-SA"/>
        </w:rPr>
        <w:t>3</w:t>
      </w:r>
      <w:r>
        <w:rPr>
          <w:rFonts w:hint="default" w:ascii="Times New Roman" w:hAnsi="Times New Roman" w:eastAsia="宋体" w:cs="Times New Roman"/>
          <w:snapToGrid w:val="0"/>
          <w:color w:val="FF0000"/>
          <w:kern w:val="2"/>
          <w:sz w:val="24"/>
          <w:szCs w:val="24"/>
          <w:highlight w:val="none"/>
          <w:lang w:val="en-US" w:eastAsia="zh-CN" w:bidi="ar-SA"/>
        </w:rPr>
        <w:t>）</w:t>
      </w:r>
    </w:p>
    <w:p w14:paraId="4306CDDE">
      <w:pPr>
        <w:bidi w:val="0"/>
        <w:ind w:left="0" w:leftChars="0" w:firstLine="0" w:firstLineChars="0"/>
        <w:jc w:val="center"/>
        <w:rPr>
          <w:rFonts w:hint="default" w:ascii="Times New Roman" w:hAnsi="Times New Roman" w:eastAsia="宋体" w:cs="Times New Roman"/>
          <w:color w:val="FF0000"/>
          <w:highlight w:val="none"/>
          <w:lang w:eastAsia="zh-CN"/>
        </w:rPr>
      </w:pPr>
      <w:r>
        <w:rPr>
          <w:color w:val="FF0000"/>
          <w:highlight w:val="none"/>
        </w:rPr>
        <w:drawing>
          <wp:anchor distT="0" distB="0" distL="114300" distR="114300" simplePos="0" relativeHeight="251680768" behindDoc="0" locked="0" layoutInCell="1" allowOverlap="1">
            <wp:simplePos x="0" y="0"/>
            <wp:positionH relativeFrom="column">
              <wp:posOffset>4722495</wp:posOffset>
            </wp:positionH>
            <wp:positionV relativeFrom="paragraph">
              <wp:posOffset>124460</wp:posOffset>
            </wp:positionV>
            <wp:extent cx="923925" cy="952500"/>
            <wp:effectExtent l="0" t="0" r="9525" b="0"/>
            <wp:wrapNone/>
            <wp:docPr id="37"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41"/>
                    <pic:cNvPicPr>
                      <a:picLocks noChangeAspect="1"/>
                    </pic:cNvPicPr>
                  </pic:nvPicPr>
                  <pic:blipFill>
                    <a:blip r:embed="rId97"/>
                    <a:stretch>
                      <a:fillRect/>
                    </a:stretch>
                  </pic:blipFill>
                  <pic:spPr>
                    <a:xfrm>
                      <a:off x="0" y="0"/>
                      <a:ext cx="923925" cy="952500"/>
                    </a:xfrm>
                    <a:prstGeom prst="rect">
                      <a:avLst/>
                    </a:prstGeom>
                    <a:noFill/>
                    <a:ln>
                      <a:noFill/>
                    </a:ln>
                  </pic:spPr>
                </pic:pic>
              </a:graphicData>
            </a:graphic>
          </wp:anchor>
        </w:drawing>
      </w:r>
      <w:r>
        <w:rPr>
          <w:color w:val="FF0000"/>
          <w:highlight w:val="none"/>
        </w:rPr>
        <w:drawing>
          <wp:inline distT="0" distB="0" distL="114300" distR="114300">
            <wp:extent cx="5400040" cy="3719195"/>
            <wp:effectExtent l="0" t="0" r="10160" b="14605"/>
            <wp:docPr id="173"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46"/>
                    <pic:cNvPicPr>
                      <a:picLocks noChangeAspect="1"/>
                    </pic:cNvPicPr>
                  </pic:nvPicPr>
                  <pic:blipFill>
                    <a:blip r:embed="rId104"/>
                    <a:stretch>
                      <a:fillRect/>
                    </a:stretch>
                  </pic:blipFill>
                  <pic:spPr>
                    <a:xfrm>
                      <a:off x="0" y="0"/>
                      <a:ext cx="5400040" cy="3719195"/>
                    </a:xfrm>
                    <a:prstGeom prst="rect">
                      <a:avLst/>
                    </a:prstGeom>
                    <a:noFill/>
                    <a:ln>
                      <a:noFill/>
                    </a:ln>
                  </pic:spPr>
                </pic:pic>
              </a:graphicData>
            </a:graphic>
          </wp:inline>
        </w:drawing>
      </w:r>
    </w:p>
    <w:p w14:paraId="4090FBA4">
      <w:pPr>
        <w:widowControl w:val="0"/>
        <w:spacing w:after="0" w:line="480" w:lineRule="exact"/>
        <w:ind w:firstLine="0" w:firstLineChars="0"/>
        <w:jc w:val="center"/>
        <w:rPr>
          <w:rFonts w:hint="default" w:ascii="Times New Roman" w:hAnsi="Times New Roman" w:eastAsia="宋体" w:cs="Times New Roman"/>
          <w:snapToGrid w:val="0"/>
          <w:color w:val="FF0000"/>
          <w:kern w:val="2"/>
          <w:sz w:val="24"/>
          <w:szCs w:val="24"/>
          <w:highlight w:val="none"/>
          <w:lang w:val="en-US" w:eastAsia="zh-CN" w:bidi="ar-SA"/>
        </w:rPr>
      </w:pPr>
      <w:r>
        <w:rPr>
          <w:rFonts w:hint="default" w:ascii="Times New Roman" w:hAnsi="Times New Roman" w:eastAsia="宋体" w:cs="Times New Roman"/>
          <w:snapToGrid w:val="0"/>
          <w:color w:val="FF0000"/>
          <w:kern w:val="2"/>
          <w:sz w:val="24"/>
          <w:szCs w:val="24"/>
          <w:highlight w:val="none"/>
          <w:lang w:val="en-US" w:eastAsia="zh-CN" w:bidi="ar-SA"/>
        </w:rPr>
        <w:t>图6</w:t>
      </w:r>
      <w:r>
        <w:rPr>
          <w:rFonts w:hint="eastAsia" w:ascii="Times New Roman" w:hAnsi="Times New Roman" w:eastAsia="宋体" w:cs="Times New Roman"/>
          <w:snapToGrid w:val="0"/>
          <w:color w:val="FF0000"/>
          <w:kern w:val="2"/>
          <w:sz w:val="24"/>
          <w:szCs w:val="24"/>
          <w:highlight w:val="none"/>
          <w:lang w:val="en-US" w:eastAsia="zh-CN" w:bidi="ar-SA"/>
        </w:rPr>
        <w:t>.2</w:t>
      </w:r>
      <w:r>
        <w:rPr>
          <w:rFonts w:hint="default" w:ascii="Times New Roman" w:hAnsi="Times New Roman" w:eastAsia="宋体" w:cs="Times New Roman"/>
          <w:snapToGrid w:val="0"/>
          <w:color w:val="FF0000"/>
          <w:kern w:val="2"/>
          <w:sz w:val="24"/>
          <w:szCs w:val="24"/>
          <w:highlight w:val="none"/>
          <w:lang w:val="en-US" w:eastAsia="zh-CN" w:bidi="ar-SA"/>
        </w:rPr>
        <w:t>-</w:t>
      </w:r>
      <w:r>
        <w:rPr>
          <w:rFonts w:hint="eastAsia" w:ascii="Times New Roman" w:hAnsi="Times New Roman" w:eastAsia="宋体" w:cs="Times New Roman"/>
          <w:snapToGrid w:val="0"/>
          <w:color w:val="FF0000"/>
          <w:kern w:val="2"/>
          <w:sz w:val="24"/>
          <w:szCs w:val="24"/>
          <w:highlight w:val="none"/>
          <w:lang w:val="en-US" w:eastAsia="zh-CN" w:bidi="ar-SA"/>
        </w:rPr>
        <w:t>8</w:t>
      </w:r>
      <w:r>
        <w:rPr>
          <w:rFonts w:hint="default" w:ascii="Times New Roman" w:hAnsi="Times New Roman" w:eastAsia="宋体" w:cs="Times New Roman"/>
          <w:snapToGrid w:val="0"/>
          <w:color w:val="FF0000"/>
          <w:kern w:val="2"/>
          <w:sz w:val="24"/>
          <w:szCs w:val="24"/>
          <w:highlight w:val="none"/>
          <w:lang w:val="en-US" w:eastAsia="zh-CN" w:bidi="ar-SA"/>
        </w:rPr>
        <w:t xml:space="preserve">  本项目NO</w:t>
      </w:r>
      <w:r>
        <w:rPr>
          <w:rFonts w:hint="default" w:ascii="Times New Roman" w:hAnsi="Times New Roman" w:eastAsia="宋体" w:cs="Times New Roman"/>
          <w:snapToGrid w:val="0"/>
          <w:color w:val="FF0000"/>
          <w:kern w:val="2"/>
          <w:sz w:val="24"/>
          <w:szCs w:val="24"/>
          <w:highlight w:val="none"/>
          <w:vertAlign w:val="subscript"/>
          <w:lang w:val="en-US" w:eastAsia="zh-CN" w:bidi="ar-SA"/>
        </w:rPr>
        <w:t>2</w:t>
      </w:r>
      <w:r>
        <w:rPr>
          <w:rFonts w:hint="default" w:ascii="Times New Roman" w:hAnsi="Times New Roman" w:eastAsia="宋体" w:cs="Times New Roman"/>
          <w:snapToGrid w:val="0"/>
          <w:color w:val="FF0000"/>
          <w:kern w:val="2"/>
          <w:sz w:val="24"/>
          <w:szCs w:val="24"/>
          <w:highlight w:val="none"/>
          <w:vertAlign w:val="baseline"/>
          <w:lang w:val="en-US" w:eastAsia="zh-CN" w:bidi="ar-SA"/>
        </w:rPr>
        <w:t>年平均质量浓度分布图</w:t>
      </w:r>
      <w:r>
        <w:rPr>
          <w:rFonts w:hint="default" w:ascii="Times New Roman" w:hAnsi="Times New Roman" w:eastAsia="宋体" w:cs="Times New Roman"/>
          <w:snapToGrid w:val="0"/>
          <w:color w:val="FF0000"/>
          <w:kern w:val="2"/>
          <w:sz w:val="24"/>
          <w:szCs w:val="24"/>
          <w:highlight w:val="none"/>
          <w:lang w:val="en-US" w:eastAsia="zh-CN" w:bidi="ar-SA"/>
        </w:rPr>
        <w:t>（μg/m</w:t>
      </w:r>
      <w:r>
        <w:rPr>
          <w:rFonts w:hint="default" w:ascii="Times New Roman" w:hAnsi="Times New Roman" w:eastAsia="宋体" w:cs="Times New Roman"/>
          <w:snapToGrid w:val="0"/>
          <w:color w:val="FF0000"/>
          <w:kern w:val="2"/>
          <w:sz w:val="24"/>
          <w:szCs w:val="24"/>
          <w:highlight w:val="none"/>
          <w:vertAlign w:val="superscript"/>
          <w:lang w:val="en-US" w:eastAsia="zh-CN" w:bidi="ar-SA"/>
        </w:rPr>
        <w:t>3</w:t>
      </w:r>
      <w:r>
        <w:rPr>
          <w:rFonts w:hint="default" w:ascii="Times New Roman" w:hAnsi="Times New Roman" w:eastAsia="宋体" w:cs="Times New Roman"/>
          <w:snapToGrid w:val="0"/>
          <w:color w:val="FF0000"/>
          <w:kern w:val="2"/>
          <w:sz w:val="24"/>
          <w:szCs w:val="24"/>
          <w:highlight w:val="none"/>
          <w:lang w:val="en-US" w:eastAsia="zh-CN" w:bidi="ar-SA"/>
        </w:rPr>
        <w:t>）</w:t>
      </w:r>
    </w:p>
    <w:p w14:paraId="01538318">
      <w:pPr>
        <w:bidi w:val="0"/>
        <w:ind w:left="0" w:leftChars="0" w:firstLine="0" w:firstLineChars="0"/>
        <w:jc w:val="center"/>
        <w:rPr>
          <w:rFonts w:hint="default" w:ascii="Times New Roman" w:hAnsi="Times New Roman" w:eastAsia="宋体" w:cs="Times New Roman"/>
          <w:color w:val="FF0000"/>
          <w:highlight w:val="none"/>
          <w:lang w:eastAsia="zh-CN"/>
        </w:rPr>
      </w:pPr>
      <w:r>
        <w:rPr>
          <w:color w:val="FF0000"/>
          <w:highlight w:val="none"/>
        </w:rPr>
        <w:drawing>
          <wp:anchor distT="0" distB="0" distL="114300" distR="114300" simplePos="0" relativeHeight="251679744" behindDoc="0" locked="0" layoutInCell="1" allowOverlap="1">
            <wp:simplePos x="0" y="0"/>
            <wp:positionH relativeFrom="column">
              <wp:posOffset>4760595</wp:posOffset>
            </wp:positionH>
            <wp:positionV relativeFrom="paragraph">
              <wp:posOffset>128270</wp:posOffset>
            </wp:positionV>
            <wp:extent cx="923925" cy="952500"/>
            <wp:effectExtent l="0" t="0" r="9525" b="0"/>
            <wp:wrapNone/>
            <wp:docPr id="36"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41"/>
                    <pic:cNvPicPr>
                      <a:picLocks noChangeAspect="1"/>
                    </pic:cNvPicPr>
                  </pic:nvPicPr>
                  <pic:blipFill>
                    <a:blip r:embed="rId97"/>
                    <a:stretch>
                      <a:fillRect/>
                    </a:stretch>
                  </pic:blipFill>
                  <pic:spPr>
                    <a:xfrm>
                      <a:off x="0" y="0"/>
                      <a:ext cx="923925" cy="952500"/>
                    </a:xfrm>
                    <a:prstGeom prst="rect">
                      <a:avLst/>
                    </a:prstGeom>
                    <a:noFill/>
                    <a:ln>
                      <a:noFill/>
                    </a:ln>
                  </pic:spPr>
                </pic:pic>
              </a:graphicData>
            </a:graphic>
          </wp:anchor>
        </w:drawing>
      </w:r>
      <w:r>
        <w:rPr>
          <w:color w:val="FF0000"/>
          <w:highlight w:val="none"/>
        </w:rPr>
        <w:drawing>
          <wp:inline distT="0" distB="0" distL="114300" distR="114300">
            <wp:extent cx="5400040" cy="3604895"/>
            <wp:effectExtent l="0" t="0" r="10160" b="14605"/>
            <wp:docPr id="174"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45"/>
                    <pic:cNvPicPr>
                      <a:picLocks noChangeAspect="1"/>
                    </pic:cNvPicPr>
                  </pic:nvPicPr>
                  <pic:blipFill>
                    <a:blip r:embed="rId105"/>
                    <a:stretch>
                      <a:fillRect/>
                    </a:stretch>
                  </pic:blipFill>
                  <pic:spPr>
                    <a:xfrm>
                      <a:off x="0" y="0"/>
                      <a:ext cx="5400040" cy="3604895"/>
                    </a:xfrm>
                    <a:prstGeom prst="rect">
                      <a:avLst/>
                    </a:prstGeom>
                    <a:noFill/>
                    <a:ln>
                      <a:noFill/>
                    </a:ln>
                  </pic:spPr>
                </pic:pic>
              </a:graphicData>
            </a:graphic>
          </wp:inline>
        </w:drawing>
      </w:r>
    </w:p>
    <w:p w14:paraId="2DB169E8">
      <w:pPr>
        <w:widowControl w:val="0"/>
        <w:spacing w:after="0" w:line="480" w:lineRule="exact"/>
        <w:ind w:firstLine="0" w:firstLineChars="0"/>
        <w:jc w:val="center"/>
        <w:rPr>
          <w:rFonts w:hint="default" w:ascii="Times New Roman" w:hAnsi="Times New Roman" w:eastAsia="宋体" w:cs="Times New Roman"/>
          <w:snapToGrid w:val="0"/>
          <w:color w:val="FF0000"/>
          <w:kern w:val="2"/>
          <w:sz w:val="24"/>
          <w:szCs w:val="24"/>
          <w:highlight w:val="none"/>
          <w:lang w:val="en-US" w:eastAsia="zh-CN" w:bidi="ar-SA"/>
        </w:rPr>
      </w:pPr>
      <w:r>
        <w:rPr>
          <w:rFonts w:hint="default" w:ascii="Times New Roman" w:hAnsi="Times New Roman" w:eastAsia="宋体" w:cs="Times New Roman"/>
          <w:snapToGrid w:val="0"/>
          <w:color w:val="FF0000"/>
          <w:kern w:val="2"/>
          <w:sz w:val="24"/>
          <w:szCs w:val="24"/>
          <w:highlight w:val="none"/>
          <w:lang w:val="en-US" w:eastAsia="zh-CN" w:bidi="ar-SA"/>
        </w:rPr>
        <w:t>图6</w:t>
      </w:r>
      <w:r>
        <w:rPr>
          <w:rFonts w:hint="eastAsia" w:ascii="Times New Roman" w:hAnsi="Times New Roman" w:eastAsia="宋体" w:cs="Times New Roman"/>
          <w:snapToGrid w:val="0"/>
          <w:color w:val="FF0000"/>
          <w:kern w:val="2"/>
          <w:sz w:val="24"/>
          <w:szCs w:val="24"/>
          <w:highlight w:val="none"/>
          <w:lang w:val="en-US" w:eastAsia="zh-CN" w:bidi="ar-SA"/>
        </w:rPr>
        <w:t>.2</w:t>
      </w:r>
      <w:r>
        <w:rPr>
          <w:rFonts w:hint="default" w:ascii="Times New Roman" w:hAnsi="Times New Roman" w:eastAsia="宋体" w:cs="Times New Roman"/>
          <w:snapToGrid w:val="0"/>
          <w:color w:val="FF0000"/>
          <w:kern w:val="2"/>
          <w:sz w:val="24"/>
          <w:szCs w:val="24"/>
          <w:highlight w:val="none"/>
          <w:lang w:val="en-US" w:eastAsia="zh-CN" w:bidi="ar-SA"/>
        </w:rPr>
        <w:t>-</w:t>
      </w:r>
      <w:r>
        <w:rPr>
          <w:rFonts w:hint="eastAsia" w:ascii="Times New Roman" w:hAnsi="Times New Roman" w:eastAsia="宋体" w:cs="Times New Roman"/>
          <w:snapToGrid w:val="0"/>
          <w:color w:val="FF0000"/>
          <w:kern w:val="2"/>
          <w:sz w:val="24"/>
          <w:szCs w:val="24"/>
          <w:highlight w:val="none"/>
          <w:lang w:val="en-US" w:eastAsia="zh-CN" w:bidi="ar-SA"/>
        </w:rPr>
        <w:t>9</w:t>
      </w:r>
      <w:r>
        <w:rPr>
          <w:rFonts w:hint="default" w:ascii="Times New Roman" w:hAnsi="Times New Roman" w:eastAsia="宋体" w:cs="Times New Roman"/>
          <w:snapToGrid w:val="0"/>
          <w:color w:val="FF0000"/>
          <w:kern w:val="2"/>
          <w:sz w:val="24"/>
          <w:szCs w:val="24"/>
          <w:highlight w:val="none"/>
          <w:lang w:val="en-US" w:eastAsia="zh-CN" w:bidi="ar-SA"/>
        </w:rPr>
        <w:t xml:space="preserve">  本项目NO</w:t>
      </w:r>
      <w:r>
        <w:rPr>
          <w:rFonts w:hint="default" w:ascii="Times New Roman" w:hAnsi="Times New Roman" w:eastAsia="宋体" w:cs="Times New Roman"/>
          <w:snapToGrid w:val="0"/>
          <w:color w:val="FF0000"/>
          <w:kern w:val="2"/>
          <w:sz w:val="24"/>
          <w:szCs w:val="24"/>
          <w:highlight w:val="none"/>
          <w:vertAlign w:val="subscript"/>
          <w:lang w:val="en-US" w:eastAsia="zh-CN" w:bidi="ar-SA"/>
        </w:rPr>
        <w:t>2</w:t>
      </w:r>
      <w:r>
        <w:rPr>
          <w:rFonts w:hint="eastAsia" w:ascii="Times New Roman" w:hAnsi="Times New Roman" w:eastAsia="宋体" w:cs="Times New Roman"/>
          <w:snapToGrid w:val="0"/>
          <w:color w:val="FF0000"/>
          <w:kern w:val="2"/>
          <w:sz w:val="24"/>
          <w:szCs w:val="24"/>
          <w:highlight w:val="none"/>
          <w:vertAlign w:val="baseline"/>
          <w:lang w:val="en-US" w:eastAsia="zh-CN" w:bidi="ar-SA"/>
        </w:rPr>
        <w:t>保证率</w:t>
      </w:r>
      <w:r>
        <w:rPr>
          <w:rFonts w:hint="default" w:ascii="Times New Roman" w:hAnsi="Times New Roman" w:eastAsia="宋体" w:cs="Times New Roman"/>
          <w:snapToGrid w:val="0"/>
          <w:color w:val="FF0000"/>
          <w:kern w:val="2"/>
          <w:sz w:val="24"/>
          <w:szCs w:val="24"/>
          <w:highlight w:val="none"/>
          <w:vertAlign w:val="baseline"/>
          <w:lang w:val="en-US" w:eastAsia="zh-CN" w:bidi="ar-SA"/>
        </w:rPr>
        <w:t>日平均质量浓度分布图</w:t>
      </w:r>
      <w:r>
        <w:rPr>
          <w:rFonts w:hint="default" w:ascii="Times New Roman" w:hAnsi="Times New Roman" w:eastAsia="宋体" w:cs="Times New Roman"/>
          <w:snapToGrid w:val="0"/>
          <w:color w:val="FF0000"/>
          <w:kern w:val="2"/>
          <w:sz w:val="24"/>
          <w:szCs w:val="24"/>
          <w:highlight w:val="none"/>
          <w:lang w:val="en-US" w:eastAsia="zh-CN" w:bidi="ar-SA"/>
        </w:rPr>
        <w:t>（μg/m</w:t>
      </w:r>
      <w:r>
        <w:rPr>
          <w:rFonts w:hint="default" w:ascii="Times New Roman" w:hAnsi="Times New Roman" w:eastAsia="宋体" w:cs="Times New Roman"/>
          <w:snapToGrid w:val="0"/>
          <w:color w:val="FF0000"/>
          <w:kern w:val="2"/>
          <w:sz w:val="24"/>
          <w:szCs w:val="24"/>
          <w:highlight w:val="none"/>
          <w:vertAlign w:val="superscript"/>
          <w:lang w:val="en-US" w:eastAsia="zh-CN" w:bidi="ar-SA"/>
        </w:rPr>
        <w:t>3</w:t>
      </w:r>
      <w:r>
        <w:rPr>
          <w:rFonts w:hint="default" w:ascii="Times New Roman" w:hAnsi="Times New Roman" w:eastAsia="宋体" w:cs="Times New Roman"/>
          <w:snapToGrid w:val="0"/>
          <w:color w:val="FF0000"/>
          <w:kern w:val="2"/>
          <w:sz w:val="24"/>
          <w:szCs w:val="24"/>
          <w:highlight w:val="none"/>
          <w:lang w:val="en-US" w:eastAsia="zh-CN" w:bidi="ar-SA"/>
        </w:rPr>
        <w:t>）</w:t>
      </w:r>
    </w:p>
    <w:p w14:paraId="67E0AA0D">
      <w:pPr>
        <w:bidi w:val="0"/>
        <w:ind w:left="0" w:leftChars="0" w:firstLine="0" w:firstLineChars="0"/>
        <w:jc w:val="center"/>
        <w:rPr>
          <w:rFonts w:hint="default" w:ascii="Times New Roman" w:hAnsi="Times New Roman" w:eastAsia="宋体" w:cs="Times New Roman"/>
          <w:color w:val="FF0000"/>
          <w:highlight w:val="none"/>
          <w:lang w:eastAsia="zh-CN"/>
        </w:rPr>
      </w:pPr>
      <w:r>
        <w:rPr>
          <w:color w:val="FF0000"/>
          <w:highlight w:val="none"/>
        </w:rPr>
        <w:drawing>
          <wp:anchor distT="0" distB="0" distL="114300" distR="114300" simplePos="0" relativeHeight="251682816" behindDoc="0" locked="0" layoutInCell="1" allowOverlap="1">
            <wp:simplePos x="0" y="0"/>
            <wp:positionH relativeFrom="column">
              <wp:posOffset>4901565</wp:posOffset>
            </wp:positionH>
            <wp:positionV relativeFrom="paragraph">
              <wp:posOffset>124460</wp:posOffset>
            </wp:positionV>
            <wp:extent cx="923925" cy="952500"/>
            <wp:effectExtent l="0" t="0" r="9525" b="0"/>
            <wp:wrapNone/>
            <wp:docPr id="5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1"/>
                    <pic:cNvPicPr>
                      <a:picLocks noChangeAspect="1"/>
                    </pic:cNvPicPr>
                  </pic:nvPicPr>
                  <pic:blipFill>
                    <a:blip r:embed="rId97"/>
                    <a:stretch>
                      <a:fillRect/>
                    </a:stretch>
                  </pic:blipFill>
                  <pic:spPr>
                    <a:xfrm>
                      <a:off x="0" y="0"/>
                      <a:ext cx="923925" cy="952500"/>
                    </a:xfrm>
                    <a:prstGeom prst="rect">
                      <a:avLst/>
                    </a:prstGeom>
                    <a:noFill/>
                    <a:ln>
                      <a:noFill/>
                    </a:ln>
                  </pic:spPr>
                </pic:pic>
              </a:graphicData>
            </a:graphic>
          </wp:anchor>
        </w:drawing>
      </w:r>
      <w:r>
        <w:rPr>
          <w:color w:val="FF0000"/>
          <w:highlight w:val="none"/>
        </w:rPr>
        <w:drawing>
          <wp:inline distT="0" distB="0" distL="114300" distR="114300">
            <wp:extent cx="5400040" cy="3811270"/>
            <wp:effectExtent l="0" t="0" r="10160" b="17780"/>
            <wp:docPr id="176"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49"/>
                    <pic:cNvPicPr>
                      <a:picLocks noChangeAspect="1"/>
                    </pic:cNvPicPr>
                  </pic:nvPicPr>
                  <pic:blipFill>
                    <a:blip r:embed="rId106"/>
                    <a:stretch>
                      <a:fillRect/>
                    </a:stretch>
                  </pic:blipFill>
                  <pic:spPr>
                    <a:xfrm>
                      <a:off x="0" y="0"/>
                      <a:ext cx="5400040" cy="3811270"/>
                    </a:xfrm>
                    <a:prstGeom prst="rect">
                      <a:avLst/>
                    </a:prstGeom>
                    <a:noFill/>
                    <a:ln>
                      <a:noFill/>
                    </a:ln>
                  </pic:spPr>
                </pic:pic>
              </a:graphicData>
            </a:graphic>
          </wp:inline>
        </w:drawing>
      </w:r>
    </w:p>
    <w:p w14:paraId="69ACF508">
      <w:pPr>
        <w:widowControl w:val="0"/>
        <w:spacing w:after="0" w:line="480" w:lineRule="exact"/>
        <w:ind w:firstLine="0" w:firstLineChars="0"/>
        <w:jc w:val="center"/>
        <w:rPr>
          <w:rFonts w:hint="default" w:ascii="Times New Roman" w:hAnsi="Times New Roman" w:eastAsia="宋体" w:cs="Times New Roman"/>
          <w:snapToGrid w:val="0"/>
          <w:color w:val="FF0000"/>
          <w:kern w:val="2"/>
          <w:sz w:val="24"/>
          <w:szCs w:val="24"/>
          <w:highlight w:val="none"/>
          <w:lang w:val="en-US" w:eastAsia="zh-CN" w:bidi="ar-SA"/>
        </w:rPr>
      </w:pPr>
      <w:r>
        <w:rPr>
          <w:rFonts w:hint="default" w:ascii="Times New Roman" w:hAnsi="Times New Roman" w:eastAsia="宋体" w:cs="Times New Roman"/>
          <w:snapToGrid w:val="0"/>
          <w:color w:val="FF0000"/>
          <w:kern w:val="2"/>
          <w:sz w:val="24"/>
          <w:szCs w:val="24"/>
          <w:highlight w:val="none"/>
          <w:lang w:val="en-US" w:eastAsia="zh-CN" w:bidi="ar-SA"/>
        </w:rPr>
        <w:t>图6</w:t>
      </w:r>
      <w:r>
        <w:rPr>
          <w:rFonts w:hint="eastAsia" w:ascii="Times New Roman" w:hAnsi="Times New Roman" w:eastAsia="宋体" w:cs="Times New Roman"/>
          <w:snapToGrid w:val="0"/>
          <w:color w:val="FF0000"/>
          <w:kern w:val="2"/>
          <w:sz w:val="24"/>
          <w:szCs w:val="24"/>
          <w:highlight w:val="none"/>
          <w:lang w:val="en-US" w:eastAsia="zh-CN" w:bidi="ar-SA"/>
        </w:rPr>
        <w:t>.2</w:t>
      </w:r>
      <w:r>
        <w:rPr>
          <w:rFonts w:hint="default" w:ascii="Times New Roman" w:hAnsi="Times New Roman" w:eastAsia="宋体" w:cs="Times New Roman"/>
          <w:snapToGrid w:val="0"/>
          <w:color w:val="FF0000"/>
          <w:kern w:val="2"/>
          <w:sz w:val="24"/>
          <w:szCs w:val="24"/>
          <w:highlight w:val="none"/>
          <w:lang w:val="en-US" w:eastAsia="zh-CN" w:bidi="ar-SA"/>
        </w:rPr>
        <w:t>-1</w:t>
      </w:r>
      <w:r>
        <w:rPr>
          <w:rFonts w:hint="eastAsia" w:ascii="Times New Roman" w:hAnsi="Times New Roman" w:eastAsia="宋体" w:cs="Times New Roman"/>
          <w:snapToGrid w:val="0"/>
          <w:color w:val="FF0000"/>
          <w:kern w:val="2"/>
          <w:sz w:val="24"/>
          <w:szCs w:val="24"/>
          <w:highlight w:val="none"/>
          <w:lang w:val="en-US" w:eastAsia="zh-CN" w:bidi="ar-SA"/>
        </w:rPr>
        <w:t>0</w:t>
      </w:r>
      <w:r>
        <w:rPr>
          <w:rFonts w:hint="default" w:ascii="Times New Roman" w:hAnsi="Times New Roman" w:eastAsia="宋体" w:cs="Times New Roman"/>
          <w:snapToGrid w:val="0"/>
          <w:color w:val="FF0000"/>
          <w:kern w:val="2"/>
          <w:sz w:val="24"/>
          <w:szCs w:val="24"/>
          <w:highlight w:val="none"/>
          <w:lang w:val="en-US" w:eastAsia="zh-CN" w:bidi="ar-SA"/>
        </w:rPr>
        <w:t xml:space="preserve">  本项目NH</w:t>
      </w:r>
      <w:r>
        <w:rPr>
          <w:rFonts w:hint="default" w:ascii="Times New Roman" w:hAnsi="Times New Roman" w:eastAsia="宋体" w:cs="Times New Roman"/>
          <w:snapToGrid w:val="0"/>
          <w:color w:val="FF0000"/>
          <w:kern w:val="2"/>
          <w:sz w:val="24"/>
          <w:szCs w:val="24"/>
          <w:highlight w:val="none"/>
          <w:vertAlign w:val="subscript"/>
          <w:lang w:val="en-US" w:eastAsia="zh-CN" w:bidi="ar-SA"/>
        </w:rPr>
        <w:t>3</w:t>
      </w:r>
      <w:r>
        <w:rPr>
          <w:rFonts w:hint="default" w:ascii="Times New Roman" w:hAnsi="Times New Roman" w:eastAsia="宋体" w:cs="Times New Roman"/>
          <w:snapToGrid w:val="0"/>
          <w:color w:val="FF0000"/>
          <w:kern w:val="2"/>
          <w:sz w:val="24"/>
          <w:szCs w:val="24"/>
          <w:highlight w:val="none"/>
          <w:vertAlign w:val="baseline"/>
          <w:lang w:val="en-US" w:eastAsia="zh-CN" w:bidi="ar-SA"/>
        </w:rPr>
        <w:t>小时平均质量浓度分布图</w:t>
      </w:r>
      <w:r>
        <w:rPr>
          <w:rFonts w:hint="default" w:ascii="Times New Roman" w:hAnsi="Times New Roman" w:eastAsia="宋体" w:cs="Times New Roman"/>
          <w:snapToGrid w:val="0"/>
          <w:color w:val="FF0000"/>
          <w:kern w:val="2"/>
          <w:sz w:val="24"/>
          <w:szCs w:val="24"/>
          <w:highlight w:val="none"/>
          <w:lang w:val="en-US" w:eastAsia="zh-CN" w:bidi="ar-SA"/>
        </w:rPr>
        <w:t>（μg/m</w:t>
      </w:r>
      <w:r>
        <w:rPr>
          <w:rFonts w:hint="default" w:ascii="Times New Roman" w:hAnsi="Times New Roman" w:eastAsia="宋体" w:cs="Times New Roman"/>
          <w:snapToGrid w:val="0"/>
          <w:color w:val="FF0000"/>
          <w:kern w:val="2"/>
          <w:sz w:val="24"/>
          <w:szCs w:val="24"/>
          <w:highlight w:val="none"/>
          <w:vertAlign w:val="superscript"/>
          <w:lang w:val="en-US" w:eastAsia="zh-CN" w:bidi="ar-SA"/>
        </w:rPr>
        <w:t>3</w:t>
      </w:r>
      <w:r>
        <w:rPr>
          <w:rFonts w:hint="default" w:ascii="Times New Roman" w:hAnsi="Times New Roman" w:eastAsia="宋体" w:cs="Times New Roman"/>
          <w:snapToGrid w:val="0"/>
          <w:color w:val="FF0000"/>
          <w:kern w:val="2"/>
          <w:sz w:val="24"/>
          <w:szCs w:val="24"/>
          <w:highlight w:val="none"/>
          <w:lang w:val="en-US" w:eastAsia="zh-CN" w:bidi="ar-SA"/>
        </w:rPr>
        <w:t>）</w:t>
      </w:r>
    </w:p>
    <w:p w14:paraId="64CEC650">
      <w:pPr>
        <w:bidi w:val="0"/>
        <w:ind w:left="0" w:leftChars="0" w:firstLine="0" w:firstLineChars="0"/>
        <w:jc w:val="center"/>
        <w:rPr>
          <w:rFonts w:hint="default" w:ascii="Times New Roman" w:hAnsi="Times New Roman" w:eastAsia="宋体" w:cs="Times New Roman"/>
          <w:color w:val="FF0000"/>
          <w:highlight w:val="none"/>
          <w:lang w:eastAsia="zh-CN"/>
        </w:rPr>
      </w:pPr>
      <w:r>
        <w:rPr>
          <w:color w:val="FF0000"/>
          <w:highlight w:val="none"/>
        </w:rPr>
        <w:drawing>
          <wp:anchor distT="0" distB="0" distL="114300" distR="114300" simplePos="0" relativeHeight="251681792" behindDoc="0" locked="0" layoutInCell="1" allowOverlap="1">
            <wp:simplePos x="0" y="0"/>
            <wp:positionH relativeFrom="column">
              <wp:posOffset>4897755</wp:posOffset>
            </wp:positionH>
            <wp:positionV relativeFrom="paragraph">
              <wp:posOffset>83820</wp:posOffset>
            </wp:positionV>
            <wp:extent cx="923925" cy="952500"/>
            <wp:effectExtent l="0" t="0" r="9525" b="0"/>
            <wp:wrapNone/>
            <wp:docPr id="44"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1"/>
                    <pic:cNvPicPr>
                      <a:picLocks noChangeAspect="1"/>
                    </pic:cNvPicPr>
                  </pic:nvPicPr>
                  <pic:blipFill>
                    <a:blip r:embed="rId97"/>
                    <a:stretch>
                      <a:fillRect/>
                    </a:stretch>
                  </pic:blipFill>
                  <pic:spPr>
                    <a:xfrm>
                      <a:off x="0" y="0"/>
                      <a:ext cx="923925" cy="952500"/>
                    </a:xfrm>
                    <a:prstGeom prst="rect">
                      <a:avLst/>
                    </a:prstGeom>
                    <a:noFill/>
                    <a:ln>
                      <a:noFill/>
                    </a:ln>
                  </pic:spPr>
                </pic:pic>
              </a:graphicData>
            </a:graphic>
          </wp:anchor>
        </w:drawing>
      </w:r>
      <w:r>
        <w:rPr>
          <w:color w:val="FF0000"/>
          <w:highlight w:val="none"/>
        </w:rPr>
        <w:drawing>
          <wp:inline distT="0" distB="0" distL="114300" distR="114300">
            <wp:extent cx="5400040" cy="3505200"/>
            <wp:effectExtent l="0" t="0" r="10160" b="0"/>
            <wp:docPr id="27"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2"/>
                    <pic:cNvPicPr>
                      <a:picLocks noChangeAspect="1"/>
                    </pic:cNvPicPr>
                  </pic:nvPicPr>
                  <pic:blipFill>
                    <a:blip r:embed="rId107"/>
                    <a:stretch>
                      <a:fillRect/>
                    </a:stretch>
                  </pic:blipFill>
                  <pic:spPr>
                    <a:xfrm>
                      <a:off x="0" y="0"/>
                      <a:ext cx="5400040" cy="3505200"/>
                    </a:xfrm>
                    <a:prstGeom prst="rect">
                      <a:avLst/>
                    </a:prstGeom>
                    <a:noFill/>
                    <a:ln>
                      <a:noFill/>
                    </a:ln>
                  </pic:spPr>
                </pic:pic>
              </a:graphicData>
            </a:graphic>
          </wp:inline>
        </w:drawing>
      </w:r>
    </w:p>
    <w:p w14:paraId="05C449B7">
      <w:pPr>
        <w:widowControl w:val="0"/>
        <w:spacing w:after="0" w:line="480" w:lineRule="exact"/>
        <w:ind w:firstLine="0" w:firstLineChars="0"/>
        <w:jc w:val="center"/>
        <w:rPr>
          <w:rFonts w:hint="default" w:ascii="Times New Roman" w:hAnsi="Times New Roman" w:eastAsia="宋体" w:cs="Times New Roman"/>
          <w:snapToGrid w:val="0"/>
          <w:color w:val="FF0000"/>
          <w:kern w:val="2"/>
          <w:sz w:val="24"/>
          <w:szCs w:val="24"/>
          <w:highlight w:val="none"/>
          <w:lang w:val="en-US" w:eastAsia="zh-CN" w:bidi="ar-SA"/>
        </w:rPr>
      </w:pPr>
      <w:r>
        <w:rPr>
          <w:rFonts w:hint="default" w:ascii="Times New Roman" w:hAnsi="Times New Roman" w:eastAsia="宋体" w:cs="Times New Roman"/>
          <w:snapToGrid w:val="0"/>
          <w:color w:val="FF0000"/>
          <w:kern w:val="2"/>
          <w:sz w:val="24"/>
          <w:szCs w:val="24"/>
          <w:highlight w:val="none"/>
          <w:lang w:val="en-US" w:eastAsia="zh-CN" w:bidi="ar-SA"/>
        </w:rPr>
        <w:t>图6</w:t>
      </w:r>
      <w:r>
        <w:rPr>
          <w:rFonts w:hint="eastAsia" w:ascii="Times New Roman" w:hAnsi="Times New Roman" w:eastAsia="宋体" w:cs="Times New Roman"/>
          <w:snapToGrid w:val="0"/>
          <w:color w:val="FF0000"/>
          <w:kern w:val="2"/>
          <w:sz w:val="24"/>
          <w:szCs w:val="24"/>
          <w:highlight w:val="none"/>
          <w:lang w:val="en-US" w:eastAsia="zh-CN" w:bidi="ar-SA"/>
        </w:rPr>
        <w:t>.2</w:t>
      </w:r>
      <w:r>
        <w:rPr>
          <w:rFonts w:hint="default" w:ascii="Times New Roman" w:hAnsi="Times New Roman" w:eastAsia="宋体" w:cs="Times New Roman"/>
          <w:snapToGrid w:val="0"/>
          <w:color w:val="FF0000"/>
          <w:kern w:val="2"/>
          <w:sz w:val="24"/>
          <w:szCs w:val="24"/>
          <w:highlight w:val="none"/>
          <w:lang w:val="en-US" w:eastAsia="zh-CN" w:bidi="ar-SA"/>
        </w:rPr>
        <w:t>-1</w:t>
      </w:r>
      <w:r>
        <w:rPr>
          <w:rFonts w:hint="eastAsia" w:ascii="Times New Roman" w:hAnsi="Times New Roman" w:eastAsia="宋体" w:cs="Times New Roman"/>
          <w:snapToGrid w:val="0"/>
          <w:color w:val="FF0000"/>
          <w:kern w:val="2"/>
          <w:sz w:val="24"/>
          <w:szCs w:val="24"/>
          <w:highlight w:val="none"/>
          <w:lang w:val="en-US" w:eastAsia="zh-CN" w:bidi="ar-SA"/>
        </w:rPr>
        <w:t>1</w:t>
      </w:r>
      <w:r>
        <w:rPr>
          <w:rFonts w:hint="default" w:ascii="Times New Roman" w:hAnsi="Times New Roman" w:eastAsia="宋体" w:cs="Times New Roman"/>
          <w:snapToGrid w:val="0"/>
          <w:color w:val="FF0000"/>
          <w:kern w:val="2"/>
          <w:sz w:val="24"/>
          <w:szCs w:val="24"/>
          <w:highlight w:val="none"/>
          <w:lang w:val="en-US" w:eastAsia="zh-CN" w:bidi="ar-SA"/>
        </w:rPr>
        <w:t xml:space="preserve">  本项目Hg</w:t>
      </w:r>
      <w:r>
        <w:rPr>
          <w:rFonts w:hint="eastAsia" w:ascii="Times New Roman" w:hAnsi="Times New Roman" w:eastAsia="宋体" w:cs="Times New Roman"/>
          <w:snapToGrid w:val="0"/>
          <w:color w:val="FF0000"/>
          <w:kern w:val="2"/>
          <w:sz w:val="24"/>
          <w:szCs w:val="24"/>
          <w:highlight w:val="none"/>
          <w:lang w:val="en-US" w:eastAsia="zh-CN" w:bidi="ar-SA"/>
        </w:rPr>
        <w:t>日</w:t>
      </w:r>
      <w:r>
        <w:rPr>
          <w:rFonts w:hint="default" w:ascii="Times New Roman" w:hAnsi="Times New Roman" w:eastAsia="宋体" w:cs="Times New Roman"/>
          <w:snapToGrid w:val="0"/>
          <w:color w:val="FF0000"/>
          <w:kern w:val="2"/>
          <w:sz w:val="24"/>
          <w:szCs w:val="24"/>
          <w:highlight w:val="none"/>
          <w:vertAlign w:val="baseline"/>
          <w:lang w:val="en-US" w:eastAsia="zh-CN" w:bidi="ar-SA"/>
        </w:rPr>
        <w:t>平均质量浓度分布图</w:t>
      </w:r>
      <w:r>
        <w:rPr>
          <w:rFonts w:hint="default" w:ascii="Times New Roman" w:hAnsi="Times New Roman" w:eastAsia="宋体" w:cs="Times New Roman"/>
          <w:snapToGrid w:val="0"/>
          <w:color w:val="FF0000"/>
          <w:kern w:val="2"/>
          <w:sz w:val="24"/>
          <w:szCs w:val="24"/>
          <w:highlight w:val="none"/>
          <w:lang w:val="en-US" w:eastAsia="zh-CN" w:bidi="ar-SA"/>
        </w:rPr>
        <w:t>（μg/m</w:t>
      </w:r>
      <w:r>
        <w:rPr>
          <w:rFonts w:hint="default" w:ascii="Times New Roman" w:hAnsi="Times New Roman" w:eastAsia="宋体" w:cs="Times New Roman"/>
          <w:snapToGrid w:val="0"/>
          <w:color w:val="FF0000"/>
          <w:kern w:val="2"/>
          <w:sz w:val="24"/>
          <w:szCs w:val="24"/>
          <w:highlight w:val="none"/>
          <w:vertAlign w:val="superscript"/>
          <w:lang w:val="en-US" w:eastAsia="zh-CN" w:bidi="ar-SA"/>
        </w:rPr>
        <w:t>3</w:t>
      </w:r>
      <w:r>
        <w:rPr>
          <w:rFonts w:hint="default" w:ascii="Times New Roman" w:hAnsi="Times New Roman" w:eastAsia="宋体" w:cs="Times New Roman"/>
          <w:snapToGrid w:val="0"/>
          <w:color w:val="FF0000"/>
          <w:kern w:val="2"/>
          <w:sz w:val="24"/>
          <w:szCs w:val="24"/>
          <w:highlight w:val="none"/>
          <w:lang w:val="en-US" w:eastAsia="zh-CN" w:bidi="ar-SA"/>
        </w:rPr>
        <w:t>）</w:t>
      </w:r>
    </w:p>
    <w:p w14:paraId="740EDA43">
      <w:pPr>
        <w:bidi w:val="0"/>
        <w:ind w:left="0" w:leftChars="0" w:firstLine="0" w:firstLineChars="0"/>
        <w:jc w:val="center"/>
        <w:rPr>
          <w:rFonts w:hint="default" w:ascii="Times New Roman" w:hAnsi="Times New Roman" w:eastAsia="宋体" w:cs="Times New Roman"/>
          <w:color w:val="FF0000"/>
          <w:highlight w:val="none"/>
          <w:lang w:eastAsia="zh-CN"/>
        </w:rPr>
      </w:pPr>
      <w:r>
        <w:rPr>
          <w:color w:val="FF0000"/>
          <w:highlight w:val="none"/>
        </w:rPr>
        <w:drawing>
          <wp:anchor distT="0" distB="0" distL="114300" distR="114300" simplePos="0" relativeHeight="251684864" behindDoc="0" locked="0" layoutInCell="1" allowOverlap="1">
            <wp:simplePos x="0" y="0"/>
            <wp:positionH relativeFrom="column">
              <wp:posOffset>4944745</wp:posOffset>
            </wp:positionH>
            <wp:positionV relativeFrom="paragraph">
              <wp:posOffset>113665</wp:posOffset>
            </wp:positionV>
            <wp:extent cx="923925" cy="952500"/>
            <wp:effectExtent l="0" t="0" r="9525" b="0"/>
            <wp:wrapNone/>
            <wp:docPr id="54"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41"/>
                    <pic:cNvPicPr>
                      <a:picLocks noChangeAspect="1"/>
                    </pic:cNvPicPr>
                  </pic:nvPicPr>
                  <pic:blipFill>
                    <a:blip r:embed="rId97"/>
                    <a:stretch>
                      <a:fillRect/>
                    </a:stretch>
                  </pic:blipFill>
                  <pic:spPr>
                    <a:xfrm>
                      <a:off x="0" y="0"/>
                      <a:ext cx="923925" cy="952500"/>
                    </a:xfrm>
                    <a:prstGeom prst="rect">
                      <a:avLst/>
                    </a:prstGeom>
                    <a:noFill/>
                    <a:ln>
                      <a:noFill/>
                    </a:ln>
                  </pic:spPr>
                </pic:pic>
              </a:graphicData>
            </a:graphic>
          </wp:anchor>
        </w:drawing>
      </w:r>
      <w:r>
        <w:rPr>
          <w:color w:val="FF0000"/>
          <w:highlight w:val="none"/>
        </w:rPr>
        <w:drawing>
          <wp:inline distT="0" distB="0" distL="114300" distR="114300">
            <wp:extent cx="5400040" cy="3849370"/>
            <wp:effectExtent l="0" t="0" r="10160" b="17780"/>
            <wp:docPr id="29"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3"/>
                    <pic:cNvPicPr>
                      <a:picLocks noChangeAspect="1"/>
                    </pic:cNvPicPr>
                  </pic:nvPicPr>
                  <pic:blipFill>
                    <a:blip r:embed="rId108"/>
                    <a:stretch>
                      <a:fillRect/>
                    </a:stretch>
                  </pic:blipFill>
                  <pic:spPr>
                    <a:xfrm>
                      <a:off x="0" y="0"/>
                      <a:ext cx="5400040" cy="3849370"/>
                    </a:xfrm>
                    <a:prstGeom prst="rect">
                      <a:avLst/>
                    </a:prstGeom>
                    <a:noFill/>
                    <a:ln>
                      <a:noFill/>
                    </a:ln>
                  </pic:spPr>
                </pic:pic>
              </a:graphicData>
            </a:graphic>
          </wp:inline>
        </w:drawing>
      </w:r>
    </w:p>
    <w:p w14:paraId="4AD935B0">
      <w:pPr>
        <w:widowControl w:val="0"/>
        <w:spacing w:after="0" w:line="480" w:lineRule="exact"/>
        <w:ind w:firstLine="0" w:firstLineChars="0"/>
        <w:jc w:val="center"/>
        <w:rPr>
          <w:rFonts w:hint="default" w:ascii="Times New Roman" w:hAnsi="Times New Roman" w:eastAsia="宋体" w:cs="Times New Roman"/>
          <w:snapToGrid w:val="0"/>
          <w:color w:val="FF0000"/>
          <w:kern w:val="2"/>
          <w:sz w:val="24"/>
          <w:szCs w:val="24"/>
          <w:highlight w:val="none"/>
          <w:lang w:val="en-US" w:eastAsia="zh-CN" w:bidi="ar-SA"/>
        </w:rPr>
      </w:pPr>
      <w:r>
        <w:rPr>
          <w:rFonts w:hint="default" w:ascii="Times New Roman" w:hAnsi="Times New Roman" w:eastAsia="宋体" w:cs="Times New Roman"/>
          <w:snapToGrid w:val="0"/>
          <w:color w:val="FF0000"/>
          <w:kern w:val="2"/>
          <w:sz w:val="24"/>
          <w:szCs w:val="24"/>
          <w:highlight w:val="none"/>
          <w:lang w:val="en-US" w:eastAsia="zh-CN" w:bidi="ar-SA"/>
        </w:rPr>
        <w:t>图6</w:t>
      </w:r>
      <w:r>
        <w:rPr>
          <w:rFonts w:hint="eastAsia" w:ascii="Times New Roman" w:hAnsi="Times New Roman" w:eastAsia="宋体" w:cs="Times New Roman"/>
          <w:snapToGrid w:val="0"/>
          <w:color w:val="FF0000"/>
          <w:kern w:val="2"/>
          <w:sz w:val="24"/>
          <w:szCs w:val="24"/>
          <w:highlight w:val="none"/>
          <w:lang w:val="en-US" w:eastAsia="zh-CN" w:bidi="ar-SA"/>
        </w:rPr>
        <w:t>.2</w:t>
      </w:r>
      <w:r>
        <w:rPr>
          <w:rFonts w:hint="default" w:ascii="Times New Roman" w:hAnsi="Times New Roman" w:eastAsia="宋体" w:cs="Times New Roman"/>
          <w:snapToGrid w:val="0"/>
          <w:color w:val="FF0000"/>
          <w:kern w:val="2"/>
          <w:sz w:val="24"/>
          <w:szCs w:val="24"/>
          <w:highlight w:val="none"/>
          <w:lang w:val="en-US" w:eastAsia="zh-CN" w:bidi="ar-SA"/>
        </w:rPr>
        <w:t>-1</w:t>
      </w:r>
      <w:r>
        <w:rPr>
          <w:rFonts w:hint="eastAsia" w:ascii="Times New Roman" w:hAnsi="Times New Roman" w:eastAsia="宋体" w:cs="Times New Roman"/>
          <w:snapToGrid w:val="0"/>
          <w:color w:val="FF0000"/>
          <w:kern w:val="2"/>
          <w:sz w:val="24"/>
          <w:szCs w:val="24"/>
          <w:highlight w:val="none"/>
          <w:lang w:val="en-US" w:eastAsia="zh-CN" w:bidi="ar-SA"/>
        </w:rPr>
        <w:t>2</w:t>
      </w:r>
      <w:r>
        <w:rPr>
          <w:rFonts w:hint="default" w:ascii="Times New Roman" w:hAnsi="Times New Roman" w:eastAsia="宋体" w:cs="Times New Roman"/>
          <w:snapToGrid w:val="0"/>
          <w:color w:val="FF0000"/>
          <w:kern w:val="2"/>
          <w:sz w:val="24"/>
          <w:szCs w:val="24"/>
          <w:highlight w:val="none"/>
          <w:lang w:val="en-US" w:eastAsia="zh-CN" w:bidi="ar-SA"/>
        </w:rPr>
        <w:t xml:space="preserve"> 本项目TSP</w:t>
      </w:r>
      <w:r>
        <w:rPr>
          <w:rFonts w:hint="default" w:ascii="Times New Roman" w:hAnsi="Times New Roman" w:eastAsia="宋体" w:cs="Times New Roman"/>
          <w:snapToGrid w:val="0"/>
          <w:color w:val="FF0000"/>
          <w:kern w:val="2"/>
          <w:sz w:val="24"/>
          <w:szCs w:val="24"/>
          <w:highlight w:val="none"/>
          <w:vertAlign w:val="baseline"/>
          <w:lang w:val="en-US" w:eastAsia="zh-CN" w:bidi="ar-SA"/>
        </w:rPr>
        <w:t>日平均质量浓度分布图</w:t>
      </w:r>
      <w:r>
        <w:rPr>
          <w:rFonts w:hint="default" w:ascii="Times New Roman" w:hAnsi="Times New Roman" w:eastAsia="宋体" w:cs="Times New Roman"/>
          <w:snapToGrid w:val="0"/>
          <w:color w:val="FF0000"/>
          <w:kern w:val="2"/>
          <w:sz w:val="24"/>
          <w:szCs w:val="24"/>
          <w:highlight w:val="none"/>
          <w:lang w:val="en-US" w:eastAsia="zh-CN" w:bidi="ar-SA"/>
        </w:rPr>
        <w:t>（μg/m</w:t>
      </w:r>
      <w:r>
        <w:rPr>
          <w:rFonts w:hint="default" w:ascii="Times New Roman" w:hAnsi="Times New Roman" w:eastAsia="宋体" w:cs="Times New Roman"/>
          <w:snapToGrid w:val="0"/>
          <w:color w:val="FF0000"/>
          <w:kern w:val="2"/>
          <w:sz w:val="24"/>
          <w:szCs w:val="24"/>
          <w:highlight w:val="none"/>
          <w:vertAlign w:val="superscript"/>
          <w:lang w:val="en-US" w:eastAsia="zh-CN" w:bidi="ar-SA"/>
        </w:rPr>
        <w:t>3</w:t>
      </w:r>
      <w:r>
        <w:rPr>
          <w:rFonts w:hint="default" w:ascii="Times New Roman" w:hAnsi="Times New Roman" w:eastAsia="宋体" w:cs="Times New Roman"/>
          <w:snapToGrid w:val="0"/>
          <w:color w:val="FF0000"/>
          <w:kern w:val="2"/>
          <w:sz w:val="24"/>
          <w:szCs w:val="24"/>
          <w:highlight w:val="none"/>
          <w:lang w:val="en-US" w:eastAsia="zh-CN" w:bidi="ar-SA"/>
        </w:rPr>
        <w:t>）</w:t>
      </w:r>
    </w:p>
    <w:p w14:paraId="2C1548B0">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both"/>
        <w:textAlignment w:val="auto"/>
        <w:rPr>
          <w:rFonts w:ascii="Times New Roman" w:hAnsi="Times New Roman" w:eastAsia="黑体" w:cs="Times New Roman"/>
          <w:snapToGrid w:val="0"/>
          <w:color w:val="FF0000"/>
          <w:kern w:val="2"/>
          <w:sz w:val="24"/>
          <w:szCs w:val="24"/>
          <w:highlight w:val="none"/>
          <w:lang w:val="en-US" w:eastAsia="zh-CN" w:bidi="ar-SA"/>
        </w:rPr>
      </w:pPr>
      <w:r>
        <w:rPr>
          <w:rFonts w:ascii="Times New Roman" w:hAnsi="Times New Roman" w:eastAsia="黑体" w:cs="Times New Roman"/>
          <w:snapToGrid w:val="0"/>
          <w:color w:val="FF0000"/>
          <w:kern w:val="2"/>
          <w:sz w:val="24"/>
          <w:szCs w:val="24"/>
          <w:highlight w:val="none"/>
          <w:lang w:val="en-US" w:eastAsia="zh-CN" w:bidi="ar-SA"/>
        </w:rPr>
        <w:drawing>
          <wp:anchor distT="0" distB="0" distL="114300" distR="114300" simplePos="0" relativeHeight="251683840" behindDoc="0" locked="0" layoutInCell="1" allowOverlap="1">
            <wp:simplePos x="0" y="0"/>
            <wp:positionH relativeFrom="column">
              <wp:posOffset>4675505</wp:posOffset>
            </wp:positionH>
            <wp:positionV relativeFrom="paragraph">
              <wp:posOffset>151765</wp:posOffset>
            </wp:positionV>
            <wp:extent cx="923925" cy="952500"/>
            <wp:effectExtent l="0" t="0" r="9525" b="0"/>
            <wp:wrapNone/>
            <wp:docPr id="53"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41"/>
                    <pic:cNvPicPr>
                      <a:picLocks noChangeAspect="1"/>
                    </pic:cNvPicPr>
                  </pic:nvPicPr>
                  <pic:blipFill>
                    <a:blip r:embed="rId97"/>
                    <a:stretch>
                      <a:fillRect/>
                    </a:stretch>
                  </pic:blipFill>
                  <pic:spPr>
                    <a:xfrm>
                      <a:off x="0" y="0"/>
                      <a:ext cx="923925" cy="952500"/>
                    </a:xfrm>
                    <a:prstGeom prst="rect">
                      <a:avLst/>
                    </a:prstGeom>
                    <a:noFill/>
                    <a:ln>
                      <a:noFill/>
                    </a:ln>
                  </pic:spPr>
                </pic:pic>
              </a:graphicData>
            </a:graphic>
          </wp:anchor>
        </w:drawing>
      </w:r>
      <w:r>
        <w:rPr>
          <w:rFonts w:ascii="Times New Roman" w:hAnsi="Times New Roman" w:eastAsia="黑体" w:cs="Times New Roman"/>
          <w:snapToGrid w:val="0"/>
          <w:color w:val="FF0000"/>
          <w:kern w:val="2"/>
          <w:sz w:val="24"/>
          <w:szCs w:val="24"/>
          <w:highlight w:val="none"/>
          <w:lang w:val="en-US" w:eastAsia="zh-CN" w:bidi="ar-SA"/>
        </w:rPr>
        <w:drawing>
          <wp:inline distT="0" distB="0" distL="114300" distR="114300">
            <wp:extent cx="5269230" cy="3719830"/>
            <wp:effectExtent l="0" t="0" r="7620" b="13970"/>
            <wp:docPr id="30"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4"/>
                    <pic:cNvPicPr>
                      <a:picLocks noChangeAspect="1"/>
                    </pic:cNvPicPr>
                  </pic:nvPicPr>
                  <pic:blipFill>
                    <a:blip r:embed="rId109"/>
                    <a:stretch>
                      <a:fillRect/>
                    </a:stretch>
                  </pic:blipFill>
                  <pic:spPr>
                    <a:xfrm>
                      <a:off x="0" y="0"/>
                      <a:ext cx="5269230" cy="3719830"/>
                    </a:xfrm>
                    <a:prstGeom prst="rect">
                      <a:avLst/>
                    </a:prstGeom>
                    <a:noFill/>
                    <a:ln>
                      <a:noFill/>
                    </a:ln>
                  </pic:spPr>
                </pic:pic>
              </a:graphicData>
            </a:graphic>
          </wp:inline>
        </w:drawing>
      </w:r>
    </w:p>
    <w:p w14:paraId="79035426">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snapToGrid w:val="0"/>
          <w:color w:val="FF0000"/>
          <w:kern w:val="2"/>
          <w:sz w:val="24"/>
          <w:szCs w:val="24"/>
          <w:highlight w:val="none"/>
          <w:lang w:val="en-US" w:eastAsia="zh-CN" w:bidi="ar-SA"/>
        </w:rPr>
      </w:pPr>
      <w:r>
        <w:rPr>
          <w:rFonts w:hint="default" w:ascii="Times New Roman" w:hAnsi="Times New Roman" w:eastAsia="宋体" w:cs="Times New Roman"/>
          <w:snapToGrid w:val="0"/>
          <w:color w:val="FF0000"/>
          <w:kern w:val="2"/>
          <w:sz w:val="24"/>
          <w:szCs w:val="24"/>
          <w:highlight w:val="none"/>
          <w:lang w:val="en-US" w:eastAsia="zh-CN" w:bidi="ar-SA"/>
        </w:rPr>
        <w:t>图6</w:t>
      </w:r>
      <w:r>
        <w:rPr>
          <w:rFonts w:hint="eastAsia" w:ascii="Times New Roman" w:hAnsi="Times New Roman" w:eastAsia="宋体" w:cs="Times New Roman"/>
          <w:snapToGrid w:val="0"/>
          <w:color w:val="FF0000"/>
          <w:kern w:val="2"/>
          <w:sz w:val="24"/>
          <w:szCs w:val="24"/>
          <w:highlight w:val="none"/>
          <w:lang w:val="en-US" w:eastAsia="zh-CN" w:bidi="ar-SA"/>
        </w:rPr>
        <w:t>.2</w:t>
      </w:r>
      <w:r>
        <w:rPr>
          <w:rFonts w:hint="default" w:ascii="Times New Roman" w:hAnsi="Times New Roman" w:eastAsia="宋体" w:cs="Times New Roman"/>
          <w:snapToGrid w:val="0"/>
          <w:color w:val="FF0000"/>
          <w:kern w:val="2"/>
          <w:sz w:val="24"/>
          <w:szCs w:val="24"/>
          <w:highlight w:val="none"/>
          <w:lang w:val="en-US" w:eastAsia="zh-CN" w:bidi="ar-SA"/>
        </w:rPr>
        <w:t>-1</w:t>
      </w:r>
      <w:r>
        <w:rPr>
          <w:rFonts w:hint="eastAsia" w:ascii="Times New Roman" w:hAnsi="Times New Roman" w:eastAsia="宋体" w:cs="Times New Roman"/>
          <w:snapToGrid w:val="0"/>
          <w:color w:val="FF0000"/>
          <w:kern w:val="2"/>
          <w:sz w:val="24"/>
          <w:szCs w:val="24"/>
          <w:highlight w:val="none"/>
          <w:lang w:val="en-US" w:eastAsia="zh-CN" w:bidi="ar-SA"/>
        </w:rPr>
        <w:t>3</w:t>
      </w:r>
      <w:r>
        <w:rPr>
          <w:rFonts w:hint="default" w:ascii="Times New Roman" w:hAnsi="Times New Roman" w:eastAsia="宋体" w:cs="Times New Roman"/>
          <w:snapToGrid w:val="0"/>
          <w:color w:val="FF0000"/>
          <w:kern w:val="2"/>
          <w:sz w:val="24"/>
          <w:szCs w:val="24"/>
          <w:highlight w:val="none"/>
          <w:lang w:val="en-US" w:eastAsia="zh-CN" w:bidi="ar-SA"/>
        </w:rPr>
        <w:t xml:space="preserve"> 本项目TSP</w:t>
      </w:r>
      <w:r>
        <w:rPr>
          <w:rFonts w:hint="eastAsia" w:ascii="Times New Roman" w:hAnsi="Times New Roman" w:eastAsia="宋体" w:cs="Times New Roman"/>
          <w:snapToGrid w:val="0"/>
          <w:color w:val="FF0000"/>
          <w:kern w:val="2"/>
          <w:sz w:val="24"/>
          <w:szCs w:val="24"/>
          <w:highlight w:val="none"/>
          <w:vertAlign w:val="baseline"/>
          <w:lang w:val="en-US" w:eastAsia="zh-CN" w:bidi="ar-SA"/>
        </w:rPr>
        <w:t>年</w:t>
      </w:r>
      <w:r>
        <w:rPr>
          <w:rFonts w:hint="default" w:ascii="Times New Roman" w:hAnsi="Times New Roman" w:eastAsia="宋体" w:cs="Times New Roman"/>
          <w:snapToGrid w:val="0"/>
          <w:color w:val="FF0000"/>
          <w:kern w:val="2"/>
          <w:sz w:val="24"/>
          <w:szCs w:val="24"/>
          <w:highlight w:val="none"/>
          <w:vertAlign w:val="baseline"/>
          <w:lang w:val="en-US" w:eastAsia="zh-CN" w:bidi="ar-SA"/>
        </w:rPr>
        <w:t>平均质量浓度分布图</w:t>
      </w:r>
      <w:r>
        <w:rPr>
          <w:rFonts w:hint="default" w:ascii="Times New Roman" w:hAnsi="Times New Roman" w:eastAsia="宋体" w:cs="Times New Roman"/>
          <w:snapToGrid w:val="0"/>
          <w:color w:val="FF0000"/>
          <w:kern w:val="2"/>
          <w:sz w:val="24"/>
          <w:szCs w:val="24"/>
          <w:highlight w:val="none"/>
          <w:lang w:val="en-US" w:eastAsia="zh-CN" w:bidi="ar-SA"/>
        </w:rPr>
        <w:t>（μg/m</w:t>
      </w:r>
      <w:r>
        <w:rPr>
          <w:rFonts w:hint="default" w:ascii="Times New Roman" w:hAnsi="Times New Roman" w:eastAsia="宋体" w:cs="Times New Roman"/>
          <w:snapToGrid w:val="0"/>
          <w:color w:val="FF0000"/>
          <w:kern w:val="2"/>
          <w:sz w:val="24"/>
          <w:szCs w:val="24"/>
          <w:highlight w:val="none"/>
          <w:vertAlign w:val="superscript"/>
          <w:lang w:val="en-US" w:eastAsia="zh-CN" w:bidi="ar-SA"/>
        </w:rPr>
        <w:t>3</w:t>
      </w:r>
      <w:r>
        <w:rPr>
          <w:rFonts w:hint="default" w:ascii="Times New Roman" w:hAnsi="Times New Roman" w:eastAsia="宋体" w:cs="Times New Roman"/>
          <w:snapToGrid w:val="0"/>
          <w:color w:val="FF0000"/>
          <w:kern w:val="2"/>
          <w:sz w:val="24"/>
          <w:szCs w:val="24"/>
          <w:highlight w:val="none"/>
          <w:lang w:val="en-US" w:eastAsia="zh-CN" w:bidi="ar-SA"/>
        </w:rPr>
        <w:t>）</w:t>
      </w:r>
    </w:p>
    <w:p w14:paraId="79CA0776">
      <w:pPr>
        <w:jc w:val="both"/>
        <w:rPr>
          <w:rFonts w:hint="default" w:ascii="Times New Roman" w:hAnsi="Times New Roman" w:eastAsia="宋体" w:cs="Times New Roman"/>
          <w:color w:val="FF0000"/>
          <w:highlight w:val="none"/>
          <w:lang w:val="en-US" w:eastAsia="zh-CN"/>
        </w:rPr>
        <w:sectPr>
          <w:pgSz w:w="11906" w:h="16838"/>
          <w:pgMar w:top="1417" w:right="1417" w:bottom="1417" w:left="1417" w:header="1191" w:footer="1191" w:gutter="0"/>
          <w:pgBorders>
            <w:top w:val="none" w:sz="0" w:space="0"/>
            <w:left w:val="none" w:sz="0" w:space="0"/>
            <w:bottom w:val="none" w:sz="0" w:space="0"/>
            <w:right w:val="none" w:sz="0" w:space="0"/>
          </w:pgBorders>
          <w:pgNumType w:fmt="decimal"/>
          <w:cols w:space="720" w:num="1"/>
          <w:docGrid w:linePitch="286" w:charSpace="0"/>
        </w:sectPr>
      </w:pPr>
    </w:p>
    <w:p w14:paraId="606A04A6">
      <w:pPr>
        <w:keepNext/>
        <w:keepLines/>
        <w:widowControl w:val="0"/>
        <w:numPr>
          <w:ilvl w:val="3"/>
          <w:numId w:val="3"/>
        </w:numPr>
        <w:bidi w:val="0"/>
        <w:spacing w:line="360" w:lineRule="auto"/>
        <w:ind w:left="850" w:leftChars="0" w:hanging="850" w:firstLineChars="0"/>
        <w:jc w:val="both"/>
        <w:outlineLvl w:val="3"/>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非正常工况排放预测分析</w:t>
      </w:r>
    </w:p>
    <w:p w14:paraId="4AC314D9">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jc w:val="both"/>
        <w:textAlignment w:val="auto"/>
        <w:outlineLvl w:val="9"/>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①非正常工况污染物源强</w:t>
      </w:r>
    </w:p>
    <w:p w14:paraId="157AAB51">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jc w:val="left"/>
        <w:textAlignment w:val="bottom"/>
        <w:rPr>
          <w:rFonts w:hint="default" w:ascii="Times New Roman" w:hAnsi="Times New Roman" w:eastAsia="宋体" w:cs="Times New Roman"/>
          <w:color w:val="auto"/>
          <w:highlight w:val="none"/>
        </w:rPr>
      </w:pPr>
      <w:r>
        <w:rPr>
          <w:rFonts w:hint="default" w:ascii="Times New Roman" w:hAnsi="Times New Roman" w:eastAsia="宋体" w:cs="Times New Roman"/>
          <w:b w:val="0"/>
          <w:bCs/>
          <w:color w:val="auto"/>
          <w:kern w:val="0"/>
          <w:sz w:val="24"/>
          <w:szCs w:val="24"/>
          <w:highlight w:val="none"/>
          <w:lang w:val="en-US" w:eastAsia="zh-CN"/>
        </w:rPr>
        <w:t>本项目非正常工况下污染源源强情况见表6.2-2</w:t>
      </w:r>
      <w:r>
        <w:rPr>
          <w:rFonts w:hint="eastAsia" w:ascii="Times New Roman" w:hAnsi="Times New Roman" w:eastAsia="宋体" w:cs="Times New Roman"/>
          <w:b w:val="0"/>
          <w:bCs/>
          <w:color w:val="auto"/>
          <w:kern w:val="0"/>
          <w:sz w:val="24"/>
          <w:szCs w:val="24"/>
          <w:highlight w:val="none"/>
          <w:lang w:val="en-US" w:eastAsia="zh-CN"/>
        </w:rPr>
        <w:t>2</w:t>
      </w:r>
      <w:r>
        <w:rPr>
          <w:rFonts w:hint="default" w:ascii="Times New Roman" w:hAnsi="Times New Roman" w:eastAsia="宋体" w:cs="Times New Roman"/>
          <w:b w:val="0"/>
          <w:bCs/>
          <w:color w:val="auto"/>
          <w:kern w:val="0"/>
          <w:sz w:val="24"/>
          <w:szCs w:val="24"/>
          <w:highlight w:val="none"/>
          <w:lang w:val="en-US" w:eastAsia="zh-CN"/>
        </w:rPr>
        <w:t>。</w:t>
      </w:r>
    </w:p>
    <w:p w14:paraId="0FD9553B">
      <w:pPr>
        <w:widowControl w:val="0"/>
        <w:adjustRightInd w:val="0"/>
        <w:snapToGrid w:val="0"/>
        <w:spacing w:line="520" w:lineRule="exact"/>
        <w:ind w:firstLine="480" w:firstLineChars="200"/>
        <w:jc w:val="center"/>
        <w:textAlignment w:val="center"/>
        <w:rPr>
          <w:rFonts w:hint="default" w:ascii="Times New Roman" w:hAnsi="Times New Roman" w:eastAsia="宋体" w:cs="Times New Roman"/>
          <w:color w:val="auto"/>
          <w:kern w:val="0"/>
          <w:sz w:val="24"/>
          <w:szCs w:val="20"/>
          <w:highlight w:val="none"/>
          <w:lang w:val="en-US" w:eastAsia="zh-CN" w:bidi="ar-SA"/>
        </w:rPr>
      </w:pPr>
      <w:r>
        <w:rPr>
          <w:rFonts w:hint="default" w:ascii="Times New Roman" w:hAnsi="Times New Roman" w:eastAsia="宋体" w:cs="Times New Roman"/>
          <w:color w:val="auto"/>
          <w:kern w:val="0"/>
          <w:sz w:val="24"/>
          <w:szCs w:val="20"/>
          <w:highlight w:val="none"/>
          <w:lang w:val="en-US" w:eastAsia="zh-CN" w:bidi="ar-SA"/>
        </w:rPr>
        <w:t>表6.2-2</w:t>
      </w:r>
      <w:r>
        <w:rPr>
          <w:rFonts w:hint="eastAsia" w:ascii="Times New Roman" w:hAnsi="Times New Roman" w:eastAsia="宋体" w:cs="Times New Roman"/>
          <w:color w:val="auto"/>
          <w:kern w:val="0"/>
          <w:sz w:val="24"/>
          <w:szCs w:val="20"/>
          <w:highlight w:val="none"/>
          <w:lang w:val="en-US" w:eastAsia="zh-CN" w:bidi="ar-SA"/>
        </w:rPr>
        <w:t>2</w:t>
      </w:r>
      <w:r>
        <w:rPr>
          <w:rFonts w:hint="default" w:ascii="Times New Roman" w:hAnsi="Times New Roman" w:eastAsia="宋体" w:cs="Times New Roman"/>
          <w:color w:val="auto"/>
          <w:kern w:val="0"/>
          <w:sz w:val="24"/>
          <w:szCs w:val="20"/>
          <w:highlight w:val="none"/>
          <w:lang w:val="en-US" w:eastAsia="zh-CN" w:bidi="ar-SA"/>
        </w:rPr>
        <w:t xml:space="preserve">  本项目非正常排放参数表</w:t>
      </w:r>
    </w:p>
    <w:tbl>
      <w:tblPr>
        <w:tblStyle w:val="3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65"/>
        <w:gridCol w:w="2588"/>
        <w:gridCol w:w="1331"/>
        <w:gridCol w:w="1494"/>
        <w:gridCol w:w="1026"/>
        <w:gridCol w:w="918"/>
      </w:tblGrid>
      <w:tr w14:paraId="462F0E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65" w:type="dxa"/>
            <w:tcBorders>
              <w:tl2br w:val="nil"/>
              <w:tr2bl w:val="nil"/>
            </w:tcBorders>
            <w:noWrap w:val="0"/>
            <w:vAlign w:val="center"/>
          </w:tcPr>
          <w:p w14:paraId="6062BD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非正常排放源</w:t>
            </w:r>
          </w:p>
        </w:tc>
        <w:tc>
          <w:tcPr>
            <w:tcW w:w="2588" w:type="dxa"/>
            <w:tcBorders>
              <w:tl2br w:val="nil"/>
              <w:tr2bl w:val="nil"/>
            </w:tcBorders>
            <w:noWrap w:val="0"/>
            <w:vAlign w:val="center"/>
          </w:tcPr>
          <w:p w14:paraId="54DD89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非正常排放原因</w:t>
            </w:r>
          </w:p>
        </w:tc>
        <w:tc>
          <w:tcPr>
            <w:tcW w:w="1331" w:type="dxa"/>
            <w:tcBorders>
              <w:tl2br w:val="nil"/>
              <w:tr2bl w:val="nil"/>
            </w:tcBorders>
            <w:noWrap w:val="0"/>
            <w:vAlign w:val="center"/>
          </w:tcPr>
          <w:p w14:paraId="2A5F3A7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污染物</w:t>
            </w:r>
          </w:p>
        </w:tc>
        <w:tc>
          <w:tcPr>
            <w:tcW w:w="1494" w:type="dxa"/>
            <w:tcBorders>
              <w:tl2br w:val="nil"/>
              <w:tr2bl w:val="nil"/>
            </w:tcBorders>
            <w:noWrap w:val="0"/>
            <w:vAlign w:val="center"/>
          </w:tcPr>
          <w:p w14:paraId="4B986B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非正常排放速率/kg/h</w:t>
            </w:r>
          </w:p>
        </w:tc>
        <w:tc>
          <w:tcPr>
            <w:tcW w:w="1026" w:type="dxa"/>
            <w:tcBorders>
              <w:tl2br w:val="nil"/>
              <w:tr2bl w:val="nil"/>
            </w:tcBorders>
            <w:noWrap w:val="0"/>
            <w:vAlign w:val="center"/>
          </w:tcPr>
          <w:p w14:paraId="4340219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单次持续时间/h</w:t>
            </w:r>
          </w:p>
        </w:tc>
        <w:tc>
          <w:tcPr>
            <w:tcW w:w="918" w:type="dxa"/>
            <w:tcBorders>
              <w:tl2br w:val="nil"/>
              <w:tr2bl w:val="nil"/>
            </w:tcBorders>
            <w:noWrap w:val="0"/>
            <w:vAlign w:val="center"/>
          </w:tcPr>
          <w:p w14:paraId="2F6C2D1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年发生频次/次</w:t>
            </w:r>
          </w:p>
        </w:tc>
      </w:tr>
      <w:tr w14:paraId="730648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65" w:type="dxa"/>
            <w:vMerge w:val="restart"/>
            <w:tcBorders>
              <w:tl2br w:val="nil"/>
              <w:tr2bl w:val="nil"/>
            </w:tcBorders>
            <w:noWrap w:val="0"/>
            <w:vAlign w:val="center"/>
          </w:tcPr>
          <w:p w14:paraId="2DF783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bCs/>
                <w:color w:val="auto"/>
                <w:kern w:val="0"/>
                <w:sz w:val="21"/>
                <w:szCs w:val="21"/>
                <w:highlight w:val="none"/>
                <w:lang w:val="en-US" w:eastAsia="zh-CN" w:bidi="ar-SA"/>
              </w:rPr>
              <w:t>1×58MW往复炉排热水锅炉</w:t>
            </w:r>
          </w:p>
        </w:tc>
        <w:tc>
          <w:tcPr>
            <w:tcW w:w="2588" w:type="dxa"/>
            <w:tcBorders>
              <w:tl2br w:val="nil"/>
              <w:tr2bl w:val="nil"/>
            </w:tcBorders>
            <w:noWrap w:val="0"/>
            <w:vAlign w:val="center"/>
          </w:tcPr>
          <w:p w14:paraId="780991BE">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lang w:val="en-US" w:eastAsia="zh-CN" w:bidi="ar-SA"/>
              </w:rPr>
              <w:t>除尘器滤袋破损</w:t>
            </w:r>
          </w:p>
        </w:tc>
        <w:tc>
          <w:tcPr>
            <w:tcW w:w="1331" w:type="dxa"/>
            <w:tcBorders>
              <w:tl2br w:val="nil"/>
              <w:tr2bl w:val="nil"/>
            </w:tcBorders>
            <w:noWrap w:val="0"/>
            <w:vAlign w:val="center"/>
          </w:tcPr>
          <w:p w14:paraId="272F82E1">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PM</w:t>
            </w:r>
            <w:r>
              <w:rPr>
                <w:rFonts w:hint="default" w:ascii="Times New Roman" w:hAnsi="Times New Roman" w:eastAsia="宋体" w:cs="Times New Roman"/>
                <w:bCs/>
                <w:color w:val="auto"/>
                <w:kern w:val="0"/>
                <w:sz w:val="21"/>
                <w:szCs w:val="21"/>
                <w:highlight w:val="none"/>
                <w:vertAlign w:val="subscript"/>
                <w:lang w:val="en-US" w:eastAsia="zh-CN" w:bidi="ar-SA"/>
              </w:rPr>
              <w:t>10</w:t>
            </w:r>
          </w:p>
        </w:tc>
        <w:tc>
          <w:tcPr>
            <w:tcW w:w="1494" w:type="dxa"/>
            <w:tcBorders>
              <w:tl2br w:val="nil"/>
              <w:tr2bl w:val="nil"/>
            </w:tcBorders>
            <w:noWrap w:val="0"/>
            <w:vAlign w:val="center"/>
          </w:tcPr>
          <w:p w14:paraId="40B8A4A6">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bidi="ar-SA"/>
              </w:rPr>
              <w:t>28.99</w:t>
            </w:r>
          </w:p>
        </w:tc>
        <w:tc>
          <w:tcPr>
            <w:tcW w:w="1026" w:type="dxa"/>
            <w:tcBorders>
              <w:tl2br w:val="nil"/>
              <w:tr2bl w:val="nil"/>
            </w:tcBorders>
            <w:noWrap w:val="0"/>
            <w:vAlign w:val="center"/>
          </w:tcPr>
          <w:p w14:paraId="2EAF20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1</w:t>
            </w:r>
          </w:p>
        </w:tc>
        <w:tc>
          <w:tcPr>
            <w:tcW w:w="918" w:type="dxa"/>
            <w:tcBorders>
              <w:tl2br w:val="nil"/>
              <w:tr2bl w:val="nil"/>
            </w:tcBorders>
            <w:noWrap w:val="0"/>
            <w:vAlign w:val="center"/>
          </w:tcPr>
          <w:p w14:paraId="1C9E914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1</w:t>
            </w:r>
          </w:p>
        </w:tc>
      </w:tr>
      <w:tr w14:paraId="553A8E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65" w:type="dxa"/>
            <w:vMerge w:val="continue"/>
            <w:tcBorders>
              <w:tl2br w:val="nil"/>
              <w:tr2bl w:val="nil"/>
            </w:tcBorders>
            <w:noWrap w:val="0"/>
            <w:vAlign w:val="center"/>
          </w:tcPr>
          <w:p w14:paraId="6832036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588" w:type="dxa"/>
            <w:tcBorders>
              <w:tl2br w:val="nil"/>
              <w:tr2bl w:val="nil"/>
            </w:tcBorders>
            <w:noWrap w:val="0"/>
            <w:vAlign w:val="center"/>
          </w:tcPr>
          <w:p w14:paraId="664F05C0">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宋体" w:hAnsi="宋体" w:eastAsia="宋体" w:cs="宋体"/>
                <w:color w:val="auto"/>
                <w:kern w:val="0"/>
                <w:sz w:val="24"/>
                <w:szCs w:val="24"/>
                <w:highlight w:val="none"/>
                <w:lang w:val="en-US" w:eastAsia="zh-CN" w:bidi="ar"/>
              </w:rPr>
              <w:t>脱硫设备故障</w:t>
            </w:r>
          </w:p>
        </w:tc>
        <w:tc>
          <w:tcPr>
            <w:tcW w:w="1331" w:type="dxa"/>
            <w:tcBorders>
              <w:tl2br w:val="nil"/>
              <w:tr2bl w:val="nil"/>
            </w:tcBorders>
            <w:noWrap w:val="0"/>
            <w:vAlign w:val="center"/>
          </w:tcPr>
          <w:p w14:paraId="5D6F4A87">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SO</w:t>
            </w:r>
            <w:r>
              <w:rPr>
                <w:rFonts w:hint="default" w:ascii="Times New Roman" w:hAnsi="Times New Roman" w:eastAsia="宋体" w:cs="Times New Roman"/>
                <w:bCs/>
                <w:color w:val="auto"/>
                <w:kern w:val="0"/>
                <w:sz w:val="21"/>
                <w:szCs w:val="21"/>
                <w:highlight w:val="none"/>
                <w:vertAlign w:val="subscript"/>
                <w:lang w:val="en-US" w:eastAsia="zh-CN" w:bidi="ar-SA"/>
              </w:rPr>
              <w:t>2</w:t>
            </w:r>
          </w:p>
        </w:tc>
        <w:tc>
          <w:tcPr>
            <w:tcW w:w="1494" w:type="dxa"/>
            <w:tcBorders>
              <w:tl2br w:val="nil"/>
              <w:tr2bl w:val="nil"/>
            </w:tcBorders>
            <w:noWrap w:val="0"/>
            <w:vAlign w:val="center"/>
          </w:tcPr>
          <w:p w14:paraId="6CEA565D">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bidi="ar-SA"/>
              </w:rPr>
              <w:t>34.73</w:t>
            </w:r>
          </w:p>
        </w:tc>
        <w:tc>
          <w:tcPr>
            <w:tcW w:w="1026" w:type="dxa"/>
            <w:tcBorders>
              <w:tl2br w:val="nil"/>
              <w:tr2bl w:val="nil"/>
            </w:tcBorders>
            <w:noWrap w:val="0"/>
            <w:vAlign w:val="center"/>
          </w:tcPr>
          <w:p w14:paraId="2E25947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1</w:t>
            </w:r>
          </w:p>
        </w:tc>
        <w:tc>
          <w:tcPr>
            <w:tcW w:w="918" w:type="dxa"/>
            <w:tcBorders>
              <w:tl2br w:val="nil"/>
              <w:tr2bl w:val="nil"/>
            </w:tcBorders>
            <w:noWrap w:val="0"/>
            <w:vAlign w:val="center"/>
          </w:tcPr>
          <w:p w14:paraId="5E08430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1</w:t>
            </w:r>
          </w:p>
        </w:tc>
      </w:tr>
      <w:tr w14:paraId="584FC5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65" w:type="dxa"/>
            <w:vMerge w:val="continue"/>
            <w:tcBorders>
              <w:tl2br w:val="nil"/>
              <w:tr2bl w:val="nil"/>
            </w:tcBorders>
            <w:noWrap w:val="0"/>
            <w:vAlign w:val="center"/>
          </w:tcPr>
          <w:p w14:paraId="7CB6CB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588" w:type="dxa"/>
            <w:tcBorders>
              <w:tl2br w:val="nil"/>
              <w:tr2bl w:val="nil"/>
            </w:tcBorders>
            <w:noWrap w:val="0"/>
            <w:vAlign w:val="center"/>
          </w:tcPr>
          <w:p w14:paraId="09AD5532">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lang w:val="en-US" w:eastAsia="zh-CN" w:bidi="ar-SA"/>
              </w:rPr>
              <w:t>脱硝</w:t>
            </w:r>
            <w:r>
              <w:rPr>
                <w:rFonts w:hint="default" w:ascii="Times New Roman" w:hAnsi="Times New Roman" w:eastAsia="宋体" w:cs="Times New Roman"/>
                <w:bCs/>
                <w:color w:val="auto"/>
                <w:kern w:val="0"/>
                <w:sz w:val="21"/>
                <w:szCs w:val="21"/>
                <w:highlight w:val="none"/>
                <w:lang w:val="en-US" w:eastAsia="zh-CN" w:bidi="ar-SA"/>
              </w:rPr>
              <w:t>设备故障</w:t>
            </w:r>
          </w:p>
        </w:tc>
        <w:tc>
          <w:tcPr>
            <w:tcW w:w="1331" w:type="dxa"/>
            <w:tcBorders>
              <w:tl2br w:val="nil"/>
              <w:tr2bl w:val="nil"/>
            </w:tcBorders>
            <w:noWrap w:val="0"/>
            <w:vAlign w:val="center"/>
          </w:tcPr>
          <w:p w14:paraId="530D839A">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NOx</w:t>
            </w:r>
          </w:p>
        </w:tc>
        <w:tc>
          <w:tcPr>
            <w:tcW w:w="1494" w:type="dxa"/>
            <w:tcBorders>
              <w:tl2br w:val="nil"/>
              <w:tr2bl w:val="nil"/>
            </w:tcBorders>
            <w:noWrap w:val="0"/>
            <w:vAlign w:val="center"/>
          </w:tcPr>
          <w:p w14:paraId="5257EB4C">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bidi="ar-SA"/>
              </w:rPr>
              <w:t>32.84</w:t>
            </w:r>
          </w:p>
        </w:tc>
        <w:tc>
          <w:tcPr>
            <w:tcW w:w="1026" w:type="dxa"/>
            <w:tcBorders>
              <w:tl2br w:val="nil"/>
              <w:tr2bl w:val="nil"/>
            </w:tcBorders>
            <w:noWrap w:val="0"/>
            <w:vAlign w:val="center"/>
          </w:tcPr>
          <w:p w14:paraId="261B8DD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1</w:t>
            </w:r>
          </w:p>
        </w:tc>
        <w:tc>
          <w:tcPr>
            <w:tcW w:w="918" w:type="dxa"/>
            <w:tcBorders>
              <w:tl2br w:val="nil"/>
              <w:tr2bl w:val="nil"/>
            </w:tcBorders>
            <w:noWrap w:val="0"/>
            <w:vAlign w:val="center"/>
          </w:tcPr>
          <w:p w14:paraId="17B07AD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1</w:t>
            </w:r>
          </w:p>
        </w:tc>
      </w:tr>
    </w:tbl>
    <w:p w14:paraId="157B58D0">
      <w:pPr>
        <w:keepNext w:val="0"/>
        <w:keepLines w:val="0"/>
        <w:pageBreakBefore w:val="0"/>
        <w:widowControl w:val="0"/>
        <w:numPr>
          <w:ilvl w:val="0"/>
          <w:numId w:val="0"/>
        </w:numPr>
        <w:kinsoku/>
        <w:wordWrap/>
        <w:overflowPunct/>
        <w:topLinePunct w:val="0"/>
        <w:autoSpaceDE w:val="0"/>
        <w:autoSpaceDN w:val="0"/>
        <w:bidi w:val="0"/>
        <w:adjustRightInd w:val="0"/>
        <w:snapToGrid/>
        <w:spacing w:line="480" w:lineRule="exact"/>
        <w:ind w:firstLine="480" w:firstLineChars="200"/>
        <w:jc w:val="both"/>
        <w:textAlignment w:val="bottom"/>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②本项目非正常工况下预测结果</w:t>
      </w:r>
    </w:p>
    <w:p w14:paraId="2E033B9C">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jc w:val="both"/>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lang w:val="en-US" w:eastAsia="zh-CN" w:bidi="ar-SA"/>
        </w:rPr>
        <w:t>本项目烟气治理设施非正常工况时，全年逐时小时气象条件下，污染物最大浓度预测见表6.2-2</w:t>
      </w:r>
      <w:r>
        <w:rPr>
          <w:rFonts w:hint="eastAsia" w:ascii="Times New Roman" w:hAnsi="Times New Roman" w:eastAsia="宋体" w:cs="Times New Roman"/>
          <w:b w:val="0"/>
          <w:bCs/>
          <w:color w:val="auto"/>
          <w:kern w:val="0"/>
          <w:sz w:val="24"/>
          <w:szCs w:val="24"/>
          <w:highlight w:val="none"/>
          <w:lang w:val="en-US" w:eastAsia="zh-CN" w:bidi="ar-SA"/>
        </w:rPr>
        <w:t>6</w:t>
      </w:r>
      <w:r>
        <w:rPr>
          <w:rFonts w:hint="default" w:ascii="Times New Roman" w:hAnsi="Times New Roman" w:eastAsia="宋体" w:cs="Times New Roman"/>
          <w:b w:val="0"/>
          <w:bCs/>
          <w:color w:val="auto"/>
          <w:kern w:val="0"/>
          <w:sz w:val="24"/>
          <w:szCs w:val="24"/>
          <w:highlight w:val="none"/>
          <w:lang w:val="en-US" w:eastAsia="zh-CN" w:bidi="ar-SA"/>
        </w:rPr>
        <w:t>～6.2-</w:t>
      </w:r>
      <w:r>
        <w:rPr>
          <w:rFonts w:hint="eastAsia" w:ascii="Times New Roman" w:hAnsi="Times New Roman" w:eastAsia="宋体" w:cs="Times New Roman"/>
          <w:b w:val="0"/>
          <w:bCs/>
          <w:color w:val="auto"/>
          <w:kern w:val="0"/>
          <w:sz w:val="24"/>
          <w:szCs w:val="24"/>
          <w:highlight w:val="none"/>
          <w:lang w:val="en-US" w:eastAsia="zh-CN" w:bidi="ar-SA"/>
        </w:rPr>
        <w:t>29</w:t>
      </w:r>
      <w:r>
        <w:rPr>
          <w:rFonts w:hint="default" w:ascii="Times New Roman" w:hAnsi="Times New Roman" w:eastAsia="宋体" w:cs="Times New Roman"/>
          <w:b w:val="0"/>
          <w:bCs/>
          <w:color w:val="auto"/>
          <w:kern w:val="0"/>
          <w:sz w:val="24"/>
          <w:szCs w:val="24"/>
          <w:highlight w:val="none"/>
          <w:lang w:val="en-US" w:eastAsia="zh-CN" w:bidi="ar-SA"/>
        </w:rPr>
        <w:t>。</w:t>
      </w:r>
      <w:r>
        <w:rPr>
          <w:rFonts w:hint="default" w:ascii="Times New Roman" w:hAnsi="Times New Roman" w:eastAsia="宋体" w:cs="Times New Roman"/>
          <w:color w:val="auto"/>
          <w:kern w:val="0"/>
          <w:sz w:val="24"/>
          <w:szCs w:val="24"/>
          <w:highlight w:val="none"/>
          <w:lang w:val="en-US" w:eastAsia="zh-CN" w:bidi="ar-SA"/>
        </w:rPr>
        <w:t>非正常情况下</w:t>
      </w:r>
      <w:r>
        <w:rPr>
          <w:rFonts w:hint="eastAsia" w:ascii="Times New Roman" w:hAnsi="Times New Roman" w:eastAsia="宋体" w:cs="Times New Roman"/>
          <w:bCs/>
          <w:color w:val="auto"/>
          <w:kern w:val="2"/>
          <w:sz w:val="24"/>
          <w:szCs w:val="24"/>
          <w:highlight w:val="none"/>
          <w:lang w:val="en-US" w:eastAsia="zh-CN" w:bidi="ar-SA"/>
        </w:rPr>
        <w:t>5#锅炉</w:t>
      </w:r>
      <w:r>
        <w:rPr>
          <w:rFonts w:hint="default" w:ascii="Times New Roman" w:hAnsi="Times New Roman" w:eastAsia="宋体" w:cs="Times New Roman"/>
          <w:color w:val="auto"/>
          <w:kern w:val="0"/>
          <w:sz w:val="24"/>
          <w:szCs w:val="24"/>
          <w:highlight w:val="none"/>
          <w:lang w:val="en-US" w:eastAsia="zh-CN" w:bidi="ar-SA"/>
        </w:rPr>
        <w:t>污染物PM</w:t>
      </w:r>
      <w:r>
        <w:rPr>
          <w:rFonts w:hint="default" w:ascii="Times New Roman" w:hAnsi="Times New Roman" w:eastAsia="宋体" w:cs="Times New Roman"/>
          <w:color w:val="auto"/>
          <w:kern w:val="0"/>
          <w:sz w:val="24"/>
          <w:szCs w:val="24"/>
          <w:highlight w:val="none"/>
          <w:vertAlign w:val="subscript"/>
          <w:lang w:val="en-US" w:eastAsia="zh-CN" w:bidi="ar-SA"/>
        </w:rPr>
        <w:t>10</w:t>
      </w:r>
      <w:r>
        <w:rPr>
          <w:rFonts w:hint="default" w:ascii="Times New Roman" w:hAnsi="Times New Roman" w:eastAsia="宋体" w:cs="Times New Roman"/>
          <w:color w:val="auto"/>
          <w:kern w:val="0"/>
          <w:sz w:val="24"/>
          <w:szCs w:val="24"/>
          <w:highlight w:val="none"/>
          <w:lang w:val="en-US" w:eastAsia="zh-CN" w:bidi="ar-SA"/>
        </w:rPr>
        <w:t>、SO</w:t>
      </w:r>
      <w:r>
        <w:rPr>
          <w:rFonts w:hint="default" w:ascii="Times New Roman" w:hAnsi="Times New Roman" w:eastAsia="宋体" w:cs="Times New Roman"/>
          <w:color w:val="auto"/>
          <w:kern w:val="0"/>
          <w:sz w:val="24"/>
          <w:szCs w:val="24"/>
          <w:highlight w:val="none"/>
          <w:vertAlign w:val="subscript"/>
          <w:lang w:val="en-US" w:eastAsia="zh-CN" w:bidi="ar-SA"/>
        </w:rPr>
        <w:t>2</w:t>
      </w:r>
      <w:r>
        <w:rPr>
          <w:rFonts w:hint="default" w:ascii="Times New Roman" w:hAnsi="Times New Roman" w:eastAsia="宋体" w:cs="Times New Roman"/>
          <w:color w:val="auto"/>
          <w:kern w:val="0"/>
          <w:sz w:val="24"/>
          <w:szCs w:val="24"/>
          <w:highlight w:val="none"/>
          <w:lang w:val="en-US" w:eastAsia="zh-CN" w:bidi="ar-SA"/>
        </w:rPr>
        <w:t>和NO</w:t>
      </w:r>
      <w:r>
        <w:rPr>
          <w:rFonts w:hint="default" w:ascii="Times New Roman" w:hAnsi="Times New Roman" w:eastAsia="宋体" w:cs="Times New Roman"/>
          <w:color w:val="auto"/>
          <w:kern w:val="0"/>
          <w:sz w:val="24"/>
          <w:szCs w:val="24"/>
          <w:highlight w:val="none"/>
          <w:vertAlign w:val="subscript"/>
          <w:lang w:val="en-US" w:eastAsia="zh-CN" w:bidi="ar-SA"/>
        </w:rPr>
        <w:t>2</w:t>
      </w:r>
      <w:r>
        <w:rPr>
          <w:rFonts w:hint="default" w:ascii="Times New Roman" w:hAnsi="Times New Roman" w:eastAsia="宋体" w:cs="Times New Roman"/>
          <w:color w:val="auto"/>
          <w:kern w:val="0"/>
          <w:sz w:val="24"/>
          <w:szCs w:val="24"/>
          <w:highlight w:val="none"/>
          <w:lang w:val="en-US" w:eastAsia="zh-CN" w:bidi="ar-SA"/>
        </w:rPr>
        <w:t>最大贡献浓度占标率分别为</w:t>
      </w:r>
      <w:r>
        <w:rPr>
          <w:rFonts w:hint="eastAsia" w:ascii="Times New Roman" w:hAnsi="Times New Roman" w:eastAsia="宋体" w:cs="Times New Roman"/>
          <w:color w:val="auto"/>
          <w:kern w:val="0"/>
          <w:sz w:val="24"/>
          <w:szCs w:val="24"/>
          <w:highlight w:val="none"/>
          <w:lang w:val="en-US" w:eastAsia="zh-CN" w:bidi="ar-SA"/>
        </w:rPr>
        <w:t>8.06%、8.71%、18.39%</w:t>
      </w:r>
      <w:r>
        <w:rPr>
          <w:rFonts w:hint="default" w:ascii="Times New Roman" w:hAnsi="Times New Roman" w:eastAsia="宋体" w:cs="Times New Roman"/>
          <w:color w:val="auto"/>
          <w:kern w:val="0"/>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为确保</w:t>
      </w:r>
      <w:r>
        <w:rPr>
          <w:rFonts w:hint="default" w:ascii="Times New Roman" w:hAnsi="Times New Roman" w:eastAsia="宋体" w:cs="Times New Roman"/>
          <w:color w:val="auto"/>
          <w:kern w:val="0"/>
          <w:sz w:val="24"/>
          <w:szCs w:val="24"/>
          <w:highlight w:val="none"/>
          <w:lang w:val="en-US" w:eastAsia="zh-CN" w:bidi="ar-SA"/>
        </w:rPr>
        <w:t>PM</w:t>
      </w:r>
      <w:r>
        <w:rPr>
          <w:rFonts w:hint="default" w:ascii="Times New Roman" w:hAnsi="Times New Roman" w:eastAsia="宋体" w:cs="Times New Roman"/>
          <w:color w:val="auto"/>
          <w:kern w:val="0"/>
          <w:sz w:val="24"/>
          <w:szCs w:val="24"/>
          <w:highlight w:val="none"/>
          <w:vertAlign w:val="subscript"/>
          <w:lang w:val="en-US" w:eastAsia="zh-CN" w:bidi="ar-SA"/>
        </w:rPr>
        <w:t>10</w:t>
      </w:r>
      <w:r>
        <w:rPr>
          <w:rFonts w:hint="default" w:ascii="Times New Roman" w:hAnsi="Times New Roman" w:eastAsia="宋体" w:cs="Times New Roman"/>
          <w:color w:val="auto"/>
          <w:kern w:val="0"/>
          <w:sz w:val="24"/>
          <w:szCs w:val="24"/>
          <w:highlight w:val="none"/>
          <w:lang w:val="en-US" w:eastAsia="zh-CN" w:bidi="ar-SA"/>
        </w:rPr>
        <w:t>、SO</w:t>
      </w:r>
      <w:r>
        <w:rPr>
          <w:rFonts w:hint="default" w:ascii="Times New Roman" w:hAnsi="Times New Roman" w:eastAsia="宋体" w:cs="Times New Roman"/>
          <w:color w:val="auto"/>
          <w:kern w:val="0"/>
          <w:sz w:val="24"/>
          <w:szCs w:val="24"/>
          <w:highlight w:val="none"/>
          <w:vertAlign w:val="subscript"/>
          <w:lang w:val="en-US" w:eastAsia="zh-CN" w:bidi="ar-SA"/>
        </w:rPr>
        <w:t>2</w:t>
      </w:r>
      <w:r>
        <w:rPr>
          <w:rFonts w:hint="default" w:ascii="Times New Roman" w:hAnsi="Times New Roman" w:eastAsia="宋体" w:cs="Times New Roman"/>
          <w:color w:val="auto"/>
          <w:kern w:val="2"/>
          <w:sz w:val="24"/>
          <w:szCs w:val="24"/>
          <w:highlight w:val="none"/>
          <w:lang w:val="en-US" w:eastAsia="zh-CN" w:bidi="ar-SA"/>
        </w:rPr>
        <w:t>和NO</w:t>
      </w:r>
      <w:r>
        <w:rPr>
          <w:rFonts w:hint="default" w:ascii="Times New Roman" w:hAnsi="Times New Roman" w:eastAsia="宋体" w:cs="Times New Roman"/>
          <w:color w:val="auto"/>
          <w:kern w:val="2"/>
          <w:sz w:val="24"/>
          <w:szCs w:val="24"/>
          <w:highlight w:val="none"/>
          <w:vertAlign w:val="subscript"/>
          <w:lang w:val="en-US" w:eastAsia="zh-CN" w:bidi="ar-SA"/>
        </w:rPr>
        <w:t>2</w:t>
      </w:r>
      <w:r>
        <w:rPr>
          <w:rFonts w:hint="default" w:ascii="Times New Roman" w:hAnsi="Times New Roman" w:eastAsia="宋体" w:cs="Times New Roman"/>
          <w:color w:val="auto"/>
          <w:kern w:val="2"/>
          <w:sz w:val="24"/>
          <w:szCs w:val="24"/>
          <w:highlight w:val="none"/>
          <w:lang w:val="en-US" w:eastAsia="zh-CN" w:bidi="ar-SA"/>
        </w:rPr>
        <w:t>达标排放，建设方应加强除尘器、脱硫系统和脱硝系统的维护保养及运行管理，杜绝事故发生，发生事故工况时及时维修。</w:t>
      </w:r>
    </w:p>
    <w:p w14:paraId="51F6F65E">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jc w:val="center"/>
        <w:textAlignment w:val="auto"/>
        <w:outlineLvl w:val="9"/>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表6.2-2</w:t>
      </w:r>
      <w:r>
        <w:rPr>
          <w:rFonts w:hint="eastAsia" w:ascii="Times New Roman" w:hAnsi="Times New Roman" w:eastAsia="宋体" w:cs="Times New Roman"/>
          <w:color w:val="auto"/>
          <w:kern w:val="0"/>
          <w:sz w:val="24"/>
          <w:szCs w:val="24"/>
          <w:highlight w:val="none"/>
          <w:lang w:val="en-US" w:eastAsia="zh-CN" w:bidi="ar-SA"/>
        </w:rPr>
        <w:t>3</w:t>
      </w:r>
      <w:r>
        <w:rPr>
          <w:rFonts w:hint="default" w:ascii="Times New Roman" w:hAnsi="Times New Roman" w:eastAsia="宋体" w:cs="Times New Roman"/>
          <w:color w:val="auto"/>
          <w:kern w:val="0"/>
          <w:sz w:val="24"/>
          <w:szCs w:val="24"/>
          <w:highlight w:val="none"/>
          <w:lang w:val="en-US" w:eastAsia="zh-CN" w:bidi="ar-SA"/>
        </w:rPr>
        <w:t xml:space="preserve">  </w:t>
      </w:r>
      <w:r>
        <w:rPr>
          <w:rFonts w:hint="eastAsia" w:ascii="Times New Roman" w:hAnsi="Times New Roman" w:eastAsia="宋体" w:cs="Times New Roman"/>
          <w:color w:val="auto"/>
          <w:kern w:val="0"/>
          <w:sz w:val="24"/>
          <w:szCs w:val="24"/>
          <w:highlight w:val="none"/>
          <w:lang w:val="en-US" w:eastAsia="zh-CN" w:bidi="ar-SA"/>
        </w:rPr>
        <w:t>本项目锅炉</w:t>
      </w:r>
      <w:r>
        <w:rPr>
          <w:rFonts w:hint="default" w:ascii="Times New Roman" w:hAnsi="Times New Roman" w:eastAsia="宋体" w:cs="Times New Roman"/>
          <w:color w:val="auto"/>
          <w:kern w:val="0"/>
          <w:sz w:val="24"/>
          <w:szCs w:val="24"/>
          <w:highlight w:val="none"/>
          <w:lang w:val="en-US" w:eastAsia="zh-CN" w:bidi="ar-SA"/>
        </w:rPr>
        <w:t>非正常工况PM</w:t>
      </w:r>
      <w:r>
        <w:rPr>
          <w:rFonts w:hint="default" w:ascii="Times New Roman" w:hAnsi="Times New Roman" w:eastAsia="宋体" w:cs="Times New Roman"/>
          <w:color w:val="auto"/>
          <w:kern w:val="0"/>
          <w:sz w:val="24"/>
          <w:szCs w:val="24"/>
          <w:highlight w:val="none"/>
          <w:vertAlign w:val="subscript"/>
          <w:lang w:val="en-US" w:eastAsia="zh-CN" w:bidi="ar-SA"/>
        </w:rPr>
        <w:t>10</w:t>
      </w:r>
      <w:r>
        <w:rPr>
          <w:rFonts w:hint="default" w:ascii="Times New Roman" w:hAnsi="Times New Roman" w:eastAsia="宋体" w:cs="Times New Roman"/>
          <w:color w:val="auto"/>
          <w:kern w:val="0"/>
          <w:sz w:val="24"/>
          <w:szCs w:val="24"/>
          <w:highlight w:val="none"/>
          <w:lang w:val="en-US" w:eastAsia="zh-CN" w:bidi="ar-SA"/>
        </w:rPr>
        <w:t>预测结果表</w:t>
      </w:r>
    </w:p>
    <w:tbl>
      <w:tblPr>
        <w:tblStyle w:val="3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159"/>
        <w:gridCol w:w="1203"/>
        <w:gridCol w:w="1783"/>
        <w:gridCol w:w="1063"/>
        <w:gridCol w:w="1248"/>
        <w:gridCol w:w="1066"/>
      </w:tblGrid>
      <w:tr w14:paraId="78E882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9" w:type="dxa"/>
            <w:tcBorders>
              <w:top w:val="single" w:color="auto" w:sz="12" w:space="0"/>
              <w:left w:val="nil"/>
            </w:tcBorders>
            <w:noWrap w:val="0"/>
            <w:vAlign w:val="center"/>
          </w:tcPr>
          <w:p w14:paraId="6F2E3502">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lang w:eastAsia="zh-CN"/>
              </w:rPr>
              <w:t>预测点</w:t>
            </w:r>
          </w:p>
        </w:tc>
        <w:tc>
          <w:tcPr>
            <w:tcW w:w="1203" w:type="dxa"/>
            <w:tcBorders>
              <w:top w:val="single" w:color="auto" w:sz="12" w:space="0"/>
            </w:tcBorders>
            <w:noWrap w:val="0"/>
            <w:vAlign w:val="center"/>
          </w:tcPr>
          <w:p w14:paraId="5D811CE6">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浓度类型</w:t>
            </w:r>
          </w:p>
        </w:tc>
        <w:tc>
          <w:tcPr>
            <w:tcW w:w="1783" w:type="dxa"/>
            <w:tcBorders>
              <w:top w:val="single" w:color="auto" w:sz="12" w:space="0"/>
            </w:tcBorders>
            <w:noWrap w:val="0"/>
            <w:vAlign w:val="center"/>
          </w:tcPr>
          <w:p w14:paraId="098A3199">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贡献浓度</w:t>
            </w:r>
            <w:r>
              <w:rPr>
                <w:rFonts w:hint="eastAsia"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u</w:t>
            </w:r>
            <w:r>
              <w:rPr>
                <w:rFonts w:hint="default" w:ascii="Times New Roman" w:hAnsi="Times New Roman" w:eastAsia="宋体" w:cs="Times New Roman"/>
                <w:color w:val="auto"/>
                <w:sz w:val="21"/>
                <w:szCs w:val="21"/>
                <w:highlight w:val="none"/>
              </w:rPr>
              <w:t>g/m</w:t>
            </w:r>
            <w:r>
              <w:rPr>
                <w:rFonts w:hint="default" w:ascii="Times New Roman" w:hAnsi="Times New Roman" w:eastAsia="宋体" w:cs="Times New Roman"/>
                <w:color w:val="auto"/>
                <w:sz w:val="21"/>
                <w:szCs w:val="21"/>
                <w:highlight w:val="none"/>
                <w:vertAlign w:val="superscript"/>
              </w:rPr>
              <w:t>3</w:t>
            </w:r>
            <w:r>
              <w:rPr>
                <w:rFonts w:hint="eastAsia" w:ascii="Times New Roman" w:hAnsi="Times New Roman" w:eastAsia="宋体" w:cs="Times New Roman"/>
                <w:color w:val="auto"/>
                <w:sz w:val="21"/>
                <w:szCs w:val="21"/>
                <w:highlight w:val="none"/>
                <w:vertAlign w:val="superscript"/>
                <w:lang w:eastAsia="zh-CN"/>
              </w:rPr>
              <w:t>）</w:t>
            </w:r>
          </w:p>
        </w:tc>
        <w:tc>
          <w:tcPr>
            <w:tcW w:w="1063" w:type="dxa"/>
            <w:tcBorders>
              <w:top w:val="single" w:color="auto" w:sz="12" w:space="0"/>
            </w:tcBorders>
            <w:noWrap w:val="0"/>
            <w:vAlign w:val="center"/>
          </w:tcPr>
          <w:p w14:paraId="4758B572">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出现时间</w:t>
            </w:r>
          </w:p>
        </w:tc>
        <w:tc>
          <w:tcPr>
            <w:tcW w:w="1248" w:type="dxa"/>
            <w:tcBorders>
              <w:top w:val="single" w:color="auto" w:sz="12" w:space="0"/>
            </w:tcBorders>
            <w:noWrap w:val="0"/>
            <w:vAlign w:val="center"/>
          </w:tcPr>
          <w:p w14:paraId="58876345">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占标率（%）</w:t>
            </w:r>
          </w:p>
        </w:tc>
        <w:tc>
          <w:tcPr>
            <w:tcW w:w="1066" w:type="dxa"/>
            <w:tcBorders>
              <w:top w:val="single" w:color="auto" w:sz="12" w:space="0"/>
              <w:right w:val="nil"/>
            </w:tcBorders>
            <w:noWrap w:val="0"/>
            <w:vAlign w:val="center"/>
          </w:tcPr>
          <w:p w14:paraId="56E2C213">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达标情况</w:t>
            </w:r>
          </w:p>
        </w:tc>
      </w:tr>
      <w:tr w14:paraId="2F9E8D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9" w:type="dxa"/>
            <w:tcBorders>
              <w:left w:val="nil"/>
            </w:tcBorders>
            <w:noWrap w:val="0"/>
            <w:vAlign w:val="center"/>
          </w:tcPr>
          <w:p w14:paraId="34ED344D">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i w:val="0"/>
                <w:color w:val="auto"/>
                <w:sz w:val="21"/>
                <w:szCs w:val="21"/>
                <w:highlight w:val="none"/>
                <w:u w:val="none"/>
                <w:lang w:val="en-US" w:eastAsia="zh-CN"/>
              </w:rPr>
              <w:t>范家屯</w:t>
            </w:r>
          </w:p>
        </w:tc>
        <w:tc>
          <w:tcPr>
            <w:tcW w:w="1203" w:type="dxa"/>
            <w:noWrap w:val="0"/>
            <w:vAlign w:val="center"/>
          </w:tcPr>
          <w:p w14:paraId="1D2EE31D">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1小时平均</w:t>
            </w:r>
          </w:p>
        </w:tc>
        <w:tc>
          <w:tcPr>
            <w:tcW w:w="1783" w:type="dxa"/>
            <w:noWrap w:val="0"/>
            <w:vAlign w:val="center"/>
          </w:tcPr>
          <w:p w14:paraId="0B45E13E">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12.97524</w:t>
            </w:r>
          </w:p>
        </w:tc>
        <w:tc>
          <w:tcPr>
            <w:tcW w:w="1063" w:type="dxa"/>
            <w:noWrap w:val="0"/>
            <w:vAlign w:val="center"/>
          </w:tcPr>
          <w:p w14:paraId="0F778762">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24021411</w:t>
            </w:r>
          </w:p>
        </w:tc>
        <w:tc>
          <w:tcPr>
            <w:tcW w:w="1248" w:type="dxa"/>
            <w:noWrap w:val="0"/>
            <w:vAlign w:val="center"/>
          </w:tcPr>
          <w:p w14:paraId="03B2F57B">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2.88</w:t>
            </w:r>
          </w:p>
        </w:tc>
        <w:tc>
          <w:tcPr>
            <w:tcW w:w="1066" w:type="dxa"/>
            <w:tcBorders>
              <w:right w:val="nil"/>
            </w:tcBorders>
            <w:noWrap w:val="0"/>
            <w:vAlign w:val="center"/>
          </w:tcPr>
          <w:p w14:paraId="0CE3DE0D">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达标</w:t>
            </w:r>
          </w:p>
        </w:tc>
      </w:tr>
      <w:tr w14:paraId="0C7767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9" w:type="dxa"/>
            <w:tcBorders>
              <w:left w:val="nil"/>
            </w:tcBorders>
            <w:noWrap w:val="0"/>
            <w:vAlign w:val="center"/>
          </w:tcPr>
          <w:p w14:paraId="2D0953E4">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i w:val="0"/>
                <w:color w:val="auto"/>
                <w:sz w:val="21"/>
                <w:szCs w:val="21"/>
                <w:highlight w:val="none"/>
                <w:u w:val="none"/>
                <w:lang w:val="en-US" w:eastAsia="zh-CN"/>
              </w:rPr>
              <w:t>范家村</w:t>
            </w:r>
          </w:p>
        </w:tc>
        <w:tc>
          <w:tcPr>
            <w:tcW w:w="1203" w:type="dxa"/>
            <w:noWrap w:val="0"/>
            <w:vAlign w:val="center"/>
          </w:tcPr>
          <w:p w14:paraId="08959E07">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1小时平均</w:t>
            </w:r>
          </w:p>
        </w:tc>
        <w:tc>
          <w:tcPr>
            <w:tcW w:w="1783" w:type="dxa"/>
            <w:noWrap w:val="0"/>
            <w:vAlign w:val="center"/>
          </w:tcPr>
          <w:p w14:paraId="75B2C196">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14.94838</w:t>
            </w:r>
          </w:p>
        </w:tc>
        <w:tc>
          <w:tcPr>
            <w:tcW w:w="1063" w:type="dxa"/>
            <w:noWrap w:val="0"/>
            <w:vAlign w:val="center"/>
          </w:tcPr>
          <w:p w14:paraId="42F97BB8">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24013015</w:t>
            </w:r>
          </w:p>
        </w:tc>
        <w:tc>
          <w:tcPr>
            <w:tcW w:w="1248" w:type="dxa"/>
            <w:noWrap w:val="0"/>
            <w:vAlign w:val="center"/>
          </w:tcPr>
          <w:p w14:paraId="0EFA143B">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3.32</w:t>
            </w:r>
          </w:p>
        </w:tc>
        <w:tc>
          <w:tcPr>
            <w:tcW w:w="1066" w:type="dxa"/>
            <w:tcBorders>
              <w:right w:val="nil"/>
            </w:tcBorders>
            <w:noWrap w:val="0"/>
            <w:vAlign w:val="center"/>
          </w:tcPr>
          <w:p w14:paraId="645DC709">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达标</w:t>
            </w:r>
          </w:p>
        </w:tc>
      </w:tr>
      <w:tr w14:paraId="222C58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9" w:type="dxa"/>
            <w:tcBorders>
              <w:left w:val="nil"/>
            </w:tcBorders>
            <w:noWrap w:val="0"/>
            <w:vAlign w:val="center"/>
          </w:tcPr>
          <w:p w14:paraId="16598B3D">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i w:val="0"/>
                <w:color w:val="auto"/>
                <w:sz w:val="21"/>
                <w:szCs w:val="21"/>
                <w:highlight w:val="none"/>
                <w:u w:val="none"/>
                <w:lang w:val="en-US" w:eastAsia="zh-CN"/>
              </w:rPr>
              <w:t>原热电厂家属区</w:t>
            </w:r>
          </w:p>
        </w:tc>
        <w:tc>
          <w:tcPr>
            <w:tcW w:w="1203" w:type="dxa"/>
            <w:noWrap w:val="0"/>
            <w:vAlign w:val="center"/>
          </w:tcPr>
          <w:p w14:paraId="7F2500BB">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1小时平均</w:t>
            </w:r>
          </w:p>
        </w:tc>
        <w:tc>
          <w:tcPr>
            <w:tcW w:w="1783" w:type="dxa"/>
            <w:noWrap w:val="0"/>
            <w:vAlign w:val="center"/>
          </w:tcPr>
          <w:p w14:paraId="6DD91AEB">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0.14042</w:t>
            </w:r>
          </w:p>
        </w:tc>
        <w:tc>
          <w:tcPr>
            <w:tcW w:w="1063" w:type="dxa"/>
            <w:noWrap w:val="0"/>
            <w:vAlign w:val="center"/>
          </w:tcPr>
          <w:p w14:paraId="372BA95F">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24120612</w:t>
            </w:r>
          </w:p>
        </w:tc>
        <w:tc>
          <w:tcPr>
            <w:tcW w:w="1248" w:type="dxa"/>
            <w:noWrap w:val="0"/>
            <w:vAlign w:val="center"/>
          </w:tcPr>
          <w:p w14:paraId="5CAA95A8">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0.03</w:t>
            </w:r>
          </w:p>
        </w:tc>
        <w:tc>
          <w:tcPr>
            <w:tcW w:w="1066" w:type="dxa"/>
            <w:tcBorders>
              <w:right w:val="nil"/>
            </w:tcBorders>
            <w:noWrap w:val="0"/>
            <w:vAlign w:val="center"/>
          </w:tcPr>
          <w:p w14:paraId="57346538">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达标</w:t>
            </w:r>
          </w:p>
        </w:tc>
      </w:tr>
      <w:tr w14:paraId="34BDC9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9" w:type="dxa"/>
            <w:tcBorders>
              <w:left w:val="nil"/>
            </w:tcBorders>
            <w:noWrap w:val="0"/>
            <w:vAlign w:val="center"/>
          </w:tcPr>
          <w:p w14:paraId="6F64BE51">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i w:val="0"/>
                <w:color w:val="auto"/>
                <w:sz w:val="21"/>
                <w:szCs w:val="21"/>
                <w:highlight w:val="none"/>
                <w:u w:val="none"/>
                <w:lang w:val="en-US" w:eastAsia="zh-CN"/>
              </w:rPr>
              <w:t>黑锻新城小区</w:t>
            </w:r>
          </w:p>
        </w:tc>
        <w:tc>
          <w:tcPr>
            <w:tcW w:w="1203" w:type="dxa"/>
            <w:noWrap w:val="0"/>
            <w:vAlign w:val="center"/>
          </w:tcPr>
          <w:p w14:paraId="60E7C86F">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1小时平均</w:t>
            </w:r>
          </w:p>
        </w:tc>
        <w:tc>
          <w:tcPr>
            <w:tcW w:w="1783" w:type="dxa"/>
            <w:noWrap w:val="0"/>
            <w:vAlign w:val="center"/>
          </w:tcPr>
          <w:p w14:paraId="11A49E9B">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7.34641</w:t>
            </w:r>
          </w:p>
        </w:tc>
        <w:tc>
          <w:tcPr>
            <w:tcW w:w="1063" w:type="dxa"/>
            <w:noWrap w:val="0"/>
            <w:vAlign w:val="center"/>
          </w:tcPr>
          <w:p w14:paraId="0EAE691E">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24021713</w:t>
            </w:r>
          </w:p>
        </w:tc>
        <w:tc>
          <w:tcPr>
            <w:tcW w:w="1248" w:type="dxa"/>
            <w:noWrap w:val="0"/>
            <w:vAlign w:val="center"/>
          </w:tcPr>
          <w:p w14:paraId="44746236">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1.63</w:t>
            </w:r>
          </w:p>
        </w:tc>
        <w:tc>
          <w:tcPr>
            <w:tcW w:w="1066" w:type="dxa"/>
            <w:tcBorders>
              <w:right w:val="nil"/>
            </w:tcBorders>
            <w:noWrap w:val="0"/>
            <w:vAlign w:val="center"/>
          </w:tcPr>
          <w:p w14:paraId="2B24A6A2">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达标</w:t>
            </w:r>
          </w:p>
        </w:tc>
      </w:tr>
      <w:tr w14:paraId="2A6EAF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9" w:type="dxa"/>
            <w:tcBorders>
              <w:left w:val="nil"/>
            </w:tcBorders>
            <w:noWrap w:val="0"/>
            <w:vAlign w:val="center"/>
          </w:tcPr>
          <w:p w14:paraId="01F124D5">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i w:val="0"/>
                <w:color w:val="auto"/>
                <w:sz w:val="21"/>
                <w:szCs w:val="21"/>
                <w:highlight w:val="none"/>
                <w:u w:val="none"/>
                <w:lang w:val="en-US" w:eastAsia="zh-CN"/>
              </w:rPr>
              <w:t>东侧市区</w:t>
            </w:r>
            <w:r>
              <w:rPr>
                <w:rFonts w:hint="eastAsia" w:ascii="Times New Roman" w:hAnsi="Times New Roman" w:eastAsia="宋体" w:cs="Times New Roman"/>
                <w:i w:val="0"/>
                <w:color w:val="auto"/>
                <w:sz w:val="21"/>
                <w:szCs w:val="21"/>
                <w:highlight w:val="none"/>
                <w:u w:val="none"/>
                <w:lang w:val="en-US" w:eastAsia="zh-CN"/>
              </w:rPr>
              <w:t>（绿云社区）</w:t>
            </w:r>
          </w:p>
        </w:tc>
        <w:tc>
          <w:tcPr>
            <w:tcW w:w="1203" w:type="dxa"/>
            <w:noWrap w:val="0"/>
            <w:vAlign w:val="center"/>
          </w:tcPr>
          <w:p w14:paraId="7F36422B">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1小时平均</w:t>
            </w:r>
          </w:p>
        </w:tc>
        <w:tc>
          <w:tcPr>
            <w:tcW w:w="1783" w:type="dxa"/>
            <w:noWrap w:val="0"/>
            <w:vAlign w:val="center"/>
          </w:tcPr>
          <w:p w14:paraId="7A09E13F">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16.21511</w:t>
            </w:r>
          </w:p>
        </w:tc>
        <w:tc>
          <w:tcPr>
            <w:tcW w:w="1063" w:type="dxa"/>
            <w:noWrap w:val="0"/>
            <w:vAlign w:val="center"/>
          </w:tcPr>
          <w:p w14:paraId="312EEC17">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24022511</w:t>
            </w:r>
          </w:p>
        </w:tc>
        <w:tc>
          <w:tcPr>
            <w:tcW w:w="1248" w:type="dxa"/>
            <w:noWrap w:val="0"/>
            <w:vAlign w:val="center"/>
          </w:tcPr>
          <w:p w14:paraId="355DECC3">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3.60</w:t>
            </w:r>
          </w:p>
        </w:tc>
        <w:tc>
          <w:tcPr>
            <w:tcW w:w="1066" w:type="dxa"/>
            <w:tcBorders>
              <w:right w:val="nil"/>
            </w:tcBorders>
            <w:noWrap w:val="0"/>
            <w:vAlign w:val="center"/>
          </w:tcPr>
          <w:p w14:paraId="178AE8AE">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达标</w:t>
            </w:r>
          </w:p>
        </w:tc>
      </w:tr>
      <w:tr w14:paraId="5A8561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9" w:type="dxa"/>
            <w:tcBorders>
              <w:left w:val="nil"/>
            </w:tcBorders>
            <w:noWrap w:val="0"/>
            <w:vAlign w:val="center"/>
          </w:tcPr>
          <w:p w14:paraId="53B76AC1">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i w:val="0"/>
                <w:color w:val="auto"/>
                <w:sz w:val="21"/>
                <w:szCs w:val="21"/>
                <w:highlight w:val="none"/>
                <w:u w:val="none"/>
                <w:lang w:val="en-US" w:eastAsia="zh-CN"/>
              </w:rPr>
              <w:t>南侧市区（</w:t>
            </w:r>
            <w:r>
              <w:rPr>
                <w:rFonts w:hint="default" w:ascii="Times New Roman" w:hAnsi="Times New Roman" w:eastAsia="宋体" w:cs="Times New Roman"/>
                <w:i w:val="0"/>
                <w:color w:val="auto"/>
                <w:sz w:val="21"/>
                <w:szCs w:val="21"/>
                <w:highlight w:val="none"/>
                <w:u w:val="none"/>
                <w:lang w:val="en-US" w:eastAsia="zh-CN"/>
              </w:rPr>
              <w:t>佳木斯市第十六中学</w:t>
            </w:r>
            <w:r>
              <w:rPr>
                <w:rFonts w:hint="eastAsia" w:ascii="Times New Roman" w:hAnsi="Times New Roman" w:eastAsia="宋体" w:cs="Times New Roman"/>
                <w:i w:val="0"/>
                <w:color w:val="auto"/>
                <w:sz w:val="21"/>
                <w:szCs w:val="21"/>
                <w:highlight w:val="none"/>
                <w:u w:val="none"/>
                <w:lang w:val="en-US" w:eastAsia="zh-CN"/>
              </w:rPr>
              <w:t>）</w:t>
            </w:r>
          </w:p>
        </w:tc>
        <w:tc>
          <w:tcPr>
            <w:tcW w:w="1203" w:type="dxa"/>
            <w:noWrap w:val="0"/>
            <w:vAlign w:val="center"/>
          </w:tcPr>
          <w:p w14:paraId="4743071B">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1小时平均</w:t>
            </w:r>
          </w:p>
        </w:tc>
        <w:tc>
          <w:tcPr>
            <w:tcW w:w="1783" w:type="dxa"/>
            <w:noWrap w:val="0"/>
            <w:vAlign w:val="center"/>
          </w:tcPr>
          <w:p w14:paraId="0BD124C4">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25.27307</w:t>
            </w:r>
          </w:p>
        </w:tc>
        <w:tc>
          <w:tcPr>
            <w:tcW w:w="1063" w:type="dxa"/>
            <w:noWrap w:val="0"/>
            <w:vAlign w:val="center"/>
          </w:tcPr>
          <w:p w14:paraId="602A4D4A">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24120612</w:t>
            </w:r>
          </w:p>
        </w:tc>
        <w:tc>
          <w:tcPr>
            <w:tcW w:w="1248" w:type="dxa"/>
            <w:noWrap w:val="0"/>
            <w:vAlign w:val="center"/>
          </w:tcPr>
          <w:p w14:paraId="1720EA3A">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5.62</w:t>
            </w:r>
          </w:p>
        </w:tc>
        <w:tc>
          <w:tcPr>
            <w:tcW w:w="1066" w:type="dxa"/>
            <w:tcBorders>
              <w:right w:val="nil"/>
            </w:tcBorders>
            <w:noWrap w:val="0"/>
            <w:vAlign w:val="center"/>
          </w:tcPr>
          <w:p w14:paraId="67D3F580">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达标</w:t>
            </w:r>
          </w:p>
        </w:tc>
      </w:tr>
      <w:tr w14:paraId="03574A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9" w:type="dxa"/>
            <w:tcBorders>
              <w:left w:val="nil"/>
            </w:tcBorders>
            <w:noWrap w:val="0"/>
            <w:vAlign w:val="center"/>
          </w:tcPr>
          <w:p w14:paraId="06C3092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bidi="ar"/>
              </w:rPr>
              <w:t>区域最大落地浓度</w:t>
            </w:r>
          </w:p>
        </w:tc>
        <w:tc>
          <w:tcPr>
            <w:tcW w:w="1203" w:type="dxa"/>
            <w:noWrap w:val="0"/>
            <w:vAlign w:val="center"/>
          </w:tcPr>
          <w:p w14:paraId="697710E2">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1小时平均</w:t>
            </w:r>
          </w:p>
        </w:tc>
        <w:tc>
          <w:tcPr>
            <w:tcW w:w="1783" w:type="dxa"/>
            <w:noWrap w:val="0"/>
            <w:vAlign w:val="center"/>
          </w:tcPr>
          <w:p w14:paraId="5162424D">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36.25555</w:t>
            </w:r>
          </w:p>
        </w:tc>
        <w:tc>
          <w:tcPr>
            <w:tcW w:w="1063" w:type="dxa"/>
            <w:noWrap w:val="0"/>
            <w:vAlign w:val="center"/>
          </w:tcPr>
          <w:p w14:paraId="7D458189">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24011214</w:t>
            </w:r>
          </w:p>
        </w:tc>
        <w:tc>
          <w:tcPr>
            <w:tcW w:w="1248" w:type="dxa"/>
            <w:noWrap w:val="0"/>
            <w:vAlign w:val="center"/>
          </w:tcPr>
          <w:p w14:paraId="72E32E61">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8.06</w:t>
            </w:r>
          </w:p>
        </w:tc>
        <w:tc>
          <w:tcPr>
            <w:tcW w:w="1066" w:type="dxa"/>
            <w:tcBorders>
              <w:right w:val="nil"/>
            </w:tcBorders>
            <w:noWrap w:val="0"/>
            <w:vAlign w:val="center"/>
          </w:tcPr>
          <w:p w14:paraId="3F090B33">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达标</w:t>
            </w:r>
          </w:p>
        </w:tc>
      </w:tr>
    </w:tbl>
    <w:p w14:paraId="018EC41A">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jc w:val="center"/>
        <w:textAlignment w:val="auto"/>
        <w:outlineLvl w:val="9"/>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表6.2-</w:t>
      </w:r>
      <w:r>
        <w:rPr>
          <w:rFonts w:hint="eastAsia" w:ascii="Times New Roman" w:hAnsi="Times New Roman" w:eastAsia="宋体" w:cs="Times New Roman"/>
          <w:color w:val="auto"/>
          <w:kern w:val="0"/>
          <w:sz w:val="24"/>
          <w:szCs w:val="24"/>
          <w:highlight w:val="none"/>
          <w:lang w:val="en-US" w:eastAsia="zh-CN" w:bidi="ar-SA"/>
        </w:rPr>
        <w:t>24</w:t>
      </w:r>
      <w:r>
        <w:rPr>
          <w:rFonts w:hint="default" w:ascii="Times New Roman" w:hAnsi="Times New Roman" w:eastAsia="宋体" w:cs="Times New Roman"/>
          <w:color w:val="auto"/>
          <w:kern w:val="0"/>
          <w:sz w:val="24"/>
          <w:szCs w:val="24"/>
          <w:highlight w:val="none"/>
          <w:lang w:val="en-US" w:eastAsia="zh-CN" w:bidi="ar-SA"/>
        </w:rPr>
        <w:t xml:space="preserve">  </w:t>
      </w:r>
      <w:r>
        <w:rPr>
          <w:rFonts w:hint="eastAsia" w:ascii="Times New Roman" w:hAnsi="Times New Roman" w:eastAsia="宋体" w:cs="Times New Roman"/>
          <w:color w:val="auto"/>
          <w:kern w:val="0"/>
          <w:sz w:val="24"/>
          <w:szCs w:val="24"/>
          <w:highlight w:val="none"/>
          <w:lang w:val="en-US" w:eastAsia="zh-CN" w:bidi="ar-SA"/>
        </w:rPr>
        <w:t>本项目锅炉</w:t>
      </w:r>
      <w:r>
        <w:rPr>
          <w:rFonts w:hint="default" w:ascii="Times New Roman" w:hAnsi="Times New Roman" w:eastAsia="宋体" w:cs="Times New Roman"/>
          <w:color w:val="auto"/>
          <w:kern w:val="0"/>
          <w:sz w:val="24"/>
          <w:szCs w:val="24"/>
          <w:highlight w:val="none"/>
          <w:lang w:val="en-US" w:eastAsia="zh-CN" w:bidi="ar-SA"/>
        </w:rPr>
        <w:t>非正常工况SO</w:t>
      </w:r>
      <w:r>
        <w:rPr>
          <w:rFonts w:hint="default" w:ascii="Times New Roman" w:hAnsi="Times New Roman" w:eastAsia="宋体" w:cs="Times New Roman"/>
          <w:color w:val="auto"/>
          <w:kern w:val="0"/>
          <w:sz w:val="24"/>
          <w:szCs w:val="24"/>
          <w:highlight w:val="none"/>
          <w:vertAlign w:val="subscript"/>
          <w:lang w:val="en-US" w:eastAsia="zh-CN" w:bidi="ar-SA"/>
        </w:rPr>
        <w:t>2</w:t>
      </w:r>
      <w:r>
        <w:rPr>
          <w:rFonts w:hint="default" w:ascii="Times New Roman" w:hAnsi="Times New Roman" w:eastAsia="宋体" w:cs="Times New Roman"/>
          <w:color w:val="auto"/>
          <w:kern w:val="0"/>
          <w:sz w:val="24"/>
          <w:szCs w:val="24"/>
          <w:highlight w:val="none"/>
          <w:lang w:val="en-US" w:eastAsia="zh-CN" w:bidi="ar-SA"/>
        </w:rPr>
        <w:t>预测结果表</w:t>
      </w:r>
    </w:p>
    <w:tbl>
      <w:tblPr>
        <w:tblStyle w:val="3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159"/>
        <w:gridCol w:w="1203"/>
        <w:gridCol w:w="1769"/>
        <w:gridCol w:w="1077"/>
        <w:gridCol w:w="1248"/>
        <w:gridCol w:w="1066"/>
      </w:tblGrid>
      <w:tr w14:paraId="1AEEEC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9" w:type="dxa"/>
            <w:tcBorders>
              <w:top w:val="single" w:color="auto" w:sz="12" w:space="0"/>
              <w:left w:val="nil"/>
            </w:tcBorders>
            <w:noWrap w:val="0"/>
            <w:vAlign w:val="center"/>
          </w:tcPr>
          <w:p w14:paraId="5545348A">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lang w:eastAsia="zh-CN"/>
              </w:rPr>
              <w:t>预测点</w:t>
            </w:r>
          </w:p>
        </w:tc>
        <w:tc>
          <w:tcPr>
            <w:tcW w:w="1203" w:type="dxa"/>
            <w:tcBorders>
              <w:top w:val="single" w:color="auto" w:sz="12" w:space="0"/>
            </w:tcBorders>
            <w:noWrap w:val="0"/>
            <w:vAlign w:val="center"/>
          </w:tcPr>
          <w:p w14:paraId="13964CBB">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浓度类型</w:t>
            </w:r>
          </w:p>
        </w:tc>
        <w:tc>
          <w:tcPr>
            <w:tcW w:w="1769" w:type="dxa"/>
            <w:tcBorders>
              <w:top w:val="single" w:color="auto" w:sz="12" w:space="0"/>
            </w:tcBorders>
            <w:noWrap w:val="0"/>
            <w:vAlign w:val="center"/>
          </w:tcPr>
          <w:p w14:paraId="1E2A09D3">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贡献浓度</w:t>
            </w:r>
            <w:r>
              <w:rPr>
                <w:rFonts w:hint="eastAsia"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u</w:t>
            </w:r>
            <w:r>
              <w:rPr>
                <w:rFonts w:hint="default" w:ascii="Times New Roman" w:hAnsi="Times New Roman" w:eastAsia="宋体" w:cs="Times New Roman"/>
                <w:color w:val="auto"/>
                <w:sz w:val="21"/>
                <w:szCs w:val="21"/>
                <w:highlight w:val="none"/>
              </w:rPr>
              <w:t>g/m</w:t>
            </w:r>
            <w:r>
              <w:rPr>
                <w:rFonts w:hint="default" w:ascii="Times New Roman" w:hAnsi="Times New Roman" w:eastAsia="宋体" w:cs="Times New Roman"/>
                <w:color w:val="auto"/>
                <w:sz w:val="21"/>
                <w:szCs w:val="21"/>
                <w:highlight w:val="none"/>
                <w:vertAlign w:val="superscript"/>
              </w:rPr>
              <w:t>3</w:t>
            </w:r>
            <w:r>
              <w:rPr>
                <w:rFonts w:hint="eastAsia" w:ascii="Times New Roman" w:hAnsi="Times New Roman" w:eastAsia="宋体" w:cs="Times New Roman"/>
                <w:color w:val="auto"/>
                <w:sz w:val="21"/>
                <w:szCs w:val="21"/>
                <w:highlight w:val="none"/>
                <w:vertAlign w:val="superscript"/>
                <w:lang w:eastAsia="zh-CN"/>
              </w:rPr>
              <w:t>）</w:t>
            </w:r>
          </w:p>
        </w:tc>
        <w:tc>
          <w:tcPr>
            <w:tcW w:w="1077" w:type="dxa"/>
            <w:tcBorders>
              <w:top w:val="single" w:color="auto" w:sz="12" w:space="0"/>
            </w:tcBorders>
            <w:noWrap w:val="0"/>
            <w:vAlign w:val="center"/>
          </w:tcPr>
          <w:p w14:paraId="3485B9A2">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出现时间</w:t>
            </w:r>
          </w:p>
        </w:tc>
        <w:tc>
          <w:tcPr>
            <w:tcW w:w="1248" w:type="dxa"/>
            <w:tcBorders>
              <w:top w:val="single" w:color="auto" w:sz="12" w:space="0"/>
            </w:tcBorders>
            <w:noWrap w:val="0"/>
            <w:vAlign w:val="center"/>
          </w:tcPr>
          <w:p w14:paraId="099F41B0">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占标率（%）</w:t>
            </w:r>
          </w:p>
        </w:tc>
        <w:tc>
          <w:tcPr>
            <w:tcW w:w="1066" w:type="dxa"/>
            <w:tcBorders>
              <w:top w:val="single" w:color="auto" w:sz="12" w:space="0"/>
              <w:right w:val="nil"/>
            </w:tcBorders>
            <w:noWrap w:val="0"/>
            <w:vAlign w:val="center"/>
          </w:tcPr>
          <w:p w14:paraId="75200762">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达标情况</w:t>
            </w:r>
          </w:p>
        </w:tc>
      </w:tr>
      <w:tr w14:paraId="154FF4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159" w:type="dxa"/>
            <w:tcBorders>
              <w:left w:val="nil"/>
            </w:tcBorders>
            <w:noWrap w:val="0"/>
            <w:vAlign w:val="center"/>
          </w:tcPr>
          <w:p w14:paraId="16EBEC92">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i w:val="0"/>
                <w:color w:val="auto"/>
                <w:sz w:val="21"/>
                <w:szCs w:val="21"/>
                <w:highlight w:val="none"/>
                <w:u w:val="none"/>
                <w:lang w:val="en-US" w:eastAsia="zh-CN"/>
              </w:rPr>
              <w:t>范家屯</w:t>
            </w:r>
          </w:p>
        </w:tc>
        <w:tc>
          <w:tcPr>
            <w:tcW w:w="1203" w:type="dxa"/>
            <w:noWrap w:val="0"/>
            <w:vAlign w:val="center"/>
          </w:tcPr>
          <w:p w14:paraId="41BC9D8F">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1小时平均</w:t>
            </w:r>
          </w:p>
        </w:tc>
        <w:tc>
          <w:tcPr>
            <w:tcW w:w="1769" w:type="dxa"/>
            <w:noWrap w:val="0"/>
            <w:vAlign w:val="center"/>
          </w:tcPr>
          <w:p w14:paraId="42CC39D9">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15.58007</w:t>
            </w:r>
          </w:p>
        </w:tc>
        <w:tc>
          <w:tcPr>
            <w:tcW w:w="1077" w:type="dxa"/>
            <w:noWrap w:val="0"/>
            <w:vAlign w:val="center"/>
          </w:tcPr>
          <w:p w14:paraId="7098CCA6">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24021411</w:t>
            </w:r>
          </w:p>
        </w:tc>
        <w:tc>
          <w:tcPr>
            <w:tcW w:w="1248" w:type="dxa"/>
            <w:noWrap w:val="0"/>
            <w:vAlign w:val="center"/>
          </w:tcPr>
          <w:p w14:paraId="7F70CE76">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3.12</w:t>
            </w:r>
          </w:p>
        </w:tc>
        <w:tc>
          <w:tcPr>
            <w:tcW w:w="1066" w:type="dxa"/>
            <w:tcBorders>
              <w:right w:val="nil"/>
            </w:tcBorders>
            <w:noWrap w:val="0"/>
            <w:vAlign w:val="center"/>
          </w:tcPr>
          <w:p w14:paraId="73CC12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达标</w:t>
            </w:r>
          </w:p>
        </w:tc>
      </w:tr>
      <w:tr w14:paraId="76D7E9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9" w:type="dxa"/>
            <w:tcBorders>
              <w:left w:val="nil"/>
            </w:tcBorders>
            <w:noWrap w:val="0"/>
            <w:vAlign w:val="center"/>
          </w:tcPr>
          <w:p w14:paraId="13931A03">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i w:val="0"/>
                <w:color w:val="auto"/>
                <w:sz w:val="21"/>
                <w:szCs w:val="21"/>
                <w:highlight w:val="none"/>
                <w:u w:val="none"/>
                <w:lang w:val="en-US" w:eastAsia="zh-CN"/>
              </w:rPr>
              <w:t>范家村</w:t>
            </w:r>
          </w:p>
        </w:tc>
        <w:tc>
          <w:tcPr>
            <w:tcW w:w="1203" w:type="dxa"/>
            <w:noWrap w:val="0"/>
            <w:vAlign w:val="center"/>
          </w:tcPr>
          <w:p w14:paraId="7B69F21E">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1小时平均</w:t>
            </w:r>
          </w:p>
        </w:tc>
        <w:tc>
          <w:tcPr>
            <w:tcW w:w="1769" w:type="dxa"/>
            <w:noWrap w:val="0"/>
            <w:vAlign w:val="center"/>
          </w:tcPr>
          <w:p w14:paraId="009BE3EB">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17.94932</w:t>
            </w:r>
          </w:p>
        </w:tc>
        <w:tc>
          <w:tcPr>
            <w:tcW w:w="1077" w:type="dxa"/>
            <w:noWrap w:val="0"/>
            <w:vAlign w:val="center"/>
          </w:tcPr>
          <w:p w14:paraId="731F68A6">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24013015</w:t>
            </w:r>
          </w:p>
        </w:tc>
        <w:tc>
          <w:tcPr>
            <w:tcW w:w="1248" w:type="dxa"/>
            <w:noWrap w:val="0"/>
            <w:vAlign w:val="center"/>
          </w:tcPr>
          <w:p w14:paraId="312FA747">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3.59</w:t>
            </w:r>
          </w:p>
        </w:tc>
        <w:tc>
          <w:tcPr>
            <w:tcW w:w="1066" w:type="dxa"/>
            <w:tcBorders>
              <w:right w:val="nil"/>
            </w:tcBorders>
            <w:noWrap w:val="0"/>
            <w:vAlign w:val="center"/>
          </w:tcPr>
          <w:p w14:paraId="5DEC5C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达标</w:t>
            </w:r>
          </w:p>
        </w:tc>
      </w:tr>
      <w:tr w14:paraId="083FB7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9" w:type="dxa"/>
            <w:tcBorders>
              <w:left w:val="nil"/>
            </w:tcBorders>
            <w:noWrap w:val="0"/>
            <w:vAlign w:val="center"/>
          </w:tcPr>
          <w:p w14:paraId="38666F4F">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i w:val="0"/>
                <w:color w:val="auto"/>
                <w:sz w:val="21"/>
                <w:szCs w:val="21"/>
                <w:highlight w:val="none"/>
                <w:u w:val="none"/>
                <w:lang w:val="en-US" w:eastAsia="zh-CN"/>
              </w:rPr>
              <w:t>原热电厂家属区</w:t>
            </w:r>
          </w:p>
        </w:tc>
        <w:tc>
          <w:tcPr>
            <w:tcW w:w="1203" w:type="dxa"/>
            <w:noWrap w:val="0"/>
            <w:vAlign w:val="center"/>
          </w:tcPr>
          <w:p w14:paraId="15A01C58">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1小时平均</w:t>
            </w:r>
          </w:p>
        </w:tc>
        <w:tc>
          <w:tcPr>
            <w:tcW w:w="1769" w:type="dxa"/>
            <w:noWrap w:val="0"/>
            <w:vAlign w:val="center"/>
          </w:tcPr>
          <w:p w14:paraId="7ED6705E">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0.1686</w:t>
            </w:r>
          </w:p>
        </w:tc>
        <w:tc>
          <w:tcPr>
            <w:tcW w:w="1077" w:type="dxa"/>
            <w:noWrap w:val="0"/>
            <w:vAlign w:val="center"/>
          </w:tcPr>
          <w:p w14:paraId="72F0ABA5">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24120612</w:t>
            </w:r>
          </w:p>
        </w:tc>
        <w:tc>
          <w:tcPr>
            <w:tcW w:w="1248" w:type="dxa"/>
            <w:noWrap w:val="0"/>
            <w:vAlign w:val="center"/>
          </w:tcPr>
          <w:p w14:paraId="75E92419">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0.03</w:t>
            </w:r>
          </w:p>
        </w:tc>
        <w:tc>
          <w:tcPr>
            <w:tcW w:w="1066" w:type="dxa"/>
            <w:tcBorders>
              <w:right w:val="nil"/>
            </w:tcBorders>
            <w:noWrap w:val="0"/>
            <w:vAlign w:val="center"/>
          </w:tcPr>
          <w:p w14:paraId="21DB3F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达标</w:t>
            </w:r>
          </w:p>
        </w:tc>
      </w:tr>
      <w:tr w14:paraId="5B5021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9" w:type="dxa"/>
            <w:tcBorders>
              <w:left w:val="nil"/>
            </w:tcBorders>
            <w:noWrap w:val="0"/>
            <w:vAlign w:val="center"/>
          </w:tcPr>
          <w:p w14:paraId="3A1550EF">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i w:val="0"/>
                <w:color w:val="auto"/>
                <w:sz w:val="21"/>
                <w:szCs w:val="21"/>
                <w:highlight w:val="none"/>
                <w:u w:val="none"/>
                <w:lang w:val="en-US" w:eastAsia="zh-CN"/>
              </w:rPr>
              <w:t>黑锻新城小区</w:t>
            </w:r>
          </w:p>
        </w:tc>
        <w:tc>
          <w:tcPr>
            <w:tcW w:w="1203" w:type="dxa"/>
            <w:noWrap w:val="0"/>
            <w:vAlign w:val="center"/>
          </w:tcPr>
          <w:p w14:paraId="24EB983C">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1小时平均</w:t>
            </w:r>
          </w:p>
        </w:tc>
        <w:tc>
          <w:tcPr>
            <w:tcW w:w="1769" w:type="dxa"/>
            <w:noWrap w:val="0"/>
            <w:vAlign w:val="center"/>
          </w:tcPr>
          <w:p w14:paraId="186AA220">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8.82122</w:t>
            </w:r>
          </w:p>
        </w:tc>
        <w:tc>
          <w:tcPr>
            <w:tcW w:w="1077" w:type="dxa"/>
            <w:noWrap w:val="0"/>
            <w:vAlign w:val="center"/>
          </w:tcPr>
          <w:p w14:paraId="499FEB23">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24021713</w:t>
            </w:r>
          </w:p>
        </w:tc>
        <w:tc>
          <w:tcPr>
            <w:tcW w:w="1248" w:type="dxa"/>
            <w:noWrap w:val="0"/>
            <w:vAlign w:val="center"/>
          </w:tcPr>
          <w:p w14:paraId="6BF63ABA">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1.76</w:t>
            </w:r>
          </w:p>
        </w:tc>
        <w:tc>
          <w:tcPr>
            <w:tcW w:w="1066" w:type="dxa"/>
            <w:tcBorders>
              <w:right w:val="nil"/>
            </w:tcBorders>
            <w:noWrap w:val="0"/>
            <w:vAlign w:val="center"/>
          </w:tcPr>
          <w:p w14:paraId="00BB18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达标</w:t>
            </w:r>
          </w:p>
        </w:tc>
      </w:tr>
      <w:tr w14:paraId="67DFCF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9" w:type="dxa"/>
            <w:tcBorders>
              <w:left w:val="nil"/>
            </w:tcBorders>
            <w:noWrap w:val="0"/>
            <w:vAlign w:val="center"/>
          </w:tcPr>
          <w:p w14:paraId="5A8976D4">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i w:val="0"/>
                <w:color w:val="auto"/>
                <w:sz w:val="21"/>
                <w:szCs w:val="21"/>
                <w:highlight w:val="none"/>
                <w:u w:val="none"/>
                <w:lang w:val="en-US" w:eastAsia="zh-CN"/>
              </w:rPr>
              <w:t>东侧市区</w:t>
            </w:r>
            <w:r>
              <w:rPr>
                <w:rFonts w:hint="eastAsia" w:ascii="Times New Roman" w:hAnsi="Times New Roman" w:eastAsia="宋体" w:cs="Times New Roman"/>
                <w:i w:val="0"/>
                <w:color w:val="auto"/>
                <w:sz w:val="21"/>
                <w:szCs w:val="21"/>
                <w:highlight w:val="none"/>
                <w:u w:val="none"/>
                <w:lang w:val="en-US" w:eastAsia="zh-CN"/>
              </w:rPr>
              <w:t>（绿云社区）</w:t>
            </w:r>
          </w:p>
        </w:tc>
        <w:tc>
          <w:tcPr>
            <w:tcW w:w="1203" w:type="dxa"/>
            <w:noWrap w:val="0"/>
            <w:vAlign w:val="center"/>
          </w:tcPr>
          <w:p w14:paraId="44EDF86C">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1小时平均</w:t>
            </w:r>
          </w:p>
        </w:tc>
        <w:tc>
          <w:tcPr>
            <w:tcW w:w="1769" w:type="dxa"/>
            <w:noWrap w:val="0"/>
            <w:vAlign w:val="center"/>
          </w:tcPr>
          <w:p w14:paraId="7662FA6C">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19.47035</w:t>
            </w:r>
          </w:p>
        </w:tc>
        <w:tc>
          <w:tcPr>
            <w:tcW w:w="1077" w:type="dxa"/>
            <w:noWrap w:val="0"/>
            <w:vAlign w:val="center"/>
          </w:tcPr>
          <w:p w14:paraId="036E03A6">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24022511</w:t>
            </w:r>
          </w:p>
        </w:tc>
        <w:tc>
          <w:tcPr>
            <w:tcW w:w="1248" w:type="dxa"/>
            <w:noWrap w:val="0"/>
            <w:vAlign w:val="center"/>
          </w:tcPr>
          <w:p w14:paraId="5450F38D">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3.89</w:t>
            </w:r>
          </w:p>
        </w:tc>
        <w:tc>
          <w:tcPr>
            <w:tcW w:w="1066" w:type="dxa"/>
            <w:tcBorders>
              <w:right w:val="nil"/>
            </w:tcBorders>
            <w:noWrap w:val="0"/>
            <w:vAlign w:val="center"/>
          </w:tcPr>
          <w:p w14:paraId="049FC3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达标</w:t>
            </w:r>
          </w:p>
        </w:tc>
      </w:tr>
      <w:tr w14:paraId="59D8E1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9" w:type="dxa"/>
            <w:tcBorders>
              <w:left w:val="nil"/>
            </w:tcBorders>
            <w:noWrap w:val="0"/>
            <w:vAlign w:val="center"/>
          </w:tcPr>
          <w:p w14:paraId="2FDB1C3E">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i w:val="0"/>
                <w:color w:val="auto"/>
                <w:sz w:val="21"/>
                <w:szCs w:val="21"/>
                <w:highlight w:val="none"/>
                <w:u w:val="none"/>
                <w:lang w:val="en-US" w:eastAsia="zh-CN"/>
              </w:rPr>
              <w:t>南侧市区（</w:t>
            </w:r>
            <w:r>
              <w:rPr>
                <w:rFonts w:hint="default" w:ascii="Times New Roman" w:hAnsi="Times New Roman" w:eastAsia="宋体" w:cs="Times New Roman"/>
                <w:i w:val="0"/>
                <w:color w:val="auto"/>
                <w:sz w:val="21"/>
                <w:szCs w:val="21"/>
                <w:highlight w:val="none"/>
                <w:u w:val="none"/>
                <w:lang w:val="en-US" w:eastAsia="zh-CN"/>
              </w:rPr>
              <w:t>佳木斯市第十六中学</w:t>
            </w:r>
            <w:r>
              <w:rPr>
                <w:rFonts w:hint="eastAsia" w:ascii="Times New Roman" w:hAnsi="Times New Roman" w:eastAsia="宋体" w:cs="Times New Roman"/>
                <w:i w:val="0"/>
                <w:color w:val="auto"/>
                <w:sz w:val="21"/>
                <w:szCs w:val="21"/>
                <w:highlight w:val="none"/>
                <w:u w:val="none"/>
                <w:lang w:val="en-US" w:eastAsia="zh-CN"/>
              </w:rPr>
              <w:t>）</w:t>
            </w:r>
          </w:p>
        </w:tc>
        <w:tc>
          <w:tcPr>
            <w:tcW w:w="1203" w:type="dxa"/>
            <w:noWrap w:val="0"/>
            <w:vAlign w:val="center"/>
          </w:tcPr>
          <w:p w14:paraId="14D5BEAA">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1小时平均</w:t>
            </w:r>
          </w:p>
        </w:tc>
        <w:tc>
          <w:tcPr>
            <w:tcW w:w="1769" w:type="dxa"/>
            <w:noWrap w:val="0"/>
            <w:vAlign w:val="center"/>
          </w:tcPr>
          <w:p w14:paraId="0057A2AD">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30.34673</w:t>
            </w:r>
          </w:p>
        </w:tc>
        <w:tc>
          <w:tcPr>
            <w:tcW w:w="1077" w:type="dxa"/>
            <w:noWrap w:val="0"/>
            <w:vAlign w:val="center"/>
          </w:tcPr>
          <w:p w14:paraId="255091BC">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24120612</w:t>
            </w:r>
          </w:p>
        </w:tc>
        <w:tc>
          <w:tcPr>
            <w:tcW w:w="1248" w:type="dxa"/>
            <w:noWrap w:val="0"/>
            <w:vAlign w:val="center"/>
          </w:tcPr>
          <w:p w14:paraId="5BFA13CA">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6.07</w:t>
            </w:r>
          </w:p>
        </w:tc>
        <w:tc>
          <w:tcPr>
            <w:tcW w:w="1066" w:type="dxa"/>
            <w:tcBorders>
              <w:right w:val="nil"/>
            </w:tcBorders>
            <w:noWrap w:val="0"/>
            <w:vAlign w:val="center"/>
          </w:tcPr>
          <w:p w14:paraId="7628D0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达标</w:t>
            </w:r>
          </w:p>
        </w:tc>
      </w:tr>
      <w:tr w14:paraId="4F514C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9" w:type="dxa"/>
            <w:tcBorders>
              <w:left w:val="nil"/>
            </w:tcBorders>
            <w:noWrap w:val="0"/>
            <w:vAlign w:val="center"/>
          </w:tcPr>
          <w:p w14:paraId="49255F4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bidi="ar"/>
              </w:rPr>
              <w:t>区域最大落地浓度</w:t>
            </w:r>
          </w:p>
        </w:tc>
        <w:tc>
          <w:tcPr>
            <w:tcW w:w="1203" w:type="dxa"/>
            <w:noWrap w:val="0"/>
            <w:vAlign w:val="center"/>
          </w:tcPr>
          <w:p w14:paraId="5A275F94">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1小时平均</w:t>
            </w:r>
          </w:p>
        </w:tc>
        <w:tc>
          <w:tcPr>
            <w:tcW w:w="1769" w:type="dxa"/>
            <w:noWrap w:val="0"/>
            <w:vAlign w:val="center"/>
          </w:tcPr>
          <w:p w14:paraId="583CA7B8">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43.53398</w:t>
            </w:r>
          </w:p>
        </w:tc>
        <w:tc>
          <w:tcPr>
            <w:tcW w:w="1077" w:type="dxa"/>
            <w:noWrap w:val="0"/>
            <w:vAlign w:val="center"/>
          </w:tcPr>
          <w:p w14:paraId="3A28D964">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24011214</w:t>
            </w:r>
          </w:p>
        </w:tc>
        <w:tc>
          <w:tcPr>
            <w:tcW w:w="1248" w:type="dxa"/>
            <w:noWrap w:val="0"/>
            <w:vAlign w:val="center"/>
          </w:tcPr>
          <w:p w14:paraId="5EBC0018">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8.71</w:t>
            </w:r>
          </w:p>
        </w:tc>
        <w:tc>
          <w:tcPr>
            <w:tcW w:w="1066" w:type="dxa"/>
            <w:tcBorders>
              <w:right w:val="nil"/>
            </w:tcBorders>
            <w:noWrap w:val="0"/>
            <w:vAlign w:val="center"/>
          </w:tcPr>
          <w:p w14:paraId="4DCD46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达标</w:t>
            </w:r>
          </w:p>
        </w:tc>
      </w:tr>
    </w:tbl>
    <w:p w14:paraId="56150BCC">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jc w:val="center"/>
        <w:textAlignment w:val="auto"/>
        <w:outlineLvl w:val="9"/>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表6.2-</w:t>
      </w:r>
      <w:r>
        <w:rPr>
          <w:rFonts w:hint="eastAsia" w:ascii="Times New Roman" w:hAnsi="Times New Roman" w:eastAsia="宋体" w:cs="Times New Roman"/>
          <w:color w:val="auto"/>
          <w:kern w:val="0"/>
          <w:sz w:val="24"/>
          <w:szCs w:val="24"/>
          <w:highlight w:val="none"/>
          <w:lang w:val="en-US" w:eastAsia="zh-CN" w:bidi="ar-SA"/>
        </w:rPr>
        <w:t>25</w:t>
      </w:r>
      <w:r>
        <w:rPr>
          <w:rFonts w:hint="default" w:ascii="Times New Roman" w:hAnsi="Times New Roman" w:eastAsia="宋体" w:cs="Times New Roman"/>
          <w:color w:val="auto"/>
          <w:kern w:val="0"/>
          <w:sz w:val="24"/>
          <w:szCs w:val="24"/>
          <w:highlight w:val="none"/>
          <w:lang w:val="en-US" w:eastAsia="zh-CN" w:bidi="ar-SA"/>
        </w:rPr>
        <w:t xml:space="preserve">  </w:t>
      </w:r>
      <w:r>
        <w:rPr>
          <w:rFonts w:hint="eastAsia" w:ascii="Times New Roman" w:hAnsi="Times New Roman" w:eastAsia="宋体" w:cs="Times New Roman"/>
          <w:color w:val="auto"/>
          <w:kern w:val="0"/>
          <w:sz w:val="24"/>
          <w:szCs w:val="24"/>
          <w:highlight w:val="none"/>
          <w:lang w:val="en-US" w:eastAsia="zh-CN" w:bidi="ar-SA"/>
        </w:rPr>
        <w:t>本项目锅炉</w:t>
      </w:r>
      <w:r>
        <w:rPr>
          <w:rFonts w:hint="default" w:ascii="Times New Roman" w:hAnsi="Times New Roman" w:eastAsia="宋体" w:cs="Times New Roman"/>
          <w:color w:val="auto"/>
          <w:kern w:val="0"/>
          <w:sz w:val="24"/>
          <w:szCs w:val="24"/>
          <w:highlight w:val="none"/>
          <w:lang w:val="en-US" w:eastAsia="zh-CN" w:bidi="ar-SA"/>
        </w:rPr>
        <w:t>非正常工况NO</w:t>
      </w:r>
      <w:r>
        <w:rPr>
          <w:rFonts w:hint="default" w:ascii="Times New Roman" w:hAnsi="Times New Roman" w:eastAsia="宋体" w:cs="Times New Roman"/>
          <w:color w:val="auto"/>
          <w:kern w:val="0"/>
          <w:sz w:val="24"/>
          <w:szCs w:val="24"/>
          <w:highlight w:val="none"/>
          <w:vertAlign w:val="subscript"/>
          <w:lang w:val="en-US" w:eastAsia="zh-CN" w:bidi="ar-SA"/>
        </w:rPr>
        <w:t>2</w:t>
      </w:r>
      <w:r>
        <w:rPr>
          <w:rFonts w:hint="default" w:ascii="Times New Roman" w:hAnsi="Times New Roman" w:eastAsia="宋体" w:cs="Times New Roman"/>
          <w:color w:val="auto"/>
          <w:kern w:val="0"/>
          <w:sz w:val="24"/>
          <w:szCs w:val="24"/>
          <w:highlight w:val="none"/>
          <w:lang w:val="en-US" w:eastAsia="zh-CN" w:bidi="ar-SA"/>
        </w:rPr>
        <w:t>预测结果表</w:t>
      </w:r>
    </w:p>
    <w:tbl>
      <w:tblPr>
        <w:tblStyle w:val="3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159"/>
        <w:gridCol w:w="1203"/>
        <w:gridCol w:w="1696"/>
        <w:gridCol w:w="1063"/>
        <w:gridCol w:w="1335"/>
        <w:gridCol w:w="1066"/>
      </w:tblGrid>
      <w:tr w14:paraId="174921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9" w:type="dxa"/>
            <w:tcBorders>
              <w:top w:val="single" w:color="auto" w:sz="12" w:space="0"/>
              <w:left w:val="nil"/>
            </w:tcBorders>
            <w:noWrap w:val="0"/>
            <w:vAlign w:val="center"/>
          </w:tcPr>
          <w:p w14:paraId="252767D6">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lang w:eastAsia="zh-CN"/>
              </w:rPr>
              <w:t>预测点</w:t>
            </w:r>
          </w:p>
        </w:tc>
        <w:tc>
          <w:tcPr>
            <w:tcW w:w="1203" w:type="dxa"/>
            <w:tcBorders>
              <w:top w:val="single" w:color="auto" w:sz="12" w:space="0"/>
            </w:tcBorders>
            <w:noWrap w:val="0"/>
            <w:vAlign w:val="center"/>
          </w:tcPr>
          <w:p w14:paraId="3B282C1E">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浓度类型</w:t>
            </w:r>
          </w:p>
        </w:tc>
        <w:tc>
          <w:tcPr>
            <w:tcW w:w="1696" w:type="dxa"/>
            <w:tcBorders>
              <w:top w:val="single" w:color="auto" w:sz="12" w:space="0"/>
            </w:tcBorders>
            <w:noWrap w:val="0"/>
            <w:vAlign w:val="center"/>
          </w:tcPr>
          <w:p w14:paraId="03F8E37B">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贡献浓度</w:t>
            </w:r>
            <w:r>
              <w:rPr>
                <w:rFonts w:hint="eastAsia"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u</w:t>
            </w:r>
            <w:r>
              <w:rPr>
                <w:rFonts w:hint="default" w:ascii="Times New Roman" w:hAnsi="Times New Roman" w:eastAsia="宋体" w:cs="Times New Roman"/>
                <w:color w:val="auto"/>
                <w:sz w:val="21"/>
                <w:szCs w:val="21"/>
                <w:highlight w:val="none"/>
              </w:rPr>
              <w:t>g/m</w:t>
            </w:r>
            <w:r>
              <w:rPr>
                <w:rFonts w:hint="default" w:ascii="Times New Roman" w:hAnsi="Times New Roman" w:eastAsia="宋体" w:cs="Times New Roman"/>
                <w:color w:val="auto"/>
                <w:sz w:val="21"/>
                <w:szCs w:val="21"/>
                <w:highlight w:val="none"/>
                <w:vertAlign w:val="superscript"/>
              </w:rPr>
              <w:t>3</w:t>
            </w:r>
            <w:r>
              <w:rPr>
                <w:rFonts w:hint="eastAsia" w:ascii="Times New Roman" w:hAnsi="Times New Roman" w:eastAsia="宋体" w:cs="Times New Roman"/>
                <w:color w:val="auto"/>
                <w:sz w:val="21"/>
                <w:szCs w:val="21"/>
                <w:highlight w:val="none"/>
                <w:vertAlign w:val="superscript"/>
                <w:lang w:eastAsia="zh-CN"/>
              </w:rPr>
              <w:t>）</w:t>
            </w:r>
          </w:p>
        </w:tc>
        <w:tc>
          <w:tcPr>
            <w:tcW w:w="1063" w:type="dxa"/>
            <w:tcBorders>
              <w:top w:val="single" w:color="auto" w:sz="12" w:space="0"/>
            </w:tcBorders>
            <w:noWrap w:val="0"/>
            <w:vAlign w:val="center"/>
          </w:tcPr>
          <w:p w14:paraId="35A77B8F">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出现时间</w:t>
            </w:r>
          </w:p>
        </w:tc>
        <w:tc>
          <w:tcPr>
            <w:tcW w:w="1335" w:type="dxa"/>
            <w:tcBorders>
              <w:top w:val="single" w:color="auto" w:sz="12" w:space="0"/>
            </w:tcBorders>
            <w:noWrap w:val="0"/>
            <w:vAlign w:val="center"/>
          </w:tcPr>
          <w:p w14:paraId="009649E6">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占标率（%）</w:t>
            </w:r>
          </w:p>
        </w:tc>
        <w:tc>
          <w:tcPr>
            <w:tcW w:w="1066" w:type="dxa"/>
            <w:tcBorders>
              <w:top w:val="single" w:color="auto" w:sz="12" w:space="0"/>
              <w:right w:val="nil"/>
            </w:tcBorders>
            <w:noWrap w:val="0"/>
            <w:vAlign w:val="center"/>
          </w:tcPr>
          <w:p w14:paraId="051B6F46">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达标情况</w:t>
            </w:r>
          </w:p>
        </w:tc>
      </w:tr>
      <w:tr w14:paraId="523EB8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9" w:type="dxa"/>
            <w:tcBorders>
              <w:left w:val="nil"/>
            </w:tcBorders>
            <w:noWrap w:val="0"/>
            <w:vAlign w:val="center"/>
          </w:tcPr>
          <w:p w14:paraId="7AD7BDB3">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i w:val="0"/>
                <w:color w:val="auto"/>
                <w:sz w:val="21"/>
                <w:szCs w:val="21"/>
                <w:highlight w:val="none"/>
                <w:u w:val="none"/>
                <w:lang w:val="en-US" w:eastAsia="zh-CN"/>
              </w:rPr>
              <w:t>范家屯</w:t>
            </w:r>
          </w:p>
        </w:tc>
        <w:tc>
          <w:tcPr>
            <w:tcW w:w="1203" w:type="dxa"/>
            <w:noWrap w:val="0"/>
            <w:vAlign w:val="center"/>
          </w:tcPr>
          <w:p w14:paraId="347B0B5E">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1小时平均</w:t>
            </w:r>
          </w:p>
        </w:tc>
        <w:tc>
          <w:tcPr>
            <w:tcW w:w="1696" w:type="dxa"/>
            <w:noWrap w:val="0"/>
            <w:vAlign w:val="center"/>
          </w:tcPr>
          <w:p w14:paraId="4909915C">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13.13793</w:t>
            </w:r>
          </w:p>
        </w:tc>
        <w:tc>
          <w:tcPr>
            <w:tcW w:w="1063" w:type="dxa"/>
            <w:noWrap w:val="0"/>
            <w:vAlign w:val="center"/>
          </w:tcPr>
          <w:p w14:paraId="66D551AD">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24021411</w:t>
            </w:r>
          </w:p>
        </w:tc>
        <w:tc>
          <w:tcPr>
            <w:tcW w:w="1335" w:type="dxa"/>
            <w:noWrap w:val="0"/>
            <w:vAlign w:val="center"/>
          </w:tcPr>
          <w:p w14:paraId="0ADE65FD">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6.57</w:t>
            </w:r>
          </w:p>
        </w:tc>
        <w:tc>
          <w:tcPr>
            <w:tcW w:w="1066" w:type="dxa"/>
            <w:tcBorders>
              <w:right w:val="nil"/>
            </w:tcBorders>
            <w:noWrap w:val="0"/>
            <w:vAlign w:val="center"/>
          </w:tcPr>
          <w:p w14:paraId="6E0D59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达标</w:t>
            </w:r>
          </w:p>
        </w:tc>
      </w:tr>
      <w:tr w14:paraId="08D963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9" w:type="dxa"/>
            <w:tcBorders>
              <w:left w:val="nil"/>
            </w:tcBorders>
            <w:noWrap w:val="0"/>
            <w:vAlign w:val="center"/>
          </w:tcPr>
          <w:p w14:paraId="27F7AF77">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i w:val="0"/>
                <w:color w:val="auto"/>
                <w:sz w:val="21"/>
                <w:szCs w:val="21"/>
                <w:highlight w:val="none"/>
                <w:u w:val="none"/>
                <w:lang w:val="en-US" w:eastAsia="zh-CN"/>
              </w:rPr>
              <w:t>范家村</w:t>
            </w:r>
          </w:p>
        </w:tc>
        <w:tc>
          <w:tcPr>
            <w:tcW w:w="1203" w:type="dxa"/>
            <w:noWrap w:val="0"/>
            <w:vAlign w:val="center"/>
          </w:tcPr>
          <w:p w14:paraId="75C81E09">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1小时平均</w:t>
            </w:r>
          </w:p>
        </w:tc>
        <w:tc>
          <w:tcPr>
            <w:tcW w:w="1696" w:type="dxa"/>
            <w:noWrap w:val="0"/>
            <w:vAlign w:val="center"/>
          </w:tcPr>
          <w:p w14:paraId="074B526A">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15.13581</w:t>
            </w:r>
          </w:p>
        </w:tc>
        <w:tc>
          <w:tcPr>
            <w:tcW w:w="1063" w:type="dxa"/>
            <w:noWrap w:val="0"/>
            <w:vAlign w:val="center"/>
          </w:tcPr>
          <w:p w14:paraId="153664BB">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24013015</w:t>
            </w:r>
          </w:p>
        </w:tc>
        <w:tc>
          <w:tcPr>
            <w:tcW w:w="1335" w:type="dxa"/>
            <w:noWrap w:val="0"/>
            <w:vAlign w:val="center"/>
          </w:tcPr>
          <w:p w14:paraId="72995D69">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7.57</w:t>
            </w:r>
          </w:p>
        </w:tc>
        <w:tc>
          <w:tcPr>
            <w:tcW w:w="1066" w:type="dxa"/>
            <w:tcBorders>
              <w:right w:val="nil"/>
            </w:tcBorders>
            <w:noWrap w:val="0"/>
            <w:vAlign w:val="center"/>
          </w:tcPr>
          <w:p w14:paraId="71EE85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达标</w:t>
            </w:r>
          </w:p>
        </w:tc>
      </w:tr>
      <w:tr w14:paraId="55EF77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9" w:type="dxa"/>
            <w:tcBorders>
              <w:left w:val="nil"/>
            </w:tcBorders>
            <w:noWrap w:val="0"/>
            <w:vAlign w:val="center"/>
          </w:tcPr>
          <w:p w14:paraId="0D0B39E4">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i w:val="0"/>
                <w:color w:val="auto"/>
                <w:sz w:val="21"/>
                <w:szCs w:val="21"/>
                <w:highlight w:val="none"/>
                <w:u w:val="none"/>
                <w:lang w:val="en-US" w:eastAsia="zh-CN"/>
              </w:rPr>
              <w:t>原热电厂家属区</w:t>
            </w:r>
          </w:p>
        </w:tc>
        <w:tc>
          <w:tcPr>
            <w:tcW w:w="1203" w:type="dxa"/>
            <w:noWrap w:val="0"/>
            <w:vAlign w:val="center"/>
          </w:tcPr>
          <w:p w14:paraId="66B75E78">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1小时平均</w:t>
            </w:r>
          </w:p>
        </w:tc>
        <w:tc>
          <w:tcPr>
            <w:tcW w:w="1696" w:type="dxa"/>
            <w:noWrap w:val="0"/>
            <w:vAlign w:val="center"/>
          </w:tcPr>
          <w:p w14:paraId="179B77CD">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0.14218</w:t>
            </w:r>
          </w:p>
        </w:tc>
        <w:tc>
          <w:tcPr>
            <w:tcW w:w="1063" w:type="dxa"/>
            <w:noWrap w:val="0"/>
            <w:vAlign w:val="center"/>
          </w:tcPr>
          <w:p w14:paraId="19BF3639">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24120612</w:t>
            </w:r>
          </w:p>
        </w:tc>
        <w:tc>
          <w:tcPr>
            <w:tcW w:w="1335" w:type="dxa"/>
            <w:noWrap w:val="0"/>
            <w:vAlign w:val="center"/>
          </w:tcPr>
          <w:p w14:paraId="3B45B503">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0.07</w:t>
            </w:r>
          </w:p>
        </w:tc>
        <w:tc>
          <w:tcPr>
            <w:tcW w:w="1066" w:type="dxa"/>
            <w:tcBorders>
              <w:right w:val="nil"/>
            </w:tcBorders>
            <w:noWrap w:val="0"/>
            <w:vAlign w:val="center"/>
          </w:tcPr>
          <w:p w14:paraId="16CA8D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达标</w:t>
            </w:r>
          </w:p>
        </w:tc>
      </w:tr>
      <w:tr w14:paraId="615E0A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9" w:type="dxa"/>
            <w:tcBorders>
              <w:left w:val="nil"/>
            </w:tcBorders>
            <w:noWrap w:val="0"/>
            <w:vAlign w:val="center"/>
          </w:tcPr>
          <w:p w14:paraId="07BD632E">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i w:val="0"/>
                <w:color w:val="auto"/>
                <w:sz w:val="21"/>
                <w:szCs w:val="21"/>
                <w:highlight w:val="none"/>
                <w:u w:val="none"/>
                <w:lang w:val="en-US" w:eastAsia="zh-CN"/>
              </w:rPr>
              <w:t>黑锻新城小区</w:t>
            </w:r>
          </w:p>
        </w:tc>
        <w:tc>
          <w:tcPr>
            <w:tcW w:w="1203" w:type="dxa"/>
            <w:noWrap w:val="0"/>
            <w:vAlign w:val="center"/>
          </w:tcPr>
          <w:p w14:paraId="2A614A93">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1小时平均</w:t>
            </w:r>
          </w:p>
        </w:tc>
        <w:tc>
          <w:tcPr>
            <w:tcW w:w="1696" w:type="dxa"/>
            <w:noWrap w:val="0"/>
            <w:vAlign w:val="center"/>
          </w:tcPr>
          <w:p w14:paraId="119C557B">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7.43852</w:t>
            </w:r>
          </w:p>
        </w:tc>
        <w:tc>
          <w:tcPr>
            <w:tcW w:w="1063" w:type="dxa"/>
            <w:noWrap w:val="0"/>
            <w:vAlign w:val="center"/>
          </w:tcPr>
          <w:p w14:paraId="255A3E89">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24021713</w:t>
            </w:r>
          </w:p>
        </w:tc>
        <w:tc>
          <w:tcPr>
            <w:tcW w:w="1335" w:type="dxa"/>
            <w:noWrap w:val="0"/>
            <w:vAlign w:val="center"/>
          </w:tcPr>
          <w:p w14:paraId="6C2885EE">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3.72</w:t>
            </w:r>
          </w:p>
        </w:tc>
        <w:tc>
          <w:tcPr>
            <w:tcW w:w="1066" w:type="dxa"/>
            <w:tcBorders>
              <w:right w:val="nil"/>
            </w:tcBorders>
            <w:noWrap w:val="0"/>
            <w:vAlign w:val="center"/>
          </w:tcPr>
          <w:p w14:paraId="6688EC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达标</w:t>
            </w:r>
          </w:p>
        </w:tc>
      </w:tr>
      <w:tr w14:paraId="4B0923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2159" w:type="dxa"/>
            <w:tcBorders>
              <w:left w:val="nil"/>
            </w:tcBorders>
            <w:noWrap w:val="0"/>
            <w:vAlign w:val="center"/>
          </w:tcPr>
          <w:p w14:paraId="79CF9D13">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i w:val="0"/>
                <w:color w:val="auto"/>
                <w:sz w:val="21"/>
                <w:szCs w:val="21"/>
                <w:highlight w:val="none"/>
                <w:u w:val="none"/>
                <w:lang w:val="en-US" w:eastAsia="zh-CN"/>
              </w:rPr>
              <w:t>东侧市区</w:t>
            </w:r>
            <w:r>
              <w:rPr>
                <w:rFonts w:hint="eastAsia" w:ascii="Times New Roman" w:hAnsi="Times New Roman" w:eastAsia="宋体" w:cs="Times New Roman"/>
                <w:i w:val="0"/>
                <w:color w:val="auto"/>
                <w:sz w:val="21"/>
                <w:szCs w:val="21"/>
                <w:highlight w:val="none"/>
                <w:u w:val="none"/>
                <w:lang w:val="en-US" w:eastAsia="zh-CN"/>
              </w:rPr>
              <w:t>（绿云社区）</w:t>
            </w:r>
          </w:p>
        </w:tc>
        <w:tc>
          <w:tcPr>
            <w:tcW w:w="1203" w:type="dxa"/>
            <w:noWrap w:val="0"/>
            <w:vAlign w:val="center"/>
          </w:tcPr>
          <w:p w14:paraId="77C2614D">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1小时平均</w:t>
            </w:r>
          </w:p>
        </w:tc>
        <w:tc>
          <w:tcPr>
            <w:tcW w:w="1696" w:type="dxa"/>
            <w:noWrap w:val="0"/>
            <w:vAlign w:val="center"/>
          </w:tcPr>
          <w:p w14:paraId="4B1A2932">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16.41842</w:t>
            </w:r>
          </w:p>
        </w:tc>
        <w:tc>
          <w:tcPr>
            <w:tcW w:w="1063" w:type="dxa"/>
            <w:noWrap w:val="0"/>
            <w:vAlign w:val="center"/>
          </w:tcPr>
          <w:p w14:paraId="7A1C551C">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24022511</w:t>
            </w:r>
          </w:p>
        </w:tc>
        <w:tc>
          <w:tcPr>
            <w:tcW w:w="1335" w:type="dxa"/>
            <w:noWrap w:val="0"/>
            <w:vAlign w:val="center"/>
          </w:tcPr>
          <w:p w14:paraId="73F30110">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8.21</w:t>
            </w:r>
          </w:p>
        </w:tc>
        <w:tc>
          <w:tcPr>
            <w:tcW w:w="1066" w:type="dxa"/>
            <w:tcBorders>
              <w:right w:val="nil"/>
            </w:tcBorders>
            <w:noWrap w:val="0"/>
            <w:vAlign w:val="center"/>
          </w:tcPr>
          <w:p w14:paraId="7F2ECE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达标</w:t>
            </w:r>
          </w:p>
        </w:tc>
      </w:tr>
      <w:tr w14:paraId="5F88B0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9" w:type="dxa"/>
            <w:tcBorders>
              <w:left w:val="nil"/>
            </w:tcBorders>
            <w:noWrap w:val="0"/>
            <w:vAlign w:val="center"/>
          </w:tcPr>
          <w:p w14:paraId="0F64EEAA">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i w:val="0"/>
                <w:color w:val="auto"/>
                <w:sz w:val="21"/>
                <w:szCs w:val="21"/>
                <w:highlight w:val="none"/>
                <w:u w:val="none"/>
                <w:lang w:val="en-US" w:eastAsia="zh-CN"/>
              </w:rPr>
              <w:t>南侧市区（</w:t>
            </w:r>
            <w:r>
              <w:rPr>
                <w:rFonts w:hint="default" w:ascii="Times New Roman" w:hAnsi="Times New Roman" w:eastAsia="宋体" w:cs="Times New Roman"/>
                <w:i w:val="0"/>
                <w:color w:val="auto"/>
                <w:sz w:val="21"/>
                <w:szCs w:val="21"/>
                <w:highlight w:val="none"/>
                <w:u w:val="none"/>
                <w:lang w:val="en-US" w:eastAsia="zh-CN"/>
              </w:rPr>
              <w:t>佳木斯市第十六中学</w:t>
            </w:r>
            <w:r>
              <w:rPr>
                <w:rFonts w:hint="eastAsia" w:ascii="Times New Roman" w:hAnsi="Times New Roman" w:eastAsia="宋体" w:cs="Times New Roman"/>
                <w:i w:val="0"/>
                <w:color w:val="auto"/>
                <w:sz w:val="21"/>
                <w:szCs w:val="21"/>
                <w:highlight w:val="none"/>
                <w:u w:val="none"/>
                <w:lang w:val="en-US" w:eastAsia="zh-CN"/>
              </w:rPr>
              <w:t>）</w:t>
            </w:r>
          </w:p>
        </w:tc>
        <w:tc>
          <w:tcPr>
            <w:tcW w:w="1203" w:type="dxa"/>
            <w:noWrap w:val="0"/>
            <w:vAlign w:val="center"/>
          </w:tcPr>
          <w:p w14:paraId="70B73B9F">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1小时平均</w:t>
            </w:r>
          </w:p>
        </w:tc>
        <w:tc>
          <w:tcPr>
            <w:tcW w:w="1696" w:type="dxa"/>
            <w:noWrap w:val="0"/>
            <w:vAlign w:val="center"/>
          </w:tcPr>
          <w:p w14:paraId="444C0AF4">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25.58995</w:t>
            </w:r>
          </w:p>
        </w:tc>
        <w:tc>
          <w:tcPr>
            <w:tcW w:w="1063" w:type="dxa"/>
            <w:noWrap w:val="0"/>
            <w:vAlign w:val="center"/>
          </w:tcPr>
          <w:p w14:paraId="2F0EEEEC">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24120612</w:t>
            </w:r>
          </w:p>
        </w:tc>
        <w:tc>
          <w:tcPr>
            <w:tcW w:w="1335" w:type="dxa"/>
            <w:noWrap w:val="0"/>
            <w:vAlign w:val="center"/>
          </w:tcPr>
          <w:p w14:paraId="4F2C7201">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12.79</w:t>
            </w:r>
          </w:p>
        </w:tc>
        <w:tc>
          <w:tcPr>
            <w:tcW w:w="1066" w:type="dxa"/>
            <w:tcBorders>
              <w:right w:val="nil"/>
            </w:tcBorders>
            <w:noWrap w:val="0"/>
            <w:vAlign w:val="center"/>
          </w:tcPr>
          <w:p w14:paraId="6544F1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达标</w:t>
            </w:r>
          </w:p>
        </w:tc>
      </w:tr>
      <w:tr w14:paraId="4C5C8D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9" w:type="dxa"/>
            <w:tcBorders>
              <w:left w:val="nil"/>
            </w:tcBorders>
            <w:noWrap w:val="0"/>
            <w:vAlign w:val="center"/>
          </w:tcPr>
          <w:p w14:paraId="6C31FA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bidi="ar"/>
              </w:rPr>
              <w:t>区域最大落地浓度</w:t>
            </w:r>
          </w:p>
        </w:tc>
        <w:tc>
          <w:tcPr>
            <w:tcW w:w="1203" w:type="dxa"/>
            <w:noWrap w:val="0"/>
            <w:vAlign w:val="center"/>
          </w:tcPr>
          <w:p w14:paraId="7E7E7D14">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1小时平均</w:t>
            </w:r>
          </w:p>
        </w:tc>
        <w:tc>
          <w:tcPr>
            <w:tcW w:w="1696" w:type="dxa"/>
            <w:noWrap w:val="0"/>
            <w:vAlign w:val="center"/>
          </w:tcPr>
          <w:p w14:paraId="5E31FDBE">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36.71014</w:t>
            </w:r>
          </w:p>
        </w:tc>
        <w:tc>
          <w:tcPr>
            <w:tcW w:w="1063" w:type="dxa"/>
            <w:noWrap w:val="0"/>
            <w:vAlign w:val="center"/>
          </w:tcPr>
          <w:p w14:paraId="15AAE08E">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24011214</w:t>
            </w:r>
          </w:p>
        </w:tc>
        <w:tc>
          <w:tcPr>
            <w:tcW w:w="1335" w:type="dxa"/>
            <w:noWrap w:val="0"/>
            <w:vAlign w:val="center"/>
          </w:tcPr>
          <w:p w14:paraId="3D1039DC">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18.36</w:t>
            </w:r>
          </w:p>
        </w:tc>
        <w:tc>
          <w:tcPr>
            <w:tcW w:w="1066" w:type="dxa"/>
            <w:tcBorders>
              <w:right w:val="nil"/>
            </w:tcBorders>
            <w:noWrap w:val="0"/>
            <w:vAlign w:val="center"/>
          </w:tcPr>
          <w:p w14:paraId="5D6617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达标</w:t>
            </w:r>
          </w:p>
        </w:tc>
      </w:tr>
    </w:tbl>
    <w:p w14:paraId="13D77C59">
      <w:pPr>
        <w:keepNext/>
        <w:keepLines/>
        <w:widowControl w:val="0"/>
        <w:numPr>
          <w:ilvl w:val="3"/>
          <w:numId w:val="3"/>
        </w:numPr>
        <w:bidi w:val="0"/>
        <w:spacing w:line="360" w:lineRule="auto"/>
        <w:ind w:left="850" w:leftChars="0" w:hanging="850" w:firstLineChars="0"/>
        <w:jc w:val="both"/>
        <w:outlineLvl w:val="3"/>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大气环境防护距离计算</w:t>
      </w:r>
    </w:p>
    <w:p w14:paraId="2B407C37">
      <w:pPr>
        <w:bidi w:val="0"/>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highlight w:val="none"/>
          <w:lang w:val="en-US" w:eastAsia="zh-CN"/>
        </w:rPr>
        <w:t>经计算，本项目所有污染源对厂界外主要污染物的短期贡献浓度均无超标点，无需设置大气环境防护距离。对厂界外环境影响很小。本项目建设</w:t>
      </w:r>
      <w:r>
        <w:rPr>
          <w:rFonts w:hint="eastAsia" w:ascii="Times New Roman" w:hAnsi="Times New Roman" w:eastAsia="宋体" w:cs="Times New Roman"/>
          <w:color w:val="FF0000"/>
          <w:highlight w:val="none"/>
          <w:lang w:val="en-US" w:eastAsia="zh-CN"/>
        </w:rPr>
        <w:t>高于煤堆的</w:t>
      </w:r>
      <w:r>
        <w:rPr>
          <w:rFonts w:hint="default" w:ascii="Times New Roman" w:hAnsi="Times New Roman" w:eastAsia="宋体" w:cs="Times New Roman"/>
          <w:color w:val="FF0000"/>
          <w:highlight w:val="none"/>
          <w:lang w:val="en-US" w:eastAsia="zh-CN"/>
        </w:rPr>
        <w:t>防风抑尘网，煤场无组织排放将得到有效抑制。</w:t>
      </w:r>
    </w:p>
    <w:p w14:paraId="713A6825">
      <w:pPr>
        <w:bidi w:val="0"/>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highlight w:val="none"/>
          <w:lang w:val="en-US" w:eastAsia="zh-CN"/>
        </w:rPr>
        <w:t>通过以上各种有效的防尘措施治理，本工程产生的粉尘可以满足《大气污染物综合排放标准》（GB16297-1996）要求，不会对外环境产生明显影响。</w:t>
      </w:r>
    </w:p>
    <w:p w14:paraId="21335354">
      <w:pPr>
        <w:keepNext/>
        <w:keepLines/>
        <w:widowControl w:val="0"/>
        <w:numPr>
          <w:ilvl w:val="0"/>
          <w:numId w:val="0"/>
        </w:numPr>
        <w:bidi w:val="0"/>
        <w:spacing w:line="360" w:lineRule="auto"/>
        <w:ind w:leftChars="0" w:firstLine="0" w:firstLineChars="0"/>
        <w:jc w:val="both"/>
        <w:outlineLvl w:val="3"/>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6.2.1.</w:t>
      </w:r>
      <w:r>
        <w:rPr>
          <w:rFonts w:hint="eastAsia" w:ascii="Times New Roman" w:hAnsi="Times New Roman" w:eastAsia="宋体" w:cs="Times New Roman"/>
          <w:b/>
          <w:bCs/>
          <w:color w:val="auto"/>
          <w:kern w:val="2"/>
          <w:sz w:val="24"/>
          <w:szCs w:val="24"/>
          <w:highlight w:val="none"/>
          <w:lang w:val="en-US" w:eastAsia="zh-CN" w:bidi="ar-SA"/>
        </w:rPr>
        <w:t>4</w:t>
      </w:r>
      <w:r>
        <w:rPr>
          <w:rFonts w:hint="default" w:ascii="Times New Roman" w:hAnsi="Times New Roman" w:eastAsia="宋体" w:cs="Times New Roman"/>
          <w:b/>
          <w:bCs/>
          <w:color w:val="auto"/>
          <w:kern w:val="2"/>
          <w:sz w:val="24"/>
          <w:szCs w:val="24"/>
          <w:highlight w:val="none"/>
          <w:lang w:val="en-US" w:eastAsia="zh-CN" w:bidi="ar-SA"/>
        </w:rPr>
        <w:t xml:space="preserve"> 污染物排放量核算</w:t>
      </w:r>
    </w:p>
    <w:p w14:paraId="10B97C33">
      <w:pPr>
        <w:bidi w:val="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val="0"/>
          <w:bCs/>
          <w:color w:val="auto"/>
          <w:kern w:val="0"/>
          <w:sz w:val="24"/>
          <w:szCs w:val="24"/>
          <w:highlight w:val="none"/>
          <w:lang w:eastAsia="zh-CN"/>
        </w:rPr>
        <w:t>本项目污染物排放量核算情况见表</w:t>
      </w:r>
      <w:r>
        <w:rPr>
          <w:rFonts w:hint="default" w:ascii="Times New Roman" w:hAnsi="Times New Roman" w:eastAsia="宋体" w:cs="Times New Roman"/>
          <w:b w:val="0"/>
          <w:bCs/>
          <w:color w:val="auto"/>
          <w:kern w:val="0"/>
          <w:sz w:val="24"/>
          <w:szCs w:val="24"/>
          <w:highlight w:val="none"/>
          <w:lang w:val="en-US" w:eastAsia="zh-CN"/>
        </w:rPr>
        <w:t>6.2-</w:t>
      </w:r>
      <w:r>
        <w:rPr>
          <w:rFonts w:hint="eastAsia" w:ascii="Times New Roman" w:hAnsi="Times New Roman" w:eastAsia="宋体" w:cs="Times New Roman"/>
          <w:b w:val="0"/>
          <w:bCs/>
          <w:color w:val="auto"/>
          <w:kern w:val="0"/>
          <w:sz w:val="24"/>
          <w:szCs w:val="24"/>
          <w:highlight w:val="none"/>
          <w:lang w:val="en-US" w:eastAsia="zh-CN"/>
        </w:rPr>
        <w:t>26～</w:t>
      </w:r>
      <w:r>
        <w:rPr>
          <w:rFonts w:hint="default" w:ascii="Times New Roman" w:hAnsi="Times New Roman" w:eastAsia="宋体" w:cs="Times New Roman"/>
          <w:b w:val="0"/>
          <w:bCs/>
          <w:color w:val="auto"/>
          <w:kern w:val="0"/>
          <w:sz w:val="24"/>
          <w:szCs w:val="24"/>
          <w:highlight w:val="none"/>
          <w:lang w:val="en-US" w:eastAsia="zh-CN"/>
        </w:rPr>
        <w:t>表6.2-</w:t>
      </w:r>
      <w:r>
        <w:rPr>
          <w:rFonts w:hint="eastAsia" w:ascii="Times New Roman" w:hAnsi="Times New Roman" w:eastAsia="宋体" w:cs="Times New Roman"/>
          <w:b w:val="0"/>
          <w:bCs/>
          <w:color w:val="auto"/>
          <w:kern w:val="0"/>
          <w:sz w:val="24"/>
          <w:szCs w:val="24"/>
          <w:highlight w:val="none"/>
          <w:lang w:val="en-US" w:eastAsia="zh-CN"/>
        </w:rPr>
        <w:t>29</w:t>
      </w:r>
      <w:r>
        <w:rPr>
          <w:rFonts w:hint="default" w:ascii="Times New Roman" w:hAnsi="Times New Roman" w:eastAsia="宋体" w:cs="Times New Roman"/>
          <w:b w:val="0"/>
          <w:bCs/>
          <w:color w:val="auto"/>
          <w:kern w:val="0"/>
          <w:sz w:val="24"/>
          <w:szCs w:val="24"/>
          <w:highlight w:val="none"/>
          <w:lang w:val="en-US" w:eastAsia="zh-CN"/>
        </w:rPr>
        <w:t>。</w:t>
      </w:r>
    </w:p>
    <w:p w14:paraId="446BD19B">
      <w:pPr>
        <w:keepNext w:val="0"/>
        <w:keepLines w:val="0"/>
        <w:pageBreakBefore w:val="0"/>
        <w:widowControl w:val="0"/>
        <w:kinsoku/>
        <w:wordWrap/>
        <w:overflowPunct/>
        <w:topLinePunct w:val="0"/>
        <w:bidi w:val="0"/>
        <w:adjustRightInd w:val="0"/>
        <w:snapToGrid w:val="0"/>
        <w:spacing w:line="480" w:lineRule="exact"/>
        <w:ind w:firstLine="480" w:firstLineChars="200"/>
        <w:jc w:val="center"/>
        <w:textAlignment w:val="center"/>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表6.2-</w:t>
      </w:r>
      <w:r>
        <w:rPr>
          <w:rFonts w:hint="eastAsia" w:ascii="Times New Roman" w:hAnsi="Times New Roman" w:eastAsia="宋体" w:cs="Times New Roman"/>
          <w:color w:val="auto"/>
          <w:kern w:val="0"/>
          <w:sz w:val="24"/>
          <w:szCs w:val="24"/>
          <w:highlight w:val="none"/>
          <w:lang w:val="en-US" w:eastAsia="zh-CN" w:bidi="ar-SA"/>
        </w:rPr>
        <w:t>26</w:t>
      </w:r>
      <w:r>
        <w:rPr>
          <w:rFonts w:hint="default" w:ascii="Times New Roman" w:hAnsi="Times New Roman" w:eastAsia="宋体" w:cs="Times New Roman"/>
          <w:color w:val="auto"/>
          <w:kern w:val="0"/>
          <w:sz w:val="24"/>
          <w:szCs w:val="24"/>
          <w:highlight w:val="none"/>
          <w:lang w:val="en-US" w:eastAsia="zh-CN" w:bidi="ar-SA"/>
        </w:rPr>
        <w:t xml:space="preserve"> 本项目大气污染物有组织排放量核算表</w:t>
      </w:r>
    </w:p>
    <w:tbl>
      <w:tblPr>
        <w:tblStyle w:val="38"/>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01"/>
        <w:gridCol w:w="1346"/>
        <w:gridCol w:w="1314"/>
        <w:gridCol w:w="1553"/>
        <w:gridCol w:w="1368"/>
        <w:gridCol w:w="1420"/>
        <w:gridCol w:w="1214"/>
      </w:tblGrid>
      <w:tr w14:paraId="62C64A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6" w:type="pct"/>
            <w:tcBorders>
              <w:tl2br w:val="nil"/>
              <w:tr2bl w:val="nil"/>
            </w:tcBorders>
            <w:noWrap w:val="0"/>
            <w:vAlign w:val="center"/>
          </w:tcPr>
          <w:p w14:paraId="19BE9DB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序号</w:t>
            </w:r>
          </w:p>
        </w:tc>
        <w:tc>
          <w:tcPr>
            <w:tcW w:w="790" w:type="pct"/>
            <w:tcBorders>
              <w:tl2br w:val="nil"/>
              <w:tr2bl w:val="nil"/>
            </w:tcBorders>
            <w:noWrap w:val="0"/>
            <w:vAlign w:val="center"/>
          </w:tcPr>
          <w:p w14:paraId="5D970EE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排放口</w:t>
            </w:r>
          </w:p>
        </w:tc>
        <w:tc>
          <w:tcPr>
            <w:tcW w:w="771" w:type="pct"/>
            <w:tcBorders>
              <w:tl2br w:val="nil"/>
              <w:tr2bl w:val="nil"/>
            </w:tcBorders>
            <w:noWrap w:val="0"/>
            <w:vAlign w:val="center"/>
          </w:tcPr>
          <w:p w14:paraId="746E44D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污染源</w:t>
            </w:r>
          </w:p>
        </w:tc>
        <w:tc>
          <w:tcPr>
            <w:tcW w:w="911" w:type="pct"/>
            <w:tcBorders>
              <w:tl2br w:val="nil"/>
              <w:tr2bl w:val="nil"/>
            </w:tcBorders>
            <w:noWrap w:val="0"/>
            <w:vAlign w:val="center"/>
          </w:tcPr>
          <w:p w14:paraId="5A00FC5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污染物</w:t>
            </w:r>
          </w:p>
        </w:tc>
        <w:tc>
          <w:tcPr>
            <w:tcW w:w="803" w:type="pct"/>
            <w:tcBorders>
              <w:tl2br w:val="nil"/>
              <w:tr2bl w:val="nil"/>
            </w:tcBorders>
            <w:noWrap w:val="0"/>
            <w:vAlign w:val="center"/>
          </w:tcPr>
          <w:p w14:paraId="6E101C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核算排放浓度（mg/m</w:t>
            </w:r>
            <w:r>
              <w:rPr>
                <w:rFonts w:hint="default" w:ascii="Times New Roman" w:hAnsi="Times New Roman" w:eastAsia="宋体" w:cs="Times New Roman"/>
                <w:color w:val="auto"/>
                <w:kern w:val="0"/>
                <w:sz w:val="21"/>
                <w:szCs w:val="21"/>
                <w:highlight w:val="none"/>
                <w:vertAlign w:val="superscript"/>
                <w:lang w:val="en-US" w:eastAsia="zh-CN" w:bidi="ar-SA"/>
              </w:rPr>
              <w:t>3</w:t>
            </w:r>
            <w:r>
              <w:rPr>
                <w:rFonts w:hint="default" w:ascii="Times New Roman" w:hAnsi="Times New Roman" w:eastAsia="宋体" w:cs="Times New Roman"/>
                <w:color w:val="auto"/>
                <w:kern w:val="0"/>
                <w:sz w:val="21"/>
                <w:szCs w:val="21"/>
                <w:highlight w:val="none"/>
                <w:vertAlign w:val="baseline"/>
                <w:lang w:val="en-US" w:eastAsia="zh-CN" w:bidi="ar-SA"/>
              </w:rPr>
              <w:t>）</w:t>
            </w:r>
          </w:p>
        </w:tc>
        <w:tc>
          <w:tcPr>
            <w:tcW w:w="833" w:type="pct"/>
            <w:tcBorders>
              <w:tl2br w:val="nil"/>
              <w:tr2bl w:val="nil"/>
            </w:tcBorders>
            <w:noWrap w:val="0"/>
            <w:vAlign w:val="center"/>
          </w:tcPr>
          <w:p w14:paraId="5D03C67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核算排放速率（kg/h）</w:t>
            </w:r>
          </w:p>
        </w:tc>
        <w:tc>
          <w:tcPr>
            <w:tcW w:w="712" w:type="pct"/>
            <w:tcBorders>
              <w:tl2br w:val="nil"/>
              <w:tr2bl w:val="nil"/>
            </w:tcBorders>
            <w:noWrap w:val="0"/>
            <w:vAlign w:val="center"/>
          </w:tcPr>
          <w:p w14:paraId="4BE3853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核算年排放量（t/a）</w:t>
            </w:r>
          </w:p>
        </w:tc>
      </w:tr>
      <w:tr w14:paraId="093DE6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6" w:type="pct"/>
            <w:vMerge w:val="restart"/>
            <w:tcBorders>
              <w:tl2br w:val="nil"/>
              <w:tr2bl w:val="nil"/>
            </w:tcBorders>
            <w:noWrap w:val="0"/>
            <w:vAlign w:val="center"/>
          </w:tcPr>
          <w:p w14:paraId="5C22768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1</w:t>
            </w:r>
          </w:p>
        </w:tc>
        <w:tc>
          <w:tcPr>
            <w:tcW w:w="790" w:type="pct"/>
            <w:vMerge w:val="restart"/>
            <w:tcBorders>
              <w:tl2br w:val="nil"/>
              <w:tr2bl w:val="nil"/>
            </w:tcBorders>
            <w:noWrap w:val="0"/>
            <w:vAlign w:val="center"/>
          </w:tcPr>
          <w:p w14:paraId="320EBBA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烟囱</w:t>
            </w:r>
          </w:p>
        </w:tc>
        <w:tc>
          <w:tcPr>
            <w:tcW w:w="771" w:type="pct"/>
            <w:vMerge w:val="restart"/>
            <w:tcBorders>
              <w:tl2br w:val="nil"/>
              <w:tr2bl w:val="nil"/>
            </w:tcBorders>
            <w:noWrap w:val="0"/>
            <w:vAlign w:val="center"/>
          </w:tcPr>
          <w:p w14:paraId="1A133A3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bidi="ar-SA"/>
              </w:rPr>
              <w:t>5#锅炉</w:t>
            </w:r>
          </w:p>
        </w:tc>
        <w:tc>
          <w:tcPr>
            <w:tcW w:w="911" w:type="pct"/>
            <w:tcBorders>
              <w:tl2br w:val="nil"/>
              <w:tr2bl w:val="nil"/>
            </w:tcBorders>
            <w:noWrap w:val="0"/>
            <w:vAlign w:val="center"/>
          </w:tcPr>
          <w:p w14:paraId="704C61B9">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bCs/>
                <w:color w:val="auto"/>
                <w:sz w:val="21"/>
                <w:szCs w:val="21"/>
                <w:highlight w:val="none"/>
                <w:lang w:val="en-US" w:eastAsia="zh-CN"/>
              </w:rPr>
              <w:t>颗粒物</w:t>
            </w:r>
          </w:p>
        </w:tc>
        <w:tc>
          <w:tcPr>
            <w:tcW w:w="803" w:type="pct"/>
            <w:tcBorders>
              <w:tl2br w:val="nil"/>
              <w:tr2bl w:val="nil"/>
            </w:tcBorders>
            <w:noWrap w:val="0"/>
            <w:vAlign w:val="center"/>
          </w:tcPr>
          <w:p w14:paraId="512F2C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6.28</w:t>
            </w:r>
          </w:p>
        </w:tc>
        <w:tc>
          <w:tcPr>
            <w:tcW w:w="833" w:type="pct"/>
            <w:tcBorders>
              <w:tl2br w:val="nil"/>
              <w:tr2bl w:val="nil"/>
            </w:tcBorders>
            <w:noWrap w:val="0"/>
            <w:vAlign w:val="center"/>
          </w:tcPr>
          <w:p w14:paraId="524727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0.59</w:t>
            </w:r>
          </w:p>
        </w:tc>
        <w:tc>
          <w:tcPr>
            <w:tcW w:w="712" w:type="pct"/>
            <w:tcBorders>
              <w:tl2br w:val="nil"/>
              <w:tr2bl w:val="nil"/>
            </w:tcBorders>
            <w:noWrap w:val="0"/>
            <w:vAlign w:val="center"/>
          </w:tcPr>
          <w:p w14:paraId="24BFDB3C">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0.64</w:t>
            </w:r>
          </w:p>
        </w:tc>
      </w:tr>
      <w:tr w14:paraId="759947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6" w:type="pct"/>
            <w:vMerge w:val="continue"/>
            <w:tcBorders>
              <w:tl2br w:val="nil"/>
              <w:tr2bl w:val="nil"/>
            </w:tcBorders>
            <w:noWrap w:val="0"/>
            <w:vAlign w:val="center"/>
          </w:tcPr>
          <w:p w14:paraId="79C2C78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0"/>
                <w:sz w:val="21"/>
                <w:szCs w:val="21"/>
                <w:highlight w:val="none"/>
                <w:vertAlign w:val="baseline"/>
                <w:lang w:val="en-US" w:eastAsia="zh-CN" w:bidi="ar-SA"/>
              </w:rPr>
            </w:pPr>
          </w:p>
        </w:tc>
        <w:tc>
          <w:tcPr>
            <w:tcW w:w="790" w:type="pct"/>
            <w:vMerge w:val="continue"/>
            <w:tcBorders>
              <w:tl2br w:val="nil"/>
              <w:tr2bl w:val="nil"/>
            </w:tcBorders>
            <w:noWrap w:val="0"/>
            <w:vAlign w:val="center"/>
          </w:tcPr>
          <w:p w14:paraId="6892F9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0"/>
                <w:sz w:val="21"/>
                <w:szCs w:val="21"/>
                <w:highlight w:val="none"/>
                <w:vertAlign w:val="baseline"/>
                <w:lang w:val="en-US" w:eastAsia="zh-CN" w:bidi="ar-SA"/>
              </w:rPr>
            </w:pPr>
          </w:p>
        </w:tc>
        <w:tc>
          <w:tcPr>
            <w:tcW w:w="771" w:type="pct"/>
            <w:vMerge w:val="continue"/>
            <w:tcBorders>
              <w:tl2br w:val="nil"/>
              <w:tr2bl w:val="nil"/>
            </w:tcBorders>
            <w:noWrap w:val="0"/>
            <w:vAlign w:val="center"/>
          </w:tcPr>
          <w:p w14:paraId="528BB38D">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p>
        </w:tc>
        <w:tc>
          <w:tcPr>
            <w:tcW w:w="911" w:type="pct"/>
            <w:tcBorders>
              <w:tl2br w:val="nil"/>
              <w:tr2bl w:val="nil"/>
            </w:tcBorders>
            <w:noWrap w:val="0"/>
            <w:vAlign w:val="center"/>
          </w:tcPr>
          <w:p w14:paraId="5C0F1200">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SO</w:t>
            </w:r>
            <w:r>
              <w:rPr>
                <w:rFonts w:hint="default" w:ascii="Times New Roman" w:hAnsi="Times New Roman" w:eastAsia="宋体" w:cs="Times New Roman"/>
                <w:bCs/>
                <w:color w:val="auto"/>
                <w:kern w:val="0"/>
                <w:sz w:val="21"/>
                <w:szCs w:val="21"/>
                <w:highlight w:val="none"/>
                <w:vertAlign w:val="subscript"/>
                <w:lang w:val="en-US" w:eastAsia="zh-CN" w:bidi="ar-SA"/>
              </w:rPr>
              <w:t>2</w:t>
            </w:r>
          </w:p>
        </w:tc>
        <w:tc>
          <w:tcPr>
            <w:tcW w:w="803" w:type="pct"/>
            <w:tcBorders>
              <w:tl2br w:val="nil"/>
              <w:tr2bl w:val="nil"/>
            </w:tcBorders>
            <w:noWrap w:val="0"/>
            <w:vAlign w:val="center"/>
          </w:tcPr>
          <w:p w14:paraId="122C7A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26.44</w:t>
            </w:r>
          </w:p>
        </w:tc>
        <w:tc>
          <w:tcPr>
            <w:tcW w:w="833" w:type="pct"/>
            <w:tcBorders>
              <w:tl2br w:val="nil"/>
              <w:tr2bl w:val="nil"/>
            </w:tcBorders>
            <w:noWrap w:val="0"/>
            <w:vAlign w:val="center"/>
          </w:tcPr>
          <w:p w14:paraId="75F40413">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2.48</w:t>
            </w:r>
          </w:p>
        </w:tc>
        <w:tc>
          <w:tcPr>
            <w:tcW w:w="712" w:type="pct"/>
            <w:tcBorders>
              <w:tl2br w:val="nil"/>
              <w:tr2bl w:val="nil"/>
            </w:tcBorders>
            <w:noWrap w:val="0"/>
            <w:vAlign w:val="center"/>
          </w:tcPr>
          <w:p w14:paraId="2CFCB059">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2.67</w:t>
            </w:r>
          </w:p>
        </w:tc>
      </w:tr>
      <w:tr w14:paraId="5BEAA0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6" w:type="pct"/>
            <w:vMerge w:val="continue"/>
            <w:tcBorders>
              <w:tl2br w:val="nil"/>
              <w:tr2bl w:val="nil"/>
            </w:tcBorders>
            <w:noWrap w:val="0"/>
            <w:vAlign w:val="center"/>
          </w:tcPr>
          <w:p w14:paraId="22D4CA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0"/>
                <w:sz w:val="21"/>
                <w:szCs w:val="21"/>
                <w:highlight w:val="none"/>
                <w:vertAlign w:val="baseline"/>
                <w:lang w:val="en-US" w:eastAsia="zh-CN" w:bidi="ar-SA"/>
              </w:rPr>
            </w:pPr>
          </w:p>
        </w:tc>
        <w:tc>
          <w:tcPr>
            <w:tcW w:w="790" w:type="pct"/>
            <w:vMerge w:val="continue"/>
            <w:tcBorders>
              <w:tl2br w:val="nil"/>
              <w:tr2bl w:val="nil"/>
            </w:tcBorders>
            <w:noWrap w:val="0"/>
            <w:vAlign w:val="center"/>
          </w:tcPr>
          <w:p w14:paraId="554C6FB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0"/>
                <w:sz w:val="21"/>
                <w:szCs w:val="21"/>
                <w:highlight w:val="none"/>
                <w:vertAlign w:val="baseline"/>
                <w:lang w:val="en-US" w:eastAsia="zh-CN" w:bidi="ar-SA"/>
              </w:rPr>
            </w:pPr>
          </w:p>
        </w:tc>
        <w:tc>
          <w:tcPr>
            <w:tcW w:w="771" w:type="pct"/>
            <w:vMerge w:val="continue"/>
            <w:tcBorders>
              <w:tl2br w:val="nil"/>
              <w:tr2bl w:val="nil"/>
            </w:tcBorders>
            <w:noWrap w:val="0"/>
            <w:vAlign w:val="center"/>
          </w:tcPr>
          <w:p w14:paraId="59B1CAC0">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p>
        </w:tc>
        <w:tc>
          <w:tcPr>
            <w:tcW w:w="911" w:type="pct"/>
            <w:tcBorders>
              <w:tl2br w:val="nil"/>
              <w:tr2bl w:val="nil"/>
            </w:tcBorders>
            <w:noWrap w:val="0"/>
            <w:vAlign w:val="center"/>
          </w:tcPr>
          <w:p w14:paraId="056523C0">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NOx</w:t>
            </w:r>
          </w:p>
        </w:tc>
        <w:tc>
          <w:tcPr>
            <w:tcW w:w="803" w:type="pct"/>
            <w:tcBorders>
              <w:tl2br w:val="nil"/>
              <w:tr2bl w:val="nil"/>
            </w:tcBorders>
            <w:noWrap w:val="0"/>
            <w:vAlign w:val="center"/>
          </w:tcPr>
          <w:p w14:paraId="750174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42</w:t>
            </w:r>
          </w:p>
        </w:tc>
        <w:tc>
          <w:tcPr>
            <w:tcW w:w="833" w:type="pct"/>
            <w:tcBorders>
              <w:tl2br w:val="nil"/>
              <w:tr2bl w:val="nil"/>
            </w:tcBorders>
            <w:noWrap w:val="0"/>
            <w:vAlign w:val="center"/>
          </w:tcPr>
          <w:p w14:paraId="28A131EC">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3.94</w:t>
            </w:r>
          </w:p>
        </w:tc>
        <w:tc>
          <w:tcPr>
            <w:tcW w:w="712" w:type="pct"/>
            <w:tcBorders>
              <w:tl2br w:val="nil"/>
              <w:tr2bl w:val="nil"/>
            </w:tcBorders>
            <w:noWrap w:val="0"/>
            <w:vAlign w:val="center"/>
          </w:tcPr>
          <w:p w14:paraId="5B8C848D">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4.27</w:t>
            </w:r>
          </w:p>
        </w:tc>
      </w:tr>
      <w:tr w14:paraId="064AC5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6" w:type="pct"/>
            <w:vMerge w:val="continue"/>
            <w:tcBorders>
              <w:tl2br w:val="nil"/>
              <w:tr2bl w:val="nil"/>
            </w:tcBorders>
            <w:noWrap w:val="0"/>
            <w:vAlign w:val="center"/>
          </w:tcPr>
          <w:p w14:paraId="6DD23B1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0"/>
                <w:sz w:val="21"/>
                <w:szCs w:val="21"/>
                <w:highlight w:val="none"/>
                <w:vertAlign w:val="baseline"/>
                <w:lang w:val="en-US" w:eastAsia="zh-CN" w:bidi="ar-SA"/>
              </w:rPr>
            </w:pPr>
          </w:p>
        </w:tc>
        <w:tc>
          <w:tcPr>
            <w:tcW w:w="790" w:type="pct"/>
            <w:vMerge w:val="continue"/>
            <w:tcBorders>
              <w:tl2br w:val="nil"/>
              <w:tr2bl w:val="nil"/>
            </w:tcBorders>
            <w:noWrap w:val="0"/>
            <w:vAlign w:val="center"/>
          </w:tcPr>
          <w:p w14:paraId="728A11D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0"/>
                <w:sz w:val="21"/>
                <w:szCs w:val="21"/>
                <w:highlight w:val="none"/>
                <w:vertAlign w:val="baseline"/>
                <w:lang w:val="en-US" w:eastAsia="zh-CN" w:bidi="ar-SA"/>
              </w:rPr>
            </w:pPr>
          </w:p>
        </w:tc>
        <w:tc>
          <w:tcPr>
            <w:tcW w:w="771" w:type="pct"/>
            <w:vMerge w:val="continue"/>
            <w:tcBorders>
              <w:tl2br w:val="nil"/>
              <w:tr2bl w:val="nil"/>
            </w:tcBorders>
            <w:noWrap w:val="0"/>
            <w:vAlign w:val="center"/>
          </w:tcPr>
          <w:p w14:paraId="7EDCD384">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p>
        </w:tc>
        <w:tc>
          <w:tcPr>
            <w:tcW w:w="911" w:type="pct"/>
            <w:tcBorders>
              <w:tl2br w:val="nil"/>
              <w:tr2bl w:val="nil"/>
            </w:tcBorders>
            <w:noWrap w:val="0"/>
            <w:vAlign w:val="center"/>
          </w:tcPr>
          <w:p w14:paraId="0F2C4593">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汞及其化合物</w:t>
            </w:r>
          </w:p>
        </w:tc>
        <w:tc>
          <w:tcPr>
            <w:tcW w:w="803" w:type="pct"/>
            <w:tcBorders>
              <w:tl2br w:val="nil"/>
              <w:tr2bl w:val="nil"/>
            </w:tcBorders>
            <w:noWrap w:val="0"/>
            <w:vAlign w:val="center"/>
          </w:tcPr>
          <w:p w14:paraId="0EA9850F">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0.006</w:t>
            </w:r>
          </w:p>
        </w:tc>
        <w:tc>
          <w:tcPr>
            <w:tcW w:w="833" w:type="pct"/>
            <w:tcBorders>
              <w:tl2br w:val="nil"/>
              <w:tr2bl w:val="nil"/>
            </w:tcBorders>
            <w:noWrap w:val="0"/>
            <w:vAlign w:val="center"/>
          </w:tcPr>
          <w:p w14:paraId="5C5CBC03">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0.0006</w:t>
            </w:r>
          </w:p>
        </w:tc>
        <w:tc>
          <w:tcPr>
            <w:tcW w:w="712" w:type="pct"/>
            <w:tcBorders>
              <w:tl2br w:val="nil"/>
              <w:tr2bl w:val="nil"/>
            </w:tcBorders>
            <w:noWrap w:val="0"/>
            <w:vAlign w:val="center"/>
          </w:tcPr>
          <w:p w14:paraId="206E8128">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0.0006</w:t>
            </w:r>
          </w:p>
        </w:tc>
      </w:tr>
      <w:tr w14:paraId="5568B6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6" w:type="pct"/>
            <w:tcBorders>
              <w:tl2br w:val="nil"/>
              <w:tr2bl w:val="nil"/>
            </w:tcBorders>
            <w:noWrap w:val="0"/>
            <w:vAlign w:val="center"/>
          </w:tcPr>
          <w:p w14:paraId="7C1D98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2</w:t>
            </w:r>
          </w:p>
        </w:tc>
        <w:tc>
          <w:tcPr>
            <w:tcW w:w="790" w:type="pct"/>
            <w:tcBorders>
              <w:tl2br w:val="nil"/>
              <w:tr2bl w:val="nil"/>
            </w:tcBorders>
            <w:noWrap w:val="0"/>
            <w:vAlign w:val="center"/>
          </w:tcPr>
          <w:p w14:paraId="6B780AF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库顶排放口</w:t>
            </w:r>
          </w:p>
        </w:tc>
        <w:tc>
          <w:tcPr>
            <w:tcW w:w="771" w:type="pct"/>
            <w:tcBorders>
              <w:tl2br w:val="nil"/>
              <w:tr2bl w:val="nil"/>
            </w:tcBorders>
            <w:noWrap w:val="0"/>
            <w:vAlign w:val="center"/>
          </w:tcPr>
          <w:p w14:paraId="59D52A9D">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灰库</w:t>
            </w:r>
          </w:p>
        </w:tc>
        <w:tc>
          <w:tcPr>
            <w:tcW w:w="911" w:type="pct"/>
            <w:tcBorders>
              <w:tl2br w:val="nil"/>
              <w:tr2bl w:val="nil"/>
            </w:tcBorders>
            <w:noWrap w:val="0"/>
            <w:vAlign w:val="center"/>
          </w:tcPr>
          <w:p w14:paraId="65241916">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颗粒物</w:t>
            </w:r>
          </w:p>
        </w:tc>
        <w:tc>
          <w:tcPr>
            <w:tcW w:w="803" w:type="pct"/>
            <w:tcBorders>
              <w:tl2br w:val="nil"/>
              <w:tr2bl w:val="nil"/>
            </w:tcBorders>
            <w:noWrap w:val="0"/>
            <w:vAlign w:val="center"/>
          </w:tcPr>
          <w:p w14:paraId="4BA43E35">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8.5</w:t>
            </w:r>
          </w:p>
        </w:tc>
        <w:tc>
          <w:tcPr>
            <w:tcW w:w="833" w:type="pct"/>
            <w:tcBorders>
              <w:tl2br w:val="nil"/>
              <w:tr2bl w:val="nil"/>
            </w:tcBorders>
            <w:noWrap w:val="0"/>
            <w:vAlign w:val="center"/>
          </w:tcPr>
          <w:p w14:paraId="15EA58A2">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0.017</w:t>
            </w:r>
          </w:p>
        </w:tc>
        <w:tc>
          <w:tcPr>
            <w:tcW w:w="712" w:type="pct"/>
            <w:tcBorders>
              <w:tl2br w:val="nil"/>
              <w:tr2bl w:val="nil"/>
            </w:tcBorders>
            <w:noWrap w:val="0"/>
            <w:vAlign w:val="center"/>
          </w:tcPr>
          <w:p w14:paraId="398FA627">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0.018</w:t>
            </w:r>
          </w:p>
        </w:tc>
      </w:tr>
      <w:tr w14:paraId="04D8E8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6" w:type="pct"/>
            <w:tcBorders>
              <w:tl2br w:val="nil"/>
              <w:tr2bl w:val="nil"/>
            </w:tcBorders>
            <w:noWrap w:val="0"/>
            <w:vAlign w:val="center"/>
          </w:tcPr>
          <w:p w14:paraId="65F5045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3</w:t>
            </w:r>
          </w:p>
        </w:tc>
        <w:tc>
          <w:tcPr>
            <w:tcW w:w="790" w:type="pct"/>
            <w:tcBorders>
              <w:tl2br w:val="nil"/>
              <w:tr2bl w:val="nil"/>
            </w:tcBorders>
            <w:noWrap w:val="0"/>
            <w:vAlign w:val="center"/>
          </w:tcPr>
          <w:p w14:paraId="6576B07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仓</w:t>
            </w:r>
            <w:r>
              <w:rPr>
                <w:rFonts w:hint="default" w:ascii="Times New Roman" w:hAnsi="Times New Roman" w:eastAsia="宋体" w:cs="Times New Roman"/>
                <w:color w:val="auto"/>
                <w:kern w:val="0"/>
                <w:sz w:val="21"/>
                <w:szCs w:val="21"/>
                <w:highlight w:val="none"/>
                <w:vertAlign w:val="baseline"/>
                <w:lang w:val="en-US" w:eastAsia="zh-CN" w:bidi="ar-SA"/>
              </w:rPr>
              <w:t>顶排放口</w:t>
            </w:r>
          </w:p>
        </w:tc>
        <w:tc>
          <w:tcPr>
            <w:tcW w:w="771" w:type="pct"/>
            <w:tcBorders>
              <w:tl2br w:val="nil"/>
              <w:tr2bl w:val="nil"/>
            </w:tcBorders>
            <w:noWrap w:val="0"/>
            <w:vAlign w:val="center"/>
          </w:tcPr>
          <w:p w14:paraId="54F0AA4D">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bidi="ar-SA"/>
              </w:rPr>
              <w:t>生石灰</w:t>
            </w:r>
            <w:r>
              <w:rPr>
                <w:rFonts w:hint="default" w:ascii="Times New Roman" w:hAnsi="Times New Roman" w:eastAsia="宋体" w:cs="Times New Roman"/>
                <w:bCs/>
                <w:color w:val="auto"/>
                <w:kern w:val="0"/>
                <w:sz w:val="21"/>
                <w:szCs w:val="21"/>
                <w:highlight w:val="none"/>
                <w:lang w:val="en-US" w:eastAsia="zh-CN" w:bidi="ar-SA"/>
              </w:rPr>
              <w:t>粉仓</w:t>
            </w:r>
          </w:p>
        </w:tc>
        <w:tc>
          <w:tcPr>
            <w:tcW w:w="911" w:type="pct"/>
            <w:tcBorders>
              <w:tl2br w:val="nil"/>
              <w:tr2bl w:val="nil"/>
            </w:tcBorders>
            <w:noWrap w:val="0"/>
            <w:vAlign w:val="center"/>
          </w:tcPr>
          <w:p w14:paraId="05B125C5">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颗粒物</w:t>
            </w:r>
          </w:p>
        </w:tc>
        <w:tc>
          <w:tcPr>
            <w:tcW w:w="803" w:type="pct"/>
            <w:tcBorders>
              <w:tl2br w:val="nil"/>
              <w:tr2bl w:val="nil"/>
            </w:tcBorders>
            <w:noWrap w:val="0"/>
            <w:vAlign w:val="center"/>
          </w:tcPr>
          <w:p w14:paraId="507E7AA5">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1.09</w:t>
            </w:r>
          </w:p>
        </w:tc>
        <w:tc>
          <w:tcPr>
            <w:tcW w:w="833" w:type="pct"/>
            <w:tcBorders>
              <w:tl2br w:val="nil"/>
              <w:tr2bl w:val="nil"/>
            </w:tcBorders>
            <w:noWrap w:val="0"/>
            <w:vAlign w:val="center"/>
          </w:tcPr>
          <w:p w14:paraId="23D7B703">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0.002</w:t>
            </w:r>
          </w:p>
        </w:tc>
        <w:tc>
          <w:tcPr>
            <w:tcW w:w="712" w:type="pct"/>
            <w:tcBorders>
              <w:tl2br w:val="nil"/>
              <w:tr2bl w:val="nil"/>
            </w:tcBorders>
            <w:noWrap w:val="0"/>
            <w:vAlign w:val="center"/>
          </w:tcPr>
          <w:p w14:paraId="1AA51F9A">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0.002</w:t>
            </w:r>
          </w:p>
        </w:tc>
      </w:tr>
      <w:tr w14:paraId="280880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7"/>
            <w:tcBorders>
              <w:tl2br w:val="nil"/>
              <w:tr2bl w:val="nil"/>
            </w:tcBorders>
            <w:noWrap w:val="0"/>
            <w:vAlign w:val="center"/>
          </w:tcPr>
          <w:p w14:paraId="1226CA2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有组织排放总计</w:t>
            </w:r>
          </w:p>
        </w:tc>
      </w:tr>
      <w:tr w14:paraId="12548F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67" w:type="pct"/>
            <w:gridSpan w:val="2"/>
            <w:vMerge w:val="restart"/>
            <w:tcBorders>
              <w:tl2br w:val="nil"/>
              <w:tr2bl w:val="nil"/>
            </w:tcBorders>
            <w:noWrap w:val="0"/>
            <w:vAlign w:val="center"/>
          </w:tcPr>
          <w:p w14:paraId="2CD2F70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有组织排放</w:t>
            </w:r>
          </w:p>
          <w:p w14:paraId="1FDDAC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总计</w:t>
            </w:r>
          </w:p>
        </w:tc>
        <w:tc>
          <w:tcPr>
            <w:tcW w:w="3320" w:type="pct"/>
            <w:gridSpan w:val="4"/>
            <w:tcBorders>
              <w:tl2br w:val="nil"/>
              <w:tr2bl w:val="nil"/>
            </w:tcBorders>
            <w:noWrap w:val="0"/>
            <w:vAlign w:val="center"/>
          </w:tcPr>
          <w:p w14:paraId="50EE9ED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颗粒物</w:t>
            </w:r>
          </w:p>
        </w:tc>
        <w:tc>
          <w:tcPr>
            <w:tcW w:w="712" w:type="pct"/>
            <w:tcBorders>
              <w:tl2br w:val="nil"/>
              <w:tr2bl w:val="nil"/>
            </w:tcBorders>
            <w:noWrap w:val="0"/>
            <w:vAlign w:val="center"/>
          </w:tcPr>
          <w:p w14:paraId="20FF8846">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0.66</w:t>
            </w:r>
          </w:p>
        </w:tc>
      </w:tr>
      <w:tr w14:paraId="0B9869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67" w:type="pct"/>
            <w:gridSpan w:val="2"/>
            <w:vMerge w:val="continue"/>
            <w:tcBorders>
              <w:tl2br w:val="nil"/>
              <w:tr2bl w:val="nil"/>
            </w:tcBorders>
            <w:noWrap w:val="0"/>
            <w:vAlign w:val="center"/>
          </w:tcPr>
          <w:p w14:paraId="008E3D1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0"/>
                <w:sz w:val="21"/>
                <w:szCs w:val="21"/>
                <w:highlight w:val="none"/>
                <w:vertAlign w:val="baseline"/>
                <w:lang w:val="en-US" w:eastAsia="zh-CN" w:bidi="ar-SA"/>
              </w:rPr>
            </w:pPr>
          </w:p>
        </w:tc>
        <w:tc>
          <w:tcPr>
            <w:tcW w:w="3320" w:type="pct"/>
            <w:gridSpan w:val="4"/>
            <w:tcBorders>
              <w:tl2br w:val="nil"/>
              <w:tr2bl w:val="nil"/>
            </w:tcBorders>
            <w:noWrap w:val="0"/>
            <w:vAlign w:val="center"/>
          </w:tcPr>
          <w:p w14:paraId="1FFF0665">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SO</w:t>
            </w:r>
            <w:r>
              <w:rPr>
                <w:rFonts w:hint="default" w:ascii="Times New Roman" w:hAnsi="Times New Roman" w:eastAsia="宋体" w:cs="Times New Roman"/>
                <w:bCs/>
                <w:color w:val="auto"/>
                <w:kern w:val="0"/>
                <w:sz w:val="21"/>
                <w:szCs w:val="21"/>
                <w:highlight w:val="none"/>
                <w:vertAlign w:val="subscript"/>
                <w:lang w:val="en-US" w:eastAsia="zh-CN" w:bidi="ar-SA"/>
              </w:rPr>
              <w:t>2</w:t>
            </w:r>
          </w:p>
        </w:tc>
        <w:tc>
          <w:tcPr>
            <w:tcW w:w="712" w:type="pct"/>
            <w:tcBorders>
              <w:tl2br w:val="nil"/>
              <w:tr2bl w:val="nil"/>
            </w:tcBorders>
            <w:noWrap w:val="0"/>
            <w:vAlign w:val="center"/>
          </w:tcPr>
          <w:p w14:paraId="043278E9">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2.67</w:t>
            </w:r>
          </w:p>
        </w:tc>
      </w:tr>
      <w:tr w14:paraId="113D40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67" w:type="pct"/>
            <w:gridSpan w:val="2"/>
            <w:vMerge w:val="continue"/>
            <w:tcBorders>
              <w:tl2br w:val="nil"/>
              <w:tr2bl w:val="nil"/>
            </w:tcBorders>
            <w:noWrap w:val="0"/>
            <w:vAlign w:val="center"/>
          </w:tcPr>
          <w:p w14:paraId="2FF4DF8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0"/>
                <w:sz w:val="21"/>
                <w:szCs w:val="21"/>
                <w:highlight w:val="none"/>
                <w:vertAlign w:val="baseline"/>
                <w:lang w:val="en-US" w:eastAsia="zh-CN" w:bidi="ar-SA"/>
              </w:rPr>
            </w:pPr>
          </w:p>
        </w:tc>
        <w:tc>
          <w:tcPr>
            <w:tcW w:w="3320" w:type="pct"/>
            <w:gridSpan w:val="4"/>
            <w:tcBorders>
              <w:tl2br w:val="nil"/>
              <w:tr2bl w:val="nil"/>
            </w:tcBorders>
            <w:noWrap w:val="0"/>
            <w:vAlign w:val="center"/>
          </w:tcPr>
          <w:p w14:paraId="000AD44E">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NOx</w:t>
            </w:r>
          </w:p>
        </w:tc>
        <w:tc>
          <w:tcPr>
            <w:tcW w:w="712" w:type="pct"/>
            <w:tcBorders>
              <w:tl2br w:val="nil"/>
              <w:tr2bl w:val="nil"/>
            </w:tcBorders>
            <w:noWrap w:val="0"/>
            <w:vAlign w:val="center"/>
          </w:tcPr>
          <w:p w14:paraId="783FFFE8">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4.27</w:t>
            </w:r>
          </w:p>
        </w:tc>
      </w:tr>
      <w:tr w14:paraId="662E27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67" w:type="pct"/>
            <w:gridSpan w:val="2"/>
            <w:vMerge w:val="continue"/>
            <w:tcBorders>
              <w:tl2br w:val="nil"/>
              <w:tr2bl w:val="nil"/>
            </w:tcBorders>
            <w:noWrap w:val="0"/>
            <w:vAlign w:val="center"/>
          </w:tcPr>
          <w:p w14:paraId="6B02D96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0"/>
                <w:sz w:val="21"/>
                <w:szCs w:val="21"/>
                <w:highlight w:val="none"/>
                <w:vertAlign w:val="baseline"/>
                <w:lang w:val="en-US" w:eastAsia="zh-CN" w:bidi="ar-SA"/>
              </w:rPr>
            </w:pPr>
          </w:p>
        </w:tc>
        <w:tc>
          <w:tcPr>
            <w:tcW w:w="3320" w:type="pct"/>
            <w:gridSpan w:val="4"/>
            <w:tcBorders>
              <w:tl2br w:val="nil"/>
              <w:tr2bl w:val="nil"/>
            </w:tcBorders>
            <w:noWrap w:val="0"/>
            <w:vAlign w:val="center"/>
          </w:tcPr>
          <w:p w14:paraId="7A2CC1EA">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汞及其化合物</w:t>
            </w:r>
          </w:p>
        </w:tc>
        <w:tc>
          <w:tcPr>
            <w:tcW w:w="712" w:type="pct"/>
            <w:tcBorders>
              <w:tl2br w:val="nil"/>
              <w:tr2bl w:val="nil"/>
            </w:tcBorders>
            <w:noWrap w:val="0"/>
            <w:vAlign w:val="center"/>
          </w:tcPr>
          <w:p w14:paraId="3DEC231C">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0.0006</w:t>
            </w:r>
          </w:p>
        </w:tc>
      </w:tr>
    </w:tbl>
    <w:p w14:paraId="33B3CA1E">
      <w:pPr>
        <w:widowControl w:val="0"/>
        <w:adjustRightInd w:val="0"/>
        <w:snapToGrid w:val="0"/>
        <w:spacing w:line="520" w:lineRule="exact"/>
        <w:ind w:firstLine="480" w:firstLineChars="200"/>
        <w:jc w:val="center"/>
        <w:textAlignment w:val="center"/>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表6.2-</w:t>
      </w:r>
      <w:r>
        <w:rPr>
          <w:rFonts w:hint="eastAsia" w:ascii="Times New Roman" w:hAnsi="Times New Roman" w:eastAsia="宋体" w:cs="Times New Roman"/>
          <w:color w:val="auto"/>
          <w:kern w:val="0"/>
          <w:sz w:val="24"/>
          <w:szCs w:val="24"/>
          <w:highlight w:val="none"/>
          <w:lang w:val="en-US" w:eastAsia="zh-CN" w:bidi="ar-SA"/>
        </w:rPr>
        <w:t>27</w:t>
      </w:r>
      <w:r>
        <w:rPr>
          <w:rFonts w:hint="default" w:ascii="Times New Roman" w:hAnsi="Times New Roman" w:eastAsia="宋体" w:cs="Times New Roman"/>
          <w:color w:val="auto"/>
          <w:kern w:val="0"/>
          <w:sz w:val="24"/>
          <w:szCs w:val="24"/>
          <w:highlight w:val="none"/>
          <w:lang w:val="en-US" w:eastAsia="zh-CN" w:bidi="ar-SA"/>
        </w:rPr>
        <w:t xml:space="preserve"> 本项目大气污染物无组织排放量核算表</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9"/>
        <w:gridCol w:w="1373"/>
        <w:gridCol w:w="941"/>
        <w:gridCol w:w="1716"/>
        <w:gridCol w:w="1981"/>
        <w:gridCol w:w="1120"/>
        <w:gridCol w:w="1012"/>
      </w:tblGrid>
      <w:tr w14:paraId="2F92C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79" w:type="dxa"/>
            <w:vMerge w:val="restart"/>
            <w:tcBorders>
              <w:top w:val="single" w:color="auto" w:sz="12" w:space="0"/>
              <w:left w:val="nil"/>
            </w:tcBorders>
            <w:noWrap w:val="0"/>
            <w:vAlign w:val="center"/>
          </w:tcPr>
          <w:p w14:paraId="72DE21C0">
            <w:pPr>
              <w:keepNext w:val="0"/>
              <w:keepLines w:val="0"/>
              <w:pageBreakBefore w:val="0"/>
              <w:widowControl w:val="0"/>
              <w:kinsoku/>
              <w:wordWrap/>
              <w:overflowPunct/>
              <w:topLinePunct w:val="0"/>
              <w:autoSpaceDE w:val="0"/>
              <w:autoSpaceDN w:val="0"/>
              <w:bidi w:val="0"/>
              <w:adjustRightInd w:val="0"/>
              <w:spacing w:line="240" w:lineRule="auto"/>
              <w:ind w:firstLine="0" w:firstLineChars="0"/>
              <w:jc w:val="center"/>
              <w:textAlignment w:val="baseline"/>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序号</w:t>
            </w:r>
          </w:p>
        </w:tc>
        <w:tc>
          <w:tcPr>
            <w:tcW w:w="1373" w:type="dxa"/>
            <w:vMerge w:val="restart"/>
            <w:tcBorders>
              <w:top w:val="single" w:color="auto" w:sz="12" w:space="0"/>
            </w:tcBorders>
            <w:noWrap w:val="0"/>
            <w:vAlign w:val="center"/>
          </w:tcPr>
          <w:p w14:paraId="6A830162">
            <w:pPr>
              <w:keepNext w:val="0"/>
              <w:keepLines w:val="0"/>
              <w:pageBreakBefore w:val="0"/>
              <w:widowControl w:val="0"/>
              <w:kinsoku/>
              <w:wordWrap/>
              <w:overflowPunct/>
              <w:topLinePunct w:val="0"/>
              <w:autoSpaceDE w:val="0"/>
              <w:autoSpaceDN w:val="0"/>
              <w:bidi w:val="0"/>
              <w:adjustRightInd w:val="0"/>
              <w:spacing w:line="240" w:lineRule="auto"/>
              <w:ind w:firstLine="0" w:firstLineChars="0"/>
              <w:jc w:val="center"/>
              <w:textAlignment w:val="baseline"/>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产污环节</w:t>
            </w:r>
          </w:p>
        </w:tc>
        <w:tc>
          <w:tcPr>
            <w:tcW w:w="941" w:type="dxa"/>
            <w:vMerge w:val="restart"/>
            <w:tcBorders>
              <w:top w:val="single" w:color="auto" w:sz="12" w:space="0"/>
            </w:tcBorders>
            <w:noWrap w:val="0"/>
            <w:vAlign w:val="center"/>
          </w:tcPr>
          <w:p w14:paraId="79E6A594">
            <w:pPr>
              <w:keepNext w:val="0"/>
              <w:keepLines w:val="0"/>
              <w:pageBreakBefore w:val="0"/>
              <w:widowControl w:val="0"/>
              <w:kinsoku/>
              <w:wordWrap/>
              <w:overflowPunct/>
              <w:topLinePunct w:val="0"/>
              <w:autoSpaceDE w:val="0"/>
              <w:autoSpaceDN w:val="0"/>
              <w:bidi w:val="0"/>
              <w:adjustRightInd w:val="0"/>
              <w:spacing w:line="240" w:lineRule="auto"/>
              <w:ind w:firstLine="0" w:firstLineChars="0"/>
              <w:jc w:val="center"/>
              <w:textAlignment w:val="baseline"/>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污染物</w:t>
            </w:r>
          </w:p>
        </w:tc>
        <w:tc>
          <w:tcPr>
            <w:tcW w:w="1716" w:type="dxa"/>
            <w:vMerge w:val="restart"/>
            <w:tcBorders>
              <w:top w:val="single" w:color="auto" w:sz="12" w:space="0"/>
            </w:tcBorders>
            <w:noWrap w:val="0"/>
            <w:vAlign w:val="center"/>
          </w:tcPr>
          <w:p w14:paraId="55EAB656">
            <w:pPr>
              <w:keepNext w:val="0"/>
              <w:keepLines w:val="0"/>
              <w:pageBreakBefore w:val="0"/>
              <w:widowControl w:val="0"/>
              <w:kinsoku/>
              <w:wordWrap/>
              <w:overflowPunct/>
              <w:topLinePunct w:val="0"/>
              <w:autoSpaceDE w:val="0"/>
              <w:autoSpaceDN w:val="0"/>
              <w:bidi w:val="0"/>
              <w:adjustRightInd w:val="0"/>
              <w:spacing w:line="240" w:lineRule="auto"/>
              <w:ind w:firstLine="0" w:firstLineChars="0"/>
              <w:jc w:val="center"/>
              <w:textAlignment w:val="baseline"/>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主要污染</w:t>
            </w:r>
          </w:p>
          <w:p w14:paraId="4C1D2A73">
            <w:pPr>
              <w:keepNext w:val="0"/>
              <w:keepLines w:val="0"/>
              <w:pageBreakBefore w:val="0"/>
              <w:widowControl w:val="0"/>
              <w:kinsoku/>
              <w:wordWrap/>
              <w:overflowPunct/>
              <w:topLinePunct w:val="0"/>
              <w:autoSpaceDE w:val="0"/>
              <w:autoSpaceDN w:val="0"/>
              <w:bidi w:val="0"/>
              <w:adjustRightInd w:val="0"/>
              <w:spacing w:line="240" w:lineRule="auto"/>
              <w:ind w:firstLine="0" w:firstLineChars="0"/>
              <w:jc w:val="center"/>
              <w:textAlignment w:val="baseline"/>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防治措施</w:t>
            </w:r>
          </w:p>
        </w:tc>
        <w:tc>
          <w:tcPr>
            <w:tcW w:w="3101" w:type="dxa"/>
            <w:gridSpan w:val="2"/>
            <w:tcBorders>
              <w:top w:val="single" w:color="auto" w:sz="12" w:space="0"/>
            </w:tcBorders>
            <w:noWrap w:val="0"/>
            <w:vAlign w:val="center"/>
          </w:tcPr>
          <w:p w14:paraId="48D7E9C5">
            <w:pPr>
              <w:keepNext w:val="0"/>
              <w:keepLines w:val="0"/>
              <w:pageBreakBefore w:val="0"/>
              <w:widowControl w:val="0"/>
              <w:kinsoku/>
              <w:wordWrap/>
              <w:overflowPunct/>
              <w:topLinePunct w:val="0"/>
              <w:autoSpaceDE w:val="0"/>
              <w:autoSpaceDN w:val="0"/>
              <w:bidi w:val="0"/>
              <w:adjustRightInd w:val="0"/>
              <w:spacing w:line="240" w:lineRule="auto"/>
              <w:ind w:firstLine="0" w:firstLineChars="0"/>
              <w:jc w:val="center"/>
              <w:textAlignment w:val="baseline"/>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国家或地方污染物排放标准</w:t>
            </w:r>
          </w:p>
        </w:tc>
        <w:tc>
          <w:tcPr>
            <w:tcW w:w="1012" w:type="dxa"/>
            <w:vMerge w:val="restart"/>
            <w:tcBorders>
              <w:top w:val="single" w:color="auto" w:sz="12" w:space="0"/>
              <w:right w:val="nil"/>
            </w:tcBorders>
            <w:noWrap w:val="0"/>
            <w:vAlign w:val="center"/>
          </w:tcPr>
          <w:p w14:paraId="5CE70200">
            <w:pPr>
              <w:keepNext w:val="0"/>
              <w:keepLines w:val="0"/>
              <w:pageBreakBefore w:val="0"/>
              <w:widowControl w:val="0"/>
              <w:kinsoku/>
              <w:wordWrap/>
              <w:overflowPunct/>
              <w:topLinePunct w:val="0"/>
              <w:autoSpaceDE w:val="0"/>
              <w:autoSpaceDN w:val="0"/>
              <w:bidi w:val="0"/>
              <w:adjustRightInd w:val="0"/>
              <w:spacing w:line="240" w:lineRule="auto"/>
              <w:ind w:firstLine="0" w:firstLineChars="0"/>
              <w:jc w:val="center"/>
              <w:textAlignment w:val="baseline"/>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年排放量（t/a）</w:t>
            </w:r>
          </w:p>
        </w:tc>
      </w:tr>
      <w:tr w14:paraId="7D15B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79" w:type="dxa"/>
            <w:vMerge w:val="continue"/>
            <w:tcBorders>
              <w:left w:val="nil"/>
            </w:tcBorders>
            <w:noWrap w:val="0"/>
            <w:vAlign w:val="center"/>
          </w:tcPr>
          <w:p w14:paraId="315FC4AA">
            <w:pPr>
              <w:keepNext w:val="0"/>
              <w:keepLines w:val="0"/>
              <w:pageBreakBefore w:val="0"/>
              <w:widowControl w:val="0"/>
              <w:kinsoku/>
              <w:wordWrap/>
              <w:overflowPunct/>
              <w:topLinePunct w:val="0"/>
              <w:autoSpaceDE w:val="0"/>
              <w:autoSpaceDN w:val="0"/>
              <w:bidi w:val="0"/>
              <w:adjustRightInd w:val="0"/>
              <w:spacing w:line="240" w:lineRule="auto"/>
              <w:ind w:firstLine="0" w:firstLineChars="0"/>
              <w:jc w:val="center"/>
              <w:textAlignment w:val="baseline"/>
              <w:rPr>
                <w:rFonts w:hint="default" w:ascii="Times New Roman" w:hAnsi="Times New Roman" w:eastAsia="宋体" w:cs="Times New Roman"/>
                <w:color w:val="auto"/>
                <w:kern w:val="2"/>
                <w:sz w:val="21"/>
                <w:szCs w:val="21"/>
                <w:highlight w:val="none"/>
                <w:vertAlign w:val="baseline"/>
                <w:lang w:val="en-US" w:eastAsia="zh-CN" w:bidi="ar-SA"/>
              </w:rPr>
            </w:pPr>
          </w:p>
        </w:tc>
        <w:tc>
          <w:tcPr>
            <w:tcW w:w="1373" w:type="dxa"/>
            <w:vMerge w:val="continue"/>
            <w:noWrap w:val="0"/>
            <w:vAlign w:val="center"/>
          </w:tcPr>
          <w:p w14:paraId="0FA39771">
            <w:pPr>
              <w:keepNext w:val="0"/>
              <w:keepLines w:val="0"/>
              <w:pageBreakBefore w:val="0"/>
              <w:widowControl w:val="0"/>
              <w:kinsoku/>
              <w:wordWrap/>
              <w:overflowPunct/>
              <w:topLinePunct w:val="0"/>
              <w:autoSpaceDE w:val="0"/>
              <w:autoSpaceDN w:val="0"/>
              <w:bidi w:val="0"/>
              <w:adjustRightInd w:val="0"/>
              <w:spacing w:line="240" w:lineRule="auto"/>
              <w:ind w:firstLine="0" w:firstLineChars="0"/>
              <w:jc w:val="center"/>
              <w:textAlignment w:val="baseline"/>
              <w:rPr>
                <w:rFonts w:hint="default" w:ascii="Times New Roman" w:hAnsi="Times New Roman" w:eastAsia="宋体" w:cs="Times New Roman"/>
                <w:color w:val="auto"/>
                <w:kern w:val="2"/>
                <w:sz w:val="21"/>
                <w:szCs w:val="21"/>
                <w:highlight w:val="none"/>
                <w:vertAlign w:val="baseline"/>
                <w:lang w:val="en-US" w:eastAsia="zh-CN" w:bidi="ar-SA"/>
              </w:rPr>
            </w:pPr>
          </w:p>
        </w:tc>
        <w:tc>
          <w:tcPr>
            <w:tcW w:w="941" w:type="dxa"/>
            <w:vMerge w:val="continue"/>
            <w:noWrap w:val="0"/>
            <w:vAlign w:val="center"/>
          </w:tcPr>
          <w:p w14:paraId="0A095D0D">
            <w:pPr>
              <w:keepNext w:val="0"/>
              <w:keepLines w:val="0"/>
              <w:pageBreakBefore w:val="0"/>
              <w:widowControl w:val="0"/>
              <w:kinsoku/>
              <w:wordWrap/>
              <w:overflowPunct/>
              <w:topLinePunct w:val="0"/>
              <w:autoSpaceDE w:val="0"/>
              <w:autoSpaceDN w:val="0"/>
              <w:bidi w:val="0"/>
              <w:adjustRightInd w:val="0"/>
              <w:spacing w:line="240" w:lineRule="auto"/>
              <w:ind w:firstLine="0" w:firstLineChars="0"/>
              <w:jc w:val="center"/>
              <w:textAlignment w:val="baseline"/>
              <w:rPr>
                <w:rFonts w:hint="default" w:ascii="Times New Roman" w:hAnsi="Times New Roman" w:eastAsia="宋体" w:cs="Times New Roman"/>
                <w:color w:val="auto"/>
                <w:kern w:val="2"/>
                <w:sz w:val="21"/>
                <w:szCs w:val="21"/>
                <w:highlight w:val="none"/>
                <w:vertAlign w:val="baseline"/>
                <w:lang w:val="en-US" w:eastAsia="zh-CN" w:bidi="ar-SA"/>
              </w:rPr>
            </w:pPr>
          </w:p>
        </w:tc>
        <w:tc>
          <w:tcPr>
            <w:tcW w:w="1716" w:type="dxa"/>
            <w:vMerge w:val="continue"/>
            <w:noWrap w:val="0"/>
            <w:vAlign w:val="center"/>
          </w:tcPr>
          <w:p w14:paraId="0A4D38EE">
            <w:pPr>
              <w:keepNext w:val="0"/>
              <w:keepLines w:val="0"/>
              <w:pageBreakBefore w:val="0"/>
              <w:widowControl w:val="0"/>
              <w:kinsoku/>
              <w:wordWrap/>
              <w:overflowPunct/>
              <w:topLinePunct w:val="0"/>
              <w:autoSpaceDE w:val="0"/>
              <w:autoSpaceDN w:val="0"/>
              <w:bidi w:val="0"/>
              <w:adjustRightInd w:val="0"/>
              <w:spacing w:line="240" w:lineRule="auto"/>
              <w:ind w:firstLine="0" w:firstLineChars="0"/>
              <w:jc w:val="center"/>
              <w:textAlignment w:val="baseline"/>
              <w:rPr>
                <w:rFonts w:hint="default" w:ascii="Times New Roman" w:hAnsi="Times New Roman" w:eastAsia="宋体" w:cs="Times New Roman"/>
                <w:color w:val="auto"/>
                <w:kern w:val="2"/>
                <w:sz w:val="21"/>
                <w:szCs w:val="21"/>
                <w:highlight w:val="none"/>
                <w:vertAlign w:val="baseline"/>
                <w:lang w:val="en-US" w:eastAsia="zh-CN" w:bidi="ar-SA"/>
              </w:rPr>
            </w:pPr>
          </w:p>
        </w:tc>
        <w:tc>
          <w:tcPr>
            <w:tcW w:w="1981" w:type="dxa"/>
            <w:noWrap w:val="0"/>
            <w:vAlign w:val="center"/>
          </w:tcPr>
          <w:p w14:paraId="2428B674">
            <w:pPr>
              <w:keepNext w:val="0"/>
              <w:keepLines w:val="0"/>
              <w:pageBreakBefore w:val="0"/>
              <w:widowControl w:val="0"/>
              <w:kinsoku/>
              <w:wordWrap/>
              <w:overflowPunct/>
              <w:topLinePunct w:val="0"/>
              <w:autoSpaceDE w:val="0"/>
              <w:autoSpaceDN w:val="0"/>
              <w:bidi w:val="0"/>
              <w:adjustRightInd w:val="0"/>
              <w:spacing w:line="240" w:lineRule="auto"/>
              <w:ind w:firstLine="0" w:firstLineChars="0"/>
              <w:jc w:val="center"/>
              <w:textAlignment w:val="baseline"/>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标准名称</w:t>
            </w:r>
          </w:p>
        </w:tc>
        <w:tc>
          <w:tcPr>
            <w:tcW w:w="1120" w:type="dxa"/>
            <w:noWrap w:val="0"/>
            <w:vAlign w:val="center"/>
          </w:tcPr>
          <w:p w14:paraId="60592E57">
            <w:pPr>
              <w:keepNext w:val="0"/>
              <w:keepLines w:val="0"/>
              <w:pageBreakBefore w:val="0"/>
              <w:widowControl w:val="0"/>
              <w:kinsoku/>
              <w:wordWrap/>
              <w:overflowPunct/>
              <w:topLinePunct w:val="0"/>
              <w:autoSpaceDE w:val="0"/>
              <w:autoSpaceDN w:val="0"/>
              <w:bidi w:val="0"/>
              <w:adjustRightInd w:val="0"/>
              <w:spacing w:line="240" w:lineRule="auto"/>
              <w:ind w:firstLine="0" w:firstLineChars="0"/>
              <w:jc w:val="center"/>
              <w:textAlignment w:val="baseline"/>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浓度限值</w:t>
            </w:r>
          </w:p>
        </w:tc>
        <w:tc>
          <w:tcPr>
            <w:tcW w:w="1012" w:type="dxa"/>
            <w:vMerge w:val="continue"/>
            <w:tcBorders>
              <w:right w:val="nil"/>
            </w:tcBorders>
            <w:noWrap w:val="0"/>
            <w:vAlign w:val="center"/>
          </w:tcPr>
          <w:p w14:paraId="24264D36">
            <w:pPr>
              <w:keepNext w:val="0"/>
              <w:keepLines w:val="0"/>
              <w:pageBreakBefore w:val="0"/>
              <w:widowControl w:val="0"/>
              <w:kinsoku/>
              <w:wordWrap/>
              <w:overflowPunct/>
              <w:topLinePunct w:val="0"/>
              <w:autoSpaceDE w:val="0"/>
              <w:autoSpaceDN w:val="0"/>
              <w:bidi w:val="0"/>
              <w:adjustRightInd w:val="0"/>
              <w:spacing w:line="240" w:lineRule="auto"/>
              <w:ind w:firstLine="0" w:firstLineChars="0"/>
              <w:jc w:val="center"/>
              <w:textAlignment w:val="baseline"/>
              <w:rPr>
                <w:rFonts w:hint="default" w:ascii="Times New Roman" w:hAnsi="Times New Roman" w:eastAsia="宋体" w:cs="Times New Roman"/>
                <w:color w:val="auto"/>
                <w:kern w:val="2"/>
                <w:sz w:val="21"/>
                <w:szCs w:val="21"/>
                <w:highlight w:val="none"/>
                <w:vertAlign w:val="baseline"/>
                <w:lang w:val="en-US" w:eastAsia="zh-CN" w:bidi="ar-SA"/>
              </w:rPr>
            </w:pPr>
          </w:p>
        </w:tc>
      </w:tr>
      <w:tr w14:paraId="70991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79" w:type="dxa"/>
            <w:tcBorders>
              <w:left w:val="nil"/>
            </w:tcBorders>
            <w:noWrap w:val="0"/>
            <w:vAlign w:val="center"/>
          </w:tcPr>
          <w:p w14:paraId="203167EF">
            <w:pPr>
              <w:keepNext w:val="0"/>
              <w:keepLines w:val="0"/>
              <w:pageBreakBefore w:val="0"/>
              <w:widowControl w:val="0"/>
              <w:kinsoku/>
              <w:wordWrap/>
              <w:overflowPunct/>
              <w:topLinePunct w:val="0"/>
              <w:autoSpaceDE w:val="0"/>
              <w:autoSpaceDN w:val="0"/>
              <w:bidi w:val="0"/>
              <w:adjustRightInd w:val="0"/>
              <w:spacing w:line="240" w:lineRule="auto"/>
              <w:ind w:firstLine="0" w:firstLineChars="0"/>
              <w:jc w:val="center"/>
              <w:textAlignment w:val="baseline"/>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1</w:t>
            </w:r>
          </w:p>
        </w:tc>
        <w:tc>
          <w:tcPr>
            <w:tcW w:w="1373" w:type="dxa"/>
            <w:shd w:val="clear" w:color="auto" w:fill="auto"/>
            <w:noWrap w:val="0"/>
            <w:vAlign w:val="center"/>
          </w:tcPr>
          <w:p w14:paraId="156C582A">
            <w:pPr>
              <w:keepNext w:val="0"/>
              <w:keepLines w:val="0"/>
              <w:pageBreakBefore w:val="0"/>
              <w:widowControl w:val="0"/>
              <w:kinsoku/>
              <w:wordWrap/>
              <w:overflowPunct/>
              <w:topLinePunct w:val="0"/>
              <w:autoSpaceDE w:val="0"/>
              <w:autoSpaceDN w:val="0"/>
              <w:bidi w:val="0"/>
              <w:adjustRightInd w:val="0"/>
              <w:spacing w:line="240" w:lineRule="auto"/>
              <w:ind w:firstLine="0" w:firstLineChars="0"/>
              <w:jc w:val="center"/>
              <w:textAlignment w:val="baseline"/>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渣仓</w:t>
            </w:r>
          </w:p>
        </w:tc>
        <w:tc>
          <w:tcPr>
            <w:tcW w:w="941" w:type="dxa"/>
            <w:shd w:val="clear" w:color="auto" w:fill="auto"/>
            <w:noWrap w:val="0"/>
            <w:vAlign w:val="center"/>
          </w:tcPr>
          <w:p w14:paraId="6BA01C16">
            <w:pPr>
              <w:keepNext w:val="0"/>
              <w:keepLines w:val="0"/>
              <w:pageBreakBefore w:val="0"/>
              <w:widowControl w:val="0"/>
              <w:kinsoku/>
              <w:wordWrap/>
              <w:overflowPunct/>
              <w:topLinePunct w:val="0"/>
              <w:autoSpaceDE w:val="0"/>
              <w:autoSpaceDN w:val="0"/>
              <w:bidi w:val="0"/>
              <w:adjustRightInd w:val="0"/>
              <w:spacing w:line="240" w:lineRule="auto"/>
              <w:ind w:firstLine="0" w:firstLineChars="0"/>
              <w:jc w:val="center"/>
              <w:textAlignment w:val="baseline"/>
              <w:rPr>
                <w:rFonts w:hint="default" w:ascii="Times New Roman" w:hAnsi="Times New Roman" w:eastAsia="宋体" w:cs="Times New Roman"/>
                <w:iCs/>
                <w:color w:val="auto"/>
                <w:kern w:val="0"/>
                <w:sz w:val="21"/>
                <w:szCs w:val="21"/>
                <w:highlight w:val="none"/>
                <w:lang w:val="en-US" w:eastAsia="zh-CN" w:bidi="ar-SA"/>
              </w:rPr>
            </w:pPr>
            <w:r>
              <w:rPr>
                <w:rFonts w:hint="eastAsia" w:ascii="Times New Roman" w:hAnsi="Times New Roman" w:eastAsia="宋体" w:cs="Times New Roman"/>
                <w:iCs/>
                <w:color w:val="auto"/>
                <w:kern w:val="0"/>
                <w:sz w:val="21"/>
                <w:szCs w:val="21"/>
                <w:highlight w:val="none"/>
                <w:lang w:val="en-US" w:eastAsia="zh-CN" w:bidi="ar-SA"/>
              </w:rPr>
              <w:t>TSP</w:t>
            </w:r>
          </w:p>
        </w:tc>
        <w:tc>
          <w:tcPr>
            <w:tcW w:w="1716" w:type="dxa"/>
            <w:shd w:val="clear" w:color="auto" w:fill="auto"/>
            <w:noWrap w:val="0"/>
            <w:vAlign w:val="center"/>
          </w:tcPr>
          <w:p w14:paraId="08D7FCFF">
            <w:pPr>
              <w:keepNext w:val="0"/>
              <w:keepLines w:val="0"/>
              <w:pageBreakBefore w:val="0"/>
              <w:widowControl w:val="0"/>
              <w:kinsoku/>
              <w:wordWrap/>
              <w:overflowPunct/>
              <w:topLinePunct w:val="0"/>
              <w:autoSpaceDE w:val="0"/>
              <w:autoSpaceDN w:val="0"/>
              <w:bidi w:val="0"/>
              <w:adjustRightInd w:val="0"/>
              <w:spacing w:line="240" w:lineRule="auto"/>
              <w:ind w:firstLine="0" w:firstLineChars="0"/>
              <w:jc w:val="center"/>
              <w:textAlignment w:val="baseline"/>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封闭形式</w:t>
            </w:r>
            <w:r>
              <w:rPr>
                <w:rFonts w:hint="eastAsia" w:ascii="Times New Roman" w:hAnsi="Times New Roman" w:eastAsia="宋体" w:cs="Times New Roman"/>
                <w:color w:val="auto"/>
                <w:kern w:val="2"/>
                <w:sz w:val="21"/>
                <w:szCs w:val="21"/>
                <w:highlight w:val="none"/>
                <w:vertAlign w:val="baseline"/>
                <w:lang w:val="en-US" w:eastAsia="zh-CN" w:bidi="ar-SA"/>
              </w:rPr>
              <w:t>、洒水降尘</w:t>
            </w:r>
          </w:p>
        </w:tc>
        <w:tc>
          <w:tcPr>
            <w:tcW w:w="1981" w:type="dxa"/>
            <w:vMerge w:val="restart"/>
            <w:noWrap w:val="0"/>
            <w:vAlign w:val="center"/>
          </w:tcPr>
          <w:p w14:paraId="131163FE">
            <w:pPr>
              <w:keepNext w:val="0"/>
              <w:keepLines w:val="0"/>
              <w:pageBreakBefore w:val="0"/>
              <w:widowControl w:val="0"/>
              <w:kinsoku/>
              <w:wordWrap/>
              <w:overflowPunct/>
              <w:topLinePunct w:val="0"/>
              <w:bidi w:val="0"/>
              <w:snapToGrid/>
              <w:spacing w:line="240" w:lineRule="auto"/>
              <w:ind w:firstLine="0" w:firstLineChars="0"/>
              <w:jc w:val="center"/>
              <w:outlineLvl w:val="9"/>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rPr>
              <w:t>《大气污染物综合排放标准》（GB16297-1996）表2无组织排放监控浓度限值</w:t>
            </w:r>
          </w:p>
        </w:tc>
        <w:tc>
          <w:tcPr>
            <w:tcW w:w="1120" w:type="dxa"/>
            <w:vMerge w:val="restart"/>
            <w:noWrap w:val="0"/>
            <w:vAlign w:val="center"/>
          </w:tcPr>
          <w:p w14:paraId="5924FBB2">
            <w:pPr>
              <w:keepNext w:val="0"/>
              <w:keepLines w:val="0"/>
              <w:pageBreakBefore w:val="0"/>
              <w:widowControl w:val="0"/>
              <w:kinsoku/>
              <w:wordWrap/>
              <w:overflowPunct/>
              <w:topLinePunct w:val="0"/>
              <w:autoSpaceDE w:val="0"/>
              <w:autoSpaceDN w:val="0"/>
              <w:bidi w:val="0"/>
              <w:adjustRightInd w:val="0"/>
              <w:spacing w:line="240" w:lineRule="auto"/>
              <w:ind w:firstLine="0" w:firstLineChars="0"/>
              <w:jc w:val="center"/>
              <w:textAlignment w:val="baseline"/>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1.0mg/m</w:t>
            </w:r>
            <w:r>
              <w:rPr>
                <w:rFonts w:hint="default" w:ascii="Times New Roman" w:hAnsi="Times New Roman" w:eastAsia="宋体" w:cs="Times New Roman"/>
                <w:color w:val="auto"/>
                <w:kern w:val="2"/>
                <w:sz w:val="21"/>
                <w:szCs w:val="21"/>
                <w:highlight w:val="none"/>
                <w:vertAlign w:val="superscript"/>
                <w:lang w:val="en-US" w:eastAsia="zh-CN" w:bidi="ar-SA"/>
              </w:rPr>
              <w:t>3</w:t>
            </w:r>
          </w:p>
        </w:tc>
        <w:tc>
          <w:tcPr>
            <w:tcW w:w="1012" w:type="dxa"/>
            <w:tcBorders>
              <w:right w:val="nil"/>
            </w:tcBorders>
            <w:shd w:val="clear" w:color="auto" w:fill="auto"/>
            <w:noWrap w:val="0"/>
            <w:vAlign w:val="center"/>
          </w:tcPr>
          <w:p w14:paraId="3CAAE1D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sz w:val="21"/>
                <w:szCs w:val="21"/>
                <w:highlight w:val="none"/>
                <w:vertAlign w:val="baseline"/>
                <w:lang w:val="en-US" w:eastAsia="zh-CN"/>
              </w:rPr>
              <w:t>0.15</w:t>
            </w:r>
          </w:p>
        </w:tc>
      </w:tr>
      <w:tr w14:paraId="3AC27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79" w:type="dxa"/>
            <w:tcBorders>
              <w:left w:val="nil"/>
            </w:tcBorders>
            <w:noWrap w:val="0"/>
            <w:vAlign w:val="center"/>
          </w:tcPr>
          <w:p w14:paraId="0B1D5079">
            <w:pPr>
              <w:keepNext w:val="0"/>
              <w:keepLines w:val="0"/>
              <w:pageBreakBefore w:val="0"/>
              <w:widowControl w:val="0"/>
              <w:kinsoku/>
              <w:wordWrap/>
              <w:overflowPunct/>
              <w:topLinePunct w:val="0"/>
              <w:autoSpaceDE w:val="0"/>
              <w:autoSpaceDN w:val="0"/>
              <w:bidi w:val="0"/>
              <w:adjustRightInd w:val="0"/>
              <w:spacing w:line="240" w:lineRule="auto"/>
              <w:ind w:firstLine="0" w:firstLineChars="0"/>
              <w:jc w:val="center"/>
              <w:textAlignment w:val="baseline"/>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2</w:t>
            </w:r>
          </w:p>
        </w:tc>
        <w:tc>
          <w:tcPr>
            <w:tcW w:w="1373" w:type="dxa"/>
            <w:shd w:val="clear" w:color="auto" w:fill="auto"/>
            <w:noWrap w:val="0"/>
            <w:vAlign w:val="center"/>
          </w:tcPr>
          <w:p w14:paraId="4BFE1B7F">
            <w:pPr>
              <w:keepNext w:val="0"/>
              <w:keepLines w:val="0"/>
              <w:pageBreakBefore w:val="0"/>
              <w:widowControl w:val="0"/>
              <w:kinsoku/>
              <w:wordWrap/>
              <w:overflowPunct/>
              <w:topLinePunct w:val="0"/>
              <w:autoSpaceDE w:val="0"/>
              <w:autoSpaceDN w:val="0"/>
              <w:bidi w:val="0"/>
              <w:adjustRightInd w:val="0"/>
              <w:spacing w:line="240" w:lineRule="auto"/>
              <w:ind w:firstLine="0" w:firstLineChars="0"/>
              <w:jc w:val="center"/>
              <w:textAlignment w:val="baseline"/>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储煤</w:t>
            </w:r>
            <w:r>
              <w:rPr>
                <w:rFonts w:hint="eastAsia" w:ascii="Times New Roman" w:hAnsi="Times New Roman" w:eastAsia="宋体" w:cs="Times New Roman"/>
                <w:color w:val="auto"/>
                <w:kern w:val="2"/>
                <w:sz w:val="21"/>
                <w:szCs w:val="21"/>
                <w:highlight w:val="none"/>
                <w:vertAlign w:val="baseline"/>
                <w:lang w:val="en-US" w:eastAsia="zh-CN" w:bidi="ar-SA"/>
              </w:rPr>
              <w:t>场</w:t>
            </w:r>
          </w:p>
        </w:tc>
        <w:tc>
          <w:tcPr>
            <w:tcW w:w="941" w:type="dxa"/>
            <w:shd w:val="clear" w:color="auto" w:fill="auto"/>
            <w:noWrap w:val="0"/>
            <w:vAlign w:val="center"/>
          </w:tcPr>
          <w:p w14:paraId="468D1D4E">
            <w:pPr>
              <w:keepNext w:val="0"/>
              <w:keepLines w:val="0"/>
              <w:pageBreakBefore w:val="0"/>
              <w:widowControl w:val="0"/>
              <w:kinsoku/>
              <w:wordWrap/>
              <w:overflowPunct/>
              <w:topLinePunct w:val="0"/>
              <w:autoSpaceDE w:val="0"/>
              <w:autoSpaceDN w:val="0"/>
              <w:bidi w:val="0"/>
              <w:adjustRightInd w:val="0"/>
              <w:spacing w:line="240" w:lineRule="auto"/>
              <w:ind w:firstLine="0" w:firstLineChars="0"/>
              <w:jc w:val="center"/>
              <w:textAlignment w:val="baseline"/>
              <w:rPr>
                <w:rFonts w:hint="default" w:ascii="Times New Roman" w:hAnsi="Times New Roman" w:eastAsia="宋体" w:cs="Times New Roman"/>
                <w:iCs/>
                <w:color w:val="auto"/>
                <w:kern w:val="0"/>
                <w:sz w:val="21"/>
                <w:szCs w:val="21"/>
                <w:highlight w:val="none"/>
                <w:lang w:val="en-US" w:eastAsia="zh-CN" w:bidi="ar-SA"/>
              </w:rPr>
            </w:pPr>
            <w:r>
              <w:rPr>
                <w:rFonts w:hint="default" w:ascii="Times New Roman" w:hAnsi="Times New Roman" w:eastAsia="宋体" w:cs="Times New Roman"/>
                <w:iCs/>
                <w:color w:val="auto"/>
                <w:kern w:val="0"/>
                <w:sz w:val="21"/>
                <w:szCs w:val="21"/>
                <w:highlight w:val="none"/>
                <w:lang w:val="en-US" w:eastAsia="zh-CN" w:bidi="ar-SA"/>
              </w:rPr>
              <w:t>TSP</w:t>
            </w:r>
          </w:p>
        </w:tc>
        <w:tc>
          <w:tcPr>
            <w:tcW w:w="1716" w:type="dxa"/>
            <w:shd w:val="clear" w:color="auto" w:fill="auto"/>
            <w:noWrap w:val="0"/>
            <w:vAlign w:val="center"/>
          </w:tcPr>
          <w:p w14:paraId="1A738CDA">
            <w:pPr>
              <w:keepNext w:val="0"/>
              <w:keepLines w:val="0"/>
              <w:pageBreakBefore w:val="0"/>
              <w:widowControl w:val="0"/>
              <w:kinsoku/>
              <w:wordWrap/>
              <w:overflowPunct/>
              <w:topLinePunct w:val="0"/>
              <w:autoSpaceDE w:val="0"/>
              <w:autoSpaceDN w:val="0"/>
              <w:bidi w:val="0"/>
              <w:adjustRightInd w:val="0"/>
              <w:spacing w:line="240" w:lineRule="auto"/>
              <w:ind w:firstLine="0" w:firstLineChars="0"/>
              <w:jc w:val="center"/>
              <w:textAlignment w:val="baseline"/>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防风抑尘网、洒水降尘</w:t>
            </w:r>
          </w:p>
        </w:tc>
        <w:tc>
          <w:tcPr>
            <w:tcW w:w="1981" w:type="dxa"/>
            <w:vMerge w:val="continue"/>
            <w:noWrap w:val="0"/>
            <w:vAlign w:val="center"/>
          </w:tcPr>
          <w:p w14:paraId="749FE135">
            <w:pPr>
              <w:keepNext w:val="0"/>
              <w:keepLines w:val="0"/>
              <w:pageBreakBefore w:val="0"/>
              <w:widowControl w:val="0"/>
              <w:kinsoku/>
              <w:wordWrap/>
              <w:overflowPunct/>
              <w:topLinePunct w:val="0"/>
              <w:bidi w:val="0"/>
              <w:snapToGrid/>
              <w:spacing w:line="240" w:lineRule="auto"/>
              <w:ind w:firstLine="0" w:firstLineChars="0"/>
              <w:jc w:val="center"/>
              <w:outlineLvl w:val="9"/>
              <w:rPr>
                <w:rFonts w:hint="default" w:ascii="Times New Roman" w:hAnsi="Times New Roman" w:eastAsia="宋体" w:cs="Times New Roman"/>
                <w:color w:val="auto"/>
                <w:sz w:val="21"/>
                <w:szCs w:val="21"/>
                <w:highlight w:val="none"/>
              </w:rPr>
            </w:pPr>
          </w:p>
        </w:tc>
        <w:tc>
          <w:tcPr>
            <w:tcW w:w="1120" w:type="dxa"/>
            <w:vMerge w:val="continue"/>
            <w:noWrap w:val="0"/>
            <w:vAlign w:val="center"/>
          </w:tcPr>
          <w:p w14:paraId="282F5915">
            <w:pPr>
              <w:keepNext w:val="0"/>
              <w:keepLines w:val="0"/>
              <w:pageBreakBefore w:val="0"/>
              <w:widowControl w:val="0"/>
              <w:kinsoku/>
              <w:wordWrap/>
              <w:overflowPunct/>
              <w:topLinePunct w:val="0"/>
              <w:autoSpaceDE w:val="0"/>
              <w:autoSpaceDN w:val="0"/>
              <w:bidi w:val="0"/>
              <w:adjustRightInd w:val="0"/>
              <w:spacing w:line="240" w:lineRule="auto"/>
              <w:ind w:firstLine="0" w:firstLineChars="0"/>
              <w:jc w:val="center"/>
              <w:textAlignment w:val="baseline"/>
              <w:rPr>
                <w:rFonts w:hint="default" w:ascii="Times New Roman" w:hAnsi="Times New Roman" w:eastAsia="宋体" w:cs="Times New Roman"/>
                <w:color w:val="auto"/>
                <w:kern w:val="2"/>
                <w:sz w:val="21"/>
                <w:szCs w:val="21"/>
                <w:highlight w:val="none"/>
                <w:vertAlign w:val="baseline"/>
                <w:lang w:val="en-US" w:eastAsia="zh-CN" w:bidi="ar-SA"/>
              </w:rPr>
            </w:pPr>
          </w:p>
        </w:tc>
        <w:tc>
          <w:tcPr>
            <w:tcW w:w="1012" w:type="dxa"/>
            <w:tcBorders>
              <w:right w:val="nil"/>
            </w:tcBorders>
            <w:shd w:val="clear" w:color="auto" w:fill="auto"/>
            <w:noWrap w:val="0"/>
            <w:vAlign w:val="center"/>
          </w:tcPr>
          <w:p w14:paraId="0B0789B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sz w:val="21"/>
                <w:szCs w:val="21"/>
                <w:highlight w:val="none"/>
                <w:vertAlign w:val="baseline"/>
                <w:lang w:val="en-US" w:eastAsia="zh-CN"/>
              </w:rPr>
              <w:t>0.0014</w:t>
            </w:r>
          </w:p>
        </w:tc>
      </w:tr>
      <w:tr w14:paraId="12B95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79" w:type="dxa"/>
            <w:tcBorders>
              <w:left w:val="nil"/>
            </w:tcBorders>
            <w:noWrap w:val="0"/>
            <w:vAlign w:val="center"/>
          </w:tcPr>
          <w:p w14:paraId="47FA7E72">
            <w:pPr>
              <w:keepNext w:val="0"/>
              <w:keepLines w:val="0"/>
              <w:pageBreakBefore w:val="0"/>
              <w:widowControl w:val="0"/>
              <w:kinsoku/>
              <w:wordWrap/>
              <w:overflowPunct/>
              <w:topLinePunct w:val="0"/>
              <w:autoSpaceDE w:val="0"/>
              <w:autoSpaceDN w:val="0"/>
              <w:bidi w:val="0"/>
              <w:adjustRightInd w:val="0"/>
              <w:spacing w:line="240" w:lineRule="auto"/>
              <w:ind w:firstLine="0" w:firstLineChars="0"/>
              <w:jc w:val="center"/>
              <w:textAlignment w:val="baseline"/>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3</w:t>
            </w:r>
          </w:p>
        </w:tc>
        <w:tc>
          <w:tcPr>
            <w:tcW w:w="1373" w:type="dxa"/>
            <w:shd w:val="clear" w:color="auto" w:fill="auto"/>
            <w:noWrap w:val="0"/>
            <w:vAlign w:val="center"/>
          </w:tcPr>
          <w:p w14:paraId="5083843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碎煤机室</w:t>
            </w:r>
          </w:p>
        </w:tc>
        <w:tc>
          <w:tcPr>
            <w:tcW w:w="941" w:type="dxa"/>
            <w:shd w:val="clear" w:color="auto" w:fill="auto"/>
            <w:noWrap w:val="0"/>
            <w:vAlign w:val="center"/>
          </w:tcPr>
          <w:p w14:paraId="5B6CEB25">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eastAsia="宋体" w:cs="Times New Roman"/>
                <w:iCs/>
                <w:color w:val="auto"/>
                <w:kern w:val="0"/>
                <w:sz w:val="21"/>
                <w:szCs w:val="21"/>
                <w:highlight w:val="none"/>
                <w:lang w:val="en-US" w:eastAsia="zh-CN" w:bidi="ar-SA"/>
              </w:rPr>
            </w:pPr>
            <w:r>
              <w:rPr>
                <w:rFonts w:hint="default" w:ascii="Times New Roman" w:hAnsi="Times New Roman" w:eastAsia="宋体" w:cs="Times New Roman"/>
                <w:iCs/>
                <w:color w:val="auto"/>
                <w:kern w:val="0"/>
                <w:sz w:val="21"/>
                <w:szCs w:val="21"/>
                <w:highlight w:val="none"/>
                <w:lang w:val="en-US" w:eastAsia="zh-CN"/>
              </w:rPr>
              <w:t>TSP</w:t>
            </w:r>
          </w:p>
        </w:tc>
        <w:tc>
          <w:tcPr>
            <w:tcW w:w="1716" w:type="dxa"/>
            <w:shd w:val="clear" w:color="auto" w:fill="auto"/>
            <w:noWrap w:val="0"/>
            <w:vAlign w:val="center"/>
          </w:tcPr>
          <w:p w14:paraId="66C3B40A">
            <w:pPr>
              <w:keepNext w:val="0"/>
              <w:keepLines w:val="0"/>
              <w:pageBreakBefore w:val="0"/>
              <w:widowControl w:val="0"/>
              <w:kinsoku/>
              <w:wordWrap/>
              <w:overflowPunct/>
              <w:topLinePunct w:val="0"/>
              <w:autoSpaceDE w:val="0"/>
              <w:autoSpaceDN w:val="0"/>
              <w:bidi w:val="0"/>
              <w:adjustRightInd w:val="0"/>
              <w:spacing w:line="240" w:lineRule="auto"/>
              <w:ind w:firstLine="0" w:firstLineChars="0"/>
              <w:jc w:val="center"/>
              <w:textAlignment w:val="baseline"/>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采用</w:t>
            </w:r>
            <w:r>
              <w:rPr>
                <w:rFonts w:hint="default" w:ascii="Times New Roman" w:hAnsi="Times New Roman" w:eastAsia="宋体" w:cs="Times New Roman"/>
                <w:color w:val="auto"/>
                <w:kern w:val="2"/>
                <w:sz w:val="21"/>
                <w:szCs w:val="21"/>
                <w:highlight w:val="none"/>
                <w:vertAlign w:val="baseline"/>
                <w:lang w:val="en-US" w:eastAsia="zh-CN" w:bidi="ar-SA"/>
              </w:rPr>
              <w:t>封闭形式</w:t>
            </w:r>
            <w:r>
              <w:rPr>
                <w:rFonts w:hint="eastAsia" w:ascii="Times New Roman" w:hAnsi="Times New Roman" w:eastAsia="宋体" w:cs="Times New Roman"/>
                <w:color w:val="auto"/>
                <w:kern w:val="2"/>
                <w:sz w:val="21"/>
                <w:szCs w:val="21"/>
                <w:highlight w:val="none"/>
                <w:vertAlign w:val="baseline"/>
                <w:lang w:val="en-US" w:eastAsia="zh-CN" w:bidi="ar-SA"/>
              </w:rPr>
              <w:t>、布袋除尘器</w:t>
            </w:r>
          </w:p>
        </w:tc>
        <w:tc>
          <w:tcPr>
            <w:tcW w:w="1981" w:type="dxa"/>
            <w:vMerge w:val="continue"/>
            <w:noWrap w:val="0"/>
            <w:vAlign w:val="center"/>
          </w:tcPr>
          <w:p w14:paraId="551DE1F1">
            <w:pPr>
              <w:keepNext w:val="0"/>
              <w:keepLines w:val="0"/>
              <w:pageBreakBefore w:val="0"/>
              <w:widowControl w:val="0"/>
              <w:kinsoku/>
              <w:wordWrap/>
              <w:overflowPunct/>
              <w:topLinePunct w:val="0"/>
              <w:bidi w:val="0"/>
              <w:snapToGrid/>
              <w:spacing w:line="240" w:lineRule="auto"/>
              <w:ind w:firstLine="0" w:firstLineChars="0"/>
              <w:jc w:val="center"/>
              <w:outlineLvl w:val="9"/>
              <w:rPr>
                <w:rFonts w:hint="default" w:ascii="Times New Roman" w:hAnsi="Times New Roman" w:eastAsia="宋体" w:cs="Times New Roman"/>
                <w:color w:val="auto"/>
                <w:sz w:val="21"/>
                <w:szCs w:val="21"/>
                <w:highlight w:val="none"/>
              </w:rPr>
            </w:pPr>
          </w:p>
        </w:tc>
        <w:tc>
          <w:tcPr>
            <w:tcW w:w="1120" w:type="dxa"/>
            <w:vMerge w:val="continue"/>
            <w:noWrap w:val="0"/>
            <w:vAlign w:val="center"/>
          </w:tcPr>
          <w:p w14:paraId="23D5B2CA">
            <w:pPr>
              <w:keepNext w:val="0"/>
              <w:keepLines w:val="0"/>
              <w:pageBreakBefore w:val="0"/>
              <w:widowControl w:val="0"/>
              <w:kinsoku/>
              <w:wordWrap/>
              <w:overflowPunct/>
              <w:topLinePunct w:val="0"/>
              <w:autoSpaceDE w:val="0"/>
              <w:autoSpaceDN w:val="0"/>
              <w:bidi w:val="0"/>
              <w:adjustRightInd w:val="0"/>
              <w:spacing w:line="240" w:lineRule="auto"/>
              <w:ind w:firstLine="0" w:firstLineChars="0"/>
              <w:jc w:val="center"/>
              <w:textAlignment w:val="baseline"/>
              <w:rPr>
                <w:rFonts w:hint="default" w:ascii="Times New Roman" w:hAnsi="Times New Roman" w:eastAsia="宋体" w:cs="Times New Roman"/>
                <w:color w:val="auto"/>
                <w:kern w:val="2"/>
                <w:sz w:val="21"/>
                <w:szCs w:val="21"/>
                <w:highlight w:val="none"/>
                <w:vertAlign w:val="baseline"/>
                <w:lang w:val="en-US" w:eastAsia="zh-CN" w:bidi="ar-SA"/>
              </w:rPr>
            </w:pPr>
          </w:p>
        </w:tc>
        <w:tc>
          <w:tcPr>
            <w:tcW w:w="1012" w:type="dxa"/>
            <w:tcBorders>
              <w:right w:val="nil"/>
            </w:tcBorders>
            <w:shd w:val="clear" w:color="auto" w:fill="auto"/>
            <w:noWrap w:val="0"/>
            <w:vAlign w:val="center"/>
          </w:tcPr>
          <w:p w14:paraId="21B1D73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0.023</w:t>
            </w:r>
          </w:p>
        </w:tc>
      </w:tr>
      <w:tr w14:paraId="2C2AE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22" w:type="dxa"/>
            <w:gridSpan w:val="7"/>
            <w:tcBorders>
              <w:left w:val="nil"/>
              <w:right w:val="nil"/>
            </w:tcBorders>
            <w:noWrap w:val="0"/>
            <w:vAlign w:val="center"/>
          </w:tcPr>
          <w:p w14:paraId="6A2947A7">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无组织排放总计</w:t>
            </w:r>
          </w:p>
        </w:tc>
      </w:tr>
      <w:tr w14:paraId="3AAEB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93" w:type="dxa"/>
            <w:gridSpan w:val="3"/>
            <w:tcBorders>
              <w:left w:val="nil"/>
              <w:bottom w:val="single" w:color="auto" w:sz="12" w:space="0"/>
            </w:tcBorders>
            <w:noWrap w:val="0"/>
            <w:vAlign w:val="center"/>
          </w:tcPr>
          <w:p w14:paraId="0E908EBE">
            <w:pPr>
              <w:keepNext w:val="0"/>
              <w:keepLines w:val="0"/>
              <w:pageBreakBefore w:val="0"/>
              <w:widowControl w:val="0"/>
              <w:kinsoku/>
              <w:wordWrap/>
              <w:overflowPunct/>
              <w:topLinePunct w:val="0"/>
              <w:autoSpaceDE w:val="0"/>
              <w:autoSpaceDN w:val="0"/>
              <w:bidi w:val="0"/>
              <w:adjustRightInd w:val="0"/>
              <w:spacing w:line="240" w:lineRule="auto"/>
              <w:ind w:firstLine="0" w:firstLineChars="0"/>
              <w:jc w:val="center"/>
              <w:textAlignment w:val="baseline"/>
              <w:rPr>
                <w:rFonts w:hint="default" w:ascii="Times New Roman" w:hAnsi="Times New Roman" w:eastAsia="宋体" w:cs="Times New Roman"/>
                <w:iCs/>
                <w:color w:val="auto"/>
                <w:kern w:val="0"/>
                <w:sz w:val="21"/>
                <w:szCs w:val="21"/>
                <w:highlight w:val="none"/>
                <w:lang w:val="en-US" w:eastAsia="zh-CN" w:bidi="ar-SA"/>
              </w:rPr>
            </w:pPr>
            <w:r>
              <w:rPr>
                <w:rFonts w:hint="default" w:ascii="Times New Roman" w:hAnsi="Times New Roman" w:eastAsia="宋体" w:cs="Times New Roman"/>
                <w:iCs/>
                <w:color w:val="auto"/>
                <w:kern w:val="0"/>
                <w:sz w:val="21"/>
                <w:szCs w:val="21"/>
                <w:highlight w:val="none"/>
                <w:lang w:val="en-US" w:eastAsia="zh-CN" w:bidi="ar-SA"/>
              </w:rPr>
              <w:t>无组织排放总计</w:t>
            </w:r>
          </w:p>
        </w:tc>
        <w:tc>
          <w:tcPr>
            <w:tcW w:w="4817" w:type="dxa"/>
            <w:gridSpan w:val="3"/>
            <w:tcBorders>
              <w:bottom w:val="single" w:color="auto" w:sz="12" w:space="0"/>
            </w:tcBorders>
            <w:noWrap w:val="0"/>
            <w:vAlign w:val="center"/>
          </w:tcPr>
          <w:p w14:paraId="6A812D7C">
            <w:pPr>
              <w:keepNext w:val="0"/>
              <w:keepLines w:val="0"/>
              <w:pageBreakBefore w:val="0"/>
              <w:kinsoku/>
              <w:wordWrap/>
              <w:overflowPunct/>
              <w:topLinePunct w:val="0"/>
              <w:bidi w:val="0"/>
              <w:spacing w:line="240" w:lineRule="auto"/>
              <w:ind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Cs/>
                <w:color w:val="auto"/>
                <w:kern w:val="0"/>
                <w:sz w:val="21"/>
                <w:szCs w:val="21"/>
                <w:highlight w:val="none"/>
                <w:lang w:val="en-US" w:eastAsia="zh-CN"/>
              </w:rPr>
              <w:t>颗粒物</w:t>
            </w:r>
          </w:p>
        </w:tc>
        <w:tc>
          <w:tcPr>
            <w:tcW w:w="1012" w:type="dxa"/>
            <w:tcBorders>
              <w:bottom w:val="single" w:color="auto" w:sz="12" w:space="0"/>
              <w:right w:val="nil"/>
            </w:tcBorders>
            <w:noWrap w:val="0"/>
            <w:vAlign w:val="center"/>
          </w:tcPr>
          <w:p w14:paraId="2DDD3969">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bidi="ar-SA"/>
              </w:rPr>
              <w:t>0.1744</w:t>
            </w:r>
          </w:p>
        </w:tc>
      </w:tr>
    </w:tbl>
    <w:p w14:paraId="12066177">
      <w:pPr>
        <w:widowControl w:val="0"/>
        <w:adjustRightInd w:val="0"/>
        <w:snapToGrid w:val="0"/>
        <w:spacing w:line="520" w:lineRule="exact"/>
        <w:ind w:firstLine="480" w:firstLineChars="200"/>
        <w:jc w:val="center"/>
        <w:textAlignment w:val="center"/>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表6.2-</w:t>
      </w:r>
      <w:r>
        <w:rPr>
          <w:rFonts w:hint="eastAsia" w:ascii="Times New Roman" w:hAnsi="Times New Roman" w:eastAsia="宋体" w:cs="Times New Roman"/>
          <w:color w:val="auto"/>
          <w:kern w:val="0"/>
          <w:sz w:val="24"/>
          <w:szCs w:val="24"/>
          <w:highlight w:val="none"/>
          <w:lang w:val="en-US" w:eastAsia="zh-CN" w:bidi="ar-SA"/>
        </w:rPr>
        <w:t>28</w:t>
      </w:r>
      <w:r>
        <w:rPr>
          <w:rFonts w:hint="default" w:ascii="Times New Roman" w:hAnsi="Times New Roman" w:eastAsia="宋体" w:cs="Times New Roman"/>
          <w:color w:val="auto"/>
          <w:kern w:val="0"/>
          <w:sz w:val="24"/>
          <w:szCs w:val="24"/>
          <w:highlight w:val="none"/>
          <w:lang w:val="en-US" w:eastAsia="zh-CN" w:bidi="ar-SA"/>
        </w:rPr>
        <w:t xml:space="preserve">  本项目大气污染物年排放量核算表</w:t>
      </w:r>
    </w:p>
    <w:tbl>
      <w:tblPr>
        <w:tblStyle w:val="3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1"/>
        <w:gridCol w:w="2841"/>
      </w:tblGrid>
      <w:tr w14:paraId="40158D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40" w:type="dxa"/>
            <w:tcBorders>
              <w:tl2br w:val="nil"/>
              <w:tr2bl w:val="nil"/>
            </w:tcBorders>
            <w:noWrap w:val="0"/>
            <w:vAlign w:val="center"/>
          </w:tcPr>
          <w:p w14:paraId="14528D2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序号</w:t>
            </w:r>
          </w:p>
        </w:tc>
        <w:tc>
          <w:tcPr>
            <w:tcW w:w="2841" w:type="dxa"/>
            <w:tcBorders>
              <w:tl2br w:val="nil"/>
              <w:tr2bl w:val="nil"/>
            </w:tcBorders>
            <w:noWrap w:val="0"/>
            <w:vAlign w:val="center"/>
          </w:tcPr>
          <w:p w14:paraId="52173BD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污染物</w:t>
            </w:r>
          </w:p>
        </w:tc>
        <w:tc>
          <w:tcPr>
            <w:tcW w:w="2841" w:type="dxa"/>
            <w:tcBorders>
              <w:tl2br w:val="nil"/>
              <w:tr2bl w:val="nil"/>
            </w:tcBorders>
            <w:noWrap w:val="0"/>
            <w:vAlign w:val="center"/>
          </w:tcPr>
          <w:p w14:paraId="21B4E9D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年排放量t/a</w:t>
            </w:r>
          </w:p>
        </w:tc>
      </w:tr>
      <w:tr w14:paraId="62ABAB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40" w:type="dxa"/>
            <w:tcBorders>
              <w:tl2br w:val="nil"/>
              <w:tr2bl w:val="nil"/>
            </w:tcBorders>
            <w:noWrap w:val="0"/>
            <w:vAlign w:val="center"/>
          </w:tcPr>
          <w:p w14:paraId="5C0C5C5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1</w:t>
            </w:r>
          </w:p>
        </w:tc>
        <w:tc>
          <w:tcPr>
            <w:tcW w:w="2841" w:type="dxa"/>
            <w:tcBorders>
              <w:tl2br w:val="nil"/>
              <w:tr2bl w:val="nil"/>
            </w:tcBorders>
            <w:noWrap w:val="0"/>
            <w:vAlign w:val="center"/>
          </w:tcPr>
          <w:p w14:paraId="4C68E7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颗粒物</w:t>
            </w:r>
          </w:p>
        </w:tc>
        <w:tc>
          <w:tcPr>
            <w:tcW w:w="2841" w:type="dxa"/>
            <w:tcBorders>
              <w:tl2br w:val="nil"/>
              <w:tr2bl w:val="nil"/>
            </w:tcBorders>
            <w:noWrap w:val="0"/>
            <w:vAlign w:val="center"/>
          </w:tcPr>
          <w:p w14:paraId="2E833849">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0.8444</w:t>
            </w:r>
          </w:p>
        </w:tc>
      </w:tr>
      <w:tr w14:paraId="5E0463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40" w:type="dxa"/>
            <w:tcBorders>
              <w:tl2br w:val="nil"/>
              <w:tr2bl w:val="nil"/>
            </w:tcBorders>
            <w:noWrap w:val="0"/>
            <w:vAlign w:val="center"/>
          </w:tcPr>
          <w:p w14:paraId="6217C746">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3</w:t>
            </w:r>
          </w:p>
        </w:tc>
        <w:tc>
          <w:tcPr>
            <w:tcW w:w="2841" w:type="dxa"/>
            <w:tcBorders>
              <w:tl2br w:val="nil"/>
              <w:tr2bl w:val="nil"/>
            </w:tcBorders>
            <w:noWrap w:val="0"/>
            <w:vAlign w:val="center"/>
          </w:tcPr>
          <w:p w14:paraId="563F50C6">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SO</w:t>
            </w:r>
            <w:r>
              <w:rPr>
                <w:rFonts w:hint="default" w:ascii="Times New Roman" w:hAnsi="Times New Roman" w:eastAsia="宋体" w:cs="Times New Roman"/>
                <w:bCs/>
                <w:color w:val="auto"/>
                <w:kern w:val="0"/>
                <w:sz w:val="21"/>
                <w:szCs w:val="21"/>
                <w:highlight w:val="none"/>
                <w:vertAlign w:val="subscript"/>
                <w:lang w:val="en-US" w:eastAsia="zh-CN" w:bidi="ar-SA"/>
              </w:rPr>
              <w:t>2</w:t>
            </w:r>
          </w:p>
        </w:tc>
        <w:tc>
          <w:tcPr>
            <w:tcW w:w="2841" w:type="dxa"/>
            <w:tcBorders>
              <w:tl2br w:val="nil"/>
              <w:tr2bl w:val="nil"/>
            </w:tcBorders>
            <w:noWrap w:val="0"/>
            <w:vAlign w:val="center"/>
          </w:tcPr>
          <w:p w14:paraId="6967E7C4">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2.67</w:t>
            </w:r>
          </w:p>
        </w:tc>
      </w:tr>
      <w:tr w14:paraId="2EEF49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40" w:type="dxa"/>
            <w:tcBorders>
              <w:tl2br w:val="nil"/>
              <w:tr2bl w:val="nil"/>
            </w:tcBorders>
            <w:noWrap w:val="0"/>
            <w:vAlign w:val="center"/>
          </w:tcPr>
          <w:p w14:paraId="2DF7D674">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4</w:t>
            </w:r>
          </w:p>
        </w:tc>
        <w:tc>
          <w:tcPr>
            <w:tcW w:w="2841" w:type="dxa"/>
            <w:tcBorders>
              <w:tl2br w:val="nil"/>
              <w:tr2bl w:val="nil"/>
            </w:tcBorders>
            <w:noWrap w:val="0"/>
            <w:vAlign w:val="center"/>
          </w:tcPr>
          <w:p w14:paraId="2CFD6450">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NOx</w:t>
            </w:r>
          </w:p>
        </w:tc>
        <w:tc>
          <w:tcPr>
            <w:tcW w:w="2841" w:type="dxa"/>
            <w:tcBorders>
              <w:tl2br w:val="nil"/>
              <w:tr2bl w:val="nil"/>
            </w:tcBorders>
            <w:noWrap w:val="0"/>
            <w:vAlign w:val="center"/>
          </w:tcPr>
          <w:p w14:paraId="1C540215">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4.27</w:t>
            </w:r>
          </w:p>
        </w:tc>
      </w:tr>
      <w:tr w14:paraId="0F85D0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40" w:type="dxa"/>
            <w:tcBorders>
              <w:tl2br w:val="nil"/>
              <w:tr2bl w:val="nil"/>
            </w:tcBorders>
            <w:noWrap w:val="0"/>
            <w:vAlign w:val="center"/>
          </w:tcPr>
          <w:p w14:paraId="2068F438">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5</w:t>
            </w:r>
          </w:p>
        </w:tc>
        <w:tc>
          <w:tcPr>
            <w:tcW w:w="2841" w:type="dxa"/>
            <w:tcBorders>
              <w:tl2br w:val="nil"/>
              <w:tr2bl w:val="nil"/>
            </w:tcBorders>
            <w:noWrap w:val="0"/>
            <w:vAlign w:val="center"/>
          </w:tcPr>
          <w:p w14:paraId="08F5CC33">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汞及其化合物</w:t>
            </w:r>
          </w:p>
        </w:tc>
        <w:tc>
          <w:tcPr>
            <w:tcW w:w="2841" w:type="dxa"/>
            <w:tcBorders>
              <w:tl2br w:val="nil"/>
              <w:tr2bl w:val="nil"/>
            </w:tcBorders>
            <w:noWrap w:val="0"/>
            <w:vAlign w:val="center"/>
          </w:tcPr>
          <w:p w14:paraId="2A4A4E3B">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0.0006</w:t>
            </w:r>
          </w:p>
        </w:tc>
      </w:tr>
    </w:tbl>
    <w:p w14:paraId="7DABE9C6">
      <w:pPr>
        <w:widowControl w:val="0"/>
        <w:adjustRightInd w:val="0"/>
        <w:snapToGrid w:val="0"/>
        <w:spacing w:line="520" w:lineRule="exact"/>
        <w:ind w:firstLine="480" w:firstLineChars="200"/>
        <w:jc w:val="center"/>
        <w:textAlignment w:val="center"/>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表6.2-</w:t>
      </w:r>
      <w:r>
        <w:rPr>
          <w:rFonts w:hint="eastAsia" w:ascii="Times New Roman" w:hAnsi="Times New Roman" w:eastAsia="宋体" w:cs="Times New Roman"/>
          <w:color w:val="auto"/>
          <w:kern w:val="0"/>
          <w:sz w:val="24"/>
          <w:szCs w:val="24"/>
          <w:highlight w:val="none"/>
          <w:lang w:val="en-US" w:eastAsia="zh-CN" w:bidi="ar-SA"/>
        </w:rPr>
        <w:t>29</w:t>
      </w:r>
      <w:r>
        <w:rPr>
          <w:rFonts w:hint="default" w:ascii="Times New Roman" w:hAnsi="Times New Roman" w:eastAsia="宋体" w:cs="Times New Roman"/>
          <w:color w:val="auto"/>
          <w:kern w:val="0"/>
          <w:sz w:val="24"/>
          <w:szCs w:val="24"/>
          <w:highlight w:val="none"/>
          <w:lang w:val="en-US" w:eastAsia="zh-CN" w:bidi="ar-SA"/>
        </w:rPr>
        <w:t xml:space="preserve"> 本项目污染源非正常排放量核算表</w:t>
      </w:r>
    </w:p>
    <w:tbl>
      <w:tblPr>
        <w:tblStyle w:val="3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48"/>
        <w:gridCol w:w="934"/>
        <w:gridCol w:w="1091"/>
        <w:gridCol w:w="687"/>
        <w:gridCol w:w="1127"/>
        <w:gridCol w:w="1065"/>
        <w:gridCol w:w="894"/>
        <w:gridCol w:w="817"/>
        <w:gridCol w:w="1059"/>
      </w:tblGrid>
      <w:tr w14:paraId="41DE4A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48" w:type="dxa"/>
            <w:tcBorders>
              <w:tl2br w:val="nil"/>
              <w:tr2bl w:val="nil"/>
            </w:tcBorders>
            <w:noWrap w:val="0"/>
            <w:vAlign w:val="center"/>
          </w:tcPr>
          <w:p w14:paraId="004126F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装置</w:t>
            </w:r>
          </w:p>
        </w:tc>
        <w:tc>
          <w:tcPr>
            <w:tcW w:w="934" w:type="dxa"/>
            <w:tcBorders>
              <w:tl2br w:val="nil"/>
              <w:tr2bl w:val="nil"/>
            </w:tcBorders>
            <w:noWrap w:val="0"/>
            <w:vAlign w:val="center"/>
          </w:tcPr>
          <w:p w14:paraId="551EE38D">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污染源</w:t>
            </w:r>
          </w:p>
        </w:tc>
        <w:tc>
          <w:tcPr>
            <w:tcW w:w="1091" w:type="dxa"/>
            <w:tcBorders>
              <w:tl2br w:val="nil"/>
              <w:tr2bl w:val="nil"/>
            </w:tcBorders>
            <w:noWrap w:val="0"/>
            <w:vAlign w:val="center"/>
          </w:tcPr>
          <w:p w14:paraId="34F2221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非正常</w:t>
            </w:r>
          </w:p>
          <w:p w14:paraId="00C2F149">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排放原因</w:t>
            </w:r>
          </w:p>
        </w:tc>
        <w:tc>
          <w:tcPr>
            <w:tcW w:w="687" w:type="dxa"/>
            <w:tcBorders>
              <w:tl2br w:val="nil"/>
              <w:tr2bl w:val="nil"/>
            </w:tcBorders>
            <w:noWrap w:val="0"/>
            <w:vAlign w:val="center"/>
          </w:tcPr>
          <w:p w14:paraId="6CFC0BA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污染物</w:t>
            </w:r>
          </w:p>
        </w:tc>
        <w:tc>
          <w:tcPr>
            <w:tcW w:w="1127" w:type="dxa"/>
            <w:tcBorders>
              <w:tl2br w:val="nil"/>
              <w:tr2bl w:val="nil"/>
            </w:tcBorders>
            <w:noWrap w:val="0"/>
            <w:vAlign w:val="center"/>
          </w:tcPr>
          <w:p w14:paraId="5DB13303">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非正常</w:t>
            </w:r>
          </w:p>
          <w:p w14:paraId="57F166E3">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排放浓度（mg/m</w:t>
            </w:r>
            <w:r>
              <w:rPr>
                <w:rFonts w:hint="default" w:ascii="Times New Roman" w:hAnsi="Times New Roman" w:eastAsia="宋体" w:cs="Times New Roman"/>
                <w:color w:val="auto"/>
                <w:kern w:val="0"/>
                <w:sz w:val="21"/>
                <w:szCs w:val="21"/>
                <w:highlight w:val="none"/>
                <w:vertAlign w:val="superscript"/>
                <w:lang w:val="en-US" w:eastAsia="zh-CN" w:bidi="ar-SA"/>
              </w:rPr>
              <w:t>3</w:t>
            </w:r>
            <w:r>
              <w:rPr>
                <w:rFonts w:hint="default" w:ascii="Times New Roman" w:hAnsi="Times New Roman" w:eastAsia="宋体" w:cs="Times New Roman"/>
                <w:color w:val="auto"/>
                <w:kern w:val="0"/>
                <w:sz w:val="21"/>
                <w:szCs w:val="21"/>
                <w:highlight w:val="none"/>
                <w:vertAlign w:val="baseline"/>
                <w:lang w:val="en-US" w:eastAsia="zh-CN" w:bidi="ar-SA"/>
              </w:rPr>
              <w:t>）</w:t>
            </w:r>
          </w:p>
        </w:tc>
        <w:tc>
          <w:tcPr>
            <w:tcW w:w="1065" w:type="dxa"/>
            <w:tcBorders>
              <w:tl2br w:val="nil"/>
              <w:tr2bl w:val="nil"/>
            </w:tcBorders>
            <w:noWrap w:val="0"/>
            <w:vAlign w:val="center"/>
          </w:tcPr>
          <w:p w14:paraId="5A261B1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非正常</w:t>
            </w:r>
          </w:p>
          <w:p w14:paraId="5A11E35C">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排放速率（kg/h）</w:t>
            </w:r>
          </w:p>
        </w:tc>
        <w:tc>
          <w:tcPr>
            <w:tcW w:w="894" w:type="dxa"/>
            <w:tcBorders>
              <w:tl2br w:val="nil"/>
              <w:tr2bl w:val="nil"/>
            </w:tcBorders>
            <w:noWrap w:val="0"/>
            <w:vAlign w:val="center"/>
          </w:tcPr>
          <w:p w14:paraId="429C8C0C">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单次持续时间</w:t>
            </w:r>
          </w:p>
          <w:p w14:paraId="2808A854">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/h</w:t>
            </w:r>
          </w:p>
        </w:tc>
        <w:tc>
          <w:tcPr>
            <w:tcW w:w="817" w:type="dxa"/>
            <w:tcBorders>
              <w:tl2br w:val="nil"/>
              <w:tr2bl w:val="nil"/>
            </w:tcBorders>
            <w:noWrap w:val="0"/>
            <w:vAlign w:val="center"/>
          </w:tcPr>
          <w:p w14:paraId="2E689E14">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年发生频次/次</w:t>
            </w:r>
          </w:p>
        </w:tc>
        <w:tc>
          <w:tcPr>
            <w:tcW w:w="1059" w:type="dxa"/>
            <w:tcBorders>
              <w:tl2br w:val="nil"/>
              <w:tr2bl w:val="nil"/>
            </w:tcBorders>
            <w:noWrap w:val="0"/>
            <w:vAlign w:val="center"/>
          </w:tcPr>
          <w:p w14:paraId="56FA684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应对措施</w:t>
            </w:r>
          </w:p>
        </w:tc>
      </w:tr>
      <w:tr w14:paraId="23A7E3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8" w:type="dxa"/>
            <w:vMerge w:val="restart"/>
            <w:tcBorders>
              <w:tl2br w:val="nil"/>
              <w:tr2bl w:val="nil"/>
            </w:tcBorders>
            <w:noWrap w:val="0"/>
            <w:vAlign w:val="center"/>
          </w:tcPr>
          <w:p w14:paraId="1F216DF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5#锅炉</w:t>
            </w:r>
          </w:p>
        </w:tc>
        <w:tc>
          <w:tcPr>
            <w:tcW w:w="934" w:type="dxa"/>
            <w:tcBorders>
              <w:tl2br w:val="nil"/>
              <w:tr2bl w:val="nil"/>
            </w:tcBorders>
            <w:noWrap w:val="0"/>
            <w:vAlign w:val="center"/>
          </w:tcPr>
          <w:p w14:paraId="20DC393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锅炉除尘设施</w:t>
            </w:r>
          </w:p>
        </w:tc>
        <w:tc>
          <w:tcPr>
            <w:tcW w:w="1091" w:type="dxa"/>
            <w:tcBorders>
              <w:tl2br w:val="nil"/>
              <w:tr2bl w:val="nil"/>
            </w:tcBorders>
            <w:noWrap w:val="0"/>
            <w:vAlign w:val="center"/>
          </w:tcPr>
          <w:p w14:paraId="1A5CF7F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除尘器</w:t>
            </w:r>
          </w:p>
          <w:p w14:paraId="2FF1C9F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设备故障</w:t>
            </w:r>
          </w:p>
        </w:tc>
        <w:tc>
          <w:tcPr>
            <w:tcW w:w="687" w:type="dxa"/>
            <w:tcBorders>
              <w:tl2br w:val="nil"/>
              <w:tr2bl w:val="nil"/>
            </w:tcBorders>
            <w:noWrap w:val="0"/>
            <w:vAlign w:val="center"/>
          </w:tcPr>
          <w:p w14:paraId="35D6DA6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PM</w:t>
            </w:r>
            <w:r>
              <w:rPr>
                <w:rFonts w:hint="default" w:ascii="Times New Roman" w:hAnsi="Times New Roman" w:eastAsia="宋体" w:cs="Times New Roman"/>
                <w:color w:val="auto"/>
                <w:kern w:val="2"/>
                <w:sz w:val="21"/>
                <w:szCs w:val="21"/>
                <w:highlight w:val="none"/>
                <w:vertAlign w:val="subscript"/>
                <w:lang w:val="en-US" w:eastAsia="zh-CN" w:bidi="ar-SA"/>
              </w:rPr>
              <w:t>10</w:t>
            </w:r>
          </w:p>
        </w:tc>
        <w:tc>
          <w:tcPr>
            <w:tcW w:w="1127" w:type="dxa"/>
            <w:tcBorders>
              <w:tl2br w:val="nil"/>
              <w:tr2bl w:val="nil"/>
            </w:tcBorders>
            <w:noWrap w:val="0"/>
            <w:vAlign w:val="center"/>
          </w:tcPr>
          <w:p w14:paraId="30E6B9BC">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bidi="ar-SA"/>
              </w:rPr>
              <w:t>232.73</w:t>
            </w:r>
          </w:p>
        </w:tc>
        <w:tc>
          <w:tcPr>
            <w:tcW w:w="1065" w:type="dxa"/>
            <w:tcBorders>
              <w:tl2br w:val="nil"/>
              <w:tr2bl w:val="nil"/>
            </w:tcBorders>
            <w:noWrap w:val="0"/>
            <w:vAlign w:val="center"/>
          </w:tcPr>
          <w:p w14:paraId="0A66B18A">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bidi="ar-SA"/>
              </w:rPr>
              <w:t>29.19</w:t>
            </w:r>
          </w:p>
        </w:tc>
        <w:tc>
          <w:tcPr>
            <w:tcW w:w="894" w:type="dxa"/>
            <w:tcBorders>
              <w:tl2br w:val="nil"/>
              <w:tr2bl w:val="nil"/>
            </w:tcBorders>
            <w:noWrap w:val="0"/>
            <w:vAlign w:val="center"/>
          </w:tcPr>
          <w:p w14:paraId="75B50C2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1</w:t>
            </w:r>
          </w:p>
        </w:tc>
        <w:tc>
          <w:tcPr>
            <w:tcW w:w="817" w:type="dxa"/>
            <w:tcBorders>
              <w:tl2br w:val="nil"/>
              <w:tr2bl w:val="nil"/>
            </w:tcBorders>
            <w:noWrap w:val="0"/>
            <w:vAlign w:val="center"/>
          </w:tcPr>
          <w:p w14:paraId="7EFBA9B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1</w:t>
            </w:r>
          </w:p>
        </w:tc>
        <w:tc>
          <w:tcPr>
            <w:tcW w:w="1059" w:type="dxa"/>
            <w:vMerge w:val="restart"/>
            <w:tcBorders>
              <w:tl2br w:val="nil"/>
              <w:tr2bl w:val="nil"/>
            </w:tcBorders>
            <w:noWrap w:val="0"/>
            <w:vAlign w:val="center"/>
          </w:tcPr>
          <w:p w14:paraId="13FB381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加强环保设施的检查和维护</w:t>
            </w:r>
          </w:p>
        </w:tc>
      </w:tr>
      <w:tr w14:paraId="1CCDBE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8" w:type="dxa"/>
            <w:vMerge w:val="continue"/>
            <w:tcBorders>
              <w:tl2br w:val="nil"/>
              <w:tr2bl w:val="nil"/>
            </w:tcBorders>
            <w:noWrap w:val="0"/>
            <w:vAlign w:val="center"/>
          </w:tcPr>
          <w:p w14:paraId="5776953E">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934" w:type="dxa"/>
            <w:tcBorders>
              <w:tl2br w:val="nil"/>
              <w:tr2bl w:val="nil"/>
            </w:tcBorders>
            <w:noWrap w:val="0"/>
            <w:vAlign w:val="center"/>
          </w:tcPr>
          <w:p w14:paraId="722293E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锅炉脱硫设施</w:t>
            </w:r>
          </w:p>
        </w:tc>
        <w:tc>
          <w:tcPr>
            <w:tcW w:w="1091" w:type="dxa"/>
            <w:tcBorders>
              <w:tl2br w:val="nil"/>
              <w:tr2bl w:val="nil"/>
            </w:tcBorders>
            <w:noWrap w:val="0"/>
            <w:vAlign w:val="center"/>
          </w:tcPr>
          <w:p w14:paraId="4EF1E66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脱硫装置故障</w:t>
            </w:r>
          </w:p>
        </w:tc>
        <w:tc>
          <w:tcPr>
            <w:tcW w:w="687" w:type="dxa"/>
            <w:tcBorders>
              <w:tl2br w:val="nil"/>
              <w:tr2bl w:val="nil"/>
            </w:tcBorders>
            <w:noWrap w:val="0"/>
            <w:vAlign w:val="center"/>
          </w:tcPr>
          <w:p w14:paraId="5914CC9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SO</w:t>
            </w:r>
            <w:r>
              <w:rPr>
                <w:rFonts w:hint="default" w:ascii="Times New Roman" w:hAnsi="Times New Roman" w:eastAsia="宋体" w:cs="Times New Roman"/>
                <w:color w:val="auto"/>
                <w:kern w:val="2"/>
                <w:sz w:val="21"/>
                <w:szCs w:val="21"/>
                <w:highlight w:val="none"/>
                <w:vertAlign w:val="subscript"/>
                <w:lang w:val="en-US" w:eastAsia="zh-CN" w:bidi="ar-SA"/>
              </w:rPr>
              <w:t>2</w:t>
            </w:r>
          </w:p>
        </w:tc>
        <w:tc>
          <w:tcPr>
            <w:tcW w:w="1127" w:type="dxa"/>
            <w:tcBorders>
              <w:tl2br w:val="nil"/>
              <w:tr2bl w:val="nil"/>
            </w:tcBorders>
            <w:noWrap w:val="0"/>
            <w:vAlign w:val="center"/>
          </w:tcPr>
          <w:p w14:paraId="03BD1912">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bidi="ar-SA"/>
              </w:rPr>
              <w:t>279.45</w:t>
            </w:r>
          </w:p>
        </w:tc>
        <w:tc>
          <w:tcPr>
            <w:tcW w:w="1065" w:type="dxa"/>
            <w:tcBorders>
              <w:tl2br w:val="nil"/>
              <w:tr2bl w:val="nil"/>
            </w:tcBorders>
            <w:noWrap w:val="0"/>
            <w:vAlign w:val="center"/>
          </w:tcPr>
          <w:p w14:paraId="37748CB2">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bidi="ar-SA"/>
              </w:rPr>
              <w:t>35.05</w:t>
            </w:r>
          </w:p>
        </w:tc>
        <w:tc>
          <w:tcPr>
            <w:tcW w:w="894" w:type="dxa"/>
            <w:tcBorders>
              <w:tl2br w:val="nil"/>
              <w:tr2bl w:val="nil"/>
            </w:tcBorders>
            <w:noWrap w:val="0"/>
            <w:vAlign w:val="center"/>
          </w:tcPr>
          <w:p w14:paraId="73AD861C">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1</w:t>
            </w:r>
          </w:p>
        </w:tc>
        <w:tc>
          <w:tcPr>
            <w:tcW w:w="817" w:type="dxa"/>
            <w:tcBorders>
              <w:tl2br w:val="nil"/>
              <w:tr2bl w:val="nil"/>
            </w:tcBorders>
            <w:noWrap w:val="0"/>
            <w:vAlign w:val="center"/>
          </w:tcPr>
          <w:p w14:paraId="78068C3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1</w:t>
            </w:r>
          </w:p>
        </w:tc>
        <w:tc>
          <w:tcPr>
            <w:tcW w:w="1059" w:type="dxa"/>
            <w:vMerge w:val="continue"/>
            <w:tcBorders>
              <w:tl2br w:val="nil"/>
              <w:tr2bl w:val="nil"/>
            </w:tcBorders>
            <w:noWrap w:val="0"/>
            <w:vAlign w:val="center"/>
          </w:tcPr>
          <w:p w14:paraId="261E3211">
            <w:pPr>
              <w:keepNext w:val="0"/>
              <w:keepLines w:val="0"/>
              <w:pageBreakBefore w:val="0"/>
              <w:widowControl w:val="0"/>
              <w:kinsoku/>
              <w:wordWrap/>
              <w:overflowPunct/>
              <w:topLinePunct w:val="0"/>
              <w:bidi w:val="0"/>
              <w:adjustRightInd w:val="0"/>
              <w:snapToGrid w:val="0"/>
              <w:spacing w:line="240" w:lineRule="auto"/>
              <w:ind w:firstLine="0" w:firstLineChars="0"/>
              <w:jc w:val="left"/>
              <w:textAlignment w:val="center"/>
              <w:rPr>
                <w:rFonts w:hint="default" w:ascii="Times New Roman" w:hAnsi="Times New Roman" w:eastAsia="宋体" w:cs="Times New Roman"/>
                <w:color w:val="auto"/>
                <w:sz w:val="21"/>
                <w:szCs w:val="21"/>
                <w:highlight w:val="none"/>
                <w:vertAlign w:val="baseline"/>
                <w:lang w:eastAsia="zh-CN"/>
              </w:rPr>
            </w:pPr>
          </w:p>
        </w:tc>
      </w:tr>
      <w:tr w14:paraId="2DCCB4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8" w:type="dxa"/>
            <w:vMerge w:val="continue"/>
            <w:tcBorders>
              <w:tl2br w:val="nil"/>
              <w:tr2bl w:val="nil"/>
            </w:tcBorders>
            <w:noWrap w:val="0"/>
            <w:vAlign w:val="center"/>
          </w:tcPr>
          <w:p w14:paraId="11F97B4D">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934" w:type="dxa"/>
            <w:tcBorders>
              <w:tl2br w:val="nil"/>
              <w:tr2bl w:val="nil"/>
            </w:tcBorders>
            <w:noWrap w:val="0"/>
            <w:vAlign w:val="center"/>
          </w:tcPr>
          <w:p w14:paraId="085AFBB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锅炉脱硝设施</w:t>
            </w:r>
          </w:p>
        </w:tc>
        <w:tc>
          <w:tcPr>
            <w:tcW w:w="1091" w:type="dxa"/>
            <w:tcBorders>
              <w:tl2br w:val="nil"/>
              <w:tr2bl w:val="nil"/>
            </w:tcBorders>
            <w:noWrap w:val="0"/>
            <w:vAlign w:val="center"/>
          </w:tcPr>
          <w:p w14:paraId="4CC78CE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脱硝装置故障</w:t>
            </w:r>
          </w:p>
        </w:tc>
        <w:tc>
          <w:tcPr>
            <w:tcW w:w="687" w:type="dxa"/>
            <w:tcBorders>
              <w:tl2br w:val="nil"/>
              <w:tr2bl w:val="nil"/>
            </w:tcBorders>
            <w:noWrap w:val="0"/>
            <w:vAlign w:val="center"/>
          </w:tcPr>
          <w:p w14:paraId="59D5C4C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NO</w:t>
            </w:r>
            <w:r>
              <w:rPr>
                <w:rFonts w:hint="default" w:ascii="Times New Roman" w:hAnsi="Times New Roman" w:eastAsia="宋体" w:cs="Times New Roman"/>
                <w:color w:val="auto"/>
                <w:kern w:val="2"/>
                <w:sz w:val="21"/>
                <w:szCs w:val="21"/>
                <w:highlight w:val="none"/>
                <w:vertAlign w:val="subscript"/>
                <w:lang w:val="en-US" w:eastAsia="zh-CN" w:bidi="ar-SA"/>
              </w:rPr>
              <w:t>x</w:t>
            </w:r>
          </w:p>
        </w:tc>
        <w:tc>
          <w:tcPr>
            <w:tcW w:w="1127" w:type="dxa"/>
            <w:tcBorders>
              <w:tl2br w:val="nil"/>
              <w:tr2bl w:val="nil"/>
            </w:tcBorders>
            <w:noWrap w:val="0"/>
            <w:vAlign w:val="center"/>
          </w:tcPr>
          <w:p w14:paraId="0413A4B0">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bidi="ar-SA"/>
              </w:rPr>
              <w:t>350</w:t>
            </w:r>
          </w:p>
        </w:tc>
        <w:tc>
          <w:tcPr>
            <w:tcW w:w="1065" w:type="dxa"/>
            <w:tcBorders>
              <w:tl2br w:val="nil"/>
              <w:tr2bl w:val="nil"/>
            </w:tcBorders>
            <w:noWrap w:val="0"/>
            <w:vAlign w:val="center"/>
          </w:tcPr>
          <w:p w14:paraId="62FAD1D7">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bidi="ar-SA"/>
              </w:rPr>
              <w:t>32.84</w:t>
            </w:r>
          </w:p>
        </w:tc>
        <w:tc>
          <w:tcPr>
            <w:tcW w:w="894" w:type="dxa"/>
            <w:tcBorders>
              <w:tl2br w:val="nil"/>
              <w:tr2bl w:val="nil"/>
            </w:tcBorders>
            <w:noWrap w:val="0"/>
            <w:vAlign w:val="center"/>
          </w:tcPr>
          <w:p w14:paraId="48EDB4D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1</w:t>
            </w:r>
          </w:p>
        </w:tc>
        <w:tc>
          <w:tcPr>
            <w:tcW w:w="817" w:type="dxa"/>
            <w:tcBorders>
              <w:tl2br w:val="nil"/>
              <w:tr2bl w:val="nil"/>
            </w:tcBorders>
            <w:noWrap w:val="0"/>
            <w:vAlign w:val="center"/>
          </w:tcPr>
          <w:p w14:paraId="32A43DBC">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1</w:t>
            </w:r>
          </w:p>
        </w:tc>
        <w:tc>
          <w:tcPr>
            <w:tcW w:w="1059" w:type="dxa"/>
            <w:vMerge w:val="continue"/>
            <w:tcBorders>
              <w:tl2br w:val="nil"/>
              <w:tr2bl w:val="nil"/>
            </w:tcBorders>
            <w:noWrap w:val="0"/>
            <w:vAlign w:val="center"/>
          </w:tcPr>
          <w:p w14:paraId="1A9EDE72">
            <w:pPr>
              <w:keepNext w:val="0"/>
              <w:keepLines w:val="0"/>
              <w:pageBreakBefore w:val="0"/>
              <w:widowControl w:val="0"/>
              <w:kinsoku/>
              <w:wordWrap/>
              <w:overflowPunct/>
              <w:topLinePunct w:val="0"/>
              <w:bidi w:val="0"/>
              <w:adjustRightInd w:val="0"/>
              <w:snapToGrid w:val="0"/>
              <w:spacing w:line="240" w:lineRule="auto"/>
              <w:ind w:firstLine="0" w:firstLineChars="0"/>
              <w:jc w:val="left"/>
              <w:textAlignment w:val="center"/>
              <w:rPr>
                <w:rFonts w:hint="default" w:ascii="Times New Roman" w:hAnsi="Times New Roman" w:eastAsia="宋体" w:cs="Times New Roman"/>
                <w:color w:val="auto"/>
                <w:sz w:val="21"/>
                <w:szCs w:val="21"/>
                <w:highlight w:val="none"/>
                <w:vertAlign w:val="baseline"/>
                <w:lang w:eastAsia="zh-CN"/>
              </w:rPr>
            </w:pPr>
          </w:p>
        </w:tc>
      </w:tr>
    </w:tbl>
    <w:p w14:paraId="7BDC7F2C">
      <w:pPr>
        <w:keepNext/>
        <w:keepLines/>
        <w:widowControl w:val="0"/>
        <w:numPr>
          <w:ilvl w:val="0"/>
          <w:numId w:val="0"/>
        </w:numPr>
        <w:bidi w:val="0"/>
        <w:spacing w:line="360" w:lineRule="auto"/>
        <w:ind w:leftChars="0" w:firstLine="0" w:firstLineChars="0"/>
        <w:jc w:val="both"/>
        <w:outlineLvl w:val="3"/>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6.2.1.</w:t>
      </w:r>
      <w:r>
        <w:rPr>
          <w:rFonts w:hint="eastAsia" w:ascii="Times New Roman" w:hAnsi="Times New Roman" w:eastAsia="宋体" w:cs="Times New Roman"/>
          <w:b/>
          <w:bCs/>
          <w:color w:val="auto"/>
          <w:kern w:val="2"/>
          <w:sz w:val="24"/>
          <w:szCs w:val="24"/>
          <w:highlight w:val="none"/>
          <w:lang w:val="en-US" w:eastAsia="zh-CN" w:bidi="ar-SA"/>
        </w:rPr>
        <w:t>5</w:t>
      </w:r>
      <w:r>
        <w:rPr>
          <w:rFonts w:hint="default" w:ascii="Times New Roman" w:hAnsi="Times New Roman" w:eastAsia="宋体" w:cs="Times New Roman"/>
          <w:b/>
          <w:bCs/>
          <w:color w:val="auto"/>
          <w:kern w:val="2"/>
          <w:sz w:val="24"/>
          <w:szCs w:val="24"/>
          <w:highlight w:val="none"/>
          <w:lang w:val="en-US" w:eastAsia="zh-CN" w:bidi="ar-SA"/>
        </w:rPr>
        <w:t xml:space="preserve"> 评价结论</w:t>
      </w:r>
    </w:p>
    <w:p w14:paraId="2A8367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本</w:t>
      </w:r>
      <w:r>
        <w:rPr>
          <w:rFonts w:hint="default" w:ascii="Times New Roman" w:hAnsi="Times New Roman" w:eastAsia="宋体" w:cs="Times New Roman"/>
          <w:color w:val="auto"/>
          <w:sz w:val="24"/>
          <w:szCs w:val="24"/>
          <w:highlight w:val="none"/>
        </w:rPr>
        <w:t>项目位于</w:t>
      </w:r>
      <w:r>
        <w:rPr>
          <w:rFonts w:hint="default" w:ascii="Times New Roman" w:hAnsi="Times New Roman" w:eastAsia="宋体" w:cs="Times New Roman"/>
          <w:color w:val="auto"/>
          <w:sz w:val="24"/>
          <w:szCs w:val="24"/>
          <w:highlight w:val="none"/>
          <w:lang w:eastAsia="zh-CN"/>
        </w:rPr>
        <w:t>环境空气二类区的</w:t>
      </w:r>
      <w:r>
        <w:rPr>
          <w:rFonts w:hint="default" w:ascii="Times New Roman" w:hAnsi="Times New Roman" w:eastAsia="宋体" w:cs="Times New Roman"/>
          <w:color w:val="auto"/>
          <w:sz w:val="24"/>
          <w:szCs w:val="24"/>
          <w:highlight w:val="none"/>
        </w:rPr>
        <w:t>环境空气质量达标区，评价范围内无一类区</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大气环境影响评价结论如下：</w:t>
      </w:r>
    </w:p>
    <w:p w14:paraId="1A2DCE9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（1）由预测结果可知，本项目正常工况下</w:t>
      </w:r>
      <w:r>
        <w:rPr>
          <w:rFonts w:hint="default" w:ascii="Times New Roman" w:hAnsi="Times New Roman" w:eastAsia="宋体" w:cs="Times New Roman"/>
          <w:color w:val="auto"/>
          <w:sz w:val="24"/>
          <w:szCs w:val="24"/>
          <w:highlight w:val="none"/>
        </w:rPr>
        <w:t>新增</w:t>
      </w:r>
      <w:r>
        <w:rPr>
          <w:rFonts w:hint="default" w:ascii="Times New Roman" w:hAnsi="Times New Roman" w:eastAsia="宋体" w:cs="Times New Roman"/>
          <w:color w:val="auto"/>
          <w:sz w:val="24"/>
          <w:szCs w:val="24"/>
          <w:highlight w:val="none"/>
          <w:lang w:val="en-US" w:eastAsia="zh-CN"/>
        </w:rPr>
        <w:t>各污染物</w:t>
      </w:r>
      <w:r>
        <w:rPr>
          <w:rFonts w:hint="default" w:ascii="Times New Roman" w:hAnsi="Times New Roman" w:eastAsia="宋体" w:cs="Times New Roman"/>
          <w:color w:val="auto"/>
          <w:sz w:val="24"/>
          <w:szCs w:val="24"/>
          <w:highlight w:val="none"/>
        </w:rPr>
        <w:t>PM</w:t>
      </w:r>
      <w:r>
        <w:rPr>
          <w:rFonts w:hint="default" w:ascii="Times New Roman" w:hAnsi="Times New Roman" w:eastAsia="宋体" w:cs="Times New Roman"/>
          <w:color w:val="auto"/>
          <w:sz w:val="24"/>
          <w:szCs w:val="24"/>
          <w:highlight w:val="none"/>
          <w:vertAlign w:val="subscript"/>
        </w:rPr>
        <w:t>10</w:t>
      </w:r>
      <w:r>
        <w:rPr>
          <w:rFonts w:hint="default" w:ascii="Times New Roman" w:hAnsi="Times New Roman" w:eastAsia="宋体" w:cs="Times New Roman"/>
          <w:color w:val="auto"/>
          <w:sz w:val="24"/>
          <w:szCs w:val="24"/>
          <w:highlight w:val="none"/>
        </w:rPr>
        <w:t>、PM</w:t>
      </w:r>
      <w:r>
        <w:rPr>
          <w:rFonts w:hint="default" w:ascii="Times New Roman" w:hAnsi="Times New Roman" w:eastAsia="宋体" w:cs="Times New Roman"/>
          <w:color w:val="auto"/>
          <w:sz w:val="24"/>
          <w:szCs w:val="24"/>
          <w:highlight w:val="none"/>
          <w:vertAlign w:val="subscript"/>
        </w:rPr>
        <w:t>2.5</w:t>
      </w:r>
      <w:r>
        <w:rPr>
          <w:rFonts w:hint="default" w:ascii="Times New Roman" w:hAnsi="Times New Roman" w:eastAsia="宋体" w:cs="Times New Roman"/>
          <w:color w:val="auto"/>
          <w:sz w:val="24"/>
          <w:szCs w:val="24"/>
          <w:highlight w:val="none"/>
        </w:rPr>
        <w:t>、SO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、NO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lang w:val="en-US" w:eastAsia="zh-CN"/>
        </w:rPr>
        <w:t>、NH</w:t>
      </w:r>
      <w:r>
        <w:rPr>
          <w:rFonts w:hint="default" w:ascii="Times New Roman" w:hAnsi="Times New Roman" w:eastAsia="宋体" w:cs="Times New Roman"/>
          <w:color w:val="auto"/>
          <w:sz w:val="24"/>
          <w:szCs w:val="24"/>
          <w:highlight w:val="none"/>
          <w:vertAlign w:val="subscript"/>
          <w:lang w:val="en-US" w:eastAsia="zh-CN"/>
        </w:rPr>
        <w:t>3</w:t>
      </w:r>
      <w:r>
        <w:rPr>
          <w:rFonts w:hint="default" w:ascii="Times New Roman" w:hAnsi="Times New Roman" w:eastAsia="宋体" w:cs="Times New Roman"/>
          <w:color w:val="auto"/>
          <w:sz w:val="24"/>
          <w:szCs w:val="24"/>
          <w:highlight w:val="none"/>
          <w:lang w:val="en-US" w:eastAsia="zh-CN"/>
        </w:rPr>
        <w:t>、Hg、TSP短期</w:t>
      </w:r>
      <w:r>
        <w:rPr>
          <w:rFonts w:hint="default" w:ascii="Times New Roman" w:hAnsi="Times New Roman" w:eastAsia="宋体" w:cs="Times New Roman"/>
          <w:color w:val="auto"/>
          <w:sz w:val="24"/>
          <w:szCs w:val="24"/>
          <w:highlight w:val="none"/>
        </w:rPr>
        <w:t>浓度贡献值的最大落地浓度占标均≤100%。</w:t>
      </w:r>
    </w:p>
    <w:p w14:paraId="492E9E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由预测可知，本项目正常工况下</w:t>
      </w:r>
      <w:r>
        <w:rPr>
          <w:rFonts w:hint="default" w:ascii="Times New Roman" w:hAnsi="Times New Roman" w:eastAsia="宋体" w:cs="Times New Roman"/>
          <w:color w:val="auto"/>
          <w:sz w:val="24"/>
          <w:szCs w:val="24"/>
          <w:highlight w:val="none"/>
        </w:rPr>
        <w:t>新增污染</w:t>
      </w:r>
      <w:r>
        <w:rPr>
          <w:rFonts w:hint="default" w:ascii="Times New Roman" w:hAnsi="Times New Roman" w:eastAsia="宋体" w:cs="Times New Roman"/>
          <w:color w:val="auto"/>
          <w:sz w:val="24"/>
          <w:szCs w:val="24"/>
          <w:highlight w:val="none"/>
          <w:lang w:val="en-US" w:eastAsia="zh-CN"/>
        </w:rPr>
        <w:t>物</w:t>
      </w:r>
      <w:r>
        <w:rPr>
          <w:rFonts w:hint="default" w:ascii="Times New Roman" w:hAnsi="Times New Roman" w:eastAsia="宋体" w:cs="Times New Roman"/>
          <w:color w:val="auto"/>
          <w:sz w:val="24"/>
          <w:szCs w:val="24"/>
          <w:highlight w:val="none"/>
        </w:rPr>
        <w:t>PM</w:t>
      </w:r>
      <w:r>
        <w:rPr>
          <w:rFonts w:hint="default" w:ascii="Times New Roman" w:hAnsi="Times New Roman" w:eastAsia="宋体" w:cs="Times New Roman"/>
          <w:color w:val="auto"/>
          <w:sz w:val="24"/>
          <w:szCs w:val="24"/>
          <w:highlight w:val="none"/>
          <w:vertAlign w:val="subscript"/>
        </w:rPr>
        <w:t>10</w:t>
      </w:r>
      <w:r>
        <w:rPr>
          <w:rFonts w:hint="default" w:ascii="Times New Roman" w:hAnsi="Times New Roman" w:eastAsia="宋体" w:cs="Times New Roman"/>
          <w:color w:val="auto"/>
          <w:sz w:val="24"/>
          <w:szCs w:val="24"/>
          <w:highlight w:val="none"/>
        </w:rPr>
        <w:t>、PM</w:t>
      </w:r>
      <w:r>
        <w:rPr>
          <w:rFonts w:hint="default" w:ascii="Times New Roman" w:hAnsi="Times New Roman" w:eastAsia="宋体" w:cs="Times New Roman"/>
          <w:color w:val="auto"/>
          <w:sz w:val="24"/>
          <w:szCs w:val="24"/>
          <w:highlight w:val="none"/>
          <w:vertAlign w:val="subscript"/>
        </w:rPr>
        <w:t>2.5</w:t>
      </w:r>
      <w:r>
        <w:rPr>
          <w:rFonts w:hint="default" w:ascii="Times New Roman" w:hAnsi="Times New Roman" w:eastAsia="宋体" w:cs="Times New Roman"/>
          <w:color w:val="auto"/>
          <w:sz w:val="24"/>
          <w:szCs w:val="24"/>
          <w:highlight w:val="none"/>
        </w:rPr>
        <w:t>、SO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、NO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年</w:t>
      </w:r>
      <w:r>
        <w:rPr>
          <w:rFonts w:hint="default" w:ascii="Times New Roman" w:hAnsi="Times New Roman" w:eastAsia="宋体" w:cs="Times New Roman"/>
          <w:color w:val="auto"/>
          <w:sz w:val="24"/>
          <w:szCs w:val="24"/>
          <w:highlight w:val="none"/>
          <w:lang w:val="en-US" w:eastAsia="zh-CN"/>
        </w:rPr>
        <w:t>均</w:t>
      </w:r>
      <w:r>
        <w:rPr>
          <w:rFonts w:hint="default" w:ascii="Times New Roman" w:hAnsi="Times New Roman" w:eastAsia="宋体" w:cs="Times New Roman"/>
          <w:color w:val="auto"/>
          <w:sz w:val="24"/>
          <w:szCs w:val="24"/>
          <w:highlight w:val="none"/>
        </w:rPr>
        <w:t>浓度贡献值的最大落地浓度占标均≤30%。</w:t>
      </w:r>
    </w:p>
    <w:p w14:paraId="58F721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本</w:t>
      </w:r>
      <w:r>
        <w:rPr>
          <w:rFonts w:hint="default" w:ascii="Times New Roman" w:hAnsi="Times New Roman" w:eastAsia="宋体" w:cs="Times New Roman"/>
          <w:color w:val="auto"/>
          <w:sz w:val="24"/>
          <w:szCs w:val="24"/>
          <w:highlight w:val="none"/>
        </w:rPr>
        <w:t>项目环境影响符合区域环境功能区划。</w:t>
      </w:r>
    </w:p>
    <w:p w14:paraId="56AAEA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rPr>
      </w:pP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pacing w:val="0"/>
          <w:sz w:val="24"/>
          <w:szCs w:val="24"/>
          <w:highlight w:val="none"/>
          <w:lang w:val="en-US" w:eastAsia="zh-CN"/>
        </w:rPr>
        <w:t>根据预测结果可知，</w:t>
      </w:r>
      <w:r>
        <w:rPr>
          <w:rFonts w:hint="default" w:ascii="Times New Roman" w:hAnsi="Times New Roman" w:eastAsia="宋体" w:cs="Times New Roman"/>
          <w:color w:val="auto"/>
          <w:sz w:val="24"/>
          <w:szCs w:val="24"/>
          <w:highlight w:val="none"/>
        </w:rPr>
        <w:t>叠加现状</w:t>
      </w:r>
      <w:r>
        <w:rPr>
          <w:rFonts w:hint="default" w:ascii="Times New Roman" w:hAnsi="Times New Roman" w:eastAsia="宋体" w:cs="Times New Roman"/>
          <w:color w:val="auto"/>
          <w:sz w:val="24"/>
          <w:szCs w:val="24"/>
          <w:highlight w:val="none"/>
          <w:lang w:val="en-US" w:eastAsia="zh-CN"/>
        </w:rPr>
        <w:t>背景</w:t>
      </w:r>
      <w:r>
        <w:rPr>
          <w:rFonts w:hint="default" w:ascii="Times New Roman" w:hAnsi="Times New Roman" w:eastAsia="宋体" w:cs="Times New Roman"/>
          <w:color w:val="auto"/>
          <w:sz w:val="24"/>
          <w:szCs w:val="24"/>
          <w:highlight w:val="none"/>
        </w:rPr>
        <w:t>浓度</w:t>
      </w:r>
      <w:r>
        <w:rPr>
          <w:rFonts w:hint="default" w:ascii="Times New Roman" w:hAnsi="Times New Roman" w:eastAsia="宋体" w:cs="Times New Roman"/>
          <w:color w:val="auto"/>
          <w:sz w:val="24"/>
          <w:szCs w:val="24"/>
          <w:highlight w:val="none"/>
          <w:lang w:val="en-US" w:eastAsia="zh-CN"/>
        </w:rPr>
        <w:t>后，</w:t>
      </w:r>
      <w:r>
        <w:rPr>
          <w:rFonts w:hint="default" w:ascii="Times New Roman" w:hAnsi="Times New Roman" w:eastAsia="宋体" w:cs="Times New Roman"/>
          <w:color w:val="auto"/>
          <w:sz w:val="24"/>
          <w:szCs w:val="24"/>
          <w:highlight w:val="none"/>
        </w:rPr>
        <w:t>污染物PM</w:t>
      </w:r>
      <w:r>
        <w:rPr>
          <w:rFonts w:hint="default" w:ascii="Times New Roman" w:hAnsi="Times New Roman" w:eastAsia="宋体" w:cs="Times New Roman"/>
          <w:color w:val="auto"/>
          <w:sz w:val="24"/>
          <w:szCs w:val="24"/>
          <w:highlight w:val="none"/>
          <w:vertAlign w:val="subscript"/>
        </w:rPr>
        <w:t>10</w:t>
      </w:r>
      <w:r>
        <w:rPr>
          <w:rFonts w:hint="default" w:ascii="Times New Roman" w:hAnsi="Times New Roman" w:eastAsia="宋体" w:cs="Times New Roman"/>
          <w:color w:val="auto"/>
          <w:sz w:val="24"/>
          <w:szCs w:val="24"/>
          <w:highlight w:val="none"/>
        </w:rPr>
        <w:t>、SO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、NO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lang w:val="en-US" w:eastAsia="zh-CN"/>
        </w:rPr>
        <w:t>保</w:t>
      </w:r>
      <w:r>
        <w:rPr>
          <w:rFonts w:hint="default" w:ascii="Times New Roman" w:hAnsi="Times New Roman" w:eastAsia="宋体" w:cs="Times New Roman"/>
          <w:color w:val="auto"/>
          <w:sz w:val="24"/>
          <w:szCs w:val="24"/>
          <w:highlight w:val="none"/>
        </w:rPr>
        <w:t>证率日平均质量浓度和年平均质量浓度均</w:t>
      </w:r>
      <w:r>
        <w:rPr>
          <w:rFonts w:hint="default" w:ascii="Times New Roman" w:hAnsi="Times New Roman" w:eastAsia="宋体" w:cs="Times New Roman"/>
          <w:color w:val="auto"/>
          <w:sz w:val="24"/>
          <w:szCs w:val="24"/>
          <w:highlight w:val="none"/>
          <w:lang w:val="en-US" w:eastAsia="zh-CN"/>
        </w:rPr>
        <w:t>满足</w:t>
      </w:r>
      <w:r>
        <w:rPr>
          <w:rFonts w:hint="default" w:ascii="Times New Roman" w:hAnsi="Times New Roman" w:eastAsia="宋体" w:cs="Times New Roman"/>
          <w:color w:val="auto"/>
          <w:sz w:val="24"/>
          <w:szCs w:val="24"/>
          <w:highlight w:val="none"/>
        </w:rPr>
        <w:t>《环境空气质量标准》（GB3095-2012）</w:t>
      </w:r>
      <w:r>
        <w:rPr>
          <w:rFonts w:hint="eastAsia" w:ascii="Times New Roman" w:hAnsi="Times New Roman" w:eastAsia="宋体" w:cs="Times New Roman"/>
          <w:color w:val="auto"/>
          <w:sz w:val="24"/>
          <w:szCs w:val="24"/>
          <w:highlight w:val="none"/>
          <w:lang w:eastAsia="zh-CN"/>
        </w:rPr>
        <w:t>二类标准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iCs/>
          <w:color w:val="auto"/>
          <w:spacing w:val="0"/>
          <w:sz w:val="24"/>
          <w:szCs w:val="24"/>
          <w:highlight w:val="none"/>
          <w:lang w:val="en-US" w:eastAsia="zh-CN"/>
        </w:rPr>
        <w:t>NH</w:t>
      </w:r>
      <w:r>
        <w:rPr>
          <w:rFonts w:hint="default" w:ascii="Times New Roman" w:hAnsi="Times New Roman" w:eastAsia="宋体" w:cs="Times New Roman"/>
          <w:iCs/>
          <w:color w:val="auto"/>
          <w:spacing w:val="0"/>
          <w:sz w:val="24"/>
          <w:szCs w:val="24"/>
          <w:highlight w:val="none"/>
          <w:vertAlign w:val="subscript"/>
          <w:lang w:val="en-US" w:eastAsia="zh-CN"/>
        </w:rPr>
        <w:t>3</w:t>
      </w:r>
      <w:r>
        <w:rPr>
          <w:rFonts w:hint="default" w:ascii="Times New Roman" w:hAnsi="Times New Roman" w:eastAsia="宋体" w:cs="Times New Roman"/>
          <w:iCs/>
          <w:color w:val="auto"/>
          <w:spacing w:val="0"/>
          <w:sz w:val="24"/>
          <w:szCs w:val="24"/>
          <w:highlight w:val="none"/>
          <w:lang w:val="en-US" w:eastAsia="zh-CN"/>
        </w:rPr>
        <w:t>的叠加浓度满足</w:t>
      </w:r>
      <w:r>
        <w:rPr>
          <w:rFonts w:hint="default" w:ascii="Times New Roman" w:hAnsi="Times New Roman" w:eastAsia="宋体" w:cs="Times New Roman"/>
          <w:color w:val="auto"/>
          <w:spacing w:val="0"/>
          <w:sz w:val="24"/>
          <w:szCs w:val="24"/>
          <w:highlight w:val="none"/>
        </w:rPr>
        <w:t>《环境影响评价技术导则 大气环境》（HJ2.2-2018）附录D</w:t>
      </w:r>
      <w:r>
        <w:rPr>
          <w:rFonts w:hint="default" w:ascii="Times New Roman" w:hAnsi="Times New Roman" w:eastAsia="宋体" w:cs="Times New Roman"/>
          <w:color w:val="auto"/>
          <w:spacing w:val="0"/>
          <w:sz w:val="24"/>
          <w:szCs w:val="24"/>
          <w:highlight w:val="none"/>
          <w:lang w:eastAsia="zh-CN"/>
        </w:rPr>
        <w:t>限值，</w:t>
      </w:r>
      <w:r>
        <w:rPr>
          <w:rFonts w:hint="default" w:ascii="Times New Roman" w:hAnsi="Times New Roman" w:eastAsia="宋体" w:cs="Times New Roman"/>
          <w:color w:val="auto"/>
          <w:sz w:val="24"/>
          <w:szCs w:val="24"/>
          <w:highlight w:val="none"/>
          <w:lang w:val="en-US" w:eastAsia="zh-CN"/>
        </w:rPr>
        <w:t>TSP满足</w:t>
      </w:r>
      <w:r>
        <w:rPr>
          <w:rFonts w:hint="default" w:ascii="Times New Roman" w:hAnsi="Times New Roman" w:eastAsia="宋体" w:cs="Times New Roman"/>
          <w:color w:val="auto"/>
          <w:sz w:val="24"/>
          <w:szCs w:val="24"/>
          <w:highlight w:val="none"/>
        </w:rPr>
        <w:t>《环境空气质量标准》（GB3095-2012）</w:t>
      </w:r>
      <w:r>
        <w:rPr>
          <w:rFonts w:hint="default" w:ascii="Times New Roman" w:hAnsi="Times New Roman" w:eastAsia="宋体" w:cs="Times New Roman"/>
          <w:color w:val="auto"/>
          <w:sz w:val="24"/>
          <w:szCs w:val="24"/>
          <w:highlight w:val="none"/>
          <w:lang w:val="en-US" w:eastAsia="zh-CN"/>
        </w:rPr>
        <w:t>要求</w:t>
      </w:r>
      <w:r>
        <w:rPr>
          <w:rFonts w:hint="default" w:ascii="Times New Roman" w:hAnsi="Times New Roman" w:eastAsia="宋体" w:cs="Times New Roman"/>
          <w:color w:val="auto"/>
          <w:spacing w:val="0"/>
          <w:sz w:val="24"/>
          <w:szCs w:val="24"/>
          <w:highlight w:val="none"/>
          <w:lang w:eastAsia="zh-CN"/>
        </w:rPr>
        <w:t>。</w:t>
      </w:r>
    </w:p>
    <w:p w14:paraId="28ABE8ED">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5</w:t>
      </w:r>
      <w:r>
        <w:rPr>
          <w:rFonts w:hint="default" w:ascii="Times New Roman" w:hAnsi="Times New Roman" w:eastAsia="宋体" w:cs="Times New Roman"/>
          <w:color w:val="auto"/>
          <w:kern w:val="2"/>
          <w:sz w:val="24"/>
          <w:szCs w:val="24"/>
          <w:highlight w:val="none"/>
          <w:lang w:val="en-US" w:eastAsia="zh-CN" w:bidi="ar-SA"/>
        </w:rPr>
        <w:t>）经计算本项目厂界线外部没有超标点，无须设大气环境防护距离。因此，本项目建成后，大气环境影响可接受，大气污染物排放方案可行。</w:t>
      </w:r>
    </w:p>
    <w:p w14:paraId="6D62B83D">
      <w:pPr>
        <w:pStyle w:val="6"/>
        <w:numPr>
          <w:ilvl w:val="2"/>
          <w:numId w:val="3"/>
        </w:numPr>
        <w:bidi w:val="0"/>
        <w:ind w:left="709" w:leftChars="0" w:hanging="709" w:firstLineChars="0"/>
        <w:rPr>
          <w:rFonts w:hint="default" w:ascii="Times New Roman" w:hAnsi="Times New Roman" w:eastAsia="宋体" w:cs="Times New Roman"/>
          <w:color w:val="auto"/>
          <w:highlight w:val="none"/>
        </w:rPr>
      </w:pPr>
      <w:r>
        <w:rPr>
          <w:rFonts w:hint="eastAsia" w:ascii="Times New Roman" w:hAnsi="Times New Roman" w:cs="Times New Roman"/>
          <w:color w:val="auto"/>
          <w:highlight w:val="none"/>
          <w:lang w:val="en-US" w:eastAsia="zh-CN"/>
        </w:rPr>
        <w:t>水</w:t>
      </w:r>
      <w:r>
        <w:rPr>
          <w:rFonts w:hint="default" w:ascii="Times New Roman" w:hAnsi="Times New Roman" w:eastAsia="宋体" w:cs="Times New Roman"/>
          <w:color w:val="auto"/>
          <w:highlight w:val="none"/>
        </w:rPr>
        <w:t>环境影响预测与评价</w:t>
      </w:r>
      <w:bookmarkEnd w:id="440"/>
      <w:bookmarkEnd w:id="441"/>
      <w:bookmarkEnd w:id="442"/>
    </w:p>
    <w:p w14:paraId="1B0E4F76">
      <w:pPr>
        <w:keepNext/>
        <w:keepLines/>
        <w:widowControl w:val="0"/>
        <w:numPr>
          <w:ilvl w:val="0"/>
          <w:numId w:val="0"/>
        </w:numPr>
        <w:bidi w:val="0"/>
        <w:spacing w:line="360" w:lineRule="auto"/>
        <w:ind w:leftChars="0" w:firstLine="0" w:firstLineChars="0"/>
        <w:jc w:val="both"/>
        <w:outlineLvl w:val="3"/>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6.2.</w:t>
      </w:r>
      <w:r>
        <w:rPr>
          <w:rFonts w:hint="eastAsia" w:ascii="Times New Roman" w:hAnsi="Times New Roman" w:eastAsia="宋体" w:cs="Times New Roman"/>
          <w:b/>
          <w:bCs/>
          <w:color w:val="auto"/>
          <w:kern w:val="2"/>
          <w:sz w:val="24"/>
          <w:szCs w:val="24"/>
          <w:highlight w:val="none"/>
          <w:lang w:val="en-US" w:eastAsia="zh-CN" w:bidi="ar-SA"/>
        </w:rPr>
        <w:t>2</w:t>
      </w:r>
      <w:r>
        <w:rPr>
          <w:rFonts w:hint="default" w:ascii="Times New Roman" w:hAnsi="Times New Roman" w:eastAsia="宋体" w:cs="Times New Roman"/>
          <w:b/>
          <w:bCs/>
          <w:color w:val="auto"/>
          <w:kern w:val="2"/>
          <w:sz w:val="24"/>
          <w:szCs w:val="24"/>
          <w:highlight w:val="none"/>
          <w:lang w:val="en-US" w:eastAsia="zh-CN" w:bidi="ar-SA"/>
        </w:rPr>
        <w:t>.</w:t>
      </w:r>
      <w:r>
        <w:rPr>
          <w:rFonts w:hint="eastAsia" w:ascii="Times New Roman" w:hAnsi="Times New Roman" w:eastAsia="宋体" w:cs="Times New Roman"/>
          <w:b/>
          <w:bCs/>
          <w:color w:val="auto"/>
          <w:kern w:val="2"/>
          <w:sz w:val="24"/>
          <w:szCs w:val="24"/>
          <w:highlight w:val="none"/>
          <w:lang w:val="en-US" w:eastAsia="zh-CN" w:bidi="ar-SA"/>
        </w:rPr>
        <w:t>1</w:t>
      </w:r>
      <w:r>
        <w:rPr>
          <w:rFonts w:hint="default" w:ascii="Times New Roman" w:hAnsi="Times New Roman" w:eastAsia="宋体" w:cs="Times New Roman"/>
          <w:b/>
          <w:bCs/>
          <w:color w:val="auto"/>
          <w:kern w:val="2"/>
          <w:sz w:val="24"/>
          <w:szCs w:val="24"/>
          <w:highlight w:val="none"/>
          <w:lang w:val="en-US" w:eastAsia="zh-CN" w:bidi="ar-SA"/>
        </w:rPr>
        <w:t xml:space="preserve"> </w:t>
      </w:r>
      <w:r>
        <w:rPr>
          <w:rFonts w:hint="eastAsia" w:ascii="Times New Roman" w:hAnsi="Times New Roman" w:eastAsia="宋体" w:cs="Times New Roman"/>
          <w:b/>
          <w:bCs/>
          <w:color w:val="auto"/>
          <w:kern w:val="2"/>
          <w:sz w:val="24"/>
          <w:szCs w:val="24"/>
          <w:highlight w:val="none"/>
          <w:lang w:val="en-US" w:eastAsia="zh-CN" w:bidi="ar-SA"/>
        </w:rPr>
        <w:t>地表水环境影响预测</w:t>
      </w:r>
    </w:p>
    <w:p w14:paraId="3C14E76E">
      <w:pPr>
        <w:pStyle w:val="69"/>
        <w:spacing w:line="500" w:lineRule="exact"/>
        <w:ind w:firstLine="475"/>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iCs/>
          <w:color w:val="auto"/>
          <w:spacing w:val="0"/>
          <w:sz w:val="24"/>
          <w:szCs w:val="24"/>
          <w:highlight w:val="none"/>
          <w:lang w:eastAsia="zh-CN"/>
        </w:rPr>
        <w:t>根据《环境影响评价技术导则</w:t>
      </w:r>
      <w:r>
        <w:rPr>
          <w:rFonts w:hint="default" w:ascii="Times New Roman" w:hAnsi="Times New Roman" w:eastAsia="宋体" w:cs="Times New Roman"/>
          <w:iCs/>
          <w:color w:val="auto"/>
          <w:spacing w:val="0"/>
          <w:sz w:val="24"/>
          <w:szCs w:val="24"/>
          <w:highlight w:val="none"/>
          <w:lang w:val="en-US" w:eastAsia="zh-CN"/>
        </w:rPr>
        <w:t xml:space="preserve"> </w:t>
      </w:r>
      <w:r>
        <w:rPr>
          <w:rFonts w:hint="default" w:ascii="Times New Roman" w:hAnsi="Times New Roman" w:eastAsia="宋体" w:cs="Times New Roman"/>
          <w:iCs/>
          <w:color w:val="auto"/>
          <w:spacing w:val="0"/>
          <w:sz w:val="24"/>
          <w:szCs w:val="24"/>
          <w:highlight w:val="none"/>
          <w:lang w:eastAsia="zh-CN"/>
        </w:rPr>
        <w:t>地表水环境》</w:t>
      </w:r>
      <w:r>
        <w:rPr>
          <w:rFonts w:hint="eastAsia" w:ascii="Times New Roman" w:hAnsi="Times New Roman" w:cs="Times New Roman"/>
          <w:iCs/>
          <w:color w:val="auto"/>
          <w:spacing w:val="0"/>
          <w:sz w:val="24"/>
          <w:szCs w:val="24"/>
          <w:highlight w:val="none"/>
          <w:lang w:eastAsia="zh-CN"/>
        </w:rPr>
        <w:t>（</w:t>
      </w:r>
      <w:r>
        <w:rPr>
          <w:rFonts w:hint="default" w:ascii="Times New Roman" w:hAnsi="Times New Roman" w:eastAsia="宋体" w:cs="Times New Roman"/>
          <w:iCs/>
          <w:color w:val="auto"/>
          <w:spacing w:val="0"/>
          <w:sz w:val="24"/>
          <w:szCs w:val="24"/>
          <w:highlight w:val="none"/>
          <w:lang w:eastAsia="zh-CN"/>
        </w:rPr>
        <w:t>HJ2.3-</w:t>
      </w:r>
      <w:r>
        <w:rPr>
          <w:rFonts w:hint="default" w:ascii="Times New Roman" w:hAnsi="Times New Roman" w:eastAsia="宋体" w:cs="Times New Roman"/>
          <w:iCs/>
          <w:color w:val="auto"/>
          <w:spacing w:val="0"/>
          <w:sz w:val="24"/>
          <w:szCs w:val="24"/>
          <w:highlight w:val="none"/>
          <w:lang w:val="en-US" w:eastAsia="zh-CN"/>
        </w:rPr>
        <w:t>2018</w:t>
      </w:r>
      <w:r>
        <w:rPr>
          <w:rFonts w:hint="eastAsia" w:ascii="Times New Roman" w:hAnsi="Times New Roman" w:cs="Times New Roman"/>
          <w:iCs/>
          <w:color w:val="auto"/>
          <w:spacing w:val="0"/>
          <w:sz w:val="24"/>
          <w:szCs w:val="24"/>
          <w:highlight w:val="none"/>
          <w:lang w:val="en-US" w:eastAsia="zh-CN"/>
        </w:rPr>
        <w:t>）</w:t>
      </w:r>
      <w:r>
        <w:rPr>
          <w:rFonts w:hint="default" w:ascii="Times New Roman" w:hAnsi="Times New Roman" w:eastAsia="宋体" w:cs="Times New Roman"/>
          <w:iCs/>
          <w:color w:val="auto"/>
          <w:spacing w:val="0"/>
          <w:sz w:val="24"/>
          <w:szCs w:val="24"/>
          <w:highlight w:val="none"/>
          <w:lang w:eastAsia="zh-CN"/>
        </w:rPr>
        <w:t>中“</w:t>
      </w:r>
      <w:r>
        <w:rPr>
          <w:rFonts w:hint="default" w:ascii="Times New Roman" w:hAnsi="Times New Roman" w:eastAsia="宋体" w:cs="Times New Roman"/>
          <w:iCs/>
          <w:color w:val="auto"/>
          <w:spacing w:val="0"/>
          <w:sz w:val="24"/>
          <w:szCs w:val="24"/>
          <w:highlight w:val="none"/>
          <w:lang w:val="en-US" w:eastAsia="zh-CN"/>
        </w:rPr>
        <w:t>5.2评价等级确定</w:t>
      </w:r>
      <w:r>
        <w:rPr>
          <w:rFonts w:hint="default" w:ascii="Times New Roman" w:hAnsi="Times New Roman" w:eastAsia="宋体" w:cs="Times New Roman"/>
          <w:iCs/>
          <w:color w:val="auto"/>
          <w:spacing w:val="0"/>
          <w:sz w:val="24"/>
          <w:szCs w:val="24"/>
          <w:highlight w:val="none"/>
          <w:lang w:eastAsia="zh-CN"/>
        </w:rPr>
        <w:t>”</w:t>
      </w:r>
      <w:r>
        <w:rPr>
          <w:rFonts w:hint="default" w:ascii="Times New Roman" w:hAnsi="Times New Roman" w:eastAsia="宋体" w:cs="Times New Roman"/>
          <w:iCs/>
          <w:color w:val="auto"/>
          <w:spacing w:val="0"/>
          <w:sz w:val="24"/>
          <w:szCs w:val="24"/>
          <w:highlight w:val="none"/>
          <w:lang w:val="en-US" w:eastAsia="zh-CN"/>
        </w:rPr>
        <w:t>章节中“表1水污染影响型建设项目评价等级判定”注9、注10</w:t>
      </w:r>
      <w:r>
        <w:rPr>
          <w:rFonts w:hint="default" w:ascii="Times New Roman" w:hAnsi="Times New Roman" w:eastAsia="宋体" w:cs="Times New Roman"/>
          <w:color w:val="auto"/>
          <w:sz w:val="24"/>
          <w:szCs w:val="24"/>
          <w:highlight w:val="none"/>
          <w:lang w:val="en-US" w:eastAsia="zh-CN"/>
        </w:rPr>
        <w:t>。本项目地表水环境评价等级为三级B。</w:t>
      </w:r>
      <w:r>
        <w:rPr>
          <w:rFonts w:hint="default" w:ascii="Times New Roman" w:hAnsi="Times New Roman" w:eastAsia="宋体" w:cs="Times New Roman"/>
          <w:color w:val="auto"/>
          <w:sz w:val="24"/>
          <w:szCs w:val="24"/>
          <w:highlight w:val="none"/>
        </w:rPr>
        <w:t>根据《环境影响评价技术导则</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地</w:t>
      </w:r>
      <w:r>
        <w:rPr>
          <w:rFonts w:hint="default" w:ascii="Times New Roman" w:hAnsi="Times New Roman" w:eastAsia="宋体" w:cs="Times New Roman"/>
          <w:color w:val="auto"/>
          <w:sz w:val="24"/>
          <w:szCs w:val="24"/>
          <w:highlight w:val="none"/>
          <w:lang w:val="en-US" w:eastAsia="zh-CN"/>
        </w:rPr>
        <w:t>表</w:t>
      </w:r>
      <w:r>
        <w:rPr>
          <w:rFonts w:hint="default" w:ascii="Times New Roman" w:hAnsi="Times New Roman" w:eastAsia="宋体" w:cs="Times New Roman"/>
          <w:color w:val="auto"/>
          <w:sz w:val="24"/>
          <w:szCs w:val="24"/>
          <w:highlight w:val="none"/>
        </w:rPr>
        <w:t>水环境》（HJ2.3-2018）规定，本项目只需进行水污染控制和水环境影响减缓措施有效性评价和依托污水处理设施的环境可行性评价。</w:t>
      </w:r>
    </w:p>
    <w:p w14:paraId="485536AF">
      <w:pPr>
        <w:pStyle w:val="47"/>
        <w:keepNext w:val="0"/>
        <w:keepLines w:val="0"/>
        <w:pageBreakBefore w:val="0"/>
        <w:widowControl w:val="0"/>
        <w:numPr>
          <w:ilvl w:val="0"/>
          <w:numId w:val="0"/>
        </w:numPr>
        <w:kinsoku/>
        <w:wordWrap/>
        <w:overflowPunct/>
        <w:topLinePunct w:val="0"/>
        <w:autoSpaceDE w:val="0"/>
        <w:autoSpaceDN w:val="0"/>
        <w:bidi w:val="0"/>
        <w:adjustRightInd/>
        <w:snapToGrid/>
        <w:spacing w:line="480" w:lineRule="exact"/>
        <w:ind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水污染控制和水环境影响减缓措施有效性评价</w:t>
      </w:r>
    </w:p>
    <w:p w14:paraId="43D0FDE3">
      <w:pPr>
        <w:pStyle w:val="47"/>
        <w:keepNext w:val="0"/>
        <w:keepLines w:val="0"/>
        <w:pageBreakBefore w:val="0"/>
        <w:widowControl w:val="0"/>
        <w:numPr>
          <w:ilvl w:val="0"/>
          <w:numId w:val="0"/>
        </w:numPr>
        <w:kinsoku/>
        <w:wordWrap/>
        <w:overflowPunct/>
        <w:topLinePunct w:val="0"/>
        <w:autoSpaceDE w:val="0"/>
        <w:autoSpaceDN w:val="0"/>
        <w:bidi w:val="0"/>
        <w:adjustRightInd/>
        <w:snapToGrid/>
        <w:spacing w:line="480" w:lineRule="exact"/>
        <w:ind w:firstLine="480" w:firstLineChars="200"/>
        <w:jc w:val="both"/>
        <w:textAlignment w:val="auto"/>
        <w:outlineLvl w:val="9"/>
        <w:rPr>
          <w:rFonts w:hint="default" w:ascii="Times New Roman" w:hAnsi="Times New Roman" w:eastAsia="宋体" w:cs="Times New Roman"/>
          <w:color w:val="auto"/>
          <w:sz w:val="24"/>
          <w:szCs w:val="24"/>
          <w:highlight w:val="none"/>
          <w:lang w:val="en-US" w:eastAsia="zh-CN" w:bidi="ar"/>
        </w:rPr>
      </w:pPr>
      <w:r>
        <w:rPr>
          <w:rFonts w:hint="default" w:ascii="Times New Roman" w:hAnsi="Times New Roman" w:eastAsia="宋体" w:cs="Times New Roman"/>
          <w:color w:val="auto"/>
          <w:highlight w:val="none"/>
          <w:lang w:val="en-US" w:eastAsia="zh-CN"/>
        </w:rPr>
        <w:t>本项目生产废水全部回用</w:t>
      </w:r>
      <w:r>
        <w:rPr>
          <w:rFonts w:hint="eastAsia" w:ascii="Times New Roman" w:hAnsi="Times New Roman" w:eastAsia="宋体" w:cs="Times New Roman"/>
          <w:color w:val="auto"/>
          <w:highlight w:val="none"/>
          <w:lang w:val="en-US" w:eastAsia="zh-CN"/>
        </w:rPr>
        <w:t>，</w:t>
      </w:r>
      <w:r>
        <w:rPr>
          <w:rFonts w:hint="eastAsia" w:ascii="Times New Roman" w:hAnsi="Times New Roman" w:cs="Times New Roman"/>
          <w:color w:val="auto"/>
          <w:highlight w:val="none"/>
          <w:lang w:val="en-US" w:eastAsia="zh-CN"/>
        </w:rPr>
        <w:t>不外排，</w:t>
      </w:r>
      <w:r>
        <w:rPr>
          <w:rFonts w:hint="default" w:ascii="Times New Roman" w:hAnsi="Times New Roman" w:eastAsia="宋体" w:cs="Times New Roman"/>
          <w:color w:val="auto"/>
          <w:sz w:val="24"/>
          <w:szCs w:val="24"/>
          <w:highlight w:val="none"/>
          <w:lang w:val="en-US" w:eastAsia="zh-CN"/>
        </w:rPr>
        <w:t>锅炉用水来自</w:t>
      </w:r>
      <w:r>
        <w:rPr>
          <w:rFonts w:hint="eastAsia" w:ascii="Times New Roman" w:hAnsi="Times New Roman" w:cs="Times New Roman"/>
          <w:color w:val="auto"/>
          <w:sz w:val="24"/>
          <w:szCs w:val="24"/>
          <w:highlight w:val="none"/>
          <w:lang w:val="en-US" w:eastAsia="zh-CN"/>
        </w:rPr>
        <w:t>佳木斯中恒热电有限公司</w:t>
      </w:r>
      <w:r>
        <w:rPr>
          <w:rFonts w:hint="default" w:ascii="Times New Roman" w:hAnsi="Times New Roman" w:eastAsia="宋体" w:cs="Times New Roman"/>
          <w:color w:val="auto"/>
          <w:sz w:val="24"/>
          <w:szCs w:val="24"/>
          <w:highlight w:val="none"/>
          <w:lang w:val="en-US" w:eastAsia="zh-CN"/>
        </w:rPr>
        <w:t>主热源</w:t>
      </w:r>
      <w:r>
        <w:rPr>
          <w:rFonts w:hint="eastAsia" w:ascii="Times New Roman" w:hAnsi="Times New Roman" w:eastAsia="宋体" w:cs="Times New Roman"/>
          <w:color w:val="auto"/>
          <w:sz w:val="24"/>
          <w:szCs w:val="24"/>
          <w:highlight w:val="none"/>
          <w:lang w:val="en-US" w:eastAsia="zh-CN"/>
        </w:rPr>
        <w:t>现有制</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补水系统</w:t>
      </w:r>
      <w:r>
        <w:rPr>
          <w:rFonts w:hint="eastAsia"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脱硫废水经曝气、沉淀后用于脱硝补水和输煤系统除尘、除渣用水。含煤废水经厂区内现有污水处理间处理，处理工艺为过滤+沉淀+气浮，处理后的废水进入地下水池回用。锅炉排污水、软化水处理废水、处理后的含煤废水用于输煤栈桥冲洗、输煤系统除尘水、</w:t>
      </w:r>
      <w:r>
        <w:rPr>
          <w:rFonts w:hint="eastAsia" w:ascii="Times New Roman" w:hAnsi="Times New Roman" w:cs="Times New Roman"/>
          <w:color w:val="auto"/>
          <w:sz w:val="24"/>
          <w:szCs w:val="24"/>
          <w:highlight w:val="none"/>
          <w:lang w:val="en-US" w:eastAsia="zh-CN"/>
        </w:rPr>
        <w:t>渣库降尘等工序</w:t>
      </w:r>
      <w:r>
        <w:rPr>
          <w:rFonts w:hint="default" w:ascii="Times New Roman" w:hAnsi="Times New Roman" w:eastAsia="宋体" w:cs="Times New Roman"/>
          <w:color w:val="auto"/>
          <w:sz w:val="24"/>
          <w:szCs w:val="24"/>
          <w:highlight w:val="none"/>
          <w:lang w:val="en-US" w:eastAsia="zh-CN"/>
        </w:rPr>
        <w:t>，不外排</w:t>
      </w:r>
      <w:r>
        <w:rPr>
          <w:rFonts w:hint="default" w:ascii="Times New Roman" w:hAnsi="Times New Roman" w:eastAsia="宋体" w:cs="Times New Roman"/>
          <w:color w:val="auto"/>
          <w:highlight w:val="none"/>
          <w:lang w:val="en-US" w:eastAsia="zh-CN"/>
        </w:rPr>
        <w:t>。</w:t>
      </w:r>
    </w:p>
    <w:p w14:paraId="1BE4EDC0">
      <w:pPr>
        <w:pStyle w:val="47"/>
        <w:keepNext w:val="0"/>
        <w:keepLines w:val="0"/>
        <w:pageBreakBefore w:val="0"/>
        <w:widowControl w:val="0"/>
        <w:numPr>
          <w:ilvl w:val="0"/>
          <w:numId w:val="0"/>
        </w:numPr>
        <w:kinsoku/>
        <w:wordWrap/>
        <w:overflowPunct/>
        <w:topLinePunct w:val="0"/>
        <w:autoSpaceDE w:val="0"/>
        <w:autoSpaceDN w:val="0"/>
        <w:bidi w:val="0"/>
        <w:adjustRightInd/>
        <w:snapToGrid/>
        <w:spacing w:line="480" w:lineRule="exact"/>
        <w:ind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本项目</w:t>
      </w:r>
      <w:r>
        <w:rPr>
          <w:rFonts w:hint="default" w:ascii="Times New Roman" w:hAnsi="Times New Roman" w:eastAsia="宋体" w:cs="Times New Roman"/>
          <w:color w:val="auto"/>
          <w:sz w:val="24"/>
          <w:szCs w:val="24"/>
          <w:highlight w:val="none"/>
          <w:lang w:val="en-US" w:eastAsia="zh-CN"/>
        </w:rPr>
        <w:t>无新增员工，厂区不新增生活污水排放量，厂区现有生活污水污染物浓度</w:t>
      </w:r>
      <w:r>
        <w:rPr>
          <w:rFonts w:hint="default" w:ascii="Times New Roman" w:hAnsi="Times New Roman" w:eastAsia="宋体" w:cs="Times New Roman"/>
          <w:color w:val="auto"/>
          <w:sz w:val="24"/>
          <w:szCs w:val="24"/>
          <w:highlight w:val="none"/>
        </w:rPr>
        <w:t>满足</w:t>
      </w:r>
      <w:r>
        <w:rPr>
          <w:rFonts w:hint="eastAsia" w:ascii="Times New Roman" w:hAnsi="Times New Roman" w:cs="Times New Roman"/>
          <w:color w:val="auto"/>
          <w:sz w:val="24"/>
          <w:szCs w:val="24"/>
          <w:highlight w:val="none"/>
          <w:lang w:eastAsia="zh-CN"/>
        </w:rPr>
        <w:t>佳木斯西区污水处理厂</w:t>
      </w:r>
      <w:r>
        <w:rPr>
          <w:rFonts w:hint="default" w:ascii="Times New Roman" w:hAnsi="Times New Roman" w:eastAsia="宋体" w:cs="Times New Roman"/>
          <w:color w:val="auto"/>
          <w:sz w:val="24"/>
          <w:szCs w:val="24"/>
          <w:highlight w:val="none"/>
        </w:rPr>
        <w:t>进水水质指标</w:t>
      </w:r>
      <w:r>
        <w:rPr>
          <w:rFonts w:hint="default" w:ascii="Times New Roman" w:hAnsi="Times New Roman" w:eastAsia="宋体" w:cs="Times New Roman"/>
          <w:color w:val="auto"/>
          <w:sz w:val="24"/>
          <w:szCs w:val="24"/>
          <w:highlight w:val="none"/>
          <w:lang w:val="en-US" w:eastAsia="zh-CN"/>
        </w:rPr>
        <w:t>后，经市政污水管网排入</w:t>
      </w:r>
      <w:r>
        <w:rPr>
          <w:rFonts w:hint="eastAsia" w:ascii="Times New Roman" w:hAnsi="Times New Roman" w:cs="Times New Roman"/>
          <w:color w:val="auto"/>
          <w:sz w:val="24"/>
          <w:szCs w:val="24"/>
          <w:highlight w:val="none"/>
          <w:lang w:val="en-US" w:eastAsia="zh-CN"/>
        </w:rPr>
        <w:t>佳木斯西区污水处理厂</w:t>
      </w:r>
      <w:r>
        <w:rPr>
          <w:rFonts w:hint="default" w:ascii="Times New Roman" w:hAnsi="Times New Roman" w:eastAsia="宋体" w:cs="Times New Roman"/>
          <w:color w:val="auto"/>
          <w:sz w:val="24"/>
          <w:szCs w:val="24"/>
          <w:highlight w:val="none"/>
        </w:rPr>
        <w:t>，经处理后污水排放浓度达到《城镇污水处理厂污染物排放标准》（GB18918-2002）一级</w:t>
      </w:r>
      <w:r>
        <w:rPr>
          <w:rFonts w:hint="default" w:ascii="Times New Roman" w:hAnsi="Times New Roman" w:eastAsia="宋体" w:cs="Times New Roman"/>
          <w:color w:val="auto"/>
          <w:sz w:val="24"/>
          <w:szCs w:val="24"/>
          <w:highlight w:val="none"/>
          <w:lang w:val="en-US" w:eastAsia="zh-CN"/>
        </w:rPr>
        <w:t>A</w:t>
      </w:r>
      <w:r>
        <w:rPr>
          <w:rFonts w:hint="default" w:ascii="Times New Roman" w:hAnsi="Times New Roman" w:eastAsia="宋体" w:cs="Times New Roman"/>
          <w:color w:val="auto"/>
          <w:sz w:val="24"/>
          <w:szCs w:val="24"/>
          <w:highlight w:val="none"/>
        </w:rPr>
        <w:t>标准后排入</w:t>
      </w:r>
      <w:r>
        <w:rPr>
          <w:rFonts w:hint="eastAsia" w:ascii="Times New Roman" w:hAnsi="Times New Roman" w:cs="Times New Roman"/>
          <w:color w:val="auto"/>
          <w:sz w:val="24"/>
          <w:szCs w:val="24"/>
          <w:highlight w:val="none"/>
          <w:lang w:val="en-US" w:eastAsia="zh-CN"/>
        </w:rPr>
        <w:t>松花江</w:t>
      </w:r>
      <w:r>
        <w:rPr>
          <w:rFonts w:hint="default" w:ascii="Times New Roman" w:hAnsi="Times New Roman" w:eastAsia="宋体" w:cs="Times New Roman"/>
          <w:color w:val="auto"/>
          <w:sz w:val="24"/>
          <w:szCs w:val="24"/>
          <w:highlight w:val="none"/>
        </w:rPr>
        <w:t>。</w:t>
      </w:r>
    </w:p>
    <w:p w14:paraId="6E54CE08">
      <w:pPr>
        <w:pStyle w:val="47"/>
        <w:keepNext w:val="0"/>
        <w:keepLines w:val="0"/>
        <w:pageBreakBefore w:val="0"/>
        <w:widowControl w:val="0"/>
        <w:numPr>
          <w:ilvl w:val="0"/>
          <w:numId w:val="0"/>
        </w:numPr>
        <w:kinsoku/>
        <w:wordWrap/>
        <w:overflowPunct/>
        <w:topLinePunct w:val="0"/>
        <w:autoSpaceDE w:val="0"/>
        <w:autoSpaceDN w:val="0"/>
        <w:bidi w:val="0"/>
        <w:adjustRightInd/>
        <w:snapToGrid/>
        <w:spacing w:line="480" w:lineRule="exact"/>
        <w:ind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依托污水处理设施的环境可行性评价</w:t>
      </w:r>
    </w:p>
    <w:p w14:paraId="1744294B">
      <w:pPr>
        <w:widowControl w:val="0"/>
        <w:adjustRightInd/>
        <w:snapToGrid/>
        <w:spacing w:after="0" w:line="360" w:lineRule="auto"/>
        <w:ind w:firstLine="480" w:firstLineChars="200"/>
        <w:jc w:val="both"/>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rPr>
        <w:t>①</w:t>
      </w:r>
      <w:r>
        <w:rPr>
          <w:rFonts w:hint="eastAsia" w:ascii="Times New Roman" w:hAnsi="Times New Roman" w:eastAsia="宋体" w:cs="Times New Roman"/>
          <w:color w:val="auto"/>
          <w:kern w:val="0"/>
          <w:sz w:val="24"/>
          <w:szCs w:val="24"/>
          <w:highlight w:val="none"/>
          <w:lang w:val="en-US" w:eastAsia="zh-CN"/>
        </w:rPr>
        <w:t>依托厂区内现有污水处理间可行性</w:t>
      </w:r>
    </w:p>
    <w:p w14:paraId="186568C3">
      <w:pPr>
        <w:widowControl w:val="0"/>
        <w:adjustRightInd/>
        <w:snapToGrid/>
        <w:spacing w:after="0" w:line="360" w:lineRule="auto"/>
        <w:ind w:firstLine="480" w:firstLineChars="200"/>
        <w:jc w:val="both"/>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厂区内现有一座污水处理间，处理工艺为过滤+沉淀+气浮，用于厂区内含煤废水处理，处理能力为4m</w:t>
      </w:r>
      <w:r>
        <w:rPr>
          <w:rFonts w:hint="eastAsia" w:ascii="Times New Roman" w:hAnsi="Times New Roman" w:eastAsia="宋体" w:cs="Times New Roman"/>
          <w:color w:val="auto"/>
          <w:kern w:val="0"/>
          <w:sz w:val="24"/>
          <w:szCs w:val="24"/>
          <w:highlight w:val="none"/>
          <w:vertAlign w:val="superscript"/>
          <w:lang w:val="en-US" w:eastAsia="zh-CN"/>
        </w:rPr>
        <w:t>3</w:t>
      </w:r>
      <w:r>
        <w:rPr>
          <w:rFonts w:hint="eastAsia" w:ascii="Times New Roman" w:hAnsi="Times New Roman" w:eastAsia="宋体" w:cs="Times New Roman"/>
          <w:color w:val="auto"/>
          <w:kern w:val="0"/>
          <w:sz w:val="24"/>
          <w:szCs w:val="24"/>
          <w:highlight w:val="none"/>
          <w:lang w:val="en-US" w:eastAsia="zh-CN"/>
        </w:rPr>
        <w:t>/h。厂区内现有工程含煤废水处理量为2m</w:t>
      </w:r>
      <w:r>
        <w:rPr>
          <w:rFonts w:hint="eastAsia" w:ascii="Times New Roman" w:hAnsi="Times New Roman" w:eastAsia="宋体" w:cs="Times New Roman"/>
          <w:color w:val="auto"/>
          <w:kern w:val="0"/>
          <w:sz w:val="24"/>
          <w:szCs w:val="24"/>
          <w:highlight w:val="none"/>
          <w:vertAlign w:val="superscript"/>
          <w:lang w:val="en-US" w:eastAsia="zh-CN"/>
        </w:rPr>
        <w:t>3</w:t>
      </w:r>
      <w:r>
        <w:rPr>
          <w:rFonts w:hint="eastAsia" w:ascii="Times New Roman" w:hAnsi="Times New Roman" w:eastAsia="宋体" w:cs="Times New Roman"/>
          <w:color w:val="auto"/>
          <w:kern w:val="0"/>
          <w:sz w:val="24"/>
          <w:szCs w:val="24"/>
          <w:highlight w:val="none"/>
          <w:lang w:val="en-US" w:eastAsia="zh-CN"/>
        </w:rPr>
        <w:t>/h，本项目含煤废水处理量为0.4m</w:t>
      </w:r>
      <w:r>
        <w:rPr>
          <w:rFonts w:hint="eastAsia" w:ascii="Times New Roman" w:hAnsi="Times New Roman" w:eastAsia="宋体" w:cs="Times New Roman"/>
          <w:color w:val="auto"/>
          <w:kern w:val="0"/>
          <w:sz w:val="24"/>
          <w:szCs w:val="24"/>
          <w:highlight w:val="none"/>
          <w:vertAlign w:val="superscript"/>
          <w:lang w:val="en-US" w:eastAsia="zh-CN"/>
        </w:rPr>
        <w:t>3</w:t>
      </w:r>
      <w:r>
        <w:rPr>
          <w:rFonts w:hint="eastAsia" w:ascii="Times New Roman" w:hAnsi="Times New Roman" w:eastAsia="宋体" w:cs="Times New Roman"/>
          <w:color w:val="auto"/>
          <w:kern w:val="0"/>
          <w:sz w:val="24"/>
          <w:szCs w:val="24"/>
          <w:highlight w:val="none"/>
          <w:lang w:val="en-US" w:eastAsia="zh-CN"/>
        </w:rPr>
        <w:t>/h。全厂含煤废水处理量为2.4m</w:t>
      </w:r>
      <w:r>
        <w:rPr>
          <w:rFonts w:hint="eastAsia" w:ascii="Times New Roman" w:hAnsi="Times New Roman" w:eastAsia="宋体" w:cs="Times New Roman"/>
          <w:color w:val="auto"/>
          <w:kern w:val="0"/>
          <w:sz w:val="24"/>
          <w:szCs w:val="24"/>
          <w:highlight w:val="none"/>
          <w:vertAlign w:val="superscript"/>
          <w:lang w:val="en-US" w:eastAsia="zh-CN"/>
        </w:rPr>
        <w:t>3</w:t>
      </w:r>
      <w:r>
        <w:rPr>
          <w:rFonts w:hint="eastAsia" w:ascii="Times New Roman" w:hAnsi="Times New Roman" w:eastAsia="宋体" w:cs="Times New Roman"/>
          <w:color w:val="auto"/>
          <w:kern w:val="0"/>
          <w:sz w:val="24"/>
          <w:szCs w:val="24"/>
          <w:highlight w:val="none"/>
          <w:lang w:val="en-US" w:eastAsia="zh-CN"/>
        </w:rPr>
        <w:t>/h，小于污水处理站的处理能力，因此本项目含煤废水依托厂区内现有污水处理间可行。</w:t>
      </w:r>
    </w:p>
    <w:p w14:paraId="51777940">
      <w:pPr>
        <w:widowControl w:val="0"/>
        <w:adjustRightInd/>
        <w:snapToGrid/>
        <w:spacing w:after="0" w:line="360" w:lineRule="auto"/>
        <w:ind w:firstLine="480" w:firstLineChars="200"/>
        <w:jc w:val="both"/>
        <w:rPr>
          <w:rFonts w:hint="default" w:ascii="Times New Roman" w:hAnsi="Times New Roman" w:eastAsia="宋体" w:cs="Times New Roman"/>
          <w:color w:val="auto"/>
          <w:kern w:val="0"/>
          <w:sz w:val="24"/>
          <w:szCs w:val="24"/>
          <w:highlight w:val="none"/>
          <w:lang w:val="en-US"/>
        </w:rPr>
      </w:pPr>
      <w:r>
        <w:rPr>
          <w:rFonts w:hint="default" w:ascii="Times New Roman" w:hAnsi="Times New Roman" w:eastAsia="宋体" w:cs="Times New Roman"/>
          <w:color w:val="auto"/>
          <w:kern w:val="0"/>
          <w:sz w:val="24"/>
          <w:szCs w:val="24"/>
          <w:highlight w:val="none"/>
        </w:rPr>
        <w:t>②依托</w:t>
      </w:r>
      <w:r>
        <w:rPr>
          <w:rFonts w:hint="default" w:ascii="Times New Roman" w:hAnsi="Times New Roman" w:eastAsia="宋体" w:cs="Times New Roman"/>
          <w:color w:val="auto"/>
          <w:kern w:val="0"/>
          <w:sz w:val="24"/>
          <w:szCs w:val="24"/>
          <w:highlight w:val="none"/>
          <w:lang w:val="en-US" w:eastAsia="zh-CN"/>
        </w:rPr>
        <w:t>佳木斯西区污水处理厂</w:t>
      </w:r>
      <w:r>
        <w:rPr>
          <w:rFonts w:hint="eastAsia" w:ascii="Times New Roman" w:hAnsi="Times New Roman" w:eastAsia="宋体" w:cs="Times New Roman"/>
          <w:color w:val="auto"/>
          <w:kern w:val="0"/>
          <w:sz w:val="24"/>
          <w:szCs w:val="24"/>
          <w:highlight w:val="none"/>
          <w:lang w:val="en-US" w:eastAsia="zh-CN"/>
        </w:rPr>
        <w:t>可行性</w:t>
      </w:r>
    </w:p>
    <w:p w14:paraId="59A65189">
      <w:pPr>
        <w:widowControl w:val="0"/>
        <w:adjustRightInd/>
        <w:snapToGrid/>
        <w:spacing w:after="0" w:line="360" w:lineRule="auto"/>
        <w:ind w:firstLine="480" w:firstLineChars="200"/>
        <w:jc w:val="both"/>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本项目污水依托</w:t>
      </w:r>
      <w:r>
        <w:rPr>
          <w:rFonts w:hint="default" w:ascii="Times New Roman" w:hAnsi="Times New Roman" w:eastAsia="宋体" w:cs="Times New Roman"/>
          <w:color w:val="auto"/>
          <w:kern w:val="0"/>
          <w:sz w:val="24"/>
          <w:szCs w:val="24"/>
          <w:highlight w:val="none"/>
          <w:lang w:val="en-US" w:eastAsia="zh-CN"/>
        </w:rPr>
        <w:t>佳木斯西区污水处理厂</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val="en-US" w:eastAsia="zh-CN"/>
        </w:rPr>
        <w:t>佳木斯西区污水处理厂</w:t>
      </w:r>
      <w:r>
        <w:rPr>
          <w:rFonts w:hint="default" w:ascii="Times New Roman" w:hAnsi="Times New Roman" w:eastAsia="宋体" w:cs="Times New Roman"/>
          <w:color w:val="auto"/>
          <w:kern w:val="0"/>
          <w:sz w:val="24"/>
          <w:szCs w:val="24"/>
          <w:highlight w:val="none"/>
        </w:rPr>
        <w:t>采用周期循环曝气活性污泥法</w:t>
      </w:r>
      <w:r>
        <w:rPr>
          <w:rFonts w:hint="eastAsia"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CASS</w:t>
      </w:r>
      <w:r>
        <w:rPr>
          <w:rFonts w:hint="eastAsia"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污水处理工艺，水质达到《城镇污水处理厂污染物排放标准》（GB18918-2002）中的一级A标准要求后排入</w:t>
      </w:r>
      <w:r>
        <w:rPr>
          <w:rFonts w:hint="eastAsia" w:ascii="Times New Roman" w:hAnsi="Times New Roman" w:eastAsia="宋体" w:cs="Times New Roman"/>
          <w:color w:val="auto"/>
          <w:kern w:val="0"/>
          <w:sz w:val="24"/>
          <w:szCs w:val="24"/>
          <w:highlight w:val="none"/>
          <w:lang w:val="en-US" w:eastAsia="zh-CN"/>
        </w:rPr>
        <w:t>松花江</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val="en-US" w:eastAsia="zh-CN"/>
        </w:rPr>
        <w:t>佳木斯西区污水处理厂</w:t>
      </w:r>
      <w:r>
        <w:rPr>
          <w:rFonts w:hint="default" w:ascii="Times New Roman" w:hAnsi="Times New Roman" w:eastAsia="宋体" w:cs="Times New Roman"/>
          <w:color w:val="auto"/>
          <w:kern w:val="0"/>
          <w:sz w:val="24"/>
          <w:szCs w:val="24"/>
          <w:highlight w:val="none"/>
        </w:rPr>
        <w:t>处理规模为</w:t>
      </w:r>
      <w:r>
        <w:rPr>
          <w:rFonts w:hint="eastAsia" w:ascii="Times New Roman" w:hAnsi="Times New Roman" w:eastAsia="宋体" w:cs="Times New Roman"/>
          <w:color w:val="auto"/>
          <w:kern w:val="0"/>
          <w:sz w:val="24"/>
          <w:szCs w:val="24"/>
          <w:highlight w:val="none"/>
          <w:lang w:val="en-US" w:eastAsia="zh-CN"/>
        </w:rPr>
        <w:t>10万</w:t>
      </w:r>
      <w:r>
        <w:rPr>
          <w:rFonts w:hint="default" w:ascii="Times New Roman" w:hAnsi="Times New Roman" w:eastAsia="宋体" w:cs="Times New Roman"/>
          <w:color w:val="auto"/>
          <w:kern w:val="0"/>
          <w:sz w:val="24"/>
          <w:szCs w:val="24"/>
          <w:highlight w:val="none"/>
        </w:rPr>
        <w:t>m</w:t>
      </w:r>
      <w:r>
        <w:rPr>
          <w:rFonts w:hint="default" w:ascii="Times New Roman" w:hAnsi="Times New Roman" w:eastAsia="宋体" w:cs="Times New Roman"/>
          <w:color w:val="auto"/>
          <w:kern w:val="0"/>
          <w:sz w:val="24"/>
          <w:szCs w:val="24"/>
          <w:highlight w:val="none"/>
          <w:vertAlign w:val="superscript"/>
        </w:rPr>
        <w:t>3</w:t>
      </w:r>
      <w:r>
        <w:rPr>
          <w:rFonts w:hint="default" w:ascii="Times New Roman" w:hAnsi="Times New Roman" w:eastAsia="宋体" w:cs="Times New Roman"/>
          <w:color w:val="auto"/>
          <w:kern w:val="0"/>
          <w:sz w:val="24"/>
          <w:szCs w:val="24"/>
          <w:highlight w:val="none"/>
        </w:rPr>
        <w:t>/d，</w:t>
      </w:r>
      <w:r>
        <w:rPr>
          <w:rFonts w:hint="eastAsia" w:ascii="Times New Roman" w:hAnsi="Times New Roman" w:cs="Times New Roman"/>
          <w:b w:val="0"/>
          <w:bCs/>
          <w:color w:val="auto"/>
          <w:sz w:val="24"/>
          <w:szCs w:val="24"/>
          <w:highlight w:val="none"/>
          <w:lang w:eastAsia="zh-CN"/>
        </w:rPr>
        <w:t>本项目运营期不新增人员，</w:t>
      </w:r>
      <w:r>
        <w:rPr>
          <w:rFonts w:hint="default" w:ascii="Times New Roman" w:hAnsi="Times New Roman" w:eastAsia="宋体" w:cs="Times New Roman"/>
          <w:b w:val="0"/>
          <w:bCs/>
          <w:color w:val="auto"/>
          <w:sz w:val="24"/>
          <w:szCs w:val="24"/>
          <w:highlight w:val="none"/>
        </w:rPr>
        <w:t>生活污水</w:t>
      </w:r>
      <w:r>
        <w:rPr>
          <w:rFonts w:hint="default" w:ascii="Times New Roman" w:hAnsi="Times New Roman" w:eastAsia="宋体" w:cs="Times New Roman"/>
          <w:b w:val="0"/>
          <w:bCs/>
          <w:color w:val="auto"/>
          <w:sz w:val="24"/>
          <w:szCs w:val="24"/>
          <w:highlight w:val="none"/>
          <w:lang w:eastAsia="zh-CN"/>
        </w:rPr>
        <w:t>，</w:t>
      </w:r>
      <w:r>
        <w:rPr>
          <w:rFonts w:hint="default" w:ascii="Times New Roman" w:hAnsi="Times New Roman" w:eastAsia="宋体" w:cs="Times New Roman"/>
          <w:b w:val="0"/>
          <w:bCs/>
          <w:color w:val="auto"/>
          <w:sz w:val="24"/>
          <w:szCs w:val="24"/>
          <w:highlight w:val="none"/>
          <w:lang w:val="en-US" w:eastAsia="zh-CN"/>
        </w:rPr>
        <w:t>生产废水经处理后回用厂区不外排</w:t>
      </w:r>
      <w:r>
        <w:rPr>
          <w:rFonts w:hint="default" w:ascii="Times New Roman" w:hAnsi="Times New Roman" w:eastAsia="宋体" w:cs="Times New Roman"/>
          <w:color w:val="auto"/>
          <w:kern w:val="0"/>
          <w:sz w:val="24"/>
          <w:szCs w:val="24"/>
          <w:highlight w:val="none"/>
        </w:rPr>
        <w:t>，本项目</w:t>
      </w:r>
      <w:r>
        <w:rPr>
          <w:rFonts w:hint="eastAsia" w:ascii="Times New Roman" w:hAnsi="Times New Roman" w:eastAsia="宋体" w:cs="Times New Roman"/>
          <w:color w:val="auto"/>
          <w:kern w:val="0"/>
          <w:sz w:val="24"/>
          <w:szCs w:val="24"/>
          <w:highlight w:val="none"/>
          <w:lang w:eastAsia="zh-CN"/>
        </w:rPr>
        <w:t>施工期</w:t>
      </w:r>
      <w:r>
        <w:rPr>
          <w:rFonts w:hint="default" w:ascii="Times New Roman" w:hAnsi="Times New Roman" w:eastAsia="宋体" w:cs="Times New Roman"/>
          <w:color w:val="auto"/>
          <w:kern w:val="0"/>
          <w:sz w:val="24"/>
          <w:szCs w:val="24"/>
          <w:highlight w:val="none"/>
        </w:rPr>
        <w:t>废水</w:t>
      </w:r>
      <w:r>
        <w:rPr>
          <w:rFonts w:hint="eastAsia" w:ascii="Times New Roman" w:hAnsi="Times New Roman" w:eastAsia="宋体" w:cs="Times New Roman"/>
          <w:color w:val="auto"/>
          <w:kern w:val="0"/>
          <w:sz w:val="24"/>
          <w:szCs w:val="24"/>
          <w:highlight w:val="none"/>
          <w:lang w:eastAsia="zh-CN"/>
        </w:rPr>
        <w:t>依托厂区内的市政污水管网，</w:t>
      </w:r>
      <w:r>
        <w:rPr>
          <w:rFonts w:hint="default" w:ascii="Times New Roman" w:hAnsi="Times New Roman" w:eastAsia="宋体" w:cs="Times New Roman"/>
          <w:color w:val="auto"/>
          <w:kern w:val="0"/>
          <w:sz w:val="24"/>
          <w:szCs w:val="24"/>
          <w:highlight w:val="none"/>
        </w:rPr>
        <w:t>占</w:t>
      </w:r>
      <w:r>
        <w:rPr>
          <w:rFonts w:hint="eastAsia" w:ascii="Times New Roman" w:hAnsi="Times New Roman" w:eastAsia="宋体" w:cs="Times New Roman"/>
          <w:color w:val="auto"/>
          <w:kern w:val="0"/>
          <w:sz w:val="24"/>
          <w:szCs w:val="24"/>
          <w:highlight w:val="none"/>
          <w:lang w:eastAsia="zh-CN"/>
        </w:rPr>
        <w:t>污水处理厂</w:t>
      </w:r>
      <w:r>
        <w:rPr>
          <w:rFonts w:hint="default" w:ascii="Times New Roman" w:hAnsi="Times New Roman" w:eastAsia="宋体" w:cs="Times New Roman"/>
          <w:color w:val="auto"/>
          <w:kern w:val="0"/>
          <w:sz w:val="24"/>
          <w:szCs w:val="24"/>
          <w:highlight w:val="none"/>
        </w:rPr>
        <w:t>处理水量比例很小，因此</w:t>
      </w:r>
      <w:r>
        <w:rPr>
          <w:rFonts w:hint="default" w:ascii="Times New Roman" w:hAnsi="Times New Roman" w:eastAsia="宋体" w:cs="Times New Roman"/>
          <w:color w:val="auto"/>
          <w:kern w:val="0"/>
          <w:sz w:val="24"/>
          <w:szCs w:val="24"/>
          <w:highlight w:val="none"/>
          <w:lang w:val="en-US" w:eastAsia="zh-CN"/>
        </w:rPr>
        <w:t>佳木斯西区污水处理厂</w:t>
      </w:r>
      <w:r>
        <w:rPr>
          <w:rFonts w:hint="default" w:ascii="Times New Roman" w:hAnsi="Times New Roman" w:eastAsia="宋体" w:cs="Times New Roman"/>
          <w:color w:val="auto"/>
          <w:kern w:val="0"/>
          <w:sz w:val="24"/>
          <w:szCs w:val="24"/>
          <w:highlight w:val="none"/>
        </w:rPr>
        <w:t>可以完全接纳本项目排放的废水量。并且本项目所在位置为</w:t>
      </w:r>
      <w:r>
        <w:rPr>
          <w:rFonts w:hint="default" w:ascii="Times New Roman" w:hAnsi="Times New Roman" w:eastAsia="宋体" w:cs="Times New Roman"/>
          <w:color w:val="auto"/>
          <w:kern w:val="0"/>
          <w:sz w:val="24"/>
          <w:szCs w:val="24"/>
          <w:highlight w:val="none"/>
          <w:lang w:val="en-US" w:eastAsia="zh-CN"/>
        </w:rPr>
        <w:t>佳木斯西区污水处理厂</w:t>
      </w:r>
      <w:r>
        <w:rPr>
          <w:rFonts w:hint="default" w:ascii="Times New Roman" w:hAnsi="Times New Roman" w:eastAsia="宋体" w:cs="Times New Roman"/>
          <w:color w:val="auto"/>
          <w:kern w:val="0"/>
          <w:sz w:val="24"/>
          <w:szCs w:val="24"/>
          <w:highlight w:val="none"/>
        </w:rPr>
        <w:t>的纳污范围内，污水处理厂的进水指标见下表。</w:t>
      </w:r>
    </w:p>
    <w:p w14:paraId="335A50B2">
      <w:pPr>
        <w:pStyle w:val="103"/>
        <w:adjustRightInd w:val="0"/>
        <w:snapToGrid w:val="0"/>
        <w:spacing w:line="520" w:lineRule="exact"/>
        <w:jc w:val="center"/>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w:t>
      </w:r>
      <w:r>
        <w:rPr>
          <w:rFonts w:hint="eastAsia" w:eastAsia="宋体" w:cs="Times New Roman"/>
          <w:color w:val="auto"/>
          <w:sz w:val="24"/>
          <w:szCs w:val="24"/>
          <w:highlight w:val="none"/>
          <w:lang w:val="en-US" w:eastAsia="zh-CN"/>
        </w:rPr>
        <w:t>6.2-30</w:t>
      </w:r>
      <w:r>
        <w:rPr>
          <w:rFonts w:hint="default" w:ascii="Times New Roman" w:hAnsi="Times New Roman" w:eastAsia="宋体" w:cs="Times New Roman"/>
          <w:color w:val="auto"/>
          <w:sz w:val="24"/>
          <w:szCs w:val="24"/>
          <w:highlight w:val="none"/>
        </w:rPr>
        <w:t xml:space="preserve"> 污水处理厂进水指标</w:t>
      </w:r>
      <w:r>
        <w:rPr>
          <w:rFonts w:hint="eastAsia" w:ascii="Times New Roman" w:hAnsi="Times New Roman" w:eastAsia="宋体" w:cs="Times New Roman"/>
          <w:color w:val="auto"/>
          <w:sz w:val="24"/>
          <w:szCs w:val="24"/>
          <w:highlight w:val="none"/>
          <w:lang w:val="en-US" w:eastAsia="zh-CN"/>
        </w:rPr>
        <w:t xml:space="preserve">  单位：mg/L</w:t>
      </w:r>
    </w:p>
    <w:tbl>
      <w:tblPr>
        <w:tblStyle w:val="37"/>
        <w:tblW w:w="4999" w:type="pct"/>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autofit"/>
        <w:tblCellMar>
          <w:top w:w="0" w:type="dxa"/>
          <w:left w:w="0" w:type="dxa"/>
          <w:bottom w:w="0" w:type="dxa"/>
          <w:right w:w="0" w:type="dxa"/>
        </w:tblCellMar>
      </w:tblPr>
      <w:tblGrid>
        <w:gridCol w:w="1661"/>
        <w:gridCol w:w="1662"/>
        <w:gridCol w:w="1662"/>
        <w:gridCol w:w="1662"/>
        <w:gridCol w:w="1662"/>
      </w:tblGrid>
      <w:tr w14:paraId="2259BD9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48" w:hRule="atLeast"/>
          <w:jc w:val="center"/>
        </w:trPr>
        <w:tc>
          <w:tcPr>
            <w:tcW w:w="1000" w:type="pct"/>
            <w:tcBorders>
              <w:left w:val="dotted" w:color="000000" w:sz="4" w:space="0"/>
              <w:bottom w:val="single" w:color="000000" w:sz="2" w:space="0"/>
              <w:right w:val="single" w:color="000000" w:sz="2" w:space="0"/>
            </w:tcBorders>
            <w:vAlign w:val="center"/>
          </w:tcPr>
          <w:p w14:paraId="7C8ACE91">
            <w:pPr>
              <w:pStyle w:val="8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项目</w:t>
            </w:r>
          </w:p>
        </w:tc>
        <w:tc>
          <w:tcPr>
            <w:tcW w:w="1000" w:type="pct"/>
            <w:tcBorders>
              <w:left w:val="single" w:color="000000" w:sz="2" w:space="0"/>
              <w:bottom w:val="single" w:color="000000" w:sz="2" w:space="0"/>
              <w:right w:val="single" w:color="000000" w:sz="2" w:space="0"/>
            </w:tcBorders>
            <w:vAlign w:val="center"/>
          </w:tcPr>
          <w:p w14:paraId="28321E24">
            <w:pPr>
              <w:pStyle w:val="8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COD</w:t>
            </w:r>
          </w:p>
        </w:tc>
        <w:tc>
          <w:tcPr>
            <w:tcW w:w="1000" w:type="pct"/>
            <w:tcBorders>
              <w:left w:val="single" w:color="000000" w:sz="2" w:space="0"/>
              <w:bottom w:val="single" w:color="000000" w:sz="2" w:space="0"/>
              <w:right w:val="single" w:color="000000" w:sz="2" w:space="0"/>
            </w:tcBorders>
            <w:vAlign w:val="center"/>
          </w:tcPr>
          <w:p w14:paraId="21C00286">
            <w:pPr>
              <w:pStyle w:val="8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BOD</w:t>
            </w:r>
            <w:r>
              <w:rPr>
                <w:rFonts w:hint="default" w:ascii="Times New Roman" w:hAnsi="Times New Roman" w:eastAsia="宋体" w:cs="Times New Roman"/>
                <w:color w:val="auto"/>
                <w:sz w:val="21"/>
                <w:szCs w:val="21"/>
                <w:highlight w:val="none"/>
                <w:vertAlign w:val="subscript"/>
                <w:lang w:val="en-US" w:eastAsia="zh-CN"/>
              </w:rPr>
              <w:t>5</w:t>
            </w:r>
          </w:p>
        </w:tc>
        <w:tc>
          <w:tcPr>
            <w:tcW w:w="1000" w:type="pct"/>
            <w:tcBorders>
              <w:left w:val="single" w:color="000000" w:sz="2" w:space="0"/>
              <w:bottom w:val="single" w:color="000000" w:sz="2" w:space="0"/>
              <w:right w:val="single" w:color="000000" w:sz="2" w:space="0"/>
            </w:tcBorders>
            <w:vAlign w:val="center"/>
          </w:tcPr>
          <w:p w14:paraId="07A7F658">
            <w:pPr>
              <w:pStyle w:val="8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SS</w:t>
            </w:r>
          </w:p>
        </w:tc>
        <w:tc>
          <w:tcPr>
            <w:tcW w:w="1000" w:type="pct"/>
            <w:tcBorders>
              <w:left w:val="single" w:color="000000" w:sz="2" w:space="0"/>
              <w:bottom w:val="single" w:color="000000" w:sz="2" w:space="0"/>
              <w:right w:val="nil"/>
            </w:tcBorders>
            <w:vAlign w:val="center"/>
          </w:tcPr>
          <w:p w14:paraId="3C3B3971">
            <w:pPr>
              <w:pStyle w:val="8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NH</w:t>
            </w:r>
            <w:r>
              <w:rPr>
                <w:rFonts w:hint="default" w:ascii="Times New Roman" w:hAnsi="Times New Roman" w:eastAsia="宋体" w:cs="Times New Roman"/>
                <w:color w:val="auto"/>
                <w:sz w:val="21"/>
                <w:szCs w:val="21"/>
                <w:highlight w:val="none"/>
                <w:vertAlign w:val="subscript"/>
                <w:lang w:val="en-US" w:eastAsia="zh-CN"/>
              </w:rPr>
              <w:t>3</w:t>
            </w:r>
            <w:r>
              <w:rPr>
                <w:rFonts w:hint="default" w:ascii="Times New Roman" w:hAnsi="Times New Roman" w:eastAsia="宋体" w:cs="Times New Roman"/>
                <w:color w:val="auto"/>
                <w:sz w:val="21"/>
                <w:szCs w:val="21"/>
                <w:highlight w:val="none"/>
                <w:lang w:val="en-US" w:eastAsia="zh-CN"/>
              </w:rPr>
              <w:t>-N</w:t>
            </w:r>
          </w:p>
        </w:tc>
      </w:tr>
      <w:tr w14:paraId="2D3181D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36" w:hRule="atLeast"/>
          <w:jc w:val="center"/>
        </w:trPr>
        <w:tc>
          <w:tcPr>
            <w:tcW w:w="1000" w:type="pct"/>
            <w:tcBorders>
              <w:top w:val="single" w:color="000000" w:sz="2" w:space="0"/>
              <w:left w:val="dotted" w:color="000000" w:sz="4" w:space="0"/>
              <w:right w:val="single" w:color="000000" w:sz="2" w:space="0"/>
            </w:tcBorders>
            <w:vAlign w:val="center"/>
          </w:tcPr>
          <w:p w14:paraId="61C4237B">
            <w:pPr>
              <w:pStyle w:val="80"/>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进水</w:t>
            </w:r>
          </w:p>
        </w:tc>
        <w:tc>
          <w:tcPr>
            <w:tcW w:w="1000" w:type="pct"/>
            <w:tcBorders>
              <w:top w:val="single" w:color="000000" w:sz="2" w:space="0"/>
              <w:left w:val="single" w:color="000000" w:sz="2" w:space="0"/>
              <w:right w:val="single" w:color="000000" w:sz="2" w:space="0"/>
            </w:tcBorders>
            <w:vAlign w:val="center"/>
          </w:tcPr>
          <w:p w14:paraId="77BE9BE5">
            <w:pPr>
              <w:pStyle w:val="80"/>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350</w:t>
            </w:r>
          </w:p>
        </w:tc>
        <w:tc>
          <w:tcPr>
            <w:tcW w:w="1000" w:type="pct"/>
            <w:tcBorders>
              <w:top w:val="single" w:color="000000" w:sz="2" w:space="0"/>
              <w:left w:val="single" w:color="000000" w:sz="2" w:space="0"/>
              <w:right w:val="single" w:color="000000" w:sz="2" w:space="0"/>
            </w:tcBorders>
            <w:vAlign w:val="center"/>
          </w:tcPr>
          <w:p w14:paraId="1FAFFFE8">
            <w:pPr>
              <w:pStyle w:val="80"/>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160</w:t>
            </w:r>
          </w:p>
        </w:tc>
        <w:tc>
          <w:tcPr>
            <w:tcW w:w="1000" w:type="pct"/>
            <w:tcBorders>
              <w:top w:val="single" w:color="000000" w:sz="2" w:space="0"/>
              <w:left w:val="single" w:color="000000" w:sz="2" w:space="0"/>
              <w:right w:val="single" w:color="000000" w:sz="2" w:space="0"/>
            </w:tcBorders>
            <w:vAlign w:val="center"/>
          </w:tcPr>
          <w:p w14:paraId="2C10E700">
            <w:pPr>
              <w:pStyle w:val="80"/>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200</w:t>
            </w:r>
          </w:p>
        </w:tc>
        <w:tc>
          <w:tcPr>
            <w:tcW w:w="1000" w:type="pct"/>
            <w:tcBorders>
              <w:top w:val="single" w:color="000000" w:sz="2" w:space="0"/>
              <w:left w:val="single" w:color="000000" w:sz="2" w:space="0"/>
              <w:right w:val="nil"/>
            </w:tcBorders>
            <w:vAlign w:val="center"/>
          </w:tcPr>
          <w:p w14:paraId="32FA33CE">
            <w:pPr>
              <w:pStyle w:val="80"/>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35</w:t>
            </w:r>
          </w:p>
        </w:tc>
      </w:tr>
    </w:tbl>
    <w:p w14:paraId="04294796">
      <w:pPr>
        <w:pStyle w:val="47"/>
        <w:keepNext w:val="0"/>
        <w:keepLines w:val="0"/>
        <w:pageBreakBefore w:val="0"/>
        <w:widowControl w:val="0"/>
        <w:numPr>
          <w:ilvl w:val="0"/>
          <w:numId w:val="0"/>
        </w:numPr>
        <w:kinsoku/>
        <w:wordWrap/>
        <w:overflowPunct/>
        <w:topLinePunct w:val="0"/>
        <w:autoSpaceDE w:val="0"/>
        <w:autoSpaceDN w:val="0"/>
        <w:bidi w:val="0"/>
        <w:adjustRightInd/>
        <w:snapToGrid/>
        <w:spacing w:line="480" w:lineRule="exact"/>
        <w:ind w:firstLine="480" w:firstLineChars="200"/>
        <w:jc w:val="both"/>
        <w:textAlignment w:val="auto"/>
        <w:outlineLvl w:val="9"/>
        <w:rPr>
          <w:rFonts w:hint="default" w:ascii="Times New Roman" w:hAnsi="Times New Roman" w:eastAsia="宋体" w:cs="Times New Roman"/>
          <w:color w:val="auto"/>
          <w:sz w:val="24"/>
          <w:szCs w:val="24"/>
          <w:highlight w:val="none"/>
          <w:lang w:val="en-US" w:eastAsia="zh-CN" w:bidi="ar"/>
        </w:rPr>
      </w:pPr>
      <w:r>
        <w:rPr>
          <w:rFonts w:hint="default" w:ascii="Times New Roman" w:hAnsi="Times New Roman" w:eastAsia="宋体" w:cs="Times New Roman"/>
          <w:color w:val="auto"/>
          <w:sz w:val="24"/>
          <w:szCs w:val="24"/>
          <w:highlight w:val="none"/>
          <w:lang w:val="en-US" w:eastAsia="zh-CN" w:bidi="ar"/>
        </w:rPr>
        <w:t>本项目</w:t>
      </w:r>
      <w:r>
        <w:rPr>
          <w:rFonts w:hint="eastAsia" w:ascii="Times New Roman" w:hAnsi="Times New Roman" w:cs="Times New Roman"/>
          <w:color w:val="auto"/>
          <w:sz w:val="24"/>
          <w:szCs w:val="24"/>
          <w:highlight w:val="none"/>
          <w:lang w:val="en-US" w:eastAsia="zh-CN" w:bidi="ar"/>
        </w:rPr>
        <w:t>不新增生活污水</w:t>
      </w:r>
      <w:r>
        <w:rPr>
          <w:rFonts w:hint="default" w:ascii="Times New Roman" w:hAnsi="Times New Roman" w:eastAsia="宋体" w:cs="Times New Roman"/>
          <w:color w:val="auto"/>
          <w:sz w:val="24"/>
          <w:szCs w:val="24"/>
          <w:highlight w:val="none"/>
          <w:lang w:val="en-US" w:eastAsia="zh-CN" w:bidi="ar"/>
        </w:rPr>
        <w:t>，</w:t>
      </w:r>
      <w:r>
        <w:rPr>
          <w:rFonts w:hint="eastAsia" w:ascii="Times New Roman" w:hAnsi="Times New Roman" w:cs="Times New Roman"/>
          <w:color w:val="auto"/>
          <w:sz w:val="24"/>
          <w:szCs w:val="24"/>
          <w:highlight w:val="none"/>
          <w:lang w:val="en-US" w:eastAsia="zh-CN" w:bidi="ar"/>
        </w:rPr>
        <w:t>生产废水全部回用，现有生活污水</w:t>
      </w:r>
      <w:r>
        <w:rPr>
          <w:rFonts w:hint="default" w:ascii="Times New Roman" w:hAnsi="Times New Roman" w:eastAsia="宋体" w:cs="Times New Roman"/>
          <w:color w:val="auto"/>
          <w:sz w:val="24"/>
          <w:szCs w:val="24"/>
          <w:highlight w:val="none"/>
          <w:lang w:val="en-US" w:eastAsia="zh-CN" w:bidi="ar"/>
        </w:rPr>
        <w:t>满足佳木斯西区污水处理厂进水要求。</w:t>
      </w:r>
    </w:p>
    <w:p w14:paraId="3D7454DE">
      <w:pPr>
        <w:pStyle w:val="47"/>
        <w:keepNext w:val="0"/>
        <w:keepLines w:val="0"/>
        <w:pageBreakBefore w:val="0"/>
        <w:widowControl w:val="0"/>
        <w:numPr>
          <w:ilvl w:val="0"/>
          <w:numId w:val="0"/>
        </w:numPr>
        <w:kinsoku/>
        <w:wordWrap/>
        <w:overflowPunct/>
        <w:topLinePunct w:val="0"/>
        <w:autoSpaceDE w:val="0"/>
        <w:autoSpaceDN w:val="0"/>
        <w:bidi w:val="0"/>
        <w:adjustRightInd/>
        <w:snapToGrid/>
        <w:spacing w:line="480" w:lineRule="exact"/>
        <w:ind w:firstLine="480" w:firstLineChars="200"/>
        <w:jc w:val="both"/>
        <w:textAlignment w:val="auto"/>
        <w:outlineLvl w:val="9"/>
        <w:rPr>
          <w:rFonts w:hint="default" w:ascii="Times New Roman" w:hAnsi="Times New Roman" w:eastAsia="宋体" w:cs="Times New Roman"/>
          <w:color w:val="auto"/>
          <w:sz w:val="24"/>
          <w:szCs w:val="24"/>
          <w:highlight w:val="none"/>
          <w:lang w:val="en-US" w:eastAsia="zh-CN" w:bidi="ar"/>
        </w:rPr>
      </w:pPr>
      <w:r>
        <w:rPr>
          <w:rFonts w:hint="eastAsia" w:ascii="Times New Roman" w:hAnsi="Times New Roman" w:eastAsia="宋体" w:cs="Times New Roman"/>
          <w:color w:val="auto"/>
          <w:sz w:val="24"/>
          <w:szCs w:val="24"/>
          <w:highlight w:val="none"/>
          <w:lang w:val="en-US" w:eastAsia="zh-CN" w:bidi="ar"/>
        </w:rPr>
        <w:t>佳木斯龙江环保水务有限公司</w:t>
      </w:r>
      <w:r>
        <w:rPr>
          <w:rFonts w:hint="eastAsia" w:ascii="Times New Roman" w:hAnsi="Times New Roman" w:cs="Times New Roman"/>
          <w:color w:val="auto"/>
          <w:sz w:val="24"/>
          <w:szCs w:val="24"/>
          <w:highlight w:val="none"/>
          <w:lang w:val="en-US" w:eastAsia="zh-CN" w:bidi="ar"/>
        </w:rPr>
        <w:t>为佳木斯西区污水处理厂运营单位，该单位</w:t>
      </w:r>
      <w:r>
        <w:rPr>
          <w:rFonts w:hint="default" w:ascii="Times New Roman" w:hAnsi="Times New Roman" w:eastAsia="宋体" w:cs="Times New Roman"/>
          <w:color w:val="auto"/>
          <w:sz w:val="24"/>
          <w:szCs w:val="24"/>
          <w:highlight w:val="none"/>
          <w:lang w:val="en-US" w:eastAsia="zh-CN" w:bidi="ar"/>
        </w:rPr>
        <w:t>已于2019年</w:t>
      </w:r>
      <w:r>
        <w:rPr>
          <w:rFonts w:hint="eastAsia" w:ascii="Times New Roman" w:hAnsi="Times New Roman" w:eastAsia="宋体" w:cs="Times New Roman"/>
          <w:color w:val="auto"/>
          <w:sz w:val="24"/>
          <w:szCs w:val="24"/>
          <w:highlight w:val="none"/>
          <w:lang w:val="en-US" w:eastAsia="zh-CN" w:bidi="ar"/>
        </w:rPr>
        <w:t>6</w:t>
      </w:r>
      <w:r>
        <w:rPr>
          <w:rFonts w:hint="default" w:ascii="Times New Roman" w:hAnsi="Times New Roman" w:eastAsia="宋体" w:cs="Times New Roman"/>
          <w:color w:val="auto"/>
          <w:sz w:val="24"/>
          <w:szCs w:val="24"/>
          <w:highlight w:val="none"/>
          <w:lang w:val="en-US" w:eastAsia="zh-CN" w:bidi="ar"/>
        </w:rPr>
        <w:t>月</w:t>
      </w:r>
      <w:r>
        <w:rPr>
          <w:rFonts w:hint="eastAsia" w:ascii="Times New Roman" w:hAnsi="Times New Roman" w:eastAsia="宋体" w:cs="Times New Roman"/>
          <w:color w:val="auto"/>
          <w:sz w:val="24"/>
          <w:szCs w:val="24"/>
          <w:highlight w:val="none"/>
          <w:lang w:val="en-US" w:eastAsia="zh-CN" w:bidi="ar"/>
        </w:rPr>
        <w:t>2</w:t>
      </w:r>
      <w:r>
        <w:rPr>
          <w:rFonts w:hint="eastAsia" w:ascii="Times New Roman" w:hAnsi="Times New Roman" w:cs="Times New Roman"/>
          <w:color w:val="auto"/>
          <w:sz w:val="24"/>
          <w:szCs w:val="24"/>
          <w:highlight w:val="none"/>
          <w:lang w:val="en-US" w:eastAsia="zh-CN" w:bidi="ar"/>
        </w:rPr>
        <w:t>7</w:t>
      </w:r>
      <w:r>
        <w:rPr>
          <w:rFonts w:hint="default" w:ascii="Times New Roman" w:hAnsi="Times New Roman" w:eastAsia="宋体" w:cs="Times New Roman"/>
          <w:color w:val="auto"/>
          <w:sz w:val="24"/>
          <w:szCs w:val="24"/>
          <w:highlight w:val="none"/>
          <w:lang w:val="en-US" w:eastAsia="zh-CN" w:bidi="ar"/>
        </w:rPr>
        <w:t>日取得</w:t>
      </w:r>
      <w:r>
        <w:rPr>
          <w:rFonts w:hint="eastAsia" w:ascii="Times New Roman" w:hAnsi="Times New Roman" w:cs="Times New Roman"/>
          <w:color w:val="auto"/>
          <w:sz w:val="24"/>
          <w:szCs w:val="24"/>
          <w:highlight w:val="none"/>
          <w:lang w:val="en-US" w:eastAsia="zh-CN" w:bidi="ar"/>
        </w:rPr>
        <w:t>佳木斯</w:t>
      </w:r>
      <w:r>
        <w:rPr>
          <w:rFonts w:hint="default" w:ascii="Times New Roman" w:hAnsi="Times New Roman" w:eastAsia="宋体" w:cs="Times New Roman"/>
          <w:color w:val="auto"/>
          <w:sz w:val="24"/>
          <w:szCs w:val="24"/>
          <w:highlight w:val="none"/>
          <w:lang w:val="en-US" w:eastAsia="zh-CN" w:bidi="ar"/>
        </w:rPr>
        <w:t>市生态环境局颁发的排污许可证，生产经营场所地址</w:t>
      </w:r>
      <w:r>
        <w:rPr>
          <w:rFonts w:hint="eastAsia" w:ascii="Times New Roman" w:hAnsi="Times New Roman" w:cs="Times New Roman"/>
          <w:color w:val="auto"/>
          <w:sz w:val="24"/>
          <w:szCs w:val="24"/>
          <w:highlight w:val="none"/>
          <w:lang w:val="en-US" w:eastAsia="zh-CN" w:bidi="ar"/>
        </w:rPr>
        <w:t>：</w:t>
      </w:r>
      <w:r>
        <w:rPr>
          <w:rFonts w:hint="default" w:ascii="Times New Roman" w:hAnsi="Times New Roman" w:eastAsia="宋体" w:cs="Times New Roman"/>
          <w:color w:val="auto"/>
          <w:sz w:val="24"/>
          <w:szCs w:val="24"/>
          <w:highlight w:val="none"/>
          <w:lang w:val="en-US" w:eastAsia="zh-CN" w:bidi="ar"/>
        </w:rPr>
        <w:t>黑龙江省佳木斯</w:t>
      </w:r>
      <w:r>
        <w:rPr>
          <w:rFonts w:hint="eastAsia" w:ascii="Times New Roman" w:hAnsi="Times New Roman" w:cs="Times New Roman"/>
          <w:color w:val="auto"/>
          <w:sz w:val="24"/>
          <w:szCs w:val="24"/>
          <w:highlight w:val="none"/>
          <w:lang w:val="en-US" w:eastAsia="zh-CN" w:bidi="ar"/>
        </w:rPr>
        <w:t>市</w:t>
      </w:r>
      <w:r>
        <w:rPr>
          <w:rFonts w:hint="default" w:ascii="Times New Roman" w:hAnsi="Times New Roman" w:eastAsia="宋体" w:cs="Times New Roman"/>
          <w:color w:val="auto"/>
          <w:sz w:val="24"/>
          <w:szCs w:val="24"/>
          <w:highlight w:val="none"/>
          <w:lang w:val="en-US" w:eastAsia="zh-CN" w:bidi="ar"/>
        </w:rPr>
        <w:t>郊区水清街88号 </w:t>
      </w:r>
      <w:r>
        <w:rPr>
          <w:rFonts w:hint="eastAsia" w:ascii="Times New Roman" w:hAnsi="Times New Roman" w:eastAsia="宋体" w:cs="Times New Roman"/>
          <w:color w:val="auto"/>
          <w:sz w:val="24"/>
          <w:szCs w:val="24"/>
          <w:highlight w:val="none"/>
          <w:lang w:val="en-US" w:eastAsia="zh-CN" w:bidi="ar"/>
        </w:rPr>
        <w:t>，</w:t>
      </w:r>
      <w:r>
        <w:rPr>
          <w:rFonts w:hint="default" w:ascii="Times New Roman" w:hAnsi="Times New Roman" w:eastAsia="宋体" w:cs="Times New Roman"/>
          <w:color w:val="auto"/>
          <w:sz w:val="24"/>
          <w:szCs w:val="24"/>
          <w:highlight w:val="none"/>
          <w:lang w:val="en-US" w:eastAsia="zh-CN" w:bidi="ar"/>
        </w:rPr>
        <w:t>证书编号为912308007726234274002W，行业类别为污水处理及其再生利用。并完成了年度执行报告的填写。</w:t>
      </w:r>
    </w:p>
    <w:p w14:paraId="59A9CAD6">
      <w:pPr>
        <w:pStyle w:val="69"/>
        <w:keepNext w:val="0"/>
        <w:keepLines w:val="0"/>
        <w:pageBreakBefore w:val="0"/>
        <w:widowControl w:val="0"/>
        <w:numPr>
          <w:ilvl w:val="0"/>
          <w:numId w:val="0"/>
        </w:numPr>
        <w:kinsoku/>
        <w:wordWrap/>
        <w:overflowPunct/>
        <w:topLinePunct w:val="0"/>
        <w:autoSpaceDE/>
        <w:autoSpaceDN/>
        <w:bidi w:val="0"/>
        <w:snapToGrid/>
        <w:spacing w:line="480" w:lineRule="exact"/>
        <w:ind w:left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水污染物排放量核算结果</w:t>
      </w:r>
    </w:p>
    <w:p w14:paraId="45B68F1D">
      <w:pPr>
        <w:pStyle w:val="65"/>
        <w:keepNext w:val="0"/>
        <w:keepLines w:val="0"/>
        <w:pageBreakBefore w:val="0"/>
        <w:widowControl w:val="0"/>
        <w:kinsoku/>
        <w:wordWrap/>
        <w:overflowPunct/>
        <w:topLinePunct/>
        <w:autoSpaceDE/>
        <w:autoSpaceDN/>
        <w:bidi w:val="0"/>
        <w:adjustRightInd w:val="0"/>
        <w:snapToGrid w:val="0"/>
        <w:spacing w:line="480" w:lineRule="exact"/>
        <w:ind w:left="0" w:leftChars="0" w:firstLine="480" w:firstLineChars="200"/>
        <w:jc w:val="both"/>
        <w:textAlignment w:val="baseline"/>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根据《环境影响评价技术导则</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地</w:t>
      </w:r>
      <w:r>
        <w:rPr>
          <w:rFonts w:hint="default" w:ascii="Times New Roman" w:hAnsi="Times New Roman" w:eastAsia="宋体" w:cs="Times New Roman"/>
          <w:color w:val="auto"/>
          <w:sz w:val="24"/>
          <w:szCs w:val="24"/>
          <w:highlight w:val="none"/>
          <w:lang w:val="en-US" w:eastAsia="zh-CN"/>
        </w:rPr>
        <w:t>表</w:t>
      </w:r>
      <w:r>
        <w:rPr>
          <w:rFonts w:hint="default" w:ascii="Times New Roman" w:hAnsi="Times New Roman" w:eastAsia="宋体" w:cs="Times New Roman"/>
          <w:color w:val="auto"/>
          <w:sz w:val="24"/>
          <w:szCs w:val="24"/>
          <w:highlight w:val="none"/>
        </w:rPr>
        <w:t>水环境》（HJ2.3-2018）的要求“间接排放建设项目污染源排放量核算依据依托污水处理设施的控制要求核算确定”。所以本项目根据</w:t>
      </w:r>
      <w:r>
        <w:rPr>
          <w:rFonts w:hint="default" w:ascii="Times New Roman" w:hAnsi="Times New Roman" w:eastAsia="宋体" w:cs="Times New Roman"/>
          <w:color w:val="auto"/>
          <w:sz w:val="24"/>
          <w:szCs w:val="24"/>
          <w:highlight w:val="none"/>
          <w:lang w:eastAsia="zh-CN"/>
        </w:rPr>
        <w:t>污水量</w:t>
      </w:r>
      <w:r>
        <w:rPr>
          <w:rFonts w:hint="default" w:ascii="Times New Roman" w:hAnsi="Times New Roman" w:eastAsia="宋体" w:cs="Times New Roman"/>
          <w:color w:val="auto"/>
          <w:sz w:val="24"/>
          <w:szCs w:val="24"/>
          <w:highlight w:val="none"/>
        </w:rPr>
        <w:t>和</w:t>
      </w:r>
      <w:r>
        <w:rPr>
          <w:rFonts w:hint="eastAsia" w:ascii="Times New Roman" w:hAnsi="Times New Roman" w:eastAsia="宋体" w:cs="Times New Roman"/>
          <w:bCs/>
          <w:snapToGrid w:val="0"/>
          <w:color w:val="auto"/>
          <w:spacing w:val="0"/>
          <w:kern w:val="2"/>
          <w:sz w:val="24"/>
          <w:highlight w:val="none"/>
          <w:lang w:val="en-US" w:eastAsia="zh-CN"/>
        </w:rPr>
        <w:t>佳木斯西区污水处理厂</w:t>
      </w:r>
      <w:r>
        <w:rPr>
          <w:rFonts w:hint="default" w:ascii="Times New Roman" w:hAnsi="Times New Roman" w:eastAsia="宋体" w:cs="Times New Roman"/>
          <w:color w:val="auto"/>
          <w:sz w:val="24"/>
          <w:szCs w:val="24"/>
          <w:highlight w:val="none"/>
        </w:rPr>
        <w:t>排水标准核算了本项目最终的排放量。</w:t>
      </w:r>
      <w:r>
        <w:rPr>
          <w:rFonts w:hint="default" w:ascii="Times New Roman" w:hAnsi="Times New Roman" w:eastAsia="宋体" w:cs="Times New Roman"/>
          <w:color w:val="auto"/>
          <w:sz w:val="24"/>
          <w:szCs w:val="24"/>
          <w:highlight w:val="none"/>
          <w:lang w:eastAsia="zh-CN"/>
        </w:rPr>
        <w:t>废水类别、污染物及污染治理设施信息表见表</w:t>
      </w:r>
      <w:r>
        <w:rPr>
          <w:rFonts w:hint="default" w:ascii="Times New Roman" w:hAnsi="Times New Roman" w:eastAsia="宋体" w:cs="Times New Roman"/>
          <w:color w:val="auto"/>
          <w:sz w:val="24"/>
          <w:szCs w:val="24"/>
          <w:highlight w:val="none"/>
          <w:lang w:val="en-US" w:eastAsia="zh-CN"/>
        </w:rPr>
        <w:t>6.2-3</w:t>
      </w:r>
      <w:r>
        <w:rPr>
          <w:rFonts w:hint="eastAsia"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，废水间接排放口信息表见表6.2-</w:t>
      </w:r>
      <w:r>
        <w:rPr>
          <w:rFonts w:hint="eastAsia" w:ascii="Times New Roman" w:hAnsi="Times New Roman" w:eastAsia="宋体" w:cs="Times New Roman"/>
          <w:color w:val="auto"/>
          <w:sz w:val="24"/>
          <w:szCs w:val="24"/>
          <w:highlight w:val="none"/>
          <w:lang w:val="en-US" w:eastAsia="zh-CN"/>
        </w:rPr>
        <w:t>31</w:t>
      </w:r>
      <w:r>
        <w:rPr>
          <w:rFonts w:hint="default" w:ascii="Times New Roman" w:hAnsi="Times New Roman" w:eastAsia="宋体" w:cs="Times New Roman"/>
          <w:color w:val="auto"/>
          <w:sz w:val="24"/>
          <w:szCs w:val="24"/>
          <w:highlight w:val="none"/>
          <w:lang w:val="en-US" w:eastAsia="zh-CN"/>
        </w:rPr>
        <w:t>，废水污染物排放标准执行表见表6</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2-</w:t>
      </w:r>
      <w:r>
        <w:rPr>
          <w:rFonts w:hint="eastAsia" w:ascii="Times New Roman" w:hAnsi="Times New Roman" w:eastAsia="宋体" w:cs="Times New Roman"/>
          <w:color w:val="auto"/>
          <w:sz w:val="24"/>
          <w:szCs w:val="24"/>
          <w:highlight w:val="none"/>
          <w:lang w:val="en-US" w:eastAsia="zh-CN"/>
        </w:rPr>
        <w:t>32</w:t>
      </w:r>
      <w:r>
        <w:rPr>
          <w:rFonts w:hint="default" w:ascii="Times New Roman" w:hAnsi="Times New Roman" w:eastAsia="宋体" w:cs="Times New Roman"/>
          <w:color w:val="auto"/>
          <w:sz w:val="24"/>
          <w:szCs w:val="24"/>
          <w:highlight w:val="none"/>
          <w:lang w:val="en-US" w:eastAsia="zh-CN"/>
        </w:rPr>
        <w:t>。</w:t>
      </w:r>
    </w:p>
    <w:p w14:paraId="3BB31B8B">
      <w:pPr>
        <w:pStyle w:val="65"/>
        <w:keepNext w:val="0"/>
        <w:keepLines w:val="0"/>
        <w:pageBreakBefore w:val="0"/>
        <w:widowControl w:val="0"/>
        <w:kinsoku/>
        <w:wordWrap/>
        <w:overflowPunct/>
        <w:topLinePunct/>
        <w:autoSpaceDE/>
        <w:autoSpaceDN/>
        <w:bidi w:val="0"/>
        <w:adjustRightInd w:val="0"/>
        <w:snapToGrid w:val="0"/>
        <w:spacing w:line="480" w:lineRule="exact"/>
        <w:ind w:left="0" w:leftChars="0" w:firstLine="0" w:firstLineChars="0"/>
        <w:jc w:val="center"/>
        <w:textAlignment w:val="baseline"/>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rPr>
        <w:t>表</w:t>
      </w:r>
      <w:r>
        <w:rPr>
          <w:rFonts w:hint="default" w:ascii="Times New Roman" w:hAnsi="Times New Roman" w:eastAsia="宋体" w:cs="Times New Roman"/>
          <w:b w:val="0"/>
          <w:bCs w:val="0"/>
          <w:color w:val="auto"/>
          <w:sz w:val="24"/>
          <w:szCs w:val="24"/>
          <w:highlight w:val="none"/>
          <w:lang w:val="en-US" w:eastAsia="zh-CN"/>
        </w:rPr>
        <w:t>6.</w:t>
      </w:r>
      <w:r>
        <w:rPr>
          <w:rFonts w:hint="default" w:ascii="Times New Roman" w:hAnsi="Times New Roman" w:eastAsia="宋体" w:cs="Times New Roman"/>
          <w:b w:val="0"/>
          <w:bCs w:val="0"/>
          <w:color w:val="auto"/>
          <w:sz w:val="24"/>
          <w:szCs w:val="24"/>
          <w:highlight w:val="none"/>
        </w:rPr>
        <w:t>2-</w:t>
      </w:r>
      <w:r>
        <w:rPr>
          <w:rFonts w:hint="default" w:ascii="Times New Roman" w:hAnsi="Times New Roman" w:eastAsia="宋体" w:cs="Times New Roman"/>
          <w:b w:val="0"/>
          <w:bCs w:val="0"/>
          <w:color w:val="auto"/>
          <w:sz w:val="24"/>
          <w:szCs w:val="24"/>
          <w:highlight w:val="none"/>
          <w:lang w:val="en-US" w:eastAsia="zh-CN"/>
        </w:rPr>
        <w:t>3</w:t>
      </w:r>
      <w:r>
        <w:rPr>
          <w:rFonts w:hint="eastAsia" w:ascii="Times New Roman" w:hAnsi="Times New Roman" w:eastAsia="宋体" w:cs="Times New Roman"/>
          <w:b w:val="0"/>
          <w:bCs w:val="0"/>
          <w:color w:val="auto"/>
          <w:sz w:val="24"/>
          <w:szCs w:val="24"/>
          <w:highlight w:val="none"/>
          <w:lang w:val="en-US" w:eastAsia="zh-CN"/>
        </w:rPr>
        <w:t>1</w:t>
      </w:r>
      <w:r>
        <w:rPr>
          <w:rFonts w:hint="default"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rPr>
        <w:t xml:space="preserve"> 废水类别、污染物及污染治理设施信息表</w:t>
      </w:r>
    </w:p>
    <w:tbl>
      <w:tblPr>
        <w:tblStyle w:val="37"/>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91"/>
        <w:gridCol w:w="804"/>
        <w:gridCol w:w="1160"/>
        <w:gridCol w:w="949"/>
        <w:gridCol w:w="628"/>
        <w:gridCol w:w="479"/>
        <w:gridCol w:w="486"/>
        <w:gridCol w:w="449"/>
        <w:gridCol w:w="682"/>
        <w:gridCol w:w="841"/>
        <w:gridCol w:w="1653"/>
      </w:tblGrid>
      <w:tr w14:paraId="43F9C17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9" w:type="pct"/>
            <w:vMerge w:val="restart"/>
            <w:tcBorders>
              <w:tl2br w:val="nil"/>
              <w:tr2bl w:val="nil"/>
            </w:tcBorders>
            <w:noWrap w:val="0"/>
            <w:vAlign w:val="center"/>
          </w:tcPr>
          <w:p w14:paraId="68FE663D">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序号</w:t>
            </w:r>
          </w:p>
        </w:tc>
        <w:tc>
          <w:tcPr>
            <w:tcW w:w="471" w:type="pct"/>
            <w:vMerge w:val="restart"/>
            <w:tcBorders>
              <w:tl2br w:val="nil"/>
              <w:tr2bl w:val="nil"/>
            </w:tcBorders>
            <w:noWrap w:val="0"/>
            <w:vAlign w:val="center"/>
          </w:tcPr>
          <w:p w14:paraId="408DA57A">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w:t>
            </w:r>
          </w:p>
          <w:p w14:paraId="326C00D0">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color w:val="auto"/>
                <w:sz w:val="21"/>
                <w:szCs w:val="21"/>
                <w:highlight w:val="none"/>
              </w:rPr>
              <w:t>类别</w:t>
            </w:r>
            <w:r>
              <w:rPr>
                <w:rFonts w:hint="default" w:ascii="Times New Roman" w:hAnsi="Times New Roman" w:eastAsia="宋体" w:cs="Times New Roman"/>
                <w:color w:val="auto"/>
                <w:sz w:val="21"/>
                <w:szCs w:val="21"/>
                <w:highlight w:val="none"/>
                <w:vertAlign w:val="superscript"/>
              </w:rPr>
              <w:t>a</w:t>
            </w:r>
          </w:p>
        </w:tc>
        <w:tc>
          <w:tcPr>
            <w:tcW w:w="680" w:type="pct"/>
            <w:vMerge w:val="restart"/>
            <w:tcBorders>
              <w:tl2br w:val="nil"/>
              <w:tr2bl w:val="nil"/>
            </w:tcBorders>
            <w:noWrap w:val="0"/>
            <w:vAlign w:val="center"/>
          </w:tcPr>
          <w:p w14:paraId="14A17095">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vertAlign w:val="superscript"/>
              </w:rPr>
            </w:pPr>
            <w:r>
              <w:rPr>
                <w:rFonts w:hint="default" w:ascii="Times New Roman" w:hAnsi="Times New Roman" w:eastAsia="宋体" w:cs="Times New Roman"/>
                <w:color w:val="auto"/>
                <w:sz w:val="21"/>
                <w:szCs w:val="21"/>
                <w:highlight w:val="none"/>
              </w:rPr>
              <w:t>污染物</w:t>
            </w:r>
            <w:r>
              <w:rPr>
                <w:rFonts w:hint="default" w:ascii="Times New Roman" w:hAnsi="Times New Roman" w:eastAsia="宋体" w:cs="Times New Roman"/>
                <w:color w:val="auto"/>
                <w:sz w:val="21"/>
                <w:szCs w:val="21"/>
                <w:highlight w:val="none"/>
                <w:vertAlign w:val="superscript"/>
              </w:rPr>
              <w:t>b</w:t>
            </w:r>
          </w:p>
          <w:p w14:paraId="75668E75">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种类</w:t>
            </w:r>
          </w:p>
        </w:tc>
        <w:tc>
          <w:tcPr>
            <w:tcW w:w="556" w:type="pct"/>
            <w:vMerge w:val="restart"/>
            <w:tcBorders>
              <w:tl2br w:val="nil"/>
              <w:tr2bl w:val="nil"/>
            </w:tcBorders>
            <w:noWrap w:val="0"/>
            <w:vAlign w:val="center"/>
          </w:tcPr>
          <w:p w14:paraId="21209DF6">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排放</w:t>
            </w:r>
          </w:p>
          <w:p w14:paraId="034BAD6B">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color w:val="auto"/>
                <w:sz w:val="21"/>
                <w:szCs w:val="21"/>
                <w:highlight w:val="none"/>
              </w:rPr>
              <w:t>去向</w:t>
            </w:r>
            <w:r>
              <w:rPr>
                <w:rFonts w:hint="default" w:ascii="Times New Roman" w:hAnsi="Times New Roman" w:eastAsia="宋体" w:cs="Times New Roman"/>
                <w:color w:val="auto"/>
                <w:sz w:val="21"/>
                <w:szCs w:val="21"/>
                <w:highlight w:val="none"/>
                <w:vertAlign w:val="superscript"/>
              </w:rPr>
              <w:t>c</w:t>
            </w:r>
          </w:p>
        </w:tc>
        <w:tc>
          <w:tcPr>
            <w:tcW w:w="368" w:type="pct"/>
            <w:vMerge w:val="restart"/>
            <w:tcBorders>
              <w:tl2br w:val="nil"/>
              <w:tr2bl w:val="nil"/>
            </w:tcBorders>
            <w:noWrap w:val="0"/>
            <w:vAlign w:val="center"/>
          </w:tcPr>
          <w:p w14:paraId="7F1F7149">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排放规律</w:t>
            </w:r>
          </w:p>
        </w:tc>
        <w:tc>
          <w:tcPr>
            <w:tcW w:w="829" w:type="pct"/>
            <w:gridSpan w:val="3"/>
            <w:tcBorders>
              <w:tl2br w:val="nil"/>
              <w:tr2bl w:val="nil"/>
            </w:tcBorders>
            <w:noWrap w:val="0"/>
            <w:vAlign w:val="center"/>
          </w:tcPr>
          <w:p w14:paraId="3A097A02">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污染治理设施</w:t>
            </w:r>
          </w:p>
        </w:tc>
        <w:tc>
          <w:tcPr>
            <w:tcW w:w="400" w:type="pct"/>
            <w:vMerge w:val="restart"/>
            <w:tcBorders>
              <w:tl2br w:val="nil"/>
              <w:tr2bl w:val="nil"/>
            </w:tcBorders>
            <w:noWrap w:val="0"/>
            <w:vAlign w:val="center"/>
          </w:tcPr>
          <w:p w14:paraId="7A57DECE">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排放口</w:t>
            </w:r>
            <w:r>
              <w:rPr>
                <w:rFonts w:hint="default" w:ascii="Times New Roman" w:hAnsi="Times New Roman" w:eastAsia="宋体" w:cs="Times New Roman"/>
                <w:color w:val="auto"/>
                <w:sz w:val="21"/>
                <w:szCs w:val="21"/>
                <w:highlight w:val="none"/>
                <w:vertAlign w:val="superscript"/>
              </w:rPr>
              <w:t>f</w:t>
            </w:r>
          </w:p>
          <w:p w14:paraId="142BF623">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编号</w:t>
            </w:r>
          </w:p>
        </w:tc>
        <w:tc>
          <w:tcPr>
            <w:tcW w:w="493" w:type="pct"/>
            <w:vMerge w:val="restart"/>
            <w:tcBorders>
              <w:tl2br w:val="nil"/>
              <w:tr2bl w:val="nil"/>
            </w:tcBorders>
            <w:noWrap w:val="0"/>
            <w:vAlign w:val="center"/>
          </w:tcPr>
          <w:p w14:paraId="5C11BE9E">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排放口设置是否符合要求</w:t>
            </w:r>
            <w:r>
              <w:rPr>
                <w:rFonts w:hint="default" w:ascii="Times New Roman" w:hAnsi="Times New Roman" w:eastAsia="宋体" w:cs="Times New Roman"/>
                <w:color w:val="auto"/>
                <w:sz w:val="21"/>
                <w:szCs w:val="21"/>
                <w:highlight w:val="none"/>
                <w:vertAlign w:val="superscript"/>
              </w:rPr>
              <w:t>g</w:t>
            </w:r>
          </w:p>
        </w:tc>
        <w:tc>
          <w:tcPr>
            <w:tcW w:w="969" w:type="pct"/>
            <w:vMerge w:val="restart"/>
            <w:tcBorders>
              <w:tl2br w:val="nil"/>
              <w:tr2bl w:val="nil"/>
            </w:tcBorders>
            <w:noWrap w:val="0"/>
            <w:vAlign w:val="center"/>
          </w:tcPr>
          <w:p w14:paraId="29F9054F">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排放口类型</w:t>
            </w:r>
          </w:p>
        </w:tc>
      </w:tr>
      <w:tr w14:paraId="51B9E2C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9" w:type="pct"/>
            <w:vMerge w:val="continue"/>
            <w:tcBorders>
              <w:tl2br w:val="nil"/>
              <w:tr2bl w:val="nil"/>
            </w:tcBorders>
            <w:noWrap w:val="0"/>
            <w:vAlign w:val="center"/>
          </w:tcPr>
          <w:p w14:paraId="47E13DA1">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471" w:type="pct"/>
            <w:vMerge w:val="continue"/>
            <w:tcBorders>
              <w:tl2br w:val="nil"/>
              <w:tr2bl w:val="nil"/>
            </w:tcBorders>
            <w:noWrap w:val="0"/>
            <w:vAlign w:val="center"/>
          </w:tcPr>
          <w:p w14:paraId="62649616">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680" w:type="pct"/>
            <w:vMerge w:val="continue"/>
            <w:tcBorders>
              <w:tl2br w:val="nil"/>
              <w:tr2bl w:val="nil"/>
            </w:tcBorders>
            <w:noWrap w:val="0"/>
            <w:vAlign w:val="center"/>
          </w:tcPr>
          <w:p w14:paraId="732129E4">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556" w:type="pct"/>
            <w:vMerge w:val="continue"/>
            <w:tcBorders>
              <w:tl2br w:val="nil"/>
              <w:tr2bl w:val="nil"/>
            </w:tcBorders>
            <w:noWrap w:val="0"/>
            <w:vAlign w:val="center"/>
          </w:tcPr>
          <w:p w14:paraId="1B82C176">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368" w:type="pct"/>
            <w:vMerge w:val="continue"/>
            <w:tcBorders>
              <w:tl2br w:val="nil"/>
              <w:tr2bl w:val="nil"/>
            </w:tcBorders>
            <w:noWrap w:val="0"/>
            <w:vAlign w:val="center"/>
          </w:tcPr>
          <w:p w14:paraId="0204F99A">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281" w:type="pct"/>
            <w:tcBorders>
              <w:tl2br w:val="nil"/>
              <w:tr2bl w:val="nil"/>
            </w:tcBorders>
            <w:noWrap w:val="0"/>
            <w:vAlign w:val="center"/>
          </w:tcPr>
          <w:p w14:paraId="1EBAB204">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编号</w:t>
            </w:r>
          </w:p>
        </w:tc>
        <w:tc>
          <w:tcPr>
            <w:tcW w:w="285" w:type="pct"/>
            <w:tcBorders>
              <w:tl2br w:val="nil"/>
              <w:tr2bl w:val="nil"/>
            </w:tcBorders>
            <w:noWrap w:val="0"/>
            <w:vAlign w:val="center"/>
          </w:tcPr>
          <w:p w14:paraId="29E463B2">
            <w:pPr>
              <w:pStyle w:val="65"/>
              <w:keepNext w:val="0"/>
              <w:keepLines w:val="0"/>
              <w:pageBreakBefore w:val="0"/>
              <w:widowControl w:val="0"/>
              <w:kinsoku/>
              <w:wordWrap/>
              <w:overflowPunct/>
              <w:topLinePunct w:val="0"/>
              <w:bidi w:val="0"/>
              <w:snapToGrid/>
              <w:spacing w:line="240" w:lineRule="auto"/>
              <w:ind w:left="0" w:leftChars="0" w:firstLine="0" w:firstLineChars="0"/>
              <w:jc w:val="center"/>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名称</w:t>
            </w:r>
          </w:p>
        </w:tc>
        <w:tc>
          <w:tcPr>
            <w:tcW w:w="261" w:type="pct"/>
            <w:tcBorders>
              <w:tl2br w:val="nil"/>
              <w:tr2bl w:val="nil"/>
            </w:tcBorders>
            <w:noWrap w:val="0"/>
            <w:vAlign w:val="center"/>
          </w:tcPr>
          <w:p w14:paraId="57A9FC7A">
            <w:pPr>
              <w:pStyle w:val="65"/>
              <w:keepNext w:val="0"/>
              <w:keepLines w:val="0"/>
              <w:pageBreakBefore w:val="0"/>
              <w:widowControl w:val="0"/>
              <w:kinsoku/>
              <w:wordWrap/>
              <w:overflowPunct/>
              <w:topLinePunct w:val="0"/>
              <w:bidi w:val="0"/>
              <w:snapToGrid/>
              <w:spacing w:line="240" w:lineRule="auto"/>
              <w:ind w:left="0" w:leftChars="0" w:firstLine="0" w:firstLineChars="0"/>
              <w:jc w:val="center"/>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工艺</w:t>
            </w:r>
          </w:p>
        </w:tc>
        <w:tc>
          <w:tcPr>
            <w:tcW w:w="400" w:type="pct"/>
            <w:vMerge w:val="continue"/>
            <w:tcBorders>
              <w:tl2br w:val="nil"/>
              <w:tr2bl w:val="nil"/>
            </w:tcBorders>
            <w:noWrap w:val="0"/>
            <w:vAlign w:val="center"/>
          </w:tcPr>
          <w:p w14:paraId="0A0283B2">
            <w:pPr>
              <w:pStyle w:val="65"/>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b w:val="0"/>
                <w:color w:val="auto"/>
                <w:sz w:val="21"/>
                <w:szCs w:val="21"/>
                <w:highlight w:val="none"/>
              </w:rPr>
            </w:pPr>
          </w:p>
        </w:tc>
        <w:tc>
          <w:tcPr>
            <w:tcW w:w="493" w:type="pct"/>
            <w:vMerge w:val="continue"/>
            <w:tcBorders>
              <w:tl2br w:val="nil"/>
              <w:tr2bl w:val="nil"/>
            </w:tcBorders>
            <w:noWrap w:val="0"/>
            <w:vAlign w:val="center"/>
          </w:tcPr>
          <w:p w14:paraId="18E48FDB">
            <w:pPr>
              <w:pStyle w:val="65"/>
              <w:keepNext w:val="0"/>
              <w:keepLines w:val="0"/>
              <w:pageBreakBefore w:val="0"/>
              <w:widowControl w:val="0"/>
              <w:kinsoku/>
              <w:wordWrap/>
              <w:overflowPunct/>
              <w:topLinePunct w:val="0"/>
              <w:bidi w:val="0"/>
              <w:snapToGrid/>
              <w:spacing w:line="240" w:lineRule="auto"/>
              <w:ind w:firstLine="0" w:firstLineChars="0"/>
              <w:rPr>
                <w:rFonts w:hint="default" w:ascii="Times New Roman" w:hAnsi="Times New Roman" w:eastAsia="宋体" w:cs="Times New Roman"/>
                <w:b w:val="0"/>
                <w:color w:val="auto"/>
                <w:sz w:val="21"/>
                <w:szCs w:val="21"/>
                <w:highlight w:val="none"/>
              </w:rPr>
            </w:pPr>
          </w:p>
        </w:tc>
        <w:tc>
          <w:tcPr>
            <w:tcW w:w="969" w:type="pct"/>
            <w:vMerge w:val="continue"/>
            <w:tcBorders>
              <w:tl2br w:val="nil"/>
              <w:tr2bl w:val="nil"/>
            </w:tcBorders>
            <w:noWrap w:val="0"/>
            <w:vAlign w:val="center"/>
          </w:tcPr>
          <w:p w14:paraId="16D6596B">
            <w:pPr>
              <w:pStyle w:val="65"/>
              <w:keepNext w:val="0"/>
              <w:keepLines w:val="0"/>
              <w:pageBreakBefore w:val="0"/>
              <w:widowControl w:val="0"/>
              <w:kinsoku/>
              <w:wordWrap/>
              <w:overflowPunct/>
              <w:topLinePunct w:val="0"/>
              <w:bidi w:val="0"/>
              <w:snapToGrid/>
              <w:spacing w:line="240" w:lineRule="auto"/>
              <w:ind w:firstLine="0" w:firstLineChars="0"/>
              <w:rPr>
                <w:rFonts w:hint="default" w:ascii="Times New Roman" w:hAnsi="Times New Roman" w:eastAsia="宋体" w:cs="Times New Roman"/>
                <w:b w:val="0"/>
                <w:color w:val="auto"/>
                <w:sz w:val="21"/>
                <w:szCs w:val="21"/>
                <w:highlight w:val="none"/>
              </w:rPr>
            </w:pPr>
          </w:p>
        </w:tc>
      </w:tr>
      <w:tr w14:paraId="5C756A1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9" w:type="pct"/>
            <w:tcBorders>
              <w:tl2br w:val="nil"/>
              <w:tr2bl w:val="nil"/>
            </w:tcBorders>
            <w:noWrap w:val="0"/>
            <w:vAlign w:val="center"/>
          </w:tcPr>
          <w:p w14:paraId="5BB41BC9">
            <w:pPr>
              <w:pStyle w:val="65"/>
              <w:keepNext w:val="0"/>
              <w:keepLines w:val="0"/>
              <w:pageBreakBefore w:val="0"/>
              <w:widowControl w:val="0"/>
              <w:kinsoku/>
              <w:wordWrap/>
              <w:overflowPunct/>
              <w:topLinePunct w:val="0"/>
              <w:bidi w:val="0"/>
              <w:snapToGrid/>
              <w:spacing w:line="240" w:lineRule="auto"/>
              <w:ind w:left="0" w:leftChars="0" w:firstLine="0" w:firstLineChars="0"/>
              <w:jc w:val="center"/>
              <w:rPr>
                <w:rFonts w:hint="default" w:ascii="Times New Roman" w:hAnsi="Times New Roman" w:eastAsia="宋体" w:cs="Times New Roman"/>
                <w:b w:val="0"/>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1</w:t>
            </w:r>
          </w:p>
        </w:tc>
        <w:tc>
          <w:tcPr>
            <w:tcW w:w="471" w:type="pct"/>
            <w:tcBorders>
              <w:tl2br w:val="nil"/>
              <w:tr2bl w:val="nil"/>
            </w:tcBorders>
            <w:noWrap w:val="0"/>
            <w:vAlign w:val="center"/>
          </w:tcPr>
          <w:p w14:paraId="5C30C016">
            <w:pPr>
              <w:pStyle w:val="65"/>
              <w:keepNext w:val="0"/>
              <w:keepLines w:val="0"/>
              <w:pageBreakBefore w:val="0"/>
              <w:widowControl w:val="0"/>
              <w:kinsoku/>
              <w:wordWrap/>
              <w:overflowPunct/>
              <w:topLinePunct w:val="0"/>
              <w:bidi w:val="0"/>
              <w:snapToGrid/>
              <w:spacing w:line="240" w:lineRule="auto"/>
              <w:ind w:left="0" w:leftChars="0" w:firstLine="0" w:firstLineChars="0"/>
              <w:jc w:val="center"/>
              <w:rPr>
                <w:rFonts w:hint="default" w:ascii="Times New Roman" w:hAnsi="Times New Roman" w:eastAsia="宋体" w:cs="Times New Roman"/>
                <w:color w:val="auto"/>
                <w:spacing w:val="0"/>
                <w:kern w:val="0"/>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生活污水</w:t>
            </w:r>
          </w:p>
        </w:tc>
        <w:tc>
          <w:tcPr>
            <w:tcW w:w="680" w:type="pct"/>
            <w:tcBorders>
              <w:tl2br w:val="nil"/>
              <w:tr2bl w:val="nil"/>
            </w:tcBorders>
            <w:noWrap w:val="0"/>
            <w:vAlign w:val="center"/>
          </w:tcPr>
          <w:p w14:paraId="6A59AC0F">
            <w:pPr>
              <w:pStyle w:val="65"/>
              <w:keepNext w:val="0"/>
              <w:keepLines w:val="0"/>
              <w:pageBreakBefore w:val="0"/>
              <w:widowControl w:val="0"/>
              <w:kinsoku/>
              <w:wordWrap/>
              <w:overflowPunct/>
              <w:topLinePunct w:val="0"/>
              <w:bidi w:val="0"/>
              <w:snapToGrid/>
              <w:spacing w:line="240" w:lineRule="auto"/>
              <w:ind w:left="0" w:leftChars="0" w:firstLine="0" w:firstLineChars="0"/>
              <w:jc w:val="center"/>
              <w:rPr>
                <w:rFonts w:hint="default" w:ascii="Times New Roman" w:hAnsi="Times New Roman" w:eastAsia="宋体" w:cs="Times New Roman"/>
                <w:b w:val="0"/>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化学需氧量，氨氮（NH</w:t>
            </w:r>
            <w:r>
              <w:rPr>
                <w:rFonts w:hint="default" w:ascii="Times New Roman" w:hAnsi="Times New Roman" w:eastAsia="宋体" w:cs="Times New Roman"/>
                <w:b w:val="0"/>
                <w:color w:val="auto"/>
                <w:sz w:val="21"/>
                <w:szCs w:val="21"/>
                <w:highlight w:val="none"/>
                <w:vertAlign w:val="subscript"/>
                <w:lang w:val="en-US" w:eastAsia="zh-CN"/>
              </w:rPr>
              <w:t>3</w:t>
            </w:r>
            <w:r>
              <w:rPr>
                <w:rFonts w:hint="default" w:ascii="Times New Roman" w:hAnsi="Times New Roman" w:eastAsia="宋体" w:cs="Times New Roman"/>
                <w:b w:val="0"/>
                <w:color w:val="auto"/>
                <w:sz w:val="21"/>
                <w:szCs w:val="21"/>
                <w:highlight w:val="none"/>
                <w:lang w:val="en-US" w:eastAsia="zh-CN"/>
              </w:rPr>
              <w:t>-N），pH值，五日生化需氧量，悬浮物，总磷（以P计），动植物油</w:t>
            </w:r>
          </w:p>
        </w:tc>
        <w:tc>
          <w:tcPr>
            <w:tcW w:w="556" w:type="pct"/>
            <w:tcBorders>
              <w:tl2br w:val="nil"/>
              <w:tr2bl w:val="nil"/>
            </w:tcBorders>
            <w:noWrap w:val="0"/>
            <w:vAlign w:val="center"/>
          </w:tcPr>
          <w:p w14:paraId="77E789B3">
            <w:pPr>
              <w:pStyle w:val="65"/>
              <w:keepNext w:val="0"/>
              <w:keepLines w:val="0"/>
              <w:pageBreakBefore w:val="0"/>
              <w:widowControl w:val="0"/>
              <w:kinsoku/>
              <w:wordWrap/>
              <w:overflowPunct/>
              <w:topLinePunct w:val="0"/>
              <w:bidi w:val="0"/>
              <w:snapToGrid/>
              <w:spacing w:line="240" w:lineRule="auto"/>
              <w:ind w:left="0" w:leftChars="0" w:firstLine="0" w:firstLineChars="0"/>
              <w:jc w:val="center"/>
              <w:rPr>
                <w:rFonts w:hint="default" w:ascii="Times New Roman" w:hAnsi="Times New Roman" w:eastAsia="宋体" w:cs="Times New Roman"/>
                <w:b w:val="0"/>
                <w:color w:val="auto"/>
                <w:sz w:val="21"/>
                <w:szCs w:val="21"/>
                <w:highlight w:val="none"/>
                <w:lang w:eastAsia="zh-CN"/>
              </w:rPr>
            </w:pPr>
            <w:r>
              <w:rPr>
                <w:rFonts w:hint="eastAsia" w:ascii="Times New Roman" w:hAnsi="Times New Roman" w:eastAsia="宋体" w:cs="Times New Roman"/>
                <w:color w:val="auto"/>
                <w:kern w:val="0"/>
                <w:sz w:val="21"/>
                <w:szCs w:val="21"/>
                <w:highlight w:val="none"/>
                <w:lang w:val="en-US" w:eastAsia="zh-CN"/>
              </w:rPr>
              <w:t>佳木斯西区污水处理厂</w:t>
            </w:r>
          </w:p>
        </w:tc>
        <w:tc>
          <w:tcPr>
            <w:tcW w:w="368" w:type="pct"/>
            <w:tcBorders>
              <w:tl2br w:val="nil"/>
              <w:tr2bl w:val="nil"/>
            </w:tcBorders>
            <w:noWrap w:val="0"/>
            <w:vAlign w:val="center"/>
          </w:tcPr>
          <w:p w14:paraId="5E6FC5F0">
            <w:pPr>
              <w:pStyle w:val="65"/>
              <w:keepNext w:val="0"/>
              <w:keepLines w:val="0"/>
              <w:pageBreakBefore w:val="0"/>
              <w:widowControl w:val="0"/>
              <w:kinsoku/>
              <w:wordWrap/>
              <w:overflowPunct/>
              <w:topLinePunct w:val="0"/>
              <w:bidi w:val="0"/>
              <w:snapToGrid/>
              <w:spacing w:line="240" w:lineRule="auto"/>
              <w:ind w:left="0" w:leftChars="0" w:firstLine="0" w:firstLineChars="0"/>
              <w:jc w:val="center"/>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lang w:val="en-US" w:eastAsia="zh-CN"/>
              </w:rPr>
              <w:t>间断</w:t>
            </w:r>
            <w:r>
              <w:rPr>
                <w:rFonts w:hint="default" w:ascii="Times New Roman" w:hAnsi="Times New Roman" w:eastAsia="宋体" w:cs="Times New Roman"/>
                <w:b w:val="0"/>
                <w:color w:val="auto"/>
                <w:sz w:val="21"/>
                <w:szCs w:val="21"/>
                <w:highlight w:val="none"/>
                <w:lang w:eastAsia="zh-CN"/>
              </w:rPr>
              <w:t>排放</w:t>
            </w:r>
          </w:p>
        </w:tc>
        <w:tc>
          <w:tcPr>
            <w:tcW w:w="281" w:type="pct"/>
            <w:tcBorders>
              <w:tl2br w:val="nil"/>
              <w:tr2bl w:val="nil"/>
            </w:tcBorders>
            <w:noWrap w:val="0"/>
            <w:vAlign w:val="center"/>
          </w:tcPr>
          <w:p w14:paraId="2601E441">
            <w:pPr>
              <w:pStyle w:val="65"/>
              <w:keepNext w:val="0"/>
              <w:keepLines w:val="0"/>
              <w:pageBreakBefore w:val="0"/>
              <w:widowControl w:val="0"/>
              <w:kinsoku/>
              <w:wordWrap/>
              <w:overflowPunct/>
              <w:topLinePunct w:val="0"/>
              <w:bidi w:val="0"/>
              <w:snapToGrid/>
              <w:spacing w:line="240" w:lineRule="auto"/>
              <w:ind w:left="0" w:lef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285" w:type="pct"/>
            <w:tcBorders>
              <w:tl2br w:val="nil"/>
              <w:tr2bl w:val="nil"/>
            </w:tcBorders>
            <w:noWrap w:val="0"/>
            <w:vAlign w:val="center"/>
          </w:tcPr>
          <w:p w14:paraId="2EEFFAE3">
            <w:pPr>
              <w:pStyle w:val="65"/>
              <w:keepNext w:val="0"/>
              <w:keepLines w:val="0"/>
              <w:pageBreakBefore w:val="0"/>
              <w:widowControl w:val="0"/>
              <w:kinsoku/>
              <w:wordWrap/>
              <w:overflowPunct/>
              <w:topLinePunct w:val="0"/>
              <w:bidi w:val="0"/>
              <w:snapToGrid/>
              <w:spacing w:line="240" w:lineRule="auto"/>
              <w:ind w:left="0" w:lef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261" w:type="pct"/>
            <w:tcBorders>
              <w:tl2br w:val="nil"/>
              <w:tr2bl w:val="nil"/>
            </w:tcBorders>
            <w:noWrap w:val="0"/>
            <w:vAlign w:val="center"/>
          </w:tcPr>
          <w:p w14:paraId="031B951D">
            <w:pPr>
              <w:pStyle w:val="65"/>
              <w:keepNext w:val="0"/>
              <w:keepLines w:val="0"/>
              <w:pageBreakBefore w:val="0"/>
              <w:widowControl w:val="0"/>
              <w:kinsoku/>
              <w:wordWrap/>
              <w:overflowPunct/>
              <w:topLinePunct w:val="0"/>
              <w:bidi w:val="0"/>
              <w:snapToGrid/>
              <w:spacing w:line="240" w:lineRule="auto"/>
              <w:ind w:left="0" w:lef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400" w:type="pct"/>
            <w:tcBorders>
              <w:tl2br w:val="nil"/>
              <w:tr2bl w:val="nil"/>
            </w:tcBorders>
            <w:noWrap w:val="0"/>
            <w:vAlign w:val="center"/>
          </w:tcPr>
          <w:p w14:paraId="7071AB1A">
            <w:pPr>
              <w:pStyle w:val="65"/>
              <w:keepNext w:val="0"/>
              <w:keepLines w:val="0"/>
              <w:pageBreakBefore w:val="0"/>
              <w:widowControl w:val="0"/>
              <w:kinsoku/>
              <w:wordWrap/>
              <w:overflowPunct/>
              <w:topLinePunct w:val="0"/>
              <w:bidi w:val="0"/>
              <w:snapToGrid/>
              <w:spacing w:line="240" w:lineRule="auto"/>
              <w:ind w:left="0" w:leftChars="0" w:firstLine="0" w:firstLineChars="0"/>
              <w:jc w:val="center"/>
              <w:rPr>
                <w:rFonts w:hint="default" w:ascii="Times New Roman" w:hAnsi="Times New Roman" w:eastAsia="宋体" w:cs="Times New Roman"/>
                <w:b w:val="0"/>
                <w:color w:val="auto"/>
                <w:sz w:val="21"/>
                <w:szCs w:val="21"/>
                <w:highlight w:val="none"/>
                <w:lang w:eastAsia="zh-CN"/>
              </w:rPr>
            </w:pPr>
            <w:r>
              <w:rPr>
                <w:rFonts w:hint="default" w:ascii="Times New Roman" w:hAnsi="Times New Roman" w:eastAsia="宋体" w:cs="Times New Roman"/>
                <w:b w:val="0"/>
                <w:color w:val="auto"/>
                <w:sz w:val="21"/>
                <w:szCs w:val="21"/>
                <w:highlight w:val="none"/>
              </w:rPr>
              <w:t>DW001</w:t>
            </w:r>
          </w:p>
        </w:tc>
        <w:tc>
          <w:tcPr>
            <w:tcW w:w="493" w:type="pct"/>
            <w:tcBorders>
              <w:tl2br w:val="nil"/>
              <w:tr2bl w:val="nil"/>
            </w:tcBorders>
            <w:noWrap w:val="0"/>
            <w:vAlign w:val="center"/>
          </w:tcPr>
          <w:p w14:paraId="18F757F8">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sym w:font="Wingdings 2" w:char="0052"/>
            </w:r>
            <w:r>
              <w:rPr>
                <w:rFonts w:hint="default" w:ascii="Times New Roman" w:hAnsi="Times New Roman" w:eastAsia="宋体" w:cs="Times New Roman"/>
                <w:color w:val="auto"/>
                <w:sz w:val="21"/>
                <w:szCs w:val="21"/>
                <w:highlight w:val="none"/>
              </w:rPr>
              <w:t>是</w:t>
            </w:r>
          </w:p>
          <w:p w14:paraId="4DA75E45">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□否</w:t>
            </w:r>
          </w:p>
        </w:tc>
        <w:tc>
          <w:tcPr>
            <w:tcW w:w="969" w:type="pct"/>
            <w:tcBorders>
              <w:tl2br w:val="nil"/>
              <w:tr2bl w:val="nil"/>
            </w:tcBorders>
            <w:noWrap w:val="0"/>
            <w:vAlign w:val="center"/>
          </w:tcPr>
          <w:p w14:paraId="05D2F389">
            <w:pPr>
              <w:pStyle w:val="47"/>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sym w:font="Wingdings 2" w:char="0052"/>
            </w:r>
            <w:r>
              <w:rPr>
                <w:rFonts w:hint="default" w:ascii="Times New Roman" w:hAnsi="Times New Roman" w:eastAsia="宋体" w:cs="Times New Roman"/>
                <w:color w:val="auto"/>
                <w:sz w:val="21"/>
                <w:szCs w:val="21"/>
                <w:highlight w:val="none"/>
              </w:rPr>
              <w:t>企业总排</w:t>
            </w:r>
          </w:p>
          <w:p w14:paraId="0DCE2FC9">
            <w:pPr>
              <w:pStyle w:val="47"/>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□雨水排放</w:t>
            </w:r>
          </w:p>
          <w:p w14:paraId="60A9AAEE">
            <w:pPr>
              <w:pStyle w:val="47"/>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□清净下水排放</w:t>
            </w:r>
          </w:p>
          <w:p w14:paraId="41EE3A6F">
            <w:pPr>
              <w:pStyle w:val="47"/>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□温排水排放</w:t>
            </w:r>
          </w:p>
          <w:p w14:paraId="4F685007">
            <w:pPr>
              <w:pStyle w:val="65"/>
              <w:keepNext w:val="0"/>
              <w:keepLines w:val="0"/>
              <w:pageBreakBefore w:val="0"/>
              <w:widowControl w:val="0"/>
              <w:kinsoku/>
              <w:wordWrap/>
              <w:overflowPunct/>
              <w:topLinePunct w:val="0"/>
              <w:bidi w:val="0"/>
              <w:snapToGrid/>
              <w:spacing w:line="240" w:lineRule="auto"/>
              <w:ind w:left="0" w:leftChars="0" w:firstLine="0" w:firstLineChars="0"/>
              <w:jc w:val="both"/>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□车间或车间处理设施排放</w:t>
            </w:r>
          </w:p>
        </w:tc>
      </w:tr>
    </w:tbl>
    <w:p w14:paraId="74790DF1">
      <w:pPr>
        <w:pStyle w:val="65"/>
        <w:keepNext w:val="0"/>
        <w:keepLines w:val="0"/>
        <w:pageBreakBefore w:val="0"/>
        <w:widowControl w:val="0"/>
        <w:kinsoku/>
        <w:wordWrap/>
        <w:overflowPunct/>
        <w:topLinePunct/>
        <w:autoSpaceDE/>
        <w:autoSpaceDN/>
        <w:bidi w:val="0"/>
        <w:adjustRightInd w:val="0"/>
        <w:snapToGrid w:val="0"/>
        <w:spacing w:line="480" w:lineRule="exact"/>
        <w:ind w:left="0" w:leftChars="0" w:firstLine="0" w:firstLineChars="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w:t>
      </w:r>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2-</w:t>
      </w:r>
      <w:r>
        <w:rPr>
          <w:rFonts w:hint="eastAsia" w:ascii="Times New Roman" w:hAnsi="Times New Roman" w:eastAsia="宋体" w:cs="Times New Roman"/>
          <w:color w:val="auto"/>
          <w:sz w:val="24"/>
          <w:szCs w:val="24"/>
          <w:highlight w:val="none"/>
          <w:lang w:val="en-US" w:eastAsia="zh-CN"/>
        </w:rPr>
        <w:t>32</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废水间接排放口基本情况表</w:t>
      </w:r>
    </w:p>
    <w:tbl>
      <w:tblPr>
        <w:tblStyle w:val="37"/>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881"/>
        <w:gridCol w:w="506"/>
        <w:gridCol w:w="521"/>
        <w:gridCol w:w="1030"/>
        <w:gridCol w:w="754"/>
        <w:gridCol w:w="616"/>
        <w:gridCol w:w="707"/>
        <w:gridCol w:w="816"/>
        <w:gridCol w:w="965"/>
        <w:gridCol w:w="1291"/>
      </w:tblGrid>
      <w:tr w14:paraId="3BE72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0" w:type="pct"/>
            <w:vMerge w:val="restart"/>
            <w:tcBorders>
              <w:top w:val="single" w:color="auto" w:sz="12" w:space="0"/>
              <w:left w:val="nil"/>
            </w:tcBorders>
            <w:noWrap w:val="0"/>
            <w:vAlign w:val="center"/>
          </w:tcPr>
          <w:p w14:paraId="6B6E1FC4">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w:t>
            </w:r>
          </w:p>
          <w:p w14:paraId="1552593C">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号</w:t>
            </w:r>
          </w:p>
        </w:tc>
        <w:tc>
          <w:tcPr>
            <w:tcW w:w="517" w:type="pct"/>
            <w:vMerge w:val="restart"/>
            <w:tcBorders>
              <w:top w:val="single" w:color="auto" w:sz="12" w:space="0"/>
            </w:tcBorders>
            <w:noWrap w:val="0"/>
            <w:vAlign w:val="center"/>
          </w:tcPr>
          <w:p w14:paraId="2C4FCD74">
            <w:pPr>
              <w:pStyle w:val="65"/>
              <w:keepNext w:val="0"/>
              <w:keepLines w:val="0"/>
              <w:pageBreakBefore w:val="0"/>
              <w:widowControl w:val="0"/>
              <w:kinsoku/>
              <w:wordWrap/>
              <w:overflowPunct/>
              <w:topLinePunct w:val="0"/>
              <w:bidi w:val="0"/>
              <w:snapToGrid/>
              <w:spacing w:line="240" w:lineRule="auto"/>
              <w:ind w:left="0" w:leftChars="0" w:firstLine="0" w:firstLineChars="0"/>
              <w:jc w:val="center"/>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排放口</w:t>
            </w:r>
          </w:p>
          <w:p w14:paraId="1575581C">
            <w:pPr>
              <w:pStyle w:val="65"/>
              <w:keepNext w:val="0"/>
              <w:keepLines w:val="0"/>
              <w:pageBreakBefore w:val="0"/>
              <w:widowControl w:val="0"/>
              <w:kinsoku/>
              <w:wordWrap/>
              <w:overflowPunct/>
              <w:topLinePunct w:val="0"/>
              <w:bidi w:val="0"/>
              <w:snapToGrid/>
              <w:spacing w:line="240" w:lineRule="auto"/>
              <w:ind w:left="0" w:leftChars="0" w:firstLine="0" w:firstLineChars="0"/>
              <w:jc w:val="center"/>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编号</w:t>
            </w:r>
          </w:p>
        </w:tc>
        <w:tc>
          <w:tcPr>
            <w:tcW w:w="604" w:type="pct"/>
            <w:gridSpan w:val="2"/>
            <w:vMerge w:val="restart"/>
            <w:tcBorders>
              <w:top w:val="single" w:color="auto" w:sz="12" w:space="0"/>
            </w:tcBorders>
            <w:noWrap w:val="0"/>
            <w:vAlign w:val="center"/>
          </w:tcPr>
          <w:p w14:paraId="7EBE69C0">
            <w:pPr>
              <w:pStyle w:val="65"/>
              <w:keepNext w:val="0"/>
              <w:keepLines w:val="0"/>
              <w:pageBreakBefore w:val="0"/>
              <w:widowControl w:val="0"/>
              <w:kinsoku/>
              <w:wordWrap/>
              <w:overflowPunct/>
              <w:topLinePunct w:val="0"/>
              <w:bidi w:val="0"/>
              <w:snapToGrid/>
              <w:spacing w:line="240" w:lineRule="auto"/>
              <w:ind w:left="0" w:leftChars="0" w:firstLine="0" w:firstLineChars="0"/>
              <w:jc w:val="center"/>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排放口地理坐标</w:t>
            </w:r>
            <w:r>
              <w:rPr>
                <w:rFonts w:hint="default" w:ascii="Times New Roman" w:hAnsi="Times New Roman" w:eastAsia="宋体" w:cs="Times New Roman"/>
                <w:b w:val="0"/>
                <w:color w:val="auto"/>
                <w:sz w:val="21"/>
                <w:szCs w:val="21"/>
                <w:highlight w:val="none"/>
                <w:vertAlign w:val="superscript"/>
              </w:rPr>
              <w:t>a</w:t>
            </w:r>
          </w:p>
        </w:tc>
        <w:tc>
          <w:tcPr>
            <w:tcW w:w="605" w:type="pct"/>
            <w:vMerge w:val="restart"/>
            <w:tcBorders>
              <w:top w:val="single" w:color="auto" w:sz="12" w:space="0"/>
            </w:tcBorders>
            <w:noWrap w:val="0"/>
            <w:vAlign w:val="center"/>
          </w:tcPr>
          <w:p w14:paraId="3CE4B6E2">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废水排放量</w:t>
            </w:r>
          </w:p>
          <w:p w14:paraId="5A709D06">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/d</w:t>
            </w:r>
            <w:r>
              <w:rPr>
                <w:rFonts w:hint="eastAsia" w:ascii="Times New Roman" w:hAnsi="Times New Roman" w:cs="Times New Roman"/>
                <w:color w:val="auto"/>
                <w:sz w:val="21"/>
                <w:szCs w:val="21"/>
                <w:highlight w:val="none"/>
                <w:lang w:val="en-US" w:eastAsia="zh-CN"/>
              </w:rPr>
              <w:t>)</w:t>
            </w:r>
          </w:p>
        </w:tc>
        <w:tc>
          <w:tcPr>
            <w:tcW w:w="443" w:type="pct"/>
            <w:vMerge w:val="restart"/>
            <w:tcBorders>
              <w:top w:val="single" w:color="auto" w:sz="12" w:space="0"/>
            </w:tcBorders>
            <w:noWrap w:val="0"/>
            <w:vAlign w:val="center"/>
          </w:tcPr>
          <w:p w14:paraId="1A963DC0">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排放</w:t>
            </w:r>
          </w:p>
          <w:p w14:paraId="29BE4596">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去向</w:t>
            </w:r>
          </w:p>
        </w:tc>
        <w:tc>
          <w:tcPr>
            <w:tcW w:w="362" w:type="pct"/>
            <w:vMerge w:val="restart"/>
            <w:tcBorders>
              <w:top w:val="single" w:color="auto" w:sz="12" w:space="0"/>
            </w:tcBorders>
            <w:noWrap w:val="0"/>
            <w:vAlign w:val="center"/>
          </w:tcPr>
          <w:p w14:paraId="4BFEAD16">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排放规律</w:t>
            </w:r>
          </w:p>
        </w:tc>
        <w:tc>
          <w:tcPr>
            <w:tcW w:w="415" w:type="pct"/>
            <w:vMerge w:val="restart"/>
            <w:tcBorders>
              <w:top w:val="single" w:color="auto" w:sz="12" w:space="0"/>
            </w:tcBorders>
            <w:noWrap w:val="0"/>
            <w:vAlign w:val="center"/>
          </w:tcPr>
          <w:p w14:paraId="6C78C9C1">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间歇排放时段</w:t>
            </w:r>
          </w:p>
        </w:tc>
        <w:tc>
          <w:tcPr>
            <w:tcW w:w="1800" w:type="pct"/>
            <w:gridSpan w:val="3"/>
            <w:tcBorders>
              <w:top w:val="single" w:color="auto" w:sz="12" w:space="0"/>
              <w:right w:val="nil"/>
            </w:tcBorders>
            <w:noWrap w:val="0"/>
            <w:vAlign w:val="center"/>
          </w:tcPr>
          <w:p w14:paraId="553439C0">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受纳污水处理厂信息</w:t>
            </w:r>
          </w:p>
        </w:tc>
      </w:tr>
      <w:tr w14:paraId="4D471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0" w:type="pct"/>
            <w:vMerge w:val="continue"/>
            <w:tcBorders>
              <w:left w:val="nil"/>
            </w:tcBorders>
            <w:noWrap w:val="0"/>
            <w:vAlign w:val="center"/>
          </w:tcPr>
          <w:p w14:paraId="606E3687">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517" w:type="pct"/>
            <w:vMerge w:val="continue"/>
            <w:noWrap w:val="0"/>
            <w:vAlign w:val="center"/>
          </w:tcPr>
          <w:p w14:paraId="3B7D529D">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604" w:type="pct"/>
            <w:gridSpan w:val="2"/>
            <w:vMerge w:val="continue"/>
            <w:noWrap w:val="0"/>
            <w:vAlign w:val="center"/>
          </w:tcPr>
          <w:p w14:paraId="31F6C019">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605" w:type="pct"/>
            <w:vMerge w:val="continue"/>
            <w:noWrap w:val="0"/>
            <w:vAlign w:val="center"/>
          </w:tcPr>
          <w:p w14:paraId="2136F7CF">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443" w:type="pct"/>
            <w:vMerge w:val="continue"/>
            <w:noWrap w:val="0"/>
            <w:vAlign w:val="center"/>
          </w:tcPr>
          <w:p w14:paraId="7470904A">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362" w:type="pct"/>
            <w:vMerge w:val="continue"/>
            <w:noWrap w:val="0"/>
            <w:vAlign w:val="center"/>
          </w:tcPr>
          <w:p w14:paraId="79AA0028">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415" w:type="pct"/>
            <w:vMerge w:val="continue"/>
            <w:noWrap w:val="0"/>
            <w:vAlign w:val="center"/>
          </w:tcPr>
          <w:p w14:paraId="50E3E328">
            <w:pPr>
              <w:pStyle w:val="65"/>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b w:val="0"/>
                <w:color w:val="auto"/>
                <w:sz w:val="21"/>
                <w:szCs w:val="21"/>
                <w:highlight w:val="none"/>
              </w:rPr>
            </w:pPr>
          </w:p>
        </w:tc>
        <w:tc>
          <w:tcPr>
            <w:tcW w:w="479" w:type="pct"/>
            <w:vMerge w:val="restart"/>
            <w:noWrap w:val="0"/>
            <w:vAlign w:val="center"/>
          </w:tcPr>
          <w:p w14:paraId="3A2C2587">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名称</w:t>
            </w:r>
            <w:r>
              <w:rPr>
                <w:rFonts w:hint="default" w:ascii="Times New Roman" w:hAnsi="Times New Roman" w:eastAsia="宋体" w:cs="Times New Roman"/>
                <w:color w:val="auto"/>
                <w:sz w:val="21"/>
                <w:szCs w:val="21"/>
                <w:highlight w:val="none"/>
                <w:vertAlign w:val="superscript"/>
              </w:rPr>
              <w:t>b</w:t>
            </w:r>
          </w:p>
        </w:tc>
        <w:tc>
          <w:tcPr>
            <w:tcW w:w="567" w:type="pct"/>
            <w:vMerge w:val="restart"/>
            <w:noWrap w:val="0"/>
            <w:vAlign w:val="center"/>
          </w:tcPr>
          <w:p w14:paraId="3F860A9F">
            <w:pPr>
              <w:pStyle w:val="65"/>
              <w:keepNext w:val="0"/>
              <w:keepLines w:val="0"/>
              <w:pageBreakBefore w:val="0"/>
              <w:widowControl w:val="0"/>
              <w:kinsoku/>
              <w:wordWrap/>
              <w:overflowPunct/>
              <w:topLinePunct w:val="0"/>
              <w:bidi w:val="0"/>
              <w:snapToGrid/>
              <w:spacing w:line="240" w:lineRule="auto"/>
              <w:ind w:left="0" w:leftChars="0" w:firstLine="0" w:firstLineChars="0"/>
              <w:jc w:val="center"/>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污染物种类</w:t>
            </w:r>
          </w:p>
        </w:tc>
        <w:tc>
          <w:tcPr>
            <w:tcW w:w="753" w:type="pct"/>
            <w:vMerge w:val="restart"/>
            <w:tcBorders>
              <w:right w:val="nil"/>
            </w:tcBorders>
            <w:noWrap w:val="0"/>
            <w:vAlign w:val="center"/>
          </w:tcPr>
          <w:p w14:paraId="2DE0AA71">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color w:val="auto"/>
                <w:sz w:val="21"/>
                <w:szCs w:val="21"/>
                <w:highlight w:val="none"/>
              </w:rPr>
              <w:t>国家或地方污染物排放</w:t>
            </w:r>
            <w:r>
              <w:rPr>
                <w:rFonts w:hint="default" w:ascii="Times New Roman" w:hAnsi="Times New Roman" w:eastAsia="宋体" w:cs="Times New Roman"/>
                <w:b w:val="0"/>
                <w:color w:val="auto"/>
                <w:sz w:val="21"/>
                <w:szCs w:val="21"/>
                <w:highlight w:val="none"/>
              </w:rPr>
              <w:t>标准浓度</w:t>
            </w:r>
            <w:r>
              <w:rPr>
                <w:rFonts w:hint="default" w:ascii="Times New Roman" w:hAnsi="Times New Roman" w:eastAsia="宋体" w:cs="Times New Roman"/>
                <w:b w:val="0"/>
                <w:color w:val="auto"/>
                <w:sz w:val="21"/>
                <w:szCs w:val="21"/>
                <w:highlight w:val="none"/>
                <w:lang w:eastAsia="zh-CN"/>
              </w:rPr>
              <w:t>限值</w:t>
            </w:r>
            <w:r>
              <w:rPr>
                <w:rFonts w:hint="eastAsia" w:ascii="Times New Roman" w:hAnsi="Times New Roman" w:cs="Times New Roman"/>
                <w:b w:val="0"/>
                <w:color w:val="auto"/>
                <w:sz w:val="21"/>
                <w:szCs w:val="21"/>
                <w:highlight w:val="none"/>
                <w:lang w:eastAsia="zh-CN"/>
              </w:rPr>
              <w:t>（</w:t>
            </w:r>
            <w:r>
              <w:rPr>
                <w:rFonts w:hint="default" w:ascii="Times New Roman" w:hAnsi="Times New Roman" w:eastAsia="宋体" w:cs="Times New Roman"/>
                <w:b w:val="0"/>
                <w:color w:val="auto"/>
                <w:sz w:val="21"/>
                <w:szCs w:val="21"/>
                <w:highlight w:val="none"/>
              </w:rPr>
              <w:t>mg/L</w:t>
            </w:r>
            <w:r>
              <w:rPr>
                <w:rFonts w:hint="eastAsia" w:ascii="Times New Roman" w:hAnsi="Times New Roman" w:cs="Times New Roman"/>
                <w:b w:val="0"/>
                <w:color w:val="auto"/>
                <w:sz w:val="21"/>
                <w:szCs w:val="21"/>
                <w:highlight w:val="none"/>
                <w:lang w:eastAsia="zh-CN"/>
              </w:rPr>
              <w:t>）</w:t>
            </w:r>
          </w:p>
        </w:tc>
      </w:tr>
      <w:tr w14:paraId="3D56A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0" w:type="pct"/>
            <w:vMerge w:val="continue"/>
            <w:tcBorders>
              <w:left w:val="nil"/>
            </w:tcBorders>
            <w:noWrap w:val="0"/>
            <w:vAlign w:val="center"/>
          </w:tcPr>
          <w:p w14:paraId="6B9FF0AA">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517" w:type="pct"/>
            <w:vMerge w:val="continue"/>
            <w:noWrap w:val="0"/>
            <w:vAlign w:val="center"/>
          </w:tcPr>
          <w:p w14:paraId="3EAF09D0">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298" w:type="pct"/>
            <w:noWrap w:val="0"/>
            <w:vAlign w:val="center"/>
          </w:tcPr>
          <w:p w14:paraId="48068F50">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经度</w:t>
            </w:r>
          </w:p>
        </w:tc>
        <w:tc>
          <w:tcPr>
            <w:tcW w:w="306" w:type="pct"/>
            <w:noWrap w:val="0"/>
            <w:vAlign w:val="center"/>
          </w:tcPr>
          <w:p w14:paraId="2D34E93A">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纬度</w:t>
            </w:r>
          </w:p>
        </w:tc>
        <w:tc>
          <w:tcPr>
            <w:tcW w:w="605" w:type="pct"/>
            <w:vMerge w:val="continue"/>
            <w:noWrap w:val="0"/>
            <w:vAlign w:val="center"/>
          </w:tcPr>
          <w:p w14:paraId="020F738E">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443" w:type="pct"/>
            <w:vMerge w:val="continue"/>
            <w:noWrap w:val="0"/>
            <w:vAlign w:val="center"/>
          </w:tcPr>
          <w:p w14:paraId="0FB45BDC">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362" w:type="pct"/>
            <w:vMerge w:val="continue"/>
            <w:noWrap w:val="0"/>
            <w:vAlign w:val="center"/>
          </w:tcPr>
          <w:p w14:paraId="1C129185">
            <w:pPr>
              <w:pStyle w:val="47"/>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415" w:type="pct"/>
            <w:vMerge w:val="continue"/>
            <w:noWrap w:val="0"/>
            <w:vAlign w:val="center"/>
          </w:tcPr>
          <w:p w14:paraId="1CB324EA">
            <w:pPr>
              <w:pStyle w:val="65"/>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b w:val="0"/>
                <w:color w:val="auto"/>
                <w:sz w:val="21"/>
                <w:szCs w:val="21"/>
                <w:highlight w:val="none"/>
              </w:rPr>
            </w:pPr>
          </w:p>
        </w:tc>
        <w:tc>
          <w:tcPr>
            <w:tcW w:w="479" w:type="pct"/>
            <w:vMerge w:val="continue"/>
            <w:noWrap w:val="0"/>
            <w:vAlign w:val="center"/>
          </w:tcPr>
          <w:p w14:paraId="6DAA2397">
            <w:pPr>
              <w:pStyle w:val="65"/>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b w:val="0"/>
                <w:color w:val="auto"/>
                <w:sz w:val="21"/>
                <w:szCs w:val="21"/>
                <w:highlight w:val="none"/>
              </w:rPr>
            </w:pPr>
          </w:p>
        </w:tc>
        <w:tc>
          <w:tcPr>
            <w:tcW w:w="567" w:type="pct"/>
            <w:vMerge w:val="continue"/>
            <w:noWrap w:val="0"/>
            <w:vAlign w:val="center"/>
          </w:tcPr>
          <w:p w14:paraId="1CE9EEEC">
            <w:pPr>
              <w:pStyle w:val="65"/>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b w:val="0"/>
                <w:color w:val="auto"/>
                <w:sz w:val="21"/>
                <w:szCs w:val="21"/>
                <w:highlight w:val="none"/>
              </w:rPr>
            </w:pPr>
          </w:p>
        </w:tc>
        <w:tc>
          <w:tcPr>
            <w:tcW w:w="753" w:type="pct"/>
            <w:vMerge w:val="continue"/>
            <w:tcBorders>
              <w:right w:val="nil"/>
            </w:tcBorders>
            <w:noWrap w:val="0"/>
            <w:vAlign w:val="center"/>
          </w:tcPr>
          <w:p w14:paraId="7A0BA874">
            <w:pPr>
              <w:pStyle w:val="65"/>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b w:val="0"/>
                <w:color w:val="auto"/>
                <w:sz w:val="21"/>
                <w:szCs w:val="21"/>
                <w:highlight w:val="none"/>
              </w:rPr>
            </w:pPr>
          </w:p>
        </w:tc>
      </w:tr>
      <w:tr w14:paraId="6848C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0" w:type="pct"/>
            <w:tcBorders>
              <w:left w:val="nil"/>
            </w:tcBorders>
            <w:noWrap w:val="0"/>
            <w:vAlign w:val="center"/>
          </w:tcPr>
          <w:p w14:paraId="05C903DD">
            <w:pPr>
              <w:pStyle w:val="65"/>
              <w:keepNext w:val="0"/>
              <w:keepLines w:val="0"/>
              <w:pageBreakBefore w:val="0"/>
              <w:widowControl w:val="0"/>
              <w:kinsoku/>
              <w:wordWrap/>
              <w:overflowPunct/>
              <w:topLinePunct w:val="0"/>
              <w:bidi w:val="0"/>
              <w:snapToGrid/>
              <w:spacing w:line="240" w:lineRule="auto"/>
              <w:ind w:left="0" w:leftChars="0" w:firstLine="0" w:firstLineChars="0"/>
              <w:jc w:val="center"/>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1</w:t>
            </w:r>
          </w:p>
        </w:tc>
        <w:tc>
          <w:tcPr>
            <w:tcW w:w="517" w:type="pct"/>
            <w:noWrap w:val="0"/>
            <w:vAlign w:val="center"/>
          </w:tcPr>
          <w:p w14:paraId="48079F59">
            <w:pPr>
              <w:pStyle w:val="65"/>
              <w:keepNext w:val="0"/>
              <w:keepLines w:val="0"/>
              <w:pageBreakBefore w:val="0"/>
              <w:widowControl w:val="0"/>
              <w:kinsoku/>
              <w:wordWrap/>
              <w:overflowPunct/>
              <w:topLinePunct w:val="0"/>
              <w:bidi w:val="0"/>
              <w:snapToGrid/>
              <w:spacing w:line="240" w:lineRule="auto"/>
              <w:ind w:left="0" w:leftChars="0" w:firstLine="0" w:firstLineChars="0"/>
              <w:jc w:val="center"/>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DW001</w:t>
            </w:r>
          </w:p>
        </w:tc>
        <w:tc>
          <w:tcPr>
            <w:tcW w:w="298" w:type="pct"/>
            <w:noWrap w:val="0"/>
            <w:vAlign w:val="center"/>
          </w:tcPr>
          <w:p w14:paraId="65130D44">
            <w:pPr>
              <w:pStyle w:val="65"/>
              <w:keepNext w:val="0"/>
              <w:keepLines w:val="0"/>
              <w:pageBreakBefore w:val="0"/>
              <w:widowControl w:val="0"/>
              <w:kinsoku/>
              <w:wordWrap/>
              <w:overflowPunct/>
              <w:topLinePunct w:val="0"/>
              <w:bidi w:val="0"/>
              <w:snapToGrid/>
              <w:spacing w:line="240" w:lineRule="auto"/>
              <w:ind w:left="0" w:leftChars="0" w:firstLine="0" w:firstLineChars="0"/>
              <w:jc w:val="center"/>
              <w:rPr>
                <w:rFonts w:hint="default" w:ascii="Times New Roman" w:hAnsi="Times New Roman" w:eastAsia="宋体" w:cs="Times New Roman"/>
                <w:b w:val="0"/>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w:t>
            </w:r>
          </w:p>
        </w:tc>
        <w:tc>
          <w:tcPr>
            <w:tcW w:w="306" w:type="pct"/>
            <w:noWrap w:val="0"/>
            <w:vAlign w:val="center"/>
          </w:tcPr>
          <w:p w14:paraId="330E5263">
            <w:pPr>
              <w:pStyle w:val="65"/>
              <w:keepNext w:val="0"/>
              <w:keepLines w:val="0"/>
              <w:pageBreakBefore w:val="0"/>
              <w:widowControl w:val="0"/>
              <w:kinsoku/>
              <w:wordWrap/>
              <w:overflowPunct/>
              <w:topLinePunct w:val="0"/>
              <w:bidi w:val="0"/>
              <w:snapToGrid/>
              <w:spacing w:line="240" w:lineRule="auto"/>
              <w:ind w:left="0" w:leftChars="0" w:firstLine="0" w:firstLineChars="0"/>
              <w:jc w:val="center"/>
              <w:rPr>
                <w:rFonts w:hint="default" w:ascii="Times New Roman" w:hAnsi="Times New Roman" w:eastAsia="宋体" w:cs="Times New Roman"/>
                <w:b w:val="0"/>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w:t>
            </w:r>
          </w:p>
        </w:tc>
        <w:tc>
          <w:tcPr>
            <w:tcW w:w="605" w:type="pct"/>
            <w:noWrap w:val="0"/>
            <w:vAlign w:val="center"/>
          </w:tcPr>
          <w:p w14:paraId="53D4E150">
            <w:pPr>
              <w:pStyle w:val="65"/>
              <w:keepNext w:val="0"/>
              <w:keepLines w:val="0"/>
              <w:pageBreakBefore w:val="0"/>
              <w:widowControl w:val="0"/>
              <w:kinsoku/>
              <w:wordWrap/>
              <w:overflowPunct/>
              <w:topLinePunct w:val="0"/>
              <w:bidi w:val="0"/>
              <w:snapToGrid/>
              <w:spacing w:line="240" w:lineRule="auto"/>
              <w:ind w:left="0" w:leftChars="0" w:firstLine="0" w:firstLineChars="0"/>
              <w:jc w:val="center"/>
              <w:rPr>
                <w:rFonts w:hint="default" w:ascii="Times New Roman" w:hAnsi="Times New Roman" w:eastAsia="宋体" w:cs="Times New Roman"/>
                <w:b w:val="0"/>
                <w:color w:val="auto"/>
                <w:sz w:val="21"/>
                <w:szCs w:val="21"/>
                <w:highlight w:val="none"/>
                <w:lang w:val="en-US" w:eastAsia="zh-CN"/>
              </w:rPr>
            </w:pPr>
            <w:r>
              <w:rPr>
                <w:rFonts w:hint="eastAsia" w:ascii="Times New Roman" w:hAnsi="Times New Roman" w:eastAsia="宋体" w:cs="Times New Roman"/>
                <w:b w:val="0"/>
                <w:color w:val="auto"/>
                <w:sz w:val="21"/>
                <w:szCs w:val="21"/>
                <w:highlight w:val="none"/>
                <w:lang w:val="en-US" w:eastAsia="zh-CN"/>
              </w:rPr>
              <w:t>9.79</w:t>
            </w:r>
          </w:p>
        </w:tc>
        <w:tc>
          <w:tcPr>
            <w:tcW w:w="443" w:type="pct"/>
            <w:noWrap w:val="0"/>
            <w:vAlign w:val="center"/>
          </w:tcPr>
          <w:p w14:paraId="00BFE8D2">
            <w:pPr>
              <w:pStyle w:val="65"/>
              <w:keepNext w:val="0"/>
              <w:keepLines w:val="0"/>
              <w:pageBreakBefore w:val="0"/>
              <w:widowControl w:val="0"/>
              <w:kinsoku/>
              <w:wordWrap/>
              <w:overflowPunct/>
              <w:topLinePunct w:val="0"/>
              <w:bidi w:val="0"/>
              <w:snapToGrid/>
              <w:spacing w:line="240" w:lineRule="auto"/>
              <w:ind w:left="0" w:leftChars="0" w:firstLine="0" w:firstLineChars="0"/>
              <w:jc w:val="center"/>
              <w:rPr>
                <w:rFonts w:hint="default" w:ascii="Times New Roman" w:hAnsi="Times New Roman" w:eastAsia="宋体" w:cs="Times New Roman"/>
                <w:b w:val="0"/>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rPr>
              <w:t>佳木斯西区污水处理厂</w:t>
            </w:r>
          </w:p>
        </w:tc>
        <w:tc>
          <w:tcPr>
            <w:tcW w:w="362" w:type="pct"/>
            <w:noWrap w:val="0"/>
            <w:vAlign w:val="center"/>
          </w:tcPr>
          <w:p w14:paraId="0B258DF2">
            <w:pPr>
              <w:pStyle w:val="65"/>
              <w:keepNext w:val="0"/>
              <w:keepLines w:val="0"/>
              <w:pageBreakBefore w:val="0"/>
              <w:widowControl w:val="0"/>
              <w:kinsoku/>
              <w:wordWrap/>
              <w:overflowPunct/>
              <w:topLinePunct w:val="0"/>
              <w:bidi w:val="0"/>
              <w:snapToGrid/>
              <w:spacing w:line="240" w:lineRule="auto"/>
              <w:ind w:left="0" w:leftChars="0" w:firstLine="0" w:firstLineChars="0"/>
              <w:jc w:val="center"/>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lang w:val="en-US" w:eastAsia="zh-CN"/>
              </w:rPr>
              <w:t>间断</w:t>
            </w:r>
            <w:r>
              <w:rPr>
                <w:rFonts w:hint="default" w:ascii="Times New Roman" w:hAnsi="Times New Roman" w:eastAsia="宋体" w:cs="Times New Roman"/>
                <w:b w:val="0"/>
                <w:color w:val="auto"/>
                <w:sz w:val="21"/>
                <w:szCs w:val="21"/>
                <w:highlight w:val="none"/>
              </w:rPr>
              <w:t>排放</w:t>
            </w:r>
          </w:p>
        </w:tc>
        <w:tc>
          <w:tcPr>
            <w:tcW w:w="415" w:type="pct"/>
            <w:noWrap w:val="0"/>
            <w:vAlign w:val="center"/>
          </w:tcPr>
          <w:p w14:paraId="665FB9A0">
            <w:pPr>
              <w:pStyle w:val="65"/>
              <w:keepNext w:val="0"/>
              <w:keepLines w:val="0"/>
              <w:pageBreakBefore w:val="0"/>
              <w:widowControl w:val="0"/>
              <w:kinsoku/>
              <w:wordWrap/>
              <w:overflowPunct/>
              <w:topLinePunct w:val="0"/>
              <w:bidi w:val="0"/>
              <w:snapToGrid/>
              <w:spacing w:line="240" w:lineRule="auto"/>
              <w:ind w:left="0" w:leftChars="0" w:firstLine="0" w:firstLineChars="0"/>
              <w:jc w:val="center"/>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w:t>
            </w:r>
          </w:p>
        </w:tc>
        <w:tc>
          <w:tcPr>
            <w:tcW w:w="479" w:type="pct"/>
            <w:noWrap w:val="0"/>
            <w:vAlign w:val="center"/>
          </w:tcPr>
          <w:p w14:paraId="13539ECA">
            <w:pPr>
              <w:pStyle w:val="65"/>
              <w:keepNext w:val="0"/>
              <w:keepLines w:val="0"/>
              <w:pageBreakBefore w:val="0"/>
              <w:widowControl w:val="0"/>
              <w:kinsoku/>
              <w:wordWrap/>
              <w:overflowPunct/>
              <w:topLinePunct w:val="0"/>
              <w:bidi w:val="0"/>
              <w:snapToGrid/>
              <w:spacing w:line="240" w:lineRule="auto"/>
              <w:ind w:left="0" w:leftChars="0" w:firstLine="0" w:firstLineChars="0"/>
              <w:jc w:val="center"/>
              <w:rPr>
                <w:rFonts w:hint="default" w:ascii="Times New Roman" w:hAnsi="Times New Roman" w:eastAsia="宋体" w:cs="Times New Roman"/>
                <w:b w:val="0"/>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rPr>
              <w:t>佳木斯西区污水处理厂</w:t>
            </w:r>
          </w:p>
        </w:tc>
        <w:tc>
          <w:tcPr>
            <w:tcW w:w="567" w:type="pct"/>
            <w:noWrap w:val="0"/>
            <w:vAlign w:val="center"/>
          </w:tcPr>
          <w:p w14:paraId="14CAC5FD">
            <w:pPr>
              <w:pStyle w:val="65"/>
              <w:keepNext w:val="0"/>
              <w:keepLines w:val="0"/>
              <w:pageBreakBefore w:val="0"/>
              <w:widowControl w:val="0"/>
              <w:kinsoku/>
              <w:wordWrap/>
              <w:overflowPunct/>
              <w:topLinePunct w:val="0"/>
              <w:bidi w:val="0"/>
              <w:snapToGrid/>
              <w:spacing w:line="240" w:lineRule="auto"/>
              <w:ind w:left="0" w:leftChars="0" w:firstLine="0" w:firstLineChars="0"/>
              <w:jc w:val="center"/>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COD</w:t>
            </w:r>
          </w:p>
          <w:p w14:paraId="598F61A6">
            <w:pPr>
              <w:pStyle w:val="65"/>
              <w:keepNext w:val="0"/>
              <w:keepLines w:val="0"/>
              <w:pageBreakBefore w:val="0"/>
              <w:widowControl w:val="0"/>
              <w:kinsoku/>
              <w:wordWrap/>
              <w:overflowPunct/>
              <w:topLinePunct w:val="0"/>
              <w:bidi w:val="0"/>
              <w:snapToGrid/>
              <w:spacing w:line="240" w:lineRule="auto"/>
              <w:ind w:left="0" w:leftChars="0" w:firstLine="0" w:firstLineChars="0"/>
              <w:jc w:val="center"/>
              <w:rPr>
                <w:rFonts w:hint="default" w:ascii="Times New Roman" w:hAnsi="Times New Roman" w:eastAsia="宋体" w:cs="Times New Roman"/>
                <w:b w:val="0"/>
                <w:color w:val="auto"/>
                <w:sz w:val="21"/>
                <w:szCs w:val="21"/>
                <w:highlight w:val="none"/>
                <w:lang w:val="en-US" w:eastAsia="zh-CN"/>
              </w:rPr>
            </w:pPr>
            <w:r>
              <w:rPr>
                <w:rFonts w:hint="default" w:ascii="Times New Roman" w:hAnsi="Times New Roman" w:eastAsia="宋体" w:cs="Times New Roman"/>
                <w:b w:val="0"/>
                <w:color w:val="auto"/>
                <w:sz w:val="21"/>
                <w:szCs w:val="21"/>
                <w:highlight w:val="none"/>
              </w:rPr>
              <w:t>BOD</w:t>
            </w:r>
            <w:r>
              <w:rPr>
                <w:rFonts w:hint="default" w:ascii="Times New Roman" w:hAnsi="Times New Roman" w:eastAsia="宋体" w:cs="Times New Roman"/>
                <w:b w:val="0"/>
                <w:color w:val="auto"/>
                <w:sz w:val="21"/>
                <w:szCs w:val="21"/>
                <w:highlight w:val="none"/>
                <w:vertAlign w:val="subscript"/>
                <w:lang w:val="en-US" w:eastAsia="zh-CN"/>
              </w:rPr>
              <w:t>5</w:t>
            </w:r>
          </w:p>
          <w:p w14:paraId="68D3F4F8">
            <w:pPr>
              <w:pStyle w:val="65"/>
              <w:keepNext w:val="0"/>
              <w:keepLines w:val="0"/>
              <w:pageBreakBefore w:val="0"/>
              <w:widowControl w:val="0"/>
              <w:kinsoku/>
              <w:wordWrap/>
              <w:overflowPunct/>
              <w:topLinePunct w:val="0"/>
              <w:bidi w:val="0"/>
              <w:snapToGrid/>
              <w:spacing w:line="240" w:lineRule="auto"/>
              <w:ind w:left="0" w:leftChars="0" w:firstLine="0" w:firstLineChars="0"/>
              <w:jc w:val="center"/>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SS</w:t>
            </w:r>
          </w:p>
          <w:p w14:paraId="60D87977">
            <w:pPr>
              <w:pStyle w:val="65"/>
              <w:keepNext w:val="0"/>
              <w:keepLines w:val="0"/>
              <w:pageBreakBefore w:val="0"/>
              <w:widowControl w:val="0"/>
              <w:kinsoku/>
              <w:wordWrap/>
              <w:overflowPunct/>
              <w:topLinePunct w:val="0"/>
              <w:bidi w:val="0"/>
              <w:snapToGrid/>
              <w:spacing w:line="240" w:lineRule="auto"/>
              <w:ind w:left="0" w:leftChars="0" w:firstLine="0" w:firstLineChars="0"/>
              <w:jc w:val="center"/>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氨氮</w:t>
            </w:r>
          </w:p>
          <w:p w14:paraId="76ECEBBC">
            <w:pPr>
              <w:pStyle w:val="65"/>
              <w:keepNext w:val="0"/>
              <w:keepLines w:val="0"/>
              <w:pageBreakBefore w:val="0"/>
              <w:widowControl w:val="0"/>
              <w:kinsoku/>
              <w:wordWrap/>
              <w:overflowPunct/>
              <w:topLinePunct w:val="0"/>
              <w:bidi w:val="0"/>
              <w:snapToGrid/>
              <w:spacing w:line="240" w:lineRule="auto"/>
              <w:ind w:left="0" w:leftChars="0" w:firstLine="0" w:firstLineChars="0"/>
              <w:jc w:val="center"/>
              <w:rPr>
                <w:rFonts w:hint="default" w:ascii="Times New Roman" w:hAnsi="Times New Roman" w:eastAsia="宋体" w:cs="Times New Roman"/>
                <w:b w:val="0"/>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总磷</w:t>
            </w:r>
          </w:p>
          <w:p w14:paraId="2BAC2D33">
            <w:pPr>
              <w:pStyle w:val="65"/>
              <w:keepNext w:val="0"/>
              <w:keepLines w:val="0"/>
              <w:pageBreakBefore w:val="0"/>
              <w:widowControl w:val="0"/>
              <w:kinsoku/>
              <w:wordWrap/>
              <w:overflowPunct/>
              <w:topLinePunct w:val="0"/>
              <w:bidi w:val="0"/>
              <w:snapToGrid/>
              <w:spacing w:line="240" w:lineRule="auto"/>
              <w:ind w:left="0" w:leftChars="0" w:firstLine="0" w:firstLineChars="0"/>
              <w:jc w:val="center"/>
              <w:rPr>
                <w:rFonts w:hint="default" w:ascii="Times New Roman" w:hAnsi="Times New Roman" w:eastAsia="宋体" w:cs="Times New Roman"/>
                <w:b w:val="0"/>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pH值</w:t>
            </w:r>
          </w:p>
          <w:p w14:paraId="4282261A">
            <w:pPr>
              <w:pStyle w:val="65"/>
              <w:keepNext w:val="0"/>
              <w:keepLines w:val="0"/>
              <w:pageBreakBefore w:val="0"/>
              <w:widowControl w:val="0"/>
              <w:kinsoku/>
              <w:wordWrap/>
              <w:overflowPunct/>
              <w:topLinePunct w:val="0"/>
              <w:bidi w:val="0"/>
              <w:snapToGrid/>
              <w:spacing w:line="240" w:lineRule="auto"/>
              <w:ind w:left="0" w:leftChars="0" w:firstLine="0" w:firstLineChars="0"/>
              <w:jc w:val="center"/>
              <w:rPr>
                <w:rFonts w:hint="default" w:ascii="Times New Roman" w:hAnsi="Times New Roman" w:eastAsia="宋体" w:cs="Times New Roman"/>
                <w:b w:val="0"/>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动植物油</w:t>
            </w:r>
          </w:p>
        </w:tc>
        <w:tc>
          <w:tcPr>
            <w:tcW w:w="753" w:type="pct"/>
            <w:tcBorders>
              <w:right w:val="nil"/>
            </w:tcBorders>
            <w:noWrap w:val="0"/>
            <w:vAlign w:val="center"/>
          </w:tcPr>
          <w:p w14:paraId="70931CFD">
            <w:pPr>
              <w:pStyle w:val="65"/>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b w:val="0"/>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50</w:t>
            </w:r>
          </w:p>
          <w:p w14:paraId="096D625E">
            <w:pPr>
              <w:pStyle w:val="65"/>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b w:val="0"/>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10</w:t>
            </w:r>
          </w:p>
          <w:p w14:paraId="5A8BEE68">
            <w:pPr>
              <w:pStyle w:val="65"/>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b w:val="0"/>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10</w:t>
            </w:r>
          </w:p>
          <w:p w14:paraId="43BF1E99">
            <w:pPr>
              <w:pStyle w:val="65"/>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b w:val="0"/>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5</w:t>
            </w:r>
            <w:r>
              <w:rPr>
                <w:rFonts w:hint="eastAsia" w:ascii="Times New Roman" w:hAnsi="Times New Roman" w:eastAsia="宋体" w:cs="Times New Roman"/>
                <w:b w:val="0"/>
                <w:color w:val="auto"/>
                <w:sz w:val="21"/>
                <w:szCs w:val="21"/>
                <w:highlight w:val="none"/>
                <w:lang w:val="en-US" w:eastAsia="zh-CN"/>
              </w:rPr>
              <w:t>(</w:t>
            </w:r>
            <w:r>
              <w:rPr>
                <w:rFonts w:hint="default" w:ascii="Times New Roman" w:hAnsi="Times New Roman" w:eastAsia="宋体" w:cs="Times New Roman"/>
                <w:b w:val="0"/>
                <w:color w:val="auto"/>
                <w:sz w:val="21"/>
                <w:szCs w:val="21"/>
                <w:highlight w:val="none"/>
                <w:lang w:val="en-US" w:eastAsia="zh-CN"/>
              </w:rPr>
              <w:t>8</w:t>
            </w:r>
            <w:r>
              <w:rPr>
                <w:rFonts w:hint="eastAsia" w:ascii="Times New Roman" w:hAnsi="Times New Roman" w:eastAsia="宋体" w:cs="Times New Roman"/>
                <w:b w:val="0"/>
                <w:color w:val="auto"/>
                <w:sz w:val="21"/>
                <w:szCs w:val="21"/>
                <w:highlight w:val="none"/>
                <w:lang w:val="en-US" w:eastAsia="zh-CN"/>
              </w:rPr>
              <w:t>)</w:t>
            </w:r>
          </w:p>
          <w:p w14:paraId="5C910A7A">
            <w:pPr>
              <w:pStyle w:val="65"/>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b w:val="0"/>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0.5</w:t>
            </w:r>
          </w:p>
          <w:p w14:paraId="05B3DD10">
            <w:pPr>
              <w:pStyle w:val="65"/>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b w:val="0"/>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6-9</w:t>
            </w:r>
          </w:p>
          <w:p w14:paraId="60165D6F">
            <w:pPr>
              <w:pStyle w:val="65"/>
              <w:keepNext w:val="0"/>
              <w:keepLines w:val="0"/>
              <w:pageBreakBefore w:val="0"/>
              <w:widowControl w:val="0"/>
              <w:kinsoku/>
              <w:wordWrap/>
              <w:overflowPunct/>
              <w:topLinePunct w:val="0"/>
              <w:bidi w:val="0"/>
              <w:snapToGrid/>
              <w:spacing w:line="240" w:lineRule="auto"/>
              <w:ind w:firstLine="0" w:firstLineChars="0"/>
              <w:jc w:val="center"/>
              <w:rPr>
                <w:rFonts w:hint="default" w:ascii="Times New Roman" w:hAnsi="Times New Roman" w:eastAsia="宋体" w:cs="Times New Roman"/>
                <w:b w:val="0"/>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1</w:t>
            </w:r>
          </w:p>
        </w:tc>
      </w:tr>
      <w:tr w14:paraId="579F1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11"/>
            <w:tcBorders>
              <w:left w:val="nil"/>
              <w:bottom w:val="single" w:color="auto" w:sz="12" w:space="0"/>
              <w:right w:val="nil"/>
            </w:tcBorders>
            <w:noWrap w:val="0"/>
            <w:vAlign w:val="center"/>
          </w:tcPr>
          <w:p w14:paraId="360ECA6E">
            <w:pPr>
              <w:pStyle w:val="47"/>
              <w:keepNext w:val="0"/>
              <w:keepLines w:val="0"/>
              <w:pageBreakBefore w:val="0"/>
              <w:widowControl w:val="0"/>
              <w:kinsoku/>
              <w:wordWrap/>
              <w:overflowPunct/>
              <w:topLinePunct w:val="0"/>
              <w:bidi w:val="0"/>
              <w:snapToGrid/>
              <w:spacing w:line="240" w:lineRule="auto"/>
              <w:ind w:firstLine="0" w:firstLineChars="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a对于排至厂外公共污水处理系统的排放口，指废水排出厂界处经纬度坐标。</w:t>
            </w:r>
          </w:p>
          <w:p w14:paraId="2A39E303">
            <w:pPr>
              <w:pStyle w:val="65"/>
              <w:keepNext w:val="0"/>
              <w:keepLines w:val="0"/>
              <w:pageBreakBefore w:val="0"/>
              <w:widowControl w:val="0"/>
              <w:kinsoku/>
              <w:wordWrap/>
              <w:overflowPunct/>
              <w:topLinePunct w:val="0"/>
              <w:bidi w:val="0"/>
              <w:snapToGrid/>
              <w:spacing w:line="240" w:lineRule="auto"/>
              <w:ind w:left="0" w:leftChars="0" w:firstLine="0" w:firstLineChars="0"/>
              <w:jc w:val="left"/>
              <w:rPr>
                <w:rFonts w:hint="default" w:ascii="Times New Roman" w:hAnsi="Times New Roman" w:eastAsia="宋体" w:cs="Times New Roman"/>
                <w:b w:val="0"/>
                <w:color w:val="auto"/>
                <w:sz w:val="18"/>
                <w:szCs w:val="18"/>
                <w:highlight w:val="none"/>
              </w:rPr>
            </w:pPr>
            <w:r>
              <w:rPr>
                <w:rFonts w:hint="default" w:ascii="Times New Roman" w:hAnsi="Times New Roman" w:eastAsia="宋体" w:cs="Times New Roman"/>
                <w:b w:val="0"/>
                <w:color w:val="auto"/>
                <w:sz w:val="18"/>
                <w:szCs w:val="18"/>
                <w:highlight w:val="none"/>
              </w:rPr>
              <w:t>b指厂外城镇或工业污水集中处理设施名称，如×××生活污水处理厂、×××化工园区污水处理厂等。</w:t>
            </w:r>
          </w:p>
        </w:tc>
      </w:tr>
    </w:tbl>
    <w:p w14:paraId="2BCB950B">
      <w:pPr>
        <w:pStyle w:val="65"/>
        <w:keepNext w:val="0"/>
        <w:keepLines w:val="0"/>
        <w:pageBreakBefore w:val="0"/>
        <w:widowControl w:val="0"/>
        <w:kinsoku/>
        <w:wordWrap/>
        <w:overflowPunct/>
        <w:topLinePunct/>
        <w:autoSpaceDE/>
        <w:autoSpaceDN/>
        <w:bidi w:val="0"/>
        <w:adjustRightInd w:val="0"/>
        <w:snapToGrid w:val="0"/>
        <w:spacing w:line="480" w:lineRule="exact"/>
        <w:ind w:left="0" w:leftChars="0" w:firstLine="0" w:firstLineChars="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w:t>
      </w:r>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2-</w:t>
      </w:r>
      <w:r>
        <w:rPr>
          <w:rFonts w:hint="eastAsia" w:ascii="Times New Roman" w:hAnsi="Times New Roman" w:eastAsia="宋体" w:cs="Times New Roman"/>
          <w:color w:val="auto"/>
          <w:sz w:val="24"/>
          <w:szCs w:val="24"/>
          <w:highlight w:val="none"/>
          <w:lang w:val="en-US" w:eastAsia="zh-CN"/>
        </w:rPr>
        <w:t>33</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废水污染物排放</w:t>
      </w:r>
      <w:r>
        <w:rPr>
          <w:rFonts w:hint="default" w:ascii="Times New Roman" w:hAnsi="Times New Roman" w:eastAsia="宋体" w:cs="Times New Roman"/>
          <w:color w:val="auto"/>
          <w:sz w:val="24"/>
          <w:szCs w:val="24"/>
          <w:highlight w:val="none"/>
          <w:lang w:eastAsia="zh-CN"/>
        </w:rPr>
        <w:t>执行标准</w:t>
      </w:r>
      <w:r>
        <w:rPr>
          <w:rFonts w:hint="default" w:ascii="Times New Roman" w:hAnsi="Times New Roman" w:eastAsia="宋体" w:cs="Times New Roman"/>
          <w:color w:val="auto"/>
          <w:sz w:val="24"/>
          <w:szCs w:val="24"/>
          <w:highlight w:val="none"/>
        </w:rPr>
        <w:t>表</w:t>
      </w:r>
    </w:p>
    <w:tbl>
      <w:tblPr>
        <w:tblStyle w:val="38"/>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4"/>
        <w:gridCol w:w="1240"/>
        <w:gridCol w:w="2935"/>
        <w:gridCol w:w="3736"/>
      </w:tblGrid>
      <w:tr w14:paraId="34464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355" w:type="pct"/>
            <w:tcBorders>
              <w:top w:val="single" w:color="auto" w:sz="12" w:space="0"/>
              <w:left w:val="nil"/>
            </w:tcBorders>
            <w:noWrap w:val="0"/>
            <w:vAlign w:val="center"/>
          </w:tcPr>
          <w:p w14:paraId="7C840537">
            <w:pPr>
              <w:pStyle w:val="6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序号</w:t>
            </w:r>
          </w:p>
        </w:tc>
        <w:tc>
          <w:tcPr>
            <w:tcW w:w="728" w:type="pct"/>
            <w:tcBorders>
              <w:top w:val="single" w:color="auto" w:sz="12" w:space="0"/>
            </w:tcBorders>
            <w:noWrap w:val="0"/>
            <w:vAlign w:val="center"/>
          </w:tcPr>
          <w:p w14:paraId="6F1CC7AE">
            <w:pPr>
              <w:pStyle w:val="6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排放口编号</w:t>
            </w:r>
          </w:p>
        </w:tc>
        <w:tc>
          <w:tcPr>
            <w:tcW w:w="1723" w:type="pct"/>
            <w:tcBorders>
              <w:top w:val="single" w:color="auto" w:sz="12" w:space="0"/>
            </w:tcBorders>
            <w:noWrap w:val="0"/>
            <w:vAlign w:val="center"/>
          </w:tcPr>
          <w:p w14:paraId="2A0B07E4">
            <w:pPr>
              <w:pStyle w:val="6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污染物种类</w:t>
            </w:r>
          </w:p>
        </w:tc>
        <w:tc>
          <w:tcPr>
            <w:tcW w:w="2193" w:type="pct"/>
            <w:tcBorders>
              <w:top w:val="single" w:color="auto" w:sz="12" w:space="0"/>
              <w:right w:val="nil"/>
            </w:tcBorders>
            <w:noWrap w:val="0"/>
            <w:vAlign w:val="center"/>
          </w:tcPr>
          <w:p w14:paraId="0BC777C9">
            <w:pPr>
              <w:pStyle w:val="6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eastAsia="zh-CN"/>
              </w:rPr>
              <w:t>国家或地方污染物排放标准</w:t>
            </w:r>
            <w:r>
              <w:rPr>
                <w:rFonts w:hint="default" w:ascii="Times New Roman" w:hAnsi="Times New Roman" w:eastAsia="宋体" w:cs="Times New Roman"/>
                <w:color w:val="auto"/>
                <w:sz w:val="21"/>
                <w:szCs w:val="21"/>
                <w:highlight w:val="none"/>
                <w:vertAlign w:val="baseline"/>
                <w:lang w:val="en-US" w:eastAsia="zh-CN"/>
              </w:rPr>
              <w:t>/其他按规定商定的排放协议</w:t>
            </w:r>
          </w:p>
        </w:tc>
      </w:tr>
      <w:tr w14:paraId="4C438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55" w:type="pct"/>
            <w:tcBorders>
              <w:left w:val="nil"/>
              <w:bottom w:val="single" w:color="auto" w:sz="12" w:space="0"/>
            </w:tcBorders>
            <w:noWrap w:val="0"/>
            <w:vAlign w:val="center"/>
          </w:tcPr>
          <w:p w14:paraId="6170D32B">
            <w:pPr>
              <w:pStyle w:val="6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728" w:type="pct"/>
            <w:tcBorders>
              <w:bottom w:val="single" w:color="auto" w:sz="12" w:space="0"/>
            </w:tcBorders>
            <w:noWrap w:val="0"/>
            <w:vAlign w:val="center"/>
          </w:tcPr>
          <w:p w14:paraId="689D6F60">
            <w:pPr>
              <w:pStyle w:val="6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b w:val="0"/>
                <w:color w:val="auto"/>
                <w:sz w:val="21"/>
                <w:szCs w:val="21"/>
                <w:highlight w:val="none"/>
              </w:rPr>
              <w:t>DW001</w:t>
            </w:r>
          </w:p>
        </w:tc>
        <w:tc>
          <w:tcPr>
            <w:tcW w:w="1723" w:type="pct"/>
            <w:tcBorders>
              <w:bottom w:val="single" w:color="auto" w:sz="12" w:space="0"/>
            </w:tcBorders>
            <w:noWrap w:val="0"/>
            <w:vAlign w:val="center"/>
          </w:tcPr>
          <w:p w14:paraId="7FC862DE">
            <w:pPr>
              <w:pStyle w:val="6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b w:val="0"/>
                <w:color w:val="auto"/>
                <w:sz w:val="21"/>
                <w:szCs w:val="21"/>
                <w:highlight w:val="none"/>
                <w:lang w:val="en-US" w:eastAsia="zh-CN"/>
              </w:rPr>
              <w:t>化学需氧量，氨氮（NH</w:t>
            </w:r>
            <w:r>
              <w:rPr>
                <w:rFonts w:hint="default" w:ascii="Times New Roman" w:hAnsi="Times New Roman" w:eastAsia="宋体" w:cs="Times New Roman"/>
                <w:b w:val="0"/>
                <w:color w:val="auto"/>
                <w:sz w:val="21"/>
                <w:szCs w:val="21"/>
                <w:highlight w:val="none"/>
                <w:vertAlign w:val="subscript"/>
                <w:lang w:val="en-US" w:eastAsia="zh-CN"/>
              </w:rPr>
              <w:t>3</w:t>
            </w:r>
            <w:r>
              <w:rPr>
                <w:rFonts w:hint="default" w:ascii="Times New Roman" w:hAnsi="Times New Roman" w:eastAsia="宋体" w:cs="Times New Roman"/>
                <w:b w:val="0"/>
                <w:color w:val="auto"/>
                <w:sz w:val="21"/>
                <w:szCs w:val="21"/>
                <w:highlight w:val="none"/>
                <w:lang w:val="en-US" w:eastAsia="zh-CN"/>
              </w:rPr>
              <w:t>-N），pH值，五日生化需氧量，悬浮物，总磷（以P计），动植物油</w:t>
            </w:r>
          </w:p>
        </w:tc>
        <w:tc>
          <w:tcPr>
            <w:tcW w:w="2193" w:type="pct"/>
            <w:tcBorders>
              <w:bottom w:val="single" w:color="auto" w:sz="12" w:space="0"/>
              <w:right w:val="nil"/>
            </w:tcBorders>
            <w:noWrap w:val="0"/>
            <w:vAlign w:val="center"/>
          </w:tcPr>
          <w:p w14:paraId="11BB54DC">
            <w:pPr>
              <w:pStyle w:val="6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佳木斯西区污水处理厂</w:t>
            </w:r>
            <w:r>
              <w:rPr>
                <w:rFonts w:hint="default" w:ascii="Times New Roman" w:hAnsi="Times New Roman" w:eastAsia="宋体" w:cs="Times New Roman"/>
                <w:color w:val="auto"/>
                <w:sz w:val="21"/>
                <w:szCs w:val="21"/>
                <w:highlight w:val="none"/>
                <w:vertAlign w:val="baseline"/>
                <w:lang w:val="en-US" w:eastAsia="zh-CN"/>
              </w:rPr>
              <w:t>进水水质指标</w:t>
            </w:r>
          </w:p>
        </w:tc>
      </w:tr>
    </w:tbl>
    <w:p w14:paraId="7C7EA09A">
      <w:pPr>
        <w:keepNext w:val="0"/>
        <w:keepLines w:val="0"/>
        <w:pageBreakBefore w:val="0"/>
        <w:widowControl w:val="0"/>
        <w:numPr>
          <w:ilvl w:val="0"/>
          <w:numId w:val="0"/>
        </w:numPr>
        <w:kinsoku/>
        <w:wordWrap/>
        <w:overflowPunct/>
        <w:topLinePunct w:val="0"/>
        <w:bidi w:val="0"/>
        <w:snapToGrid/>
        <w:spacing w:line="48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（4）地表水环境影响评价结论</w:t>
      </w:r>
    </w:p>
    <w:p w14:paraId="0534C68F">
      <w:pPr>
        <w:ind w:firstLine="48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本项目不新增工作人员，不新增生活污水。锅炉用水来自</w:t>
      </w:r>
      <w:r>
        <w:rPr>
          <w:rFonts w:hint="eastAsia" w:ascii="Times New Roman" w:hAnsi="Times New Roman" w:eastAsia="宋体" w:cs="Times New Roman"/>
          <w:color w:val="auto"/>
          <w:sz w:val="24"/>
          <w:szCs w:val="24"/>
          <w:highlight w:val="none"/>
          <w:lang w:val="en-US" w:eastAsia="zh-CN"/>
        </w:rPr>
        <w:t>佳木斯中恒热电有限公司</w:t>
      </w:r>
      <w:r>
        <w:rPr>
          <w:rFonts w:hint="default" w:ascii="Times New Roman" w:hAnsi="Times New Roman" w:eastAsia="宋体" w:cs="Times New Roman"/>
          <w:color w:val="auto"/>
          <w:sz w:val="24"/>
          <w:szCs w:val="24"/>
          <w:highlight w:val="none"/>
          <w:lang w:val="en-US" w:eastAsia="zh-CN"/>
        </w:rPr>
        <w:t>主热源</w:t>
      </w:r>
      <w:r>
        <w:rPr>
          <w:rFonts w:hint="eastAsia" w:ascii="Times New Roman" w:hAnsi="Times New Roman" w:eastAsia="宋体" w:cs="Times New Roman"/>
          <w:color w:val="auto"/>
          <w:sz w:val="24"/>
          <w:szCs w:val="24"/>
          <w:highlight w:val="none"/>
          <w:lang w:val="en-US" w:eastAsia="zh-CN"/>
        </w:rPr>
        <w:t>现有制</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补水系统。</w:t>
      </w:r>
      <w:r>
        <w:rPr>
          <w:rFonts w:hint="default" w:ascii="Times New Roman" w:hAnsi="Times New Roman" w:eastAsia="宋体" w:cs="Times New Roman"/>
          <w:color w:val="auto"/>
          <w:sz w:val="24"/>
          <w:szCs w:val="24"/>
          <w:highlight w:val="none"/>
          <w:lang w:val="en-US" w:eastAsia="zh-CN"/>
        </w:rPr>
        <w:t>本项目产生的生产废水全部回用，不外排。脱硫废水经曝气、沉淀后用于脱硝补水和输煤系统除尘、除渣用水。含煤废水经厂区内现有污水处理间处理，处理工艺为过滤+沉淀+气浮，处理后的废水进入地下水池回用。锅炉排污水、软化水处理废水、处理后的含煤废水用于输煤栈桥冲洗、输煤系统除尘水、</w:t>
      </w:r>
      <w:r>
        <w:rPr>
          <w:rFonts w:hint="eastAsia" w:ascii="Times New Roman" w:hAnsi="Times New Roman" w:eastAsia="宋体" w:cs="Times New Roman"/>
          <w:color w:val="auto"/>
          <w:sz w:val="24"/>
          <w:szCs w:val="24"/>
          <w:highlight w:val="none"/>
          <w:lang w:val="en-US" w:eastAsia="zh-CN"/>
        </w:rPr>
        <w:t>渣库降尘等工序</w:t>
      </w:r>
      <w:r>
        <w:rPr>
          <w:rFonts w:hint="default" w:ascii="Times New Roman" w:hAnsi="Times New Roman" w:eastAsia="宋体" w:cs="Times New Roman"/>
          <w:color w:val="auto"/>
          <w:sz w:val="24"/>
          <w:szCs w:val="24"/>
          <w:highlight w:val="none"/>
          <w:lang w:val="en-US" w:eastAsia="zh-CN"/>
        </w:rPr>
        <w:t>，不外排</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sz w:val="24"/>
          <w:szCs w:val="24"/>
          <w:highlight w:val="none"/>
          <w:lang w:val="en-US" w:eastAsia="zh-CN"/>
        </w:rPr>
        <w:t>厂区现有生活污水污染物浓度满足</w:t>
      </w:r>
      <w:r>
        <w:rPr>
          <w:rFonts w:hint="eastAsia" w:ascii="Times New Roman" w:hAnsi="Times New Roman" w:eastAsia="宋体" w:cs="Times New Roman"/>
          <w:color w:val="auto"/>
          <w:sz w:val="24"/>
          <w:szCs w:val="24"/>
          <w:highlight w:val="none"/>
          <w:lang w:val="en-US" w:eastAsia="zh-CN"/>
        </w:rPr>
        <w:t>佳木斯西区污水处理厂</w:t>
      </w:r>
      <w:r>
        <w:rPr>
          <w:rFonts w:hint="default" w:ascii="Times New Roman" w:hAnsi="Times New Roman" w:eastAsia="宋体" w:cs="Times New Roman"/>
          <w:color w:val="auto"/>
          <w:sz w:val="24"/>
          <w:szCs w:val="24"/>
          <w:highlight w:val="none"/>
          <w:lang w:val="en-US" w:eastAsia="zh-CN"/>
        </w:rPr>
        <w:t>进水水质指标后经市政污水管网，排入</w:t>
      </w:r>
      <w:r>
        <w:rPr>
          <w:rFonts w:hint="eastAsia" w:ascii="Times New Roman" w:hAnsi="Times New Roman" w:eastAsia="宋体" w:cs="Times New Roman"/>
          <w:color w:val="auto"/>
          <w:sz w:val="24"/>
          <w:szCs w:val="24"/>
          <w:highlight w:val="none"/>
          <w:lang w:val="en-US" w:eastAsia="zh-CN"/>
        </w:rPr>
        <w:t>佳木斯西区污水处理厂</w:t>
      </w:r>
      <w:r>
        <w:rPr>
          <w:rFonts w:hint="default" w:ascii="Times New Roman" w:hAnsi="Times New Roman" w:eastAsia="宋体" w:cs="Times New Roman"/>
          <w:color w:val="auto"/>
          <w:sz w:val="24"/>
          <w:szCs w:val="24"/>
          <w:highlight w:val="none"/>
          <w:lang w:val="en-US" w:eastAsia="zh-CN"/>
        </w:rPr>
        <w:t>，经处理后污水排放浓度达到《城镇污水处理厂污染物排放标准》（GB18918-2002）一级A标准后排入</w:t>
      </w:r>
      <w:r>
        <w:rPr>
          <w:rFonts w:hint="eastAsia" w:ascii="Times New Roman" w:hAnsi="Times New Roman" w:eastAsia="宋体" w:cs="Times New Roman"/>
          <w:color w:val="auto"/>
          <w:sz w:val="24"/>
          <w:szCs w:val="24"/>
          <w:highlight w:val="none"/>
          <w:lang w:val="en-US" w:eastAsia="zh-CN"/>
        </w:rPr>
        <w:t>松花江</w:t>
      </w:r>
      <w:r>
        <w:rPr>
          <w:rFonts w:hint="default" w:ascii="Times New Roman" w:hAnsi="Times New Roman" w:eastAsia="宋体" w:cs="Times New Roman"/>
          <w:color w:val="auto"/>
          <w:sz w:val="24"/>
          <w:szCs w:val="24"/>
          <w:highlight w:val="none"/>
          <w:lang w:val="en-US" w:eastAsia="zh-CN"/>
        </w:rPr>
        <w:t>。综合分析，本项目对地表水环境影响较小。</w:t>
      </w:r>
    </w:p>
    <w:p w14:paraId="75E3865D">
      <w:pPr>
        <w:keepNext/>
        <w:keepLines/>
        <w:widowControl w:val="0"/>
        <w:numPr>
          <w:ilvl w:val="0"/>
          <w:numId w:val="0"/>
        </w:numPr>
        <w:bidi w:val="0"/>
        <w:spacing w:line="360" w:lineRule="auto"/>
        <w:ind w:leftChars="0" w:firstLine="0" w:firstLineChars="0"/>
        <w:jc w:val="both"/>
        <w:outlineLvl w:val="3"/>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6.2.2.</w:t>
      </w:r>
      <w:r>
        <w:rPr>
          <w:rFonts w:hint="eastAsia" w:ascii="Times New Roman" w:hAnsi="Times New Roman" w:eastAsia="宋体" w:cs="Times New Roman"/>
          <w:b/>
          <w:bCs/>
          <w:color w:val="auto"/>
          <w:kern w:val="2"/>
          <w:sz w:val="24"/>
          <w:szCs w:val="24"/>
          <w:highlight w:val="none"/>
          <w:lang w:val="en-US" w:eastAsia="zh-CN" w:bidi="ar-SA"/>
        </w:rPr>
        <w:t>2</w:t>
      </w:r>
      <w:r>
        <w:rPr>
          <w:rFonts w:hint="default" w:ascii="Times New Roman" w:hAnsi="Times New Roman" w:eastAsia="宋体" w:cs="Times New Roman"/>
          <w:b/>
          <w:bCs/>
          <w:color w:val="auto"/>
          <w:kern w:val="2"/>
          <w:sz w:val="24"/>
          <w:szCs w:val="24"/>
          <w:highlight w:val="none"/>
          <w:lang w:val="en-US" w:eastAsia="zh-CN" w:bidi="ar-SA"/>
        </w:rPr>
        <w:t xml:space="preserve"> 地</w:t>
      </w:r>
      <w:r>
        <w:rPr>
          <w:rFonts w:hint="eastAsia" w:ascii="Times New Roman" w:hAnsi="Times New Roman" w:eastAsia="宋体" w:cs="Times New Roman"/>
          <w:b/>
          <w:bCs/>
          <w:color w:val="auto"/>
          <w:kern w:val="2"/>
          <w:sz w:val="24"/>
          <w:szCs w:val="24"/>
          <w:highlight w:val="none"/>
          <w:lang w:val="en-US" w:eastAsia="zh-CN" w:bidi="ar-SA"/>
        </w:rPr>
        <w:t>下</w:t>
      </w:r>
      <w:r>
        <w:rPr>
          <w:rFonts w:hint="default" w:ascii="Times New Roman" w:hAnsi="Times New Roman" w:eastAsia="宋体" w:cs="Times New Roman"/>
          <w:b/>
          <w:bCs/>
          <w:color w:val="auto"/>
          <w:kern w:val="2"/>
          <w:sz w:val="24"/>
          <w:szCs w:val="24"/>
          <w:highlight w:val="none"/>
          <w:lang w:val="en-US" w:eastAsia="zh-CN" w:bidi="ar-SA"/>
        </w:rPr>
        <w:t>水环境影响预测</w:t>
      </w:r>
    </w:p>
    <w:p w14:paraId="4370EBA9">
      <w:pPr>
        <w:ind w:firstLine="48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根据《环境影响评价技术导则 地下水环境》（HJ610-2016）附录A，本项目属于其中第142条“热力生产和供应工程”报告书类项目，属于地下水环境影响评价项目分类中的Ⅳ类项目，Ⅳ类建设项目不开展地下水环境影响评价。</w:t>
      </w:r>
      <w:r>
        <w:rPr>
          <w:rFonts w:hint="eastAsia" w:ascii="Times New Roman" w:hAnsi="Times New Roman" w:eastAsia="宋体" w:cs="Times New Roman"/>
          <w:color w:val="auto"/>
          <w:sz w:val="24"/>
          <w:szCs w:val="24"/>
          <w:highlight w:val="none"/>
          <w:lang w:val="en-US" w:eastAsia="zh-CN"/>
        </w:rPr>
        <w:t>烟气治理设施底部、锅炉房为一般防渗，地面采用抗渗混凝土进行防渗；厂区道路、碎煤机室等其他区域为简单防渗区，采取水泥地面硬化的防渗措施。通过采取上述措施，满足《环境影响评价技术导则 地下水环境》（HJ610-2016）表7地下水污染防渗分区参照表中一般防渗区和简单防渗区防渗技术要求。通过上述措施，本项目对地下水环境影响较小。</w:t>
      </w:r>
    </w:p>
    <w:p w14:paraId="289CD978">
      <w:pPr>
        <w:pStyle w:val="6"/>
        <w:numPr>
          <w:ilvl w:val="2"/>
          <w:numId w:val="3"/>
        </w:numPr>
        <w:bidi w:val="0"/>
        <w:ind w:left="709" w:leftChars="0" w:hanging="709" w:firstLineChars="0"/>
        <w:rPr>
          <w:rFonts w:hint="default" w:ascii="Times New Roman" w:hAnsi="Times New Roman" w:eastAsia="宋体" w:cs="Times New Roman"/>
          <w:color w:val="auto"/>
          <w:highlight w:val="none"/>
        </w:rPr>
      </w:pPr>
      <w:bookmarkStart w:id="446" w:name="_Toc22828"/>
      <w:bookmarkStart w:id="447" w:name="_Toc312"/>
      <w:bookmarkStart w:id="448" w:name="_Toc7238"/>
      <w:r>
        <w:rPr>
          <w:rFonts w:hint="default" w:ascii="Times New Roman" w:hAnsi="Times New Roman" w:eastAsia="宋体" w:cs="Times New Roman"/>
          <w:color w:val="auto"/>
          <w:highlight w:val="none"/>
        </w:rPr>
        <w:t>声环境影响预测与评价</w:t>
      </w:r>
      <w:bookmarkEnd w:id="446"/>
      <w:bookmarkEnd w:id="447"/>
      <w:bookmarkEnd w:id="448"/>
    </w:p>
    <w:p w14:paraId="18578A07">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昼间等效连续A声级Ld、夜间等效连续A声级Ln。</w:t>
      </w:r>
    </w:p>
    <w:p w14:paraId="6CDA9993">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（1）预测范围</w:t>
      </w:r>
    </w:p>
    <w:p w14:paraId="3E1382A9">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声环境影响预测范围与评价范围相同。</w:t>
      </w:r>
    </w:p>
    <w:p w14:paraId="4A2DA89A">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（2）预测点和评价点</w:t>
      </w:r>
    </w:p>
    <w:p w14:paraId="6875249E">
      <w:pPr>
        <w:bidi w:val="0"/>
        <w:rPr>
          <w:rFonts w:hint="default" w:ascii="Times New Roman" w:hAnsi="Times New Roman" w:eastAsia="宋体" w:cs="Times New Roman"/>
          <w:color w:val="auto"/>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ascii="Times New Roman" w:hAnsi="Times New Roman" w:eastAsia="宋体" w:cs="Times New Roman"/>
          <w:color w:val="auto"/>
          <w:highlight w:val="none"/>
        </w:rPr>
        <w:t>本项目预测点和评价点为项目四周厂界和声环境评价范围内的声环境保护目标。</w:t>
      </w:r>
    </w:p>
    <w:p w14:paraId="74A00817">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0"/>
          <w:szCs w:val="24"/>
          <w:highlight w:val="none"/>
        </w:rPr>
        <w:t>（</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预测参数</w:t>
      </w:r>
    </w:p>
    <w:p w14:paraId="50A06A16">
      <w:pPr>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①</w:t>
      </w:r>
      <w:r>
        <w:rPr>
          <w:rFonts w:hint="default" w:ascii="Times New Roman" w:hAnsi="Times New Roman" w:eastAsia="宋体" w:cs="Times New Roman"/>
          <w:color w:val="auto"/>
          <w:highlight w:val="none"/>
          <w:lang w:val="en-US" w:eastAsia="zh-CN"/>
        </w:rPr>
        <w:t>噪声源强</w:t>
      </w:r>
    </w:p>
    <w:p w14:paraId="59A93B0A">
      <w:pPr>
        <w:bidi w:val="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highlight w:val="none"/>
        </w:rPr>
        <w:t>本项目</w:t>
      </w:r>
      <w:r>
        <w:rPr>
          <w:rFonts w:hint="default" w:ascii="Times New Roman" w:hAnsi="Times New Roman" w:eastAsia="宋体" w:cs="Times New Roman"/>
          <w:color w:val="auto"/>
          <w:spacing w:val="0"/>
          <w:szCs w:val="24"/>
          <w:highlight w:val="none"/>
          <w:lang w:eastAsia="zh-CN"/>
        </w:rPr>
        <w:t>运营期</w:t>
      </w:r>
      <w:r>
        <w:rPr>
          <w:rFonts w:hint="default" w:ascii="Times New Roman" w:hAnsi="Times New Roman" w:eastAsia="宋体" w:cs="Times New Roman"/>
          <w:color w:val="auto"/>
          <w:spacing w:val="0"/>
          <w:szCs w:val="24"/>
          <w:highlight w:val="none"/>
        </w:rPr>
        <w:t>噪声源强见表6</w:t>
      </w:r>
      <w:r>
        <w:rPr>
          <w:rFonts w:hint="default" w:ascii="Times New Roman" w:hAnsi="Times New Roman" w:eastAsia="宋体" w:cs="Times New Roman"/>
          <w:color w:val="auto"/>
          <w:spacing w:val="0"/>
          <w:szCs w:val="24"/>
          <w:highlight w:val="none"/>
          <w:lang w:val="en-US" w:eastAsia="zh-CN"/>
        </w:rPr>
        <w:t>.</w:t>
      </w:r>
      <w:r>
        <w:rPr>
          <w:rFonts w:hint="default" w:ascii="Times New Roman" w:hAnsi="Times New Roman" w:eastAsia="宋体" w:cs="Times New Roman"/>
          <w:color w:val="auto"/>
          <w:spacing w:val="0"/>
          <w:szCs w:val="24"/>
          <w:highlight w:val="none"/>
        </w:rPr>
        <w:t>2-</w:t>
      </w:r>
      <w:r>
        <w:rPr>
          <w:rFonts w:hint="eastAsia" w:ascii="Times New Roman" w:hAnsi="Times New Roman" w:eastAsia="宋体" w:cs="Times New Roman"/>
          <w:color w:val="auto"/>
          <w:spacing w:val="0"/>
          <w:szCs w:val="24"/>
          <w:highlight w:val="none"/>
          <w:lang w:val="en-US" w:eastAsia="zh-CN"/>
        </w:rPr>
        <w:t>34</w:t>
      </w:r>
      <w:r>
        <w:rPr>
          <w:rFonts w:hint="default" w:ascii="Times New Roman" w:hAnsi="Times New Roman" w:eastAsia="宋体" w:cs="Times New Roman"/>
          <w:color w:val="auto"/>
          <w:spacing w:val="0"/>
          <w:szCs w:val="24"/>
          <w:highlight w:val="none"/>
          <w:lang w:val="en-US" w:eastAsia="zh-CN"/>
        </w:rPr>
        <w:t>。</w:t>
      </w:r>
    </w:p>
    <w:p w14:paraId="0D50DF9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rPr>
        <w:t>表6</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2-</w:t>
      </w:r>
      <w:r>
        <w:rPr>
          <w:rFonts w:hint="eastAsia" w:ascii="Times New Roman" w:hAnsi="Times New Roman" w:eastAsia="宋体" w:cs="Times New Roman"/>
          <w:color w:val="auto"/>
          <w:sz w:val="24"/>
          <w:szCs w:val="24"/>
          <w:highlight w:val="none"/>
          <w:lang w:val="en-US" w:eastAsia="zh-CN"/>
        </w:rPr>
        <w:t>34</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 xml:space="preserve"> </w:t>
      </w:r>
      <w:r>
        <w:rPr>
          <w:rFonts w:hint="default" w:ascii="Times New Roman" w:hAnsi="Times New Roman" w:eastAsia="宋体" w:cs="Times New Roman"/>
          <w:color w:val="auto"/>
          <w:sz w:val="24"/>
          <w:szCs w:val="24"/>
          <w:highlight w:val="none"/>
          <w:lang w:eastAsia="zh-CN"/>
        </w:rPr>
        <w:t>运营期噪声源强</w:t>
      </w:r>
      <w:r>
        <w:rPr>
          <w:rFonts w:hint="default" w:ascii="Times New Roman" w:hAnsi="Times New Roman" w:eastAsia="宋体" w:cs="Times New Roman"/>
          <w:color w:val="auto"/>
          <w:sz w:val="24"/>
          <w:szCs w:val="24"/>
          <w:highlight w:val="none"/>
          <w:lang w:val="en-US" w:eastAsia="zh-CN"/>
        </w:rPr>
        <w:t>调查清单</w:t>
      </w:r>
    </w:p>
    <w:tbl>
      <w:tblPr>
        <w:tblStyle w:val="37"/>
        <w:tblW w:w="4855"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953"/>
        <w:gridCol w:w="1098"/>
        <w:gridCol w:w="1067"/>
        <w:gridCol w:w="1583"/>
        <w:gridCol w:w="784"/>
        <w:gridCol w:w="816"/>
        <w:gridCol w:w="700"/>
        <w:gridCol w:w="884"/>
        <w:gridCol w:w="1150"/>
        <w:gridCol w:w="700"/>
        <w:gridCol w:w="1233"/>
        <w:gridCol w:w="1050"/>
        <w:gridCol w:w="850"/>
        <w:gridCol w:w="897"/>
      </w:tblGrid>
      <w:tr w14:paraId="187CE6E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346" w:type="pct"/>
            <w:vMerge w:val="restart"/>
            <w:tcBorders>
              <w:tl2br w:val="nil"/>
              <w:tr2bl w:val="nil"/>
            </w:tcBorders>
            <w:shd w:val="clear" w:color="auto" w:fill="auto"/>
            <w:noWrap/>
            <w:vAlign w:val="center"/>
          </w:tcPr>
          <w:p w14:paraId="09A4EA7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建筑物名称</w:t>
            </w:r>
          </w:p>
        </w:tc>
        <w:tc>
          <w:tcPr>
            <w:tcW w:w="398" w:type="pct"/>
            <w:vMerge w:val="restart"/>
            <w:tcBorders>
              <w:tl2br w:val="nil"/>
              <w:tr2bl w:val="nil"/>
            </w:tcBorders>
            <w:shd w:val="clear" w:color="auto" w:fill="auto"/>
            <w:noWrap/>
            <w:vAlign w:val="center"/>
          </w:tcPr>
          <w:p w14:paraId="430835E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声源名称</w:t>
            </w:r>
          </w:p>
        </w:tc>
        <w:tc>
          <w:tcPr>
            <w:tcW w:w="387" w:type="pct"/>
            <w:vMerge w:val="restart"/>
            <w:tcBorders>
              <w:tl2br w:val="nil"/>
              <w:tr2bl w:val="nil"/>
            </w:tcBorders>
            <w:shd w:val="clear" w:color="auto" w:fill="auto"/>
            <w:noWrap/>
            <w:vAlign w:val="center"/>
          </w:tcPr>
          <w:p w14:paraId="2FCD888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声功率级/dB(A)</w:t>
            </w:r>
          </w:p>
        </w:tc>
        <w:tc>
          <w:tcPr>
            <w:tcW w:w="575" w:type="pct"/>
            <w:vMerge w:val="restart"/>
            <w:tcBorders>
              <w:tl2br w:val="nil"/>
              <w:tr2bl w:val="nil"/>
            </w:tcBorders>
            <w:shd w:val="clear" w:color="auto" w:fill="auto"/>
            <w:noWrap/>
            <w:vAlign w:val="center"/>
          </w:tcPr>
          <w:p w14:paraId="5CC8EF4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声源控制措施</w:t>
            </w:r>
          </w:p>
        </w:tc>
        <w:tc>
          <w:tcPr>
            <w:tcW w:w="835" w:type="pct"/>
            <w:gridSpan w:val="3"/>
            <w:tcBorders>
              <w:tl2br w:val="nil"/>
              <w:tr2bl w:val="nil"/>
            </w:tcBorders>
            <w:shd w:val="clear" w:color="auto" w:fill="auto"/>
            <w:noWrap/>
            <w:vAlign w:val="center"/>
          </w:tcPr>
          <w:p w14:paraId="4BE5BC4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空间相对位置/m</w:t>
            </w:r>
          </w:p>
        </w:tc>
        <w:tc>
          <w:tcPr>
            <w:tcW w:w="321" w:type="pct"/>
            <w:vMerge w:val="restart"/>
            <w:tcBorders>
              <w:tl2br w:val="nil"/>
              <w:tr2bl w:val="nil"/>
            </w:tcBorders>
            <w:shd w:val="clear" w:color="auto" w:fill="auto"/>
            <w:noWrap/>
            <w:vAlign w:val="center"/>
          </w:tcPr>
          <w:p w14:paraId="21EDBB9C">
            <w:pPr>
              <w:spacing w:line="240" w:lineRule="auto"/>
              <w:ind w:firstLine="0" w:firstLineChars="0"/>
              <w:jc w:val="center"/>
              <w:rPr>
                <w:rFonts w:hint="default" w:ascii="Times New Roman" w:hAnsi="Times New Roman" w:eastAsia="宋体" w:cs="Times New Roman"/>
                <w:color w:val="FF0000"/>
                <w:sz w:val="21"/>
                <w:szCs w:val="21"/>
                <w:highlight w:val="none"/>
                <w:lang w:val="en-US"/>
              </w:rPr>
            </w:pPr>
            <w:r>
              <w:rPr>
                <w:rFonts w:hint="default" w:ascii="Times New Roman" w:hAnsi="Times New Roman" w:eastAsia="宋体" w:cs="Times New Roman"/>
                <w:color w:val="FF0000"/>
                <w:sz w:val="21"/>
                <w:szCs w:val="21"/>
                <w:highlight w:val="none"/>
                <w:lang w:val="en-US" w:eastAsia="zh-CN"/>
              </w:rPr>
              <w:t>距室内边界</w:t>
            </w:r>
            <w:r>
              <w:rPr>
                <w:rFonts w:hint="eastAsia" w:ascii="Times New Roman" w:hAnsi="Times New Roman" w:eastAsia="宋体" w:cs="Times New Roman"/>
                <w:color w:val="FF0000"/>
                <w:sz w:val="21"/>
                <w:szCs w:val="21"/>
                <w:highlight w:val="none"/>
                <w:lang w:val="en-US" w:eastAsia="zh-CN"/>
              </w:rPr>
              <w:t>距离/m</w:t>
            </w:r>
          </w:p>
        </w:tc>
        <w:tc>
          <w:tcPr>
            <w:tcW w:w="417" w:type="pct"/>
            <w:vMerge w:val="restart"/>
            <w:tcBorders>
              <w:tl2br w:val="nil"/>
              <w:tr2bl w:val="nil"/>
            </w:tcBorders>
            <w:shd w:val="clear" w:color="auto" w:fill="auto"/>
            <w:noWrap/>
            <w:vAlign w:val="center"/>
          </w:tcPr>
          <w:p w14:paraId="62E3418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室内边界声级/dB(A)</w:t>
            </w:r>
          </w:p>
        </w:tc>
        <w:tc>
          <w:tcPr>
            <w:tcW w:w="254" w:type="pct"/>
            <w:vMerge w:val="restart"/>
            <w:tcBorders>
              <w:tl2br w:val="nil"/>
              <w:tr2bl w:val="nil"/>
            </w:tcBorders>
            <w:shd w:val="clear" w:color="auto" w:fill="auto"/>
            <w:noWrap/>
            <w:vAlign w:val="center"/>
          </w:tcPr>
          <w:p w14:paraId="4399581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运行时段</w:t>
            </w:r>
          </w:p>
        </w:tc>
        <w:tc>
          <w:tcPr>
            <w:tcW w:w="447" w:type="pct"/>
            <w:vMerge w:val="restart"/>
            <w:tcBorders>
              <w:tl2br w:val="nil"/>
              <w:tr2bl w:val="nil"/>
            </w:tcBorders>
            <w:shd w:val="clear" w:color="auto" w:fill="auto"/>
            <w:noWrap/>
            <w:vAlign w:val="center"/>
          </w:tcPr>
          <w:p w14:paraId="5BF3877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建筑物插入损失/[dB(A)]</w:t>
            </w:r>
          </w:p>
        </w:tc>
        <w:tc>
          <w:tcPr>
            <w:tcW w:w="690" w:type="pct"/>
            <w:gridSpan w:val="2"/>
            <w:tcBorders>
              <w:tl2br w:val="nil"/>
              <w:tr2bl w:val="nil"/>
            </w:tcBorders>
            <w:shd w:val="clear" w:color="auto" w:fill="auto"/>
            <w:noWrap/>
            <w:vAlign w:val="center"/>
          </w:tcPr>
          <w:p w14:paraId="4E85C82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建筑外噪声</w:t>
            </w:r>
          </w:p>
        </w:tc>
        <w:tc>
          <w:tcPr>
            <w:tcW w:w="325" w:type="pct"/>
            <w:vMerge w:val="restart"/>
            <w:tcBorders>
              <w:tl2br w:val="nil"/>
              <w:tr2bl w:val="nil"/>
            </w:tcBorders>
            <w:shd w:val="clear" w:color="auto" w:fill="auto"/>
            <w:noWrap/>
            <w:vAlign w:val="center"/>
          </w:tcPr>
          <w:p w14:paraId="32B6337C">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备注</w:t>
            </w:r>
          </w:p>
        </w:tc>
      </w:tr>
      <w:tr w14:paraId="4020800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0" w:hRule="atLeast"/>
          <w:jc w:val="center"/>
        </w:trPr>
        <w:tc>
          <w:tcPr>
            <w:tcW w:w="346" w:type="pct"/>
            <w:vMerge w:val="continue"/>
            <w:tcBorders>
              <w:tl2br w:val="nil"/>
              <w:tr2bl w:val="nil"/>
            </w:tcBorders>
            <w:shd w:val="clear" w:color="auto" w:fill="auto"/>
            <w:noWrap/>
            <w:vAlign w:val="center"/>
          </w:tcPr>
          <w:p w14:paraId="751EC27F">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398" w:type="pct"/>
            <w:vMerge w:val="continue"/>
            <w:tcBorders>
              <w:tl2br w:val="nil"/>
              <w:tr2bl w:val="nil"/>
            </w:tcBorders>
            <w:shd w:val="clear" w:color="auto" w:fill="auto"/>
            <w:noWrap/>
            <w:vAlign w:val="center"/>
          </w:tcPr>
          <w:p w14:paraId="3EDB20E9">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387" w:type="pct"/>
            <w:vMerge w:val="continue"/>
            <w:tcBorders>
              <w:tl2br w:val="nil"/>
              <w:tr2bl w:val="nil"/>
            </w:tcBorders>
            <w:shd w:val="clear" w:color="auto" w:fill="auto"/>
            <w:noWrap/>
            <w:vAlign w:val="center"/>
          </w:tcPr>
          <w:p w14:paraId="57CA2971">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575" w:type="pct"/>
            <w:vMerge w:val="continue"/>
            <w:tcBorders>
              <w:tl2br w:val="nil"/>
              <w:tr2bl w:val="nil"/>
            </w:tcBorders>
            <w:shd w:val="clear" w:color="auto" w:fill="auto"/>
            <w:noWrap/>
            <w:vAlign w:val="center"/>
          </w:tcPr>
          <w:p w14:paraId="188A3A50">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284" w:type="pct"/>
            <w:tcBorders>
              <w:tl2br w:val="nil"/>
              <w:tr2bl w:val="nil"/>
            </w:tcBorders>
            <w:shd w:val="clear" w:color="auto" w:fill="auto"/>
            <w:noWrap/>
            <w:vAlign w:val="center"/>
          </w:tcPr>
          <w:p w14:paraId="35AC8435">
            <w:pPr>
              <w:spacing w:line="240" w:lineRule="auto"/>
              <w:ind w:firstLine="0" w:firstLineChars="0"/>
              <w:jc w:val="center"/>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X</w:t>
            </w:r>
          </w:p>
        </w:tc>
        <w:tc>
          <w:tcPr>
            <w:tcW w:w="296" w:type="pct"/>
            <w:tcBorders>
              <w:tl2br w:val="nil"/>
              <w:tr2bl w:val="nil"/>
            </w:tcBorders>
            <w:shd w:val="clear" w:color="auto" w:fill="auto"/>
            <w:noWrap/>
            <w:vAlign w:val="center"/>
          </w:tcPr>
          <w:p w14:paraId="3809576D">
            <w:pPr>
              <w:spacing w:line="240" w:lineRule="auto"/>
              <w:ind w:firstLine="0" w:firstLineChars="0"/>
              <w:jc w:val="center"/>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Y</w:t>
            </w:r>
          </w:p>
        </w:tc>
        <w:tc>
          <w:tcPr>
            <w:tcW w:w="254" w:type="pct"/>
            <w:tcBorders>
              <w:tl2br w:val="nil"/>
              <w:tr2bl w:val="nil"/>
            </w:tcBorders>
            <w:shd w:val="clear" w:color="auto" w:fill="auto"/>
            <w:noWrap/>
            <w:vAlign w:val="center"/>
          </w:tcPr>
          <w:p w14:paraId="19F30B07">
            <w:pPr>
              <w:spacing w:line="240" w:lineRule="auto"/>
              <w:ind w:firstLine="0" w:firstLineChars="0"/>
              <w:jc w:val="center"/>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Z</w:t>
            </w:r>
          </w:p>
        </w:tc>
        <w:tc>
          <w:tcPr>
            <w:tcW w:w="321" w:type="pct"/>
            <w:vMerge w:val="continue"/>
            <w:tcBorders>
              <w:tl2br w:val="nil"/>
              <w:tr2bl w:val="nil"/>
            </w:tcBorders>
            <w:shd w:val="clear" w:color="auto" w:fill="auto"/>
            <w:noWrap/>
            <w:vAlign w:val="center"/>
          </w:tcPr>
          <w:p w14:paraId="760C4B07">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17" w:type="pct"/>
            <w:vMerge w:val="continue"/>
            <w:tcBorders>
              <w:tl2br w:val="nil"/>
              <w:tr2bl w:val="nil"/>
            </w:tcBorders>
            <w:shd w:val="clear" w:color="auto" w:fill="auto"/>
            <w:noWrap/>
            <w:vAlign w:val="center"/>
          </w:tcPr>
          <w:p w14:paraId="29702366">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254" w:type="pct"/>
            <w:vMerge w:val="continue"/>
            <w:tcBorders>
              <w:tl2br w:val="nil"/>
              <w:tr2bl w:val="nil"/>
            </w:tcBorders>
            <w:shd w:val="clear" w:color="auto" w:fill="auto"/>
            <w:noWrap/>
            <w:vAlign w:val="center"/>
          </w:tcPr>
          <w:p w14:paraId="37096176">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vMerge w:val="continue"/>
            <w:tcBorders>
              <w:tl2br w:val="nil"/>
              <w:tr2bl w:val="nil"/>
            </w:tcBorders>
            <w:shd w:val="clear" w:color="auto" w:fill="auto"/>
            <w:noWrap/>
            <w:vAlign w:val="center"/>
          </w:tcPr>
          <w:p w14:paraId="3E8035FE">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381" w:type="pct"/>
            <w:tcBorders>
              <w:tl2br w:val="nil"/>
              <w:tr2bl w:val="nil"/>
            </w:tcBorders>
            <w:shd w:val="clear" w:color="auto" w:fill="auto"/>
            <w:noWrap/>
            <w:vAlign w:val="center"/>
          </w:tcPr>
          <w:p w14:paraId="73E16FD7">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声压级/dB(A)</w:t>
            </w:r>
          </w:p>
        </w:tc>
        <w:tc>
          <w:tcPr>
            <w:tcW w:w="308" w:type="pct"/>
            <w:tcBorders>
              <w:tl2br w:val="nil"/>
              <w:tr2bl w:val="nil"/>
            </w:tcBorders>
            <w:shd w:val="clear" w:color="auto" w:fill="auto"/>
            <w:noWrap/>
            <w:vAlign w:val="center"/>
          </w:tcPr>
          <w:p w14:paraId="503E273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建筑物外距离</w:t>
            </w:r>
          </w:p>
        </w:tc>
        <w:tc>
          <w:tcPr>
            <w:tcW w:w="325" w:type="pct"/>
            <w:vMerge w:val="continue"/>
            <w:tcBorders>
              <w:tl2br w:val="nil"/>
              <w:tr2bl w:val="nil"/>
            </w:tcBorders>
            <w:shd w:val="clear" w:color="auto" w:fill="auto"/>
            <w:noWrap/>
            <w:vAlign w:val="center"/>
          </w:tcPr>
          <w:p w14:paraId="5268C9CF">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5283E74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restart"/>
            <w:tcBorders>
              <w:tl2br w:val="nil"/>
              <w:tr2bl w:val="nil"/>
            </w:tcBorders>
            <w:shd w:val="clear" w:color="auto" w:fill="auto"/>
            <w:noWrap/>
            <w:vAlign w:val="center"/>
          </w:tcPr>
          <w:p w14:paraId="6636526A">
            <w:pPr>
              <w:spacing w:line="240" w:lineRule="auto"/>
              <w:ind w:firstLine="0" w:firstLineChars="0"/>
              <w:jc w:val="center"/>
              <w:rPr>
                <w:rFonts w:hint="default" w:ascii="Times New Roman" w:hAnsi="Times New Roman" w:eastAsia="宋体" w:cs="Times New Roman"/>
                <w:color w:val="FF0000"/>
                <w:sz w:val="21"/>
                <w:szCs w:val="21"/>
                <w:highlight w:val="none"/>
                <w:lang w:val="en-US"/>
              </w:rPr>
            </w:pPr>
            <w:r>
              <w:rPr>
                <w:rFonts w:hint="eastAsia" w:ascii="Times New Roman" w:hAnsi="Times New Roman" w:eastAsia="宋体" w:cs="Times New Roman"/>
                <w:color w:val="FF0000"/>
                <w:sz w:val="21"/>
                <w:szCs w:val="21"/>
                <w:highlight w:val="none"/>
                <w:lang w:val="en-US" w:eastAsia="zh-CN"/>
              </w:rPr>
              <w:t>5#</w:t>
            </w:r>
            <w:r>
              <w:rPr>
                <w:rFonts w:hint="default" w:ascii="Times New Roman" w:hAnsi="Times New Roman" w:eastAsia="宋体" w:cs="Times New Roman"/>
                <w:color w:val="FF0000"/>
                <w:sz w:val="21"/>
                <w:szCs w:val="21"/>
                <w:highlight w:val="none"/>
                <w:lang w:val="en-US" w:eastAsia="zh-CN"/>
              </w:rPr>
              <w:t>锅炉房</w:t>
            </w:r>
          </w:p>
        </w:tc>
        <w:tc>
          <w:tcPr>
            <w:tcW w:w="398" w:type="pct"/>
            <w:vMerge w:val="restart"/>
            <w:tcBorders>
              <w:tl2br w:val="nil"/>
              <w:tr2bl w:val="nil"/>
            </w:tcBorders>
            <w:shd w:val="clear" w:color="auto" w:fill="auto"/>
            <w:noWrap/>
            <w:vAlign w:val="center"/>
          </w:tcPr>
          <w:p w14:paraId="5ACA982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送风机</w:t>
            </w:r>
          </w:p>
        </w:tc>
        <w:tc>
          <w:tcPr>
            <w:tcW w:w="387" w:type="pct"/>
            <w:vMerge w:val="restart"/>
            <w:tcBorders>
              <w:tl2br w:val="nil"/>
              <w:tr2bl w:val="nil"/>
            </w:tcBorders>
            <w:shd w:val="clear" w:color="auto" w:fill="auto"/>
            <w:noWrap/>
            <w:vAlign w:val="center"/>
          </w:tcPr>
          <w:p w14:paraId="0034C9B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90</w:t>
            </w:r>
          </w:p>
        </w:tc>
        <w:tc>
          <w:tcPr>
            <w:tcW w:w="575" w:type="pct"/>
            <w:vMerge w:val="restart"/>
            <w:tcBorders>
              <w:tl2br w:val="nil"/>
              <w:tr2bl w:val="nil"/>
            </w:tcBorders>
            <w:shd w:val="clear" w:color="auto" w:fill="auto"/>
            <w:noWrap/>
            <w:vAlign w:val="center"/>
          </w:tcPr>
          <w:p w14:paraId="775D0E74">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进风口消声器</w:t>
            </w:r>
          </w:p>
          <w:p w14:paraId="5C666B5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管道外壳阻尼</w:t>
            </w:r>
          </w:p>
        </w:tc>
        <w:tc>
          <w:tcPr>
            <w:tcW w:w="284" w:type="pct"/>
            <w:tcBorders>
              <w:tl2br w:val="nil"/>
              <w:tr2bl w:val="nil"/>
            </w:tcBorders>
            <w:shd w:val="clear" w:color="auto" w:fill="auto"/>
            <w:noWrap/>
            <w:vAlign w:val="center"/>
          </w:tcPr>
          <w:p w14:paraId="4D399BB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60.3</w:t>
            </w:r>
          </w:p>
        </w:tc>
        <w:tc>
          <w:tcPr>
            <w:tcW w:w="296" w:type="pct"/>
            <w:tcBorders>
              <w:tl2br w:val="nil"/>
              <w:tr2bl w:val="nil"/>
            </w:tcBorders>
            <w:shd w:val="clear" w:color="auto" w:fill="auto"/>
            <w:noWrap/>
            <w:vAlign w:val="center"/>
          </w:tcPr>
          <w:p w14:paraId="4AFDEB0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80</w:t>
            </w:r>
          </w:p>
        </w:tc>
        <w:tc>
          <w:tcPr>
            <w:tcW w:w="254" w:type="pct"/>
            <w:tcBorders>
              <w:tl2br w:val="nil"/>
              <w:tr2bl w:val="nil"/>
            </w:tcBorders>
            <w:shd w:val="clear" w:color="auto" w:fill="auto"/>
            <w:noWrap/>
            <w:vAlign w:val="center"/>
          </w:tcPr>
          <w:p w14:paraId="014DEDB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3CEDB98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8.1</w:t>
            </w:r>
          </w:p>
        </w:tc>
        <w:tc>
          <w:tcPr>
            <w:tcW w:w="417" w:type="pct"/>
            <w:tcBorders>
              <w:tl2br w:val="nil"/>
              <w:tr2bl w:val="nil"/>
            </w:tcBorders>
            <w:shd w:val="clear" w:color="auto" w:fill="auto"/>
            <w:noWrap/>
            <w:vAlign w:val="center"/>
          </w:tcPr>
          <w:p w14:paraId="64DB3BF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63.24</w:t>
            </w:r>
          </w:p>
        </w:tc>
        <w:tc>
          <w:tcPr>
            <w:tcW w:w="254" w:type="pct"/>
            <w:vMerge w:val="restart"/>
            <w:tcBorders>
              <w:tl2br w:val="nil"/>
              <w:tr2bl w:val="nil"/>
            </w:tcBorders>
            <w:shd w:val="clear" w:color="auto" w:fill="auto"/>
            <w:noWrap/>
            <w:vAlign w:val="center"/>
          </w:tcPr>
          <w:p w14:paraId="243C9FD4">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连续</w:t>
            </w:r>
          </w:p>
        </w:tc>
        <w:tc>
          <w:tcPr>
            <w:tcW w:w="447" w:type="pct"/>
            <w:tcBorders>
              <w:tl2br w:val="nil"/>
              <w:tr2bl w:val="nil"/>
            </w:tcBorders>
            <w:shd w:val="clear" w:color="auto" w:fill="auto"/>
            <w:noWrap/>
            <w:vAlign w:val="center"/>
          </w:tcPr>
          <w:p w14:paraId="0375267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1568B43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44.24</w:t>
            </w:r>
          </w:p>
        </w:tc>
        <w:tc>
          <w:tcPr>
            <w:tcW w:w="308" w:type="pct"/>
            <w:tcBorders>
              <w:tl2br w:val="nil"/>
              <w:tr2bl w:val="nil"/>
            </w:tcBorders>
            <w:shd w:val="clear" w:color="auto" w:fill="auto"/>
            <w:noWrap/>
            <w:vAlign w:val="center"/>
          </w:tcPr>
          <w:p w14:paraId="5CC67DD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restart"/>
            <w:tcBorders>
              <w:tl2br w:val="nil"/>
              <w:tr2bl w:val="nil"/>
            </w:tcBorders>
            <w:shd w:val="clear" w:color="auto" w:fill="auto"/>
            <w:noWrap/>
            <w:vAlign w:val="center"/>
          </w:tcPr>
          <w:p w14:paraId="6B2EB13C">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本项目设备</w:t>
            </w:r>
          </w:p>
        </w:tc>
      </w:tr>
      <w:tr w14:paraId="6CA81D3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4FDD067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2642D73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2439F39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177F473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4B24AE4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60.3</w:t>
            </w:r>
          </w:p>
        </w:tc>
        <w:tc>
          <w:tcPr>
            <w:tcW w:w="296" w:type="pct"/>
            <w:tcBorders>
              <w:tl2br w:val="nil"/>
              <w:tr2bl w:val="nil"/>
            </w:tcBorders>
            <w:shd w:val="clear" w:color="auto" w:fill="auto"/>
            <w:noWrap/>
            <w:vAlign w:val="center"/>
          </w:tcPr>
          <w:p w14:paraId="4FE3955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80</w:t>
            </w:r>
          </w:p>
        </w:tc>
        <w:tc>
          <w:tcPr>
            <w:tcW w:w="254" w:type="pct"/>
            <w:tcBorders>
              <w:tl2br w:val="nil"/>
              <w:tr2bl w:val="nil"/>
            </w:tcBorders>
            <w:shd w:val="clear" w:color="auto" w:fill="auto"/>
            <w:noWrap/>
            <w:vAlign w:val="center"/>
          </w:tcPr>
          <w:p w14:paraId="475B087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6632E5B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38.6</w:t>
            </w:r>
          </w:p>
        </w:tc>
        <w:tc>
          <w:tcPr>
            <w:tcW w:w="417" w:type="pct"/>
            <w:tcBorders>
              <w:tl2br w:val="nil"/>
              <w:tr2bl w:val="nil"/>
            </w:tcBorders>
            <w:shd w:val="clear" w:color="auto" w:fill="auto"/>
            <w:noWrap/>
            <w:vAlign w:val="center"/>
          </w:tcPr>
          <w:p w14:paraId="62BAC38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59.77</w:t>
            </w:r>
          </w:p>
        </w:tc>
        <w:tc>
          <w:tcPr>
            <w:tcW w:w="254" w:type="pct"/>
            <w:vMerge w:val="continue"/>
            <w:tcBorders>
              <w:tl2br w:val="nil"/>
              <w:tr2bl w:val="nil"/>
            </w:tcBorders>
            <w:shd w:val="clear" w:color="auto" w:fill="auto"/>
            <w:noWrap/>
            <w:vAlign w:val="center"/>
          </w:tcPr>
          <w:p w14:paraId="01BFD6D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47757F0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459DB7A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40.77</w:t>
            </w:r>
          </w:p>
        </w:tc>
        <w:tc>
          <w:tcPr>
            <w:tcW w:w="308" w:type="pct"/>
            <w:tcBorders>
              <w:tl2br w:val="nil"/>
              <w:tr2bl w:val="nil"/>
            </w:tcBorders>
            <w:shd w:val="clear" w:color="auto" w:fill="auto"/>
            <w:noWrap/>
            <w:vAlign w:val="center"/>
          </w:tcPr>
          <w:p w14:paraId="5A1C4AB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D4BA5A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586DF01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06D2B55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738387D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4D20473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2AB99809">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41A1E3F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60.3</w:t>
            </w:r>
          </w:p>
        </w:tc>
        <w:tc>
          <w:tcPr>
            <w:tcW w:w="296" w:type="pct"/>
            <w:tcBorders>
              <w:tl2br w:val="nil"/>
              <w:tr2bl w:val="nil"/>
            </w:tcBorders>
            <w:shd w:val="clear" w:color="auto" w:fill="auto"/>
            <w:noWrap/>
            <w:vAlign w:val="center"/>
          </w:tcPr>
          <w:p w14:paraId="7550910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80</w:t>
            </w:r>
          </w:p>
        </w:tc>
        <w:tc>
          <w:tcPr>
            <w:tcW w:w="254" w:type="pct"/>
            <w:tcBorders>
              <w:tl2br w:val="nil"/>
              <w:tr2bl w:val="nil"/>
            </w:tcBorders>
            <w:shd w:val="clear" w:color="auto" w:fill="auto"/>
            <w:noWrap/>
            <w:vAlign w:val="center"/>
          </w:tcPr>
          <w:p w14:paraId="2C21F8B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514914B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44.4</w:t>
            </w:r>
          </w:p>
        </w:tc>
        <w:tc>
          <w:tcPr>
            <w:tcW w:w="417" w:type="pct"/>
            <w:tcBorders>
              <w:tl2br w:val="nil"/>
              <w:tr2bl w:val="nil"/>
            </w:tcBorders>
            <w:shd w:val="clear" w:color="auto" w:fill="auto"/>
            <w:noWrap/>
            <w:vAlign w:val="center"/>
          </w:tcPr>
          <w:p w14:paraId="02C9ED4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59.71</w:t>
            </w:r>
          </w:p>
        </w:tc>
        <w:tc>
          <w:tcPr>
            <w:tcW w:w="254" w:type="pct"/>
            <w:vMerge w:val="continue"/>
            <w:tcBorders>
              <w:tl2br w:val="nil"/>
              <w:tr2bl w:val="nil"/>
            </w:tcBorders>
            <w:shd w:val="clear" w:color="auto" w:fill="auto"/>
            <w:noWrap/>
            <w:vAlign w:val="center"/>
          </w:tcPr>
          <w:p w14:paraId="33CE5B4F">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62453B9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4E2E967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40.71</w:t>
            </w:r>
          </w:p>
        </w:tc>
        <w:tc>
          <w:tcPr>
            <w:tcW w:w="308" w:type="pct"/>
            <w:tcBorders>
              <w:tl2br w:val="nil"/>
              <w:tr2bl w:val="nil"/>
            </w:tcBorders>
            <w:shd w:val="clear" w:color="auto" w:fill="auto"/>
            <w:noWrap/>
            <w:vAlign w:val="center"/>
          </w:tcPr>
          <w:p w14:paraId="601A466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3583F7B1">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346BAC4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4045542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1D41709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6AF5138D">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781EDF65">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6C39D8C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60.3</w:t>
            </w:r>
          </w:p>
        </w:tc>
        <w:tc>
          <w:tcPr>
            <w:tcW w:w="296" w:type="pct"/>
            <w:tcBorders>
              <w:tl2br w:val="nil"/>
              <w:tr2bl w:val="nil"/>
            </w:tcBorders>
            <w:shd w:val="clear" w:color="auto" w:fill="auto"/>
            <w:noWrap/>
            <w:vAlign w:val="center"/>
          </w:tcPr>
          <w:p w14:paraId="478FECD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80</w:t>
            </w:r>
          </w:p>
        </w:tc>
        <w:tc>
          <w:tcPr>
            <w:tcW w:w="254" w:type="pct"/>
            <w:tcBorders>
              <w:tl2br w:val="nil"/>
              <w:tr2bl w:val="nil"/>
            </w:tcBorders>
            <w:shd w:val="clear" w:color="auto" w:fill="auto"/>
            <w:noWrap/>
            <w:vAlign w:val="center"/>
          </w:tcPr>
          <w:p w14:paraId="6C2B05F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0446DA4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10.4</w:t>
            </w:r>
          </w:p>
        </w:tc>
        <w:tc>
          <w:tcPr>
            <w:tcW w:w="417" w:type="pct"/>
            <w:tcBorders>
              <w:tl2br w:val="nil"/>
              <w:tr2bl w:val="nil"/>
            </w:tcBorders>
            <w:shd w:val="clear" w:color="auto" w:fill="auto"/>
            <w:noWrap/>
            <w:vAlign w:val="center"/>
          </w:tcPr>
          <w:p w14:paraId="049AFB8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62.13</w:t>
            </w:r>
          </w:p>
        </w:tc>
        <w:tc>
          <w:tcPr>
            <w:tcW w:w="254" w:type="pct"/>
            <w:vMerge w:val="continue"/>
            <w:tcBorders>
              <w:tl2br w:val="nil"/>
              <w:tr2bl w:val="nil"/>
            </w:tcBorders>
            <w:shd w:val="clear" w:color="auto" w:fill="auto"/>
            <w:noWrap/>
            <w:vAlign w:val="center"/>
          </w:tcPr>
          <w:p w14:paraId="0A79E2E8">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79F98D9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672BC36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43.13</w:t>
            </w:r>
          </w:p>
        </w:tc>
        <w:tc>
          <w:tcPr>
            <w:tcW w:w="308" w:type="pct"/>
            <w:tcBorders>
              <w:tl2br w:val="nil"/>
              <w:tr2bl w:val="nil"/>
            </w:tcBorders>
            <w:shd w:val="clear" w:color="auto" w:fill="auto"/>
            <w:noWrap/>
            <w:vAlign w:val="center"/>
          </w:tcPr>
          <w:p w14:paraId="45E118A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3050C98">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228C438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7A5500A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5578460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循环水泵</w:t>
            </w:r>
          </w:p>
        </w:tc>
        <w:tc>
          <w:tcPr>
            <w:tcW w:w="387" w:type="pct"/>
            <w:vMerge w:val="restart"/>
            <w:tcBorders>
              <w:tl2br w:val="nil"/>
              <w:tr2bl w:val="nil"/>
            </w:tcBorders>
            <w:shd w:val="clear" w:color="auto" w:fill="auto"/>
            <w:noWrap/>
            <w:vAlign w:val="center"/>
          </w:tcPr>
          <w:p w14:paraId="57A64F8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90</w:t>
            </w:r>
          </w:p>
        </w:tc>
        <w:tc>
          <w:tcPr>
            <w:tcW w:w="575" w:type="pct"/>
            <w:vMerge w:val="restart"/>
            <w:tcBorders>
              <w:tl2br w:val="nil"/>
              <w:tr2bl w:val="nil"/>
            </w:tcBorders>
            <w:shd w:val="clear" w:color="auto" w:fill="auto"/>
            <w:noWrap/>
            <w:vAlign w:val="center"/>
          </w:tcPr>
          <w:p w14:paraId="1CEBF9D9">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隔声罩壳</w:t>
            </w:r>
          </w:p>
          <w:p w14:paraId="3120C5B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厂房隔声</w:t>
            </w:r>
          </w:p>
        </w:tc>
        <w:tc>
          <w:tcPr>
            <w:tcW w:w="284" w:type="pct"/>
            <w:tcBorders>
              <w:tl2br w:val="nil"/>
              <w:tr2bl w:val="nil"/>
            </w:tcBorders>
            <w:shd w:val="clear" w:color="auto" w:fill="auto"/>
            <w:noWrap/>
            <w:vAlign w:val="center"/>
          </w:tcPr>
          <w:p w14:paraId="1BBB418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51.7</w:t>
            </w:r>
          </w:p>
        </w:tc>
        <w:tc>
          <w:tcPr>
            <w:tcW w:w="296" w:type="pct"/>
            <w:tcBorders>
              <w:tl2br w:val="nil"/>
              <w:tr2bl w:val="nil"/>
            </w:tcBorders>
            <w:shd w:val="clear" w:color="auto" w:fill="auto"/>
            <w:noWrap/>
            <w:vAlign w:val="center"/>
          </w:tcPr>
          <w:p w14:paraId="5F775D5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78.5</w:t>
            </w:r>
          </w:p>
        </w:tc>
        <w:tc>
          <w:tcPr>
            <w:tcW w:w="254" w:type="pct"/>
            <w:tcBorders>
              <w:tl2br w:val="nil"/>
              <w:tr2bl w:val="nil"/>
            </w:tcBorders>
            <w:shd w:val="clear" w:color="auto" w:fill="auto"/>
            <w:noWrap/>
            <w:vAlign w:val="center"/>
          </w:tcPr>
          <w:p w14:paraId="64AC512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31D3172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16.7</w:t>
            </w:r>
          </w:p>
        </w:tc>
        <w:tc>
          <w:tcPr>
            <w:tcW w:w="417" w:type="pct"/>
            <w:tcBorders>
              <w:tl2br w:val="nil"/>
              <w:tr2bl w:val="nil"/>
            </w:tcBorders>
            <w:shd w:val="clear" w:color="auto" w:fill="auto"/>
            <w:noWrap/>
            <w:vAlign w:val="center"/>
          </w:tcPr>
          <w:p w14:paraId="3D9566F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60.72</w:t>
            </w:r>
          </w:p>
        </w:tc>
        <w:tc>
          <w:tcPr>
            <w:tcW w:w="254" w:type="pct"/>
            <w:vMerge w:val="continue"/>
            <w:tcBorders>
              <w:tl2br w:val="nil"/>
              <w:tr2bl w:val="nil"/>
            </w:tcBorders>
            <w:shd w:val="clear" w:color="auto" w:fill="auto"/>
            <w:noWrap/>
            <w:vAlign w:val="center"/>
          </w:tcPr>
          <w:p w14:paraId="66BADC1A">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278BDFE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40CC562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31.72</w:t>
            </w:r>
          </w:p>
        </w:tc>
        <w:tc>
          <w:tcPr>
            <w:tcW w:w="308" w:type="pct"/>
            <w:tcBorders>
              <w:tl2br w:val="nil"/>
              <w:tr2bl w:val="nil"/>
            </w:tcBorders>
            <w:shd w:val="clear" w:color="auto" w:fill="auto"/>
            <w:noWrap/>
            <w:vAlign w:val="center"/>
          </w:tcPr>
          <w:p w14:paraId="6465FFB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771E6517">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5B4B8ED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6AF2F6BD">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009F831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3A0587C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4D98E86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6361BC8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51.7</w:t>
            </w:r>
          </w:p>
        </w:tc>
        <w:tc>
          <w:tcPr>
            <w:tcW w:w="296" w:type="pct"/>
            <w:tcBorders>
              <w:tl2br w:val="nil"/>
              <w:tr2bl w:val="nil"/>
            </w:tcBorders>
            <w:shd w:val="clear" w:color="auto" w:fill="auto"/>
            <w:noWrap/>
            <w:vAlign w:val="center"/>
          </w:tcPr>
          <w:p w14:paraId="1559AAC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78.5</w:t>
            </w:r>
          </w:p>
        </w:tc>
        <w:tc>
          <w:tcPr>
            <w:tcW w:w="254" w:type="pct"/>
            <w:tcBorders>
              <w:tl2br w:val="nil"/>
              <w:tr2bl w:val="nil"/>
            </w:tcBorders>
            <w:shd w:val="clear" w:color="auto" w:fill="auto"/>
            <w:noWrap/>
            <w:vAlign w:val="center"/>
          </w:tcPr>
          <w:p w14:paraId="1B1902D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54D9627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37.1</w:t>
            </w:r>
          </w:p>
        </w:tc>
        <w:tc>
          <w:tcPr>
            <w:tcW w:w="417" w:type="pct"/>
            <w:tcBorders>
              <w:tl2br w:val="nil"/>
              <w:tr2bl w:val="nil"/>
            </w:tcBorders>
            <w:shd w:val="clear" w:color="auto" w:fill="auto"/>
            <w:noWrap/>
            <w:vAlign w:val="center"/>
          </w:tcPr>
          <w:p w14:paraId="5A4055A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59.79</w:t>
            </w:r>
          </w:p>
        </w:tc>
        <w:tc>
          <w:tcPr>
            <w:tcW w:w="254" w:type="pct"/>
            <w:vMerge w:val="continue"/>
            <w:tcBorders>
              <w:tl2br w:val="nil"/>
              <w:tr2bl w:val="nil"/>
            </w:tcBorders>
            <w:shd w:val="clear" w:color="auto" w:fill="auto"/>
            <w:noWrap/>
            <w:vAlign w:val="center"/>
          </w:tcPr>
          <w:p w14:paraId="5C53A8C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774A71F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4EBE82E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30.79</w:t>
            </w:r>
          </w:p>
        </w:tc>
        <w:tc>
          <w:tcPr>
            <w:tcW w:w="308" w:type="pct"/>
            <w:tcBorders>
              <w:tl2br w:val="nil"/>
              <w:tr2bl w:val="nil"/>
            </w:tcBorders>
            <w:shd w:val="clear" w:color="auto" w:fill="auto"/>
            <w:noWrap/>
            <w:vAlign w:val="center"/>
          </w:tcPr>
          <w:p w14:paraId="1C45A0E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7B84E76">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16EC00F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15CCD37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38A86BF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0F8BB91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48A715A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3A8A680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51.7</w:t>
            </w:r>
          </w:p>
        </w:tc>
        <w:tc>
          <w:tcPr>
            <w:tcW w:w="296" w:type="pct"/>
            <w:tcBorders>
              <w:tl2br w:val="nil"/>
              <w:tr2bl w:val="nil"/>
            </w:tcBorders>
            <w:shd w:val="clear" w:color="auto" w:fill="auto"/>
            <w:noWrap/>
            <w:vAlign w:val="center"/>
          </w:tcPr>
          <w:p w14:paraId="6B52049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78.5</w:t>
            </w:r>
          </w:p>
        </w:tc>
        <w:tc>
          <w:tcPr>
            <w:tcW w:w="254" w:type="pct"/>
            <w:tcBorders>
              <w:tl2br w:val="nil"/>
              <w:tr2bl w:val="nil"/>
            </w:tcBorders>
            <w:shd w:val="clear" w:color="auto" w:fill="auto"/>
            <w:noWrap/>
            <w:vAlign w:val="center"/>
          </w:tcPr>
          <w:p w14:paraId="60FDD57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50AF2D9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35.8</w:t>
            </w:r>
          </w:p>
        </w:tc>
        <w:tc>
          <w:tcPr>
            <w:tcW w:w="417" w:type="pct"/>
            <w:tcBorders>
              <w:tl2br w:val="nil"/>
              <w:tr2bl w:val="nil"/>
            </w:tcBorders>
            <w:shd w:val="clear" w:color="auto" w:fill="auto"/>
            <w:noWrap/>
            <w:vAlign w:val="center"/>
          </w:tcPr>
          <w:p w14:paraId="527FC73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59.81</w:t>
            </w:r>
          </w:p>
        </w:tc>
        <w:tc>
          <w:tcPr>
            <w:tcW w:w="254" w:type="pct"/>
            <w:vMerge w:val="continue"/>
            <w:tcBorders>
              <w:tl2br w:val="nil"/>
              <w:tr2bl w:val="nil"/>
            </w:tcBorders>
            <w:shd w:val="clear" w:color="auto" w:fill="auto"/>
            <w:noWrap/>
            <w:vAlign w:val="center"/>
          </w:tcPr>
          <w:p w14:paraId="6E0A70EA">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50DF267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1E75BFB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30.81</w:t>
            </w:r>
          </w:p>
        </w:tc>
        <w:tc>
          <w:tcPr>
            <w:tcW w:w="308" w:type="pct"/>
            <w:tcBorders>
              <w:tl2br w:val="nil"/>
              <w:tr2bl w:val="nil"/>
            </w:tcBorders>
            <w:shd w:val="clear" w:color="auto" w:fill="auto"/>
            <w:noWrap/>
            <w:vAlign w:val="center"/>
          </w:tcPr>
          <w:p w14:paraId="5480F0F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33FBD2DD">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7CA2FDE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1D6A0DE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6048C26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660A3C0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7A674A2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78C794F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51.7</w:t>
            </w:r>
          </w:p>
        </w:tc>
        <w:tc>
          <w:tcPr>
            <w:tcW w:w="296" w:type="pct"/>
            <w:tcBorders>
              <w:tl2br w:val="nil"/>
              <w:tr2bl w:val="nil"/>
            </w:tcBorders>
            <w:shd w:val="clear" w:color="auto" w:fill="auto"/>
            <w:noWrap/>
            <w:vAlign w:val="center"/>
          </w:tcPr>
          <w:p w14:paraId="4C00A71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78.5</w:t>
            </w:r>
          </w:p>
        </w:tc>
        <w:tc>
          <w:tcPr>
            <w:tcW w:w="254" w:type="pct"/>
            <w:tcBorders>
              <w:tl2br w:val="nil"/>
              <w:tr2bl w:val="nil"/>
            </w:tcBorders>
            <w:shd w:val="clear" w:color="auto" w:fill="auto"/>
            <w:noWrap/>
            <w:vAlign w:val="center"/>
          </w:tcPr>
          <w:p w14:paraId="7DDDD51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67658F6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11.9</w:t>
            </w:r>
          </w:p>
        </w:tc>
        <w:tc>
          <w:tcPr>
            <w:tcW w:w="417" w:type="pct"/>
            <w:tcBorders>
              <w:tl2br w:val="nil"/>
              <w:tr2bl w:val="nil"/>
            </w:tcBorders>
            <w:shd w:val="clear" w:color="auto" w:fill="auto"/>
            <w:noWrap/>
            <w:vAlign w:val="center"/>
          </w:tcPr>
          <w:p w14:paraId="37407C1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61.64</w:t>
            </w:r>
          </w:p>
        </w:tc>
        <w:tc>
          <w:tcPr>
            <w:tcW w:w="254" w:type="pct"/>
            <w:vMerge w:val="continue"/>
            <w:tcBorders>
              <w:tl2br w:val="nil"/>
              <w:tr2bl w:val="nil"/>
            </w:tcBorders>
            <w:shd w:val="clear" w:color="auto" w:fill="auto"/>
            <w:noWrap/>
            <w:vAlign w:val="center"/>
          </w:tcPr>
          <w:p w14:paraId="5D06BF2A">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12556B0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723495F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32.64</w:t>
            </w:r>
          </w:p>
        </w:tc>
        <w:tc>
          <w:tcPr>
            <w:tcW w:w="308" w:type="pct"/>
            <w:tcBorders>
              <w:tl2br w:val="nil"/>
              <w:tr2bl w:val="nil"/>
            </w:tcBorders>
            <w:shd w:val="clear" w:color="auto" w:fill="auto"/>
            <w:noWrap/>
            <w:vAlign w:val="center"/>
          </w:tcPr>
          <w:p w14:paraId="7FB6381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1A460BBC">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76072E9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2CFFBA4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34586A3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给煤机</w:t>
            </w:r>
          </w:p>
        </w:tc>
        <w:tc>
          <w:tcPr>
            <w:tcW w:w="387" w:type="pct"/>
            <w:vMerge w:val="restart"/>
            <w:tcBorders>
              <w:tl2br w:val="nil"/>
              <w:tr2bl w:val="nil"/>
            </w:tcBorders>
            <w:shd w:val="clear" w:color="auto" w:fill="auto"/>
            <w:noWrap/>
            <w:vAlign w:val="center"/>
          </w:tcPr>
          <w:p w14:paraId="5B35745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85</w:t>
            </w:r>
          </w:p>
        </w:tc>
        <w:tc>
          <w:tcPr>
            <w:tcW w:w="575" w:type="pct"/>
            <w:vMerge w:val="restart"/>
            <w:tcBorders>
              <w:tl2br w:val="nil"/>
              <w:tr2bl w:val="nil"/>
            </w:tcBorders>
            <w:shd w:val="clear" w:color="auto" w:fill="auto"/>
            <w:noWrap/>
            <w:vAlign w:val="center"/>
          </w:tcPr>
          <w:p w14:paraId="1309DD8E">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基础减振</w:t>
            </w:r>
          </w:p>
          <w:p w14:paraId="4A0A208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厂房隔声</w:t>
            </w:r>
          </w:p>
        </w:tc>
        <w:tc>
          <w:tcPr>
            <w:tcW w:w="284" w:type="pct"/>
            <w:tcBorders>
              <w:tl2br w:val="nil"/>
              <w:tr2bl w:val="nil"/>
            </w:tcBorders>
            <w:shd w:val="clear" w:color="auto" w:fill="auto"/>
            <w:noWrap/>
            <w:vAlign w:val="center"/>
          </w:tcPr>
          <w:p w14:paraId="1F3DCFD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51.7</w:t>
            </w:r>
          </w:p>
        </w:tc>
        <w:tc>
          <w:tcPr>
            <w:tcW w:w="296" w:type="pct"/>
            <w:tcBorders>
              <w:tl2br w:val="nil"/>
              <w:tr2bl w:val="nil"/>
            </w:tcBorders>
            <w:shd w:val="clear" w:color="auto" w:fill="auto"/>
            <w:noWrap/>
            <w:vAlign w:val="center"/>
          </w:tcPr>
          <w:p w14:paraId="4123198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83.7</w:t>
            </w:r>
          </w:p>
        </w:tc>
        <w:tc>
          <w:tcPr>
            <w:tcW w:w="254" w:type="pct"/>
            <w:tcBorders>
              <w:tl2br w:val="nil"/>
              <w:tr2bl w:val="nil"/>
            </w:tcBorders>
            <w:shd w:val="clear" w:color="auto" w:fill="auto"/>
            <w:noWrap/>
            <w:vAlign w:val="center"/>
          </w:tcPr>
          <w:p w14:paraId="11C303C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11DC390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16.7</w:t>
            </w:r>
          </w:p>
        </w:tc>
        <w:tc>
          <w:tcPr>
            <w:tcW w:w="417" w:type="pct"/>
            <w:tcBorders>
              <w:tl2br w:val="nil"/>
              <w:tr2bl w:val="nil"/>
            </w:tcBorders>
            <w:shd w:val="clear" w:color="auto" w:fill="auto"/>
            <w:noWrap/>
            <w:vAlign w:val="center"/>
          </w:tcPr>
          <w:p w14:paraId="1AD77B1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55.72</w:t>
            </w:r>
          </w:p>
        </w:tc>
        <w:tc>
          <w:tcPr>
            <w:tcW w:w="254" w:type="pct"/>
            <w:vMerge w:val="continue"/>
            <w:tcBorders>
              <w:tl2br w:val="nil"/>
              <w:tr2bl w:val="nil"/>
            </w:tcBorders>
            <w:shd w:val="clear" w:color="auto" w:fill="auto"/>
            <w:noWrap/>
            <w:vAlign w:val="center"/>
          </w:tcPr>
          <w:p w14:paraId="7A4CDB35">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656B424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26E35AD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36.72</w:t>
            </w:r>
          </w:p>
        </w:tc>
        <w:tc>
          <w:tcPr>
            <w:tcW w:w="308" w:type="pct"/>
            <w:tcBorders>
              <w:tl2br w:val="nil"/>
              <w:tr2bl w:val="nil"/>
            </w:tcBorders>
            <w:shd w:val="clear" w:color="auto" w:fill="auto"/>
            <w:noWrap/>
            <w:vAlign w:val="center"/>
          </w:tcPr>
          <w:p w14:paraId="28CF722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38100EBD">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281D74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414B2F1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707D73F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65F0FA9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7A3E0E3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62211D4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51.7</w:t>
            </w:r>
          </w:p>
        </w:tc>
        <w:tc>
          <w:tcPr>
            <w:tcW w:w="296" w:type="pct"/>
            <w:tcBorders>
              <w:tl2br w:val="nil"/>
              <w:tr2bl w:val="nil"/>
            </w:tcBorders>
            <w:shd w:val="clear" w:color="auto" w:fill="auto"/>
            <w:noWrap/>
            <w:vAlign w:val="center"/>
          </w:tcPr>
          <w:p w14:paraId="7CB1A5E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83.7</w:t>
            </w:r>
          </w:p>
        </w:tc>
        <w:tc>
          <w:tcPr>
            <w:tcW w:w="254" w:type="pct"/>
            <w:tcBorders>
              <w:tl2br w:val="nil"/>
              <w:tr2bl w:val="nil"/>
            </w:tcBorders>
            <w:shd w:val="clear" w:color="auto" w:fill="auto"/>
            <w:noWrap/>
            <w:vAlign w:val="center"/>
          </w:tcPr>
          <w:p w14:paraId="32B68D7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527E4F8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42.3</w:t>
            </w:r>
          </w:p>
        </w:tc>
        <w:tc>
          <w:tcPr>
            <w:tcW w:w="417" w:type="pct"/>
            <w:tcBorders>
              <w:tl2br w:val="nil"/>
              <w:tr2bl w:val="nil"/>
            </w:tcBorders>
            <w:shd w:val="clear" w:color="auto" w:fill="auto"/>
            <w:noWrap/>
            <w:vAlign w:val="center"/>
          </w:tcPr>
          <w:p w14:paraId="216FD10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54.73</w:t>
            </w:r>
          </w:p>
        </w:tc>
        <w:tc>
          <w:tcPr>
            <w:tcW w:w="254" w:type="pct"/>
            <w:vMerge w:val="continue"/>
            <w:tcBorders>
              <w:tl2br w:val="nil"/>
              <w:tr2bl w:val="nil"/>
            </w:tcBorders>
            <w:shd w:val="clear" w:color="auto" w:fill="auto"/>
            <w:noWrap/>
            <w:vAlign w:val="center"/>
          </w:tcPr>
          <w:p w14:paraId="673548C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2D2BABD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04A12C8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35.73</w:t>
            </w:r>
          </w:p>
        </w:tc>
        <w:tc>
          <w:tcPr>
            <w:tcW w:w="308" w:type="pct"/>
            <w:tcBorders>
              <w:tl2br w:val="nil"/>
              <w:tr2bl w:val="nil"/>
            </w:tcBorders>
            <w:shd w:val="clear" w:color="auto" w:fill="auto"/>
            <w:noWrap/>
            <w:vAlign w:val="center"/>
          </w:tcPr>
          <w:p w14:paraId="0676997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5E5BF11A">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3C7F80B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6AFCB5A9">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505318D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2787BA3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193E7F85">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7A0CB22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51.7</w:t>
            </w:r>
          </w:p>
        </w:tc>
        <w:tc>
          <w:tcPr>
            <w:tcW w:w="296" w:type="pct"/>
            <w:tcBorders>
              <w:tl2br w:val="nil"/>
              <w:tr2bl w:val="nil"/>
            </w:tcBorders>
            <w:shd w:val="clear" w:color="auto" w:fill="auto"/>
            <w:noWrap/>
            <w:vAlign w:val="center"/>
          </w:tcPr>
          <w:p w14:paraId="00F7968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83.7</w:t>
            </w:r>
          </w:p>
        </w:tc>
        <w:tc>
          <w:tcPr>
            <w:tcW w:w="254" w:type="pct"/>
            <w:tcBorders>
              <w:tl2br w:val="nil"/>
              <w:tr2bl w:val="nil"/>
            </w:tcBorders>
            <w:shd w:val="clear" w:color="auto" w:fill="auto"/>
            <w:noWrap/>
            <w:vAlign w:val="center"/>
          </w:tcPr>
          <w:p w14:paraId="014464A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2313E92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35.8</w:t>
            </w:r>
          </w:p>
        </w:tc>
        <w:tc>
          <w:tcPr>
            <w:tcW w:w="417" w:type="pct"/>
            <w:tcBorders>
              <w:tl2br w:val="nil"/>
              <w:tr2bl w:val="nil"/>
            </w:tcBorders>
            <w:shd w:val="clear" w:color="auto" w:fill="auto"/>
            <w:noWrap/>
            <w:vAlign w:val="center"/>
          </w:tcPr>
          <w:p w14:paraId="22DDD5C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54.81</w:t>
            </w:r>
          </w:p>
        </w:tc>
        <w:tc>
          <w:tcPr>
            <w:tcW w:w="254" w:type="pct"/>
            <w:vMerge w:val="continue"/>
            <w:tcBorders>
              <w:tl2br w:val="nil"/>
              <w:tr2bl w:val="nil"/>
            </w:tcBorders>
            <w:shd w:val="clear" w:color="auto" w:fill="auto"/>
            <w:noWrap/>
            <w:vAlign w:val="center"/>
          </w:tcPr>
          <w:p w14:paraId="4B5DA7F4">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5BE92D4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2707FE4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35.81</w:t>
            </w:r>
          </w:p>
        </w:tc>
        <w:tc>
          <w:tcPr>
            <w:tcW w:w="308" w:type="pct"/>
            <w:tcBorders>
              <w:tl2br w:val="nil"/>
              <w:tr2bl w:val="nil"/>
            </w:tcBorders>
            <w:shd w:val="clear" w:color="auto" w:fill="auto"/>
            <w:noWrap/>
            <w:vAlign w:val="center"/>
          </w:tcPr>
          <w:p w14:paraId="488F97E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50CABE55">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7E4946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19DBE21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7250FAB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6F38C45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45D93CF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0FD4D46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51.7</w:t>
            </w:r>
          </w:p>
        </w:tc>
        <w:tc>
          <w:tcPr>
            <w:tcW w:w="296" w:type="pct"/>
            <w:tcBorders>
              <w:tl2br w:val="nil"/>
              <w:tr2bl w:val="nil"/>
            </w:tcBorders>
            <w:shd w:val="clear" w:color="auto" w:fill="auto"/>
            <w:noWrap/>
            <w:vAlign w:val="center"/>
          </w:tcPr>
          <w:p w14:paraId="1961A48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83.7</w:t>
            </w:r>
          </w:p>
        </w:tc>
        <w:tc>
          <w:tcPr>
            <w:tcW w:w="254" w:type="pct"/>
            <w:tcBorders>
              <w:tl2br w:val="nil"/>
              <w:tr2bl w:val="nil"/>
            </w:tcBorders>
            <w:shd w:val="clear" w:color="auto" w:fill="auto"/>
            <w:noWrap/>
            <w:vAlign w:val="center"/>
          </w:tcPr>
          <w:p w14:paraId="78DC778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5ACD8B5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6.7</w:t>
            </w:r>
          </w:p>
        </w:tc>
        <w:tc>
          <w:tcPr>
            <w:tcW w:w="417" w:type="pct"/>
            <w:tcBorders>
              <w:tl2br w:val="nil"/>
              <w:tr2bl w:val="nil"/>
            </w:tcBorders>
            <w:shd w:val="clear" w:color="auto" w:fill="auto"/>
            <w:noWrap/>
            <w:vAlign w:val="center"/>
          </w:tcPr>
          <w:p w14:paraId="4ABC35C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59.26</w:t>
            </w:r>
          </w:p>
        </w:tc>
        <w:tc>
          <w:tcPr>
            <w:tcW w:w="254" w:type="pct"/>
            <w:vMerge w:val="continue"/>
            <w:tcBorders>
              <w:tl2br w:val="nil"/>
              <w:tr2bl w:val="nil"/>
            </w:tcBorders>
            <w:shd w:val="clear" w:color="auto" w:fill="auto"/>
            <w:noWrap/>
            <w:vAlign w:val="center"/>
          </w:tcPr>
          <w:p w14:paraId="203F43D0">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3B3477E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6E42A6C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40.26</w:t>
            </w:r>
          </w:p>
        </w:tc>
        <w:tc>
          <w:tcPr>
            <w:tcW w:w="308" w:type="pct"/>
            <w:tcBorders>
              <w:tl2br w:val="nil"/>
              <w:tr2bl w:val="nil"/>
            </w:tcBorders>
            <w:shd w:val="clear" w:color="auto" w:fill="auto"/>
            <w:noWrap/>
            <w:vAlign w:val="center"/>
          </w:tcPr>
          <w:p w14:paraId="39BE8DF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04ADDAD0">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0855FD4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64D17D7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5A8AC4D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引风机</w:t>
            </w:r>
          </w:p>
        </w:tc>
        <w:tc>
          <w:tcPr>
            <w:tcW w:w="387" w:type="pct"/>
            <w:vMerge w:val="restart"/>
            <w:tcBorders>
              <w:tl2br w:val="nil"/>
              <w:tr2bl w:val="nil"/>
            </w:tcBorders>
            <w:shd w:val="clear" w:color="auto" w:fill="auto"/>
            <w:noWrap/>
            <w:vAlign w:val="center"/>
          </w:tcPr>
          <w:p w14:paraId="59ED3DE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90</w:t>
            </w:r>
          </w:p>
        </w:tc>
        <w:tc>
          <w:tcPr>
            <w:tcW w:w="575" w:type="pct"/>
            <w:vMerge w:val="restart"/>
            <w:tcBorders>
              <w:tl2br w:val="nil"/>
              <w:tr2bl w:val="nil"/>
            </w:tcBorders>
            <w:shd w:val="clear" w:color="auto" w:fill="auto"/>
            <w:noWrap/>
            <w:vAlign w:val="center"/>
          </w:tcPr>
          <w:p w14:paraId="07796FB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进风口消声器</w:t>
            </w:r>
          </w:p>
          <w:p w14:paraId="77B62E6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管道外壳阻尼</w:t>
            </w:r>
          </w:p>
        </w:tc>
        <w:tc>
          <w:tcPr>
            <w:tcW w:w="284" w:type="pct"/>
            <w:tcBorders>
              <w:tl2br w:val="nil"/>
              <w:tr2bl w:val="nil"/>
            </w:tcBorders>
            <w:shd w:val="clear" w:color="auto" w:fill="auto"/>
            <w:noWrap/>
            <w:vAlign w:val="center"/>
          </w:tcPr>
          <w:p w14:paraId="5084017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38.2</w:t>
            </w:r>
          </w:p>
        </w:tc>
        <w:tc>
          <w:tcPr>
            <w:tcW w:w="296" w:type="pct"/>
            <w:tcBorders>
              <w:tl2br w:val="nil"/>
              <w:tr2bl w:val="nil"/>
            </w:tcBorders>
            <w:shd w:val="clear" w:color="auto" w:fill="auto"/>
            <w:noWrap/>
            <w:vAlign w:val="center"/>
          </w:tcPr>
          <w:p w14:paraId="310116B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85.6</w:t>
            </w:r>
          </w:p>
        </w:tc>
        <w:tc>
          <w:tcPr>
            <w:tcW w:w="254" w:type="pct"/>
            <w:tcBorders>
              <w:tl2br w:val="nil"/>
              <w:tr2bl w:val="nil"/>
            </w:tcBorders>
            <w:shd w:val="clear" w:color="auto" w:fill="auto"/>
            <w:noWrap/>
            <w:vAlign w:val="center"/>
          </w:tcPr>
          <w:p w14:paraId="02543CD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3546CA1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30.2</w:t>
            </w:r>
          </w:p>
        </w:tc>
        <w:tc>
          <w:tcPr>
            <w:tcW w:w="417" w:type="pct"/>
            <w:tcBorders>
              <w:tl2br w:val="nil"/>
              <w:tr2bl w:val="nil"/>
            </w:tcBorders>
            <w:shd w:val="clear" w:color="auto" w:fill="auto"/>
            <w:noWrap/>
            <w:vAlign w:val="center"/>
          </w:tcPr>
          <w:p w14:paraId="5005BE3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59.92</w:t>
            </w:r>
          </w:p>
        </w:tc>
        <w:tc>
          <w:tcPr>
            <w:tcW w:w="254" w:type="pct"/>
            <w:vMerge w:val="continue"/>
            <w:tcBorders>
              <w:tl2br w:val="nil"/>
              <w:tr2bl w:val="nil"/>
            </w:tcBorders>
            <w:shd w:val="clear" w:color="auto" w:fill="auto"/>
            <w:noWrap/>
            <w:vAlign w:val="center"/>
          </w:tcPr>
          <w:p w14:paraId="55589AD9">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61BF0DA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45061F6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40.92</w:t>
            </w:r>
          </w:p>
        </w:tc>
        <w:tc>
          <w:tcPr>
            <w:tcW w:w="308" w:type="pct"/>
            <w:tcBorders>
              <w:tl2br w:val="nil"/>
              <w:tr2bl w:val="nil"/>
            </w:tcBorders>
            <w:shd w:val="clear" w:color="auto" w:fill="auto"/>
            <w:noWrap/>
            <w:vAlign w:val="center"/>
          </w:tcPr>
          <w:p w14:paraId="39FB32C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312E3011">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679638C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29BAEF4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30C32A4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53F973F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1A39CFB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3EA4C51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38.2</w:t>
            </w:r>
          </w:p>
        </w:tc>
        <w:tc>
          <w:tcPr>
            <w:tcW w:w="296" w:type="pct"/>
            <w:tcBorders>
              <w:tl2br w:val="nil"/>
              <w:tr2bl w:val="nil"/>
            </w:tcBorders>
            <w:shd w:val="clear" w:color="auto" w:fill="auto"/>
            <w:noWrap/>
            <w:vAlign w:val="center"/>
          </w:tcPr>
          <w:p w14:paraId="6B27AD9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85.6</w:t>
            </w:r>
          </w:p>
        </w:tc>
        <w:tc>
          <w:tcPr>
            <w:tcW w:w="254" w:type="pct"/>
            <w:tcBorders>
              <w:tl2br w:val="nil"/>
              <w:tr2bl w:val="nil"/>
            </w:tcBorders>
            <w:shd w:val="clear" w:color="auto" w:fill="auto"/>
            <w:noWrap/>
            <w:vAlign w:val="center"/>
          </w:tcPr>
          <w:p w14:paraId="1495CA3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467B38D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44.2</w:t>
            </w:r>
          </w:p>
        </w:tc>
        <w:tc>
          <w:tcPr>
            <w:tcW w:w="417" w:type="pct"/>
            <w:tcBorders>
              <w:tl2br w:val="nil"/>
              <w:tr2bl w:val="nil"/>
            </w:tcBorders>
            <w:shd w:val="clear" w:color="auto" w:fill="auto"/>
            <w:noWrap/>
            <w:vAlign w:val="center"/>
          </w:tcPr>
          <w:p w14:paraId="64B063F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59.71</w:t>
            </w:r>
          </w:p>
        </w:tc>
        <w:tc>
          <w:tcPr>
            <w:tcW w:w="254" w:type="pct"/>
            <w:vMerge w:val="continue"/>
            <w:tcBorders>
              <w:tl2br w:val="nil"/>
              <w:tr2bl w:val="nil"/>
            </w:tcBorders>
            <w:shd w:val="clear" w:color="auto" w:fill="auto"/>
            <w:noWrap/>
            <w:vAlign w:val="center"/>
          </w:tcPr>
          <w:p w14:paraId="534A411E">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6DB9479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70C8C92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40.71</w:t>
            </w:r>
          </w:p>
        </w:tc>
        <w:tc>
          <w:tcPr>
            <w:tcW w:w="308" w:type="pct"/>
            <w:tcBorders>
              <w:tl2br w:val="nil"/>
              <w:tr2bl w:val="nil"/>
            </w:tcBorders>
            <w:shd w:val="clear" w:color="auto" w:fill="auto"/>
            <w:noWrap/>
            <w:vAlign w:val="center"/>
          </w:tcPr>
          <w:p w14:paraId="200161F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590B25E9">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3479F8F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47B42BD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17881FC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5276867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6A42CE3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7934B0A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38.2</w:t>
            </w:r>
          </w:p>
        </w:tc>
        <w:tc>
          <w:tcPr>
            <w:tcW w:w="296" w:type="pct"/>
            <w:tcBorders>
              <w:tl2br w:val="nil"/>
              <w:tr2bl w:val="nil"/>
            </w:tcBorders>
            <w:shd w:val="clear" w:color="auto" w:fill="auto"/>
            <w:noWrap/>
            <w:vAlign w:val="center"/>
          </w:tcPr>
          <w:p w14:paraId="306C432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85.6</w:t>
            </w:r>
          </w:p>
        </w:tc>
        <w:tc>
          <w:tcPr>
            <w:tcW w:w="254" w:type="pct"/>
            <w:tcBorders>
              <w:tl2br w:val="nil"/>
              <w:tr2bl w:val="nil"/>
            </w:tcBorders>
            <w:shd w:val="clear" w:color="auto" w:fill="auto"/>
            <w:noWrap/>
            <w:vAlign w:val="center"/>
          </w:tcPr>
          <w:p w14:paraId="45DEE00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660536C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22.3</w:t>
            </w:r>
          </w:p>
        </w:tc>
        <w:tc>
          <w:tcPr>
            <w:tcW w:w="417" w:type="pct"/>
            <w:tcBorders>
              <w:tl2br w:val="nil"/>
              <w:tr2bl w:val="nil"/>
            </w:tcBorders>
            <w:shd w:val="clear" w:color="auto" w:fill="auto"/>
            <w:noWrap/>
            <w:vAlign w:val="center"/>
          </w:tcPr>
          <w:p w14:paraId="55055D0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60.23</w:t>
            </w:r>
          </w:p>
        </w:tc>
        <w:tc>
          <w:tcPr>
            <w:tcW w:w="254" w:type="pct"/>
            <w:vMerge w:val="continue"/>
            <w:tcBorders>
              <w:tl2br w:val="nil"/>
              <w:tr2bl w:val="nil"/>
            </w:tcBorders>
            <w:shd w:val="clear" w:color="auto" w:fill="auto"/>
            <w:noWrap/>
            <w:vAlign w:val="center"/>
          </w:tcPr>
          <w:p w14:paraId="0139419C">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4803090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5AE9D00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41.23</w:t>
            </w:r>
          </w:p>
        </w:tc>
        <w:tc>
          <w:tcPr>
            <w:tcW w:w="308" w:type="pct"/>
            <w:tcBorders>
              <w:tl2br w:val="nil"/>
              <w:tr2bl w:val="nil"/>
            </w:tcBorders>
            <w:shd w:val="clear" w:color="auto" w:fill="auto"/>
            <w:noWrap/>
            <w:vAlign w:val="center"/>
          </w:tcPr>
          <w:p w14:paraId="5E5D193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4DF19567">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71BEC7F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45A0EB7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70C0CEA9">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2C7837A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2000643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6454CFB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38.2</w:t>
            </w:r>
          </w:p>
        </w:tc>
        <w:tc>
          <w:tcPr>
            <w:tcW w:w="296" w:type="pct"/>
            <w:tcBorders>
              <w:tl2br w:val="nil"/>
              <w:tr2bl w:val="nil"/>
            </w:tcBorders>
            <w:shd w:val="clear" w:color="auto" w:fill="auto"/>
            <w:noWrap/>
            <w:vAlign w:val="center"/>
          </w:tcPr>
          <w:p w14:paraId="37AFB80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85.6</w:t>
            </w:r>
          </w:p>
        </w:tc>
        <w:tc>
          <w:tcPr>
            <w:tcW w:w="254" w:type="pct"/>
            <w:tcBorders>
              <w:tl2br w:val="nil"/>
              <w:tr2bl w:val="nil"/>
            </w:tcBorders>
            <w:shd w:val="clear" w:color="auto" w:fill="auto"/>
            <w:noWrap/>
            <w:vAlign w:val="center"/>
          </w:tcPr>
          <w:p w14:paraId="796FDC2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71CCC23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4.8</w:t>
            </w:r>
          </w:p>
        </w:tc>
        <w:tc>
          <w:tcPr>
            <w:tcW w:w="417" w:type="pct"/>
            <w:tcBorders>
              <w:tl2br w:val="nil"/>
              <w:tr2bl w:val="nil"/>
            </w:tcBorders>
            <w:shd w:val="clear" w:color="auto" w:fill="auto"/>
            <w:noWrap/>
            <w:vAlign w:val="center"/>
          </w:tcPr>
          <w:p w14:paraId="682368E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66.38</w:t>
            </w:r>
          </w:p>
        </w:tc>
        <w:tc>
          <w:tcPr>
            <w:tcW w:w="254" w:type="pct"/>
            <w:vMerge w:val="continue"/>
            <w:tcBorders>
              <w:tl2br w:val="nil"/>
              <w:tr2bl w:val="nil"/>
            </w:tcBorders>
            <w:shd w:val="clear" w:color="auto" w:fill="auto"/>
            <w:noWrap/>
            <w:vAlign w:val="center"/>
          </w:tcPr>
          <w:p w14:paraId="42C83AE5">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52270BB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272B24B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47.38</w:t>
            </w:r>
          </w:p>
        </w:tc>
        <w:tc>
          <w:tcPr>
            <w:tcW w:w="308" w:type="pct"/>
            <w:tcBorders>
              <w:tl2br w:val="nil"/>
              <w:tr2bl w:val="nil"/>
            </w:tcBorders>
            <w:shd w:val="clear" w:color="auto" w:fill="auto"/>
            <w:noWrap/>
            <w:vAlign w:val="center"/>
          </w:tcPr>
          <w:p w14:paraId="456390B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5837B3E0">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1DA9BBA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5ADF22B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5E96761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空压机</w:t>
            </w:r>
          </w:p>
        </w:tc>
        <w:tc>
          <w:tcPr>
            <w:tcW w:w="387" w:type="pct"/>
            <w:vMerge w:val="restart"/>
            <w:tcBorders>
              <w:tl2br w:val="nil"/>
              <w:tr2bl w:val="nil"/>
            </w:tcBorders>
            <w:shd w:val="clear" w:color="auto" w:fill="auto"/>
            <w:noWrap/>
            <w:vAlign w:val="center"/>
          </w:tcPr>
          <w:p w14:paraId="2B36E18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90</w:t>
            </w:r>
          </w:p>
        </w:tc>
        <w:tc>
          <w:tcPr>
            <w:tcW w:w="575" w:type="pct"/>
            <w:vMerge w:val="restart"/>
            <w:tcBorders>
              <w:tl2br w:val="nil"/>
              <w:tr2bl w:val="nil"/>
            </w:tcBorders>
            <w:shd w:val="clear" w:color="auto" w:fill="auto"/>
            <w:noWrap/>
            <w:vAlign w:val="center"/>
          </w:tcPr>
          <w:p w14:paraId="3FEF2FF3">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进风口消声器</w:t>
            </w:r>
          </w:p>
          <w:p w14:paraId="58378AA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厂房隔声</w:t>
            </w:r>
          </w:p>
        </w:tc>
        <w:tc>
          <w:tcPr>
            <w:tcW w:w="284" w:type="pct"/>
            <w:tcBorders>
              <w:tl2br w:val="nil"/>
              <w:tr2bl w:val="nil"/>
            </w:tcBorders>
            <w:shd w:val="clear" w:color="auto" w:fill="auto"/>
            <w:noWrap/>
            <w:vAlign w:val="center"/>
          </w:tcPr>
          <w:p w14:paraId="20ED21A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30.5</w:t>
            </w:r>
          </w:p>
        </w:tc>
        <w:tc>
          <w:tcPr>
            <w:tcW w:w="296" w:type="pct"/>
            <w:tcBorders>
              <w:tl2br w:val="nil"/>
              <w:tr2bl w:val="nil"/>
            </w:tcBorders>
            <w:shd w:val="clear" w:color="auto" w:fill="auto"/>
            <w:noWrap/>
            <w:vAlign w:val="center"/>
          </w:tcPr>
          <w:p w14:paraId="5B264DF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85.6</w:t>
            </w:r>
          </w:p>
        </w:tc>
        <w:tc>
          <w:tcPr>
            <w:tcW w:w="254" w:type="pct"/>
            <w:tcBorders>
              <w:tl2br w:val="nil"/>
              <w:tr2bl w:val="nil"/>
            </w:tcBorders>
            <w:shd w:val="clear" w:color="auto" w:fill="auto"/>
            <w:noWrap/>
            <w:vAlign w:val="center"/>
          </w:tcPr>
          <w:p w14:paraId="1B4F208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0677A42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37.9</w:t>
            </w:r>
          </w:p>
        </w:tc>
        <w:tc>
          <w:tcPr>
            <w:tcW w:w="417" w:type="pct"/>
            <w:tcBorders>
              <w:tl2br w:val="nil"/>
              <w:tr2bl w:val="nil"/>
            </w:tcBorders>
            <w:shd w:val="clear" w:color="auto" w:fill="auto"/>
            <w:noWrap/>
            <w:vAlign w:val="center"/>
          </w:tcPr>
          <w:p w14:paraId="4447D7D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59.78</w:t>
            </w:r>
          </w:p>
        </w:tc>
        <w:tc>
          <w:tcPr>
            <w:tcW w:w="254" w:type="pct"/>
            <w:vMerge w:val="continue"/>
            <w:tcBorders>
              <w:tl2br w:val="nil"/>
              <w:tr2bl w:val="nil"/>
            </w:tcBorders>
            <w:shd w:val="clear" w:color="auto" w:fill="auto"/>
            <w:noWrap/>
            <w:vAlign w:val="center"/>
          </w:tcPr>
          <w:p w14:paraId="4F823F1A">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434AC3C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38AF876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40.78</w:t>
            </w:r>
          </w:p>
        </w:tc>
        <w:tc>
          <w:tcPr>
            <w:tcW w:w="308" w:type="pct"/>
            <w:tcBorders>
              <w:tl2br w:val="nil"/>
              <w:tr2bl w:val="nil"/>
            </w:tcBorders>
            <w:shd w:val="clear" w:color="auto" w:fill="auto"/>
            <w:noWrap/>
            <w:vAlign w:val="center"/>
          </w:tcPr>
          <w:p w14:paraId="2B87A73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10912125">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10ACD5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3531393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410F33D5">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696482A5">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26F2D04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7348AB0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30.5</w:t>
            </w:r>
          </w:p>
        </w:tc>
        <w:tc>
          <w:tcPr>
            <w:tcW w:w="296" w:type="pct"/>
            <w:tcBorders>
              <w:tl2br w:val="nil"/>
              <w:tr2bl w:val="nil"/>
            </w:tcBorders>
            <w:shd w:val="clear" w:color="auto" w:fill="auto"/>
            <w:noWrap/>
            <w:vAlign w:val="center"/>
          </w:tcPr>
          <w:p w14:paraId="13475A8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85.6</w:t>
            </w:r>
          </w:p>
        </w:tc>
        <w:tc>
          <w:tcPr>
            <w:tcW w:w="254" w:type="pct"/>
            <w:tcBorders>
              <w:tl2br w:val="nil"/>
              <w:tr2bl w:val="nil"/>
            </w:tcBorders>
            <w:shd w:val="clear" w:color="auto" w:fill="auto"/>
            <w:noWrap/>
            <w:vAlign w:val="center"/>
          </w:tcPr>
          <w:p w14:paraId="4B6C042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1CD295F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44.2</w:t>
            </w:r>
          </w:p>
        </w:tc>
        <w:tc>
          <w:tcPr>
            <w:tcW w:w="417" w:type="pct"/>
            <w:tcBorders>
              <w:tl2br w:val="nil"/>
              <w:tr2bl w:val="nil"/>
            </w:tcBorders>
            <w:shd w:val="clear" w:color="auto" w:fill="auto"/>
            <w:noWrap/>
            <w:vAlign w:val="center"/>
          </w:tcPr>
          <w:p w14:paraId="047E687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59.71</w:t>
            </w:r>
          </w:p>
        </w:tc>
        <w:tc>
          <w:tcPr>
            <w:tcW w:w="254" w:type="pct"/>
            <w:vMerge w:val="continue"/>
            <w:tcBorders>
              <w:tl2br w:val="nil"/>
              <w:tr2bl w:val="nil"/>
            </w:tcBorders>
            <w:shd w:val="clear" w:color="auto" w:fill="auto"/>
            <w:noWrap/>
            <w:vAlign w:val="center"/>
          </w:tcPr>
          <w:p w14:paraId="2B4096E5">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5679A18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35DB7FB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40.71</w:t>
            </w:r>
          </w:p>
        </w:tc>
        <w:tc>
          <w:tcPr>
            <w:tcW w:w="308" w:type="pct"/>
            <w:tcBorders>
              <w:tl2br w:val="nil"/>
              <w:tr2bl w:val="nil"/>
            </w:tcBorders>
            <w:shd w:val="clear" w:color="auto" w:fill="auto"/>
            <w:noWrap/>
            <w:vAlign w:val="center"/>
          </w:tcPr>
          <w:p w14:paraId="7731337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71F84C9B">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530246D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189F4D0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2319B11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6E37C82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407B4DA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2CB5372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30.5</w:t>
            </w:r>
          </w:p>
        </w:tc>
        <w:tc>
          <w:tcPr>
            <w:tcW w:w="296" w:type="pct"/>
            <w:tcBorders>
              <w:tl2br w:val="nil"/>
              <w:tr2bl w:val="nil"/>
            </w:tcBorders>
            <w:shd w:val="clear" w:color="auto" w:fill="auto"/>
            <w:noWrap/>
            <w:vAlign w:val="center"/>
          </w:tcPr>
          <w:p w14:paraId="06A6191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85.6</w:t>
            </w:r>
          </w:p>
        </w:tc>
        <w:tc>
          <w:tcPr>
            <w:tcW w:w="254" w:type="pct"/>
            <w:tcBorders>
              <w:tl2br w:val="nil"/>
              <w:tr2bl w:val="nil"/>
            </w:tcBorders>
            <w:shd w:val="clear" w:color="auto" w:fill="auto"/>
            <w:noWrap/>
            <w:vAlign w:val="center"/>
          </w:tcPr>
          <w:p w14:paraId="25F874D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76C3EAD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14.6</w:t>
            </w:r>
          </w:p>
        </w:tc>
        <w:tc>
          <w:tcPr>
            <w:tcW w:w="417" w:type="pct"/>
            <w:tcBorders>
              <w:tl2br w:val="nil"/>
              <w:tr2bl w:val="nil"/>
            </w:tcBorders>
            <w:shd w:val="clear" w:color="auto" w:fill="auto"/>
            <w:noWrap/>
            <w:vAlign w:val="center"/>
          </w:tcPr>
          <w:p w14:paraId="3F4D9A7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61.03</w:t>
            </w:r>
          </w:p>
        </w:tc>
        <w:tc>
          <w:tcPr>
            <w:tcW w:w="254" w:type="pct"/>
            <w:vMerge w:val="continue"/>
            <w:tcBorders>
              <w:tl2br w:val="nil"/>
              <w:tr2bl w:val="nil"/>
            </w:tcBorders>
            <w:shd w:val="clear" w:color="auto" w:fill="auto"/>
            <w:noWrap/>
            <w:vAlign w:val="center"/>
          </w:tcPr>
          <w:p w14:paraId="40AE856D">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24BCBBE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7156B0E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42.03</w:t>
            </w:r>
          </w:p>
        </w:tc>
        <w:tc>
          <w:tcPr>
            <w:tcW w:w="308" w:type="pct"/>
            <w:tcBorders>
              <w:tl2br w:val="nil"/>
              <w:tr2bl w:val="nil"/>
            </w:tcBorders>
            <w:shd w:val="clear" w:color="auto" w:fill="auto"/>
            <w:noWrap/>
            <w:vAlign w:val="center"/>
          </w:tcPr>
          <w:p w14:paraId="445AFA4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88D15F0">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26EB98B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57E4679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6515591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527B74E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21AF558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5CE5A59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30.5</w:t>
            </w:r>
          </w:p>
        </w:tc>
        <w:tc>
          <w:tcPr>
            <w:tcW w:w="296" w:type="pct"/>
            <w:tcBorders>
              <w:tl2br w:val="nil"/>
              <w:tr2bl w:val="nil"/>
            </w:tcBorders>
            <w:shd w:val="clear" w:color="auto" w:fill="auto"/>
            <w:noWrap/>
            <w:vAlign w:val="center"/>
          </w:tcPr>
          <w:p w14:paraId="31483A9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85.6</w:t>
            </w:r>
          </w:p>
        </w:tc>
        <w:tc>
          <w:tcPr>
            <w:tcW w:w="254" w:type="pct"/>
            <w:tcBorders>
              <w:tl2br w:val="nil"/>
              <w:tr2bl w:val="nil"/>
            </w:tcBorders>
            <w:shd w:val="clear" w:color="auto" w:fill="auto"/>
            <w:noWrap/>
            <w:vAlign w:val="center"/>
          </w:tcPr>
          <w:p w14:paraId="45A274B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4928640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4.8</w:t>
            </w:r>
          </w:p>
        </w:tc>
        <w:tc>
          <w:tcPr>
            <w:tcW w:w="417" w:type="pct"/>
            <w:tcBorders>
              <w:tl2br w:val="nil"/>
              <w:tr2bl w:val="nil"/>
            </w:tcBorders>
            <w:shd w:val="clear" w:color="auto" w:fill="auto"/>
            <w:noWrap/>
            <w:vAlign w:val="center"/>
          </w:tcPr>
          <w:p w14:paraId="5DAAB5A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66.38</w:t>
            </w:r>
          </w:p>
        </w:tc>
        <w:tc>
          <w:tcPr>
            <w:tcW w:w="254" w:type="pct"/>
            <w:vMerge w:val="continue"/>
            <w:tcBorders>
              <w:tl2br w:val="nil"/>
              <w:tr2bl w:val="nil"/>
            </w:tcBorders>
            <w:shd w:val="clear" w:color="auto" w:fill="auto"/>
            <w:noWrap/>
            <w:vAlign w:val="center"/>
          </w:tcPr>
          <w:p w14:paraId="67254949">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4912F08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124EC5B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47.38</w:t>
            </w:r>
          </w:p>
        </w:tc>
        <w:tc>
          <w:tcPr>
            <w:tcW w:w="308" w:type="pct"/>
            <w:tcBorders>
              <w:tl2br w:val="nil"/>
              <w:tr2bl w:val="nil"/>
            </w:tcBorders>
            <w:shd w:val="clear" w:color="auto" w:fill="auto"/>
            <w:noWrap/>
            <w:vAlign w:val="center"/>
          </w:tcPr>
          <w:p w14:paraId="21D843A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164F6C55">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12F45F3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restart"/>
            <w:tcBorders>
              <w:tl2br w:val="nil"/>
              <w:tr2bl w:val="nil"/>
            </w:tcBorders>
            <w:shd w:val="clear" w:color="auto" w:fill="auto"/>
            <w:noWrap/>
            <w:vAlign w:val="center"/>
          </w:tcPr>
          <w:p w14:paraId="25A8A0D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脱硫间</w:t>
            </w:r>
          </w:p>
        </w:tc>
        <w:tc>
          <w:tcPr>
            <w:tcW w:w="398" w:type="pct"/>
            <w:vMerge w:val="restart"/>
            <w:tcBorders>
              <w:tl2br w:val="nil"/>
              <w:tr2bl w:val="nil"/>
            </w:tcBorders>
            <w:shd w:val="clear" w:color="auto" w:fill="auto"/>
            <w:noWrap/>
            <w:vAlign w:val="center"/>
          </w:tcPr>
          <w:p w14:paraId="0BEC586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浆液循环泵</w:t>
            </w:r>
          </w:p>
        </w:tc>
        <w:tc>
          <w:tcPr>
            <w:tcW w:w="387" w:type="pct"/>
            <w:vMerge w:val="restart"/>
            <w:tcBorders>
              <w:tl2br w:val="nil"/>
              <w:tr2bl w:val="nil"/>
            </w:tcBorders>
            <w:shd w:val="clear" w:color="auto" w:fill="auto"/>
            <w:noWrap/>
            <w:vAlign w:val="center"/>
          </w:tcPr>
          <w:p w14:paraId="0067481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95</w:t>
            </w:r>
          </w:p>
        </w:tc>
        <w:tc>
          <w:tcPr>
            <w:tcW w:w="575" w:type="pct"/>
            <w:vMerge w:val="restart"/>
            <w:tcBorders>
              <w:tl2br w:val="nil"/>
              <w:tr2bl w:val="nil"/>
            </w:tcBorders>
            <w:shd w:val="clear" w:color="auto" w:fill="auto"/>
            <w:noWrap/>
            <w:vAlign w:val="center"/>
          </w:tcPr>
          <w:p w14:paraId="127DA9DA">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隔声罩壳</w:t>
            </w:r>
          </w:p>
          <w:p w14:paraId="4C51CC1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厂房隔声</w:t>
            </w:r>
          </w:p>
        </w:tc>
        <w:tc>
          <w:tcPr>
            <w:tcW w:w="284" w:type="pct"/>
            <w:tcBorders>
              <w:tl2br w:val="nil"/>
              <w:tr2bl w:val="nil"/>
            </w:tcBorders>
            <w:shd w:val="clear" w:color="auto" w:fill="auto"/>
            <w:noWrap/>
            <w:vAlign w:val="center"/>
          </w:tcPr>
          <w:p w14:paraId="205BCB0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80.5</w:t>
            </w:r>
          </w:p>
        </w:tc>
        <w:tc>
          <w:tcPr>
            <w:tcW w:w="296" w:type="pct"/>
            <w:tcBorders>
              <w:tl2br w:val="nil"/>
              <w:tr2bl w:val="nil"/>
            </w:tcBorders>
            <w:shd w:val="clear" w:color="auto" w:fill="auto"/>
            <w:noWrap/>
            <w:vAlign w:val="center"/>
          </w:tcPr>
          <w:p w14:paraId="41A8F44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84.3</w:t>
            </w:r>
          </w:p>
        </w:tc>
        <w:tc>
          <w:tcPr>
            <w:tcW w:w="254" w:type="pct"/>
            <w:tcBorders>
              <w:tl2br w:val="nil"/>
              <w:tr2bl w:val="nil"/>
            </w:tcBorders>
            <w:shd w:val="clear" w:color="auto" w:fill="auto"/>
            <w:noWrap/>
            <w:vAlign w:val="center"/>
          </w:tcPr>
          <w:p w14:paraId="4569A1A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67C639F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5.1</w:t>
            </w:r>
          </w:p>
        </w:tc>
        <w:tc>
          <w:tcPr>
            <w:tcW w:w="417" w:type="pct"/>
            <w:tcBorders>
              <w:tl2br w:val="nil"/>
              <w:tr2bl w:val="nil"/>
            </w:tcBorders>
            <w:shd w:val="clear" w:color="auto" w:fill="auto"/>
            <w:noWrap/>
            <w:vAlign w:val="center"/>
          </w:tcPr>
          <w:p w14:paraId="05F89F2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77.33</w:t>
            </w:r>
          </w:p>
        </w:tc>
        <w:tc>
          <w:tcPr>
            <w:tcW w:w="254" w:type="pct"/>
            <w:vMerge w:val="restart"/>
            <w:tcBorders>
              <w:tl2br w:val="nil"/>
              <w:tr2bl w:val="nil"/>
            </w:tcBorders>
            <w:shd w:val="clear" w:color="auto" w:fill="auto"/>
            <w:noWrap/>
            <w:vAlign w:val="center"/>
          </w:tcPr>
          <w:p w14:paraId="7FB64BFF">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连续</w:t>
            </w:r>
          </w:p>
        </w:tc>
        <w:tc>
          <w:tcPr>
            <w:tcW w:w="447" w:type="pct"/>
            <w:tcBorders>
              <w:tl2br w:val="nil"/>
              <w:tr2bl w:val="nil"/>
            </w:tcBorders>
            <w:shd w:val="clear" w:color="auto" w:fill="auto"/>
            <w:noWrap/>
            <w:vAlign w:val="center"/>
          </w:tcPr>
          <w:p w14:paraId="6634E13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7A1F5DC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48.33</w:t>
            </w:r>
          </w:p>
        </w:tc>
        <w:tc>
          <w:tcPr>
            <w:tcW w:w="308" w:type="pct"/>
            <w:tcBorders>
              <w:tl2br w:val="nil"/>
              <w:tr2bl w:val="nil"/>
            </w:tcBorders>
            <w:shd w:val="clear" w:color="auto" w:fill="auto"/>
            <w:noWrap/>
            <w:vAlign w:val="center"/>
          </w:tcPr>
          <w:p w14:paraId="2DD5ACF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681B8D4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1101357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1D27616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1F6BDB6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5C0F06C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66FEF95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043E545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80.5</w:t>
            </w:r>
          </w:p>
        </w:tc>
        <w:tc>
          <w:tcPr>
            <w:tcW w:w="296" w:type="pct"/>
            <w:tcBorders>
              <w:tl2br w:val="nil"/>
              <w:tr2bl w:val="nil"/>
            </w:tcBorders>
            <w:shd w:val="clear" w:color="auto" w:fill="auto"/>
            <w:noWrap/>
            <w:vAlign w:val="center"/>
          </w:tcPr>
          <w:p w14:paraId="550ACC8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84.3</w:t>
            </w:r>
          </w:p>
        </w:tc>
        <w:tc>
          <w:tcPr>
            <w:tcW w:w="254" w:type="pct"/>
            <w:tcBorders>
              <w:tl2br w:val="nil"/>
              <w:tr2bl w:val="nil"/>
            </w:tcBorders>
            <w:shd w:val="clear" w:color="auto" w:fill="auto"/>
            <w:noWrap/>
            <w:vAlign w:val="center"/>
          </w:tcPr>
          <w:p w14:paraId="36A9855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5F206CB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4.35</w:t>
            </w:r>
          </w:p>
        </w:tc>
        <w:tc>
          <w:tcPr>
            <w:tcW w:w="417" w:type="pct"/>
            <w:tcBorders>
              <w:tl2br w:val="nil"/>
              <w:tr2bl w:val="nil"/>
            </w:tcBorders>
            <w:shd w:val="clear" w:color="auto" w:fill="auto"/>
            <w:noWrap/>
            <w:vAlign w:val="center"/>
          </w:tcPr>
          <w:p w14:paraId="0C010DE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77.61</w:t>
            </w:r>
          </w:p>
        </w:tc>
        <w:tc>
          <w:tcPr>
            <w:tcW w:w="254" w:type="pct"/>
            <w:vMerge w:val="continue"/>
            <w:tcBorders>
              <w:tl2br w:val="nil"/>
              <w:tr2bl w:val="nil"/>
            </w:tcBorders>
            <w:shd w:val="clear" w:color="auto" w:fill="auto"/>
            <w:noWrap/>
            <w:vAlign w:val="center"/>
          </w:tcPr>
          <w:p w14:paraId="2D06885D">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1F8F028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0DD4C2F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48.61</w:t>
            </w:r>
          </w:p>
        </w:tc>
        <w:tc>
          <w:tcPr>
            <w:tcW w:w="308" w:type="pct"/>
            <w:tcBorders>
              <w:tl2br w:val="nil"/>
              <w:tr2bl w:val="nil"/>
            </w:tcBorders>
            <w:shd w:val="clear" w:color="auto" w:fill="auto"/>
            <w:noWrap/>
            <w:vAlign w:val="center"/>
          </w:tcPr>
          <w:p w14:paraId="497BDB3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62CB850">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351A8E4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4C3383B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6550C0F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2766A5A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716A6AAD">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3B0BE91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80.5</w:t>
            </w:r>
          </w:p>
        </w:tc>
        <w:tc>
          <w:tcPr>
            <w:tcW w:w="296" w:type="pct"/>
            <w:tcBorders>
              <w:tl2br w:val="nil"/>
              <w:tr2bl w:val="nil"/>
            </w:tcBorders>
            <w:shd w:val="clear" w:color="auto" w:fill="auto"/>
            <w:noWrap/>
            <w:vAlign w:val="center"/>
          </w:tcPr>
          <w:p w14:paraId="49974E9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84.3</w:t>
            </w:r>
          </w:p>
        </w:tc>
        <w:tc>
          <w:tcPr>
            <w:tcW w:w="254" w:type="pct"/>
            <w:tcBorders>
              <w:tl2br w:val="nil"/>
              <w:tr2bl w:val="nil"/>
            </w:tcBorders>
            <w:shd w:val="clear" w:color="auto" w:fill="auto"/>
            <w:noWrap/>
            <w:vAlign w:val="center"/>
          </w:tcPr>
          <w:p w14:paraId="51DDB08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26EB01F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8.92</w:t>
            </w:r>
          </w:p>
        </w:tc>
        <w:tc>
          <w:tcPr>
            <w:tcW w:w="417" w:type="pct"/>
            <w:tcBorders>
              <w:tl2br w:val="nil"/>
              <w:tr2bl w:val="nil"/>
            </w:tcBorders>
            <w:shd w:val="clear" w:color="auto" w:fill="auto"/>
            <w:noWrap/>
            <w:vAlign w:val="center"/>
          </w:tcPr>
          <w:p w14:paraId="08EFDAF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76.78</w:t>
            </w:r>
          </w:p>
        </w:tc>
        <w:tc>
          <w:tcPr>
            <w:tcW w:w="254" w:type="pct"/>
            <w:vMerge w:val="continue"/>
            <w:tcBorders>
              <w:tl2br w:val="nil"/>
              <w:tr2bl w:val="nil"/>
            </w:tcBorders>
            <w:shd w:val="clear" w:color="auto" w:fill="auto"/>
            <w:noWrap/>
            <w:vAlign w:val="center"/>
          </w:tcPr>
          <w:p w14:paraId="6B1B3229">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1AABBA7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6B14A3B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47.78</w:t>
            </w:r>
          </w:p>
        </w:tc>
        <w:tc>
          <w:tcPr>
            <w:tcW w:w="308" w:type="pct"/>
            <w:tcBorders>
              <w:tl2br w:val="nil"/>
              <w:tr2bl w:val="nil"/>
            </w:tcBorders>
            <w:shd w:val="clear" w:color="auto" w:fill="auto"/>
            <w:noWrap/>
            <w:vAlign w:val="center"/>
          </w:tcPr>
          <w:p w14:paraId="24884B4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4107536">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2CEE6DE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78C76D1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0A5D0AC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0F5CBCE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2F12F45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21F4A63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80.5</w:t>
            </w:r>
          </w:p>
        </w:tc>
        <w:tc>
          <w:tcPr>
            <w:tcW w:w="296" w:type="pct"/>
            <w:tcBorders>
              <w:tl2br w:val="nil"/>
              <w:tr2bl w:val="nil"/>
            </w:tcBorders>
            <w:shd w:val="clear" w:color="auto" w:fill="auto"/>
            <w:noWrap/>
            <w:vAlign w:val="center"/>
          </w:tcPr>
          <w:p w14:paraId="6F71F55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84.3</w:t>
            </w:r>
          </w:p>
        </w:tc>
        <w:tc>
          <w:tcPr>
            <w:tcW w:w="254" w:type="pct"/>
            <w:tcBorders>
              <w:tl2br w:val="nil"/>
              <w:tr2bl w:val="nil"/>
            </w:tcBorders>
            <w:shd w:val="clear" w:color="auto" w:fill="auto"/>
            <w:noWrap/>
            <w:vAlign w:val="center"/>
          </w:tcPr>
          <w:p w14:paraId="68B44CA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3E931D2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3.66</w:t>
            </w:r>
          </w:p>
        </w:tc>
        <w:tc>
          <w:tcPr>
            <w:tcW w:w="417" w:type="pct"/>
            <w:tcBorders>
              <w:tl2br w:val="nil"/>
              <w:tr2bl w:val="nil"/>
            </w:tcBorders>
            <w:shd w:val="clear" w:color="auto" w:fill="auto"/>
            <w:noWrap/>
            <w:vAlign w:val="center"/>
          </w:tcPr>
          <w:p w14:paraId="022F70D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78.01</w:t>
            </w:r>
          </w:p>
        </w:tc>
        <w:tc>
          <w:tcPr>
            <w:tcW w:w="254" w:type="pct"/>
            <w:vMerge w:val="continue"/>
            <w:tcBorders>
              <w:tl2br w:val="nil"/>
              <w:tr2bl w:val="nil"/>
            </w:tcBorders>
            <w:shd w:val="clear" w:color="auto" w:fill="auto"/>
            <w:noWrap/>
            <w:vAlign w:val="center"/>
          </w:tcPr>
          <w:p w14:paraId="670838D9">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3A2DD28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237A9E9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49.01</w:t>
            </w:r>
          </w:p>
        </w:tc>
        <w:tc>
          <w:tcPr>
            <w:tcW w:w="308" w:type="pct"/>
            <w:tcBorders>
              <w:tl2br w:val="nil"/>
              <w:tr2bl w:val="nil"/>
            </w:tcBorders>
            <w:shd w:val="clear" w:color="auto" w:fill="auto"/>
            <w:noWrap/>
            <w:vAlign w:val="center"/>
          </w:tcPr>
          <w:p w14:paraId="44C73D4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086215E0">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6A6989D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restart"/>
            <w:tcBorders>
              <w:tl2br w:val="nil"/>
              <w:tr2bl w:val="nil"/>
            </w:tcBorders>
            <w:shd w:val="clear" w:color="auto" w:fill="auto"/>
            <w:noWrap/>
            <w:vAlign w:val="center"/>
          </w:tcPr>
          <w:p w14:paraId="1A043C8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碎煤机室</w:t>
            </w:r>
          </w:p>
        </w:tc>
        <w:tc>
          <w:tcPr>
            <w:tcW w:w="398" w:type="pct"/>
            <w:vMerge w:val="restart"/>
            <w:tcBorders>
              <w:tl2br w:val="nil"/>
              <w:tr2bl w:val="nil"/>
            </w:tcBorders>
            <w:shd w:val="clear" w:color="auto" w:fill="auto"/>
            <w:noWrap/>
            <w:vAlign w:val="center"/>
          </w:tcPr>
          <w:p w14:paraId="3C85AEA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环锤式破碎机</w:t>
            </w:r>
          </w:p>
        </w:tc>
        <w:tc>
          <w:tcPr>
            <w:tcW w:w="387" w:type="pct"/>
            <w:vMerge w:val="restart"/>
            <w:tcBorders>
              <w:tl2br w:val="nil"/>
              <w:tr2bl w:val="nil"/>
            </w:tcBorders>
            <w:shd w:val="clear" w:color="auto" w:fill="auto"/>
            <w:noWrap/>
            <w:vAlign w:val="center"/>
          </w:tcPr>
          <w:p w14:paraId="715CEA1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70</w:t>
            </w:r>
          </w:p>
        </w:tc>
        <w:tc>
          <w:tcPr>
            <w:tcW w:w="575" w:type="pct"/>
            <w:vMerge w:val="restart"/>
            <w:tcBorders>
              <w:tl2br w:val="nil"/>
              <w:tr2bl w:val="nil"/>
            </w:tcBorders>
            <w:shd w:val="clear" w:color="auto" w:fill="auto"/>
            <w:noWrap/>
            <w:vAlign w:val="center"/>
          </w:tcPr>
          <w:p w14:paraId="7464FD3D">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基础减振</w:t>
            </w:r>
          </w:p>
          <w:p w14:paraId="34C93CD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厂房隔声</w:t>
            </w:r>
          </w:p>
        </w:tc>
        <w:tc>
          <w:tcPr>
            <w:tcW w:w="284" w:type="pct"/>
            <w:tcBorders>
              <w:tl2br w:val="nil"/>
              <w:tr2bl w:val="nil"/>
            </w:tcBorders>
            <w:shd w:val="clear" w:color="auto" w:fill="auto"/>
            <w:noWrap/>
            <w:vAlign w:val="center"/>
          </w:tcPr>
          <w:p w14:paraId="51328DD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24.7</w:t>
            </w:r>
          </w:p>
        </w:tc>
        <w:tc>
          <w:tcPr>
            <w:tcW w:w="296" w:type="pct"/>
            <w:tcBorders>
              <w:tl2br w:val="nil"/>
              <w:tr2bl w:val="nil"/>
            </w:tcBorders>
            <w:shd w:val="clear" w:color="auto" w:fill="auto"/>
            <w:noWrap/>
            <w:vAlign w:val="center"/>
          </w:tcPr>
          <w:p w14:paraId="06FBFCD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30.5</w:t>
            </w:r>
          </w:p>
        </w:tc>
        <w:tc>
          <w:tcPr>
            <w:tcW w:w="254" w:type="pct"/>
            <w:tcBorders>
              <w:tl2br w:val="nil"/>
              <w:tr2bl w:val="nil"/>
            </w:tcBorders>
            <w:shd w:val="clear" w:color="auto" w:fill="auto"/>
            <w:noWrap/>
            <w:vAlign w:val="center"/>
          </w:tcPr>
          <w:p w14:paraId="745906D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79AD99B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44.7</w:t>
            </w:r>
          </w:p>
        </w:tc>
        <w:tc>
          <w:tcPr>
            <w:tcW w:w="417" w:type="pct"/>
            <w:tcBorders>
              <w:tl2br w:val="nil"/>
              <w:tr2bl w:val="nil"/>
            </w:tcBorders>
            <w:shd w:val="clear" w:color="auto" w:fill="auto"/>
            <w:noWrap/>
            <w:vAlign w:val="center"/>
          </w:tcPr>
          <w:p w14:paraId="29F3AB2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44.95</w:t>
            </w:r>
          </w:p>
        </w:tc>
        <w:tc>
          <w:tcPr>
            <w:tcW w:w="254" w:type="pct"/>
            <w:vMerge w:val="restart"/>
            <w:tcBorders>
              <w:tl2br w:val="nil"/>
              <w:tr2bl w:val="nil"/>
            </w:tcBorders>
            <w:shd w:val="clear" w:color="auto" w:fill="auto"/>
            <w:noWrap/>
            <w:vAlign w:val="center"/>
          </w:tcPr>
          <w:p w14:paraId="56CD4701">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连续</w:t>
            </w:r>
          </w:p>
        </w:tc>
        <w:tc>
          <w:tcPr>
            <w:tcW w:w="447" w:type="pct"/>
            <w:tcBorders>
              <w:tl2br w:val="nil"/>
              <w:tr2bl w:val="nil"/>
            </w:tcBorders>
            <w:shd w:val="clear" w:color="auto" w:fill="auto"/>
            <w:noWrap/>
            <w:vAlign w:val="center"/>
          </w:tcPr>
          <w:p w14:paraId="2A2B6E0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06402D1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22.94</w:t>
            </w:r>
          </w:p>
        </w:tc>
        <w:tc>
          <w:tcPr>
            <w:tcW w:w="308" w:type="pct"/>
            <w:tcBorders>
              <w:tl2br w:val="nil"/>
              <w:tr2bl w:val="nil"/>
            </w:tcBorders>
            <w:shd w:val="clear" w:color="auto" w:fill="auto"/>
            <w:noWrap/>
            <w:vAlign w:val="center"/>
          </w:tcPr>
          <w:p w14:paraId="554B1E7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71EEFBC">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0C14202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120025A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553BCE5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1FBACAD5">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7F3E248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110C17B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24.7</w:t>
            </w:r>
          </w:p>
        </w:tc>
        <w:tc>
          <w:tcPr>
            <w:tcW w:w="296" w:type="pct"/>
            <w:tcBorders>
              <w:tl2br w:val="nil"/>
              <w:tr2bl w:val="nil"/>
            </w:tcBorders>
            <w:shd w:val="clear" w:color="auto" w:fill="auto"/>
            <w:noWrap/>
            <w:vAlign w:val="center"/>
          </w:tcPr>
          <w:p w14:paraId="1FD6811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30.5</w:t>
            </w:r>
          </w:p>
        </w:tc>
        <w:tc>
          <w:tcPr>
            <w:tcW w:w="254" w:type="pct"/>
            <w:tcBorders>
              <w:tl2br w:val="nil"/>
              <w:tr2bl w:val="nil"/>
            </w:tcBorders>
            <w:shd w:val="clear" w:color="auto" w:fill="auto"/>
            <w:noWrap/>
            <w:vAlign w:val="center"/>
          </w:tcPr>
          <w:p w14:paraId="23EFCC9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13AA48B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9.9</w:t>
            </w:r>
          </w:p>
        </w:tc>
        <w:tc>
          <w:tcPr>
            <w:tcW w:w="417" w:type="pct"/>
            <w:tcBorders>
              <w:tl2br w:val="nil"/>
              <w:tr2bl w:val="nil"/>
            </w:tcBorders>
            <w:shd w:val="clear" w:color="auto" w:fill="auto"/>
            <w:noWrap/>
            <w:vAlign w:val="center"/>
          </w:tcPr>
          <w:p w14:paraId="3D31B75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45.91</w:t>
            </w:r>
          </w:p>
        </w:tc>
        <w:tc>
          <w:tcPr>
            <w:tcW w:w="254" w:type="pct"/>
            <w:vMerge w:val="continue"/>
            <w:tcBorders>
              <w:tl2br w:val="nil"/>
              <w:tr2bl w:val="nil"/>
            </w:tcBorders>
            <w:shd w:val="clear" w:color="auto" w:fill="auto"/>
            <w:noWrap/>
            <w:vAlign w:val="center"/>
          </w:tcPr>
          <w:p w14:paraId="3470AD0E">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108D7C4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6557D2A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23.9</w:t>
            </w:r>
          </w:p>
        </w:tc>
        <w:tc>
          <w:tcPr>
            <w:tcW w:w="308" w:type="pct"/>
            <w:tcBorders>
              <w:tl2br w:val="nil"/>
              <w:tr2bl w:val="nil"/>
            </w:tcBorders>
            <w:shd w:val="clear" w:color="auto" w:fill="auto"/>
            <w:noWrap/>
            <w:vAlign w:val="center"/>
          </w:tcPr>
          <w:p w14:paraId="023980A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3656F8F3">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120F9FB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5EEC335D">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03D2BD8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716500E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15BE021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7024536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24.7</w:t>
            </w:r>
          </w:p>
        </w:tc>
        <w:tc>
          <w:tcPr>
            <w:tcW w:w="296" w:type="pct"/>
            <w:tcBorders>
              <w:tl2br w:val="nil"/>
              <w:tr2bl w:val="nil"/>
            </w:tcBorders>
            <w:shd w:val="clear" w:color="auto" w:fill="auto"/>
            <w:noWrap/>
            <w:vAlign w:val="center"/>
          </w:tcPr>
          <w:p w14:paraId="5934496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30.5</w:t>
            </w:r>
          </w:p>
        </w:tc>
        <w:tc>
          <w:tcPr>
            <w:tcW w:w="254" w:type="pct"/>
            <w:tcBorders>
              <w:tl2br w:val="nil"/>
              <w:tr2bl w:val="nil"/>
            </w:tcBorders>
            <w:shd w:val="clear" w:color="auto" w:fill="auto"/>
            <w:noWrap/>
            <w:vAlign w:val="center"/>
          </w:tcPr>
          <w:p w14:paraId="49FD254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7B373E5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8.8</w:t>
            </w:r>
          </w:p>
        </w:tc>
        <w:tc>
          <w:tcPr>
            <w:tcW w:w="417" w:type="pct"/>
            <w:tcBorders>
              <w:tl2br w:val="nil"/>
              <w:tr2bl w:val="nil"/>
            </w:tcBorders>
            <w:shd w:val="clear" w:color="auto" w:fill="auto"/>
            <w:noWrap/>
            <w:vAlign w:val="center"/>
          </w:tcPr>
          <w:p w14:paraId="69B8E1C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46.14</w:t>
            </w:r>
          </w:p>
        </w:tc>
        <w:tc>
          <w:tcPr>
            <w:tcW w:w="254" w:type="pct"/>
            <w:vMerge w:val="continue"/>
            <w:tcBorders>
              <w:tl2br w:val="nil"/>
              <w:tr2bl w:val="nil"/>
            </w:tcBorders>
            <w:shd w:val="clear" w:color="auto" w:fill="auto"/>
            <w:noWrap/>
            <w:vAlign w:val="center"/>
          </w:tcPr>
          <w:p w14:paraId="55EAFA95">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515C929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0174C1D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24.13</w:t>
            </w:r>
          </w:p>
        </w:tc>
        <w:tc>
          <w:tcPr>
            <w:tcW w:w="308" w:type="pct"/>
            <w:tcBorders>
              <w:tl2br w:val="nil"/>
              <w:tr2bl w:val="nil"/>
            </w:tcBorders>
            <w:shd w:val="clear" w:color="auto" w:fill="auto"/>
            <w:noWrap/>
            <w:vAlign w:val="center"/>
          </w:tcPr>
          <w:p w14:paraId="7480B54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3F7F2366">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1E7219C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79A6580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6EECF1F9">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2D38D03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46923FA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43F2DCF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24.7</w:t>
            </w:r>
          </w:p>
        </w:tc>
        <w:tc>
          <w:tcPr>
            <w:tcW w:w="296" w:type="pct"/>
            <w:tcBorders>
              <w:tl2br w:val="nil"/>
              <w:tr2bl w:val="nil"/>
            </w:tcBorders>
            <w:shd w:val="clear" w:color="auto" w:fill="auto"/>
            <w:noWrap/>
            <w:vAlign w:val="center"/>
          </w:tcPr>
          <w:p w14:paraId="79236EA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30.5</w:t>
            </w:r>
          </w:p>
        </w:tc>
        <w:tc>
          <w:tcPr>
            <w:tcW w:w="254" w:type="pct"/>
            <w:tcBorders>
              <w:tl2br w:val="nil"/>
              <w:tr2bl w:val="nil"/>
            </w:tcBorders>
            <w:shd w:val="clear" w:color="auto" w:fill="auto"/>
            <w:noWrap/>
            <w:vAlign w:val="center"/>
          </w:tcPr>
          <w:p w14:paraId="610414C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3E5A74B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5.5</w:t>
            </w:r>
          </w:p>
        </w:tc>
        <w:tc>
          <w:tcPr>
            <w:tcW w:w="417" w:type="pct"/>
            <w:tcBorders>
              <w:tl2br w:val="nil"/>
              <w:tr2bl w:val="nil"/>
            </w:tcBorders>
            <w:shd w:val="clear" w:color="auto" w:fill="auto"/>
            <w:noWrap/>
            <w:vAlign w:val="center"/>
          </w:tcPr>
          <w:p w14:paraId="4739438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47.57</w:t>
            </w:r>
          </w:p>
        </w:tc>
        <w:tc>
          <w:tcPr>
            <w:tcW w:w="254" w:type="pct"/>
            <w:vMerge w:val="continue"/>
            <w:tcBorders>
              <w:tl2br w:val="nil"/>
              <w:tr2bl w:val="nil"/>
            </w:tcBorders>
            <w:shd w:val="clear" w:color="auto" w:fill="auto"/>
            <w:noWrap/>
            <w:vAlign w:val="center"/>
          </w:tcPr>
          <w:p w14:paraId="2185EFC4">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3A4BBD8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3AA482F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25.56</w:t>
            </w:r>
          </w:p>
        </w:tc>
        <w:tc>
          <w:tcPr>
            <w:tcW w:w="308" w:type="pct"/>
            <w:tcBorders>
              <w:tl2br w:val="nil"/>
              <w:tr2bl w:val="nil"/>
            </w:tcBorders>
            <w:shd w:val="clear" w:color="auto" w:fill="auto"/>
            <w:noWrap/>
            <w:vAlign w:val="center"/>
          </w:tcPr>
          <w:p w14:paraId="4C8CCBC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012B16A">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23FBDE8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23BB139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4226A93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碎煤机</w:t>
            </w:r>
          </w:p>
        </w:tc>
        <w:tc>
          <w:tcPr>
            <w:tcW w:w="387" w:type="pct"/>
            <w:vMerge w:val="restart"/>
            <w:tcBorders>
              <w:tl2br w:val="nil"/>
              <w:tr2bl w:val="nil"/>
            </w:tcBorders>
            <w:shd w:val="clear" w:color="auto" w:fill="auto"/>
            <w:noWrap/>
            <w:vAlign w:val="center"/>
          </w:tcPr>
          <w:p w14:paraId="18D50C2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100</w:t>
            </w:r>
          </w:p>
        </w:tc>
        <w:tc>
          <w:tcPr>
            <w:tcW w:w="575" w:type="pct"/>
            <w:vMerge w:val="restart"/>
            <w:tcBorders>
              <w:tl2br w:val="nil"/>
              <w:tr2bl w:val="nil"/>
            </w:tcBorders>
            <w:shd w:val="clear" w:color="auto" w:fill="auto"/>
            <w:noWrap/>
            <w:vAlign w:val="center"/>
          </w:tcPr>
          <w:p w14:paraId="56DAC54E">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基础减振</w:t>
            </w:r>
          </w:p>
          <w:p w14:paraId="75C7B36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厂房隔声</w:t>
            </w:r>
          </w:p>
        </w:tc>
        <w:tc>
          <w:tcPr>
            <w:tcW w:w="284" w:type="pct"/>
            <w:tcBorders>
              <w:tl2br w:val="nil"/>
              <w:tr2bl w:val="nil"/>
            </w:tcBorders>
            <w:shd w:val="clear" w:color="auto" w:fill="auto"/>
            <w:noWrap/>
            <w:vAlign w:val="center"/>
          </w:tcPr>
          <w:p w14:paraId="6657159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36.7</w:t>
            </w:r>
          </w:p>
        </w:tc>
        <w:tc>
          <w:tcPr>
            <w:tcW w:w="296" w:type="pct"/>
            <w:tcBorders>
              <w:tl2br w:val="nil"/>
              <w:tr2bl w:val="nil"/>
            </w:tcBorders>
            <w:shd w:val="clear" w:color="auto" w:fill="auto"/>
            <w:noWrap/>
            <w:vAlign w:val="center"/>
          </w:tcPr>
          <w:p w14:paraId="25FB9D8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30.2</w:t>
            </w:r>
          </w:p>
        </w:tc>
        <w:tc>
          <w:tcPr>
            <w:tcW w:w="254" w:type="pct"/>
            <w:tcBorders>
              <w:tl2br w:val="nil"/>
              <w:tr2bl w:val="nil"/>
            </w:tcBorders>
            <w:shd w:val="clear" w:color="auto" w:fill="auto"/>
            <w:noWrap/>
            <w:vAlign w:val="center"/>
          </w:tcPr>
          <w:p w14:paraId="7741493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40186FD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32.7</w:t>
            </w:r>
          </w:p>
        </w:tc>
        <w:tc>
          <w:tcPr>
            <w:tcW w:w="417" w:type="pct"/>
            <w:tcBorders>
              <w:tl2br w:val="nil"/>
              <w:tr2bl w:val="nil"/>
            </w:tcBorders>
            <w:shd w:val="clear" w:color="auto" w:fill="auto"/>
            <w:noWrap/>
            <w:vAlign w:val="center"/>
          </w:tcPr>
          <w:p w14:paraId="17AA31B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75</w:t>
            </w:r>
          </w:p>
        </w:tc>
        <w:tc>
          <w:tcPr>
            <w:tcW w:w="254" w:type="pct"/>
            <w:vMerge w:val="continue"/>
            <w:tcBorders>
              <w:tl2br w:val="nil"/>
              <w:tr2bl w:val="nil"/>
            </w:tcBorders>
            <w:shd w:val="clear" w:color="auto" w:fill="auto"/>
            <w:noWrap/>
            <w:vAlign w:val="center"/>
          </w:tcPr>
          <w:p w14:paraId="5DA6D71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160F5E3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728D72B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52.99</w:t>
            </w:r>
          </w:p>
        </w:tc>
        <w:tc>
          <w:tcPr>
            <w:tcW w:w="308" w:type="pct"/>
            <w:tcBorders>
              <w:tl2br w:val="nil"/>
              <w:tr2bl w:val="nil"/>
            </w:tcBorders>
            <w:shd w:val="clear" w:color="auto" w:fill="auto"/>
            <w:noWrap/>
            <w:vAlign w:val="center"/>
          </w:tcPr>
          <w:p w14:paraId="57F410B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4E554B19">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1C2FD80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0D38DD5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2FF7DC3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5638790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17E0D56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6CA251B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36.7</w:t>
            </w:r>
          </w:p>
        </w:tc>
        <w:tc>
          <w:tcPr>
            <w:tcW w:w="296" w:type="pct"/>
            <w:tcBorders>
              <w:tl2br w:val="nil"/>
              <w:tr2bl w:val="nil"/>
            </w:tcBorders>
            <w:shd w:val="clear" w:color="auto" w:fill="auto"/>
            <w:noWrap/>
            <w:vAlign w:val="center"/>
          </w:tcPr>
          <w:p w14:paraId="1FB8FF7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30.2</w:t>
            </w:r>
          </w:p>
        </w:tc>
        <w:tc>
          <w:tcPr>
            <w:tcW w:w="254" w:type="pct"/>
            <w:tcBorders>
              <w:tl2br w:val="nil"/>
              <w:tr2bl w:val="nil"/>
            </w:tcBorders>
            <w:shd w:val="clear" w:color="auto" w:fill="auto"/>
            <w:noWrap/>
            <w:vAlign w:val="center"/>
          </w:tcPr>
          <w:p w14:paraId="308A8C1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430197B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9.6</w:t>
            </w:r>
          </w:p>
        </w:tc>
        <w:tc>
          <w:tcPr>
            <w:tcW w:w="417" w:type="pct"/>
            <w:tcBorders>
              <w:tl2br w:val="nil"/>
              <w:tr2bl w:val="nil"/>
            </w:tcBorders>
            <w:shd w:val="clear" w:color="auto" w:fill="auto"/>
            <w:noWrap/>
            <w:vAlign w:val="center"/>
          </w:tcPr>
          <w:p w14:paraId="5DA351A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75.96</w:t>
            </w:r>
          </w:p>
        </w:tc>
        <w:tc>
          <w:tcPr>
            <w:tcW w:w="254" w:type="pct"/>
            <w:vMerge w:val="continue"/>
            <w:tcBorders>
              <w:tl2br w:val="nil"/>
              <w:tr2bl w:val="nil"/>
            </w:tcBorders>
            <w:shd w:val="clear" w:color="auto" w:fill="auto"/>
            <w:noWrap/>
            <w:vAlign w:val="center"/>
          </w:tcPr>
          <w:p w14:paraId="703780C6">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1281D44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6402663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53.95</w:t>
            </w:r>
          </w:p>
        </w:tc>
        <w:tc>
          <w:tcPr>
            <w:tcW w:w="308" w:type="pct"/>
            <w:tcBorders>
              <w:tl2br w:val="nil"/>
              <w:tr2bl w:val="nil"/>
            </w:tcBorders>
            <w:shd w:val="clear" w:color="auto" w:fill="auto"/>
            <w:noWrap/>
            <w:vAlign w:val="center"/>
          </w:tcPr>
          <w:p w14:paraId="4DD8CFE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5E2A37D3">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218C3C8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06259CD9">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279A057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69994BF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039FA9D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70E3943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36.7</w:t>
            </w:r>
          </w:p>
        </w:tc>
        <w:tc>
          <w:tcPr>
            <w:tcW w:w="296" w:type="pct"/>
            <w:tcBorders>
              <w:tl2br w:val="nil"/>
              <w:tr2bl w:val="nil"/>
            </w:tcBorders>
            <w:shd w:val="clear" w:color="auto" w:fill="auto"/>
            <w:noWrap/>
            <w:vAlign w:val="center"/>
          </w:tcPr>
          <w:p w14:paraId="3B1AD96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30.2</w:t>
            </w:r>
          </w:p>
        </w:tc>
        <w:tc>
          <w:tcPr>
            <w:tcW w:w="254" w:type="pct"/>
            <w:tcBorders>
              <w:tl2br w:val="nil"/>
              <w:tr2bl w:val="nil"/>
            </w:tcBorders>
            <w:shd w:val="clear" w:color="auto" w:fill="auto"/>
            <w:noWrap/>
            <w:vAlign w:val="center"/>
          </w:tcPr>
          <w:p w14:paraId="5664E4E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7309A51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20.8</w:t>
            </w:r>
          </w:p>
        </w:tc>
        <w:tc>
          <w:tcPr>
            <w:tcW w:w="417" w:type="pct"/>
            <w:tcBorders>
              <w:tl2br w:val="nil"/>
              <w:tr2bl w:val="nil"/>
            </w:tcBorders>
            <w:shd w:val="clear" w:color="auto" w:fill="auto"/>
            <w:noWrap/>
            <w:vAlign w:val="center"/>
          </w:tcPr>
          <w:p w14:paraId="69CCEFC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75.14</w:t>
            </w:r>
          </w:p>
        </w:tc>
        <w:tc>
          <w:tcPr>
            <w:tcW w:w="254" w:type="pct"/>
            <w:vMerge w:val="continue"/>
            <w:tcBorders>
              <w:tl2br w:val="nil"/>
              <w:tr2bl w:val="nil"/>
            </w:tcBorders>
            <w:shd w:val="clear" w:color="auto" w:fill="auto"/>
            <w:noWrap/>
            <w:vAlign w:val="center"/>
          </w:tcPr>
          <w:p w14:paraId="5875D073">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1BF6590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11DEF2E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53.13</w:t>
            </w:r>
          </w:p>
        </w:tc>
        <w:tc>
          <w:tcPr>
            <w:tcW w:w="308" w:type="pct"/>
            <w:tcBorders>
              <w:tl2br w:val="nil"/>
              <w:tr2bl w:val="nil"/>
            </w:tcBorders>
            <w:shd w:val="clear" w:color="auto" w:fill="auto"/>
            <w:noWrap/>
            <w:vAlign w:val="center"/>
          </w:tcPr>
          <w:p w14:paraId="36A18EA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7D19883F">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75EDA06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0AE0C8E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556241C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6C5C956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5C2749D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0A32287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36.7</w:t>
            </w:r>
          </w:p>
        </w:tc>
        <w:tc>
          <w:tcPr>
            <w:tcW w:w="296" w:type="pct"/>
            <w:tcBorders>
              <w:tl2br w:val="nil"/>
              <w:tr2bl w:val="nil"/>
            </w:tcBorders>
            <w:shd w:val="clear" w:color="auto" w:fill="auto"/>
            <w:noWrap/>
            <w:vAlign w:val="center"/>
          </w:tcPr>
          <w:p w14:paraId="4B02053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30.2</w:t>
            </w:r>
          </w:p>
        </w:tc>
        <w:tc>
          <w:tcPr>
            <w:tcW w:w="254" w:type="pct"/>
            <w:tcBorders>
              <w:tl2br w:val="nil"/>
              <w:tr2bl w:val="nil"/>
            </w:tcBorders>
            <w:shd w:val="clear" w:color="auto" w:fill="auto"/>
            <w:noWrap/>
            <w:vAlign w:val="center"/>
          </w:tcPr>
          <w:p w14:paraId="45919E1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51DE336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5.8</w:t>
            </w:r>
          </w:p>
        </w:tc>
        <w:tc>
          <w:tcPr>
            <w:tcW w:w="417" w:type="pct"/>
            <w:tcBorders>
              <w:tl2br w:val="nil"/>
              <w:tr2bl w:val="nil"/>
            </w:tcBorders>
            <w:shd w:val="clear" w:color="auto" w:fill="auto"/>
            <w:noWrap/>
            <w:vAlign w:val="center"/>
          </w:tcPr>
          <w:p w14:paraId="3214568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77.36</w:t>
            </w:r>
          </w:p>
        </w:tc>
        <w:tc>
          <w:tcPr>
            <w:tcW w:w="254" w:type="pct"/>
            <w:vMerge w:val="continue"/>
            <w:tcBorders>
              <w:tl2br w:val="nil"/>
              <w:tr2bl w:val="nil"/>
            </w:tcBorders>
            <w:shd w:val="clear" w:color="auto" w:fill="auto"/>
            <w:noWrap/>
            <w:vAlign w:val="center"/>
          </w:tcPr>
          <w:p w14:paraId="27738F9E">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4F8400C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57731BC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55.35</w:t>
            </w:r>
          </w:p>
        </w:tc>
        <w:tc>
          <w:tcPr>
            <w:tcW w:w="308" w:type="pct"/>
            <w:tcBorders>
              <w:tl2br w:val="nil"/>
              <w:tr2bl w:val="nil"/>
            </w:tcBorders>
            <w:shd w:val="clear" w:color="auto" w:fill="auto"/>
            <w:noWrap/>
            <w:vAlign w:val="center"/>
          </w:tcPr>
          <w:p w14:paraId="5BC9838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4A1EE4BC">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0FFB3DA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364B049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69CC436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筛分机</w:t>
            </w:r>
          </w:p>
        </w:tc>
        <w:tc>
          <w:tcPr>
            <w:tcW w:w="387" w:type="pct"/>
            <w:vMerge w:val="restart"/>
            <w:tcBorders>
              <w:tl2br w:val="nil"/>
              <w:tr2bl w:val="nil"/>
            </w:tcBorders>
            <w:shd w:val="clear" w:color="auto" w:fill="auto"/>
            <w:noWrap/>
            <w:vAlign w:val="center"/>
          </w:tcPr>
          <w:p w14:paraId="74D6917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90</w:t>
            </w:r>
          </w:p>
        </w:tc>
        <w:tc>
          <w:tcPr>
            <w:tcW w:w="575" w:type="pct"/>
            <w:vMerge w:val="restart"/>
            <w:tcBorders>
              <w:tl2br w:val="nil"/>
              <w:tr2bl w:val="nil"/>
            </w:tcBorders>
            <w:shd w:val="clear" w:color="auto" w:fill="auto"/>
            <w:noWrap/>
            <w:vAlign w:val="center"/>
          </w:tcPr>
          <w:p w14:paraId="70092E8F">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基础减振</w:t>
            </w:r>
          </w:p>
          <w:p w14:paraId="1BA09C7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厂房隔声</w:t>
            </w:r>
          </w:p>
        </w:tc>
        <w:tc>
          <w:tcPr>
            <w:tcW w:w="284" w:type="pct"/>
            <w:tcBorders>
              <w:tl2br w:val="nil"/>
              <w:tr2bl w:val="nil"/>
            </w:tcBorders>
            <w:shd w:val="clear" w:color="auto" w:fill="auto"/>
            <w:noWrap/>
            <w:vAlign w:val="center"/>
          </w:tcPr>
          <w:p w14:paraId="22B6658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50.7</w:t>
            </w:r>
          </w:p>
        </w:tc>
        <w:tc>
          <w:tcPr>
            <w:tcW w:w="296" w:type="pct"/>
            <w:tcBorders>
              <w:tl2br w:val="nil"/>
              <w:tr2bl w:val="nil"/>
            </w:tcBorders>
            <w:shd w:val="clear" w:color="auto" w:fill="auto"/>
            <w:noWrap/>
            <w:vAlign w:val="center"/>
          </w:tcPr>
          <w:p w14:paraId="0F9CC70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31.4</w:t>
            </w:r>
          </w:p>
        </w:tc>
        <w:tc>
          <w:tcPr>
            <w:tcW w:w="254" w:type="pct"/>
            <w:tcBorders>
              <w:tl2br w:val="nil"/>
              <w:tr2bl w:val="nil"/>
            </w:tcBorders>
            <w:shd w:val="clear" w:color="auto" w:fill="auto"/>
            <w:noWrap/>
            <w:vAlign w:val="center"/>
          </w:tcPr>
          <w:p w14:paraId="680F3AF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1381A75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18.7</w:t>
            </w:r>
          </w:p>
        </w:tc>
        <w:tc>
          <w:tcPr>
            <w:tcW w:w="417" w:type="pct"/>
            <w:tcBorders>
              <w:tl2br w:val="nil"/>
              <w:tr2bl w:val="nil"/>
            </w:tcBorders>
            <w:shd w:val="clear" w:color="auto" w:fill="auto"/>
            <w:noWrap/>
            <w:vAlign w:val="center"/>
          </w:tcPr>
          <w:p w14:paraId="78A5F3D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65.2</w:t>
            </w:r>
          </w:p>
        </w:tc>
        <w:tc>
          <w:tcPr>
            <w:tcW w:w="254" w:type="pct"/>
            <w:vMerge w:val="continue"/>
            <w:tcBorders>
              <w:tl2br w:val="nil"/>
              <w:tr2bl w:val="nil"/>
            </w:tcBorders>
            <w:shd w:val="clear" w:color="auto" w:fill="auto"/>
            <w:noWrap/>
            <w:vAlign w:val="center"/>
          </w:tcPr>
          <w:p w14:paraId="5F71313A">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56FE77C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169131B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43.19</w:t>
            </w:r>
          </w:p>
        </w:tc>
        <w:tc>
          <w:tcPr>
            <w:tcW w:w="308" w:type="pct"/>
            <w:tcBorders>
              <w:tl2br w:val="nil"/>
              <w:tr2bl w:val="nil"/>
            </w:tcBorders>
            <w:shd w:val="clear" w:color="auto" w:fill="auto"/>
            <w:noWrap/>
            <w:vAlign w:val="center"/>
          </w:tcPr>
          <w:p w14:paraId="6EE54CA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0C30F7E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7095D3F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469F9ABD">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5AA2090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471DD919">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475415B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46159B6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50.7</w:t>
            </w:r>
          </w:p>
        </w:tc>
        <w:tc>
          <w:tcPr>
            <w:tcW w:w="296" w:type="pct"/>
            <w:tcBorders>
              <w:tl2br w:val="nil"/>
              <w:tr2bl w:val="nil"/>
            </w:tcBorders>
            <w:shd w:val="clear" w:color="auto" w:fill="auto"/>
            <w:noWrap/>
            <w:vAlign w:val="center"/>
          </w:tcPr>
          <w:p w14:paraId="2CE4EE7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31.4</w:t>
            </w:r>
          </w:p>
        </w:tc>
        <w:tc>
          <w:tcPr>
            <w:tcW w:w="254" w:type="pct"/>
            <w:tcBorders>
              <w:tl2br w:val="nil"/>
              <w:tr2bl w:val="nil"/>
            </w:tcBorders>
            <w:shd w:val="clear" w:color="auto" w:fill="auto"/>
            <w:noWrap/>
            <w:vAlign w:val="center"/>
          </w:tcPr>
          <w:p w14:paraId="141C688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23074FD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10.8</w:t>
            </w:r>
          </w:p>
        </w:tc>
        <w:tc>
          <w:tcPr>
            <w:tcW w:w="417" w:type="pct"/>
            <w:tcBorders>
              <w:tl2br w:val="nil"/>
              <w:tr2bl w:val="nil"/>
            </w:tcBorders>
            <w:shd w:val="clear" w:color="auto" w:fill="auto"/>
            <w:noWrap/>
            <w:vAlign w:val="center"/>
          </w:tcPr>
          <w:p w14:paraId="38BEC46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65.76</w:t>
            </w:r>
          </w:p>
        </w:tc>
        <w:tc>
          <w:tcPr>
            <w:tcW w:w="254" w:type="pct"/>
            <w:vMerge w:val="continue"/>
            <w:tcBorders>
              <w:tl2br w:val="nil"/>
              <w:tr2bl w:val="nil"/>
            </w:tcBorders>
            <w:shd w:val="clear" w:color="auto" w:fill="auto"/>
            <w:noWrap/>
            <w:vAlign w:val="center"/>
          </w:tcPr>
          <w:p w14:paraId="6D42C3B1">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55B6E33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0F4FF13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43.75</w:t>
            </w:r>
          </w:p>
        </w:tc>
        <w:tc>
          <w:tcPr>
            <w:tcW w:w="308" w:type="pct"/>
            <w:tcBorders>
              <w:tl2br w:val="nil"/>
              <w:tr2bl w:val="nil"/>
            </w:tcBorders>
            <w:shd w:val="clear" w:color="auto" w:fill="auto"/>
            <w:noWrap/>
            <w:vAlign w:val="center"/>
          </w:tcPr>
          <w:p w14:paraId="3FD3A3F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6A892155">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7A34F16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37E9B6E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43189F3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38881B9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39398E2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5929C06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50.7</w:t>
            </w:r>
          </w:p>
        </w:tc>
        <w:tc>
          <w:tcPr>
            <w:tcW w:w="296" w:type="pct"/>
            <w:tcBorders>
              <w:tl2br w:val="nil"/>
              <w:tr2bl w:val="nil"/>
            </w:tcBorders>
            <w:shd w:val="clear" w:color="auto" w:fill="auto"/>
            <w:noWrap/>
            <w:vAlign w:val="center"/>
          </w:tcPr>
          <w:p w14:paraId="29A9964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31.4</w:t>
            </w:r>
          </w:p>
        </w:tc>
        <w:tc>
          <w:tcPr>
            <w:tcW w:w="254" w:type="pct"/>
            <w:tcBorders>
              <w:tl2br w:val="nil"/>
              <w:tr2bl w:val="nil"/>
            </w:tcBorders>
            <w:shd w:val="clear" w:color="auto" w:fill="auto"/>
            <w:noWrap/>
            <w:vAlign w:val="center"/>
          </w:tcPr>
          <w:p w14:paraId="6B42A0D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140981C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34.8</w:t>
            </w:r>
          </w:p>
        </w:tc>
        <w:tc>
          <w:tcPr>
            <w:tcW w:w="417" w:type="pct"/>
            <w:tcBorders>
              <w:tl2br w:val="nil"/>
              <w:tr2bl w:val="nil"/>
            </w:tcBorders>
            <w:shd w:val="clear" w:color="auto" w:fill="auto"/>
            <w:noWrap/>
            <w:vAlign w:val="center"/>
          </w:tcPr>
          <w:p w14:paraId="3371DBE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64.98</w:t>
            </w:r>
          </w:p>
        </w:tc>
        <w:tc>
          <w:tcPr>
            <w:tcW w:w="254" w:type="pct"/>
            <w:vMerge w:val="continue"/>
            <w:tcBorders>
              <w:tl2br w:val="nil"/>
              <w:tr2bl w:val="nil"/>
            </w:tcBorders>
            <w:shd w:val="clear" w:color="auto" w:fill="auto"/>
            <w:noWrap/>
            <w:vAlign w:val="center"/>
          </w:tcPr>
          <w:p w14:paraId="77DF20BB">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7428C6C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6311BD0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42.97</w:t>
            </w:r>
          </w:p>
        </w:tc>
        <w:tc>
          <w:tcPr>
            <w:tcW w:w="308" w:type="pct"/>
            <w:tcBorders>
              <w:tl2br w:val="nil"/>
              <w:tr2bl w:val="nil"/>
            </w:tcBorders>
            <w:shd w:val="clear" w:color="auto" w:fill="auto"/>
            <w:noWrap/>
            <w:vAlign w:val="center"/>
          </w:tcPr>
          <w:p w14:paraId="3484A5E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17C33889">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5785BD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63C944F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201362E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5FBB054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5B0D3ABD">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00DB54A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50.7</w:t>
            </w:r>
          </w:p>
        </w:tc>
        <w:tc>
          <w:tcPr>
            <w:tcW w:w="296" w:type="pct"/>
            <w:tcBorders>
              <w:tl2br w:val="nil"/>
              <w:tr2bl w:val="nil"/>
            </w:tcBorders>
            <w:shd w:val="clear" w:color="auto" w:fill="auto"/>
            <w:noWrap/>
            <w:vAlign w:val="center"/>
          </w:tcPr>
          <w:p w14:paraId="1B5C68E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31.4</w:t>
            </w:r>
          </w:p>
        </w:tc>
        <w:tc>
          <w:tcPr>
            <w:tcW w:w="254" w:type="pct"/>
            <w:tcBorders>
              <w:tl2br w:val="nil"/>
              <w:tr2bl w:val="nil"/>
            </w:tcBorders>
            <w:shd w:val="clear" w:color="auto" w:fill="auto"/>
            <w:noWrap/>
            <w:vAlign w:val="center"/>
          </w:tcPr>
          <w:p w14:paraId="1B92F9D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071D87E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4.6</w:t>
            </w:r>
          </w:p>
        </w:tc>
        <w:tc>
          <w:tcPr>
            <w:tcW w:w="417" w:type="pct"/>
            <w:tcBorders>
              <w:tl2br w:val="nil"/>
              <w:tr2bl w:val="nil"/>
            </w:tcBorders>
            <w:shd w:val="clear" w:color="auto" w:fill="auto"/>
            <w:noWrap/>
            <w:vAlign w:val="center"/>
          </w:tcPr>
          <w:p w14:paraId="507C4F4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68.35</w:t>
            </w:r>
          </w:p>
        </w:tc>
        <w:tc>
          <w:tcPr>
            <w:tcW w:w="254" w:type="pct"/>
            <w:vMerge w:val="continue"/>
            <w:tcBorders>
              <w:tl2br w:val="nil"/>
              <w:tr2bl w:val="nil"/>
            </w:tcBorders>
            <w:shd w:val="clear" w:color="auto" w:fill="auto"/>
            <w:noWrap/>
            <w:vAlign w:val="center"/>
          </w:tcPr>
          <w:p w14:paraId="5B38CA68">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053ABB5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084D294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46.34</w:t>
            </w:r>
          </w:p>
        </w:tc>
        <w:tc>
          <w:tcPr>
            <w:tcW w:w="308" w:type="pct"/>
            <w:tcBorders>
              <w:tl2br w:val="nil"/>
              <w:tr2bl w:val="nil"/>
            </w:tcBorders>
            <w:shd w:val="clear" w:color="auto" w:fill="auto"/>
            <w:noWrap/>
            <w:vAlign w:val="center"/>
          </w:tcPr>
          <w:p w14:paraId="28415DF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46EFB947">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49BC300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restart"/>
            <w:tcBorders>
              <w:tl2br w:val="nil"/>
              <w:tr2bl w:val="nil"/>
            </w:tcBorders>
            <w:shd w:val="clear" w:color="auto" w:fill="auto"/>
            <w:noWrap/>
            <w:vAlign w:val="center"/>
          </w:tcPr>
          <w:p w14:paraId="26CBDDD7">
            <w:pPr>
              <w:spacing w:line="240" w:lineRule="auto"/>
              <w:ind w:firstLine="0" w:firstLineChars="0"/>
              <w:jc w:val="center"/>
              <w:rPr>
                <w:rFonts w:hint="default" w:ascii="Times New Roman" w:hAnsi="Times New Roman" w:eastAsia="宋体" w:cs="Times New Roman"/>
                <w:color w:val="FF0000"/>
                <w:sz w:val="21"/>
                <w:szCs w:val="21"/>
                <w:highlight w:val="none"/>
                <w:lang w:val="en-US"/>
              </w:rPr>
            </w:pPr>
            <w:r>
              <w:rPr>
                <w:rFonts w:hint="eastAsia" w:ascii="Times New Roman" w:hAnsi="Times New Roman" w:eastAsia="宋体" w:cs="Times New Roman"/>
                <w:color w:val="FF0000"/>
                <w:sz w:val="21"/>
                <w:szCs w:val="21"/>
                <w:highlight w:val="none"/>
                <w:lang w:val="en-US" w:eastAsia="zh-CN"/>
              </w:rPr>
              <w:t>2#</w:t>
            </w:r>
            <w:r>
              <w:rPr>
                <w:rFonts w:hint="default" w:ascii="Times New Roman" w:hAnsi="Times New Roman" w:eastAsia="宋体" w:cs="Times New Roman"/>
                <w:color w:val="FF0000"/>
                <w:sz w:val="21"/>
                <w:szCs w:val="21"/>
                <w:highlight w:val="none"/>
                <w:lang w:val="en-US" w:eastAsia="zh-CN"/>
              </w:rPr>
              <w:t>锅炉</w:t>
            </w:r>
            <w:r>
              <w:rPr>
                <w:rFonts w:hint="eastAsia" w:ascii="Times New Roman" w:hAnsi="Times New Roman" w:eastAsia="宋体" w:cs="Times New Roman"/>
                <w:color w:val="FF0000"/>
                <w:sz w:val="21"/>
                <w:szCs w:val="21"/>
                <w:highlight w:val="none"/>
                <w:lang w:val="en-US" w:eastAsia="zh-CN"/>
              </w:rPr>
              <w:t>房（240t/h锅炉）</w:t>
            </w:r>
          </w:p>
        </w:tc>
        <w:tc>
          <w:tcPr>
            <w:tcW w:w="398" w:type="pct"/>
            <w:vMerge w:val="restart"/>
            <w:tcBorders>
              <w:tl2br w:val="nil"/>
              <w:tr2bl w:val="nil"/>
            </w:tcBorders>
            <w:shd w:val="clear" w:color="auto" w:fill="auto"/>
            <w:noWrap/>
            <w:vAlign w:val="center"/>
          </w:tcPr>
          <w:p w14:paraId="3016204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碎煤机2#</w:t>
            </w:r>
          </w:p>
        </w:tc>
        <w:tc>
          <w:tcPr>
            <w:tcW w:w="387" w:type="pct"/>
            <w:vMerge w:val="restart"/>
            <w:tcBorders>
              <w:tl2br w:val="nil"/>
              <w:tr2bl w:val="nil"/>
            </w:tcBorders>
            <w:shd w:val="clear" w:color="auto" w:fill="auto"/>
            <w:noWrap/>
            <w:vAlign w:val="center"/>
          </w:tcPr>
          <w:p w14:paraId="1DD3A37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95</w:t>
            </w:r>
          </w:p>
        </w:tc>
        <w:tc>
          <w:tcPr>
            <w:tcW w:w="575" w:type="pct"/>
            <w:vMerge w:val="restart"/>
            <w:tcBorders>
              <w:tl2br w:val="nil"/>
              <w:tr2bl w:val="nil"/>
            </w:tcBorders>
            <w:shd w:val="clear" w:color="auto" w:fill="auto"/>
            <w:noWrap/>
            <w:vAlign w:val="center"/>
          </w:tcPr>
          <w:p w14:paraId="1F4D3C11">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隔声罩壳</w:t>
            </w:r>
          </w:p>
          <w:p w14:paraId="7B415C1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厂房隔声</w:t>
            </w:r>
          </w:p>
        </w:tc>
        <w:tc>
          <w:tcPr>
            <w:tcW w:w="284" w:type="pct"/>
            <w:tcBorders>
              <w:tl2br w:val="nil"/>
              <w:tr2bl w:val="nil"/>
            </w:tcBorders>
            <w:shd w:val="clear" w:color="auto" w:fill="auto"/>
            <w:noWrap/>
            <w:vAlign w:val="center"/>
          </w:tcPr>
          <w:p w14:paraId="36BBA66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408</w:t>
            </w:r>
          </w:p>
        </w:tc>
        <w:tc>
          <w:tcPr>
            <w:tcW w:w="296" w:type="pct"/>
            <w:tcBorders>
              <w:tl2br w:val="nil"/>
              <w:tr2bl w:val="nil"/>
            </w:tcBorders>
            <w:shd w:val="clear" w:color="auto" w:fill="auto"/>
            <w:noWrap/>
            <w:vAlign w:val="center"/>
          </w:tcPr>
          <w:p w14:paraId="6F9560B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349.1</w:t>
            </w:r>
          </w:p>
        </w:tc>
        <w:tc>
          <w:tcPr>
            <w:tcW w:w="254" w:type="pct"/>
            <w:tcBorders>
              <w:tl2br w:val="nil"/>
              <w:tr2bl w:val="nil"/>
            </w:tcBorders>
            <w:shd w:val="clear" w:color="auto" w:fill="auto"/>
            <w:noWrap/>
            <w:vAlign w:val="center"/>
          </w:tcPr>
          <w:p w14:paraId="0AD61DA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4B7DAFE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26.6</w:t>
            </w:r>
          </w:p>
        </w:tc>
        <w:tc>
          <w:tcPr>
            <w:tcW w:w="417" w:type="pct"/>
            <w:tcBorders>
              <w:tl2br w:val="nil"/>
              <w:tr2bl w:val="nil"/>
            </w:tcBorders>
            <w:shd w:val="clear" w:color="auto" w:fill="auto"/>
            <w:noWrap/>
            <w:vAlign w:val="center"/>
          </w:tcPr>
          <w:p w14:paraId="274397C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68.28</w:t>
            </w:r>
          </w:p>
        </w:tc>
        <w:tc>
          <w:tcPr>
            <w:tcW w:w="254" w:type="pct"/>
            <w:vMerge w:val="restart"/>
            <w:tcBorders>
              <w:tl2br w:val="nil"/>
              <w:tr2bl w:val="nil"/>
            </w:tcBorders>
            <w:shd w:val="clear" w:color="auto" w:fill="auto"/>
            <w:noWrap/>
            <w:vAlign w:val="center"/>
          </w:tcPr>
          <w:p w14:paraId="45EADF17">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连续</w:t>
            </w:r>
          </w:p>
        </w:tc>
        <w:tc>
          <w:tcPr>
            <w:tcW w:w="447" w:type="pct"/>
            <w:tcBorders>
              <w:tl2br w:val="nil"/>
              <w:tr2bl w:val="nil"/>
            </w:tcBorders>
            <w:shd w:val="clear" w:color="auto" w:fill="auto"/>
            <w:noWrap/>
            <w:vAlign w:val="center"/>
          </w:tcPr>
          <w:p w14:paraId="1D14EDA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2A06F5C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44.05</w:t>
            </w:r>
          </w:p>
        </w:tc>
        <w:tc>
          <w:tcPr>
            <w:tcW w:w="308" w:type="pct"/>
            <w:tcBorders>
              <w:tl2br w:val="nil"/>
              <w:tr2bl w:val="nil"/>
            </w:tcBorders>
            <w:shd w:val="clear" w:color="auto" w:fill="auto"/>
            <w:noWrap/>
            <w:vAlign w:val="center"/>
          </w:tcPr>
          <w:p w14:paraId="125CD78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restart"/>
            <w:tcBorders>
              <w:tl2br w:val="nil"/>
              <w:tr2bl w:val="nil"/>
            </w:tcBorders>
            <w:shd w:val="clear" w:color="auto" w:fill="auto"/>
            <w:noWrap/>
            <w:vAlign w:val="center"/>
          </w:tcPr>
          <w:p w14:paraId="7976B1E3">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现有工程设备</w:t>
            </w:r>
          </w:p>
        </w:tc>
      </w:tr>
      <w:tr w14:paraId="01D9B2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30B4616D">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54B844C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5F0B940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4D0BA4E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4FAB90F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408</w:t>
            </w:r>
          </w:p>
        </w:tc>
        <w:tc>
          <w:tcPr>
            <w:tcW w:w="296" w:type="pct"/>
            <w:tcBorders>
              <w:tl2br w:val="nil"/>
              <w:tr2bl w:val="nil"/>
            </w:tcBorders>
            <w:shd w:val="clear" w:color="auto" w:fill="auto"/>
            <w:noWrap/>
            <w:vAlign w:val="center"/>
          </w:tcPr>
          <w:p w14:paraId="5A7CB19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349.1</w:t>
            </w:r>
          </w:p>
        </w:tc>
        <w:tc>
          <w:tcPr>
            <w:tcW w:w="254" w:type="pct"/>
            <w:tcBorders>
              <w:tl2br w:val="nil"/>
              <w:tr2bl w:val="nil"/>
            </w:tcBorders>
            <w:shd w:val="clear" w:color="auto" w:fill="auto"/>
            <w:noWrap/>
            <w:vAlign w:val="center"/>
          </w:tcPr>
          <w:p w14:paraId="2F5056D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50154BB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20.4</w:t>
            </w:r>
          </w:p>
        </w:tc>
        <w:tc>
          <w:tcPr>
            <w:tcW w:w="417" w:type="pct"/>
            <w:tcBorders>
              <w:tl2br w:val="nil"/>
              <w:tr2bl w:val="nil"/>
            </w:tcBorders>
            <w:shd w:val="clear" w:color="auto" w:fill="auto"/>
            <w:noWrap/>
            <w:vAlign w:val="center"/>
          </w:tcPr>
          <w:p w14:paraId="2FAFB01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68.43</w:t>
            </w:r>
          </w:p>
        </w:tc>
        <w:tc>
          <w:tcPr>
            <w:tcW w:w="254" w:type="pct"/>
            <w:vMerge w:val="continue"/>
            <w:tcBorders>
              <w:tl2br w:val="nil"/>
              <w:tr2bl w:val="nil"/>
            </w:tcBorders>
            <w:shd w:val="clear" w:color="auto" w:fill="auto"/>
            <w:noWrap/>
            <w:vAlign w:val="center"/>
          </w:tcPr>
          <w:p w14:paraId="088EB13C">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40C3F27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5F14120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44.21</w:t>
            </w:r>
          </w:p>
        </w:tc>
        <w:tc>
          <w:tcPr>
            <w:tcW w:w="308" w:type="pct"/>
            <w:tcBorders>
              <w:tl2br w:val="nil"/>
              <w:tr2bl w:val="nil"/>
            </w:tcBorders>
            <w:shd w:val="clear" w:color="auto" w:fill="auto"/>
            <w:noWrap/>
            <w:vAlign w:val="center"/>
          </w:tcPr>
          <w:p w14:paraId="763FD06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113968D3">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32EE6CB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5CB2AAC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2422B599">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239FCCA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20A9ED2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1095562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408</w:t>
            </w:r>
          </w:p>
        </w:tc>
        <w:tc>
          <w:tcPr>
            <w:tcW w:w="296" w:type="pct"/>
            <w:tcBorders>
              <w:tl2br w:val="nil"/>
              <w:tr2bl w:val="nil"/>
            </w:tcBorders>
            <w:shd w:val="clear" w:color="auto" w:fill="auto"/>
            <w:noWrap/>
            <w:vAlign w:val="center"/>
          </w:tcPr>
          <w:p w14:paraId="7798819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349.1</w:t>
            </w:r>
          </w:p>
        </w:tc>
        <w:tc>
          <w:tcPr>
            <w:tcW w:w="254" w:type="pct"/>
            <w:tcBorders>
              <w:tl2br w:val="nil"/>
              <w:tr2bl w:val="nil"/>
            </w:tcBorders>
            <w:shd w:val="clear" w:color="auto" w:fill="auto"/>
            <w:noWrap/>
            <w:vAlign w:val="center"/>
          </w:tcPr>
          <w:p w14:paraId="35ABD39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5275E7B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6.2</w:t>
            </w:r>
          </w:p>
        </w:tc>
        <w:tc>
          <w:tcPr>
            <w:tcW w:w="417" w:type="pct"/>
            <w:tcBorders>
              <w:tl2br w:val="nil"/>
              <w:tr2bl w:val="nil"/>
            </w:tcBorders>
            <w:shd w:val="clear" w:color="auto" w:fill="auto"/>
            <w:noWrap/>
            <w:vAlign w:val="center"/>
          </w:tcPr>
          <w:p w14:paraId="5B4F22D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71.11</w:t>
            </w:r>
          </w:p>
        </w:tc>
        <w:tc>
          <w:tcPr>
            <w:tcW w:w="254" w:type="pct"/>
            <w:vMerge w:val="continue"/>
            <w:tcBorders>
              <w:tl2br w:val="nil"/>
              <w:tr2bl w:val="nil"/>
            </w:tcBorders>
            <w:shd w:val="clear" w:color="auto" w:fill="auto"/>
            <w:noWrap/>
            <w:vAlign w:val="center"/>
          </w:tcPr>
          <w:p w14:paraId="3AE1C545">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05B882E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6C41395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46.88</w:t>
            </w:r>
          </w:p>
        </w:tc>
        <w:tc>
          <w:tcPr>
            <w:tcW w:w="308" w:type="pct"/>
            <w:tcBorders>
              <w:tl2br w:val="nil"/>
              <w:tr2bl w:val="nil"/>
            </w:tcBorders>
            <w:shd w:val="clear" w:color="auto" w:fill="auto"/>
            <w:noWrap/>
            <w:vAlign w:val="center"/>
          </w:tcPr>
          <w:p w14:paraId="23FB822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00A9D357">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7AB93CB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77D79C3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4FF78105">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44890B65">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4A85C44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0C10672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408</w:t>
            </w:r>
          </w:p>
        </w:tc>
        <w:tc>
          <w:tcPr>
            <w:tcW w:w="296" w:type="pct"/>
            <w:tcBorders>
              <w:tl2br w:val="nil"/>
              <w:tr2bl w:val="nil"/>
            </w:tcBorders>
            <w:shd w:val="clear" w:color="auto" w:fill="auto"/>
            <w:noWrap/>
            <w:vAlign w:val="center"/>
          </w:tcPr>
          <w:p w14:paraId="795D1F9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349.1</w:t>
            </w:r>
          </w:p>
        </w:tc>
        <w:tc>
          <w:tcPr>
            <w:tcW w:w="254" w:type="pct"/>
            <w:tcBorders>
              <w:tl2br w:val="nil"/>
              <w:tr2bl w:val="nil"/>
            </w:tcBorders>
            <w:shd w:val="clear" w:color="auto" w:fill="auto"/>
            <w:noWrap/>
            <w:vAlign w:val="center"/>
          </w:tcPr>
          <w:p w14:paraId="79C48A9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7A35A00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30.72</w:t>
            </w:r>
          </w:p>
        </w:tc>
        <w:tc>
          <w:tcPr>
            <w:tcW w:w="417" w:type="pct"/>
            <w:tcBorders>
              <w:tl2br w:val="nil"/>
              <w:tr2bl w:val="nil"/>
            </w:tcBorders>
            <w:shd w:val="clear" w:color="auto" w:fill="auto"/>
            <w:noWrap/>
            <w:vAlign w:val="center"/>
          </w:tcPr>
          <w:p w14:paraId="5FB3797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68.22</w:t>
            </w:r>
          </w:p>
        </w:tc>
        <w:tc>
          <w:tcPr>
            <w:tcW w:w="254" w:type="pct"/>
            <w:vMerge w:val="continue"/>
            <w:tcBorders>
              <w:tl2br w:val="nil"/>
              <w:tr2bl w:val="nil"/>
            </w:tcBorders>
            <w:shd w:val="clear" w:color="auto" w:fill="auto"/>
            <w:noWrap/>
            <w:vAlign w:val="center"/>
          </w:tcPr>
          <w:p w14:paraId="0864047F">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4D34CF5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4220BE6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43.99</w:t>
            </w:r>
          </w:p>
        </w:tc>
        <w:tc>
          <w:tcPr>
            <w:tcW w:w="308" w:type="pct"/>
            <w:tcBorders>
              <w:tl2br w:val="nil"/>
              <w:tr2bl w:val="nil"/>
            </w:tcBorders>
            <w:shd w:val="clear" w:color="auto" w:fill="auto"/>
            <w:noWrap/>
            <w:vAlign w:val="center"/>
          </w:tcPr>
          <w:p w14:paraId="71E37CD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1C3BCEF5">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48D2907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2D9B4C5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0C89561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一次风机</w:t>
            </w:r>
          </w:p>
        </w:tc>
        <w:tc>
          <w:tcPr>
            <w:tcW w:w="387" w:type="pct"/>
            <w:vMerge w:val="restart"/>
            <w:tcBorders>
              <w:tl2br w:val="nil"/>
              <w:tr2bl w:val="nil"/>
            </w:tcBorders>
            <w:shd w:val="clear" w:color="auto" w:fill="auto"/>
            <w:noWrap/>
            <w:vAlign w:val="center"/>
          </w:tcPr>
          <w:p w14:paraId="039A6E3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105</w:t>
            </w:r>
          </w:p>
        </w:tc>
        <w:tc>
          <w:tcPr>
            <w:tcW w:w="575" w:type="pct"/>
            <w:vMerge w:val="restart"/>
            <w:tcBorders>
              <w:tl2br w:val="nil"/>
              <w:tr2bl w:val="nil"/>
            </w:tcBorders>
            <w:shd w:val="clear" w:color="auto" w:fill="auto"/>
            <w:noWrap/>
            <w:vAlign w:val="center"/>
          </w:tcPr>
          <w:p w14:paraId="247F6F37">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进风口消声器</w:t>
            </w:r>
          </w:p>
          <w:p w14:paraId="46EB492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管道外壳阻尼</w:t>
            </w:r>
          </w:p>
        </w:tc>
        <w:tc>
          <w:tcPr>
            <w:tcW w:w="284" w:type="pct"/>
            <w:tcBorders>
              <w:tl2br w:val="nil"/>
              <w:tr2bl w:val="nil"/>
            </w:tcBorders>
            <w:shd w:val="clear" w:color="auto" w:fill="auto"/>
            <w:noWrap/>
            <w:vAlign w:val="center"/>
          </w:tcPr>
          <w:p w14:paraId="2C09304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412.3</w:t>
            </w:r>
          </w:p>
        </w:tc>
        <w:tc>
          <w:tcPr>
            <w:tcW w:w="296" w:type="pct"/>
            <w:tcBorders>
              <w:tl2br w:val="nil"/>
              <w:tr2bl w:val="nil"/>
            </w:tcBorders>
            <w:shd w:val="clear" w:color="auto" w:fill="auto"/>
            <w:noWrap/>
            <w:vAlign w:val="center"/>
          </w:tcPr>
          <w:p w14:paraId="4D4BC39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343.9</w:t>
            </w:r>
          </w:p>
        </w:tc>
        <w:tc>
          <w:tcPr>
            <w:tcW w:w="254" w:type="pct"/>
            <w:tcBorders>
              <w:tl2br w:val="nil"/>
              <w:tr2bl w:val="nil"/>
            </w:tcBorders>
            <w:shd w:val="clear" w:color="auto" w:fill="auto"/>
            <w:noWrap/>
            <w:vAlign w:val="center"/>
          </w:tcPr>
          <w:p w14:paraId="371B5CB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05C0C42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22.3</w:t>
            </w:r>
          </w:p>
        </w:tc>
        <w:tc>
          <w:tcPr>
            <w:tcW w:w="417" w:type="pct"/>
            <w:tcBorders>
              <w:tl2br w:val="nil"/>
              <w:tr2bl w:val="nil"/>
            </w:tcBorders>
            <w:shd w:val="clear" w:color="auto" w:fill="auto"/>
            <w:noWrap/>
            <w:vAlign w:val="center"/>
          </w:tcPr>
          <w:p w14:paraId="73BDD10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78.37</w:t>
            </w:r>
          </w:p>
        </w:tc>
        <w:tc>
          <w:tcPr>
            <w:tcW w:w="254" w:type="pct"/>
            <w:vMerge w:val="continue"/>
            <w:tcBorders>
              <w:tl2br w:val="nil"/>
              <w:tr2bl w:val="nil"/>
            </w:tcBorders>
            <w:shd w:val="clear" w:color="auto" w:fill="auto"/>
            <w:noWrap/>
            <w:vAlign w:val="center"/>
          </w:tcPr>
          <w:p w14:paraId="00775303">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652368E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6288ECA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54.14</w:t>
            </w:r>
          </w:p>
        </w:tc>
        <w:tc>
          <w:tcPr>
            <w:tcW w:w="308" w:type="pct"/>
            <w:tcBorders>
              <w:tl2br w:val="nil"/>
              <w:tr2bl w:val="nil"/>
            </w:tcBorders>
            <w:shd w:val="clear" w:color="auto" w:fill="auto"/>
            <w:noWrap/>
            <w:vAlign w:val="center"/>
          </w:tcPr>
          <w:p w14:paraId="2B232DA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5CB25DA4">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488214B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330B652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00760A7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659A6AC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2A602659">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727F5E7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412.3</w:t>
            </w:r>
          </w:p>
        </w:tc>
        <w:tc>
          <w:tcPr>
            <w:tcW w:w="296" w:type="pct"/>
            <w:tcBorders>
              <w:tl2br w:val="nil"/>
              <w:tr2bl w:val="nil"/>
            </w:tcBorders>
            <w:shd w:val="clear" w:color="auto" w:fill="auto"/>
            <w:noWrap/>
            <w:vAlign w:val="center"/>
          </w:tcPr>
          <w:p w14:paraId="39157C2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343.9</w:t>
            </w:r>
          </w:p>
        </w:tc>
        <w:tc>
          <w:tcPr>
            <w:tcW w:w="254" w:type="pct"/>
            <w:tcBorders>
              <w:tl2br w:val="nil"/>
              <w:tr2bl w:val="nil"/>
            </w:tcBorders>
            <w:shd w:val="clear" w:color="auto" w:fill="auto"/>
            <w:noWrap/>
            <w:vAlign w:val="center"/>
          </w:tcPr>
          <w:p w14:paraId="0DDD31A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5B952D5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15.2</w:t>
            </w:r>
          </w:p>
        </w:tc>
        <w:tc>
          <w:tcPr>
            <w:tcW w:w="417" w:type="pct"/>
            <w:tcBorders>
              <w:tl2br w:val="nil"/>
              <w:tr2bl w:val="nil"/>
            </w:tcBorders>
            <w:shd w:val="clear" w:color="auto" w:fill="auto"/>
            <w:noWrap/>
            <w:vAlign w:val="center"/>
          </w:tcPr>
          <w:p w14:paraId="336F6F3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78.73</w:t>
            </w:r>
          </w:p>
        </w:tc>
        <w:tc>
          <w:tcPr>
            <w:tcW w:w="254" w:type="pct"/>
            <w:vMerge w:val="continue"/>
            <w:tcBorders>
              <w:tl2br w:val="nil"/>
              <w:tr2bl w:val="nil"/>
            </w:tcBorders>
            <w:shd w:val="clear" w:color="auto" w:fill="auto"/>
            <w:noWrap/>
            <w:vAlign w:val="center"/>
          </w:tcPr>
          <w:p w14:paraId="7251DF87">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2D7FBB0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0F239C5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54.5</w:t>
            </w:r>
          </w:p>
        </w:tc>
        <w:tc>
          <w:tcPr>
            <w:tcW w:w="308" w:type="pct"/>
            <w:tcBorders>
              <w:tl2br w:val="nil"/>
              <w:tr2bl w:val="nil"/>
            </w:tcBorders>
            <w:shd w:val="clear" w:color="auto" w:fill="auto"/>
            <w:noWrap/>
            <w:vAlign w:val="center"/>
          </w:tcPr>
          <w:p w14:paraId="2D3D6BE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20AADC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2DF8F6F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3F473E9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5E23678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33ACA29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07C22F1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1D23C41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412.3</w:t>
            </w:r>
          </w:p>
        </w:tc>
        <w:tc>
          <w:tcPr>
            <w:tcW w:w="296" w:type="pct"/>
            <w:tcBorders>
              <w:tl2br w:val="nil"/>
              <w:tr2bl w:val="nil"/>
            </w:tcBorders>
            <w:shd w:val="clear" w:color="auto" w:fill="auto"/>
            <w:noWrap/>
            <w:vAlign w:val="center"/>
          </w:tcPr>
          <w:p w14:paraId="674D4F1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343.9</w:t>
            </w:r>
          </w:p>
        </w:tc>
        <w:tc>
          <w:tcPr>
            <w:tcW w:w="254" w:type="pct"/>
            <w:tcBorders>
              <w:tl2br w:val="nil"/>
              <w:tr2bl w:val="nil"/>
            </w:tcBorders>
            <w:shd w:val="clear" w:color="auto" w:fill="auto"/>
            <w:noWrap/>
            <w:vAlign w:val="center"/>
          </w:tcPr>
          <w:p w14:paraId="131F255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544FB78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8.6</w:t>
            </w:r>
          </w:p>
        </w:tc>
        <w:tc>
          <w:tcPr>
            <w:tcW w:w="417" w:type="pct"/>
            <w:tcBorders>
              <w:tl2br w:val="nil"/>
              <w:tr2bl w:val="nil"/>
            </w:tcBorders>
            <w:shd w:val="clear" w:color="auto" w:fill="auto"/>
            <w:noWrap/>
            <w:vAlign w:val="center"/>
          </w:tcPr>
          <w:p w14:paraId="4D7BBA3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79.9</w:t>
            </w:r>
          </w:p>
        </w:tc>
        <w:tc>
          <w:tcPr>
            <w:tcW w:w="254" w:type="pct"/>
            <w:vMerge w:val="continue"/>
            <w:tcBorders>
              <w:tl2br w:val="nil"/>
              <w:tr2bl w:val="nil"/>
            </w:tcBorders>
            <w:shd w:val="clear" w:color="auto" w:fill="auto"/>
            <w:noWrap/>
            <w:vAlign w:val="center"/>
          </w:tcPr>
          <w:p w14:paraId="75305248">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4DFEA9D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6911E44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55.67</w:t>
            </w:r>
          </w:p>
        </w:tc>
        <w:tc>
          <w:tcPr>
            <w:tcW w:w="308" w:type="pct"/>
            <w:tcBorders>
              <w:tl2br w:val="nil"/>
              <w:tr2bl w:val="nil"/>
            </w:tcBorders>
            <w:shd w:val="clear" w:color="auto" w:fill="auto"/>
            <w:noWrap/>
            <w:vAlign w:val="center"/>
          </w:tcPr>
          <w:p w14:paraId="268BAD4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AD8DBFF">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36F8959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375764D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4E5CC29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585B57F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6A859A69">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3171DCF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412.3</w:t>
            </w:r>
          </w:p>
        </w:tc>
        <w:tc>
          <w:tcPr>
            <w:tcW w:w="296" w:type="pct"/>
            <w:tcBorders>
              <w:tl2br w:val="nil"/>
              <w:tr2bl w:val="nil"/>
            </w:tcBorders>
            <w:shd w:val="clear" w:color="auto" w:fill="auto"/>
            <w:noWrap/>
            <w:vAlign w:val="center"/>
          </w:tcPr>
          <w:p w14:paraId="2BF7AA6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343.9</w:t>
            </w:r>
          </w:p>
        </w:tc>
        <w:tc>
          <w:tcPr>
            <w:tcW w:w="254" w:type="pct"/>
            <w:tcBorders>
              <w:tl2br w:val="nil"/>
              <w:tr2bl w:val="nil"/>
            </w:tcBorders>
            <w:shd w:val="clear" w:color="auto" w:fill="auto"/>
            <w:noWrap/>
            <w:vAlign w:val="center"/>
          </w:tcPr>
          <w:p w14:paraId="6223F53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1A656A5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11.4</w:t>
            </w:r>
          </w:p>
        </w:tc>
        <w:tc>
          <w:tcPr>
            <w:tcW w:w="417" w:type="pct"/>
            <w:tcBorders>
              <w:tl2br w:val="nil"/>
              <w:tr2bl w:val="nil"/>
            </w:tcBorders>
            <w:shd w:val="clear" w:color="auto" w:fill="auto"/>
            <w:noWrap/>
            <w:vAlign w:val="center"/>
          </w:tcPr>
          <w:p w14:paraId="39416AD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79.19</w:t>
            </w:r>
          </w:p>
        </w:tc>
        <w:tc>
          <w:tcPr>
            <w:tcW w:w="254" w:type="pct"/>
            <w:vMerge w:val="continue"/>
            <w:tcBorders>
              <w:tl2br w:val="nil"/>
              <w:tr2bl w:val="nil"/>
            </w:tcBorders>
            <w:shd w:val="clear" w:color="auto" w:fill="auto"/>
            <w:noWrap/>
            <w:vAlign w:val="center"/>
          </w:tcPr>
          <w:p w14:paraId="49466C53">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4E7528A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3123CBB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54.96</w:t>
            </w:r>
          </w:p>
        </w:tc>
        <w:tc>
          <w:tcPr>
            <w:tcW w:w="308" w:type="pct"/>
            <w:tcBorders>
              <w:tl2br w:val="nil"/>
              <w:tr2bl w:val="nil"/>
            </w:tcBorders>
            <w:shd w:val="clear" w:color="auto" w:fill="auto"/>
            <w:noWrap/>
            <w:vAlign w:val="center"/>
          </w:tcPr>
          <w:p w14:paraId="4E2A05F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4A9B9438">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3C2C731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1E03E3D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14A44D8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二次风机</w:t>
            </w:r>
          </w:p>
        </w:tc>
        <w:tc>
          <w:tcPr>
            <w:tcW w:w="387" w:type="pct"/>
            <w:vMerge w:val="restart"/>
            <w:tcBorders>
              <w:tl2br w:val="nil"/>
              <w:tr2bl w:val="nil"/>
            </w:tcBorders>
            <w:shd w:val="clear" w:color="auto" w:fill="auto"/>
            <w:noWrap/>
            <w:vAlign w:val="center"/>
          </w:tcPr>
          <w:p w14:paraId="2B404C6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105</w:t>
            </w:r>
          </w:p>
        </w:tc>
        <w:tc>
          <w:tcPr>
            <w:tcW w:w="575" w:type="pct"/>
            <w:vMerge w:val="restart"/>
            <w:tcBorders>
              <w:tl2br w:val="nil"/>
              <w:tr2bl w:val="nil"/>
            </w:tcBorders>
            <w:shd w:val="clear" w:color="auto" w:fill="auto"/>
            <w:noWrap/>
            <w:vAlign w:val="center"/>
          </w:tcPr>
          <w:p w14:paraId="68916A8D">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进风口消声器</w:t>
            </w:r>
          </w:p>
          <w:p w14:paraId="6494A16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管道外壳阻尼</w:t>
            </w:r>
          </w:p>
        </w:tc>
        <w:tc>
          <w:tcPr>
            <w:tcW w:w="284" w:type="pct"/>
            <w:tcBorders>
              <w:tl2br w:val="nil"/>
              <w:tr2bl w:val="nil"/>
            </w:tcBorders>
            <w:shd w:val="clear" w:color="auto" w:fill="auto"/>
            <w:noWrap/>
            <w:vAlign w:val="center"/>
          </w:tcPr>
          <w:p w14:paraId="008C338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413.2</w:t>
            </w:r>
          </w:p>
        </w:tc>
        <w:tc>
          <w:tcPr>
            <w:tcW w:w="296" w:type="pct"/>
            <w:tcBorders>
              <w:tl2br w:val="nil"/>
              <w:tr2bl w:val="nil"/>
            </w:tcBorders>
            <w:shd w:val="clear" w:color="auto" w:fill="auto"/>
            <w:noWrap/>
            <w:vAlign w:val="center"/>
          </w:tcPr>
          <w:p w14:paraId="0D7A457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337.4</w:t>
            </w:r>
          </w:p>
        </w:tc>
        <w:tc>
          <w:tcPr>
            <w:tcW w:w="254" w:type="pct"/>
            <w:tcBorders>
              <w:tl2br w:val="nil"/>
              <w:tr2bl w:val="nil"/>
            </w:tcBorders>
            <w:shd w:val="clear" w:color="auto" w:fill="auto"/>
            <w:noWrap/>
            <w:vAlign w:val="center"/>
          </w:tcPr>
          <w:p w14:paraId="4B728DA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54F484C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21.4</w:t>
            </w:r>
          </w:p>
        </w:tc>
        <w:tc>
          <w:tcPr>
            <w:tcW w:w="417" w:type="pct"/>
            <w:tcBorders>
              <w:tl2br w:val="nil"/>
              <w:tr2bl w:val="nil"/>
            </w:tcBorders>
            <w:shd w:val="clear" w:color="auto" w:fill="auto"/>
            <w:noWrap/>
            <w:vAlign w:val="center"/>
          </w:tcPr>
          <w:p w14:paraId="2AB98F7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78.4</w:t>
            </w:r>
          </w:p>
        </w:tc>
        <w:tc>
          <w:tcPr>
            <w:tcW w:w="254" w:type="pct"/>
            <w:vMerge w:val="continue"/>
            <w:tcBorders>
              <w:tl2br w:val="nil"/>
              <w:tr2bl w:val="nil"/>
            </w:tcBorders>
            <w:shd w:val="clear" w:color="auto" w:fill="auto"/>
            <w:noWrap/>
            <w:vAlign w:val="center"/>
          </w:tcPr>
          <w:p w14:paraId="7112C9B7">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2E06D3F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0A38647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54.17</w:t>
            </w:r>
          </w:p>
        </w:tc>
        <w:tc>
          <w:tcPr>
            <w:tcW w:w="308" w:type="pct"/>
            <w:tcBorders>
              <w:tl2br w:val="nil"/>
              <w:tr2bl w:val="nil"/>
            </w:tcBorders>
            <w:shd w:val="clear" w:color="auto" w:fill="auto"/>
            <w:noWrap/>
            <w:vAlign w:val="center"/>
          </w:tcPr>
          <w:p w14:paraId="54EE8EB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04AD5E61">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65CF5CB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264EEAA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7B924FC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5E283CD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312A7565">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11A81BA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413.2</w:t>
            </w:r>
          </w:p>
        </w:tc>
        <w:tc>
          <w:tcPr>
            <w:tcW w:w="296" w:type="pct"/>
            <w:tcBorders>
              <w:tl2br w:val="nil"/>
              <w:tr2bl w:val="nil"/>
            </w:tcBorders>
            <w:shd w:val="clear" w:color="auto" w:fill="auto"/>
            <w:noWrap/>
            <w:vAlign w:val="center"/>
          </w:tcPr>
          <w:p w14:paraId="335DF66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337.4</w:t>
            </w:r>
          </w:p>
        </w:tc>
        <w:tc>
          <w:tcPr>
            <w:tcW w:w="254" w:type="pct"/>
            <w:tcBorders>
              <w:tl2br w:val="nil"/>
              <w:tr2bl w:val="nil"/>
            </w:tcBorders>
            <w:shd w:val="clear" w:color="auto" w:fill="auto"/>
            <w:noWrap/>
            <w:vAlign w:val="center"/>
          </w:tcPr>
          <w:p w14:paraId="448613E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22CFB64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8.7</w:t>
            </w:r>
          </w:p>
        </w:tc>
        <w:tc>
          <w:tcPr>
            <w:tcW w:w="417" w:type="pct"/>
            <w:tcBorders>
              <w:tl2br w:val="nil"/>
              <w:tr2bl w:val="nil"/>
            </w:tcBorders>
            <w:shd w:val="clear" w:color="auto" w:fill="auto"/>
            <w:noWrap/>
            <w:vAlign w:val="center"/>
          </w:tcPr>
          <w:p w14:paraId="41F238F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79.87</w:t>
            </w:r>
          </w:p>
        </w:tc>
        <w:tc>
          <w:tcPr>
            <w:tcW w:w="254" w:type="pct"/>
            <w:vMerge w:val="continue"/>
            <w:tcBorders>
              <w:tl2br w:val="nil"/>
              <w:tr2bl w:val="nil"/>
            </w:tcBorders>
            <w:shd w:val="clear" w:color="auto" w:fill="auto"/>
            <w:noWrap/>
            <w:vAlign w:val="center"/>
          </w:tcPr>
          <w:p w14:paraId="02B49350">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0355F90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46883C4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55.64</w:t>
            </w:r>
          </w:p>
        </w:tc>
        <w:tc>
          <w:tcPr>
            <w:tcW w:w="308" w:type="pct"/>
            <w:tcBorders>
              <w:tl2br w:val="nil"/>
              <w:tr2bl w:val="nil"/>
            </w:tcBorders>
            <w:shd w:val="clear" w:color="auto" w:fill="auto"/>
            <w:noWrap/>
            <w:vAlign w:val="center"/>
          </w:tcPr>
          <w:p w14:paraId="18DFE14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6AC11C88">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20BD9B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289CD5D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42750F6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05D73D1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56F0B9E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53B4DF8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413.2</w:t>
            </w:r>
          </w:p>
        </w:tc>
        <w:tc>
          <w:tcPr>
            <w:tcW w:w="296" w:type="pct"/>
            <w:tcBorders>
              <w:tl2br w:val="nil"/>
              <w:tr2bl w:val="nil"/>
            </w:tcBorders>
            <w:shd w:val="clear" w:color="auto" w:fill="auto"/>
            <w:noWrap/>
            <w:vAlign w:val="center"/>
          </w:tcPr>
          <w:p w14:paraId="3B9A952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337.4</w:t>
            </w:r>
          </w:p>
        </w:tc>
        <w:tc>
          <w:tcPr>
            <w:tcW w:w="254" w:type="pct"/>
            <w:tcBorders>
              <w:tl2br w:val="nil"/>
              <w:tr2bl w:val="nil"/>
            </w:tcBorders>
            <w:shd w:val="clear" w:color="auto" w:fill="auto"/>
            <w:noWrap/>
            <w:vAlign w:val="center"/>
          </w:tcPr>
          <w:p w14:paraId="41448FD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7005AA2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9.5</w:t>
            </w:r>
          </w:p>
        </w:tc>
        <w:tc>
          <w:tcPr>
            <w:tcW w:w="417" w:type="pct"/>
            <w:tcBorders>
              <w:tl2br w:val="nil"/>
              <w:tr2bl w:val="nil"/>
            </w:tcBorders>
            <w:shd w:val="clear" w:color="auto" w:fill="auto"/>
            <w:noWrap/>
            <w:vAlign w:val="center"/>
          </w:tcPr>
          <w:p w14:paraId="41F7137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79.62</w:t>
            </w:r>
          </w:p>
        </w:tc>
        <w:tc>
          <w:tcPr>
            <w:tcW w:w="254" w:type="pct"/>
            <w:vMerge w:val="continue"/>
            <w:tcBorders>
              <w:tl2br w:val="nil"/>
              <w:tr2bl w:val="nil"/>
            </w:tcBorders>
            <w:shd w:val="clear" w:color="auto" w:fill="auto"/>
            <w:noWrap/>
            <w:vAlign w:val="center"/>
          </w:tcPr>
          <w:p w14:paraId="0F116EA3">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37FAA5D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374362D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55.39</w:t>
            </w:r>
          </w:p>
        </w:tc>
        <w:tc>
          <w:tcPr>
            <w:tcW w:w="308" w:type="pct"/>
            <w:tcBorders>
              <w:tl2br w:val="nil"/>
              <w:tr2bl w:val="nil"/>
            </w:tcBorders>
            <w:shd w:val="clear" w:color="auto" w:fill="auto"/>
            <w:noWrap/>
            <w:vAlign w:val="center"/>
          </w:tcPr>
          <w:p w14:paraId="2866B9F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6618523">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293DE90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7B698C9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39A9B4C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5ABAE4C9">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3462E3E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6F52815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413.2</w:t>
            </w:r>
          </w:p>
        </w:tc>
        <w:tc>
          <w:tcPr>
            <w:tcW w:w="296" w:type="pct"/>
            <w:tcBorders>
              <w:tl2br w:val="nil"/>
              <w:tr2bl w:val="nil"/>
            </w:tcBorders>
            <w:shd w:val="clear" w:color="auto" w:fill="auto"/>
            <w:noWrap/>
            <w:vAlign w:val="center"/>
          </w:tcPr>
          <w:p w14:paraId="3E15808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337.4</w:t>
            </w:r>
          </w:p>
        </w:tc>
        <w:tc>
          <w:tcPr>
            <w:tcW w:w="254" w:type="pct"/>
            <w:tcBorders>
              <w:tl2br w:val="nil"/>
              <w:tr2bl w:val="nil"/>
            </w:tcBorders>
            <w:shd w:val="clear" w:color="auto" w:fill="auto"/>
            <w:noWrap/>
            <w:vAlign w:val="center"/>
          </w:tcPr>
          <w:p w14:paraId="7801750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27C54F2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17.9</w:t>
            </w:r>
          </w:p>
        </w:tc>
        <w:tc>
          <w:tcPr>
            <w:tcW w:w="417" w:type="pct"/>
            <w:tcBorders>
              <w:tl2br w:val="nil"/>
              <w:tr2bl w:val="nil"/>
            </w:tcBorders>
            <w:shd w:val="clear" w:color="auto" w:fill="auto"/>
            <w:noWrap/>
            <w:vAlign w:val="center"/>
          </w:tcPr>
          <w:p w14:paraId="4903876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78.55</w:t>
            </w:r>
          </w:p>
        </w:tc>
        <w:tc>
          <w:tcPr>
            <w:tcW w:w="254" w:type="pct"/>
            <w:vMerge w:val="continue"/>
            <w:tcBorders>
              <w:tl2br w:val="nil"/>
              <w:tr2bl w:val="nil"/>
            </w:tcBorders>
            <w:shd w:val="clear" w:color="auto" w:fill="auto"/>
            <w:noWrap/>
            <w:vAlign w:val="center"/>
          </w:tcPr>
          <w:p w14:paraId="2DDBBA70">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7BBAC27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6B28544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54.32</w:t>
            </w:r>
          </w:p>
        </w:tc>
        <w:tc>
          <w:tcPr>
            <w:tcW w:w="308" w:type="pct"/>
            <w:tcBorders>
              <w:tl2br w:val="nil"/>
              <w:tr2bl w:val="nil"/>
            </w:tcBorders>
            <w:shd w:val="clear" w:color="auto" w:fill="auto"/>
            <w:noWrap/>
            <w:vAlign w:val="center"/>
          </w:tcPr>
          <w:p w14:paraId="0945762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85875D4">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6628385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480DC63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242EB64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空气预热器</w:t>
            </w:r>
          </w:p>
        </w:tc>
        <w:tc>
          <w:tcPr>
            <w:tcW w:w="387" w:type="pct"/>
            <w:vMerge w:val="restart"/>
            <w:tcBorders>
              <w:tl2br w:val="nil"/>
              <w:tr2bl w:val="nil"/>
            </w:tcBorders>
            <w:shd w:val="clear" w:color="auto" w:fill="auto"/>
            <w:noWrap/>
            <w:vAlign w:val="center"/>
          </w:tcPr>
          <w:p w14:paraId="1C79734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85</w:t>
            </w:r>
          </w:p>
        </w:tc>
        <w:tc>
          <w:tcPr>
            <w:tcW w:w="575" w:type="pct"/>
            <w:vMerge w:val="restart"/>
            <w:tcBorders>
              <w:tl2br w:val="nil"/>
              <w:tr2bl w:val="nil"/>
            </w:tcBorders>
            <w:shd w:val="clear" w:color="auto" w:fill="auto"/>
            <w:noWrap/>
            <w:vAlign w:val="center"/>
          </w:tcPr>
          <w:p w14:paraId="5342E75C">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基础减振</w:t>
            </w:r>
          </w:p>
          <w:p w14:paraId="0248AB4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厂房隔声</w:t>
            </w:r>
          </w:p>
        </w:tc>
        <w:tc>
          <w:tcPr>
            <w:tcW w:w="284" w:type="pct"/>
            <w:tcBorders>
              <w:tl2br w:val="nil"/>
              <w:tr2bl w:val="nil"/>
            </w:tcBorders>
            <w:shd w:val="clear" w:color="auto" w:fill="auto"/>
            <w:noWrap/>
            <w:vAlign w:val="center"/>
          </w:tcPr>
          <w:p w14:paraId="72E2C6C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419.6</w:t>
            </w:r>
          </w:p>
        </w:tc>
        <w:tc>
          <w:tcPr>
            <w:tcW w:w="296" w:type="pct"/>
            <w:tcBorders>
              <w:tl2br w:val="nil"/>
              <w:tr2bl w:val="nil"/>
            </w:tcBorders>
            <w:shd w:val="clear" w:color="auto" w:fill="auto"/>
            <w:noWrap/>
            <w:vAlign w:val="center"/>
          </w:tcPr>
          <w:p w14:paraId="2A042BD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349.8</w:t>
            </w:r>
          </w:p>
        </w:tc>
        <w:tc>
          <w:tcPr>
            <w:tcW w:w="254" w:type="pct"/>
            <w:tcBorders>
              <w:tl2br w:val="nil"/>
              <w:tr2bl w:val="nil"/>
            </w:tcBorders>
            <w:shd w:val="clear" w:color="auto" w:fill="auto"/>
            <w:noWrap/>
            <w:vAlign w:val="center"/>
          </w:tcPr>
          <w:p w14:paraId="6493D44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05955FF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15</w:t>
            </w:r>
          </w:p>
        </w:tc>
        <w:tc>
          <w:tcPr>
            <w:tcW w:w="417" w:type="pct"/>
            <w:tcBorders>
              <w:tl2br w:val="nil"/>
              <w:tr2bl w:val="nil"/>
            </w:tcBorders>
            <w:shd w:val="clear" w:color="auto" w:fill="auto"/>
            <w:noWrap/>
            <w:vAlign w:val="center"/>
          </w:tcPr>
          <w:p w14:paraId="6BE95DE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58.74</w:t>
            </w:r>
          </w:p>
        </w:tc>
        <w:tc>
          <w:tcPr>
            <w:tcW w:w="254" w:type="pct"/>
            <w:vMerge w:val="continue"/>
            <w:tcBorders>
              <w:tl2br w:val="nil"/>
              <w:tr2bl w:val="nil"/>
            </w:tcBorders>
            <w:shd w:val="clear" w:color="auto" w:fill="auto"/>
            <w:noWrap/>
            <w:vAlign w:val="center"/>
          </w:tcPr>
          <w:p w14:paraId="4B3322B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657F229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24DE76F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34.51</w:t>
            </w:r>
          </w:p>
        </w:tc>
        <w:tc>
          <w:tcPr>
            <w:tcW w:w="308" w:type="pct"/>
            <w:tcBorders>
              <w:tl2br w:val="nil"/>
              <w:tr2bl w:val="nil"/>
            </w:tcBorders>
            <w:shd w:val="clear" w:color="auto" w:fill="auto"/>
            <w:noWrap/>
            <w:vAlign w:val="center"/>
          </w:tcPr>
          <w:p w14:paraId="152082F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394792E9">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29CB69F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6E2A944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13833F1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0CC5316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39ED2F9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3583032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419.6</w:t>
            </w:r>
          </w:p>
        </w:tc>
        <w:tc>
          <w:tcPr>
            <w:tcW w:w="296" w:type="pct"/>
            <w:tcBorders>
              <w:tl2br w:val="nil"/>
              <w:tr2bl w:val="nil"/>
            </w:tcBorders>
            <w:shd w:val="clear" w:color="auto" w:fill="auto"/>
            <w:noWrap/>
            <w:vAlign w:val="center"/>
          </w:tcPr>
          <w:p w14:paraId="096069E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349.8</w:t>
            </w:r>
          </w:p>
        </w:tc>
        <w:tc>
          <w:tcPr>
            <w:tcW w:w="254" w:type="pct"/>
            <w:tcBorders>
              <w:tl2br w:val="nil"/>
              <w:tr2bl w:val="nil"/>
            </w:tcBorders>
            <w:shd w:val="clear" w:color="auto" w:fill="auto"/>
            <w:noWrap/>
            <w:vAlign w:val="center"/>
          </w:tcPr>
          <w:p w14:paraId="249DEFC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1FBEF28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21.1</w:t>
            </w:r>
          </w:p>
        </w:tc>
        <w:tc>
          <w:tcPr>
            <w:tcW w:w="417" w:type="pct"/>
            <w:tcBorders>
              <w:tl2br w:val="nil"/>
              <w:tr2bl w:val="nil"/>
            </w:tcBorders>
            <w:shd w:val="clear" w:color="auto" w:fill="auto"/>
            <w:noWrap/>
            <w:vAlign w:val="center"/>
          </w:tcPr>
          <w:p w14:paraId="5FC6426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58.41</w:t>
            </w:r>
          </w:p>
        </w:tc>
        <w:tc>
          <w:tcPr>
            <w:tcW w:w="254" w:type="pct"/>
            <w:vMerge w:val="continue"/>
            <w:tcBorders>
              <w:tl2br w:val="nil"/>
              <w:tr2bl w:val="nil"/>
            </w:tcBorders>
            <w:shd w:val="clear" w:color="auto" w:fill="auto"/>
            <w:noWrap/>
            <w:vAlign w:val="center"/>
          </w:tcPr>
          <w:p w14:paraId="32EB633B">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6FA4A7C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1FEB740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34.18</w:t>
            </w:r>
          </w:p>
        </w:tc>
        <w:tc>
          <w:tcPr>
            <w:tcW w:w="308" w:type="pct"/>
            <w:tcBorders>
              <w:tl2br w:val="nil"/>
              <w:tr2bl w:val="nil"/>
            </w:tcBorders>
            <w:shd w:val="clear" w:color="auto" w:fill="auto"/>
            <w:noWrap/>
            <w:vAlign w:val="center"/>
          </w:tcPr>
          <w:p w14:paraId="754443E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76CFCC5C">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1009F4D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22C8362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3F42B4E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569A0BB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0DA75DA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51A52A8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419.6</w:t>
            </w:r>
          </w:p>
        </w:tc>
        <w:tc>
          <w:tcPr>
            <w:tcW w:w="296" w:type="pct"/>
            <w:tcBorders>
              <w:tl2br w:val="nil"/>
              <w:tr2bl w:val="nil"/>
            </w:tcBorders>
            <w:shd w:val="clear" w:color="auto" w:fill="auto"/>
            <w:noWrap/>
            <w:vAlign w:val="center"/>
          </w:tcPr>
          <w:p w14:paraId="1DB6370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349.8</w:t>
            </w:r>
          </w:p>
        </w:tc>
        <w:tc>
          <w:tcPr>
            <w:tcW w:w="254" w:type="pct"/>
            <w:tcBorders>
              <w:tl2br w:val="nil"/>
              <w:tr2bl w:val="nil"/>
            </w:tcBorders>
            <w:shd w:val="clear" w:color="auto" w:fill="auto"/>
            <w:noWrap/>
            <w:vAlign w:val="center"/>
          </w:tcPr>
          <w:p w14:paraId="55FDF5F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171A864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15.9</w:t>
            </w:r>
          </w:p>
        </w:tc>
        <w:tc>
          <w:tcPr>
            <w:tcW w:w="417" w:type="pct"/>
            <w:tcBorders>
              <w:tl2br w:val="nil"/>
              <w:tr2bl w:val="nil"/>
            </w:tcBorders>
            <w:shd w:val="clear" w:color="auto" w:fill="auto"/>
            <w:noWrap/>
            <w:vAlign w:val="center"/>
          </w:tcPr>
          <w:p w14:paraId="1A09CE1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58.67</w:t>
            </w:r>
          </w:p>
        </w:tc>
        <w:tc>
          <w:tcPr>
            <w:tcW w:w="254" w:type="pct"/>
            <w:vMerge w:val="continue"/>
            <w:tcBorders>
              <w:tl2br w:val="nil"/>
              <w:tr2bl w:val="nil"/>
            </w:tcBorders>
            <w:shd w:val="clear" w:color="auto" w:fill="auto"/>
            <w:noWrap/>
            <w:vAlign w:val="center"/>
          </w:tcPr>
          <w:p w14:paraId="321B9E73">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6A36909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03A87FE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34.44</w:t>
            </w:r>
          </w:p>
        </w:tc>
        <w:tc>
          <w:tcPr>
            <w:tcW w:w="308" w:type="pct"/>
            <w:tcBorders>
              <w:tl2br w:val="nil"/>
              <w:tr2bl w:val="nil"/>
            </w:tcBorders>
            <w:shd w:val="clear" w:color="auto" w:fill="auto"/>
            <w:noWrap/>
            <w:vAlign w:val="center"/>
          </w:tcPr>
          <w:p w14:paraId="746BDF5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5B4F21A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1A54889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22DF379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0B39DFF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5023500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0672072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6169239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419.6</w:t>
            </w:r>
          </w:p>
        </w:tc>
        <w:tc>
          <w:tcPr>
            <w:tcW w:w="296" w:type="pct"/>
            <w:tcBorders>
              <w:tl2br w:val="nil"/>
              <w:tr2bl w:val="nil"/>
            </w:tcBorders>
            <w:shd w:val="clear" w:color="auto" w:fill="auto"/>
            <w:noWrap/>
            <w:vAlign w:val="center"/>
          </w:tcPr>
          <w:p w14:paraId="5AC1F50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349.8</w:t>
            </w:r>
          </w:p>
        </w:tc>
        <w:tc>
          <w:tcPr>
            <w:tcW w:w="254" w:type="pct"/>
            <w:tcBorders>
              <w:tl2br w:val="nil"/>
              <w:tr2bl w:val="nil"/>
            </w:tcBorders>
            <w:shd w:val="clear" w:color="auto" w:fill="auto"/>
            <w:noWrap/>
            <w:vAlign w:val="center"/>
          </w:tcPr>
          <w:p w14:paraId="7B6BE17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136A276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5.5</w:t>
            </w:r>
          </w:p>
        </w:tc>
        <w:tc>
          <w:tcPr>
            <w:tcW w:w="417" w:type="pct"/>
            <w:tcBorders>
              <w:tl2br w:val="nil"/>
              <w:tr2bl w:val="nil"/>
            </w:tcBorders>
            <w:shd w:val="clear" w:color="auto" w:fill="auto"/>
            <w:noWrap/>
            <w:vAlign w:val="center"/>
          </w:tcPr>
          <w:p w14:paraId="769A4E5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61.67</w:t>
            </w:r>
          </w:p>
        </w:tc>
        <w:tc>
          <w:tcPr>
            <w:tcW w:w="254" w:type="pct"/>
            <w:vMerge w:val="continue"/>
            <w:tcBorders>
              <w:tl2br w:val="nil"/>
              <w:tr2bl w:val="nil"/>
            </w:tcBorders>
            <w:shd w:val="clear" w:color="auto" w:fill="auto"/>
            <w:noWrap/>
            <w:vAlign w:val="center"/>
          </w:tcPr>
          <w:p w14:paraId="5BDF2363">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3A0D662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11E0989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37.44</w:t>
            </w:r>
          </w:p>
        </w:tc>
        <w:tc>
          <w:tcPr>
            <w:tcW w:w="308" w:type="pct"/>
            <w:tcBorders>
              <w:tl2br w:val="nil"/>
              <w:tr2bl w:val="nil"/>
            </w:tcBorders>
            <w:shd w:val="clear" w:color="auto" w:fill="auto"/>
            <w:noWrap/>
            <w:vAlign w:val="center"/>
          </w:tcPr>
          <w:p w14:paraId="1E3F09B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42D86848">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4612D67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4F084BC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394A3C8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冷渣机</w:t>
            </w:r>
          </w:p>
        </w:tc>
        <w:tc>
          <w:tcPr>
            <w:tcW w:w="387" w:type="pct"/>
            <w:vMerge w:val="restart"/>
            <w:tcBorders>
              <w:tl2br w:val="nil"/>
              <w:tr2bl w:val="nil"/>
            </w:tcBorders>
            <w:shd w:val="clear" w:color="auto" w:fill="auto"/>
            <w:noWrap/>
            <w:vAlign w:val="center"/>
          </w:tcPr>
          <w:p w14:paraId="3C85DDE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95</w:t>
            </w:r>
          </w:p>
        </w:tc>
        <w:tc>
          <w:tcPr>
            <w:tcW w:w="575" w:type="pct"/>
            <w:vMerge w:val="restart"/>
            <w:tcBorders>
              <w:tl2br w:val="nil"/>
              <w:tr2bl w:val="nil"/>
            </w:tcBorders>
            <w:shd w:val="clear" w:color="auto" w:fill="auto"/>
            <w:noWrap/>
            <w:vAlign w:val="center"/>
          </w:tcPr>
          <w:p w14:paraId="34C65480">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基础减振</w:t>
            </w:r>
          </w:p>
          <w:p w14:paraId="634EDE2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厂房隔声</w:t>
            </w:r>
          </w:p>
        </w:tc>
        <w:tc>
          <w:tcPr>
            <w:tcW w:w="284" w:type="pct"/>
            <w:tcBorders>
              <w:tl2br w:val="nil"/>
              <w:tr2bl w:val="nil"/>
            </w:tcBorders>
            <w:shd w:val="clear" w:color="auto" w:fill="auto"/>
            <w:noWrap/>
            <w:vAlign w:val="center"/>
          </w:tcPr>
          <w:p w14:paraId="2866B3E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429.8</w:t>
            </w:r>
          </w:p>
        </w:tc>
        <w:tc>
          <w:tcPr>
            <w:tcW w:w="296" w:type="pct"/>
            <w:tcBorders>
              <w:tl2br w:val="nil"/>
              <w:tr2bl w:val="nil"/>
            </w:tcBorders>
            <w:shd w:val="clear" w:color="auto" w:fill="auto"/>
            <w:noWrap/>
            <w:vAlign w:val="center"/>
          </w:tcPr>
          <w:p w14:paraId="237ED28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342.4</w:t>
            </w:r>
          </w:p>
        </w:tc>
        <w:tc>
          <w:tcPr>
            <w:tcW w:w="254" w:type="pct"/>
            <w:tcBorders>
              <w:tl2br w:val="nil"/>
              <w:tr2bl w:val="nil"/>
            </w:tcBorders>
            <w:shd w:val="clear" w:color="auto" w:fill="auto"/>
            <w:noWrap/>
            <w:vAlign w:val="center"/>
          </w:tcPr>
          <w:p w14:paraId="62F1A72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7E4AF50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4.8</w:t>
            </w:r>
          </w:p>
        </w:tc>
        <w:tc>
          <w:tcPr>
            <w:tcW w:w="417" w:type="pct"/>
            <w:tcBorders>
              <w:tl2br w:val="nil"/>
              <w:tr2bl w:val="nil"/>
            </w:tcBorders>
            <w:shd w:val="clear" w:color="auto" w:fill="auto"/>
            <w:noWrap/>
            <w:vAlign w:val="center"/>
          </w:tcPr>
          <w:p w14:paraId="6922862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72.38</w:t>
            </w:r>
          </w:p>
        </w:tc>
        <w:tc>
          <w:tcPr>
            <w:tcW w:w="254" w:type="pct"/>
            <w:vMerge w:val="continue"/>
            <w:tcBorders>
              <w:tl2br w:val="nil"/>
              <w:tr2bl w:val="nil"/>
            </w:tcBorders>
            <w:shd w:val="clear" w:color="auto" w:fill="auto"/>
            <w:noWrap/>
            <w:vAlign w:val="center"/>
          </w:tcPr>
          <w:p w14:paraId="045A65F8">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7BFB4BD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23C207D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48.15</w:t>
            </w:r>
          </w:p>
        </w:tc>
        <w:tc>
          <w:tcPr>
            <w:tcW w:w="308" w:type="pct"/>
            <w:tcBorders>
              <w:tl2br w:val="nil"/>
              <w:tr2bl w:val="nil"/>
            </w:tcBorders>
            <w:shd w:val="clear" w:color="auto" w:fill="auto"/>
            <w:noWrap/>
            <w:vAlign w:val="center"/>
          </w:tcPr>
          <w:p w14:paraId="54315B9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5E6EF497">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18EED6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3BE27C3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167AA70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0CB672C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610617B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49EFC03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429.8</w:t>
            </w:r>
          </w:p>
        </w:tc>
        <w:tc>
          <w:tcPr>
            <w:tcW w:w="296" w:type="pct"/>
            <w:tcBorders>
              <w:tl2br w:val="nil"/>
              <w:tr2bl w:val="nil"/>
            </w:tcBorders>
            <w:shd w:val="clear" w:color="auto" w:fill="auto"/>
            <w:noWrap/>
            <w:vAlign w:val="center"/>
          </w:tcPr>
          <w:p w14:paraId="2A1DC3E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342.4</w:t>
            </w:r>
          </w:p>
        </w:tc>
        <w:tc>
          <w:tcPr>
            <w:tcW w:w="254" w:type="pct"/>
            <w:tcBorders>
              <w:tl2br w:val="nil"/>
              <w:tr2bl w:val="nil"/>
            </w:tcBorders>
            <w:shd w:val="clear" w:color="auto" w:fill="auto"/>
            <w:noWrap/>
            <w:vAlign w:val="center"/>
          </w:tcPr>
          <w:p w14:paraId="40A863C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1581758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13.7</w:t>
            </w:r>
          </w:p>
        </w:tc>
        <w:tc>
          <w:tcPr>
            <w:tcW w:w="417" w:type="pct"/>
            <w:tcBorders>
              <w:tl2br w:val="nil"/>
              <w:tr2bl w:val="nil"/>
            </w:tcBorders>
            <w:shd w:val="clear" w:color="auto" w:fill="auto"/>
            <w:noWrap/>
            <w:vAlign w:val="center"/>
          </w:tcPr>
          <w:p w14:paraId="4F1F1E9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68.87</w:t>
            </w:r>
          </w:p>
        </w:tc>
        <w:tc>
          <w:tcPr>
            <w:tcW w:w="254" w:type="pct"/>
            <w:vMerge w:val="continue"/>
            <w:tcBorders>
              <w:tl2br w:val="nil"/>
              <w:tr2bl w:val="nil"/>
            </w:tcBorders>
            <w:shd w:val="clear" w:color="auto" w:fill="auto"/>
            <w:noWrap/>
            <w:vAlign w:val="center"/>
          </w:tcPr>
          <w:p w14:paraId="66EDEFFF">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55C8945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3B8A822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44.64</w:t>
            </w:r>
          </w:p>
        </w:tc>
        <w:tc>
          <w:tcPr>
            <w:tcW w:w="308" w:type="pct"/>
            <w:tcBorders>
              <w:tl2br w:val="nil"/>
              <w:tr2bl w:val="nil"/>
            </w:tcBorders>
            <w:shd w:val="clear" w:color="auto" w:fill="auto"/>
            <w:noWrap/>
            <w:vAlign w:val="center"/>
          </w:tcPr>
          <w:p w14:paraId="50664FA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3F4F890A">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43B0EC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3ABEEC6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495EB00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4F5303B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1F47A84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5AFA000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429.8</w:t>
            </w:r>
          </w:p>
        </w:tc>
        <w:tc>
          <w:tcPr>
            <w:tcW w:w="296" w:type="pct"/>
            <w:tcBorders>
              <w:tl2br w:val="nil"/>
              <w:tr2bl w:val="nil"/>
            </w:tcBorders>
            <w:shd w:val="clear" w:color="auto" w:fill="auto"/>
            <w:noWrap/>
            <w:vAlign w:val="center"/>
          </w:tcPr>
          <w:p w14:paraId="438E103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342.4</w:t>
            </w:r>
          </w:p>
        </w:tc>
        <w:tc>
          <w:tcPr>
            <w:tcW w:w="254" w:type="pct"/>
            <w:tcBorders>
              <w:tl2br w:val="nil"/>
              <w:tr2bl w:val="nil"/>
            </w:tcBorders>
            <w:shd w:val="clear" w:color="auto" w:fill="auto"/>
            <w:noWrap/>
            <w:vAlign w:val="center"/>
          </w:tcPr>
          <w:p w14:paraId="36C5C93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48B33CC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26.1</w:t>
            </w:r>
          </w:p>
        </w:tc>
        <w:tc>
          <w:tcPr>
            <w:tcW w:w="417" w:type="pct"/>
            <w:tcBorders>
              <w:tl2br w:val="nil"/>
              <w:tr2bl w:val="nil"/>
            </w:tcBorders>
            <w:shd w:val="clear" w:color="auto" w:fill="auto"/>
            <w:noWrap/>
            <w:vAlign w:val="center"/>
          </w:tcPr>
          <w:p w14:paraId="746178A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68.29</w:t>
            </w:r>
          </w:p>
        </w:tc>
        <w:tc>
          <w:tcPr>
            <w:tcW w:w="254" w:type="pct"/>
            <w:vMerge w:val="continue"/>
            <w:tcBorders>
              <w:tl2br w:val="nil"/>
              <w:tr2bl w:val="nil"/>
            </w:tcBorders>
            <w:shd w:val="clear" w:color="auto" w:fill="auto"/>
            <w:noWrap/>
            <w:vAlign w:val="center"/>
          </w:tcPr>
          <w:p w14:paraId="6F8F8B9A">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281826B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1CFA874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44.06</w:t>
            </w:r>
          </w:p>
        </w:tc>
        <w:tc>
          <w:tcPr>
            <w:tcW w:w="308" w:type="pct"/>
            <w:tcBorders>
              <w:tl2br w:val="nil"/>
              <w:tr2bl w:val="nil"/>
            </w:tcBorders>
            <w:shd w:val="clear" w:color="auto" w:fill="auto"/>
            <w:noWrap/>
            <w:vAlign w:val="center"/>
          </w:tcPr>
          <w:p w14:paraId="725BE95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30BBA807">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43FE608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62F0B165">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53F96C3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2C84D9D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2F81752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279A2CE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429.8</w:t>
            </w:r>
          </w:p>
        </w:tc>
        <w:tc>
          <w:tcPr>
            <w:tcW w:w="296" w:type="pct"/>
            <w:tcBorders>
              <w:tl2br w:val="nil"/>
              <w:tr2bl w:val="nil"/>
            </w:tcBorders>
            <w:shd w:val="clear" w:color="auto" w:fill="auto"/>
            <w:noWrap/>
            <w:vAlign w:val="center"/>
          </w:tcPr>
          <w:p w14:paraId="313AA52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342.4</w:t>
            </w:r>
          </w:p>
        </w:tc>
        <w:tc>
          <w:tcPr>
            <w:tcW w:w="254" w:type="pct"/>
            <w:tcBorders>
              <w:tl2br w:val="nil"/>
              <w:tr2bl w:val="nil"/>
            </w:tcBorders>
            <w:shd w:val="clear" w:color="auto" w:fill="auto"/>
            <w:noWrap/>
            <w:vAlign w:val="center"/>
          </w:tcPr>
          <w:p w14:paraId="4EFA502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0F8F8E9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12.9</w:t>
            </w:r>
          </w:p>
        </w:tc>
        <w:tc>
          <w:tcPr>
            <w:tcW w:w="417" w:type="pct"/>
            <w:tcBorders>
              <w:tl2br w:val="nil"/>
              <w:tr2bl w:val="nil"/>
            </w:tcBorders>
            <w:shd w:val="clear" w:color="auto" w:fill="auto"/>
            <w:noWrap/>
            <w:vAlign w:val="center"/>
          </w:tcPr>
          <w:p w14:paraId="12F3A39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68.97</w:t>
            </w:r>
          </w:p>
        </w:tc>
        <w:tc>
          <w:tcPr>
            <w:tcW w:w="254" w:type="pct"/>
            <w:vMerge w:val="continue"/>
            <w:tcBorders>
              <w:tl2br w:val="nil"/>
              <w:tr2bl w:val="nil"/>
            </w:tcBorders>
            <w:shd w:val="clear" w:color="auto" w:fill="auto"/>
            <w:noWrap/>
            <w:vAlign w:val="center"/>
          </w:tcPr>
          <w:p w14:paraId="73927E96">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275F1CE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2AD0388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44.74</w:t>
            </w:r>
          </w:p>
        </w:tc>
        <w:tc>
          <w:tcPr>
            <w:tcW w:w="308" w:type="pct"/>
            <w:tcBorders>
              <w:tl2br w:val="nil"/>
              <w:tr2bl w:val="nil"/>
            </w:tcBorders>
            <w:shd w:val="clear" w:color="auto" w:fill="auto"/>
            <w:noWrap/>
            <w:vAlign w:val="center"/>
          </w:tcPr>
          <w:p w14:paraId="3A59EF9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43C63809">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444CAFE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3C4247F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62E1D92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除渣机</w:t>
            </w:r>
          </w:p>
        </w:tc>
        <w:tc>
          <w:tcPr>
            <w:tcW w:w="387" w:type="pct"/>
            <w:vMerge w:val="restart"/>
            <w:tcBorders>
              <w:tl2br w:val="nil"/>
              <w:tr2bl w:val="nil"/>
            </w:tcBorders>
            <w:shd w:val="clear" w:color="auto" w:fill="auto"/>
            <w:noWrap/>
            <w:vAlign w:val="center"/>
          </w:tcPr>
          <w:p w14:paraId="6ABF10A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95</w:t>
            </w:r>
          </w:p>
        </w:tc>
        <w:tc>
          <w:tcPr>
            <w:tcW w:w="575" w:type="pct"/>
            <w:vMerge w:val="restart"/>
            <w:tcBorders>
              <w:tl2br w:val="nil"/>
              <w:tr2bl w:val="nil"/>
            </w:tcBorders>
            <w:shd w:val="clear" w:color="auto" w:fill="auto"/>
            <w:noWrap/>
            <w:vAlign w:val="center"/>
          </w:tcPr>
          <w:p w14:paraId="5E0D11DA">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基础减振</w:t>
            </w:r>
          </w:p>
          <w:p w14:paraId="1068922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厂房隔声</w:t>
            </w:r>
          </w:p>
        </w:tc>
        <w:tc>
          <w:tcPr>
            <w:tcW w:w="284" w:type="pct"/>
            <w:tcBorders>
              <w:tl2br w:val="nil"/>
              <w:tr2bl w:val="nil"/>
            </w:tcBorders>
            <w:shd w:val="clear" w:color="auto" w:fill="auto"/>
            <w:noWrap/>
            <w:vAlign w:val="center"/>
          </w:tcPr>
          <w:p w14:paraId="672E85D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424.5</w:t>
            </w:r>
          </w:p>
        </w:tc>
        <w:tc>
          <w:tcPr>
            <w:tcW w:w="296" w:type="pct"/>
            <w:tcBorders>
              <w:tl2br w:val="nil"/>
              <w:tr2bl w:val="nil"/>
            </w:tcBorders>
            <w:shd w:val="clear" w:color="auto" w:fill="auto"/>
            <w:noWrap/>
            <w:vAlign w:val="center"/>
          </w:tcPr>
          <w:p w14:paraId="6B80BD2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338.7</w:t>
            </w:r>
          </w:p>
        </w:tc>
        <w:tc>
          <w:tcPr>
            <w:tcW w:w="254" w:type="pct"/>
            <w:tcBorders>
              <w:tl2br w:val="nil"/>
              <w:tr2bl w:val="nil"/>
            </w:tcBorders>
            <w:shd w:val="clear" w:color="auto" w:fill="auto"/>
            <w:noWrap/>
            <w:vAlign w:val="center"/>
          </w:tcPr>
          <w:p w14:paraId="125CCB7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30AB736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10.1</w:t>
            </w:r>
          </w:p>
        </w:tc>
        <w:tc>
          <w:tcPr>
            <w:tcW w:w="417" w:type="pct"/>
            <w:tcBorders>
              <w:tl2br w:val="nil"/>
              <w:tr2bl w:val="nil"/>
            </w:tcBorders>
            <w:shd w:val="clear" w:color="auto" w:fill="auto"/>
            <w:noWrap/>
            <w:vAlign w:val="center"/>
          </w:tcPr>
          <w:p w14:paraId="30FEA6F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69.46</w:t>
            </w:r>
          </w:p>
        </w:tc>
        <w:tc>
          <w:tcPr>
            <w:tcW w:w="254" w:type="pct"/>
            <w:vMerge w:val="continue"/>
            <w:tcBorders>
              <w:tl2br w:val="nil"/>
              <w:tr2bl w:val="nil"/>
            </w:tcBorders>
            <w:shd w:val="clear" w:color="auto" w:fill="auto"/>
            <w:noWrap/>
            <w:vAlign w:val="center"/>
          </w:tcPr>
          <w:p w14:paraId="5D6565E8">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2CA3C13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5528470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45.23</w:t>
            </w:r>
          </w:p>
        </w:tc>
        <w:tc>
          <w:tcPr>
            <w:tcW w:w="308" w:type="pct"/>
            <w:tcBorders>
              <w:tl2br w:val="nil"/>
              <w:tr2bl w:val="nil"/>
            </w:tcBorders>
            <w:shd w:val="clear" w:color="auto" w:fill="auto"/>
            <w:noWrap/>
            <w:vAlign w:val="center"/>
          </w:tcPr>
          <w:p w14:paraId="6C40DF8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5601B343">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3999D92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528AC84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2484D55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390A4FF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5CFB568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34A7F07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424.5</w:t>
            </w:r>
          </w:p>
        </w:tc>
        <w:tc>
          <w:tcPr>
            <w:tcW w:w="296" w:type="pct"/>
            <w:tcBorders>
              <w:tl2br w:val="nil"/>
              <w:tr2bl w:val="nil"/>
            </w:tcBorders>
            <w:shd w:val="clear" w:color="auto" w:fill="auto"/>
            <w:noWrap/>
            <w:vAlign w:val="center"/>
          </w:tcPr>
          <w:p w14:paraId="6E0C550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338.7</w:t>
            </w:r>
          </w:p>
        </w:tc>
        <w:tc>
          <w:tcPr>
            <w:tcW w:w="254" w:type="pct"/>
            <w:tcBorders>
              <w:tl2br w:val="nil"/>
              <w:tr2bl w:val="nil"/>
            </w:tcBorders>
            <w:shd w:val="clear" w:color="auto" w:fill="auto"/>
            <w:noWrap/>
            <w:vAlign w:val="center"/>
          </w:tcPr>
          <w:p w14:paraId="535C9D8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26759B3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w:t>
            </w:r>
          </w:p>
        </w:tc>
        <w:tc>
          <w:tcPr>
            <w:tcW w:w="417" w:type="pct"/>
            <w:tcBorders>
              <w:tl2br w:val="nil"/>
              <w:tr2bl w:val="nil"/>
            </w:tcBorders>
            <w:shd w:val="clear" w:color="auto" w:fill="auto"/>
            <w:noWrap/>
            <w:vAlign w:val="center"/>
          </w:tcPr>
          <w:p w14:paraId="7953D2B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69.49</w:t>
            </w:r>
          </w:p>
        </w:tc>
        <w:tc>
          <w:tcPr>
            <w:tcW w:w="254" w:type="pct"/>
            <w:vMerge w:val="continue"/>
            <w:tcBorders>
              <w:tl2br w:val="nil"/>
              <w:tr2bl w:val="nil"/>
            </w:tcBorders>
            <w:shd w:val="clear" w:color="auto" w:fill="auto"/>
            <w:noWrap/>
            <w:vAlign w:val="center"/>
          </w:tcPr>
          <w:p w14:paraId="2429EFEA">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3E27CA7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53AADF6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45.26</w:t>
            </w:r>
          </w:p>
        </w:tc>
        <w:tc>
          <w:tcPr>
            <w:tcW w:w="308" w:type="pct"/>
            <w:tcBorders>
              <w:tl2br w:val="nil"/>
              <w:tr2bl w:val="nil"/>
            </w:tcBorders>
            <w:shd w:val="clear" w:color="auto" w:fill="auto"/>
            <w:noWrap/>
            <w:vAlign w:val="center"/>
          </w:tcPr>
          <w:p w14:paraId="3F068C8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4298DD3C">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52547DB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42240AD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3C24446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63A80D7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00DE214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66DB55C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424.5</w:t>
            </w:r>
          </w:p>
        </w:tc>
        <w:tc>
          <w:tcPr>
            <w:tcW w:w="296" w:type="pct"/>
            <w:tcBorders>
              <w:tl2br w:val="nil"/>
              <w:tr2bl w:val="nil"/>
            </w:tcBorders>
            <w:shd w:val="clear" w:color="auto" w:fill="auto"/>
            <w:noWrap/>
            <w:vAlign w:val="center"/>
          </w:tcPr>
          <w:p w14:paraId="4CEFE87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338.7</w:t>
            </w:r>
          </w:p>
        </w:tc>
        <w:tc>
          <w:tcPr>
            <w:tcW w:w="254" w:type="pct"/>
            <w:tcBorders>
              <w:tl2br w:val="nil"/>
              <w:tr2bl w:val="nil"/>
            </w:tcBorders>
            <w:shd w:val="clear" w:color="auto" w:fill="auto"/>
            <w:noWrap/>
            <w:vAlign w:val="center"/>
          </w:tcPr>
          <w:p w14:paraId="0D68FD0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45CADA6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20.8</w:t>
            </w:r>
          </w:p>
        </w:tc>
        <w:tc>
          <w:tcPr>
            <w:tcW w:w="417" w:type="pct"/>
            <w:tcBorders>
              <w:tl2br w:val="nil"/>
              <w:tr2bl w:val="nil"/>
            </w:tcBorders>
            <w:shd w:val="clear" w:color="auto" w:fill="auto"/>
            <w:noWrap/>
            <w:vAlign w:val="center"/>
          </w:tcPr>
          <w:p w14:paraId="2407F66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68.42</w:t>
            </w:r>
          </w:p>
        </w:tc>
        <w:tc>
          <w:tcPr>
            <w:tcW w:w="254" w:type="pct"/>
            <w:vMerge w:val="continue"/>
            <w:tcBorders>
              <w:tl2br w:val="nil"/>
              <w:tr2bl w:val="nil"/>
            </w:tcBorders>
            <w:shd w:val="clear" w:color="auto" w:fill="auto"/>
            <w:noWrap/>
            <w:vAlign w:val="center"/>
          </w:tcPr>
          <w:p w14:paraId="52E51994">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46BC521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5D37500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44.19</w:t>
            </w:r>
          </w:p>
        </w:tc>
        <w:tc>
          <w:tcPr>
            <w:tcW w:w="308" w:type="pct"/>
            <w:tcBorders>
              <w:tl2br w:val="nil"/>
              <w:tr2bl w:val="nil"/>
            </w:tcBorders>
            <w:shd w:val="clear" w:color="auto" w:fill="auto"/>
            <w:noWrap/>
            <w:vAlign w:val="center"/>
          </w:tcPr>
          <w:p w14:paraId="2C316F2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021FD8A0">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654783F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05798FC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26A2A23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3E8AEBE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19D8AFC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347CB95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424.5</w:t>
            </w:r>
          </w:p>
        </w:tc>
        <w:tc>
          <w:tcPr>
            <w:tcW w:w="296" w:type="pct"/>
            <w:tcBorders>
              <w:tl2br w:val="nil"/>
              <w:tr2bl w:val="nil"/>
            </w:tcBorders>
            <w:shd w:val="clear" w:color="auto" w:fill="auto"/>
            <w:noWrap/>
            <w:vAlign w:val="center"/>
          </w:tcPr>
          <w:p w14:paraId="13E5FF6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338.7</w:t>
            </w:r>
          </w:p>
        </w:tc>
        <w:tc>
          <w:tcPr>
            <w:tcW w:w="254" w:type="pct"/>
            <w:tcBorders>
              <w:tl2br w:val="nil"/>
              <w:tr2bl w:val="nil"/>
            </w:tcBorders>
            <w:shd w:val="clear" w:color="auto" w:fill="auto"/>
            <w:noWrap/>
            <w:vAlign w:val="center"/>
          </w:tcPr>
          <w:p w14:paraId="0FED421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5139E3F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16.6</w:t>
            </w:r>
          </w:p>
        </w:tc>
        <w:tc>
          <w:tcPr>
            <w:tcW w:w="417" w:type="pct"/>
            <w:tcBorders>
              <w:tl2br w:val="nil"/>
              <w:tr2bl w:val="nil"/>
            </w:tcBorders>
            <w:shd w:val="clear" w:color="auto" w:fill="auto"/>
            <w:noWrap/>
            <w:vAlign w:val="center"/>
          </w:tcPr>
          <w:p w14:paraId="7E36D50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68.62</w:t>
            </w:r>
          </w:p>
        </w:tc>
        <w:tc>
          <w:tcPr>
            <w:tcW w:w="254" w:type="pct"/>
            <w:vMerge w:val="continue"/>
            <w:tcBorders>
              <w:tl2br w:val="nil"/>
              <w:tr2bl w:val="nil"/>
            </w:tcBorders>
            <w:shd w:val="clear" w:color="auto" w:fill="auto"/>
            <w:noWrap/>
            <w:vAlign w:val="center"/>
          </w:tcPr>
          <w:p w14:paraId="2C2AE2D4">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21BAF78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6D80E0A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44.39</w:t>
            </w:r>
          </w:p>
        </w:tc>
        <w:tc>
          <w:tcPr>
            <w:tcW w:w="308" w:type="pct"/>
            <w:tcBorders>
              <w:tl2br w:val="nil"/>
              <w:tr2bl w:val="nil"/>
            </w:tcBorders>
            <w:shd w:val="clear" w:color="auto" w:fill="auto"/>
            <w:noWrap/>
            <w:vAlign w:val="center"/>
          </w:tcPr>
          <w:p w14:paraId="062FD00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071E60F3">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14AED3D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6E5BE62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67A62E1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引风机1</w:t>
            </w:r>
          </w:p>
        </w:tc>
        <w:tc>
          <w:tcPr>
            <w:tcW w:w="387" w:type="pct"/>
            <w:vMerge w:val="restart"/>
            <w:tcBorders>
              <w:tl2br w:val="nil"/>
              <w:tr2bl w:val="nil"/>
            </w:tcBorders>
            <w:shd w:val="clear" w:color="auto" w:fill="auto"/>
            <w:noWrap/>
            <w:vAlign w:val="center"/>
          </w:tcPr>
          <w:p w14:paraId="765E9D3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100</w:t>
            </w:r>
          </w:p>
        </w:tc>
        <w:tc>
          <w:tcPr>
            <w:tcW w:w="575" w:type="pct"/>
            <w:vMerge w:val="restart"/>
            <w:tcBorders>
              <w:tl2br w:val="nil"/>
              <w:tr2bl w:val="nil"/>
            </w:tcBorders>
            <w:shd w:val="clear" w:color="auto" w:fill="auto"/>
            <w:noWrap/>
            <w:vAlign w:val="center"/>
          </w:tcPr>
          <w:p w14:paraId="5F2D9FAE">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进风口消声器</w:t>
            </w:r>
          </w:p>
          <w:p w14:paraId="66DF67B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管道外壳阻尼</w:t>
            </w:r>
          </w:p>
        </w:tc>
        <w:tc>
          <w:tcPr>
            <w:tcW w:w="284" w:type="pct"/>
            <w:tcBorders>
              <w:tl2br w:val="nil"/>
              <w:tr2bl w:val="nil"/>
            </w:tcBorders>
            <w:shd w:val="clear" w:color="auto" w:fill="auto"/>
            <w:noWrap/>
            <w:vAlign w:val="center"/>
          </w:tcPr>
          <w:p w14:paraId="096DF33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428.5</w:t>
            </w:r>
          </w:p>
        </w:tc>
        <w:tc>
          <w:tcPr>
            <w:tcW w:w="296" w:type="pct"/>
            <w:tcBorders>
              <w:tl2br w:val="nil"/>
              <w:tr2bl w:val="nil"/>
            </w:tcBorders>
            <w:shd w:val="clear" w:color="auto" w:fill="auto"/>
            <w:noWrap/>
            <w:vAlign w:val="center"/>
          </w:tcPr>
          <w:p w14:paraId="43985AE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349.5</w:t>
            </w:r>
          </w:p>
        </w:tc>
        <w:tc>
          <w:tcPr>
            <w:tcW w:w="254" w:type="pct"/>
            <w:tcBorders>
              <w:tl2br w:val="nil"/>
              <w:tr2bl w:val="nil"/>
            </w:tcBorders>
            <w:shd w:val="clear" w:color="auto" w:fill="auto"/>
            <w:noWrap/>
            <w:vAlign w:val="center"/>
          </w:tcPr>
          <w:p w14:paraId="72FF0E0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19B6893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6.1</w:t>
            </w:r>
          </w:p>
        </w:tc>
        <w:tc>
          <w:tcPr>
            <w:tcW w:w="417" w:type="pct"/>
            <w:tcBorders>
              <w:tl2br w:val="nil"/>
              <w:tr2bl w:val="nil"/>
            </w:tcBorders>
            <w:shd w:val="clear" w:color="auto" w:fill="auto"/>
            <w:noWrap/>
            <w:vAlign w:val="center"/>
          </w:tcPr>
          <w:p w14:paraId="706117F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76.18</w:t>
            </w:r>
          </w:p>
        </w:tc>
        <w:tc>
          <w:tcPr>
            <w:tcW w:w="254" w:type="pct"/>
            <w:vMerge w:val="continue"/>
            <w:tcBorders>
              <w:tl2br w:val="nil"/>
              <w:tr2bl w:val="nil"/>
            </w:tcBorders>
            <w:shd w:val="clear" w:color="auto" w:fill="auto"/>
            <w:noWrap/>
            <w:vAlign w:val="center"/>
          </w:tcPr>
          <w:p w14:paraId="10F9670A">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3DA7E1D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206C96C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51.95</w:t>
            </w:r>
          </w:p>
        </w:tc>
        <w:tc>
          <w:tcPr>
            <w:tcW w:w="308" w:type="pct"/>
            <w:tcBorders>
              <w:tl2br w:val="nil"/>
              <w:tr2bl w:val="nil"/>
            </w:tcBorders>
            <w:shd w:val="clear" w:color="auto" w:fill="auto"/>
            <w:noWrap/>
            <w:vAlign w:val="center"/>
          </w:tcPr>
          <w:p w14:paraId="37FA222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4CFD23FE">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720BD6E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6FC1C6E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11DA349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11F7C18D">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75DC509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0284335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428.5</w:t>
            </w:r>
          </w:p>
        </w:tc>
        <w:tc>
          <w:tcPr>
            <w:tcW w:w="296" w:type="pct"/>
            <w:tcBorders>
              <w:tl2br w:val="nil"/>
              <w:tr2bl w:val="nil"/>
            </w:tcBorders>
            <w:shd w:val="clear" w:color="auto" w:fill="auto"/>
            <w:noWrap/>
            <w:vAlign w:val="center"/>
          </w:tcPr>
          <w:p w14:paraId="155D905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349.5</w:t>
            </w:r>
          </w:p>
        </w:tc>
        <w:tc>
          <w:tcPr>
            <w:tcW w:w="254" w:type="pct"/>
            <w:tcBorders>
              <w:tl2br w:val="nil"/>
              <w:tr2bl w:val="nil"/>
            </w:tcBorders>
            <w:shd w:val="clear" w:color="auto" w:fill="auto"/>
            <w:noWrap/>
            <w:vAlign w:val="center"/>
          </w:tcPr>
          <w:p w14:paraId="530AC4B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7836677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6.19</w:t>
            </w:r>
          </w:p>
        </w:tc>
        <w:tc>
          <w:tcPr>
            <w:tcW w:w="417" w:type="pct"/>
            <w:tcBorders>
              <w:tl2br w:val="nil"/>
              <w:tr2bl w:val="nil"/>
            </w:tcBorders>
            <w:shd w:val="clear" w:color="auto" w:fill="auto"/>
            <w:noWrap/>
            <w:vAlign w:val="center"/>
          </w:tcPr>
          <w:p w14:paraId="2D05267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76.12</w:t>
            </w:r>
          </w:p>
        </w:tc>
        <w:tc>
          <w:tcPr>
            <w:tcW w:w="254" w:type="pct"/>
            <w:vMerge w:val="continue"/>
            <w:tcBorders>
              <w:tl2br w:val="nil"/>
              <w:tr2bl w:val="nil"/>
            </w:tcBorders>
            <w:shd w:val="clear" w:color="auto" w:fill="auto"/>
            <w:noWrap/>
            <w:vAlign w:val="center"/>
          </w:tcPr>
          <w:p w14:paraId="1A76DCE3">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036D226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35588A7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51.89</w:t>
            </w:r>
          </w:p>
        </w:tc>
        <w:tc>
          <w:tcPr>
            <w:tcW w:w="308" w:type="pct"/>
            <w:tcBorders>
              <w:tl2br w:val="nil"/>
              <w:tr2bl w:val="nil"/>
            </w:tcBorders>
            <w:shd w:val="clear" w:color="auto" w:fill="auto"/>
            <w:noWrap/>
            <w:vAlign w:val="center"/>
          </w:tcPr>
          <w:p w14:paraId="7C206C9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1752ACA3">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19CE4F9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7579755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28FD93A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2669FD45">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76242AB9">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5A4106D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428.5</w:t>
            </w:r>
          </w:p>
        </w:tc>
        <w:tc>
          <w:tcPr>
            <w:tcW w:w="296" w:type="pct"/>
            <w:tcBorders>
              <w:tl2br w:val="nil"/>
              <w:tr2bl w:val="nil"/>
            </w:tcBorders>
            <w:shd w:val="clear" w:color="auto" w:fill="auto"/>
            <w:noWrap/>
            <w:vAlign w:val="center"/>
          </w:tcPr>
          <w:p w14:paraId="7260524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349.5</w:t>
            </w:r>
          </w:p>
        </w:tc>
        <w:tc>
          <w:tcPr>
            <w:tcW w:w="254" w:type="pct"/>
            <w:tcBorders>
              <w:tl2br w:val="nil"/>
              <w:tr2bl w:val="nil"/>
            </w:tcBorders>
            <w:shd w:val="clear" w:color="auto" w:fill="auto"/>
            <w:noWrap/>
            <w:vAlign w:val="center"/>
          </w:tcPr>
          <w:p w14:paraId="63530F0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319BE6C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24.8</w:t>
            </w:r>
          </w:p>
        </w:tc>
        <w:tc>
          <w:tcPr>
            <w:tcW w:w="417" w:type="pct"/>
            <w:tcBorders>
              <w:tl2br w:val="nil"/>
              <w:tr2bl w:val="nil"/>
            </w:tcBorders>
            <w:shd w:val="clear" w:color="auto" w:fill="auto"/>
            <w:noWrap/>
            <w:vAlign w:val="center"/>
          </w:tcPr>
          <w:p w14:paraId="6C4E3C6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73.31</w:t>
            </w:r>
          </w:p>
        </w:tc>
        <w:tc>
          <w:tcPr>
            <w:tcW w:w="254" w:type="pct"/>
            <w:vMerge w:val="continue"/>
            <w:tcBorders>
              <w:tl2br w:val="nil"/>
              <w:tr2bl w:val="nil"/>
            </w:tcBorders>
            <w:shd w:val="clear" w:color="auto" w:fill="auto"/>
            <w:noWrap/>
            <w:vAlign w:val="center"/>
          </w:tcPr>
          <w:p w14:paraId="57C3E2CF">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44AB0FA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01CDA4F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49.08</w:t>
            </w:r>
          </w:p>
        </w:tc>
        <w:tc>
          <w:tcPr>
            <w:tcW w:w="308" w:type="pct"/>
            <w:tcBorders>
              <w:tl2br w:val="nil"/>
              <w:tr2bl w:val="nil"/>
            </w:tcBorders>
            <w:shd w:val="clear" w:color="auto" w:fill="auto"/>
            <w:noWrap/>
            <w:vAlign w:val="center"/>
          </w:tcPr>
          <w:p w14:paraId="4337A09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18FCFD41">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68EA9E0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6E6EC76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485651F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34D2C99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5CAE4799">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3DB2891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428.5</w:t>
            </w:r>
          </w:p>
        </w:tc>
        <w:tc>
          <w:tcPr>
            <w:tcW w:w="296" w:type="pct"/>
            <w:tcBorders>
              <w:tl2br w:val="nil"/>
              <w:tr2bl w:val="nil"/>
            </w:tcBorders>
            <w:shd w:val="clear" w:color="auto" w:fill="auto"/>
            <w:noWrap/>
            <w:vAlign w:val="center"/>
          </w:tcPr>
          <w:p w14:paraId="400D9F6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349.5</w:t>
            </w:r>
          </w:p>
        </w:tc>
        <w:tc>
          <w:tcPr>
            <w:tcW w:w="254" w:type="pct"/>
            <w:tcBorders>
              <w:tl2br w:val="nil"/>
              <w:tr2bl w:val="nil"/>
            </w:tcBorders>
            <w:shd w:val="clear" w:color="auto" w:fill="auto"/>
            <w:noWrap/>
            <w:vAlign w:val="center"/>
          </w:tcPr>
          <w:p w14:paraId="4CC8EA1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4B0D787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5.8</w:t>
            </w:r>
          </w:p>
        </w:tc>
        <w:tc>
          <w:tcPr>
            <w:tcW w:w="417" w:type="pct"/>
            <w:tcBorders>
              <w:tl2br w:val="nil"/>
              <w:tr2bl w:val="nil"/>
            </w:tcBorders>
            <w:shd w:val="clear" w:color="auto" w:fill="auto"/>
            <w:noWrap/>
            <w:vAlign w:val="center"/>
          </w:tcPr>
          <w:p w14:paraId="23ACE5C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76.41</w:t>
            </w:r>
          </w:p>
        </w:tc>
        <w:tc>
          <w:tcPr>
            <w:tcW w:w="254" w:type="pct"/>
            <w:vMerge w:val="continue"/>
            <w:tcBorders>
              <w:tl2br w:val="nil"/>
              <w:tr2bl w:val="nil"/>
            </w:tcBorders>
            <w:shd w:val="clear" w:color="auto" w:fill="auto"/>
            <w:noWrap/>
            <w:vAlign w:val="center"/>
          </w:tcPr>
          <w:p w14:paraId="3279B42E">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08EF793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2E015FA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52.19</w:t>
            </w:r>
          </w:p>
        </w:tc>
        <w:tc>
          <w:tcPr>
            <w:tcW w:w="308" w:type="pct"/>
            <w:tcBorders>
              <w:tl2br w:val="nil"/>
              <w:tr2bl w:val="nil"/>
            </w:tcBorders>
            <w:shd w:val="clear" w:color="auto" w:fill="auto"/>
            <w:noWrap/>
            <w:vAlign w:val="center"/>
          </w:tcPr>
          <w:p w14:paraId="4A9B7C7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438409C8">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18302EC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0772285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635C1AF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引风机2</w:t>
            </w:r>
          </w:p>
        </w:tc>
        <w:tc>
          <w:tcPr>
            <w:tcW w:w="387" w:type="pct"/>
            <w:vMerge w:val="restart"/>
            <w:tcBorders>
              <w:tl2br w:val="nil"/>
              <w:tr2bl w:val="nil"/>
            </w:tcBorders>
            <w:shd w:val="clear" w:color="auto" w:fill="auto"/>
            <w:noWrap/>
            <w:vAlign w:val="center"/>
          </w:tcPr>
          <w:p w14:paraId="7B493BA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100</w:t>
            </w:r>
          </w:p>
        </w:tc>
        <w:tc>
          <w:tcPr>
            <w:tcW w:w="575" w:type="pct"/>
            <w:vMerge w:val="restart"/>
            <w:tcBorders>
              <w:tl2br w:val="nil"/>
              <w:tr2bl w:val="nil"/>
            </w:tcBorders>
            <w:shd w:val="clear" w:color="auto" w:fill="auto"/>
            <w:noWrap/>
            <w:vAlign w:val="center"/>
          </w:tcPr>
          <w:p w14:paraId="0B6AC26A">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进风口消声器</w:t>
            </w:r>
          </w:p>
          <w:p w14:paraId="7EBC8E2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管道外壳阻尼</w:t>
            </w:r>
          </w:p>
        </w:tc>
        <w:tc>
          <w:tcPr>
            <w:tcW w:w="284" w:type="pct"/>
            <w:tcBorders>
              <w:tl2br w:val="nil"/>
              <w:tr2bl w:val="nil"/>
            </w:tcBorders>
            <w:shd w:val="clear" w:color="auto" w:fill="auto"/>
            <w:noWrap/>
            <w:vAlign w:val="center"/>
          </w:tcPr>
          <w:p w14:paraId="7A1B7AB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421.2</w:t>
            </w:r>
          </w:p>
        </w:tc>
        <w:tc>
          <w:tcPr>
            <w:tcW w:w="296" w:type="pct"/>
            <w:tcBorders>
              <w:tl2br w:val="nil"/>
              <w:tr2bl w:val="nil"/>
            </w:tcBorders>
            <w:shd w:val="clear" w:color="auto" w:fill="auto"/>
            <w:noWrap/>
            <w:vAlign w:val="center"/>
          </w:tcPr>
          <w:p w14:paraId="63756C8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344.7</w:t>
            </w:r>
          </w:p>
        </w:tc>
        <w:tc>
          <w:tcPr>
            <w:tcW w:w="254" w:type="pct"/>
            <w:tcBorders>
              <w:tl2br w:val="nil"/>
              <w:tr2bl w:val="nil"/>
            </w:tcBorders>
            <w:shd w:val="clear" w:color="auto" w:fill="auto"/>
            <w:noWrap/>
            <w:vAlign w:val="center"/>
          </w:tcPr>
          <w:p w14:paraId="59EDF78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1A0D4D0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13.4</w:t>
            </w:r>
          </w:p>
        </w:tc>
        <w:tc>
          <w:tcPr>
            <w:tcW w:w="417" w:type="pct"/>
            <w:tcBorders>
              <w:tl2br w:val="nil"/>
              <w:tr2bl w:val="nil"/>
            </w:tcBorders>
            <w:shd w:val="clear" w:color="auto" w:fill="auto"/>
            <w:noWrap/>
            <w:vAlign w:val="center"/>
          </w:tcPr>
          <w:p w14:paraId="7E6AD3F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73.9</w:t>
            </w:r>
          </w:p>
        </w:tc>
        <w:tc>
          <w:tcPr>
            <w:tcW w:w="254" w:type="pct"/>
            <w:vMerge w:val="continue"/>
            <w:tcBorders>
              <w:tl2br w:val="nil"/>
              <w:tr2bl w:val="nil"/>
            </w:tcBorders>
            <w:shd w:val="clear" w:color="auto" w:fill="auto"/>
            <w:noWrap/>
            <w:vAlign w:val="center"/>
          </w:tcPr>
          <w:p w14:paraId="5D8B11B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49A13C5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094805A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49.68</w:t>
            </w:r>
          </w:p>
        </w:tc>
        <w:tc>
          <w:tcPr>
            <w:tcW w:w="308" w:type="pct"/>
            <w:tcBorders>
              <w:tl2br w:val="nil"/>
              <w:tr2bl w:val="nil"/>
            </w:tcBorders>
            <w:shd w:val="clear" w:color="auto" w:fill="auto"/>
            <w:noWrap/>
            <w:vAlign w:val="center"/>
          </w:tcPr>
          <w:p w14:paraId="1923150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55CF2F35">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1587A64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221DC93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399E90C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570B387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291BEA1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6C6EC65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421.2</w:t>
            </w:r>
          </w:p>
        </w:tc>
        <w:tc>
          <w:tcPr>
            <w:tcW w:w="296" w:type="pct"/>
            <w:tcBorders>
              <w:tl2br w:val="nil"/>
              <w:tr2bl w:val="nil"/>
            </w:tcBorders>
            <w:shd w:val="clear" w:color="auto" w:fill="auto"/>
            <w:noWrap/>
            <w:vAlign w:val="center"/>
          </w:tcPr>
          <w:p w14:paraId="426EEB0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344.7</w:t>
            </w:r>
          </w:p>
        </w:tc>
        <w:tc>
          <w:tcPr>
            <w:tcW w:w="254" w:type="pct"/>
            <w:tcBorders>
              <w:tl2br w:val="nil"/>
              <w:tr2bl w:val="nil"/>
            </w:tcBorders>
            <w:shd w:val="clear" w:color="auto" w:fill="auto"/>
            <w:noWrap/>
            <w:vAlign w:val="center"/>
          </w:tcPr>
          <w:p w14:paraId="6CE096C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3444C64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16</w:t>
            </w:r>
          </w:p>
        </w:tc>
        <w:tc>
          <w:tcPr>
            <w:tcW w:w="417" w:type="pct"/>
            <w:tcBorders>
              <w:tl2br w:val="nil"/>
              <w:tr2bl w:val="nil"/>
            </w:tcBorders>
            <w:shd w:val="clear" w:color="auto" w:fill="auto"/>
            <w:noWrap/>
            <w:vAlign w:val="center"/>
          </w:tcPr>
          <w:p w14:paraId="4226396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73.66</w:t>
            </w:r>
          </w:p>
        </w:tc>
        <w:tc>
          <w:tcPr>
            <w:tcW w:w="254" w:type="pct"/>
            <w:vMerge w:val="continue"/>
            <w:tcBorders>
              <w:tl2br w:val="nil"/>
              <w:tr2bl w:val="nil"/>
            </w:tcBorders>
            <w:shd w:val="clear" w:color="auto" w:fill="auto"/>
            <w:noWrap/>
            <w:vAlign w:val="center"/>
          </w:tcPr>
          <w:p w14:paraId="0B1176EF">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69E0A4F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1F7A4DD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49.44</w:t>
            </w:r>
          </w:p>
        </w:tc>
        <w:tc>
          <w:tcPr>
            <w:tcW w:w="308" w:type="pct"/>
            <w:tcBorders>
              <w:tl2br w:val="nil"/>
              <w:tr2bl w:val="nil"/>
            </w:tcBorders>
            <w:shd w:val="clear" w:color="auto" w:fill="auto"/>
            <w:noWrap/>
            <w:vAlign w:val="center"/>
          </w:tcPr>
          <w:p w14:paraId="1851C2B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7DF2919F">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36B88A2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4A34B54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00D1638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57994B3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2A2FA8B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4B8D74D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421.2</w:t>
            </w:r>
          </w:p>
        </w:tc>
        <w:tc>
          <w:tcPr>
            <w:tcW w:w="296" w:type="pct"/>
            <w:tcBorders>
              <w:tl2br w:val="nil"/>
              <w:tr2bl w:val="nil"/>
            </w:tcBorders>
            <w:shd w:val="clear" w:color="auto" w:fill="auto"/>
            <w:noWrap/>
            <w:vAlign w:val="center"/>
          </w:tcPr>
          <w:p w14:paraId="7DA8E81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344.7</w:t>
            </w:r>
          </w:p>
        </w:tc>
        <w:tc>
          <w:tcPr>
            <w:tcW w:w="254" w:type="pct"/>
            <w:tcBorders>
              <w:tl2br w:val="nil"/>
              <w:tr2bl w:val="nil"/>
            </w:tcBorders>
            <w:shd w:val="clear" w:color="auto" w:fill="auto"/>
            <w:noWrap/>
            <w:vAlign w:val="center"/>
          </w:tcPr>
          <w:p w14:paraId="3F6431E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3860205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17.5</w:t>
            </w:r>
          </w:p>
        </w:tc>
        <w:tc>
          <w:tcPr>
            <w:tcW w:w="417" w:type="pct"/>
            <w:tcBorders>
              <w:tl2br w:val="nil"/>
              <w:tr2bl w:val="nil"/>
            </w:tcBorders>
            <w:shd w:val="clear" w:color="auto" w:fill="auto"/>
            <w:noWrap/>
            <w:vAlign w:val="center"/>
          </w:tcPr>
          <w:p w14:paraId="5F1D5B8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73.57</w:t>
            </w:r>
          </w:p>
        </w:tc>
        <w:tc>
          <w:tcPr>
            <w:tcW w:w="254" w:type="pct"/>
            <w:vMerge w:val="continue"/>
            <w:tcBorders>
              <w:tl2br w:val="nil"/>
              <w:tr2bl w:val="nil"/>
            </w:tcBorders>
            <w:shd w:val="clear" w:color="auto" w:fill="auto"/>
            <w:noWrap/>
            <w:vAlign w:val="center"/>
          </w:tcPr>
          <w:p w14:paraId="40534060">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05C6F2D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37446AC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49.34</w:t>
            </w:r>
          </w:p>
        </w:tc>
        <w:tc>
          <w:tcPr>
            <w:tcW w:w="308" w:type="pct"/>
            <w:tcBorders>
              <w:tl2br w:val="nil"/>
              <w:tr2bl w:val="nil"/>
            </w:tcBorders>
            <w:shd w:val="clear" w:color="auto" w:fill="auto"/>
            <w:noWrap/>
            <w:vAlign w:val="center"/>
          </w:tcPr>
          <w:p w14:paraId="63F34FA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FDFA68E">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729B98E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3181310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6E1A4B1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6A4C061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08648C8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0B11AA1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421.2</w:t>
            </w:r>
          </w:p>
        </w:tc>
        <w:tc>
          <w:tcPr>
            <w:tcW w:w="296" w:type="pct"/>
            <w:tcBorders>
              <w:tl2br w:val="nil"/>
              <w:tr2bl w:val="nil"/>
            </w:tcBorders>
            <w:shd w:val="clear" w:color="auto" w:fill="auto"/>
            <w:noWrap/>
            <w:vAlign w:val="center"/>
          </w:tcPr>
          <w:p w14:paraId="7A632F1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344.7</w:t>
            </w:r>
          </w:p>
        </w:tc>
        <w:tc>
          <w:tcPr>
            <w:tcW w:w="254" w:type="pct"/>
            <w:tcBorders>
              <w:tl2br w:val="nil"/>
              <w:tr2bl w:val="nil"/>
            </w:tcBorders>
            <w:shd w:val="clear" w:color="auto" w:fill="auto"/>
            <w:noWrap/>
            <w:vAlign w:val="center"/>
          </w:tcPr>
          <w:p w14:paraId="1A611EB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7C44F44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10.6</w:t>
            </w:r>
          </w:p>
        </w:tc>
        <w:tc>
          <w:tcPr>
            <w:tcW w:w="417" w:type="pct"/>
            <w:tcBorders>
              <w:tl2br w:val="nil"/>
              <w:tr2bl w:val="nil"/>
            </w:tcBorders>
            <w:shd w:val="clear" w:color="auto" w:fill="auto"/>
            <w:noWrap/>
            <w:vAlign w:val="center"/>
          </w:tcPr>
          <w:p w14:paraId="7751BBD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74.35</w:t>
            </w:r>
          </w:p>
        </w:tc>
        <w:tc>
          <w:tcPr>
            <w:tcW w:w="254" w:type="pct"/>
            <w:vMerge w:val="continue"/>
            <w:tcBorders>
              <w:tl2br w:val="nil"/>
              <w:tr2bl w:val="nil"/>
            </w:tcBorders>
            <w:shd w:val="clear" w:color="auto" w:fill="auto"/>
            <w:noWrap/>
            <w:vAlign w:val="center"/>
          </w:tcPr>
          <w:p w14:paraId="6F0736DE">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1FEB766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4F19C75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50.12</w:t>
            </w:r>
          </w:p>
        </w:tc>
        <w:tc>
          <w:tcPr>
            <w:tcW w:w="308" w:type="pct"/>
            <w:tcBorders>
              <w:tl2br w:val="nil"/>
              <w:tr2bl w:val="nil"/>
            </w:tcBorders>
            <w:shd w:val="clear" w:color="auto" w:fill="auto"/>
            <w:noWrap/>
            <w:vAlign w:val="center"/>
          </w:tcPr>
          <w:p w14:paraId="5F1D67A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40F6A435">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7469F2C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restart"/>
            <w:tcBorders>
              <w:tl2br w:val="nil"/>
              <w:tr2bl w:val="nil"/>
            </w:tcBorders>
            <w:shd w:val="clear" w:color="auto" w:fill="auto"/>
            <w:noWrap/>
            <w:vAlign w:val="center"/>
          </w:tcPr>
          <w:p w14:paraId="6245339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2#汽轮机组</w:t>
            </w:r>
          </w:p>
        </w:tc>
        <w:tc>
          <w:tcPr>
            <w:tcW w:w="398" w:type="pct"/>
            <w:vMerge w:val="restart"/>
            <w:tcBorders>
              <w:tl2br w:val="nil"/>
              <w:tr2bl w:val="nil"/>
            </w:tcBorders>
            <w:shd w:val="clear" w:color="auto" w:fill="auto"/>
            <w:noWrap/>
            <w:vAlign w:val="center"/>
          </w:tcPr>
          <w:p w14:paraId="615EEB3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汽轮机</w:t>
            </w:r>
          </w:p>
        </w:tc>
        <w:tc>
          <w:tcPr>
            <w:tcW w:w="387" w:type="pct"/>
            <w:vMerge w:val="restart"/>
            <w:tcBorders>
              <w:tl2br w:val="nil"/>
              <w:tr2bl w:val="nil"/>
            </w:tcBorders>
            <w:shd w:val="clear" w:color="auto" w:fill="auto"/>
            <w:noWrap/>
            <w:vAlign w:val="center"/>
          </w:tcPr>
          <w:p w14:paraId="7902FA9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108</w:t>
            </w:r>
          </w:p>
        </w:tc>
        <w:tc>
          <w:tcPr>
            <w:tcW w:w="575" w:type="pct"/>
            <w:vMerge w:val="restart"/>
            <w:tcBorders>
              <w:tl2br w:val="nil"/>
              <w:tr2bl w:val="nil"/>
            </w:tcBorders>
            <w:shd w:val="clear" w:color="auto" w:fill="auto"/>
            <w:noWrap/>
            <w:vAlign w:val="center"/>
          </w:tcPr>
          <w:p w14:paraId="61DF9E06">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基础减振</w:t>
            </w:r>
          </w:p>
          <w:p w14:paraId="51D0D6D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厂房隔声</w:t>
            </w:r>
          </w:p>
        </w:tc>
        <w:tc>
          <w:tcPr>
            <w:tcW w:w="284" w:type="pct"/>
            <w:tcBorders>
              <w:tl2br w:val="nil"/>
              <w:tr2bl w:val="nil"/>
            </w:tcBorders>
            <w:shd w:val="clear" w:color="auto" w:fill="auto"/>
            <w:noWrap/>
            <w:vAlign w:val="center"/>
          </w:tcPr>
          <w:p w14:paraId="4406894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448.3</w:t>
            </w:r>
          </w:p>
        </w:tc>
        <w:tc>
          <w:tcPr>
            <w:tcW w:w="296" w:type="pct"/>
            <w:tcBorders>
              <w:tl2br w:val="nil"/>
              <w:tr2bl w:val="nil"/>
            </w:tcBorders>
            <w:shd w:val="clear" w:color="auto" w:fill="auto"/>
            <w:noWrap/>
            <w:vAlign w:val="center"/>
          </w:tcPr>
          <w:p w14:paraId="728F9AD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348.3</w:t>
            </w:r>
          </w:p>
        </w:tc>
        <w:tc>
          <w:tcPr>
            <w:tcW w:w="254" w:type="pct"/>
            <w:tcBorders>
              <w:tl2br w:val="nil"/>
              <w:tr2bl w:val="nil"/>
            </w:tcBorders>
            <w:shd w:val="clear" w:color="auto" w:fill="auto"/>
            <w:noWrap/>
            <w:vAlign w:val="center"/>
          </w:tcPr>
          <w:p w14:paraId="50A68E5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47D4EF8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30.58</w:t>
            </w:r>
          </w:p>
        </w:tc>
        <w:tc>
          <w:tcPr>
            <w:tcW w:w="417" w:type="pct"/>
            <w:tcBorders>
              <w:tl2br w:val="nil"/>
              <w:tr2bl w:val="nil"/>
            </w:tcBorders>
            <w:shd w:val="clear" w:color="auto" w:fill="auto"/>
            <w:noWrap/>
            <w:vAlign w:val="center"/>
          </w:tcPr>
          <w:p w14:paraId="0DFCB40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79.63</w:t>
            </w:r>
          </w:p>
        </w:tc>
        <w:tc>
          <w:tcPr>
            <w:tcW w:w="254" w:type="pct"/>
            <w:vMerge w:val="restart"/>
            <w:tcBorders>
              <w:tl2br w:val="nil"/>
              <w:tr2bl w:val="nil"/>
            </w:tcBorders>
            <w:shd w:val="clear" w:color="auto" w:fill="auto"/>
            <w:noWrap/>
            <w:vAlign w:val="center"/>
          </w:tcPr>
          <w:p w14:paraId="4D1D436A">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连续</w:t>
            </w:r>
          </w:p>
        </w:tc>
        <w:tc>
          <w:tcPr>
            <w:tcW w:w="447" w:type="pct"/>
            <w:tcBorders>
              <w:tl2br w:val="nil"/>
              <w:tr2bl w:val="nil"/>
            </w:tcBorders>
            <w:shd w:val="clear" w:color="auto" w:fill="auto"/>
            <w:noWrap/>
            <w:vAlign w:val="center"/>
          </w:tcPr>
          <w:p w14:paraId="6340BA6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429B5C2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58.41</w:t>
            </w:r>
          </w:p>
        </w:tc>
        <w:tc>
          <w:tcPr>
            <w:tcW w:w="308" w:type="pct"/>
            <w:tcBorders>
              <w:tl2br w:val="nil"/>
              <w:tr2bl w:val="nil"/>
            </w:tcBorders>
            <w:shd w:val="clear" w:color="auto" w:fill="auto"/>
            <w:noWrap/>
            <w:vAlign w:val="center"/>
          </w:tcPr>
          <w:p w14:paraId="1AC6626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3DEDB66">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1666314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1DDA59E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323A4D9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396F0B99">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220B209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041927E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448.3</w:t>
            </w:r>
          </w:p>
        </w:tc>
        <w:tc>
          <w:tcPr>
            <w:tcW w:w="296" w:type="pct"/>
            <w:tcBorders>
              <w:tl2br w:val="nil"/>
              <w:tr2bl w:val="nil"/>
            </w:tcBorders>
            <w:shd w:val="clear" w:color="auto" w:fill="auto"/>
            <w:noWrap/>
            <w:vAlign w:val="center"/>
          </w:tcPr>
          <w:p w14:paraId="6912D19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348.3</w:t>
            </w:r>
          </w:p>
        </w:tc>
        <w:tc>
          <w:tcPr>
            <w:tcW w:w="254" w:type="pct"/>
            <w:tcBorders>
              <w:tl2br w:val="nil"/>
              <w:tr2bl w:val="nil"/>
            </w:tcBorders>
            <w:shd w:val="clear" w:color="auto" w:fill="auto"/>
            <w:noWrap/>
            <w:vAlign w:val="center"/>
          </w:tcPr>
          <w:p w14:paraId="25DFEDC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05F94B3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22.45</w:t>
            </w:r>
          </w:p>
        </w:tc>
        <w:tc>
          <w:tcPr>
            <w:tcW w:w="417" w:type="pct"/>
            <w:tcBorders>
              <w:tl2br w:val="nil"/>
              <w:tr2bl w:val="nil"/>
            </w:tcBorders>
            <w:shd w:val="clear" w:color="auto" w:fill="auto"/>
            <w:noWrap/>
            <w:vAlign w:val="center"/>
          </w:tcPr>
          <w:p w14:paraId="1F55FE6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79.84</w:t>
            </w:r>
          </w:p>
        </w:tc>
        <w:tc>
          <w:tcPr>
            <w:tcW w:w="254" w:type="pct"/>
            <w:vMerge w:val="continue"/>
            <w:tcBorders>
              <w:tl2br w:val="nil"/>
              <w:tr2bl w:val="nil"/>
            </w:tcBorders>
            <w:shd w:val="clear" w:color="auto" w:fill="auto"/>
            <w:noWrap/>
            <w:vAlign w:val="center"/>
          </w:tcPr>
          <w:p w14:paraId="73272B25">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40CB095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1EAA8D5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58.62</w:t>
            </w:r>
          </w:p>
        </w:tc>
        <w:tc>
          <w:tcPr>
            <w:tcW w:w="308" w:type="pct"/>
            <w:tcBorders>
              <w:tl2br w:val="nil"/>
              <w:tr2bl w:val="nil"/>
            </w:tcBorders>
            <w:shd w:val="clear" w:color="auto" w:fill="auto"/>
            <w:noWrap/>
            <w:vAlign w:val="center"/>
          </w:tcPr>
          <w:p w14:paraId="75EBA4E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104DF453">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1440C63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002F897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46906FA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2FDCEE19">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2AAA0B3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40BC2F9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448.3</w:t>
            </w:r>
          </w:p>
        </w:tc>
        <w:tc>
          <w:tcPr>
            <w:tcW w:w="296" w:type="pct"/>
            <w:tcBorders>
              <w:tl2br w:val="nil"/>
              <w:tr2bl w:val="nil"/>
            </w:tcBorders>
            <w:shd w:val="clear" w:color="auto" w:fill="auto"/>
            <w:noWrap/>
            <w:vAlign w:val="center"/>
          </w:tcPr>
          <w:p w14:paraId="77A8675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348.3</w:t>
            </w:r>
          </w:p>
        </w:tc>
        <w:tc>
          <w:tcPr>
            <w:tcW w:w="254" w:type="pct"/>
            <w:tcBorders>
              <w:tl2br w:val="nil"/>
              <w:tr2bl w:val="nil"/>
            </w:tcBorders>
            <w:shd w:val="clear" w:color="auto" w:fill="auto"/>
            <w:noWrap/>
            <w:vAlign w:val="center"/>
          </w:tcPr>
          <w:p w14:paraId="55F48E1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011018F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12.83</w:t>
            </w:r>
          </w:p>
        </w:tc>
        <w:tc>
          <w:tcPr>
            <w:tcW w:w="417" w:type="pct"/>
            <w:tcBorders>
              <w:tl2br w:val="nil"/>
              <w:tr2bl w:val="nil"/>
            </w:tcBorders>
            <w:shd w:val="clear" w:color="auto" w:fill="auto"/>
            <w:noWrap/>
            <w:vAlign w:val="center"/>
          </w:tcPr>
          <w:p w14:paraId="7639D82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80.68</w:t>
            </w:r>
          </w:p>
        </w:tc>
        <w:tc>
          <w:tcPr>
            <w:tcW w:w="254" w:type="pct"/>
            <w:vMerge w:val="continue"/>
            <w:tcBorders>
              <w:tl2br w:val="nil"/>
              <w:tr2bl w:val="nil"/>
            </w:tcBorders>
            <w:shd w:val="clear" w:color="auto" w:fill="auto"/>
            <w:noWrap/>
            <w:vAlign w:val="center"/>
          </w:tcPr>
          <w:p w14:paraId="7A4FBC2B">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5357A30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3860D2C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59.46</w:t>
            </w:r>
          </w:p>
        </w:tc>
        <w:tc>
          <w:tcPr>
            <w:tcW w:w="308" w:type="pct"/>
            <w:tcBorders>
              <w:tl2br w:val="nil"/>
              <w:tr2bl w:val="nil"/>
            </w:tcBorders>
            <w:shd w:val="clear" w:color="auto" w:fill="auto"/>
            <w:noWrap/>
            <w:vAlign w:val="center"/>
          </w:tcPr>
          <w:p w14:paraId="6B78183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754FA6CC">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5CB3640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42ABE945">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21004A2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4ABAE36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443F966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009D01F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448.3</w:t>
            </w:r>
          </w:p>
        </w:tc>
        <w:tc>
          <w:tcPr>
            <w:tcW w:w="296" w:type="pct"/>
            <w:tcBorders>
              <w:tl2br w:val="nil"/>
              <w:tr2bl w:val="nil"/>
            </w:tcBorders>
            <w:shd w:val="clear" w:color="auto" w:fill="auto"/>
            <w:noWrap/>
            <w:vAlign w:val="center"/>
          </w:tcPr>
          <w:p w14:paraId="43FFE31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348.3</w:t>
            </w:r>
          </w:p>
        </w:tc>
        <w:tc>
          <w:tcPr>
            <w:tcW w:w="254" w:type="pct"/>
            <w:tcBorders>
              <w:tl2br w:val="nil"/>
              <w:tr2bl w:val="nil"/>
            </w:tcBorders>
            <w:shd w:val="clear" w:color="auto" w:fill="auto"/>
            <w:noWrap/>
            <w:vAlign w:val="center"/>
          </w:tcPr>
          <w:p w14:paraId="7E1153F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434D34B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10.35</w:t>
            </w:r>
          </w:p>
        </w:tc>
        <w:tc>
          <w:tcPr>
            <w:tcW w:w="417" w:type="pct"/>
            <w:tcBorders>
              <w:tl2br w:val="nil"/>
              <w:tr2bl w:val="nil"/>
            </w:tcBorders>
            <w:shd w:val="clear" w:color="auto" w:fill="auto"/>
            <w:noWrap/>
            <w:vAlign w:val="center"/>
          </w:tcPr>
          <w:p w14:paraId="6DFB585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81.25</w:t>
            </w:r>
          </w:p>
        </w:tc>
        <w:tc>
          <w:tcPr>
            <w:tcW w:w="254" w:type="pct"/>
            <w:vMerge w:val="continue"/>
            <w:tcBorders>
              <w:tl2br w:val="nil"/>
              <w:tr2bl w:val="nil"/>
            </w:tcBorders>
            <w:shd w:val="clear" w:color="auto" w:fill="auto"/>
            <w:noWrap/>
            <w:vAlign w:val="center"/>
          </w:tcPr>
          <w:p w14:paraId="79815E91">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71EB88D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22D7D63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60.03</w:t>
            </w:r>
          </w:p>
        </w:tc>
        <w:tc>
          <w:tcPr>
            <w:tcW w:w="308" w:type="pct"/>
            <w:tcBorders>
              <w:tl2br w:val="nil"/>
              <w:tr2bl w:val="nil"/>
            </w:tcBorders>
            <w:shd w:val="clear" w:color="auto" w:fill="auto"/>
            <w:noWrap/>
            <w:vAlign w:val="center"/>
          </w:tcPr>
          <w:p w14:paraId="243C584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68541E26">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6A05D1D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4516784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56E17C3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发电机</w:t>
            </w:r>
          </w:p>
        </w:tc>
        <w:tc>
          <w:tcPr>
            <w:tcW w:w="387" w:type="pct"/>
            <w:vMerge w:val="restart"/>
            <w:tcBorders>
              <w:tl2br w:val="nil"/>
              <w:tr2bl w:val="nil"/>
            </w:tcBorders>
            <w:shd w:val="clear" w:color="auto" w:fill="auto"/>
            <w:noWrap/>
            <w:vAlign w:val="center"/>
          </w:tcPr>
          <w:p w14:paraId="603091F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108</w:t>
            </w:r>
          </w:p>
        </w:tc>
        <w:tc>
          <w:tcPr>
            <w:tcW w:w="575" w:type="pct"/>
            <w:vMerge w:val="restart"/>
            <w:tcBorders>
              <w:tl2br w:val="nil"/>
              <w:tr2bl w:val="nil"/>
            </w:tcBorders>
            <w:shd w:val="clear" w:color="auto" w:fill="auto"/>
            <w:noWrap/>
            <w:vAlign w:val="center"/>
          </w:tcPr>
          <w:p w14:paraId="059607BE">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基础减振</w:t>
            </w:r>
          </w:p>
          <w:p w14:paraId="59C44EE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厂房隔声</w:t>
            </w:r>
          </w:p>
        </w:tc>
        <w:tc>
          <w:tcPr>
            <w:tcW w:w="284" w:type="pct"/>
            <w:tcBorders>
              <w:tl2br w:val="nil"/>
              <w:tr2bl w:val="nil"/>
            </w:tcBorders>
            <w:shd w:val="clear" w:color="auto" w:fill="auto"/>
            <w:noWrap/>
            <w:vAlign w:val="center"/>
          </w:tcPr>
          <w:p w14:paraId="082D3F1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463.9</w:t>
            </w:r>
          </w:p>
        </w:tc>
        <w:tc>
          <w:tcPr>
            <w:tcW w:w="296" w:type="pct"/>
            <w:tcBorders>
              <w:tl2br w:val="nil"/>
              <w:tr2bl w:val="nil"/>
            </w:tcBorders>
            <w:shd w:val="clear" w:color="auto" w:fill="auto"/>
            <w:noWrap/>
            <w:vAlign w:val="center"/>
          </w:tcPr>
          <w:p w14:paraId="52F7CEF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345.6</w:t>
            </w:r>
          </w:p>
        </w:tc>
        <w:tc>
          <w:tcPr>
            <w:tcW w:w="254" w:type="pct"/>
            <w:tcBorders>
              <w:tl2br w:val="nil"/>
              <w:tr2bl w:val="nil"/>
            </w:tcBorders>
            <w:shd w:val="clear" w:color="auto" w:fill="auto"/>
            <w:noWrap/>
            <w:vAlign w:val="center"/>
          </w:tcPr>
          <w:p w14:paraId="331E862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359262E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14.95</w:t>
            </w:r>
          </w:p>
        </w:tc>
        <w:tc>
          <w:tcPr>
            <w:tcW w:w="417" w:type="pct"/>
            <w:tcBorders>
              <w:tl2br w:val="nil"/>
              <w:tr2bl w:val="nil"/>
            </w:tcBorders>
            <w:shd w:val="clear" w:color="auto" w:fill="auto"/>
            <w:noWrap/>
            <w:vAlign w:val="center"/>
          </w:tcPr>
          <w:p w14:paraId="034B830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80.37</w:t>
            </w:r>
          </w:p>
        </w:tc>
        <w:tc>
          <w:tcPr>
            <w:tcW w:w="254" w:type="pct"/>
            <w:vMerge w:val="continue"/>
            <w:tcBorders>
              <w:tl2br w:val="nil"/>
              <w:tr2bl w:val="nil"/>
            </w:tcBorders>
            <w:shd w:val="clear" w:color="auto" w:fill="auto"/>
            <w:noWrap/>
            <w:vAlign w:val="center"/>
          </w:tcPr>
          <w:p w14:paraId="685C797C">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3345344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252BA55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59.15</w:t>
            </w:r>
          </w:p>
        </w:tc>
        <w:tc>
          <w:tcPr>
            <w:tcW w:w="308" w:type="pct"/>
            <w:tcBorders>
              <w:tl2br w:val="nil"/>
              <w:tr2bl w:val="nil"/>
            </w:tcBorders>
            <w:shd w:val="clear" w:color="auto" w:fill="auto"/>
            <w:noWrap/>
            <w:vAlign w:val="center"/>
          </w:tcPr>
          <w:p w14:paraId="6A5EBD5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1E94CD0B">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707F9D7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4E6DB9C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62F3267D">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20BF0D9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52D5C5A5">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7627907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463.9</w:t>
            </w:r>
          </w:p>
        </w:tc>
        <w:tc>
          <w:tcPr>
            <w:tcW w:w="296" w:type="pct"/>
            <w:tcBorders>
              <w:tl2br w:val="nil"/>
              <w:tr2bl w:val="nil"/>
            </w:tcBorders>
            <w:shd w:val="clear" w:color="auto" w:fill="auto"/>
            <w:noWrap/>
            <w:vAlign w:val="center"/>
          </w:tcPr>
          <w:p w14:paraId="09910E9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345.6</w:t>
            </w:r>
          </w:p>
        </w:tc>
        <w:tc>
          <w:tcPr>
            <w:tcW w:w="254" w:type="pct"/>
            <w:tcBorders>
              <w:tl2br w:val="nil"/>
              <w:tr2bl w:val="nil"/>
            </w:tcBorders>
            <w:shd w:val="clear" w:color="auto" w:fill="auto"/>
            <w:noWrap/>
            <w:vAlign w:val="center"/>
          </w:tcPr>
          <w:p w14:paraId="526A6DF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4D7F296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19.93</w:t>
            </w:r>
          </w:p>
        </w:tc>
        <w:tc>
          <w:tcPr>
            <w:tcW w:w="417" w:type="pct"/>
            <w:tcBorders>
              <w:tl2br w:val="nil"/>
              <w:tr2bl w:val="nil"/>
            </w:tcBorders>
            <w:shd w:val="clear" w:color="auto" w:fill="auto"/>
            <w:noWrap/>
            <w:vAlign w:val="center"/>
          </w:tcPr>
          <w:p w14:paraId="4415D57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79.96</w:t>
            </w:r>
          </w:p>
        </w:tc>
        <w:tc>
          <w:tcPr>
            <w:tcW w:w="254" w:type="pct"/>
            <w:vMerge w:val="continue"/>
            <w:tcBorders>
              <w:tl2br w:val="nil"/>
              <w:tr2bl w:val="nil"/>
            </w:tcBorders>
            <w:shd w:val="clear" w:color="auto" w:fill="auto"/>
            <w:noWrap/>
            <w:vAlign w:val="center"/>
          </w:tcPr>
          <w:p w14:paraId="43141A8F">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070A5DC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54E2C3C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58.74</w:t>
            </w:r>
          </w:p>
        </w:tc>
        <w:tc>
          <w:tcPr>
            <w:tcW w:w="308" w:type="pct"/>
            <w:tcBorders>
              <w:tl2br w:val="nil"/>
              <w:tr2bl w:val="nil"/>
            </w:tcBorders>
            <w:shd w:val="clear" w:color="auto" w:fill="auto"/>
            <w:noWrap/>
            <w:vAlign w:val="center"/>
          </w:tcPr>
          <w:p w14:paraId="04F06EC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4622AB93">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42634B4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6EA3351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3248D4A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1E14B0F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28577F0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13E6DF5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463.9</w:t>
            </w:r>
          </w:p>
        </w:tc>
        <w:tc>
          <w:tcPr>
            <w:tcW w:w="296" w:type="pct"/>
            <w:tcBorders>
              <w:tl2br w:val="nil"/>
              <w:tr2bl w:val="nil"/>
            </w:tcBorders>
            <w:shd w:val="clear" w:color="auto" w:fill="auto"/>
            <w:noWrap/>
            <w:vAlign w:val="center"/>
          </w:tcPr>
          <w:p w14:paraId="3ADDFE3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345.6</w:t>
            </w:r>
          </w:p>
        </w:tc>
        <w:tc>
          <w:tcPr>
            <w:tcW w:w="254" w:type="pct"/>
            <w:tcBorders>
              <w:tl2br w:val="nil"/>
              <w:tr2bl w:val="nil"/>
            </w:tcBorders>
            <w:shd w:val="clear" w:color="auto" w:fill="auto"/>
            <w:noWrap/>
            <w:vAlign w:val="center"/>
          </w:tcPr>
          <w:p w14:paraId="2CAFD54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7C4DD39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28.46</w:t>
            </w:r>
          </w:p>
        </w:tc>
        <w:tc>
          <w:tcPr>
            <w:tcW w:w="417" w:type="pct"/>
            <w:tcBorders>
              <w:tl2br w:val="nil"/>
              <w:tr2bl w:val="nil"/>
            </w:tcBorders>
            <w:shd w:val="clear" w:color="auto" w:fill="auto"/>
            <w:noWrap/>
            <w:vAlign w:val="center"/>
          </w:tcPr>
          <w:p w14:paraId="3CBF120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79.67</w:t>
            </w:r>
          </w:p>
        </w:tc>
        <w:tc>
          <w:tcPr>
            <w:tcW w:w="254" w:type="pct"/>
            <w:vMerge w:val="continue"/>
            <w:tcBorders>
              <w:tl2br w:val="nil"/>
              <w:tr2bl w:val="nil"/>
            </w:tcBorders>
            <w:shd w:val="clear" w:color="auto" w:fill="auto"/>
            <w:noWrap/>
            <w:vAlign w:val="center"/>
          </w:tcPr>
          <w:p w14:paraId="11A781BB">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0674B2F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6CFBF11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58.45</w:t>
            </w:r>
          </w:p>
        </w:tc>
        <w:tc>
          <w:tcPr>
            <w:tcW w:w="308" w:type="pct"/>
            <w:tcBorders>
              <w:tl2br w:val="nil"/>
              <w:tr2bl w:val="nil"/>
            </w:tcBorders>
            <w:shd w:val="clear" w:color="auto" w:fill="auto"/>
            <w:noWrap/>
            <w:vAlign w:val="center"/>
          </w:tcPr>
          <w:p w14:paraId="492E5EE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6DC9A993">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603105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617103D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64F4BBD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6B4B514D">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12BA126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40288EE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463.9</w:t>
            </w:r>
          </w:p>
        </w:tc>
        <w:tc>
          <w:tcPr>
            <w:tcW w:w="296" w:type="pct"/>
            <w:tcBorders>
              <w:tl2br w:val="nil"/>
              <w:tr2bl w:val="nil"/>
            </w:tcBorders>
            <w:shd w:val="clear" w:color="auto" w:fill="auto"/>
            <w:noWrap/>
            <w:vAlign w:val="center"/>
          </w:tcPr>
          <w:p w14:paraId="396A1A2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345.6</w:t>
            </w:r>
          </w:p>
        </w:tc>
        <w:tc>
          <w:tcPr>
            <w:tcW w:w="254" w:type="pct"/>
            <w:tcBorders>
              <w:tl2br w:val="nil"/>
              <w:tr2bl w:val="nil"/>
            </w:tcBorders>
            <w:shd w:val="clear" w:color="auto" w:fill="auto"/>
            <w:noWrap/>
            <w:vAlign w:val="center"/>
          </w:tcPr>
          <w:p w14:paraId="32A64D9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1388EDA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12.87</w:t>
            </w:r>
          </w:p>
        </w:tc>
        <w:tc>
          <w:tcPr>
            <w:tcW w:w="417" w:type="pct"/>
            <w:tcBorders>
              <w:tl2br w:val="nil"/>
              <w:tr2bl w:val="nil"/>
            </w:tcBorders>
            <w:shd w:val="clear" w:color="auto" w:fill="auto"/>
            <w:noWrap/>
            <w:vAlign w:val="center"/>
          </w:tcPr>
          <w:p w14:paraId="7BFA5B5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80.67</w:t>
            </w:r>
          </w:p>
        </w:tc>
        <w:tc>
          <w:tcPr>
            <w:tcW w:w="254" w:type="pct"/>
            <w:vMerge w:val="continue"/>
            <w:tcBorders>
              <w:tl2br w:val="nil"/>
              <w:tr2bl w:val="nil"/>
            </w:tcBorders>
            <w:shd w:val="clear" w:color="auto" w:fill="auto"/>
            <w:noWrap/>
            <w:vAlign w:val="center"/>
          </w:tcPr>
          <w:p w14:paraId="38EB057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081E4A2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499BA9E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59.45</w:t>
            </w:r>
          </w:p>
        </w:tc>
        <w:tc>
          <w:tcPr>
            <w:tcW w:w="308" w:type="pct"/>
            <w:tcBorders>
              <w:tl2br w:val="nil"/>
              <w:tr2bl w:val="nil"/>
            </w:tcBorders>
            <w:shd w:val="clear" w:color="auto" w:fill="auto"/>
            <w:noWrap/>
            <w:vAlign w:val="center"/>
          </w:tcPr>
          <w:p w14:paraId="1AB83E7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16A5157D">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677411B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restart"/>
            <w:tcBorders>
              <w:tl2br w:val="nil"/>
              <w:tr2bl w:val="nil"/>
            </w:tcBorders>
            <w:shd w:val="clear" w:color="auto" w:fill="auto"/>
            <w:noWrap/>
            <w:vAlign w:val="center"/>
          </w:tcPr>
          <w:p w14:paraId="2225007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1#锅炉</w:t>
            </w:r>
            <w:r>
              <w:rPr>
                <w:rFonts w:hint="eastAsia" w:ascii="Times New Roman" w:hAnsi="Times New Roman" w:eastAsia="宋体" w:cs="Times New Roman"/>
                <w:color w:val="FF0000"/>
                <w:sz w:val="21"/>
                <w:szCs w:val="21"/>
                <w:highlight w:val="none"/>
                <w:lang w:val="en-US" w:eastAsia="zh-CN"/>
              </w:rPr>
              <w:t>房</w:t>
            </w:r>
            <w:r>
              <w:rPr>
                <w:rFonts w:hint="default" w:ascii="Times New Roman" w:hAnsi="Times New Roman" w:eastAsia="宋体" w:cs="Times New Roman"/>
                <w:color w:val="FF0000"/>
                <w:sz w:val="21"/>
                <w:szCs w:val="21"/>
                <w:highlight w:val="none"/>
                <w:lang w:val="en-US" w:eastAsia="zh-CN"/>
              </w:rPr>
              <w:t>（240t/h锅炉）</w:t>
            </w:r>
          </w:p>
        </w:tc>
        <w:tc>
          <w:tcPr>
            <w:tcW w:w="398" w:type="pct"/>
            <w:vMerge w:val="restart"/>
            <w:tcBorders>
              <w:tl2br w:val="nil"/>
              <w:tr2bl w:val="nil"/>
            </w:tcBorders>
            <w:shd w:val="clear" w:color="auto" w:fill="auto"/>
            <w:noWrap/>
            <w:vAlign w:val="center"/>
          </w:tcPr>
          <w:p w14:paraId="55F8860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碎煤机</w:t>
            </w:r>
          </w:p>
        </w:tc>
        <w:tc>
          <w:tcPr>
            <w:tcW w:w="387" w:type="pct"/>
            <w:vMerge w:val="restart"/>
            <w:tcBorders>
              <w:tl2br w:val="nil"/>
              <w:tr2bl w:val="nil"/>
            </w:tcBorders>
            <w:shd w:val="clear" w:color="auto" w:fill="auto"/>
            <w:noWrap/>
            <w:vAlign w:val="center"/>
          </w:tcPr>
          <w:p w14:paraId="19126DB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95</w:t>
            </w:r>
          </w:p>
        </w:tc>
        <w:tc>
          <w:tcPr>
            <w:tcW w:w="575" w:type="pct"/>
            <w:vMerge w:val="restart"/>
            <w:tcBorders>
              <w:tl2br w:val="nil"/>
              <w:tr2bl w:val="nil"/>
            </w:tcBorders>
            <w:shd w:val="clear" w:color="auto" w:fill="auto"/>
            <w:noWrap/>
            <w:vAlign w:val="center"/>
          </w:tcPr>
          <w:p w14:paraId="7C7E8FB1">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隔声罩壳</w:t>
            </w:r>
          </w:p>
          <w:p w14:paraId="652013C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厂房隔声</w:t>
            </w:r>
          </w:p>
        </w:tc>
        <w:tc>
          <w:tcPr>
            <w:tcW w:w="284" w:type="pct"/>
            <w:tcBorders>
              <w:tl2br w:val="nil"/>
              <w:tr2bl w:val="nil"/>
            </w:tcBorders>
            <w:shd w:val="clear" w:color="auto" w:fill="auto"/>
            <w:noWrap/>
            <w:vAlign w:val="center"/>
          </w:tcPr>
          <w:p w14:paraId="234FA02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408.7</w:t>
            </w:r>
          </w:p>
        </w:tc>
        <w:tc>
          <w:tcPr>
            <w:tcW w:w="296" w:type="pct"/>
            <w:tcBorders>
              <w:tl2br w:val="nil"/>
              <w:tr2bl w:val="nil"/>
            </w:tcBorders>
            <w:shd w:val="clear" w:color="auto" w:fill="auto"/>
            <w:noWrap/>
            <w:vAlign w:val="center"/>
          </w:tcPr>
          <w:p w14:paraId="50CB998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323.6</w:t>
            </w:r>
          </w:p>
        </w:tc>
        <w:tc>
          <w:tcPr>
            <w:tcW w:w="254" w:type="pct"/>
            <w:tcBorders>
              <w:tl2br w:val="nil"/>
              <w:tr2bl w:val="nil"/>
            </w:tcBorders>
            <w:shd w:val="clear" w:color="auto" w:fill="auto"/>
            <w:noWrap/>
            <w:vAlign w:val="center"/>
          </w:tcPr>
          <w:p w14:paraId="30CE4AD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196E36B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26.3</w:t>
            </w:r>
          </w:p>
        </w:tc>
        <w:tc>
          <w:tcPr>
            <w:tcW w:w="417" w:type="pct"/>
            <w:tcBorders>
              <w:tl2br w:val="nil"/>
              <w:tr2bl w:val="nil"/>
            </w:tcBorders>
            <w:shd w:val="clear" w:color="auto" w:fill="auto"/>
            <w:noWrap/>
            <w:vAlign w:val="center"/>
          </w:tcPr>
          <w:p w14:paraId="1EEA222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68.34</w:t>
            </w:r>
          </w:p>
        </w:tc>
        <w:tc>
          <w:tcPr>
            <w:tcW w:w="254" w:type="pct"/>
            <w:vMerge w:val="restart"/>
            <w:tcBorders>
              <w:tl2br w:val="nil"/>
              <w:tr2bl w:val="nil"/>
            </w:tcBorders>
            <w:shd w:val="clear" w:color="auto" w:fill="auto"/>
            <w:noWrap/>
            <w:vAlign w:val="center"/>
          </w:tcPr>
          <w:p w14:paraId="5C5EE8B7">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连续</w:t>
            </w:r>
          </w:p>
        </w:tc>
        <w:tc>
          <w:tcPr>
            <w:tcW w:w="447" w:type="pct"/>
            <w:tcBorders>
              <w:tl2br w:val="nil"/>
              <w:tr2bl w:val="nil"/>
            </w:tcBorders>
            <w:shd w:val="clear" w:color="auto" w:fill="auto"/>
            <w:noWrap/>
            <w:vAlign w:val="center"/>
          </w:tcPr>
          <w:p w14:paraId="1477392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26AE565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44.11</w:t>
            </w:r>
          </w:p>
        </w:tc>
        <w:tc>
          <w:tcPr>
            <w:tcW w:w="308" w:type="pct"/>
            <w:tcBorders>
              <w:tl2br w:val="nil"/>
              <w:tr2bl w:val="nil"/>
            </w:tcBorders>
            <w:shd w:val="clear" w:color="auto" w:fill="auto"/>
            <w:noWrap/>
            <w:vAlign w:val="center"/>
          </w:tcPr>
          <w:p w14:paraId="27FED69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57BE0565">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4128814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72879A9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254BE189">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23DE334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5AAA26F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3064199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408.7</w:t>
            </w:r>
          </w:p>
        </w:tc>
        <w:tc>
          <w:tcPr>
            <w:tcW w:w="296" w:type="pct"/>
            <w:tcBorders>
              <w:tl2br w:val="nil"/>
              <w:tr2bl w:val="nil"/>
            </w:tcBorders>
            <w:shd w:val="clear" w:color="auto" w:fill="auto"/>
            <w:noWrap/>
            <w:vAlign w:val="center"/>
          </w:tcPr>
          <w:p w14:paraId="7C3CBB6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323.6</w:t>
            </w:r>
          </w:p>
        </w:tc>
        <w:tc>
          <w:tcPr>
            <w:tcW w:w="254" w:type="pct"/>
            <w:tcBorders>
              <w:tl2br w:val="nil"/>
              <w:tr2bl w:val="nil"/>
            </w:tcBorders>
            <w:shd w:val="clear" w:color="auto" w:fill="auto"/>
            <w:noWrap/>
            <w:vAlign w:val="center"/>
          </w:tcPr>
          <w:p w14:paraId="218864B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42BE4B7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20.2</w:t>
            </w:r>
          </w:p>
        </w:tc>
        <w:tc>
          <w:tcPr>
            <w:tcW w:w="417" w:type="pct"/>
            <w:tcBorders>
              <w:tl2br w:val="nil"/>
              <w:tr2bl w:val="nil"/>
            </w:tcBorders>
            <w:shd w:val="clear" w:color="auto" w:fill="auto"/>
            <w:noWrap/>
            <w:vAlign w:val="center"/>
          </w:tcPr>
          <w:p w14:paraId="45B7014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68.5</w:t>
            </w:r>
          </w:p>
        </w:tc>
        <w:tc>
          <w:tcPr>
            <w:tcW w:w="254" w:type="pct"/>
            <w:vMerge w:val="continue"/>
            <w:tcBorders>
              <w:tl2br w:val="nil"/>
              <w:tr2bl w:val="nil"/>
            </w:tcBorders>
            <w:shd w:val="clear" w:color="auto" w:fill="auto"/>
            <w:noWrap/>
            <w:vAlign w:val="center"/>
          </w:tcPr>
          <w:p w14:paraId="50253969">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0E464CF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6D414EC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44.27</w:t>
            </w:r>
          </w:p>
        </w:tc>
        <w:tc>
          <w:tcPr>
            <w:tcW w:w="308" w:type="pct"/>
            <w:tcBorders>
              <w:tl2br w:val="nil"/>
              <w:tr2bl w:val="nil"/>
            </w:tcBorders>
            <w:shd w:val="clear" w:color="auto" w:fill="auto"/>
            <w:noWrap/>
            <w:vAlign w:val="center"/>
          </w:tcPr>
          <w:p w14:paraId="564DE1E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73B6AE2B">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30D2169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502F4E2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1FFE468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19F0234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10C6B7F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66C8A59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408.7</w:t>
            </w:r>
          </w:p>
        </w:tc>
        <w:tc>
          <w:tcPr>
            <w:tcW w:w="296" w:type="pct"/>
            <w:tcBorders>
              <w:tl2br w:val="nil"/>
              <w:tr2bl w:val="nil"/>
            </w:tcBorders>
            <w:shd w:val="clear" w:color="auto" w:fill="auto"/>
            <w:noWrap/>
            <w:vAlign w:val="center"/>
          </w:tcPr>
          <w:p w14:paraId="5EB45A8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323.6</w:t>
            </w:r>
          </w:p>
        </w:tc>
        <w:tc>
          <w:tcPr>
            <w:tcW w:w="254" w:type="pct"/>
            <w:tcBorders>
              <w:tl2br w:val="nil"/>
              <w:tr2bl w:val="nil"/>
            </w:tcBorders>
            <w:shd w:val="clear" w:color="auto" w:fill="auto"/>
            <w:noWrap/>
            <w:vAlign w:val="center"/>
          </w:tcPr>
          <w:p w14:paraId="6236365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7335E36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5.3</w:t>
            </w:r>
          </w:p>
        </w:tc>
        <w:tc>
          <w:tcPr>
            <w:tcW w:w="417" w:type="pct"/>
            <w:tcBorders>
              <w:tl2br w:val="nil"/>
              <w:tr2bl w:val="nil"/>
            </w:tcBorders>
            <w:shd w:val="clear" w:color="auto" w:fill="auto"/>
            <w:noWrap/>
            <w:vAlign w:val="center"/>
          </w:tcPr>
          <w:p w14:paraId="1271954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71.88</w:t>
            </w:r>
          </w:p>
        </w:tc>
        <w:tc>
          <w:tcPr>
            <w:tcW w:w="254" w:type="pct"/>
            <w:vMerge w:val="continue"/>
            <w:tcBorders>
              <w:tl2br w:val="nil"/>
              <w:tr2bl w:val="nil"/>
            </w:tcBorders>
            <w:shd w:val="clear" w:color="auto" w:fill="auto"/>
            <w:noWrap/>
            <w:vAlign w:val="center"/>
          </w:tcPr>
          <w:p w14:paraId="2BFED0E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738E75D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0449529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47.65</w:t>
            </w:r>
          </w:p>
        </w:tc>
        <w:tc>
          <w:tcPr>
            <w:tcW w:w="308" w:type="pct"/>
            <w:tcBorders>
              <w:tl2br w:val="nil"/>
              <w:tr2bl w:val="nil"/>
            </w:tcBorders>
            <w:shd w:val="clear" w:color="auto" w:fill="auto"/>
            <w:noWrap/>
            <w:vAlign w:val="center"/>
          </w:tcPr>
          <w:p w14:paraId="494088E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6CA67B5">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2EDAF80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1077118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0A3B0DA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08476B4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7FBE982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3365782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408.7</w:t>
            </w:r>
          </w:p>
        </w:tc>
        <w:tc>
          <w:tcPr>
            <w:tcW w:w="296" w:type="pct"/>
            <w:tcBorders>
              <w:tl2br w:val="nil"/>
              <w:tr2bl w:val="nil"/>
            </w:tcBorders>
            <w:shd w:val="clear" w:color="auto" w:fill="auto"/>
            <w:noWrap/>
            <w:vAlign w:val="center"/>
          </w:tcPr>
          <w:p w14:paraId="263251D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323.6</w:t>
            </w:r>
          </w:p>
        </w:tc>
        <w:tc>
          <w:tcPr>
            <w:tcW w:w="254" w:type="pct"/>
            <w:tcBorders>
              <w:tl2br w:val="nil"/>
              <w:tr2bl w:val="nil"/>
            </w:tcBorders>
            <w:shd w:val="clear" w:color="auto" w:fill="auto"/>
            <w:noWrap/>
            <w:vAlign w:val="center"/>
          </w:tcPr>
          <w:p w14:paraId="6D6572C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1E93B42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5.2</w:t>
            </w:r>
          </w:p>
        </w:tc>
        <w:tc>
          <w:tcPr>
            <w:tcW w:w="417" w:type="pct"/>
            <w:tcBorders>
              <w:tl2br w:val="nil"/>
              <w:tr2bl w:val="nil"/>
            </w:tcBorders>
            <w:shd w:val="clear" w:color="auto" w:fill="auto"/>
            <w:noWrap/>
            <w:vAlign w:val="center"/>
          </w:tcPr>
          <w:p w14:paraId="44F3F69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71.98</w:t>
            </w:r>
          </w:p>
        </w:tc>
        <w:tc>
          <w:tcPr>
            <w:tcW w:w="254" w:type="pct"/>
            <w:vMerge w:val="continue"/>
            <w:tcBorders>
              <w:tl2br w:val="nil"/>
              <w:tr2bl w:val="nil"/>
            </w:tcBorders>
            <w:shd w:val="clear" w:color="auto" w:fill="auto"/>
            <w:noWrap/>
            <w:vAlign w:val="center"/>
          </w:tcPr>
          <w:p w14:paraId="64509211">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6B85C84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59DE1F3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47.75</w:t>
            </w:r>
          </w:p>
        </w:tc>
        <w:tc>
          <w:tcPr>
            <w:tcW w:w="308" w:type="pct"/>
            <w:tcBorders>
              <w:tl2br w:val="nil"/>
              <w:tr2bl w:val="nil"/>
            </w:tcBorders>
            <w:shd w:val="clear" w:color="auto" w:fill="auto"/>
            <w:noWrap/>
            <w:vAlign w:val="center"/>
          </w:tcPr>
          <w:p w14:paraId="2A1B5F9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69D03D6B">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5AB9B4A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6619231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50A9209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一次风机</w:t>
            </w:r>
          </w:p>
        </w:tc>
        <w:tc>
          <w:tcPr>
            <w:tcW w:w="387" w:type="pct"/>
            <w:vMerge w:val="restart"/>
            <w:tcBorders>
              <w:tl2br w:val="nil"/>
              <w:tr2bl w:val="nil"/>
            </w:tcBorders>
            <w:shd w:val="clear" w:color="auto" w:fill="auto"/>
            <w:noWrap/>
            <w:vAlign w:val="center"/>
          </w:tcPr>
          <w:p w14:paraId="137F352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105</w:t>
            </w:r>
          </w:p>
        </w:tc>
        <w:tc>
          <w:tcPr>
            <w:tcW w:w="575" w:type="pct"/>
            <w:vMerge w:val="restart"/>
            <w:tcBorders>
              <w:tl2br w:val="nil"/>
              <w:tr2bl w:val="nil"/>
            </w:tcBorders>
            <w:shd w:val="clear" w:color="auto" w:fill="auto"/>
            <w:noWrap/>
            <w:vAlign w:val="center"/>
          </w:tcPr>
          <w:p w14:paraId="301448BB">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进风口消声器</w:t>
            </w:r>
          </w:p>
          <w:p w14:paraId="4081FB0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管道外壳阻尼</w:t>
            </w:r>
          </w:p>
        </w:tc>
        <w:tc>
          <w:tcPr>
            <w:tcW w:w="284" w:type="pct"/>
            <w:tcBorders>
              <w:tl2br w:val="nil"/>
              <w:tr2bl w:val="nil"/>
            </w:tcBorders>
            <w:shd w:val="clear" w:color="auto" w:fill="auto"/>
            <w:noWrap/>
            <w:vAlign w:val="center"/>
          </w:tcPr>
          <w:p w14:paraId="657B0CD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413.5</w:t>
            </w:r>
          </w:p>
        </w:tc>
        <w:tc>
          <w:tcPr>
            <w:tcW w:w="296" w:type="pct"/>
            <w:tcBorders>
              <w:tl2br w:val="nil"/>
              <w:tr2bl w:val="nil"/>
            </w:tcBorders>
            <w:shd w:val="clear" w:color="auto" w:fill="auto"/>
            <w:noWrap/>
            <w:vAlign w:val="center"/>
          </w:tcPr>
          <w:p w14:paraId="0AF62C7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315.6</w:t>
            </w:r>
          </w:p>
        </w:tc>
        <w:tc>
          <w:tcPr>
            <w:tcW w:w="254" w:type="pct"/>
            <w:tcBorders>
              <w:tl2br w:val="nil"/>
              <w:tr2bl w:val="nil"/>
            </w:tcBorders>
            <w:shd w:val="clear" w:color="auto" w:fill="auto"/>
            <w:noWrap/>
            <w:vAlign w:val="center"/>
          </w:tcPr>
          <w:p w14:paraId="792C043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5D8CC78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21.5</w:t>
            </w:r>
          </w:p>
        </w:tc>
        <w:tc>
          <w:tcPr>
            <w:tcW w:w="417" w:type="pct"/>
            <w:tcBorders>
              <w:tl2br w:val="nil"/>
              <w:tr2bl w:val="nil"/>
            </w:tcBorders>
            <w:shd w:val="clear" w:color="auto" w:fill="auto"/>
            <w:noWrap/>
            <w:vAlign w:val="center"/>
          </w:tcPr>
          <w:p w14:paraId="3DD758A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78.45</w:t>
            </w:r>
          </w:p>
        </w:tc>
        <w:tc>
          <w:tcPr>
            <w:tcW w:w="254" w:type="pct"/>
            <w:vMerge w:val="continue"/>
            <w:tcBorders>
              <w:tl2br w:val="nil"/>
              <w:tr2bl w:val="nil"/>
            </w:tcBorders>
            <w:shd w:val="clear" w:color="auto" w:fill="auto"/>
            <w:noWrap/>
            <w:vAlign w:val="center"/>
          </w:tcPr>
          <w:p w14:paraId="6E0FA0A8">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4028824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240F560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54.22</w:t>
            </w:r>
          </w:p>
        </w:tc>
        <w:tc>
          <w:tcPr>
            <w:tcW w:w="308" w:type="pct"/>
            <w:tcBorders>
              <w:tl2br w:val="nil"/>
              <w:tr2bl w:val="nil"/>
            </w:tcBorders>
            <w:shd w:val="clear" w:color="auto" w:fill="auto"/>
            <w:noWrap/>
            <w:vAlign w:val="center"/>
          </w:tcPr>
          <w:p w14:paraId="28EA839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7AA7F670">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2A01B6B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378A311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7DA56FE9">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1B5AD4D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67364605">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6CCA2BD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413.5</w:t>
            </w:r>
          </w:p>
        </w:tc>
        <w:tc>
          <w:tcPr>
            <w:tcW w:w="296" w:type="pct"/>
            <w:tcBorders>
              <w:tl2br w:val="nil"/>
              <w:tr2bl w:val="nil"/>
            </w:tcBorders>
            <w:shd w:val="clear" w:color="auto" w:fill="auto"/>
            <w:noWrap/>
            <w:vAlign w:val="center"/>
          </w:tcPr>
          <w:p w14:paraId="59C0BEF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315.6</w:t>
            </w:r>
          </w:p>
        </w:tc>
        <w:tc>
          <w:tcPr>
            <w:tcW w:w="254" w:type="pct"/>
            <w:tcBorders>
              <w:tl2br w:val="nil"/>
              <w:tr2bl w:val="nil"/>
            </w:tcBorders>
            <w:shd w:val="clear" w:color="auto" w:fill="auto"/>
            <w:noWrap/>
            <w:vAlign w:val="center"/>
          </w:tcPr>
          <w:p w14:paraId="64D5AE3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771739F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12.2</w:t>
            </w:r>
          </w:p>
        </w:tc>
        <w:tc>
          <w:tcPr>
            <w:tcW w:w="417" w:type="pct"/>
            <w:tcBorders>
              <w:tl2br w:val="nil"/>
              <w:tr2bl w:val="nil"/>
            </w:tcBorders>
            <w:shd w:val="clear" w:color="auto" w:fill="auto"/>
            <w:noWrap/>
            <w:vAlign w:val="center"/>
          </w:tcPr>
          <w:p w14:paraId="08E309B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79.11</w:t>
            </w:r>
          </w:p>
        </w:tc>
        <w:tc>
          <w:tcPr>
            <w:tcW w:w="254" w:type="pct"/>
            <w:vMerge w:val="continue"/>
            <w:tcBorders>
              <w:tl2br w:val="nil"/>
              <w:tr2bl w:val="nil"/>
            </w:tcBorders>
            <w:shd w:val="clear" w:color="auto" w:fill="auto"/>
            <w:noWrap/>
            <w:vAlign w:val="center"/>
          </w:tcPr>
          <w:p w14:paraId="0B67D4DC">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6546888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457A757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54.88</w:t>
            </w:r>
          </w:p>
        </w:tc>
        <w:tc>
          <w:tcPr>
            <w:tcW w:w="308" w:type="pct"/>
            <w:tcBorders>
              <w:tl2br w:val="nil"/>
              <w:tr2bl w:val="nil"/>
            </w:tcBorders>
            <w:shd w:val="clear" w:color="auto" w:fill="auto"/>
            <w:noWrap/>
            <w:vAlign w:val="center"/>
          </w:tcPr>
          <w:p w14:paraId="1DE92B3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6DC7AB4">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4FAB189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12A4A1BD">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33AC064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5CE2143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5F0B8EB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337B099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413.5</w:t>
            </w:r>
          </w:p>
        </w:tc>
        <w:tc>
          <w:tcPr>
            <w:tcW w:w="296" w:type="pct"/>
            <w:tcBorders>
              <w:tl2br w:val="nil"/>
              <w:tr2bl w:val="nil"/>
            </w:tcBorders>
            <w:shd w:val="clear" w:color="auto" w:fill="auto"/>
            <w:noWrap/>
            <w:vAlign w:val="center"/>
          </w:tcPr>
          <w:p w14:paraId="07D118E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315.6</w:t>
            </w:r>
          </w:p>
        </w:tc>
        <w:tc>
          <w:tcPr>
            <w:tcW w:w="254" w:type="pct"/>
            <w:tcBorders>
              <w:tl2br w:val="nil"/>
              <w:tr2bl w:val="nil"/>
            </w:tcBorders>
            <w:shd w:val="clear" w:color="auto" w:fill="auto"/>
            <w:noWrap/>
            <w:vAlign w:val="center"/>
          </w:tcPr>
          <w:p w14:paraId="66C4167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5D656DC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10.1</w:t>
            </w:r>
          </w:p>
        </w:tc>
        <w:tc>
          <w:tcPr>
            <w:tcW w:w="417" w:type="pct"/>
            <w:tcBorders>
              <w:tl2br w:val="nil"/>
              <w:tr2bl w:val="nil"/>
            </w:tcBorders>
            <w:shd w:val="clear" w:color="auto" w:fill="auto"/>
            <w:noWrap/>
            <w:vAlign w:val="center"/>
          </w:tcPr>
          <w:p w14:paraId="501A3BF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79.51</w:t>
            </w:r>
          </w:p>
        </w:tc>
        <w:tc>
          <w:tcPr>
            <w:tcW w:w="254" w:type="pct"/>
            <w:vMerge w:val="continue"/>
            <w:tcBorders>
              <w:tl2br w:val="nil"/>
              <w:tr2bl w:val="nil"/>
            </w:tcBorders>
            <w:shd w:val="clear" w:color="auto" w:fill="auto"/>
            <w:noWrap/>
            <w:vAlign w:val="center"/>
          </w:tcPr>
          <w:p w14:paraId="579794BA">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2F129AB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26125F2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55.28</w:t>
            </w:r>
          </w:p>
        </w:tc>
        <w:tc>
          <w:tcPr>
            <w:tcW w:w="308" w:type="pct"/>
            <w:tcBorders>
              <w:tl2br w:val="nil"/>
              <w:tr2bl w:val="nil"/>
            </w:tcBorders>
            <w:shd w:val="clear" w:color="auto" w:fill="auto"/>
            <w:noWrap/>
            <w:vAlign w:val="center"/>
          </w:tcPr>
          <w:p w14:paraId="673862C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B8A1A94">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566D329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32F3798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1D1EB89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6000492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3B3378D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473DB71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413.5</w:t>
            </w:r>
          </w:p>
        </w:tc>
        <w:tc>
          <w:tcPr>
            <w:tcW w:w="296" w:type="pct"/>
            <w:tcBorders>
              <w:tl2br w:val="nil"/>
              <w:tr2bl w:val="nil"/>
            </w:tcBorders>
            <w:shd w:val="clear" w:color="auto" w:fill="auto"/>
            <w:noWrap/>
            <w:vAlign w:val="center"/>
          </w:tcPr>
          <w:p w14:paraId="18833DE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315.6</w:t>
            </w:r>
          </w:p>
        </w:tc>
        <w:tc>
          <w:tcPr>
            <w:tcW w:w="254" w:type="pct"/>
            <w:tcBorders>
              <w:tl2br w:val="nil"/>
              <w:tr2bl w:val="nil"/>
            </w:tcBorders>
            <w:shd w:val="clear" w:color="auto" w:fill="auto"/>
            <w:noWrap/>
            <w:vAlign w:val="center"/>
          </w:tcPr>
          <w:p w14:paraId="49E32A6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5F85D62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13.2</w:t>
            </w:r>
          </w:p>
        </w:tc>
        <w:tc>
          <w:tcPr>
            <w:tcW w:w="417" w:type="pct"/>
            <w:tcBorders>
              <w:tl2br w:val="nil"/>
              <w:tr2bl w:val="nil"/>
            </w:tcBorders>
            <w:shd w:val="clear" w:color="auto" w:fill="auto"/>
            <w:noWrap/>
            <w:vAlign w:val="center"/>
          </w:tcPr>
          <w:p w14:paraId="5441D48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78.98</w:t>
            </w:r>
          </w:p>
        </w:tc>
        <w:tc>
          <w:tcPr>
            <w:tcW w:w="254" w:type="pct"/>
            <w:vMerge w:val="continue"/>
            <w:tcBorders>
              <w:tl2br w:val="nil"/>
              <w:tr2bl w:val="nil"/>
            </w:tcBorders>
            <w:shd w:val="clear" w:color="auto" w:fill="auto"/>
            <w:noWrap/>
            <w:vAlign w:val="center"/>
          </w:tcPr>
          <w:p w14:paraId="0CFF3F17">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683E76E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3B4873F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54.75</w:t>
            </w:r>
          </w:p>
        </w:tc>
        <w:tc>
          <w:tcPr>
            <w:tcW w:w="308" w:type="pct"/>
            <w:tcBorders>
              <w:tl2br w:val="nil"/>
              <w:tr2bl w:val="nil"/>
            </w:tcBorders>
            <w:shd w:val="clear" w:color="auto" w:fill="auto"/>
            <w:noWrap/>
            <w:vAlign w:val="center"/>
          </w:tcPr>
          <w:p w14:paraId="2C25D63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4C0BD71B">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31D170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7F22CB0D">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0704696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二次风机</w:t>
            </w:r>
          </w:p>
        </w:tc>
        <w:tc>
          <w:tcPr>
            <w:tcW w:w="387" w:type="pct"/>
            <w:vMerge w:val="restart"/>
            <w:tcBorders>
              <w:tl2br w:val="nil"/>
              <w:tr2bl w:val="nil"/>
            </w:tcBorders>
            <w:shd w:val="clear" w:color="auto" w:fill="auto"/>
            <w:noWrap/>
            <w:vAlign w:val="center"/>
          </w:tcPr>
          <w:p w14:paraId="7A03B63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105</w:t>
            </w:r>
          </w:p>
        </w:tc>
        <w:tc>
          <w:tcPr>
            <w:tcW w:w="575" w:type="pct"/>
            <w:vMerge w:val="restart"/>
            <w:tcBorders>
              <w:tl2br w:val="nil"/>
              <w:tr2bl w:val="nil"/>
            </w:tcBorders>
            <w:shd w:val="clear" w:color="auto" w:fill="auto"/>
            <w:noWrap/>
            <w:vAlign w:val="center"/>
          </w:tcPr>
          <w:p w14:paraId="19DA4544">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进风口消声器</w:t>
            </w:r>
          </w:p>
          <w:p w14:paraId="37B3C20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管道外壳阻尼</w:t>
            </w:r>
          </w:p>
        </w:tc>
        <w:tc>
          <w:tcPr>
            <w:tcW w:w="284" w:type="pct"/>
            <w:tcBorders>
              <w:tl2br w:val="nil"/>
              <w:tr2bl w:val="nil"/>
            </w:tcBorders>
            <w:shd w:val="clear" w:color="auto" w:fill="auto"/>
            <w:noWrap/>
            <w:vAlign w:val="center"/>
          </w:tcPr>
          <w:p w14:paraId="3A39566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416.7</w:t>
            </w:r>
          </w:p>
        </w:tc>
        <w:tc>
          <w:tcPr>
            <w:tcW w:w="296" w:type="pct"/>
            <w:tcBorders>
              <w:tl2br w:val="nil"/>
              <w:tr2bl w:val="nil"/>
            </w:tcBorders>
            <w:shd w:val="clear" w:color="auto" w:fill="auto"/>
            <w:noWrap/>
            <w:vAlign w:val="center"/>
          </w:tcPr>
          <w:p w14:paraId="79A0D19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308.6</w:t>
            </w:r>
          </w:p>
        </w:tc>
        <w:tc>
          <w:tcPr>
            <w:tcW w:w="254" w:type="pct"/>
            <w:tcBorders>
              <w:tl2br w:val="nil"/>
              <w:tr2bl w:val="nil"/>
            </w:tcBorders>
            <w:shd w:val="clear" w:color="auto" w:fill="auto"/>
            <w:noWrap/>
            <w:vAlign w:val="center"/>
          </w:tcPr>
          <w:p w14:paraId="33AE800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285DBD0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18.3</w:t>
            </w:r>
          </w:p>
        </w:tc>
        <w:tc>
          <w:tcPr>
            <w:tcW w:w="417" w:type="pct"/>
            <w:tcBorders>
              <w:tl2br w:val="nil"/>
              <w:tr2bl w:val="nil"/>
            </w:tcBorders>
            <w:shd w:val="clear" w:color="auto" w:fill="auto"/>
            <w:noWrap/>
            <w:vAlign w:val="center"/>
          </w:tcPr>
          <w:p w14:paraId="476986D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78.58</w:t>
            </w:r>
          </w:p>
        </w:tc>
        <w:tc>
          <w:tcPr>
            <w:tcW w:w="254" w:type="pct"/>
            <w:vMerge w:val="continue"/>
            <w:tcBorders>
              <w:tl2br w:val="nil"/>
              <w:tr2bl w:val="nil"/>
            </w:tcBorders>
            <w:shd w:val="clear" w:color="auto" w:fill="auto"/>
            <w:noWrap/>
            <w:vAlign w:val="center"/>
          </w:tcPr>
          <w:p w14:paraId="6F9EE275">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37C46D1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19F2DF4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54.35</w:t>
            </w:r>
          </w:p>
        </w:tc>
        <w:tc>
          <w:tcPr>
            <w:tcW w:w="308" w:type="pct"/>
            <w:tcBorders>
              <w:tl2br w:val="nil"/>
              <w:tr2bl w:val="nil"/>
            </w:tcBorders>
            <w:shd w:val="clear" w:color="auto" w:fill="auto"/>
            <w:noWrap/>
            <w:vAlign w:val="center"/>
          </w:tcPr>
          <w:p w14:paraId="764C80D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6D47FBA1">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3FFB2B8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485525F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704F52A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1CA7581D">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6DE49C8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2981986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416.7</w:t>
            </w:r>
          </w:p>
        </w:tc>
        <w:tc>
          <w:tcPr>
            <w:tcW w:w="296" w:type="pct"/>
            <w:tcBorders>
              <w:tl2br w:val="nil"/>
              <w:tr2bl w:val="nil"/>
            </w:tcBorders>
            <w:shd w:val="clear" w:color="auto" w:fill="auto"/>
            <w:noWrap/>
            <w:vAlign w:val="center"/>
          </w:tcPr>
          <w:p w14:paraId="572CB5A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308.6</w:t>
            </w:r>
          </w:p>
        </w:tc>
        <w:tc>
          <w:tcPr>
            <w:tcW w:w="254" w:type="pct"/>
            <w:tcBorders>
              <w:tl2br w:val="nil"/>
              <w:tr2bl w:val="nil"/>
            </w:tcBorders>
            <w:shd w:val="clear" w:color="auto" w:fill="auto"/>
            <w:noWrap/>
            <w:vAlign w:val="center"/>
          </w:tcPr>
          <w:p w14:paraId="0764871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638E49F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5.2</w:t>
            </w:r>
          </w:p>
        </w:tc>
        <w:tc>
          <w:tcPr>
            <w:tcW w:w="417" w:type="pct"/>
            <w:tcBorders>
              <w:tl2br w:val="nil"/>
              <w:tr2bl w:val="nil"/>
            </w:tcBorders>
            <w:shd w:val="clear" w:color="auto" w:fill="auto"/>
            <w:noWrap/>
            <w:vAlign w:val="center"/>
          </w:tcPr>
          <w:p w14:paraId="3E74F8B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81.98</w:t>
            </w:r>
          </w:p>
        </w:tc>
        <w:tc>
          <w:tcPr>
            <w:tcW w:w="254" w:type="pct"/>
            <w:vMerge w:val="continue"/>
            <w:tcBorders>
              <w:tl2br w:val="nil"/>
              <w:tr2bl w:val="nil"/>
            </w:tcBorders>
            <w:shd w:val="clear" w:color="auto" w:fill="auto"/>
            <w:noWrap/>
            <w:vAlign w:val="center"/>
          </w:tcPr>
          <w:p w14:paraId="19511FDB">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2F7D106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5704877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57.75</w:t>
            </w:r>
          </w:p>
        </w:tc>
        <w:tc>
          <w:tcPr>
            <w:tcW w:w="308" w:type="pct"/>
            <w:tcBorders>
              <w:tl2br w:val="nil"/>
              <w:tr2bl w:val="nil"/>
            </w:tcBorders>
            <w:shd w:val="clear" w:color="auto" w:fill="auto"/>
            <w:noWrap/>
            <w:vAlign w:val="center"/>
          </w:tcPr>
          <w:p w14:paraId="0FA1A04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1A152F3B">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712C2E3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4FBA46A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221BD58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56EFDA7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6316A3A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5D7D72D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416.7</w:t>
            </w:r>
          </w:p>
        </w:tc>
        <w:tc>
          <w:tcPr>
            <w:tcW w:w="296" w:type="pct"/>
            <w:tcBorders>
              <w:tl2br w:val="nil"/>
              <w:tr2bl w:val="nil"/>
            </w:tcBorders>
            <w:shd w:val="clear" w:color="auto" w:fill="auto"/>
            <w:noWrap/>
            <w:vAlign w:val="center"/>
          </w:tcPr>
          <w:p w14:paraId="0D1731F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308.6</w:t>
            </w:r>
          </w:p>
        </w:tc>
        <w:tc>
          <w:tcPr>
            <w:tcW w:w="254" w:type="pct"/>
            <w:tcBorders>
              <w:tl2br w:val="nil"/>
              <w:tr2bl w:val="nil"/>
            </w:tcBorders>
            <w:shd w:val="clear" w:color="auto" w:fill="auto"/>
            <w:noWrap/>
            <w:vAlign w:val="center"/>
          </w:tcPr>
          <w:p w14:paraId="3B2534E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2C37CC5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13.3</w:t>
            </w:r>
          </w:p>
        </w:tc>
        <w:tc>
          <w:tcPr>
            <w:tcW w:w="417" w:type="pct"/>
            <w:tcBorders>
              <w:tl2br w:val="nil"/>
              <w:tr2bl w:val="nil"/>
            </w:tcBorders>
            <w:shd w:val="clear" w:color="auto" w:fill="auto"/>
            <w:noWrap/>
            <w:vAlign w:val="center"/>
          </w:tcPr>
          <w:p w14:paraId="21537B1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78.97</w:t>
            </w:r>
          </w:p>
        </w:tc>
        <w:tc>
          <w:tcPr>
            <w:tcW w:w="254" w:type="pct"/>
            <w:vMerge w:val="continue"/>
            <w:tcBorders>
              <w:tl2br w:val="nil"/>
              <w:tr2bl w:val="nil"/>
            </w:tcBorders>
            <w:shd w:val="clear" w:color="auto" w:fill="auto"/>
            <w:noWrap/>
            <w:vAlign w:val="center"/>
          </w:tcPr>
          <w:p w14:paraId="5AEEA77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7F5503F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65F338D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54.74</w:t>
            </w:r>
          </w:p>
        </w:tc>
        <w:tc>
          <w:tcPr>
            <w:tcW w:w="308" w:type="pct"/>
            <w:tcBorders>
              <w:tl2br w:val="nil"/>
              <w:tr2bl w:val="nil"/>
            </w:tcBorders>
            <w:shd w:val="clear" w:color="auto" w:fill="auto"/>
            <w:noWrap/>
            <w:vAlign w:val="center"/>
          </w:tcPr>
          <w:p w14:paraId="5E127BB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5776AC08">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7E3303A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112C206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2D013A69">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7EA0E28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4F94D9C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6A0059C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416.7</w:t>
            </w:r>
          </w:p>
        </w:tc>
        <w:tc>
          <w:tcPr>
            <w:tcW w:w="296" w:type="pct"/>
            <w:tcBorders>
              <w:tl2br w:val="nil"/>
              <w:tr2bl w:val="nil"/>
            </w:tcBorders>
            <w:shd w:val="clear" w:color="auto" w:fill="auto"/>
            <w:noWrap/>
            <w:vAlign w:val="center"/>
          </w:tcPr>
          <w:p w14:paraId="1DAA50D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308.6</w:t>
            </w:r>
          </w:p>
        </w:tc>
        <w:tc>
          <w:tcPr>
            <w:tcW w:w="254" w:type="pct"/>
            <w:tcBorders>
              <w:tl2br w:val="nil"/>
              <w:tr2bl w:val="nil"/>
            </w:tcBorders>
            <w:shd w:val="clear" w:color="auto" w:fill="auto"/>
            <w:noWrap/>
            <w:vAlign w:val="center"/>
          </w:tcPr>
          <w:p w14:paraId="7751506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7F0C371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20.2</w:t>
            </w:r>
          </w:p>
        </w:tc>
        <w:tc>
          <w:tcPr>
            <w:tcW w:w="417" w:type="pct"/>
            <w:tcBorders>
              <w:tl2br w:val="nil"/>
              <w:tr2bl w:val="nil"/>
            </w:tcBorders>
            <w:shd w:val="clear" w:color="auto" w:fill="auto"/>
            <w:noWrap/>
            <w:vAlign w:val="center"/>
          </w:tcPr>
          <w:p w14:paraId="0619256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78.5</w:t>
            </w:r>
          </w:p>
        </w:tc>
        <w:tc>
          <w:tcPr>
            <w:tcW w:w="254" w:type="pct"/>
            <w:vMerge w:val="continue"/>
            <w:tcBorders>
              <w:tl2br w:val="nil"/>
              <w:tr2bl w:val="nil"/>
            </w:tcBorders>
            <w:shd w:val="clear" w:color="auto" w:fill="auto"/>
            <w:noWrap/>
            <w:vAlign w:val="center"/>
          </w:tcPr>
          <w:p w14:paraId="7CA39628">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560C23D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16A084E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54.27</w:t>
            </w:r>
          </w:p>
        </w:tc>
        <w:tc>
          <w:tcPr>
            <w:tcW w:w="308" w:type="pct"/>
            <w:tcBorders>
              <w:tl2br w:val="nil"/>
              <w:tr2bl w:val="nil"/>
            </w:tcBorders>
            <w:shd w:val="clear" w:color="auto" w:fill="auto"/>
            <w:noWrap/>
            <w:vAlign w:val="center"/>
          </w:tcPr>
          <w:p w14:paraId="616C52F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4F4F337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414B824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1244E4F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049BD5E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空气预热器</w:t>
            </w:r>
          </w:p>
        </w:tc>
        <w:tc>
          <w:tcPr>
            <w:tcW w:w="387" w:type="pct"/>
            <w:vMerge w:val="restart"/>
            <w:tcBorders>
              <w:tl2br w:val="nil"/>
              <w:tr2bl w:val="nil"/>
            </w:tcBorders>
            <w:shd w:val="clear" w:color="auto" w:fill="auto"/>
            <w:noWrap/>
            <w:vAlign w:val="center"/>
          </w:tcPr>
          <w:p w14:paraId="2DC17D3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85</w:t>
            </w:r>
          </w:p>
        </w:tc>
        <w:tc>
          <w:tcPr>
            <w:tcW w:w="575" w:type="pct"/>
            <w:vMerge w:val="restart"/>
            <w:tcBorders>
              <w:tl2br w:val="nil"/>
              <w:tr2bl w:val="nil"/>
            </w:tcBorders>
            <w:shd w:val="clear" w:color="auto" w:fill="auto"/>
            <w:noWrap/>
            <w:vAlign w:val="center"/>
          </w:tcPr>
          <w:p w14:paraId="7D214710">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基础减振</w:t>
            </w:r>
          </w:p>
          <w:p w14:paraId="1EC216A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厂房隔声</w:t>
            </w:r>
          </w:p>
        </w:tc>
        <w:tc>
          <w:tcPr>
            <w:tcW w:w="284" w:type="pct"/>
            <w:tcBorders>
              <w:tl2br w:val="nil"/>
              <w:tr2bl w:val="nil"/>
            </w:tcBorders>
            <w:shd w:val="clear" w:color="auto" w:fill="auto"/>
            <w:noWrap/>
            <w:vAlign w:val="center"/>
          </w:tcPr>
          <w:p w14:paraId="388D769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422.1</w:t>
            </w:r>
          </w:p>
        </w:tc>
        <w:tc>
          <w:tcPr>
            <w:tcW w:w="296" w:type="pct"/>
            <w:tcBorders>
              <w:tl2br w:val="nil"/>
              <w:tr2bl w:val="nil"/>
            </w:tcBorders>
            <w:shd w:val="clear" w:color="auto" w:fill="auto"/>
            <w:noWrap/>
            <w:vAlign w:val="center"/>
          </w:tcPr>
          <w:p w14:paraId="3EA450B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324.2</w:t>
            </w:r>
          </w:p>
        </w:tc>
        <w:tc>
          <w:tcPr>
            <w:tcW w:w="254" w:type="pct"/>
            <w:tcBorders>
              <w:tl2br w:val="nil"/>
              <w:tr2bl w:val="nil"/>
            </w:tcBorders>
            <w:shd w:val="clear" w:color="auto" w:fill="auto"/>
            <w:noWrap/>
            <w:vAlign w:val="center"/>
          </w:tcPr>
          <w:p w14:paraId="033C524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015AB28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12.9</w:t>
            </w:r>
          </w:p>
        </w:tc>
        <w:tc>
          <w:tcPr>
            <w:tcW w:w="417" w:type="pct"/>
            <w:tcBorders>
              <w:tl2br w:val="nil"/>
              <w:tr2bl w:val="nil"/>
            </w:tcBorders>
            <w:shd w:val="clear" w:color="auto" w:fill="auto"/>
            <w:noWrap/>
            <w:vAlign w:val="center"/>
          </w:tcPr>
          <w:p w14:paraId="1F19188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59.02</w:t>
            </w:r>
          </w:p>
        </w:tc>
        <w:tc>
          <w:tcPr>
            <w:tcW w:w="254" w:type="pct"/>
            <w:vMerge w:val="continue"/>
            <w:tcBorders>
              <w:tl2br w:val="nil"/>
              <w:tr2bl w:val="nil"/>
            </w:tcBorders>
            <w:shd w:val="clear" w:color="auto" w:fill="auto"/>
            <w:noWrap/>
            <w:vAlign w:val="center"/>
          </w:tcPr>
          <w:p w14:paraId="3A07D1A0">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3F00BF3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5ADC065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34.79</w:t>
            </w:r>
          </w:p>
        </w:tc>
        <w:tc>
          <w:tcPr>
            <w:tcW w:w="308" w:type="pct"/>
            <w:tcBorders>
              <w:tl2br w:val="nil"/>
              <w:tr2bl w:val="nil"/>
            </w:tcBorders>
            <w:shd w:val="clear" w:color="auto" w:fill="auto"/>
            <w:noWrap/>
            <w:vAlign w:val="center"/>
          </w:tcPr>
          <w:p w14:paraId="26840A1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619BABF4">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01F4489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6161C96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04FEADD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0FA5E19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400C28D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4048156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422.1</w:t>
            </w:r>
          </w:p>
        </w:tc>
        <w:tc>
          <w:tcPr>
            <w:tcW w:w="296" w:type="pct"/>
            <w:tcBorders>
              <w:tl2br w:val="nil"/>
              <w:tr2bl w:val="nil"/>
            </w:tcBorders>
            <w:shd w:val="clear" w:color="auto" w:fill="auto"/>
            <w:noWrap/>
            <w:vAlign w:val="center"/>
          </w:tcPr>
          <w:p w14:paraId="4935FF6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324.2</w:t>
            </w:r>
          </w:p>
        </w:tc>
        <w:tc>
          <w:tcPr>
            <w:tcW w:w="254" w:type="pct"/>
            <w:tcBorders>
              <w:tl2br w:val="nil"/>
              <w:tr2bl w:val="nil"/>
            </w:tcBorders>
            <w:shd w:val="clear" w:color="auto" w:fill="auto"/>
            <w:noWrap/>
            <w:vAlign w:val="center"/>
          </w:tcPr>
          <w:p w14:paraId="70C4FD1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105E377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20.8</w:t>
            </w:r>
          </w:p>
        </w:tc>
        <w:tc>
          <w:tcPr>
            <w:tcW w:w="417" w:type="pct"/>
            <w:tcBorders>
              <w:tl2br w:val="nil"/>
              <w:tr2bl w:val="nil"/>
            </w:tcBorders>
            <w:shd w:val="clear" w:color="auto" w:fill="auto"/>
            <w:noWrap/>
            <w:vAlign w:val="center"/>
          </w:tcPr>
          <w:p w14:paraId="48F6E03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58.48</w:t>
            </w:r>
          </w:p>
        </w:tc>
        <w:tc>
          <w:tcPr>
            <w:tcW w:w="254" w:type="pct"/>
            <w:vMerge w:val="continue"/>
            <w:tcBorders>
              <w:tl2br w:val="nil"/>
              <w:tr2bl w:val="nil"/>
            </w:tcBorders>
            <w:shd w:val="clear" w:color="auto" w:fill="auto"/>
            <w:noWrap/>
            <w:vAlign w:val="center"/>
          </w:tcPr>
          <w:p w14:paraId="7753A947">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207EB25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62E8B5A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34.25</w:t>
            </w:r>
          </w:p>
        </w:tc>
        <w:tc>
          <w:tcPr>
            <w:tcW w:w="308" w:type="pct"/>
            <w:tcBorders>
              <w:tl2br w:val="nil"/>
              <w:tr2bl w:val="nil"/>
            </w:tcBorders>
            <w:shd w:val="clear" w:color="auto" w:fill="auto"/>
            <w:noWrap/>
            <w:vAlign w:val="center"/>
          </w:tcPr>
          <w:p w14:paraId="3258B2C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D9CA4B6">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08D0276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07A652E5">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492273A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16FCFB5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214E98A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6594A08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422.1</w:t>
            </w:r>
          </w:p>
        </w:tc>
        <w:tc>
          <w:tcPr>
            <w:tcW w:w="296" w:type="pct"/>
            <w:tcBorders>
              <w:tl2br w:val="nil"/>
              <w:tr2bl w:val="nil"/>
            </w:tcBorders>
            <w:shd w:val="clear" w:color="auto" w:fill="auto"/>
            <w:noWrap/>
            <w:vAlign w:val="center"/>
          </w:tcPr>
          <w:p w14:paraId="6541510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324.2</w:t>
            </w:r>
          </w:p>
        </w:tc>
        <w:tc>
          <w:tcPr>
            <w:tcW w:w="254" w:type="pct"/>
            <w:tcBorders>
              <w:tl2br w:val="nil"/>
              <w:tr2bl w:val="nil"/>
            </w:tcBorders>
            <w:shd w:val="clear" w:color="auto" w:fill="auto"/>
            <w:noWrap/>
            <w:vAlign w:val="center"/>
          </w:tcPr>
          <w:p w14:paraId="747E8A5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1ABBC1C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18.7</w:t>
            </w:r>
          </w:p>
        </w:tc>
        <w:tc>
          <w:tcPr>
            <w:tcW w:w="417" w:type="pct"/>
            <w:tcBorders>
              <w:tl2br w:val="nil"/>
              <w:tr2bl w:val="nil"/>
            </w:tcBorders>
            <w:shd w:val="clear" w:color="auto" w:fill="auto"/>
            <w:noWrap/>
            <w:vAlign w:val="center"/>
          </w:tcPr>
          <w:p w14:paraId="1C5DA87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58.56</w:t>
            </w:r>
          </w:p>
        </w:tc>
        <w:tc>
          <w:tcPr>
            <w:tcW w:w="254" w:type="pct"/>
            <w:vMerge w:val="continue"/>
            <w:tcBorders>
              <w:tl2br w:val="nil"/>
              <w:tr2bl w:val="nil"/>
            </w:tcBorders>
            <w:shd w:val="clear" w:color="auto" w:fill="auto"/>
            <w:noWrap/>
            <w:vAlign w:val="center"/>
          </w:tcPr>
          <w:p w14:paraId="6FF69E33">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54DD448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4213310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34.33</w:t>
            </w:r>
          </w:p>
        </w:tc>
        <w:tc>
          <w:tcPr>
            <w:tcW w:w="308" w:type="pct"/>
            <w:tcBorders>
              <w:tl2br w:val="nil"/>
              <w:tr2bl w:val="nil"/>
            </w:tcBorders>
            <w:shd w:val="clear" w:color="auto" w:fill="auto"/>
            <w:noWrap/>
            <w:vAlign w:val="center"/>
          </w:tcPr>
          <w:p w14:paraId="6504E2A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4FBD89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5A1589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00E2F97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35EE1B9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79404BE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2B4C927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1B450CF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422.1</w:t>
            </w:r>
          </w:p>
        </w:tc>
        <w:tc>
          <w:tcPr>
            <w:tcW w:w="296" w:type="pct"/>
            <w:tcBorders>
              <w:tl2br w:val="nil"/>
              <w:tr2bl w:val="nil"/>
            </w:tcBorders>
            <w:shd w:val="clear" w:color="auto" w:fill="auto"/>
            <w:noWrap/>
            <w:vAlign w:val="center"/>
          </w:tcPr>
          <w:p w14:paraId="1F11A68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324.2</w:t>
            </w:r>
          </w:p>
        </w:tc>
        <w:tc>
          <w:tcPr>
            <w:tcW w:w="254" w:type="pct"/>
            <w:tcBorders>
              <w:tl2br w:val="nil"/>
              <w:tr2bl w:val="nil"/>
            </w:tcBorders>
            <w:shd w:val="clear" w:color="auto" w:fill="auto"/>
            <w:noWrap/>
            <w:vAlign w:val="center"/>
          </w:tcPr>
          <w:p w14:paraId="2D005CF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6880E3D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4.6</w:t>
            </w:r>
          </w:p>
        </w:tc>
        <w:tc>
          <w:tcPr>
            <w:tcW w:w="417" w:type="pct"/>
            <w:tcBorders>
              <w:tl2br w:val="nil"/>
              <w:tr2bl w:val="nil"/>
            </w:tcBorders>
            <w:shd w:val="clear" w:color="auto" w:fill="auto"/>
            <w:noWrap/>
            <w:vAlign w:val="center"/>
          </w:tcPr>
          <w:p w14:paraId="5748EF1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62.64</w:t>
            </w:r>
          </w:p>
        </w:tc>
        <w:tc>
          <w:tcPr>
            <w:tcW w:w="254" w:type="pct"/>
            <w:vMerge w:val="continue"/>
            <w:tcBorders>
              <w:tl2br w:val="nil"/>
              <w:tr2bl w:val="nil"/>
            </w:tcBorders>
            <w:shd w:val="clear" w:color="auto" w:fill="auto"/>
            <w:noWrap/>
            <w:vAlign w:val="center"/>
          </w:tcPr>
          <w:p w14:paraId="14F273AB">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7C2812F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5E98564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38.41</w:t>
            </w:r>
          </w:p>
        </w:tc>
        <w:tc>
          <w:tcPr>
            <w:tcW w:w="308" w:type="pct"/>
            <w:tcBorders>
              <w:tl2br w:val="nil"/>
              <w:tr2bl w:val="nil"/>
            </w:tcBorders>
            <w:shd w:val="clear" w:color="auto" w:fill="auto"/>
            <w:noWrap/>
            <w:vAlign w:val="center"/>
          </w:tcPr>
          <w:p w14:paraId="57F64F9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5BEEE0EF">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77CF82A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0E240E6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3F24082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冷渣机</w:t>
            </w:r>
          </w:p>
        </w:tc>
        <w:tc>
          <w:tcPr>
            <w:tcW w:w="387" w:type="pct"/>
            <w:vMerge w:val="restart"/>
            <w:tcBorders>
              <w:tl2br w:val="nil"/>
              <w:tr2bl w:val="nil"/>
            </w:tcBorders>
            <w:shd w:val="clear" w:color="auto" w:fill="auto"/>
            <w:noWrap/>
            <w:vAlign w:val="center"/>
          </w:tcPr>
          <w:p w14:paraId="5ED9A07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95</w:t>
            </w:r>
          </w:p>
        </w:tc>
        <w:tc>
          <w:tcPr>
            <w:tcW w:w="575" w:type="pct"/>
            <w:vMerge w:val="restart"/>
            <w:tcBorders>
              <w:tl2br w:val="nil"/>
              <w:tr2bl w:val="nil"/>
            </w:tcBorders>
            <w:shd w:val="clear" w:color="auto" w:fill="auto"/>
            <w:noWrap/>
            <w:vAlign w:val="center"/>
          </w:tcPr>
          <w:p w14:paraId="251FF534">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基础减振</w:t>
            </w:r>
          </w:p>
          <w:p w14:paraId="046F465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厂房隔声</w:t>
            </w:r>
          </w:p>
        </w:tc>
        <w:tc>
          <w:tcPr>
            <w:tcW w:w="284" w:type="pct"/>
            <w:tcBorders>
              <w:tl2br w:val="nil"/>
              <w:tr2bl w:val="nil"/>
            </w:tcBorders>
            <w:shd w:val="clear" w:color="auto" w:fill="auto"/>
            <w:noWrap/>
            <w:vAlign w:val="center"/>
          </w:tcPr>
          <w:p w14:paraId="6754D06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423.7</w:t>
            </w:r>
          </w:p>
        </w:tc>
        <w:tc>
          <w:tcPr>
            <w:tcW w:w="296" w:type="pct"/>
            <w:tcBorders>
              <w:tl2br w:val="nil"/>
              <w:tr2bl w:val="nil"/>
            </w:tcBorders>
            <w:shd w:val="clear" w:color="auto" w:fill="auto"/>
            <w:noWrap/>
            <w:vAlign w:val="center"/>
          </w:tcPr>
          <w:p w14:paraId="333C7CC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317.7</w:t>
            </w:r>
          </w:p>
        </w:tc>
        <w:tc>
          <w:tcPr>
            <w:tcW w:w="254" w:type="pct"/>
            <w:tcBorders>
              <w:tl2br w:val="nil"/>
              <w:tr2bl w:val="nil"/>
            </w:tcBorders>
            <w:shd w:val="clear" w:color="auto" w:fill="auto"/>
            <w:noWrap/>
            <w:vAlign w:val="center"/>
          </w:tcPr>
          <w:p w14:paraId="3BD71C6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708B530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11.3</w:t>
            </w:r>
          </w:p>
        </w:tc>
        <w:tc>
          <w:tcPr>
            <w:tcW w:w="417" w:type="pct"/>
            <w:tcBorders>
              <w:tl2br w:val="nil"/>
              <w:tr2bl w:val="nil"/>
            </w:tcBorders>
            <w:shd w:val="clear" w:color="auto" w:fill="auto"/>
            <w:noWrap/>
            <w:vAlign w:val="center"/>
          </w:tcPr>
          <w:p w14:paraId="174924B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69.26</w:t>
            </w:r>
          </w:p>
        </w:tc>
        <w:tc>
          <w:tcPr>
            <w:tcW w:w="254" w:type="pct"/>
            <w:vMerge w:val="continue"/>
            <w:tcBorders>
              <w:tl2br w:val="nil"/>
              <w:tr2bl w:val="nil"/>
            </w:tcBorders>
            <w:shd w:val="clear" w:color="auto" w:fill="auto"/>
            <w:noWrap/>
            <w:vAlign w:val="center"/>
          </w:tcPr>
          <w:p w14:paraId="1B3FEFED">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515A2E5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5A75E99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45.03</w:t>
            </w:r>
          </w:p>
        </w:tc>
        <w:tc>
          <w:tcPr>
            <w:tcW w:w="308" w:type="pct"/>
            <w:tcBorders>
              <w:tl2br w:val="nil"/>
              <w:tr2bl w:val="nil"/>
            </w:tcBorders>
            <w:shd w:val="clear" w:color="auto" w:fill="auto"/>
            <w:noWrap/>
            <w:vAlign w:val="center"/>
          </w:tcPr>
          <w:p w14:paraId="3513D99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608AA15D">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31DEB32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5B07960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12578D4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1332278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583EC8B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1900EF3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423.7</w:t>
            </w:r>
          </w:p>
        </w:tc>
        <w:tc>
          <w:tcPr>
            <w:tcW w:w="296" w:type="pct"/>
            <w:tcBorders>
              <w:tl2br w:val="nil"/>
              <w:tr2bl w:val="nil"/>
            </w:tcBorders>
            <w:shd w:val="clear" w:color="auto" w:fill="auto"/>
            <w:noWrap/>
            <w:vAlign w:val="center"/>
          </w:tcPr>
          <w:p w14:paraId="51DFE82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317.7</w:t>
            </w:r>
          </w:p>
        </w:tc>
        <w:tc>
          <w:tcPr>
            <w:tcW w:w="254" w:type="pct"/>
            <w:tcBorders>
              <w:tl2br w:val="nil"/>
              <w:tr2bl w:val="nil"/>
            </w:tcBorders>
            <w:shd w:val="clear" w:color="auto" w:fill="auto"/>
            <w:noWrap/>
            <w:vAlign w:val="center"/>
          </w:tcPr>
          <w:p w14:paraId="63E0DD1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315DD91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14.3</w:t>
            </w:r>
          </w:p>
        </w:tc>
        <w:tc>
          <w:tcPr>
            <w:tcW w:w="417" w:type="pct"/>
            <w:tcBorders>
              <w:tl2br w:val="nil"/>
              <w:tr2bl w:val="nil"/>
            </w:tcBorders>
            <w:shd w:val="clear" w:color="auto" w:fill="auto"/>
            <w:noWrap/>
            <w:vAlign w:val="center"/>
          </w:tcPr>
          <w:p w14:paraId="6FC847F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68.86</w:t>
            </w:r>
          </w:p>
        </w:tc>
        <w:tc>
          <w:tcPr>
            <w:tcW w:w="254" w:type="pct"/>
            <w:vMerge w:val="continue"/>
            <w:tcBorders>
              <w:tl2br w:val="nil"/>
              <w:tr2bl w:val="nil"/>
            </w:tcBorders>
            <w:shd w:val="clear" w:color="auto" w:fill="auto"/>
            <w:noWrap/>
            <w:vAlign w:val="center"/>
          </w:tcPr>
          <w:p w14:paraId="6E782E06">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6E48D23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2E89317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44.63</w:t>
            </w:r>
          </w:p>
        </w:tc>
        <w:tc>
          <w:tcPr>
            <w:tcW w:w="308" w:type="pct"/>
            <w:tcBorders>
              <w:tl2br w:val="nil"/>
              <w:tr2bl w:val="nil"/>
            </w:tcBorders>
            <w:shd w:val="clear" w:color="auto" w:fill="auto"/>
            <w:noWrap/>
            <w:vAlign w:val="center"/>
          </w:tcPr>
          <w:p w14:paraId="2A9725C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084505FF">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65F7E39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310A427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2FB232D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1D7F6D3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45D35945">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1F431FB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423.7</w:t>
            </w:r>
          </w:p>
        </w:tc>
        <w:tc>
          <w:tcPr>
            <w:tcW w:w="296" w:type="pct"/>
            <w:tcBorders>
              <w:tl2br w:val="nil"/>
              <w:tr2bl w:val="nil"/>
            </w:tcBorders>
            <w:shd w:val="clear" w:color="auto" w:fill="auto"/>
            <w:noWrap/>
            <w:vAlign w:val="center"/>
          </w:tcPr>
          <w:p w14:paraId="70714AB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317.7</w:t>
            </w:r>
          </w:p>
        </w:tc>
        <w:tc>
          <w:tcPr>
            <w:tcW w:w="254" w:type="pct"/>
            <w:tcBorders>
              <w:tl2br w:val="nil"/>
              <w:tr2bl w:val="nil"/>
            </w:tcBorders>
            <w:shd w:val="clear" w:color="auto" w:fill="auto"/>
            <w:noWrap/>
            <w:vAlign w:val="center"/>
          </w:tcPr>
          <w:p w14:paraId="3B99D76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68679A1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20.3</w:t>
            </w:r>
          </w:p>
        </w:tc>
        <w:tc>
          <w:tcPr>
            <w:tcW w:w="417" w:type="pct"/>
            <w:tcBorders>
              <w:tl2br w:val="nil"/>
              <w:tr2bl w:val="nil"/>
            </w:tcBorders>
            <w:shd w:val="clear" w:color="auto" w:fill="auto"/>
            <w:noWrap/>
            <w:vAlign w:val="center"/>
          </w:tcPr>
          <w:p w14:paraId="4B7EA01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68.49</w:t>
            </w:r>
          </w:p>
        </w:tc>
        <w:tc>
          <w:tcPr>
            <w:tcW w:w="254" w:type="pct"/>
            <w:vMerge w:val="continue"/>
            <w:tcBorders>
              <w:tl2br w:val="nil"/>
              <w:tr2bl w:val="nil"/>
            </w:tcBorders>
            <w:shd w:val="clear" w:color="auto" w:fill="auto"/>
            <w:noWrap/>
            <w:vAlign w:val="center"/>
          </w:tcPr>
          <w:p w14:paraId="3419E31C">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7019D9D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218DA72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44.27</w:t>
            </w:r>
          </w:p>
        </w:tc>
        <w:tc>
          <w:tcPr>
            <w:tcW w:w="308" w:type="pct"/>
            <w:tcBorders>
              <w:tl2br w:val="nil"/>
              <w:tr2bl w:val="nil"/>
            </w:tcBorders>
            <w:shd w:val="clear" w:color="auto" w:fill="auto"/>
            <w:noWrap/>
            <w:vAlign w:val="center"/>
          </w:tcPr>
          <w:p w14:paraId="3FB1521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1CDE98B4">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54D2C8B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7F55734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5D8CC0BD">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54A13DA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496B607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751AE0E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423.7</w:t>
            </w:r>
          </w:p>
        </w:tc>
        <w:tc>
          <w:tcPr>
            <w:tcW w:w="296" w:type="pct"/>
            <w:tcBorders>
              <w:tl2br w:val="nil"/>
              <w:tr2bl w:val="nil"/>
            </w:tcBorders>
            <w:shd w:val="clear" w:color="auto" w:fill="auto"/>
            <w:noWrap/>
            <w:vAlign w:val="center"/>
          </w:tcPr>
          <w:p w14:paraId="43EDF05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317.7</w:t>
            </w:r>
          </w:p>
        </w:tc>
        <w:tc>
          <w:tcPr>
            <w:tcW w:w="254" w:type="pct"/>
            <w:tcBorders>
              <w:tl2br w:val="nil"/>
              <w:tr2bl w:val="nil"/>
            </w:tcBorders>
            <w:shd w:val="clear" w:color="auto" w:fill="auto"/>
            <w:noWrap/>
            <w:vAlign w:val="center"/>
          </w:tcPr>
          <w:p w14:paraId="4E7A780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245182B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11.1</w:t>
            </w:r>
          </w:p>
        </w:tc>
        <w:tc>
          <w:tcPr>
            <w:tcW w:w="417" w:type="pct"/>
            <w:tcBorders>
              <w:tl2br w:val="nil"/>
              <w:tr2bl w:val="nil"/>
            </w:tcBorders>
            <w:shd w:val="clear" w:color="auto" w:fill="auto"/>
            <w:noWrap/>
            <w:vAlign w:val="center"/>
          </w:tcPr>
          <w:p w14:paraId="0ED8793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69.3</w:t>
            </w:r>
          </w:p>
        </w:tc>
        <w:tc>
          <w:tcPr>
            <w:tcW w:w="254" w:type="pct"/>
            <w:vMerge w:val="continue"/>
            <w:tcBorders>
              <w:tl2br w:val="nil"/>
              <w:tr2bl w:val="nil"/>
            </w:tcBorders>
            <w:shd w:val="clear" w:color="auto" w:fill="auto"/>
            <w:noWrap/>
            <w:vAlign w:val="center"/>
          </w:tcPr>
          <w:p w14:paraId="3953A517">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3B747F1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79FB196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45.07</w:t>
            </w:r>
          </w:p>
        </w:tc>
        <w:tc>
          <w:tcPr>
            <w:tcW w:w="308" w:type="pct"/>
            <w:tcBorders>
              <w:tl2br w:val="nil"/>
              <w:tr2bl w:val="nil"/>
            </w:tcBorders>
            <w:shd w:val="clear" w:color="auto" w:fill="auto"/>
            <w:noWrap/>
            <w:vAlign w:val="center"/>
          </w:tcPr>
          <w:p w14:paraId="5CF6A1A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662FDEEE">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7CE40A3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7983E2C9">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156E500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除渣机</w:t>
            </w:r>
          </w:p>
        </w:tc>
        <w:tc>
          <w:tcPr>
            <w:tcW w:w="387" w:type="pct"/>
            <w:vMerge w:val="restart"/>
            <w:tcBorders>
              <w:tl2br w:val="nil"/>
              <w:tr2bl w:val="nil"/>
            </w:tcBorders>
            <w:shd w:val="clear" w:color="auto" w:fill="auto"/>
            <w:noWrap/>
            <w:vAlign w:val="center"/>
          </w:tcPr>
          <w:p w14:paraId="79C9FE7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95</w:t>
            </w:r>
          </w:p>
        </w:tc>
        <w:tc>
          <w:tcPr>
            <w:tcW w:w="575" w:type="pct"/>
            <w:vMerge w:val="restart"/>
            <w:tcBorders>
              <w:tl2br w:val="nil"/>
              <w:tr2bl w:val="nil"/>
            </w:tcBorders>
            <w:shd w:val="clear" w:color="auto" w:fill="auto"/>
            <w:noWrap/>
            <w:vAlign w:val="center"/>
          </w:tcPr>
          <w:p w14:paraId="6CCA0467">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基础减振</w:t>
            </w:r>
          </w:p>
          <w:p w14:paraId="659B48F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厂房隔声</w:t>
            </w:r>
          </w:p>
        </w:tc>
        <w:tc>
          <w:tcPr>
            <w:tcW w:w="284" w:type="pct"/>
            <w:tcBorders>
              <w:tl2br w:val="nil"/>
              <w:tr2bl w:val="nil"/>
            </w:tcBorders>
            <w:shd w:val="clear" w:color="auto" w:fill="auto"/>
            <w:noWrap/>
            <w:vAlign w:val="center"/>
          </w:tcPr>
          <w:p w14:paraId="42A92A9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429</w:t>
            </w:r>
          </w:p>
        </w:tc>
        <w:tc>
          <w:tcPr>
            <w:tcW w:w="296" w:type="pct"/>
            <w:tcBorders>
              <w:tl2br w:val="nil"/>
              <w:tr2bl w:val="nil"/>
            </w:tcBorders>
            <w:shd w:val="clear" w:color="auto" w:fill="auto"/>
            <w:noWrap/>
            <w:vAlign w:val="center"/>
          </w:tcPr>
          <w:p w14:paraId="2BE96E0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322.6</w:t>
            </w:r>
          </w:p>
        </w:tc>
        <w:tc>
          <w:tcPr>
            <w:tcW w:w="254" w:type="pct"/>
            <w:tcBorders>
              <w:tl2br w:val="nil"/>
              <w:tr2bl w:val="nil"/>
            </w:tcBorders>
            <w:shd w:val="clear" w:color="auto" w:fill="auto"/>
            <w:noWrap/>
            <w:vAlign w:val="center"/>
          </w:tcPr>
          <w:p w14:paraId="30BAB11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4DB1977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w:t>
            </w:r>
          </w:p>
        </w:tc>
        <w:tc>
          <w:tcPr>
            <w:tcW w:w="417" w:type="pct"/>
            <w:tcBorders>
              <w:tl2br w:val="nil"/>
              <w:tr2bl w:val="nil"/>
            </w:tcBorders>
            <w:shd w:val="clear" w:color="auto" w:fill="auto"/>
            <w:noWrap/>
            <w:vAlign w:val="center"/>
          </w:tcPr>
          <w:p w14:paraId="7BDB0B9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71.29</w:t>
            </w:r>
          </w:p>
        </w:tc>
        <w:tc>
          <w:tcPr>
            <w:tcW w:w="254" w:type="pct"/>
            <w:vMerge w:val="continue"/>
            <w:tcBorders>
              <w:tl2br w:val="nil"/>
              <w:tr2bl w:val="nil"/>
            </w:tcBorders>
            <w:shd w:val="clear" w:color="auto" w:fill="auto"/>
            <w:noWrap/>
            <w:vAlign w:val="center"/>
          </w:tcPr>
          <w:p w14:paraId="0910DBAD">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475A26F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7970D49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47.06</w:t>
            </w:r>
          </w:p>
        </w:tc>
        <w:tc>
          <w:tcPr>
            <w:tcW w:w="308" w:type="pct"/>
            <w:tcBorders>
              <w:tl2br w:val="nil"/>
              <w:tr2bl w:val="nil"/>
            </w:tcBorders>
            <w:shd w:val="clear" w:color="auto" w:fill="auto"/>
            <w:noWrap/>
            <w:vAlign w:val="center"/>
          </w:tcPr>
          <w:p w14:paraId="2BD8E14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50E481AA">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246C9F6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0C9E96F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7F88AB3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0C52F87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0A259F4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4DC31D6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429</w:t>
            </w:r>
          </w:p>
        </w:tc>
        <w:tc>
          <w:tcPr>
            <w:tcW w:w="296" w:type="pct"/>
            <w:tcBorders>
              <w:tl2br w:val="nil"/>
              <w:tr2bl w:val="nil"/>
            </w:tcBorders>
            <w:shd w:val="clear" w:color="auto" w:fill="auto"/>
            <w:noWrap/>
            <w:vAlign w:val="center"/>
          </w:tcPr>
          <w:p w14:paraId="630EB0A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322.6</w:t>
            </w:r>
          </w:p>
        </w:tc>
        <w:tc>
          <w:tcPr>
            <w:tcW w:w="254" w:type="pct"/>
            <w:tcBorders>
              <w:tl2br w:val="nil"/>
              <w:tr2bl w:val="nil"/>
            </w:tcBorders>
            <w:shd w:val="clear" w:color="auto" w:fill="auto"/>
            <w:noWrap/>
            <w:vAlign w:val="center"/>
          </w:tcPr>
          <w:p w14:paraId="7E1C9FC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7CFE60D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19.2</w:t>
            </w:r>
          </w:p>
        </w:tc>
        <w:tc>
          <w:tcPr>
            <w:tcW w:w="417" w:type="pct"/>
            <w:tcBorders>
              <w:tl2br w:val="nil"/>
              <w:tr2bl w:val="nil"/>
            </w:tcBorders>
            <w:shd w:val="clear" w:color="auto" w:fill="auto"/>
            <w:noWrap/>
            <w:vAlign w:val="center"/>
          </w:tcPr>
          <w:p w14:paraId="35390A3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68.54</w:t>
            </w:r>
          </w:p>
        </w:tc>
        <w:tc>
          <w:tcPr>
            <w:tcW w:w="254" w:type="pct"/>
            <w:vMerge w:val="continue"/>
            <w:tcBorders>
              <w:tl2br w:val="nil"/>
              <w:tr2bl w:val="nil"/>
            </w:tcBorders>
            <w:shd w:val="clear" w:color="auto" w:fill="auto"/>
            <w:noWrap/>
            <w:vAlign w:val="center"/>
          </w:tcPr>
          <w:p w14:paraId="4156F2BC">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0305EFB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0B494F9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44.31</w:t>
            </w:r>
          </w:p>
        </w:tc>
        <w:tc>
          <w:tcPr>
            <w:tcW w:w="308" w:type="pct"/>
            <w:tcBorders>
              <w:tl2br w:val="nil"/>
              <w:tr2bl w:val="nil"/>
            </w:tcBorders>
            <w:shd w:val="clear" w:color="auto" w:fill="auto"/>
            <w:noWrap/>
            <w:vAlign w:val="center"/>
          </w:tcPr>
          <w:p w14:paraId="3691A33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12C98FE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71D1B45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6B6C439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4778C21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7E31371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1C07CD3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7625D0D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429</w:t>
            </w:r>
          </w:p>
        </w:tc>
        <w:tc>
          <w:tcPr>
            <w:tcW w:w="296" w:type="pct"/>
            <w:tcBorders>
              <w:tl2br w:val="nil"/>
              <w:tr2bl w:val="nil"/>
            </w:tcBorders>
            <w:shd w:val="clear" w:color="auto" w:fill="auto"/>
            <w:noWrap/>
            <w:vAlign w:val="center"/>
          </w:tcPr>
          <w:p w14:paraId="0784163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322.6</w:t>
            </w:r>
          </w:p>
        </w:tc>
        <w:tc>
          <w:tcPr>
            <w:tcW w:w="254" w:type="pct"/>
            <w:tcBorders>
              <w:tl2br w:val="nil"/>
              <w:tr2bl w:val="nil"/>
            </w:tcBorders>
            <w:shd w:val="clear" w:color="auto" w:fill="auto"/>
            <w:noWrap/>
            <w:vAlign w:val="center"/>
          </w:tcPr>
          <w:p w14:paraId="34B7471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69BEC25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25.6</w:t>
            </w:r>
          </w:p>
        </w:tc>
        <w:tc>
          <w:tcPr>
            <w:tcW w:w="417" w:type="pct"/>
            <w:tcBorders>
              <w:tl2br w:val="nil"/>
              <w:tr2bl w:val="nil"/>
            </w:tcBorders>
            <w:shd w:val="clear" w:color="auto" w:fill="auto"/>
            <w:noWrap/>
            <w:vAlign w:val="center"/>
          </w:tcPr>
          <w:p w14:paraId="0A9D154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68.35</w:t>
            </w:r>
          </w:p>
        </w:tc>
        <w:tc>
          <w:tcPr>
            <w:tcW w:w="254" w:type="pct"/>
            <w:vMerge w:val="continue"/>
            <w:tcBorders>
              <w:tl2br w:val="nil"/>
              <w:tr2bl w:val="nil"/>
            </w:tcBorders>
            <w:shd w:val="clear" w:color="auto" w:fill="auto"/>
            <w:noWrap/>
            <w:vAlign w:val="center"/>
          </w:tcPr>
          <w:p w14:paraId="3AF3C89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2BAD715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06622D2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44.12</w:t>
            </w:r>
          </w:p>
        </w:tc>
        <w:tc>
          <w:tcPr>
            <w:tcW w:w="308" w:type="pct"/>
            <w:tcBorders>
              <w:tl2br w:val="nil"/>
              <w:tr2bl w:val="nil"/>
            </w:tcBorders>
            <w:shd w:val="clear" w:color="auto" w:fill="auto"/>
            <w:noWrap/>
            <w:vAlign w:val="center"/>
          </w:tcPr>
          <w:p w14:paraId="1968CA1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52A6CF16">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0E7C187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1DDCBF4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11C7871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6DA757B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2069B4E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662205F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429</w:t>
            </w:r>
          </w:p>
        </w:tc>
        <w:tc>
          <w:tcPr>
            <w:tcW w:w="296" w:type="pct"/>
            <w:tcBorders>
              <w:tl2br w:val="nil"/>
              <w:tr2bl w:val="nil"/>
            </w:tcBorders>
            <w:shd w:val="clear" w:color="auto" w:fill="auto"/>
            <w:noWrap/>
            <w:vAlign w:val="center"/>
          </w:tcPr>
          <w:p w14:paraId="227DC44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322.6</w:t>
            </w:r>
          </w:p>
        </w:tc>
        <w:tc>
          <w:tcPr>
            <w:tcW w:w="254" w:type="pct"/>
            <w:tcBorders>
              <w:tl2br w:val="nil"/>
              <w:tr2bl w:val="nil"/>
            </w:tcBorders>
            <w:shd w:val="clear" w:color="auto" w:fill="auto"/>
            <w:noWrap/>
            <w:vAlign w:val="center"/>
          </w:tcPr>
          <w:p w14:paraId="09EC815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6D826E6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6.2</w:t>
            </w:r>
          </w:p>
        </w:tc>
        <w:tc>
          <w:tcPr>
            <w:tcW w:w="417" w:type="pct"/>
            <w:tcBorders>
              <w:tl2br w:val="nil"/>
              <w:tr2bl w:val="nil"/>
            </w:tcBorders>
            <w:shd w:val="clear" w:color="auto" w:fill="auto"/>
            <w:noWrap/>
            <w:vAlign w:val="center"/>
          </w:tcPr>
          <w:p w14:paraId="2D0081A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71.14</w:t>
            </w:r>
          </w:p>
        </w:tc>
        <w:tc>
          <w:tcPr>
            <w:tcW w:w="254" w:type="pct"/>
            <w:vMerge w:val="continue"/>
            <w:tcBorders>
              <w:tl2br w:val="nil"/>
              <w:tr2bl w:val="nil"/>
            </w:tcBorders>
            <w:shd w:val="clear" w:color="auto" w:fill="auto"/>
            <w:noWrap/>
            <w:vAlign w:val="center"/>
          </w:tcPr>
          <w:p w14:paraId="356801A7">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19936D2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7E62BB5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46.91</w:t>
            </w:r>
          </w:p>
        </w:tc>
        <w:tc>
          <w:tcPr>
            <w:tcW w:w="308" w:type="pct"/>
            <w:tcBorders>
              <w:tl2br w:val="nil"/>
              <w:tr2bl w:val="nil"/>
            </w:tcBorders>
            <w:shd w:val="clear" w:color="auto" w:fill="auto"/>
            <w:noWrap/>
            <w:vAlign w:val="center"/>
          </w:tcPr>
          <w:p w14:paraId="19940E2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557133AF">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3EEF7DA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12868A9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29378FD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引风机</w:t>
            </w:r>
          </w:p>
        </w:tc>
        <w:tc>
          <w:tcPr>
            <w:tcW w:w="387" w:type="pct"/>
            <w:vMerge w:val="restart"/>
            <w:tcBorders>
              <w:tl2br w:val="nil"/>
              <w:tr2bl w:val="nil"/>
            </w:tcBorders>
            <w:shd w:val="clear" w:color="auto" w:fill="auto"/>
            <w:noWrap/>
            <w:vAlign w:val="center"/>
          </w:tcPr>
          <w:p w14:paraId="2428F1C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100</w:t>
            </w:r>
          </w:p>
        </w:tc>
        <w:tc>
          <w:tcPr>
            <w:tcW w:w="575" w:type="pct"/>
            <w:vMerge w:val="restart"/>
            <w:tcBorders>
              <w:tl2br w:val="nil"/>
              <w:tr2bl w:val="nil"/>
            </w:tcBorders>
            <w:shd w:val="clear" w:color="auto" w:fill="auto"/>
            <w:noWrap/>
            <w:vAlign w:val="center"/>
          </w:tcPr>
          <w:p w14:paraId="78602D9A">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进风口消声器</w:t>
            </w:r>
          </w:p>
          <w:p w14:paraId="7DB87C6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管道外壳阻尼</w:t>
            </w:r>
          </w:p>
        </w:tc>
        <w:tc>
          <w:tcPr>
            <w:tcW w:w="284" w:type="pct"/>
            <w:tcBorders>
              <w:tl2br w:val="nil"/>
              <w:tr2bl w:val="nil"/>
            </w:tcBorders>
            <w:shd w:val="clear" w:color="auto" w:fill="auto"/>
            <w:noWrap/>
            <w:vAlign w:val="center"/>
          </w:tcPr>
          <w:p w14:paraId="578F487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431.2</w:t>
            </w:r>
          </w:p>
        </w:tc>
        <w:tc>
          <w:tcPr>
            <w:tcW w:w="296" w:type="pct"/>
            <w:tcBorders>
              <w:tl2br w:val="nil"/>
              <w:tr2bl w:val="nil"/>
            </w:tcBorders>
            <w:shd w:val="clear" w:color="auto" w:fill="auto"/>
            <w:noWrap/>
            <w:vAlign w:val="center"/>
          </w:tcPr>
          <w:p w14:paraId="4EEBE88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315.1</w:t>
            </w:r>
          </w:p>
        </w:tc>
        <w:tc>
          <w:tcPr>
            <w:tcW w:w="254" w:type="pct"/>
            <w:tcBorders>
              <w:tl2br w:val="nil"/>
              <w:tr2bl w:val="nil"/>
            </w:tcBorders>
            <w:shd w:val="clear" w:color="auto" w:fill="auto"/>
            <w:noWrap/>
            <w:vAlign w:val="center"/>
          </w:tcPr>
          <w:p w14:paraId="1A8B91F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5E4360F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3.8</w:t>
            </w:r>
          </w:p>
        </w:tc>
        <w:tc>
          <w:tcPr>
            <w:tcW w:w="417" w:type="pct"/>
            <w:tcBorders>
              <w:tl2br w:val="nil"/>
              <w:tr2bl w:val="nil"/>
            </w:tcBorders>
            <w:shd w:val="clear" w:color="auto" w:fill="auto"/>
            <w:noWrap/>
            <w:vAlign w:val="center"/>
          </w:tcPr>
          <w:p w14:paraId="6DE57DB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78.78</w:t>
            </w:r>
          </w:p>
        </w:tc>
        <w:tc>
          <w:tcPr>
            <w:tcW w:w="254" w:type="pct"/>
            <w:vMerge w:val="continue"/>
            <w:tcBorders>
              <w:tl2br w:val="nil"/>
              <w:tr2bl w:val="nil"/>
            </w:tcBorders>
            <w:shd w:val="clear" w:color="auto" w:fill="auto"/>
            <w:noWrap/>
            <w:vAlign w:val="center"/>
          </w:tcPr>
          <w:p w14:paraId="75373FBE">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3D8BF2D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0CC08FC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54.55</w:t>
            </w:r>
          </w:p>
        </w:tc>
        <w:tc>
          <w:tcPr>
            <w:tcW w:w="308" w:type="pct"/>
            <w:tcBorders>
              <w:tl2br w:val="nil"/>
              <w:tr2bl w:val="nil"/>
            </w:tcBorders>
            <w:shd w:val="clear" w:color="auto" w:fill="auto"/>
            <w:noWrap/>
            <w:vAlign w:val="center"/>
          </w:tcPr>
          <w:p w14:paraId="7EB1E5B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042E1B6E">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1C8AFFD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2B9568A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2F0FDD3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7107ACA5">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7965717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669666F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431.2</w:t>
            </w:r>
          </w:p>
        </w:tc>
        <w:tc>
          <w:tcPr>
            <w:tcW w:w="296" w:type="pct"/>
            <w:tcBorders>
              <w:tl2br w:val="nil"/>
              <w:tr2bl w:val="nil"/>
            </w:tcBorders>
            <w:shd w:val="clear" w:color="auto" w:fill="auto"/>
            <w:noWrap/>
            <w:vAlign w:val="center"/>
          </w:tcPr>
          <w:p w14:paraId="620496F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315.1</w:t>
            </w:r>
          </w:p>
        </w:tc>
        <w:tc>
          <w:tcPr>
            <w:tcW w:w="254" w:type="pct"/>
            <w:tcBorders>
              <w:tl2br w:val="nil"/>
              <w:tr2bl w:val="nil"/>
            </w:tcBorders>
            <w:shd w:val="clear" w:color="auto" w:fill="auto"/>
            <w:noWrap/>
            <w:vAlign w:val="center"/>
          </w:tcPr>
          <w:p w14:paraId="26F5E7E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131C8F5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11.7</w:t>
            </w:r>
          </w:p>
        </w:tc>
        <w:tc>
          <w:tcPr>
            <w:tcW w:w="417" w:type="pct"/>
            <w:tcBorders>
              <w:tl2br w:val="nil"/>
              <w:tr2bl w:val="nil"/>
            </w:tcBorders>
            <w:shd w:val="clear" w:color="auto" w:fill="auto"/>
            <w:noWrap/>
            <w:vAlign w:val="center"/>
          </w:tcPr>
          <w:p w14:paraId="27022A3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74.19</w:t>
            </w:r>
          </w:p>
        </w:tc>
        <w:tc>
          <w:tcPr>
            <w:tcW w:w="254" w:type="pct"/>
            <w:vMerge w:val="continue"/>
            <w:tcBorders>
              <w:tl2br w:val="nil"/>
              <w:tr2bl w:val="nil"/>
            </w:tcBorders>
            <w:shd w:val="clear" w:color="auto" w:fill="auto"/>
            <w:noWrap/>
            <w:vAlign w:val="center"/>
          </w:tcPr>
          <w:p w14:paraId="613BC577">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784C4C4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6737C97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49.96</w:t>
            </w:r>
          </w:p>
        </w:tc>
        <w:tc>
          <w:tcPr>
            <w:tcW w:w="308" w:type="pct"/>
            <w:tcBorders>
              <w:tl2br w:val="nil"/>
              <w:tr2bl w:val="nil"/>
            </w:tcBorders>
            <w:shd w:val="clear" w:color="auto" w:fill="auto"/>
            <w:noWrap/>
            <w:vAlign w:val="center"/>
          </w:tcPr>
          <w:p w14:paraId="67F4128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6900E9ED">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7BA5606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18D9761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0A69576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72C32BF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6355B6F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35B83DC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431.2</w:t>
            </w:r>
          </w:p>
        </w:tc>
        <w:tc>
          <w:tcPr>
            <w:tcW w:w="296" w:type="pct"/>
            <w:tcBorders>
              <w:tl2br w:val="nil"/>
              <w:tr2bl w:val="nil"/>
            </w:tcBorders>
            <w:shd w:val="clear" w:color="auto" w:fill="auto"/>
            <w:noWrap/>
            <w:vAlign w:val="center"/>
          </w:tcPr>
          <w:p w14:paraId="76E6D3F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315.1</w:t>
            </w:r>
          </w:p>
        </w:tc>
        <w:tc>
          <w:tcPr>
            <w:tcW w:w="254" w:type="pct"/>
            <w:tcBorders>
              <w:tl2br w:val="nil"/>
              <w:tr2bl w:val="nil"/>
            </w:tcBorders>
            <w:shd w:val="clear" w:color="auto" w:fill="auto"/>
            <w:noWrap/>
            <w:vAlign w:val="center"/>
          </w:tcPr>
          <w:p w14:paraId="30FE056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6BEBE15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27.8</w:t>
            </w:r>
          </w:p>
        </w:tc>
        <w:tc>
          <w:tcPr>
            <w:tcW w:w="417" w:type="pct"/>
            <w:tcBorders>
              <w:tl2br w:val="nil"/>
              <w:tr2bl w:val="nil"/>
            </w:tcBorders>
            <w:shd w:val="clear" w:color="auto" w:fill="auto"/>
            <w:noWrap/>
            <w:vAlign w:val="center"/>
          </w:tcPr>
          <w:p w14:paraId="64793AB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73.32</w:t>
            </w:r>
          </w:p>
        </w:tc>
        <w:tc>
          <w:tcPr>
            <w:tcW w:w="254" w:type="pct"/>
            <w:vMerge w:val="continue"/>
            <w:tcBorders>
              <w:tl2br w:val="nil"/>
              <w:tr2bl w:val="nil"/>
            </w:tcBorders>
            <w:shd w:val="clear" w:color="auto" w:fill="auto"/>
            <w:noWrap/>
            <w:vAlign w:val="center"/>
          </w:tcPr>
          <w:p w14:paraId="25485968">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3BEA1D3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4218649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49.09</w:t>
            </w:r>
          </w:p>
        </w:tc>
        <w:tc>
          <w:tcPr>
            <w:tcW w:w="308" w:type="pct"/>
            <w:tcBorders>
              <w:tl2br w:val="nil"/>
              <w:tr2bl w:val="nil"/>
            </w:tcBorders>
            <w:shd w:val="clear" w:color="auto" w:fill="auto"/>
            <w:noWrap/>
            <w:vAlign w:val="center"/>
          </w:tcPr>
          <w:p w14:paraId="1C4F206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6F0E5F7C">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307FE57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514DCE5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0AB2B74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31541759">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5E13F98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42D7294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431.2</w:t>
            </w:r>
          </w:p>
        </w:tc>
        <w:tc>
          <w:tcPr>
            <w:tcW w:w="296" w:type="pct"/>
            <w:tcBorders>
              <w:tl2br w:val="nil"/>
              <w:tr2bl w:val="nil"/>
            </w:tcBorders>
            <w:shd w:val="clear" w:color="auto" w:fill="auto"/>
            <w:noWrap/>
            <w:vAlign w:val="center"/>
          </w:tcPr>
          <w:p w14:paraId="2CE7870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315.1</w:t>
            </w:r>
          </w:p>
        </w:tc>
        <w:tc>
          <w:tcPr>
            <w:tcW w:w="254" w:type="pct"/>
            <w:tcBorders>
              <w:tl2br w:val="nil"/>
              <w:tr2bl w:val="nil"/>
            </w:tcBorders>
            <w:shd w:val="clear" w:color="auto" w:fill="auto"/>
            <w:noWrap/>
            <w:vAlign w:val="center"/>
          </w:tcPr>
          <w:p w14:paraId="3B83639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6359D02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13.7</w:t>
            </w:r>
          </w:p>
        </w:tc>
        <w:tc>
          <w:tcPr>
            <w:tcW w:w="417" w:type="pct"/>
            <w:tcBorders>
              <w:tl2br w:val="nil"/>
              <w:tr2bl w:val="nil"/>
            </w:tcBorders>
            <w:shd w:val="clear" w:color="auto" w:fill="auto"/>
            <w:noWrap/>
            <w:vAlign w:val="center"/>
          </w:tcPr>
          <w:p w14:paraId="3E975CC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73.92</w:t>
            </w:r>
          </w:p>
        </w:tc>
        <w:tc>
          <w:tcPr>
            <w:tcW w:w="254" w:type="pct"/>
            <w:vMerge w:val="continue"/>
            <w:tcBorders>
              <w:tl2br w:val="nil"/>
              <w:tr2bl w:val="nil"/>
            </w:tcBorders>
            <w:shd w:val="clear" w:color="auto" w:fill="auto"/>
            <w:noWrap/>
            <w:vAlign w:val="center"/>
          </w:tcPr>
          <w:p w14:paraId="1EEE573B">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02C466C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02DAFFB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49.69</w:t>
            </w:r>
          </w:p>
        </w:tc>
        <w:tc>
          <w:tcPr>
            <w:tcW w:w="308" w:type="pct"/>
            <w:tcBorders>
              <w:tl2br w:val="nil"/>
              <w:tr2bl w:val="nil"/>
            </w:tcBorders>
            <w:shd w:val="clear" w:color="auto" w:fill="auto"/>
            <w:noWrap/>
            <w:vAlign w:val="center"/>
          </w:tcPr>
          <w:p w14:paraId="7523362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5D0E13C5">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0CA5896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restart"/>
            <w:tcBorders>
              <w:tl2br w:val="nil"/>
              <w:tr2bl w:val="nil"/>
            </w:tcBorders>
            <w:shd w:val="clear" w:color="auto" w:fill="auto"/>
            <w:noWrap/>
            <w:vAlign w:val="center"/>
          </w:tcPr>
          <w:p w14:paraId="1F1616D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1#汽轮机组</w:t>
            </w:r>
          </w:p>
        </w:tc>
        <w:tc>
          <w:tcPr>
            <w:tcW w:w="398" w:type="pct"/>
            <w:vMerge w:val="restart"/>
            <w:tcBorders>
              <w:tl2br w:val="nil"/>
              <w:tr2bl w:val="nil"/>
            </w:tcBorders>
            <w:shd w:val="clear" w:color="auto" w:fill="auto"/>
            <w:noWrap/>
            <w:vAlign w:val="center"/>
          </w:tcPr>
          <w:p w14:paraId="56BA68D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汽轮机</w:t>
            </w:r>
          </w:p>
        </w:tc>
        <w:tc>
          <w:tcPr>
            <w:tcW w:w="387" w:type="pct"/>
            <w:vMerge w:val="restart"/>
            <w:tcBorders>
              <w:tl2br w:val="nil"/>
              <w:tr2bl w:val="nil"/>
            </w:tcBorders>
            <w:shd w:val="clear" w:color="auto" w:fill="auto"/>
            <w:noWrap/>
            <w:vAlign w:val="center"/>
          </w:tcPr>
          <w:p w14:paraId="13BDF88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108</w:t>
            </w:r>
          </w:p>
        </w:tc>
        <w:tc>
          <w:tcPr>
            <w:tcW w:w="575" w:type="pct"/>
            <w:vMerge w:val="restart"/>
            <w:tcBorders>
              <w:tl2br w:val="nil"/>
              <w:tr2bl w:val="nil"/>
            </w:tcBorders>
            <w:shd w:val="clear" w:color="auto" w:fill="auto"/>
            <w:noWrap/>
            <w:vAlign w:val="center"/>
          </w:tcPr>
          <w:p w14:paraId="29A86AF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基础减振</w:t>
            </w:r>
          </w:p>
          <w:p w14:paraId="7DC8464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厂房隔声</w:t>
            </w:r>
          </w:p>
        </w:tc>
        <w:tc>
          <w:tcPr>
            <w:tcW w:w="284" w:type="pct"/>
            <w:tcBorders>
              <w:tl2br w:val="nil"/>
              <w:tr2bl w:val="nil"/>
            </w:tcBorders>
            <w:shd w:val="clear" w:color="auto" w:fill="auto"/>
            <w:noWrap/>
            <w:vAlign w:val="center"/>
          </w:tcPr>
          <w:p w14:paraId="7659F62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446.2</w:t>
            </w:r>
          </w:p>
        </w:tc>
        <w:tc>
          <w:tcPr>
            <w:tcW w:w="296" w:type="pct"/>
            <w:tcBorders>
              <w:tl2br w:val="nil"/>
              <w:tr2bl w:val="nil"/>
            </w:tcBorders>
            <w:shd w:val="clear" w:color="auto" w:fill="auto"/>
            <w:noWrap/>
            <w:vAlign w:val="center"/>
          </w:tcPr>
          <w:p w14:paraId="2A8654D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317.2</w:t>
            </w:r>
          </w:p>
        </w:tc>
        <w:tc>
          <w:tcPr>
            <w:tcW w:w="254" w:type="pct"/>
            <w:tcBorders>
              <w:tl2br w:val="nil"/>
              <w:tr2bl w:val="nil"/>
            </w:tcBorders>
            <w:shd w:val="clear" w:color="auto" w:fill="auto"/>
            <w:noWrap/>
            <w:vAlign w:val="center"/>
          </w:tcPr>
          <w:p w14:paraId="0522A2F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53CB1D2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32.64</w:t>
            </w:r>
          </w:p>
        </w:tc>
        <w:tc>
          <w:tcPr>
            <w:tcW w:w="417" w:type="pct"/>
            <w:tcBorders>
              <w:tl2br w:val="nil"/>
              <w:tr2bl w:val="nil"/>
            </w:tcBorders>
            <w:shd w:val="clear" w:color="auto" w:fill="auto"/>
            <w:noWrap/>
            <w:vAlign w:val="center"/>
          </w:tcPr>
          <w:p w14:paraId="7972840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80.28</w:t>
            </w:r>
          </w:p>
        </w:tc>
        <w:tc>
          <w:tcPr>
            <w:tcW w:w="254" w:type="pct"/>
            <w:vMerge w:val="restart"/>
            <w:tcBorders>
              <w:tl2br w:val="nil"/>
              <w:tr2bl w:val="nil"/>
            </w:tcBorders>
            <w:shd w:val="clear" w:color="auto" w:fill="auto"/>
            <w:noWrap/>
            <w:vAlign w:val="center"/>
          </w:tcPr>
          <w:p w14:paraId="0198E0EE">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连续</w:t>
            </w:r>
          </w:p>
        </w:tc>
        <w:tc>
          <w:tcPr>
            <w:tcW w:w="447" w:type="pct"/>
            <w:tcBorders>
              <w:tl2br w:val="nil"/>
              <w:tr2bl w:val="nil"/>
            </w:tcBorders>
            <w:shd w:val="clear" w:color="auto" w:fill="auto"/>
            <w:noWrap/>
            <w:vAlign w:val="center"/>
          </w:tcPr>
          <w:p w14:paraId="10CC26E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7197833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59.06</w:t>
            </w:r>
          </w:p>
        </w:tc>
        <w:tc>
          <w:tcPr>
            <w:tcW w:w="308" w:type="pct"/>
            <w:tcBorders>
              <w:tl2br w:val="nil"/>
              <w:tr2bl w:val="nil"/>
            </w:tcBorders>
            <w:shd w:val="clear" w:color="auto" w:fill="auto"/>
            <w:noWrap/>
            <w:vAlign w:val="center"/>
          </w:tcPr>
          <w:p w14:paraId="50A9B1C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7B8109ED">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7FD0B7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6C19F10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38875B1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56F5AA4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16C25885">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6219117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446.2</w:t>
            </w:r>
          </w:p>
        </w:tc>
        <w:tc>
          <w:tcPr>
            <w:tcW w:w="296" w:type="pct"/>
            <w:tcBorders>
              <w:tl2br w:val="nil"/>
              <w:tr2bl w:val="nil"/>
            </w:tcBorders>
            <w:shd w:val="clear" w:color="auto" w:fill="auto"/>
            <w:noWrap/>
            <w:vAlign w:val="center"/>
          </w:tcPr>
          <w:p w14:paraId="0D53F1E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317.2</w:t>
            </w:r>
          </w:p>
        </w:tc>
        <w:tc>
          <w:tcPr>
            <w:tcW w:w="254" w:type="pct"/>
            <w:tcBorders>
              <w:tl2br w:val="nil"/>
              <w:tr2bl w:val="nil"/>
            </w:tcBorders>
            <w:shd w:val="clear" w:color="auto" w:fill="auto"/>
            <w:noWrap/>
            <w:vAlign w:val="center"/>
          </w:tcPr>
          <w:p w14:paraId="34F1E65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005471C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16.72</w:t>
            </w:r>
          </w:p>
        </w:tc>
        <w:tc>
          <w:tcPr>
            <w:tcW w:w="417" w:type="pct"/>
            <w:tcBorders>
              <w:tl2br w:val="nil"/>
              <w:tr2bl w:val="nil"/>
            </w:tcBorders>
            <w:shd w:val="clear" w:color="auto" w:fill="auto"/>
            <w:noWrap/>
            <w:vAlign w:val="center"/>
          </w:tcPr>
          <w:p w14:paraId="00E815C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80.79</w:t>
            </w:r>
          </w:p>
        </w:tc>
        <w:tc>
          <w:tcPr>
            <w:tcW w:w="254" w:type="pct"/>
            <w:vMerge w:val="continue"/>
            <w:tcBorders>
              <w:tl2br w:val="nil"/>
              <w:tr2bl w:val="nil"/>
            </w:tcBorders>
            <w:shd w:val="clear" w:color="auto" w:fill="auto"/>
            <w:noWrap/>
            <w:vAlign w:val="center"/>
          </w:tcPr>
          <w:p w14:paraId="7BA638B5">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0E467BA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535A4AC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59.57</w:t>
            </w:r>
          </w:p>
        </w:tc>
        <w:tc>
          <w:tcPr>
            <w:tcW w:w="308" w:type="pct"/>
            <w:tcBorders>
              <w:tl2br w:val="nil"/>
              <w:tr2bl w:val="nil"/>
            </w:tcBorders>
            <w:shd w:val="clear" w:color="auto" w:fill="auto"/>
            <w:noWrap/>
            <w:vAlign w:val="center"/>
          </w:tcPr>
          <w:p w14:paraId="6FC0AD1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3166413A">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6EF54AE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663C2E7D">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6487D57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5584626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21C434D5">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2440769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446.2</w:t>
            </w:r>
          </w:p>
        </w:tc>
        <w:tc>
          <w:tcPr>
            <w:tcW w:w="296" w:type="pct"/>
            <w:tcBorders>
              <w:tl2br w:val="nil"/>
              <w:tr2bl w:val="nil"/>
            </w:tcBorders>
            <w:shd w:val="clear" w:color="auto" w:fill="auto"/>
            <w:noWrap/>
            <w:vAlign w:val="center"/>
          </w:tcPr>
          <w:p w14:paraId="6F2285D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317.2</w:t>
            </w:r>
          </w:p>
        </w:tc>
        <w:tc>
          <w:tcPr>
            <w:tcW w:w="254" w:type="pct"/>
            <w:tcBorders>
              <w:tl2br w:val="nil"/>
              <w:tr2bl w:val="nil"/>
            </w:tcBorders>
            <w:shd w:val="clear" w:color="auto" w:fill="auto"/>
            <w:noWrap/>
            <w:vAlign w:val="center"/>
          </w:tcPr>
          <w:p w14:paraId="52B3858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25EB5BE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10.28</w:t>
            </w:r>
          </w:p>
        </w:tc>
        <w:tc>
          <w:tcPr>
            <w:tcW w:w="417" w:type="pct"/>
            <w:tcBorders>
              <w:tl2br w:val="nil"/>
              <w:tr2bl w:val="nil"/>
            </w:tcBorders>
            <w:shd w:val="clear" w:color="auto" w:fill="auto"/>
            <w:noWrap/>
            <w:vAlign w:val="center"/>
          </w:tcPr>
          <w:p w14:paraId="391428B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81.75</w:t>
            </w:r>
          </w:p>
        </w:tc>
        <w:tc>
          <w:tcPr>
            <w:tcW w:w="254" w:type="pct"/>
            <w:vMerge w:val="continue"/>
            <w:tcBorders>
              <w:tl2br w:val="nil"/>
              <w:tr2bl w:val="nil"/>
            </w:tcBorders>
            <w:shd w:val="clear" w:color="auto" w:fill="auto"/>
            <w:noWrap/>
            <w:vAlign w:val="center"/>
          </w:tcPr>
          <w:p w14:paraId="6BC9BDED">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5B58B3D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7AC25E2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60.53</w:t>
            </w:r>
          </w:p>
        </w:tc>
        <w:tc>
          <w:tcPr>
            <w:tcW w:w="308" w:type="pct"/>
            <w:tcBorders>
              <w:tl2br w:val="nil"/>
              <w:tr2bl w:val="nil"/>
            </w:tcBorders>
            <w:shd w:val="clear" w:color="auto" w:fill="auto"/>
            <w:noWrap/>
            <w:vAlign w:val="center"/>
          </w:tcPr>
          <w:p w14:paraId="0C211E6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1D489100">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59099B2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377AA0E9">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1F73B74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4142365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5D341A9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3B4EDC7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446.2</w:t>
            </w:r>
          </w:p>
        </w:tc>
        <w:tc>
          <w:tcPr>
            <w:tcW w:w="296" w:type="pct"/>
            <w:tcBorders>
              <w:tl2br w:val="nil"/>
              <w:tr2bl w:val="nil"/>
            </w:tcBorders>
            <w:shd w:val="clear" w:color="auto" w:fill="auto"/>
            <w:noWrap/>
            <w:vAlign w:val="center"/>
          </w:tcPr>
          <w:p w14:paraId="11B9B3C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317.2</w:t>
            </w:r>
          </w:p>
        </w:tc>
        <w:tc>
          <w:tcPr>
            <w:tcW w:w="254" w:type="pct"/>
            <w:tcBorders>
              <w:tl2br w:val="nil"/>
              <w:tr2bl w:val="nil"/>
            </w:tcBorders>
            <w:shd w:val="clear" w:color="auto" w:fill="auto"/>
            <w:noWrap/>
            <w:vAlign w:val="center"/>
          </w:tcPr>
          <w:p w14:paraId="48D83CA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7227758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8.99</w:t>
            </w:r>
          </w:p>
        </w:tc>
        <w:tc>
          <w:tcPr>
            <w:tcW w:w="417" w:type="pct"/>
            <w:tcBorders>
              <w:tl2br w:val="nil"/>
              <w:tr2bl w:val="nil"/>
            </w:tcBorders>
            <w:shd w:val="clear" w:color="auto" w:fill="auto"/>
            <w:noWrap/>
            <w:vAlign w:val="center"/>
          </w:tcPr>
          <w:p w14:paraId="7AFE141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82.15</w:t>
            </w:r>
          </w:p>
        </w:tc>
        <w:tc>
          <w:tcPr>
            <w:tcW w:w="254" w:type="pct"/>
            <w:vMerge w:val="continue"/>
            <w:tcBorders>
              <w:tl2br w:val="nil"/>
              <w:tr2bl w:val="nil"/>
            </w:tcBorders>
            <w:shd w:val="clear" w:color="auto" w:fill="auto"/>
            <w:noWrap/>
            <w:vAlign w:val="center"/>
          </w:tcPr>
          <w:p w14:paraId="1DB60F7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1F560FD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1A0496B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60.93</w:t>
            </w:r>
          </w:p>
        </w:tc>
        <w:tc>
          <w:tcPr>
            <w:tcW w:w="308" w:type="pct"/>
            <w:tcBorders>
              <w:tl2br w:val="nil"/>
              <w:tr2bl w:val="nil"/>
            </w:tcBorders>
            <w:shd w:val="clear" w:color="auto" w:fill="auto"/>
            <w:noWrap/>
            <w:vAlign w:val="center"/>
          </w:tcPr>
          <w:p w14:paraId="42DE481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333AE02C">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64A44ED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28185D4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1C3C1DE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发电机</w:t>
            </w:r>
          </w:p>
        </w:tc>
        <w:tc>
          <w:tcPr>
            <w:tcW w:w="387" w:type="pct"/>
            <w:vMerge w:val="restart"/>
            <w:tcBorders>
              <w:tl2br w:val="nil"/>
              <w:tr2bl w:val="nil"/>
            </w:tcBorders>
            <w:shd w:val="clear" w:color="auto" w:fill="auto"/>
            <w:noWrap/>
            <w:vAlign w:val="center"/>
          </w:tcPr>
          <w:p w14:paraId="06D44EA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108</w:t>
            </w:r>
          </w:p>
        </w:tc>
        <w:tc>
          <w:tcPr>
            <w:tcW w:w="575" w:type="pct"/>
            <w:vMerge w:val="restart"/>
            <w:tcBorders>
              <w:tl2br w:val="nil"/>
              <w:tr2bl w:val="nil"/>
            </w:tcBorders>
            <w:shd w:val="clear" w:color="auto" w:fill="auto"/>
            <w:noWrap/>
            <w:vAlign w:val="center"/>
          </w:tcPr>
          <w:p w14:paraId="69F9EB66">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基础减振</w:t>
            </w:r>
          </w:p>
          <w:p w14:paraId="2D64A34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厂房隔声</w:t>
            </w:r>
          </w:p>
        </w:tc>
        <w:tc>
          <w:tcPr>
            <w:tcW w:w="284" w:type="pct"/>
            <w:tcBorders>
              <w:tl2br w:val="nil"/>
              <w:tr2bl w:val="nil"/>
            </w:tcBorders>
            <w:shd w:val="clear" w:color="auto" w:fill="auto"/>
            <w:noWrap/>
            <w:vAlign w:val="center"/>
          </w:tcPr>
          <w:p w14:paraId="70DB0DC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465.5</w:t>
            </w:r>
          </w:p>
        </w:tc>
        <w:tc>
          <w:tcPr>
            <w:tcW w:w="296" w:type="pct"/>
            <w:tcBorders>
              <w:tl2br w:val="nil"/>
              <w:tr2bl w:val="nil"/>
            </w:tcBorders>
            <w:shd w:val="clear" w:color="auto" w:fill="auto"/>
            <w:noWrap/>
            <w:vAlign w:val="center"/>
          </w:tcPr>
          <w:p w14:paraId="7D52037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315.1</w:t>
            </w:r>
          </w:p>
        </w:tc>
        <w:tc>
          <w:tcPr>
            <w:tcW w:w="254" w:type="pct"/>
            <w:tcBorders>
              <w:tl2br w:val="nil"/>
              <w:tr2bl w:val="nil"/>
            </w:tcBorders>
            <w:shd w:val="clear" w:color="auto" w:fill="auto"/>
            <w:noWrap/>
            <w:vAlign w:val="center"/>
          </w:tcPr>
          <w:p w14:paraId="1EF66A2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59F976A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13.3</w:t>
            </w:r>
          </w:p>
        </w:tc>
        <w:tc>
          <w:tcPr>
            <w:tcW w:w="417" w:type="pct"/>
            <w:tcBorders>
              <w:tl2br w:val="nil"/>
              <w:tr2bl w:val="nil"/>
            </w:tcBorders>
            <w:shd w:val="clear" w:color="auto" w:fill="auto"/>
            <w:noWrap/>
            <w:vAlign w:val="center"/>
          </w:tcPr>
          <w:p w14:paraId="0644BD9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81.15</w:t>
            </w:r>
          </w:p>
        </w:tc>
        <w:tc>
          <w:tcPr>
            <w:tcW w:w="254" w:type="pct"/>
            <w:vMerge w:val="continue"/>
            <w:tcBorders>
              <w:tl2br w:val="nil"/>
              <w:tr2bl w:val="nil"/>
            </w:tcBorders>
            <w:shd w:val="clear" w:color="auto" w:fill="auto"/>
            <w:noWrap/>
            <w:vAlign w:val="center"/>
          </w:tcPr>
          <w:p w14:paraId="5B66F3C4">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6721ED5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4F2CCA1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59.93</w:t>
            </w:r>
          </w:p>
        </w:tc>
        <w:tc>
          <w:tcPr>
            <w:tcW w:w="308" w:type="pct"/>
            <w:tcBorders>
              <w:tl2br w:val="nil"/>
              <w:tr2bl w:val="nil"/>
            </w:tcBorders>
            <w:shd w:val="clear" w:color="auto" w:fill="auto"/>
            <w:noWrap/>
            <w:vAlign w:val="center"/>
          </w:tcPr>
          <w:p w14:paraId="741BA93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447F1390">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4ABF1B7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04BCC79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5AF0296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0E3A15DD">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7D051A2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476A780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465.5</w:t>
            </w:r>
          </w:p>
        </w:tc>
        <w:tc>
          <w:tcPr>
            <w:tcW w:w="296" w:type="pct"/>
            <w:tcBorders>
              <w:tl2br w:val="nil"/>
              <w:tr2bl w:val="nil"/>
            </w:tcBorders>
            <w:shd w:val="clear" w:color="auto" w:fill="auto"/>
            <w:noWrap/>
            <w:vAlign w:val="center"/>
          </w:tcPr>
          <w:p w14:paraId="281A762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315.1</w:t>
            </w:r>
          </w:p>
        </w:tc>
        <w:tc>
          <w:tcPr>
            <w:tcW w:w="254" w:type="pct"/>
            <w:tcBorders>
              <w:tl2br w:val="nil"/>
              <w:tr2bl w:val="nil"/>
            </w:tcBorders>
            <w:shd w:val="clear" w:color="auto" w:fill="auto"/>
            <w:noWrap/>
            <w:vAlign w:val="center"/>
          </w:tcPr>
          <w:p w14:paraId="046F804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3053B8B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15.03</w:t>
            </w:r>
          </w:p>
        </w:tc>
        <w:tc>
          <w:tcPr>
            <w:tcW w:w="417" w:type="pct"/>
            <w:tcBorders>
              <w:tl2br w:val="nil"/>
              <w:tr2bl w:val="nil"/>
            </w:tcBorders>
            <w:shd w:val="clear" w:color="auto" w:fill="auto"/>
            <w:noWrap/>
            <w:vAlign w:val="center"/>
          </w:tcPr>
          <w:p w14:paraId="4D5840E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80.94</w:t>
            </w:r>
          </w:p>
        </w:tc>
        <w:tc>
          <w:tcPr>
            <w:tcW w:w="254" w:type="pct"/>
            <w:vMerge w:val="continue"/>
            <w:tcBorders>
              <w:tl2br w:val="nil"/>
              <w:tr2bl w:val="nil"/>
            </w:tcBorders>
            <w:shd w:val="clear" w:color="auto" w:fill="auto"/>
            <w:noWrap/>
            <w:vAlign w:val="center"/>
          </w:tcPr>
          <w:p w14:paraId="5BF410E6">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38B0407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7930F60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59.72</w:t>
            </w:r>
          </w:p>
        </w:tc>
        <w:tc>
          <w:tcPr>
            <w:tcW w:w="308" w:type="pct"/>
            <w:tcBorders>
              <w:tl2br w:val="nil"/>
              <w:tr2bl w:val="nil"/>
            </w:tcBorders>
            <w:shd w:val="clear" w:color="auto" w:fill="auto"/>
            <w:noWrap/>
            <w:vAlign w:val="center"/>
          </w:tcPr>
          <w:p w14:paraId="0A7E12B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7EDEF068">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0B09103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3994819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61FC1B4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39669FA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751ECBD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2E1A1C0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465.5</w:t>
            </w:r>
          </w:p>
        </w:tc>
        <w:tc>
          <w:tcPr>
            <w:tcW w:w="296" w:type="pct"/>
            <w:tcBorders>
              <w:tl2br w:val="nil"/>
              <w:tr2bl w:val="nil"/>
            </w:tcBorders>
            <w:shd w:val="clear" w:color="auto" w:fill="auto"/>
            <w:noWrap/>
            <w:vAlign w:val="center"/>
          </w:tcPr>
          <w:p w14:paraId="7CBB225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315.1</w:t>
            </w:r>
          </w:p>
        </w:tc>
        <w:tc>
          <w:tcPr>
            <w:tcW w:w="254" w:type="pct"/>
            <w:tcBorders>
              <w:tl2br w:val="nil"/>
              <w:tr2bl w:val="nil"/>
            </w:tcBorders>
            <w:shd w:val="clear" w:color="auto" w:fill="auto"/>
            <w:noWrap/>
            <w:vAlign w:val="center"/>
          </w:tcPr>
          <w:p w14:paraId="08A8611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3DA2A28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29.62</w:t>
            </w:r>
          </w:p>
        </w:tc>
        <w:tc>
          <w:tcPr>
            <w:tcW w:w="417" w:type="pct"/>
            <w:tcBorders>
              <w:tl2br w:val="nil"/>
              <w:tr2bl w:val="nil"/>
            </w:tcBorders>
            <w:shd w:val="clear" w:color="auto" w:fill="auto"/>
            <w:noWrap/>
            <w:vAlign w:val="center"/>
          </w:tcPr>
          <w:p w14:paraId="2E135DB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80.32</w:t>
            </w:r>
          </w:p>
        </w:tc>
        <w:tc>
          <w:tcPr>
            <w:tcW w:w="254" w:type="pct"/>
            <w:vMerge w:val="continue"/>
            <w:tcBorders>
              <w:tl2br w:val="nil"/>
              <w:tr2bl w:val="nil"/>
            </w:tcBorders>
            <w:shd w:val="clear" w:color="auto" w:fill="auto"/>
            <w:noWrap/>
            <w:vAlign w:val="center"/>
          </w:tcPr>
          <w:p w14:paraId="0131742B">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616D97C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1D9EFAC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59.1</w:t>
            </w:r>
          </w:p>
        </w:tc>
        <w:tc>
          <w:tcPr>
            <w:tcW w:w="308" w:type="pct"/>
            <w:tcBorders>
              <w:tl2br w:val="nil"/>
              <w:tr2bl w:val="nil"/>
            </w:tcBorders>
            <w:shd w:val="clear" w:color="auto" w:fill="auto"/>
            <w:noWrap/>
            <w:vAlign w:val="center"/>
          </w:tcPr>
          <w:p w14:paraId="5D5EFB2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66A62210">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285B1D3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66289E2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254785B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600EFA7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19A02C1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2544148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465.5</w:t>
            </w:r>
          </w:p>
        </w:tc>
        <w:tc>
          <w:tcPr>
            <w:tcW w:w="296" w:type="pct"/>
            <w:tcBorders>
              <w:tl2br w:val="nil"/>
              <w:tr2bl w:val="nil"/>
            </w:tcBorders>
            <w:shd w:val="clear" w:color="auto" w:fill="auto"/>
            <w:noWrap/>
            <w:vAlign w:val="center"/>
          </w:tcPr>
          <w:p w14:paraId="4FF44D4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315.1</w:t>
            </w:r>
          </w:p>
        </w:tc>
        <w:tc>
          <w:tcPr>
            <w:tcW w:w="254" w:type="pct"/>
            <w:tcBorders>
              <w:tl2br w:val="nil"/>
              <w:tr2bl w:val="nil"/>
            </w:tcBorders>
            <w:shd w:val="clear" w:color="auto" w:fill="auto"/>
            <w:noWrap/>
            <w:vAlign w:val="center"/>
          </w:tcPr>
          <w:p w14:paraId="491C095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5FBC32C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10.68</w:t>
            </w:r>
          </w:p>
        </w:tc>
        <w:tc>
          <w:tcPr>
            <w:tcW w:w="417" w:type="pct"/>
            <w:tcBorders>
              <w:tl2br w:val="nil"/>
              <w:tr2bl w:val="nil"/>
            </w:tcBorders>
            <w:shd w:val="clear" w:color="auto" w:fill="auto"/>
            <w:noWrap/>
            <w:vAlign w:val="center"/>
          </w:tcPr>
          <w:p w14:paraId="7D2E0D1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81.64</w:t>
            </w:r>
          </w:p>
        </w:tc>
        <w:tc>
          <w:tcPr>
            <w:tcW w:w="254" w:type="pct"/>
            <w:vMerge w:val="continue"/>
            <w:tcBorders>
              <w:tl2br w:val="nil"/>
              <w:tr2bl w:val="nil"/>
            </w:tcBorders>
            <w:shd w:val="clear" w:color="auto" w:fill="auto"/>
            <w:noWrap/>
            <w:vAlign w:val="center"/>
          </w:tcPr>
          <w:p w14:paraId="5321A83B">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64CC7E5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39968D2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60.42</w:t>
            </w:r>
          </w:p>
        </w:tc>
        <w:tc>
          <w:tcPr>
            <w:tcW w:w="308" w:type="pct"/>
            <w:tcBorders>
              <w:tl2br w:val="nil"/>
              <w:tr2bl w:val="nil"/>
            </w:tcBorders>
            <w:shd w:val="clear" w:color="auto" w:fill="auto"/>
            <w:noWrap/>
            <w:vAlign w:val="center"/>
          </w:tcPr>
          <w:p w14:paraId="16A2A55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0229890C">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6FF3ACB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restart"/>
            <w:tcBorders>
              <w:tl2br w:val="nil"/>
              <w:tr2bl w:val="nil"/>
            </w:tcBorders>
            <w:shd w:val="clear" w:color="auto" w:fill="auto"/>
            <w:noWrap/>
            <w:vAlign w:val="center"/>
          </w:tcPr>
          <w:p w14:paraId="7A684CE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3#锅炉房</w:t>
            </w:r>
            <w:r>
              <w:rPr>
                <w:rFonts w:hint="eastAsia" w:ascii="Times New Roman" w:hAnsi="Times New Roman" w:eastAsia="宋体" w:cs="Times New Roman"/>
                <w:color w:val="FF0000"/>
                <w:sz w:val="21"/>
                <w:szCs w:val="21"/>
                <w:highlight w:val="none"/>
                <w:lang w:val="en-US" w:eastAsia="zh-CN"/>
              </w:rPr>
              <w:t>（154MW锅炉）</w:t>
            </w:r>
          </w:p>
        </w:tc>
        <w:tc>
          <w:tcPr>
            <w:tcW w:w="398" w:type="pct"/>
            <w:vMerge w:val="restart"/>
            <w:tcBorders>
              <w:tl2br w:val="nil"/>
              <w:tr2bl w:val="nil"/>
            </w:tcBorders>
            <w:shd w:val="clear" w:color="auto" w:fill="auto"/>
            <w:noWrap/>
            <w:vAlign w:val="center"/>
          </w:tcPr>
          <w:p w14:paraId="51C2DAD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一次风机</w:t>
            </w:r>
          </w:p>
        </w:tc>
        <w:tc>
          <w:tcPr>
            <w:tcW w:w="387" w:type="pct"/>
            <w:vMerge w:val="restart"/>
            <w:tcBorders>
              <w:tl2br w:val="nil"/>
              <w:tr2bl w:val="nil"/>
            </w:tcBorders>
            <w:shd w:val="clear" w:color="auto" w:fill="auto"/>
            <w:noWrap/>
            <w:vAlign w:val="center"/>
          </w:tcPr>
          <w:p w14:paraId="4A973C0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105</w:t>
            </w:r>
          </w:p>
        </w:tc>
        <w:tc>
          <w:tcPr>
            <w:tcW w:w="575" w:type="pct"/>
            <w:vMerge w:val="restart"/>
            <w:tcBorders>
              <w:tl2br w:val="nil"/>
              <w:tr2bl w:val="nil"/>
            </w:tcBorders>
            <w:shd w:val="clear" w:color="auto" w:fill="auto"/>
            <w:noWrap/>
            <w:vAlign w:val="center"/>
          </w:tcPr>
          <w:p w14:paraId="5E066249">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进风口消声器</w:t>
            </w:r>
          </w:p>
          <w:p w14:paraId="50B065A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管道外壳阻尼</w:t>
            </w:r>
          </w:p>
        </w:tc>
        <w:tc>
          <w:tcPr>
            <w:tcW w:w="284" w:type="pct"/>
            <w:tcBorders>
              <w:tl2br w:val="nil"/>
              <w:tr2bl w:val="nil"/>
            </w:tcBorders>
            <w:shd w:val="clear" w:color="auto" w:fill="auto"/>
            <w:noWrap/>
            <w:vAlign w:val="center"/>
          </w:tcPr>
          <w:p w14:paraId="729E0CA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398</w:t>
            </w:r>
          </w:p>
        </w:tc>
        <w:tc>
          <w:tcPr>
            <w:tcW w:w="296" w:type="pct"/>
            <w:tcBorders>
              <w:tl2br w:val="nil"/>
              <w:tr2bl w:val="nil"/>
            </w:tcBorders>
            <w:shd w:val="clear" w:color="auto" w:fill="auto"/>
            <w:noWrap/>
            <w:vAlign w:val="center"/>
          </w:tcPr>
          <w:p w14:paraId="74800F7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233.6</w:t>
            </w:r>
          </w:p>
        </w:tc>
        <w:tc>
          <w:tcPr>
            <w:tcW w:w="254" w:type="pct"/>
            <w:tcBorders>
              <w:tl2br w:val="nil"/>
              <w:tr2bl w:val="nil"/>
            </w:tcBorders>
            <w:shd w:val="clear" w:color="auto" w:fill="auto"/>
            <w:noWrap/>
            <w:vAlign w:val="center"/>
          </w:tcPr>
          <w:p w14:paraId="682DF9F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2CB4320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12.5</w:t>
            </w:r>
          </w:p>
        </w:tc>
        <w:tc>
          <w:tcPr>
            <w:tcW w:w="417" w:type="pct"/>
            <w:tcBorders>
              <w:tl2br w:val="nil"/>
              <w:tr2bl w:val="nil"/>
            </w:tcBorders>
            <w:shd w:val="clear" w:color="auto" w:fill="auto"/>
            <w:noWrap/>
            <w:vAlign w:val="center"/>
          </w:tcPr>
          <w:p w14:paraId="002CBC6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80.19</w:t>
            </w:r>
          </w:p>
        </w:tc>
        <w:tc>
          <w:tcPr>
            <w:tcW w:w="254" w:type="pct"/>
            <w:vMerge w:val="restart"/>
            <w:tcBorders>
              <w:tl2br w:val="nil"/>
              <w:tr2bl w:val="nil"/>
            </w:tcBorders>
            <w:shd w:val="clear" w:color="auto" w:fill="auto"/>
            <w:noWrap/>
            <w:vAlign w:val="center"/>
          </w:tcPr>
          <w:p w14:paraId="727E3DE5">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连续</w:t>
            </w:r>
          </w:p>
        </w:tc>
        <w:tc>
          <w:tcPr>
            <w:tcW w:w="447" w:type="pct"/>
            <w:tcBorders>
              <w:tl2br w:val="nil"/>
              <w:tr2bl w:val="nil"/>
            </w:tcBorders>
            <w:shd w:val="clear" w:color="auto" w:fill="auto"/>
            <w:noWrap/>
            <w:vAlign w:val="center"/>
          </w:tcPr>
          <w:p w14:paraId="79B2948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54D2499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54.2</w:t>
            </w:r>
          </w:p>
        </w:tc>
        <w:tc>
          <w:tcPr>
            <w:tcW w:w="308" w:type="pct"/>
            <w:tcBorders>
              <w:tl2br w:val="nil"/>
              <w:tr2bl w:val="nil"/>
            </w:tcBorders>
            <w:shd w:val="clear" w:color="auto" w:fill="auto"/>
            <w:noWrap/>
            <w:vAlign w:val="center"/>
          </w:tcPr>
          <w:p w14:paraId="6987929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7CB7790">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5288E28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183DFB0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0431F3C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40126F4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6A905AE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5DADBF2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398</w:t>
            </w:r>
          </w:p>
        </w:tc>
        <w:tc>
          <w:tcPr>
            <w:tcW w:w="296" w:type="pct"/>
            <w:tcBorders>
              <w:tl2br w:val="nil"/>
              <w:tr2bl w:val="nil"/>
            </w:tcBorders>
            <w:shd w:val="clear" w:color="auto" w:fill="auto"/>
            <w:noWrap/>
            <w:vAlign w:val="center"/>
          </w:tcPr>
          <w:p w14:paraId="5E35917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233.6</w:t>
            </w:r>
          </w:p>
        </w:tc>
        <w:tc>
          <w:tcPr>
            <w:tcW w:w="254" w:type="pct"/>
            <w:tcBorders>
              <w:tl2br w:val="nil"/>
              <w:tr2bl w:val="nil"/>
            </w:tcBorders>
            <w:shd w:val="clear" w:color="auto" w:fill="auto"/>
            <w:noWrap/>
            <w:vAlign w:val="center"/>
          </w:tcPr>
          <w:p w14:paraId="7AEFF25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66FE192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23.1</w:t>
            </w:r>
          </w:p>
        </w:tc>
        <w:tc>
          <w:tcPr>
            <w:tcW w:w="417" w:type="pct"/>
            <w:tcBorders>
              <w:tl2br w:val="nil"/>
              <w:tr2bl w:val="nil"/>
            </w:tcBorders>
            <w:shd w:val="clear" w:color="auto" w:fill="auto"/>
            <w:noWrap/>
            <w:vAlign w:val="center"/>
          </w:tcPr>
          <w:p w14:paraId="5FFBBD2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79.69</w:t>
            </w:r>
          </w:p>
        </w:tc>
        <w:tc>
          <w:tcPr>
            <w:tcW w:w="254" w:type="pct"/>
            <w:vMerge w:val="continue"/>
            <w:tcBorders>
              <w:tl2br w:val="nil"/>
              <w:tr2bl w:val="nil"/>
            </w:tcBorders>
            <w:shd w:val="clear" w:color="auto" w:fill="auto"/>
            <w:noWrap/>
            <w:vAlign w:val="center"/>
          </w:tcPr>
          <w:p w14:paraId="5924C30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3A89EF4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28F3DB1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50.69</w:t>
            </w:r>
          </w:p>
        </w:tc>
        <w:tc>
          <w:tcPr>
            <w:tcW w:w="308" w:type="pct"/>
            <w:tcBorders>
              <w:tl2br w:val="nil"/>
              <w:tr2bl w:val="nil"/>
            </w:tcBorders>
            <w:shd w:val="clear" w:color="auto" w:fill="auto"/>
            <w:noWrap/>
            <w:vAlign w:val="center"/>
          </w:tcPr>
          <w:p w14:paraId="0E0BEB6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148533B">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7750140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3332DCAD">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74133A8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230281F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06866C9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03BA4B7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398</w:t>
            </w:r>
          </w:p>
        </w:tc>
        <w:tc>
          <w:tcPr>
            <w:tcW w:w="296" w:type="pct"/>
            <w:tcBorders>
              <w:tl2br w:val="nil"/>
              <w:tr2bl w:val="nil"/>
            </w:tcBorders>
            <w:shd w:val="clear" w:color="auto" w:fill="auto"/>
            <w:noWrap/>
            <w:vAlign w:val="center"/>
          </w:tcPr>
          <w:p w14:paraId="2D8B0A1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233.6</w:t>
            </w:r>
          </w:p>
        </w:tc>
        <w:tc>
          <w:tcPr>
            <w:tcW w:w="254" w:type="pct"/>
            <w:tcBorders>
              <w:tl2br w:val="nil"/>
              <w:tr2bl w:val="nil"/>
            </w:tcBorders>
            <w:shd w:val="clear" w:color="auto" w:fill="auto"/>
            <w:noWrap/>
            <w:vAlign w:val="center"/>
          </w:tcPr>
          <w:p w14:paraId="3C77C6F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0BA186E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5.6</w:t>
            </w:r>
          </w:p>
        </w:tc>
        <w:tc>
          <w:tcPr>
            <w:tcW w:w="417" w:type="pct"/>
            <w:tcBorders>
              <w:tl2br w:val="nil"/>
              <w:tr2bl w:val="nil"/>
            </w:tcBorders>
            <w:shd w:val="clear" w:color="auto" w:fill="auto"/>
            <w:noWrap/>
            <w:vAlign w:val="center"/>
          </w:tcPr>
          <w:p w14:paraId="67B5C10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82.27</w:t>
            </w:r>
          </w:p>
        </w:tc>
        <w:tc>
          <w:tcPr>
            <w:tcW w:w="254" w:type="pct"/>
            <w:vMerge w:val="continue"/>
            <w:tcBorders>
              <w:tl2br w:val="nil"/>
              <w:tr2bl w:val="nil"/>
            </w:tcBorders>
            <w:shd w:val="clear" w:color="auto" w:fill="auto"/>
            <w:noWrap/>
            <w:vAlign w:val="center"/>
          </w:tcPr>
          <w:p w14:paraId="67BB53FE">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386BCD4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2938239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53.27</w:t>
            </w:r>
          </w:p>
        </w:tc>
        <w:tc>
          <w:tcPr>
            <w:tcW w:w="308" w:type="pct"/>
            <w:tcBorders>
              <w:tl2br w:val="nil"/>
              <w:tr2bl w:val="nil"/>
            </w:tcBorders>
            <w:shd w:val="clear" w:color="auto" w:fill="auto"/>
            <w:noWrap/>
            <w:vAlign w:val="center"/>
          </w:tcPr>
          <w:p w14:paraId="5D2F2F1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0186E9B8">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361443E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4406B8C5">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26FBB5F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5384644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34A8D06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6708285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398</w:t>
            </w:r>
          </w:p>
        </w:tc>
        <w:tc>
          <w:tcPr>
            <w:tcW w:w="296" w:type="pct"/>
            <w:tcBorders>
              <w:tl2br w:val="nil"/>
              <w:tr2bl w:val="nil"/>
            </w:tcBorders>
            <w:shd w:val="clear" w:color="auto" w:fill="auto"/>
            <w:noWrap/>
            <w:vAlign w:val="center"/>
          </w:tcPr>
          <w:p w14:paraId="38FE5A5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233.6</w:t>
            </w:r>
          </w:p>
        </w:tc>
        <w:tc>
          <w:tcPr>
            <w:tcW w:w="254" w:type="pct"/>
            <w:tcBorders>
              <w:tl2br w:val="nil"/>
              <w:tr2bl w:val="nil"/>
            </w:tcBorders>
            <w:shd w:val="clear" w:color="auto" w:fill="auto"/>
            <w:noWrap/>
            <w:vAlign w:val="center"/>
          </w:tcPr>
          <w:p w14:paraId="0D8D00B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56A9D85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w:t>
            </w:r>
          </w:p>
        </w:tc>
        <w:tc>
          <w:tcPr>
            <w:tcW w:w="417" w:type="pct"/>
            <w:tcBorders>
              <w:tl2br w:val="nil"/>
              <w:tr2bl w:val="nil"/>
            </w:tcBorders>
            <w:shd w:val="clear" w:color="auto" w:fill="auto"/>
            <w:noWrap/>
            <w:vAlign w:val="center"/>
          </w:tcPr>
          <w:p w14:paraId="48E8747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83.39</w:t>
            </w:r>
          </w:p>
        </w:tc>
        <w:tc>
          <w:tcPr>
            <w:tcW w:w="254" w:type="pct"/>
            <w:vMerge w:val="continue"/>
            <w:tcBorders>
              <w:tl2br w:val="nil"/>
              <w:tr2bl w:val="nil"/>
            </w:tcBorders>
            <w:shd w:val="clear" w:color="auto" w:fill="auto"/>
            <w:noWrap/>
            <w:vAlign w:val="center"/>
          </w:tcPr>
          <w:p w14:paraId="73A29E33">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33F4240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4409625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57.4</w:t>
            </w:r>
          </w:p>
        </w:tc>
        <w:tc>
          <w:tcPr>
            <w:tcW w:w="308" w:type="pct"/>
            <w:tcBorders>
              <w:tl2br w:val="nil"/>
              <w:tr2bl w:val="nil"/>
            </w:tcBorders>
            <w:shd w:val="clear" w:color="auto" w:fill="auto"/>
            <w:noWrap/>
            <w:vAlign w:val="center"/>
          </w:tcPr>
          <w:p w14:paraId="20C781C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1D7EA926">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29BEC85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7AA1D0A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1FD44E5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eastAsia" w:ascii="Times New Roman" w:hAnsi="Times New Roman" w:eastAsia="宋体" w:cs="Times New Roman"/>
                <w:color w:val="FF0000"/>
                <w:sz w:val="21"/>
                <w:szCs w:val="21"/>
                <w:highlight w:val="none"/>
                <w:lang w:val="en-US" w:eastAsia="zh-CN"/>
              </w:rPr>
              <w:t>二</w:t>
            </w:r>
            <w:r>
              <w:rPr>
                <w:rFonts w:hint="default" w:ascii="Times New Roman" w:hAnsi="Times New Roman" w:eastAsia="宋体" w:cs="Times New Roman"/>
                <w:color w:val="FF0000"/>
                <w:sz w:val="21"/>
                <w:szCs w:val="21"/>
                <w:highlight w:val="none"/>
                <w:lang w:val="en-US" w:eastAsia="zh-CN"/>
              </w:rPr>
              <w:t>次风机</w:t>
            </w:r>
          </w:p>
        </w:tc>
        <w:tc>
          <w:tcPr>
            <w:tcW w:w="387" w:type="pct"/>
            <w:vMerge w:val="restart"/>
            <w:tcBorders>
              <w:tl2br w:val="nil"/>
              <w:tr2bl w:val="nil"/>
            </w:tcBorders>
            <w:shd w:val="clear" w:color="auto" w:fill="auto"/>
            <w:noWrap/>
            <w:vAlign w:val="center"/>
          </w:tcPr>
          <w:p w14:paraId="434CF61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105</w:t>
            </w:r>
          </w:p>
        </w:tc>
        <w:tc>
          <w:tcPr>
            <w:tcW w:w="575" w:type="pct"/>
            <w:vMerge w:val="restart"/>
            <w:tcBorders>
              <w:tl2br w:val="nil"/>
              <w:tr2bl w:val="nil"/>
            </w:tcBorders>
            <w:shd w:val="clear" w:color="auto" w:fill="auto"/>
            <w:noWrap/>
            <w:vAlign w:val="center"/>
          </w:tcPr>
          <w:p w14:paraId="3EE1E72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进风口消声器</w:t>
            </w:r>
          </w:p>
          <w:p w14:paraId="43F57AC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管道外壳阻尼</w:t>
            </w:r>
          </w:p>
        </w:tc>
        <w:tc>
          <w:tcPr>
            <w:tcW w:w="284" w:type="pct"/>
            <w:tcBorders>
              <w:tl2br w:val="nil"/>
              <w:tr2bl w:val="nil"/>
            </w:tcBorders>
            <w:shd w:val="clear" w:color="auto" w:fill="auto"/>
            <w:noWrap/>
            <w:vAlign w:val="center"/>
          </w:tcPr>
          <w:p w14:paraId="7C0A411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408.1</w:t>
            </w:r>
          </w:p>
        </w:tc>
        <w:tc>
          <w:tcPr>
            <w:tcW w:w="296" w:type="pct"/>
            <w:tcBorders>
              <w:tl2br w:val="nil"/>
              <w:tr2bl w:val="nil"/>
            </w:tcBorders>
            <w:shd w:val="clear" w:color="auto" w:fill="auto"/>
            <w:noWrap/>
            <w:vAlign w:val="center"/>
          </w:tcPr>
          <w:p w14:paraId="0A1E9F4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233.6</w:t>
            </w:r>
          </w:p>
        </w:tc>
        <w:tc>
          <w:tcPr>
            <w:tcW w:w="254" w:type="pct"/>
            <w:tcBorders>
              <w:tl2br w:val="nil"/>
              <w:tr2bl w:val="nil"/>
            </w:tcBorders>
            <w:shd w:val="clear" w:color="auto" w:fill="auto"/>
            <w:noWrap/>
            <w:vAlign w:val="center"/>
          </w:tcPr>
          <w:p w14:paraId="525CD62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2938741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2.4</w:t>
            </w:r>
          </w:p>
        </w:tc>
        <w:tc>
          <w:tcPr>
            <w:tcW w:w="417" w:type="pct"/>
            <w:tcBorders>
              <w:tl2br w:val="nil"/>
              <w:tr2bl w:val="nil"/>
            </w:tcBorders>
            <w:shd w:val="clear" w:color="auto" w:fill="auto"/>
            <w:noWrap/>
            <w:vAlign w:val="center"/>
          </w:tcPr>
          <w:p w14:paraId="4FAE8EE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87.2</w:t>
            </w:r>
          </w:p>
        </w:tc>
        <w:tc>
          <w:tcPr>
            <w:tcW w:w="254" w:type="pct"/>
            <w:vMerge w:val="continue"/>
            <w:tcBorders>
              <w:tl2br w:val="nil"/>
              <w:tr2bl w:val="nil"/>
            </w:tcBorders>
            <w:shd w:val="clear" w:color="auto" w:fill="auto"/>
            <w:noWrap/>
            <w:vAlign w:val="center"/>
          </w:tcPr>
          <w:p w14:paraId="2D76FE51">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23F6115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759A7DD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61.21</w:t>
            </w:r>
          </w:p>
        </w:tc>
        <w:tc>
          <w:tcPr>
            <w:tcW w:w="308" w:type="pct"/>
            <w:tcBorders>
              <w:tl2br w:val="nil"/>
              <w:tr2bl w:val="nil"/>
            </w:tcBorders>
            <w:shd w:val="clear" w:color="auto" w:fill="auto"/>
            <w:noWrap/>
            <w:vAlign w:val="center"/>
          </w:tcPr>
          <w:p w14:paraId="43F2030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7B837CB1">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7A9E287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6709A18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1E8090F9">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72BD0B0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754FC9B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5675B76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408.1</w:t>
            </w:r>
          </w:p>
        </w:tc>
        <w:tc>
          <w:tcPr>
            <w:tcW w:w="296" w:type="pct"/>
            <w:tcBorders>
              <w:tl2br w:val="nil"/>
              <w:tr2bl w:val="nil"/>
            </w:tcBorders>
            <w:shd w:val="clear" w:color="auto" w:fill="auto"/>
            <w:noWrap/>
            <w:vAlign w:val="center"/>
          </w:tcPr>
          <w:p w14:paraId="032ADCB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233.6</w:t>
            </w:r>
          </w:p>
        </w:tc>
        <w:tc>
          <w:tcPr>
            <w:tcW w:w="254" w:type="pct"/>
            <w:tcBorders>
              <w:tl2br w:val="nil"/>
              <w:tr2bl w:val="nil"/>
            </w:tcBorders>
            <w:shd w:val="clear" w:color="auto" w:fill="auto"/>
            <w:noWrap/>
            <w:vAlign w:val="center"/>
          </w:tcPr>
          <w:p w14:paraId="1259203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1E9CF3F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23.1</w:t>
            </w:r>
          </w:p>
        </w:tc>
        <w:tc>
          <w:tcPr>
            <w:tcW w:w="417" w:type="pct"/>
            <w:tcBorders>
              <w:tl2br w:val="nil"/>
              <w:tr2bl w:val="nil"/>
            </w:tcBorders>
            <w:shd w:val="clear" w:color="auto" w:fill="auto"/>
            <w:noWrap/>
            <w:vAlign w:val="center"/>
          </w:tcPr>
          <w:p w14:paraId="28CA57C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79.69</w:t>
            </w:r>
          </w:p>
        </w:tc>
        <w:tc>
          <w:tcPr>
            <w:tcW w:w="254" w:type="pct"/>
            <w:vMerge w:val="continue"/>
            <w:tcBorders>
              <w:tl2br w:val="nil"/>
              <w:tr2bl w:val="nil"/>
            </w:tcBorders>
            <w:shd w:val="clear" w:color="auto" w:fill="auto"/>
            <w:noWrap/>
            <w:vAlign w:val="center"/>
          </w:tcPr>
          <w:p w14:paraId="4E7C5D76">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5C67F9B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62E1DA2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50.69</w:t>
            </w:r>
          </w:p>
        </w:tc>
        <w:tc>
          <w:tcPr>
            <w:tcW w:w="308" w:type="pct"/>
            <w:tcBorders>
              <w:tl2br w:val="nil"/>
              <w:tr2bl w:val="nil"/>
            </w:tcBorders>
            <w:shd w:val="clear" w:color="auto" w:fill="auto"/>
            <w:noWrap/>
            <w:vAlign w:val="center"/>
          </w:tcPr>
          <w:p w14:paraId="45A6398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57ECFAF4">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23AAE6B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6E02BFA9">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04D0F19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31947EB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5863F52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4EA5745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408.1</w:t>
            </w:r>
          </w:p>
        </w:tc>
        <w:tc>
          <w:tcPr>
            <w:tcW w:w="296" w:type="pct"/>
            <w:tcBorders>
              <w:tl2br w:val="nil"/>
              <w:tr2bl w:val="nil"/>
            </w:tcBorders>
            <w:shd w:val="clear" w:color="auto" w:fill="auto"/>
            <w:noWrap/>
            <w:vAlign w:val="center"/>
          </w:tcPr>
          <w:p w14:paraId="5F09A9C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233.6</w:t>
            </w:r>
          </w:p>
        </w:tc>
        <w:tc>
          <w:tcPr>
            <w:tcW w:w="254" w:type="pct"/>
            <w:tcBorders>
              <w:tl2br w:val="nil"/>
              <w:tr2bl w:val="nil"/>
            </w:tcBorders>
            <w:shd w:val="clear" w:color="auto" w:fill="auto"/>
            <w:noWrap/>
            <w:vAlign w:val="center"/>
          </w:tcPr>
          <w:p w14:paraId="4A1A141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339A748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14.5</w:t>
            </w:r>
          </w:p>
        </w:tc>
        <w:tc>
          <w:tcPr>
            <w:tcW w:w="417" w:type="pct"/>
            <w:tcBorders>
              <w:tl2br w:val="nil"/>
              <w:tr2bl w:val="nil"/>
            </w:tcBorders>
            <w:shd w:val="clear" w:color="auto" w:fill="auto"/>
            <w:noWrap/>
            <w:vAlign w:val="center"/>
          </w:tcPr>
          <w:p w14:paraId="1B7A59F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80.01</w:t>
            </w:r>
          </w:p>
        </w:tc>
        <w:tc>
          <w:tcPr>
            <w:tcW w:w="254" w:type="pct"/>
            <w:vMerge w:val="continue"/>
            <w:tcBorders>
              <w:tl2br w:val="nil"/>
              <w:tr2bl w:val="nil"/>
            </w:tcBorders>
            <w:shd w:val="clear" w:color="auto" w:fill="auto"/>
            <w:noWrap/>
            <w:vAlign w:val="center"/>
          </w:tcPr>
          <w:p w14:paraId="73F6642C">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1683E28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1679CE1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54.02</w:t>
            </w:r>
          </w:p>
        </w:tc>
        <w:tc>
          <w:tcPr>
            <w:tcW w:w="308" w:type="pct"/>
            <w:tcBorders>
              <w:tl2br w:val="nil"/>
              <w:tr2bl w:val="nil"/>
            </w:tcBorders>
            <w:shd w:val="clear" w:color="auto" w:fill="auto"/>
            <w:noWrap/>
            <w:vAlign w:val="center"/>
          </w:tcPr>
          <w:p w14:paraId="5FAB5BC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777E2DCF">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57C283D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61CAB7A5">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2C81347D">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0BE02BE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0146ECD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49BF5EE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408.1</w:t>
            </w:r>
          </w:p>
        </w:tc>
        <w:tc>
          <w:tcPr>
            <w:tcW w:w="296" w:type="pct"/>
            <w:tcBorders>
              <w:tl2br w:val="nil"/>
              <w:tr2bl w:val="nil"/>
            </w:tcBorders>
            <w:shd w:val="clear" w:color="auto" w:fill="auto"/>
            <w:noWrap/>
            <w:vAlign w:val="center"/>
          </w:tcPr>
          <w:p w14:paraId="1309545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233.6</w:t>
            </w:r>
          </w:p>
        </w:tc>
        <w:tc>
          <w:tcPr>
            <w:tcW w:w="254" w:type="pct"/>
            <w:tcBorders>
              <w:tl2br w:val="nil"/>
              <w:tr2bl w:val="nil"/>
            </w:tcBorders>
            <w:shd w:val="clear" w:color="auto" w:fill="auto"/>
            <w:noWrap/>
            <w:vAlign w:val="center"/>
          </w:tcPr>
          <w:p w14:paraId="4BABEB5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110EE90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5.6</w:t>
            </w:r>
          </w:p>
        </w:tc>
        <w:tc>
          <w:tcPr>
            <w:tcW w:w="417" w:type="pct"/>
            <w:tcBorders>
              <w:tl2br w:val="nil"/>
              <w:tr2bl w:val="nil"/>
            </w:tcBorders>
            <w:shd w:val="clear" w:color="auto" w:fill="auto"/>
            <w:noWrap/>
            <w:vAlign w:val="center"/>
          </w:tcPr>
          <w:p w14:paraId="4B55BDB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82.27</w:t>
            </w:r>
          </w:p>
        </w:tc>
        <w:tc>
          <w:tcPr>
            <w:tcW w:w="254" w:type="pct"/>
            <w:vMerge w:val="continue"/>
            <w:tcBorders>
              <w:tl2br w:val="nil"/>
              <w:tr2bl w:val="nil"/>
            </w:tcBorders>
            <w:shd w:val="clear" w:color="auto" w:fill="auto"/>
            <w:noWrap/>
            <w:vAlign w:val="center"/>
          </w:tcPr>
          <w:p w14:paraId="2EB513E4">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1458502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2D9833D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53.27</w:t>
            </w:r>
          </w:p>
        </w:tc>
        <w:tc>
          <w:tcPr>
            <w:tcW w:w="308" w:type="pct"/>
            <w:tcBorders>
              <w:tl2br w:val="nil"/>
              <w:tr2bl w:val="nil"/>
            </w:tcBorders>
            <w:shd w:val="clear" w:color="auto" w:fill="auto"/>
            <w:noWrap/>
            <w:vAlign w:val="center"/>
          </w:tcPr>
          <w:p w14:paraId="529DD0C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1F0B9B90">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1071610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676641D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46EB81A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空气预热器</w:t>
            </w:r>
          </w:p>
        </w:tc>
        <w:tc>
          <w:tcPr>
            <w:tcW w:w="387" w:type="pct"/>
            <w:vMerge w:val="restart"/>
            <w:tcBorders>
              <w:tl2br w:val="nil"/>
              <w:tr2bl w:val="nil"/>
            </w:tcBorders>
            <w:shd w:val="clear" w:color="auto" w:fill="auto"/>
            <w:noWrap/>
            <w:vAlign w:val="center"/>
          </w:tcPr>
          <w:p w14:paraId="72F391E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85</w:t>
            </w:r>
          </w:p>
        </w:tc>
        <w:tc>
          <w:tcPr>
            <w:tcW w:w="575" w:type="pct"/>
            <w:vMerge w:val="restart"/>
            <w:tcBorders>
              <w:tl2br w:val="nil"/>
              <w:tr2bl w:val="nil"/>
            </w:tcBorders>
            <w:shd w:val="clear" w:color="auto" w:fill="auto"/>
            <w:noWrap/>
            <w:vAlign w:val="center"/>
          </w:tcPr>
          <w:p w14:paraId="053F0E86">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基础减振</w:t>
            </w:r>
          </w:p>
          <w:p w14:paraId="23751A3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厂房隔声</w:t>
            </w:r>
          </w:p>
        </w:tc>
        <w:tc>
          <w:tcPr>
            <w:tcW w:w="284" w:type="pct"/>
            <w:tcBorders>
              <w:tl2br w:val="nil"/>
              <w:tr2bl w:val="nil"/>
            </w:tcBorders>
            <w:shd w:val="clear" w:color="auto" w:fill="auto"/>
            <w:noWrap/>
            <w:vAlign w:val="center"/>
          </w:tcPr>
          <w:p w14:paraId="4CF6D4F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400.6</w:t>
            </w:r>
          </w:p>
        </w:tc>
        <w:tc>
          <w:tcPr>
            <w:tcW w:w="296" w:type="pct"/>
            <w:tcBorders>
              <w:tl2br w:val="nil"/>
              <w:tr2bl w:val="nil"/>
            </w:tcBorders>
            <w:shd w:val="clear" w:color="auto" w:fill="auto"/>
            <w:noWrap/>
            <w:vAlign w:val="center"/>
          </w:tcPr>
          <w:p w14:paraId="0867907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224.5</w:t>
            </w:r>
          </w:p>
        </w:tc>
        <w:tc>
          <w:tcPr>
            <w:tcW w:w="254" w:type="pct"/>
            <w:tcBorders>
              <w:tl2br w:val="nil"/>
              <w:tr2bl w:val="nil"/>
            </w:tcBorders>
            <w:shd w:val="clear" w:color="auto" w:fill="auto"/>
            <w:noWrap/>
            <w:vAlign w:val="center"/>
          </w:tcPr>
          <w:p w14:paraId="197B552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5051B51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9.9</w:t>
            </w:r>
          </w:p>
        </w:tc>
        <w:tc>
          <w:tcPr>
            <w:tcW w:w="417" w:type="pct"/>
            <w:tcBorders>
              <w:tl2br w:val="nil"/>
              <w:tr2bl w:val="nil"/>
            </w:tcBorders>
            <w:shd w:val="clear" w:color="auto" w:fill="auto"/>
            <w:noWrap/>
            <w:vAlign w:val="center"/>
          </w:tcPr>
          <w:p w14:paraId="696DB30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60.57</w:t>
            </w:r>
          </w:p>
        </w:tc>
        <w:tc>
          <w:tcPr>
            <w:tcW w:w="254" w:type="pct"/>
            <w:vMerge w:val="continue"/>
            <w:tcBorders>
              <w:tl2br w:val="nil"/>
              <w:tr2bl w:val="nil"/>
            </w:tcBorders>
            <w:shd w:val="clear" w:color="auto" w:fill="auto"/>
            <w:noWrap/>
            <w:vAlign w:val="center"/>
          </w:tcPr>
          <w:p w14:paraId="35FC70BD">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5A9E918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4435099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34.58</w:t>
            </w:r>
          </w:p>
        </w:tc>
        <w:tc>
          <w:tcPr>
            <w:tcW w:w="308" w:type="pct"/>
            <w:tcBorders>
              <w:tl2br w:val="nil"/>
              <w:tr2bl w:val="nil"/>
            </w:tcBorders>
            <w:shd w:val="clear" w:color="auto" w:fill="auto"/>
            <w:noWrap/>
            <w:vAlign w:val="center"/>
          </w:tcPr>
          <w:p w14:paraId="453059A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58D95BA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5811F85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296CAE9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32D28F09">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10C2A6C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7DC24F8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0EFF79E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400.6</w:t>
            </w:r>
          </w:p>
        </w:tc>
        <w:tc>
          <w:tcPr>
            <w:tcW w:w="296" w:type="pct"/>
            <w:tcBorders>
              <w:tl2br w:val="nil"/>
              <w:tr2bl w:val="nil"/>
            </w:tcBorders>
            <w:shd w:val="clear" w:color="auto" w:fill="auto"/>
            <w:noWrap/>
            <w:vAlign w:val="center"/>
          </w:tcPr>
          <w:p w14:paraId="71ADB45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224.5</w:t>
            </w:r>
          </w:p>
        </w:tc>
        <w:tc>
          <w:tcPr>
            <w:tcW w:w="254" w:type="pct"/>
            <w:tcBorders>
              <w:tl2br w:val="nil"/>
              <w:tr2bl w:val="nil"/>
            </w:tcBorders>
            <w:shd w:val="clear" w:color="auto" w:fill="auto"/>
            <w:noWrap/>
            <w:vAlign w:val="center"/>
          </w:tcPr>
          <w:p w14:paraId="3AEB83A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1FE9A2E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14</w:t>
            </w:r>
          </w:p>
        </w:tc>
        <w:tc>
          <w:tcPr>
            <w:tcW w:w="417" w:type="pct"/>
            <w:tcBorders>
              <w:tl2br w:val="nil"/>
              <w:tr2bl w:val="nil"/>
            </w:tcBorders>
            <w:shd w:val="clear" w:color="auto" w:fill="auto"/>
            <w:noWrap/>
            <w:vAlign w:val="center"/>
          </w:tcPr>
          <w:p w14:paraId="35F2D11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60.05</w:t>
            </w:r>
          </w:p>
        </w:tc>
        <w:tc>
          <w:tcPr>
            <w:tcW w:w="254" w:type="pct"/>
            <w:vMerge w:val="continue"/>
            <w:tcBorders>
              <w:tl2br w:val="nil"/>
              <w:tr2bl w:val="nil"/>
            </w:tcBorders>
            <w:shd w:val="clear" w:color="auto" w:fill="auto"/>
            <w:noWrap/>
            <w:vAlign w:val="center"/>
          </w:tcPr>
          <w:p w14:paraId="3B90FDAF">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03D2DA9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1F82B6F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31.05</w:t>
            </w:r>
          </w:p>
        </w:tc>
        <w:tc>
          <w:tcPr>
            <w:tcW w:w="308" w:type="pct"/>
            <w:tcBorders>
              <w:tl2br w:val="nil"/>
              <w:tr2bl w:val="nil"/>
            </w:tcBorders>
            <w:shd w:val="clear" w:color="auto" w:fill="auto"/>
            <w:noWrap/>
            <w:vAlign w:val="center"/>
          </w:tcPr>
          <w:p w14:paraId="57D8C55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7ECAAAB">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0949DE9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68696BA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7A336875">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198B2F9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022A273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1220614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400.6</w:t>
            </w:r>
          </w:p>
        </w:tc>
        <w:tc>
          <w:tcPr>
            <w:tcW w:w="296" w:type="pct"/>
            <w:tcBorders>
              <w:tl2br w:val="nil"/>
              <w:tr2bl w:val="nil"/>
            </w:tcBorders>
            <w:shd w:val="clear" w:color="auto" w:fill="auto"/>
            <w:noWrap/>
            <w:vAlign w:val="center"/>
          </w:tcPr>
          <w:p w14:paraId="492AE02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224.5</w:t>
            </w:r>
          </w:p>
        </w:tc>
        <w:tc>
          <w:tcPr>
            <w:tcW w:w="254" w:type="pct"/>
            <w:tcBorders>
              <w:tl2br w:val="nil"/>
              <w:tr2bl w:val="nil"/>
            </w:tcBorders>
            <w:shd w:val="clear" w:color="auto" w:fill="auto"/>
            <w:noWrap/>
            <w:vAlign w:val="center"/>
          </w:tcPr>
          <w:p w14:paraId="3089E1B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472342C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w:t>
            </w:r>
          </w:p>
        </w:tc>
        <w:tc>
          <w:tcPr>
            <w:tcW w:w="417" w:type="pct"/>
            <w:tcBorders>
              <w:tl2br w:val="nil"/>
              <w:tr2bl w:val="nil"/>
            </w:tcBorders>
            <w:shd w:val="clear" w:color="auto" w:fill="auto"/>
            <w:noWrap/>
            <w:vAlign w:val="center"/>
          </w:tcPr>
          <w:p w14:paraId="2CA89D8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61.45</w:t>
            </w:r>
          </w:p>
        </w:tc>
        <w:tc>
          <w:tcPr>
            <w:tcW w:w="254" w:type="pct"/>
            <w:vMerge w:val="continue"/>
            <w:tcBorders>
              <w:tl2br w:val="nil"/>
              <w:tr2bl w:val="nil"/>
            </w:tcBorders>
            <w:shd w:val="clear" w:color="auto" w:fill="auto"/>
            <w:noWrap/>
            <w:vAlign w:val="center"/>
          </w:tcPr>
          <w:p w14:paraId="2AA170A9">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490B701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219095C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35.46</w:t>
            </w:r>
          </w:p>
        </w:tc>
        <w:tc>
          <w:tcPr>
            <w:tcW w:w="308" w:type="pct"/>
            <w:tcBorders>
              <w:tl2br w:val="nil"/>
              <w:tr2bl w:val="nil"/>
            </w:tcBorders>
            <w:shd w:val="clear" w:color="auto" w:fill="auto"/>
            <w:noWrap/>
            <w:vAlign w:val="center"/>
          </w:tcPr>
          <w:p w14:paraId="7EC3FB8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4520BC9">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2C16014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0225788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20AE5E8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0B467A4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68C86F4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11C2E75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400.6</w:t>
            </w:r>
          </w:p>
        </w:tc>
        <w:tc>
          <w:tcPr>
            <w:tcW w:w="296" w:type="pct"/>
            <w:tcBorders>
              <w:tl2br w:val="nil"/>
              <w:tr2bl w:val="nil"/>
            </w:tcBorders>
            <w:shd w:val="clear" w:color="auto" w:fill="auto"/>
            <w:noWrap/>
            <w:vAlign w:val="center"/>
          </w:tcPr>
          <w:p w14:paraId="23B7988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224.5</w:t>
            </w:r>
          </w:p>
        </w:tc>
        <w:tc>
          <w:tcPr>
            <w:tcW w:w="254" w:type="pct"/>
            <w:tcBorders>
              <w:tl2br w:val="nil"/>
              <w:tr2bl w:val="nil"/>
            </w:tcBorders>
            <w:shd w:val="clear" w:color="auto" w:fill="auto"/>
            <w:noWrap/>
            <w:vAlign w:val="center"/>
          </w:tcPr>
          <w:p w14:paraId="10A857F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6CAAC29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14.7</w:t>
            </w:r>
          </w:p>
        </w:tc>
        <w:tc>
          <w:tcPr>
            <w:tcW w:w="417" w:type="pct"/>
            <w:tcBorders>
              <w:tl2br w:val="nil"/>
              <w:tr2bl w:val="nil"/>
            </w:tcBorders>
            <w:shd w:val="clear" w:color="auto" w:fill="auto"/>
            <w:noWrap/>
            <w:vAlign w:val="center"/>
          </w:tcPr>
          <w:p w14:paraId="51F1967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60</w:t>
            </w:r>
          </w:p>
        </w:tc>
        <w:tc>
          <w:tcPr>
            <w:tcW w:w="254" w:type="pct"/>
            <w:vMerge w:val="continue"/>
            <w:tcBorders>
              <w:tl2br w:val="nil"/>
              <w:tr2bl w:val="nil"/>
            </w:tcBorders>
            <w:shd w:val="clear" w:color="auto" w:fill="auto"/>
            <w:noWrap/>
            <w:vAlign w:val="center"/>
          </w:tcPr>
          <w:p w14:paraId="2EA98826">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2F540B6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66D5EC8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31</w:t>
            </w:r>
          </w:p>
        </w:tc>
        <w:tc>
          <w:tcPr>
            <w:tcW w:w="308" w:type="pct"/>
            <w:tcBorders>
              <w:tl2br w:val="nil"/>
              <w:tr2bl w:val="nil"/>
            </w:tcBorders>
            <w:shd w:val="clear" w:color="auto" w:fill="auto"/>
            <w:noWrap/>
            <w:vAlign w:val="center"/>
          </w:tcPr>
          <w:p w14:paraId="45AB384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E3362E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48B1E73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23E490B9">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7B793C5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冷渣机</w:t>
            </w:r>
          </w:p>
        </w:tc>
        <w:tc>
          <w:tcPr>
            <w:tcW w:w="387" w:type="pct"/>
            <w:vMerge w:val="restart"/>
            <w:tcBorders>
              <w:tl2br w:val="nil"/>
              <w:tr2bl w:val="nil"/>
            </w:tcBorders>
            <w:shd w:val="clear" w:color="auto" w:fill="auto"/>
            <w:noWrap/>
            <w:vAlign w:val="center"/>
          </w:tcPr>
          <w:p w14:paraId="34A79FE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95</w:t>
            </w:r>
          </w:p>
        </w:tc>
        <w:tc>
          <w:tcPr>
            <w:tcW w:w="575" w:type="pct"/>
            <w:vMerge w:val="restart"/>
            <w:tcBorders>
              <w:tl2br w:val="nil"/>
              <w:tr2bl w:val="nil"/>
            </w:tcBorders>
            <w:shd w:val="clear" w:color="auto" w:fill="auto"/>
            <w:noWrap/>
            <w:vAlign w:val="center"/>
          </w:tcPr>
          <w:p w14:paraId="188E1D81">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基础减振</w:t>
            </w:r>
          </w:p>
          <w:p w14:paraId="416850F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厂房隔声</w:t>
            </w:r>
          </w:p>
        </w:tc>
        <w:tc>
          <w:tcPr>
            <w:tcW w:w="284" w:type="pct"/>
            <w:tcBorders>
              <w:tl2br w:val="nil"/>
              <w:tr2bl w:val="nil"/>
            </w:tcBorders>
            <w:shd w:val="clear" w:color="auto" w:fill="auto"/>
            <w:noWrap/>
            <w:vAlign w:val="center"/>
          </w:tcPr>
          <w:p w14:paraId="5DE7E23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408.1</w:t>
            </w:r>
          </w:p>
        </w:tc>
        <w:tc>
          <w:tcPr>
            <w:tcW w:w="296" w:type="pct"/>
            <w:tcBorders>
              <w:tl2br w:val="nil"/>
              <w:tr2bl w:val="nil"/>
            </w:tcBorders>
            <w:shd w:val="clear" w:color="auto" w:fill="auto"/>
            <w:noWrap/>
            <w:vAlign w:val="center"/>
          </w:tcPr>
          <w:p w14:paraId="3FFEE86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222.9</w:t>
            </w:r>
          </w:p>
        </w:tc>
        <w:tc>
          <w:tcPr>
            <w:tcW w:w="254" w:type="pct"/>
            <w:tcBorders>
              <w:tl2br w:val="nil"/>
              <w:tr2bl w:val="nil"/>
            </w:tcBorders>
            <w:shd w:val="clear" w:color="auto" w:fill="auto"/>
            <w:noWrap/>
            <w:vAlign w:val="center"/>
          </w:tcPr>
          <w:p w14:paraId="7D978ED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211913A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2.4</w:t>
            </w:r>
          </w:p>
        </w:tc>
        <w:tc>
          <w:tcPr>
            <w:tcW w:w="417" w:type="pct"/>
            <w:tcBorders>
              <w:tl2br w:val="nil"/>
              <w:tr2bl w:val="nil"/>
            </w:tcBorders>
            <w:shd w:val="clear" w:color="auto" w:fill="auto"/>
            <w:noWrap/>
            <w:vAlign w:val="center"/>
          </w:tcPr>
          <w:p w14:paraId="08D9206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77.2</w:t>
            </w:r>
          </w:p>
        </w:tc>
        <w:tc>
          <w:tcPr>
            <w:tcW w:w="254" w:type="pct"/>
            <w:vMerge w:val="continue"/>
            <w:tcBorders>
              <w:tl2br w:val="nil"/>
              <w:tr2bl w:val="nil"/>
            </w:tcBorders>
            <w:shd w:val="clear" w:color="auto" w:fill="auto"/>
            <w:noWrap/>
            <w:vAlign w:val="center"/>
          </w:tcPr>
          <w:p w14:paraId="0072DD8E">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5FE7FBD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3DE6EFF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51.21</w:t>
            </w:r>
          </w:p>
        </w:tc>
        <w:tc>
          <w:tcPr>
            <w:tcW w:w="308" w:type="pct"/>
            <w:tcBorders>
              <w:tl2br w:val="nil"/>
              <w:tr2bl w:val="nil"/>
            </w:tcBorders>
            <w:shd w:val="clear" w:color="auto" w:fill="auto"/>
            <w:noWrap/>
            <w:vAlign w:val="center"/>
          </w:tcPr>
          <w:p w14:paraId="33DA0AD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1BBCAE85">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489D4F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60AC5B6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5C94B39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0F1DC39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329C47F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47AA853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408.1</w:t>
            </w:r>
          </w:p>
        </w:tc>
        <w:tc>
          <w:tcPr>
            <w:tcW w:w="296" w:type="pct"/>
            <w:tcBorders>
              <w:tl2br w:val="nil"/>
              <w:tr2bl w:val="nil"/>
            </w:tcBorders>
            <w:shd w:val="clear" w:color="auto" w:fill="auto"/>
            <w:noWrap/>
            <w:vAlign w:val="center"/>
          </w:tcPr>
          <w:p w14:paraId="159D8C0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222.9</w:t>
            </w:r>
          </w:p>
        </w:tc>
        <w:tc>
          <w:tcPr>
            <w:tcW w:w="254" w:type="pct"/>
            <w:tcBorders>
              <w:tl2br w:val="nil"/>
              <w:tr2bl w:val="nil"/>
            </w:tcBorders>
            <w:shd w:val="clear" w:color="auto" w:fill="auto"/>
            <w:noWrap/>
            <w:vAlign w:val="center"/>
          </w:tcPr>
          <w:p w14:paraId="5070A3A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020DE03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12.4</w:t>
            </w:r>
          </w:p>
        </w:tc>
        <w:tc>
          <w:tcPr>
            <w:tcW w:w="417" w:type="pct"/>
            <w:tcBorders>
              <w:tl2br w:val="nil"/>
              <w:tr2bl w:val="nil"/>
            </w:tcBorders>
            <w:shd w:val="clear" w:color="auto" w:fill="auto"/>
            <w:noWrap/>
            <w:vAlign w:val="center"/>
          </w:tcPr>
          <w:p w14:paraId="28AD34A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70.2</w:t>
            </w:r>
          </w:p>
        </w:tc>
        <w:tc>
          <w:tcPr>
            <w:tcW w:w="254" w:type="pct"/>
            <w:vMerge w:val="continue"/>
            <w:tcBorders>
              <w:tl2br w:val="nil"/>
              <w:tr2bl w:val="nil"/>
            </w:tcBorders>
            <w:shd w:val="clear" w:color="auto" w:fill="auto"/>
            <w:noWrap/>
            <w:vAlign w:val="center"/>
          </w:tcPr>
          <w:p w14:paraId="473645E8">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25A0B79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5EF7E36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41.2</w:t>
            </w:r>
          </w:p>
        </w:tc>
        <w:tc>
          <w:tcPr>
            <w:tcW w:w="308" w:type="pct"/>
            <w:tcBorders>
              <w:tl2br w:val="nil"/>
              <w:tr2bl w:val="nil"/>
            </w:tcBorders>
            <w:shd w:val="clear" w:color="auto" w:fill="auto"/>
            <w:noWrap/>
            <w:vAlign w:val="center"/>
          </w:tcPr>
          <w:p w14:paraId="135C72F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A9D69B3">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60EFCDE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4AE7C49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350F9AD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0D42EED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753098B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77DCCEF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408.1</w:t>
            </w:r>
          </w:p>
        </w:tc>
        <w:tc>
          <w:tcPr>
            <w:tcW w:w="296" w:type="pct"/>
            <w:tcBorders>
              <w:tl2br w:val="nil"/>
              <w:tr2bl w:val="nil"/>
            </w:tcBorders>
            <w:shd w:val="clear" w:color="auto" w:fill="auto"/>
            <w:noWrap/>
            <w:vAlign w:val="center"/>
          </w:tcPr>
          <w:p w14:paraId="32FBF8B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222.9</w:t>
            </w:r>
          </w:p>
        </w:tc>
        <w:tc>
          <w:tcPr>
            <w:tcW w:w="254" w:type="pct"/>
            <w:tcBorders>
              <w:tl2br w:val="nil"/>
              <w:tr2bl w:val="nil"/>
            </w:tcBorders>
            <w:shd w:val="clear" w:color="auto" w:fill="auto"/>
            <w:noWrap/>
            <w:vAlign w:val="center"/>
          </w:tcPr>
          <w:p w14:paraId="74523A5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188E5B5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14.5</w:t>
            </w:r>
          </w:p>
        </w:tc>
        <w:tc>
          <w:tcPr>
            <w:tcW w:w="417" w:type="pct"/>
            <w:tcBorders>
              <w:tl2br w:val="nil"/>
              <w:tr2bl w:val="nil"/>
            </w:tcBorders>
            <w:shd w:val="clear" w:color="auto" w:fill="auto"/>
            <w:noWrap/>
            <w:vAlign w:val="center"/>
          </w:tcPr>
          <w:p w14:paraId="554B31C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70.01</w:t>
            </w:r>
          </w:p>
        </w:tc>
        <w:tc>
          <w:tcPr>
            <w:tcW w:w="254" w:type="pct"/>
            <w:vMerge w:val="continue"/>
            <w:tcBorders>
              <w:tl2br w:val="nil"/>
              <w:tr2bl w:val="nil"/>
            </w:tcBorders>
            <w:shd w:val="clear" w:color="auto" w:fill="auto"/>
            <w:noWrap/>
            <w:vAlign w:val="center"/>
          </w:tcPr>
          <w:p w14:paraId="21535903">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13CA19F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1CA2281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44.02</w:t>
            </w:r>
          </w:p>
        </w:tc>
        <w:tc>
          <w:tcPr>
            <w:tcW w:w="308" w:type="pct"/>
            <w:tcBorders>
              <w:tl2br w:val="nil"/>
              <w:tr2bl w:val="nil"/>
            </w:tcBorders>
            <w:shd w:val="clear" w:color="auto" w:fill="auto"/>
            <w:noWrap/>
            <w:vAlign w:val="center"/>
          </w:tcPr>
          <w:p w14:paraId="289F7D3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1F9BD696">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6C9C7C0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56B2EBC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0993781D">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7E6C58E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528147B9">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6649233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408.1</w:t>
            </w:r>
          </w:p>
        </w:tc>
        <w:tc>
          <w:tcPr>
            <w:tcW w:w="296" w:type="pct"/>
            <w:tcBorders>
              <w:tl2br w:val="nil"/>
              <w:tr2bl w:val="nil"/>
            </w:tcBorders>
            <w:shd w:val="clear" w:color="auto" w:fill="auto"/>
            <w:noWrap/>
            <w:vAlign w:val="center"/>
          </w:tcPr>
          <w:p w14:paraId="5DC3E92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222.9</w:t>
            </w:r>
          </w:p>
        </w:tc>
        <w:tc>
          <w:tcPr>
            <w:tcW w:w="254" w:type="pct"/>
            <w:tcBorders>
              <w:tl2br w:val="nil"/>
              <w:tr2bl w:val="nil"/>
            </w:tcBorders>
            <w:shd w:val="clear" w:color="auto" w:fill="auto"/>
            <w:noWrap/>
            <w:vAlign w:val="center"/>
          </w:tcPr>
          <w:p w14:paraId="509CFE4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10AE88B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16.3</w:t>
            </w:r>
          </w:p>
        </w:tc>
        <w:tc>
          <w:tcPr>
            <w:tcW w:w="417" w:type="pct"/>
            <w:tcBorders>
              <w:tl2br w:val="nil"/>
              <w:tr2bl w:val="nil"/>
            </w:tcBorders>
            <w:shd w:val="clear" w:color="auto" w:fill="auto"/>
            <w:noWrap/>
            <w:vAlign w:val="center"/>
          </w:tcPr>
          <w:p w14:paraId="454A973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69.9</w:t>
            </w:r>
          </w:p>
        </w:tc>
        <w:tc>
          <w:tcPr>
            <w:tcW w:w="254" w:type="pct"/>
            <w:vMerge w:val="continue"/>
            <w:tcBorders>
              <w:tl2br w:val="nil"/>
              <w:tr2bl w:val="nil"/>
            </w:tcBorders>
            <w:shd w:val="clear" w:color="auto" w:fill="auto"/>
            <w:noWrap/>
            <w:vAlign w:val="center"/>
          </w:tcPr>
          <w:p w14:paraId="4C692F7C">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47D9759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012190B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40.9</w:t>
            </w:r>
          </w:p>
        </w:tc>
        <w:tc>
          <w:tcPr>
            <w:tcW w:w="308" w:type="pct"/>
            <w:tcBorders>
              <w:tl2br w:val="nil"/>
              <w:tr2bl w:val="nil"/>
            </w:tcBorders>
            <w:shd w:val="clear" w:color="auto" w:fill="auto"/>
            <w:noWrap/>
            <w:vAlign w:val="center"/>
          </w:tcPr>
          <w:p w14:paraId="50192B3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01DBF254">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19D6F2B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4B9D079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4501533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除渣机</w:t>
            </w:r>
          </w:p>
        </w:tc>
        <w:tc>
          <w:tcPr>
            <w:tcW w:w="387" w:type="pct"/>
            <w:vMerge w:val="restart"/>
            <w:tcBorders>
              <w:tl2br w:val="nil"/>
              <w:tr2bl w:val="nil"/>
            </w:tcBorders>
            <w:shd w:val="clear" w:color="auto" w:fill="auto"/>
            <w:noWrap/>
            <w:vAlign w:val="center"/>
          </w:tcPr>
          <w:p w14:paraId="0942A62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95</w:t>
            </w:r>
          </w:p>
        </w:tc>
        <w:tc>
          <w:tcPr>
            <w:tcW w:w="575" w:type="pct"/>
            <w:vMerge w:val="restart"/>
            <w:tcBorders>
              <w:tl2br w:val="nil"/>
              <w:tr2bl w:val="nil"/>
            </w:tcBorders>
            <w:shd w:val="clear" w:color="auto" w:fill="auto"/>
            <w:noWrap/>
            <w:vAlign w:val="center"/>
          </w:tcPr>
          <w:p w14:paraId="3F802BAF">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基础减振</w:t>
            </w:r>
          </w:p>
          <w:p w14:paraId="117568F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厂房隔声</w:t>
            </w:r>
          </w:p>
        </w:tc>
        <w:tc>
          <w:tcPr>
            <w:tcW w:w="284" w:type="pct"/>
            <w:tcBorders>
              <w:tl2br w:val="nil"/>
              <w:tr2bl w:val="nil"/>
            </w:tcBorders>
            <w:shd w:val="clear" w:color="auto" w:fill="auto"/>
            <w:noWrap/>
            <w:vAlign w:val="center"/>
          </w:tcPr>
          <w:p w14:paraId="69AB0D4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401.2</w:t>
            </w:r>
          </w:p>
        </w:tc>
        <w:tc>
          <w:tcPr>
            <w:tcW w:w="296" w:type="pct"/>
            <w:tcBorders>
              <w:tl2br w:val="nil"/>
              <w:tr2bl w:val="nil"/>
            </w:tcBorders>
            <w:shd w:val="clear" w:color="auto" w:fill="auto"/>
            <w:noWrap/>
            <w:vAlign w:val="center"/>
          </w:tcPr>
          <w:p w14:paraId="196A410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217.5</w:t>
            </w:r>
          </w:p>
        </w:tc>
        <w:tc>
          <w:tcPr>
            <w:tcW w:w="254" w:type="pct"/>
            <w:tcBorders>
              <w:tl2br w:val="nil"/>
              <w:tr2bl w:val="nil"/>
            </w:tcBorders>
            <w:shd w:val="clear" w:color="auto" w:fill="auto"/>
            <w:noWrap/>
            <w:vAlign w:val="center"/>
          </w:tcPr>
          <w:p w14:paraId="486E6E7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07D2B9C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9.3</w:t>
            </w:r>
          </w:p>
        </w:tc>
        <w:tc>
          <w:tcPr>
            <w:tcW w:w="417" w:type="pct"/>
            <w:tcBorders>
              <w:tl2br w:val="nil"/>
              <w:tr2bl w:val="nil"/>
            </w:tcBorders>
            <w:shd w:val="clear" w:color="auto" w:fill="auto"/>
            <w:noWrap/>
            <w:vAlign w:val="center"/>
          </w:tcPr>
          <w:p w14:paraId="66681E4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70.7</w:t>
            </w:r>
          </w:p>
        </w:tc>
        <w:tc>
          <w:tcPr>
            <w:tcW w:w="254" w:type="pct"/>
            <w:vMerge w:val="continue"/>
            <w:tcBorders>
              <w:tl2br w:val="nil"/>
              <w:tr2bl w:val="nil"/>
            </w:tcBorders>
            <w:shd w:val="clear" w:color="auto" w:fill="auto"/>
            <w:noWrap/>
            <w:vAlign w:val="center"/>
          </w:tcPr>
          <w:p w14:paraId="68959BC1">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6DA9FE9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11893D8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44.71</w:t>
            </w:r>
          </w:p>
        </w:tc>
        <w:tc>
          <w:tcPr>
            <w:tcW w:w="308" w:type="pct"/>
            <w:tcBorders>
              <w:tl2br w:val="nil"/>
              <w:tr2bl w:val="nil"/>
            </w:tcBorders>
            <w:shd w:val="clear" w:color="auto" w:fill="auto"/>
            <w:noWrap/>
            <w:vAlign w:val="center"/>
          </w:tcPr>
          <w:p w14:paraId="61F83D9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6869BDBA">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751AD71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2C26BCD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6748D67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6D78C7F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70DBAE0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4D7C514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401.2</w:t>
            </w:r>
          </w:p>
        </w:tc>
        <w:tc>
          <w:tcPr>
            <w:tcW w:w="296" w:type="pct"/>
            <w:tcBorders>
              <w:tl2br w:val="nil"/>
              <w:tr2bl w:val="nil"/>
            </w:tcBorders>
            <w:shd w:val="clear" w:color="auto" w:fill="auto"/>
            <w:noWrap/>
            <w:vAlign w:val="center"/>
          </w:tcPr>
          <w:p w14:paraId="13D81FD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217.5</w:t>
            </w:r>
          </w:p>
        </w:tc>
        <w:tc>
          <w:tcPr>
            <w:tcW w:w="254" w:type="pct"/>
            <w:tcBorders>
              <w:tl2br w:val="nil"/>
              <w:tr2bl w:val="nil"/>
            </w:tcBorders>
            <w:shd w:val="clear" w:color="auto" w:fill="auto"/>
            <w:noWrap/>
            <w:vAlign w:val="center"/>
          </w:tcPr>
          <w:p w14:paraId="24E62D1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48111BB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w:t>
            </w:r>
          </w:p>
        </w:tc>
        <w:tc>
          <w:tcPr>
            <w:tcW w:w="417" w:type="pct"/>
            <w:tcBorders>
              <w:tl2br w:val="nil"/>
              <w:tr2bl w:val="nil"/>
            </w:tcBorders>
            <w:shd w:val="clear" w:color="auto" w:fill="auto"/>
            <w:noWrap/>
            <w:vAlign w:val="center"/>
          </w:tcPr>
          <w:p w14:paraId="02F29E6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71.45</w:t>
            </w:r>
          </w:p>
        </w:tc>
        <w:tc>
          <w:tcPr>
            <w:tcW w:w="254" w:type="pct"/>
            <w:vMerge w:val="continue"/>
            <w:tcBorders>
              <w:tl2br w:val="nil"/>
              <w:tr2bl w:val="nil"/>
            </w:tcBorders>
            <w:shd w:val="clear" w:color="auto" w:fill="auto"/>
            <w:noWrap/>
            <w:vAlign w:val="center"/>
          </w:tcPr>
          <w:p w14:paraId="2EF533AF">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288590D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5CEC654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42.45</w:t>
            </w:r>
          </w:p>
        </w:tc>
        <w:tc>
          <w:tcPr>
            <w:tcW w:w="308" w:type="pct"/>
            <w:tcBorders>
              <w:tl2br w:val="nil"/>
              <w:tr2bl w:val="nil"/>
            </w:tcBorders>
            <w:shd w:val="clear" w:color="auto" w:fill="auto"/>
            <w:noWrap/>
            <w:vAlign w:val="center"/>
          </w:tcPr>
          <w:p w14:paraId="5CAD151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ED106C0">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00F107D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557D8BB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55EC5155">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524B9CF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335BCD0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54987F0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401.2</w:t>
            </w:r>
          </w:p>
        </w:tc>
        <w:tc>
          <w:tcPr>
            <w:tcW w:w="296" w:type="pct"/>
            <w:tcBorders>
              <w:tl2br w:val="nil"/>
              <w:tr2bl w:val="nil"/>
            </w:tcBorders>
            <w:shd w:val="clear" w:color="auto" w:fill="auto"/>
            <w:noWrap/>
            <w:vAlign w:val="center"/>
          </w:tcPr>
          <w:p w14:paraId="141AB72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217.5</w:t>
            </w:r>
          </w:p>
        </w:tc>
        <w:tc>
          <w:tcPr>
            <w:tcW w:w="254" w:type="pct"/>
            <w:tcBorders>
              <w:tl2br w:val="nil"/>
              <w:tr2bl w:val="nil"/>
            </w:tcBorders>
            <w:shd w:val="clear" w:color="auto" w:fill="auto"/>
            <w:noWrap/>
            <w:vAlign w:val="center"/>
          </w:tcPr>
          <w:p w14:paraId="4081CB4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6086B87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7.6</w:t>
            </w:r>
          </w:p>
        </w:tc>
        <w:tc>
          <w:tcPr>
            <w:tcW w:w="417" w:type="pct"/>
            <w:tcBorders>
              <w:tl2br w:val="nil"/>
              <w:tr2bl w:val="nil"/>
            </w:tcBorders>
            <w:shd w:val="clear" w:color="auto" w:fill="auto"/>
            <w:noWrap/>
            <w:vAlign w:val="center"/>
          </w:tcPr>
          <w:p w14:paraId="00DDF1C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71.2</w:t>
            </w:r>
          </w:p>
        </w:tc>
        <w:tc>
          <w:tcPr>
            <w:tcW w:w="254" w:type="pct"/>
            <w:vMerge w:val="continue"/>
            <w:tcBorders>
              <w:tl2br w:val="nil"/>
              <w:tr2bl w:val="nil"/>
            </w:tcBorders>
            <w:shd w:val="clear" w:color="auto" w:fill="auto"/>
            <w:noWrap/>
            <w:vAlign w:val="center"/>
          </w:tcPr>
          <w:p w14:paraId="3CE62D6B">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2BB5244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0141B08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45.21</w:t>
            </w:r>
          </w:p>
        </w:tc>
        <w:tc>
          <w:tcPr>
            <w:tcW w:w="308" w:type="pct"/>
            <w:tcBorders>
              <w:tl2br w:val="nil"/>
              <w:tr2bl w:val="nil"/>
            </w:tcBorders>
            <w:shd w:val="clear" w:color="auto" w:fill="auto"/>
            <w:noWrap/>
            <w:vAlign w:val="center"/>
          </w:tcPr>
          <w:p w14:paraId="23CC69D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72A6A274">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664CE7B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3A3B790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4DF43EC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6B264C2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1D6529E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5726767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401.2</w:t>
            </w:r>
          </w:p>
        </w:tc>
        <w:tc>
          <w:tcPr>
            <w:tcW w:w="296" w:type="pct"/>
            <w:tcBorders>
              <w:tl2br w:val="nil"/>
              <w:tr2bl w:val="nil"/>
            </w:tcBorders>
            <w:shd w:val="clear" w:color="auto" w:fill="auto"/>
            <w:noWrap/>
            <w:vAlign w:val="center"/>
          </w:tcPr>
          <w:p w14:paraId="52DAA82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217.5</w:t>
            </w:r>
          </w:p>
        </w:tc>
        <w:tc>
          <w:tcPr>
            <w:tcW w:w="254" w:type="pct"/>
            <w:tcBorders>
              <w:tl2br w:val="nil"/>
              <w:tr2bl w:val="nil"/>
            </w:tcBorders>
            <w:shd w:val="clear" w:color="auto" w:fill="auto"/>
            <w:noWrap/>
            <w:vAlign w:val="center"/>
          </w:tcPr>
          <w:p w14:paraId="4146FDF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353BA8A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21.7</w:t>
            </w:r>
          </w:p>
        </w:tc>
        <w:tc>
          <w:tcPr>
            <w:tcW w:w="417" w:type="pct"/>
            <w:tcBorders>
              <w:tl2br w:val="nil"/>
              <w:tr2bl w:val="nil"/>
            </w:tcBorders>
            <w:shd w:val="clear" w:color="auto" w:fill="auto"/>
            <w:noWrap/>
            <w:vAlign w:val="center"/>
          </w:tcPr>
          <w:p w14:paraId="0FC1B4E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69.72</w:t>
            </w:r>
          </w:p>
        </w:tc>
        <w:tc>
          <w:tcPr>
            <w:tcW w:w="254" w:type="pct"/>
            <w:vMerge w:val="continue"/>
            <w:tcBorders>
              <w:tl2br w:val="nil"/>
              <w:tr2bl w:val="nil"/>
            </w:tcBorders>
            <w:shd w:val="clear" w:color="auto" w:fill="auto"/>
            <w:noWrap/>
            <w:vAlign w:val="center"/>
          </w:tcPr>
          <w:p w14:paraId="1C2291E0">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43A38BC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2033CAD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40.72</w:t>
            </w:r>
          </w:p>
        </w:tc>
        <w:tc>
          <w:tcPr>
            <w:tcW w:w="308" w:type="pct"/>
            <w:tcBorders>
              <w:tl2br w:val="nil"/>
              <w:tr2bl w:val="nil"/>
            </w:tcBorders>
            <w:shd w:val="clear" w:color="auto" w:fill="auto"/>
            <w:noWrap/>
            <w:vAlign w:val="center"/>
          </w:tcPr>
          <w:p w14:paraId="789ED7A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0C292FF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44544A7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3A9617E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321ADB1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引风机</w:t>
            </w:r>
          </w:p>
        </w:tc>
        <w:tc>
          <w:tcPr>
            <w:tcW w:w="387" w:type="pct"/>
            <w:vMerge w:val="restart"/>
            <w:tcBorders>
              <w:tl2br w:val="nil"/>
              <w:tr2bl w:val="nil"/>
            </w:tcBorders>
            <w:shd w:val="clear" w:color="auto" w:fill="auto"/>
            <w:noWrap/>
            <w:vAlign w:val="center"/>
          </w:tcPr>
          <w:p w14:paraId="71896C3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100</w:t>
            </w:r>
          </w:p>
        </w:tc>
        <w:tc>
          <w:tcPr>
            <w:tcW w:w="575" w:type="pct"/>
            <w:vMerge w:val="restart"/>
            <w:tcBorders>
              <w:tl2br w:val="nil"/>
              <w:tr2bl w:val="nil"/>
            </w:tcBorders>
            <w:shd w:val="clear" w:color="auto" w:fill="auto"/>
            <w:noWrap/>
            <w:vAlign w:val="center"/>
          </w:tcPr>
          <w:p w14:paraId="3C0A60C6">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进风口消声器</w:t>
            </w:r>
          </w:p>
          <w:p w14:paraId="49E356C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管道外壳阻尼</w:t>
            </w:r>
          </w:p>
        </w:tc>
        <w:tc>
          <w:tcPr>
            <w:tcW w:w="284" w:type="pct"/>
            <w:tcBorders>
              <w:tl2br w:val="nil"/>
              <w:tr2bl w:val="nil"/>
            </w:tcBorders>
            <w:shd w:val="clear" w:color="auto" w:fill="auto"/>
            <w:noWrap/>
            <w:vAlign w:val="center"/>
          </w:tcPr>
          <w:p w14:paraId="39A84B2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403.1</w:t>
            </w:r>
          </w:p>
        </w:tc>
        <w:tc>
          <w:tcPr>
            <w:tcW w:w="296" w:type="pct"/>
            <w:tcBorders>
              <w:tl2br w:val="nil"/>
              <w:tr2bl w:val="nil"/>
            </w:tcBorders>
            <w:shd w:val="clear" w:color="auto" w:fill="auto"/>
            <w:noWrap/>
            <w:vAlign w:val="center"/>
          </w:tcPr>
          <w:p w14:paraId="26E2AE1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230.5</w:t>
            </w:r>
          </w:p>
        </w:tc>
        <w:tc>
          <w:tcPr>
            <w:tcW w:w="254" w:type="pct"/>
            <w:tcBorders>
              <w:tl2br w:val="nil"/>
              <w:tr2bl w:val="nil"/>
            </w:tcBorders>
            <w:shd w:val="clear" w:color="auto" w:fill="auto"/>
            <w:noWrap/>
            <w:vAlign w:val="center"/>
          </w:tcPr>
          <w:p w14:paraId="578B017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6FB0F12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7.4</w:t>
            </w:r>
          </w:p>
        </w:tc>
        <w:tc>
          <w:tcPr>
            <w:tcW w:w="417" w:type="pct"/>
            <w:tcBorders>
              <w:tl2br w:val="nil"/>
              <w:tr2bl w:val="nil"/>
            </w:tcBorders>
            <w:shd w:val="clear" w:color="auto" w:fill="auto"/>
            <w:noWrap/>
            <w:vAlign w:val="center"/>
          </w:tcPr>
          <w:p w14:paraId="11FAF2D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76.28</w:t>
            </w:r>
          </w:p>
        </w:tc>
        <w:tc>
          <w:tcPr>
            <w:tcW w:w="254" w:type="pct"/>
            <w:vMerge w:val="continue"/>
            <w:tcBorders>
              <w:tl2br w:val="nil"/>
              <w:tr2bl w:val="nil"/>
            </w:tcBorders>
            <w:shd w:val="clear" w:color="auto" w:fill="auto"/>
            <w:noWrap/>
            <w:vAlign w:val="center"/>
          </w:tcPr>
          <w:p w14:paraId="155A039F">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51E83BE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64D431F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50.29</w:t>
            </w:r>
          </w:p>
        </w:tc>
        <w:tc>
          <w:tcPr>
            <w:tcW w:w="308" w:type="pct"/>
            <w:tcBorders>
              <w:tl2br w:val="nil"/>
              <w:tr2bl w:val="nil"/>
            </w:tcBorders>
            <w:shd w:val="clear" w:color="auto" w:fill="auto"/>
            <w:noWrap/>
            <w:vAlign w:val="center"/>
          </w:tcPr>
          <w:p w14:paraId="7DAE322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35338A46">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4DB01F8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564D3C0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5501CFE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7015FCE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172F036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1F73A85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403.1</w:t>
            </w:r>
          </w:p>
        </w:tc>
        <w:tc>
          <w:tcPr>
            <w:tcW w:w="296" w:type="pct"/>
            <w:tcBorders>
              <w:tl2br w:val="nil"/>
              <w:tr2bl w:val="nil"/>
            </w:tcBorders>
            <w:shd w:val="clear" w:color="auto" w:fill="auto"/>
            <w:noWrap/>
            <w:vAlign w:val="center"/>
          </w:tcPr>
          <w:p w14:paraId="22AD2CA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230.5</w:t>
            </w:r>
          </w:p>
        </w:tc>
        <w:tc>
          <w:tcPr>
            <w:tcW w:w="254" w:type="pct"/>
            <w:tcBorders>
              <w:tl2br w:val="nil"/>
              <w:tr2bl w:val="nil"/>
            </w:tcBorders>
            <w:shd w:val="clear" w:color="auto" w:fill="auto"/>
            <w:noWrap/>
            <w:vAlign w:val="center"/>
          </w:tcPr>
          <w:p w14:paraId="242060B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443F75A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20</w:t>
            </w:r>
          </w:p>
        </w:tc>
        <w:tc>
          <w:tcPr>
            <w:tcW w:w="417" w:type="pct"/>
            <w:tcBorders>
              <w:tl2br w:val="nil"/>
              <w:tr2bl w:val="nil"/>
            </w:tcBorders>
            <w:shd w:val="clear" w:color="auto" w:fill="auto"/>
            <w:noWrap/>
            <w:vAlign w:val="center"/>
          </w:tcPr>
          <w:p w14:paraId="5A075F8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74.76</w:t>
            </w:r>
          </w:p>
        </w:tc>
        <w:tc>
          <w:tcPr>
            <w:tcW w:w="254" w:type="pct"/>
            <w:vMerge w:val="continue"/>
            <w:tcBorders>
              <w:tl2br w:val="nil"/>
              <w:tr2bl w:val="nil"/>
            </w:tcBorders>
            <w:shd w:val="clear" w:color="auto" w:fill="auto"/>
            <w:noWrap/>
            <w:vAlign w:val="center"/>
          </w:tcPr>
          <w:p w14:paraId="76921FAC">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680CBA0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720A6BA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45.76</w:t>
            </w:r>
          </w:p>
        </w:tc>
        <w:tc>
          <w:tcPr>
            <w:tcW w:w="308" w:type="pct"/>
            <w:tcBorders>
              <w:tl2br w:val="nil"/>
              <w:tr2bl w:val="nil"/>
            </w:tcBorders>
            <w:shd w:val="clear" w:color="auto" w:fill="auto"/>
            <w:noWrap/>
            <w:vAlign w:val="center"/>
          </w:tcPr>
          <w:p w14:paraId="17A87EC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77F7766F">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5BF428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77195F1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389B176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0243E81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09DB646D">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22FDED5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403.1</w:t>
            </w:r>
          </w:p>
        </w:tc>
        <w:tc>
          <w:tcPr>
            <w:tcW w:w="296" w:type="pct"/>
            <w:tcBorders>
              <w:tl2br w:val="nil"/>
              <w:tr2bl w:val="nil"/>
            </w:tcBorders>
            <w:shd w:val="clear" w:color="auto" w:fill="auto"/>
            <w:noWrap/>
            <w:vAlign w:val="center"/>
          </w:tcPr>
          <w:p w14:paraId="52F8B1D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230.5</w:t>
            </w:r>
          </w:p>
        </w:tc>
        <w:tc>
          <w:tcPr>
            <w:tcW w:w="254" w:type="pct"/>
            <w:tcBorders>
              <w:tl2br w:val="nil"/>
              <w:tr2bl w:val="nil"/>
            </w:tcBorders>
            <w:shd w:val="clear" w:color="auto" w:fill="auto"/>
            <w:noWrap/>
            <w:vAlign w:val="center"/>
          </w:tcPr>
          <w:p w14:paraId="34E3B60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654EFB2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9.5</w:t>
            </w:r>
          </w:p>
        </w:tc>
        <w:tc>
          <w:tcPr>
            <w:tcW w:w="417" w:type="pct"/>
            <w:tcBorders>
              <w:tl2br w:val="nil"/>
              <w:tr2bl w:val="nil"/>
            </w:tcBorders>
            <w:shd w:val="clear" w:color="auto" w:fill="auto"/>
            <w:noWrap/>
            <w:vAlign w:val="center"/>
          </w:tcPr>
          <w:p w14:paraId="5D4008B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75.65</w:t>
            </w:r>
          </w:p>
        </w:tc>
        <w:tc>
          <w:tcPr>
            <w:tcW w:w="254" w:type="pct"/>
            <w:vMerge w:val="continue"/>
            <w:tcBorders>
              <w:tl2br w:val="nil"/>
              <w:tr2bl w:val="nil"/>
            </w:tcBorders>
            <w:shd w:val="clear" w:color="auto" w:fill="auto"/>
            <w:noWrap/>
            <w:vAlign w:val="center"/>
          </w:tcPr>
          <w:p w14:paraId="1CE7756D">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0E6B7ED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717376A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49.66</w:t>
            </w:r>
          </w:p>
        </w:tc>
        <w:tc>
          <w:tcPr>
            <w:tcW w:w="308" w:type="pct"/>
            <w:tcBorders>
              <w:tl2br w:val="nil"/>
              <w:tr2bl w:val="nil"/>
            </w:tcBorders>
            <w:shd w:val="clear" w:color="auto" w:fill="auto"/>
            <w:noWrap/>
            <w:vAlign w:val="center"/>
          </w:tcPr>
          <w:p w14:paraId="610E240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1AE3F22A">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07ACFB4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59DF63F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54ABB54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4065D0F9">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5E93855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5D999B4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403.1</w:t>
            </w:r>
          </w:p>
        </w:tc>
        <w:tc>
          <w:tcPr>
            <w:tcW w:w="296" w:type="pct"/>
            <w:tcBorders>
              <w:tl2br w:val="nil"/>
              <w:tr2bl w:val="nil"/>
            </w:tcBorders>
            <w:shd w:val="clear" w:color="auto" w:fill="auto"/>
            <w:noWrap/>
            <w:vAlign w:val="center"/>
          </w:tcPr>
          <w:p w14:paraId="3395951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230.5</w:t>
            </w:r>
          </w:p>
        </w:tc>
        <w:tc>
          <w:tcPr>
            <w:tcW w:w="254" w:type="pct"/>
            <w:tcBorders>
              <w:tl2br w:val="nil"/>
              <w:tr2bl w:val="nil"/>
            </w:tcBorders>
            <w:shd w:val="clear" w:color="auto" w:fill="auto"/>
            <w:noWrap/>
            <w:vAlign w:val="center"/>
          </w:tcPr>
          <w:p w14:paraId="09105E2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4872F8B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8.7</w:t>
            </w:r>
          </w:p>
        </w:tc>
        <w:tc>
          <w:tcPr>
            <w:tcW w:w="417" w:type="pct"/>
            <w:tcBorders>
              <w:tl2br w:val="nil"/>
              <w:tr2bl w:val="nil"/>
            </w:tcBorders>
            <w:shd w:val="clear" w:color="auto" w:fill="auto"/>
            <w:noWrap/>
            <w:vAlign w:val="center"/>
          </w:tcPr>
          <w:p w14:paraId="30CB24C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75.85</w:t>
            </w:r>
          </w:p>
        </w:tc>
        <w:tc>
          <w:tcPr>
            <w:tcW w:w="254" w:type="pct"/>
            <w:vMerge w:val="continue"/>
            <w:tcBorders>
              <w:tl2br w:val="nil"/>
              <w:tr2bl w:val="nil"/>
            </w:tcBorders>
            <w:shd w:val="clear" w:color="auto" w:fill="auto"/>
            <w:noWrap/>
            <w:vAlign w:val="center"/>
          </w:tcPr>
          <w:p w14:paraId="1BECE6EB">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4CA7C7E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2A5552D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46.85</w:t>
            </w:r>
          </w:p>
        </w:tc>
        <w:tc>
          <w:tcPr>
            <w:tcW w:w="308" w:type="pct"/>
            <w:tcBorders>
              <w:tl2br w:val="nil"/>
              <w:tr2bl w:val="nil"/>
            </w:tcBorders>
            <w:shd w:val="clear" w:color="auto" w:fill="auto"/>
            <w:noWrap/>
            <w:vAlign w:val="center"/>
          </w:tcPr>
          <w:p w14:paraId="1B145F1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657B9629">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47655AF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32D0D55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61476AF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碎煤机</w:t>
            </w:r>
          </w:p>
        </w:tc>
        <w:tc>
          <w:tcPr>
            <w:tcW w:w="387" w:type="pct"/>
            <w:vMerge w:val="restart"/>
            <w:tcBorders>
              <w:tl2br w:val="nil"/>
              <w:tr2bl w:val="nil"/>
            </w:tcBorders>
            <w:shd w:val="clear" w:color="auto" w:fill="auto"/>
            <w:noWrap/>
            <w:vAlign w:val="center"/>
          </w:tcPr>
          <w:p w14:paraId="27841C9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95</w:t>
            </w:r>
          </w:p>
        </w:tc>
        <w:tc>
          <w:tcPr>
            <w:tcW w:w="575" w:type="pct"/>
            <w:vMerge w:val="restart"/>
            <w:tcBorders>
              <w:tl2br w:val="nil"/>
              <w:tr2bl w:val="nil"/>
            </w:tcBorders>
            <w:shd w:val="clear" w:color="auto" w:fill="auto"/>
            <w:noWrap/>
            <w:vAlign w:val="center"/>
          </w:tcPr>
          <w:p w14:paraId="4947CC21">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隔声罩壳</w:t>
            </w:r>
          </w:p>
          <w:p w14:paraId="34F4814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厂房隔声</w:t>
            </w:r>
          </w:p>
        </w:tc>
        <w:tc>
          <w:tcPr>
            <w:tcW w:w="284" w:type="pct"/>
            <w:tcBorders>
              <w:tl2br w:val="nil"/>
              <w:tr2bl w:val="nil"/>
            </w:tcBorders>
            <w:shd w:val="clear" w:color="auto" w:fill="auto"/>
            <w:noWrap/>
            <w:vAlign w:val="center"/>
          </w:tcPr>
          <w:p w14:paraId="1DFDABE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395.8</w:t>
            </w:r>
          </w:p>
        </w:tc>
        <w:tc>
          <w:tcPr>
            <w:tcW w:w="296" w:type="pct"/>
            <w:tcBorders>
              <w:tl2br w:val="nil"/>
              <w:tr2bl w:val="nil"/>
            </w:tcBorders>
            <w:shd w:val="clear" w:color="auto" w:fill="auto"/>
            <w:noWrap/>
            <w:vAlign w:val="center"/>
          </w:tcPr>
          <w:p w14:paraId="0F9CCC9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236.4</w:t>
            </w:r>
          </w:p>
        </w:tc>
        <w:tc>
          <w:tcPr>
            <w:tcW w:w="254" w:type="pct"/>
            <w:tcBorders>
              <w:tl2br w:val="nil"/>
              <w:tr2bl w:val="nil"/>
            </w:tcBorders>
            <w:shd w:val="clear" w:color="auto" w:fill="auto"/>
            <w:noWrap/>
            <w:vAlign w:val="center"/>
          </w:tcPr>
          <w:p w14:paraId="22A3FB1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5A265A6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14.7</w:t>
            </w:r>
          </w:p>
        </w:tc>
        <w:tc>
          <w:tcPr>
            <w:tcW w:w="417" w:type="pct"/>
            <w:tcBorders>
              <w:tl2br w:val="nil"/>
              <w:tr2bl w:val="nil"/>
            </w:tcBorders>
            <w:shd w:val="clear" w:color="auto" w:fill="auto"/>
            <w:noWrap/>
            <w:vAlign w:val="center"/>
          </w:tcPr>
          <w:p w14:paraId="6DD3A42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70</w:t>
            </w:r>
          </w:p>
        </w:tc>
        <w:tc>
          <w:tcPr>
            <w:tcW w:w="254" w:type="pct"/>
            <w:vMerge w:val="continue"/>
            <w:tcBorders>
              <w:tl2br w:val="nil"/>
              <w:tr2bl w:val="nil"/>
            </w:tcBorders>
            <w:shd w:val="clear" w:color="auto" w:fill="auto"/>
            <w:noWrap/>
            <w:vAlign w:val="center"/>
          </w:tcPr>
          <w:p w14:paraId="2A91441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2B890B8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0BC01E3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44.01</w:t>
            </w:r>
          </w:p>
        </w:tc>
        <w:tc>
          <w:tcPr>
            <w:tcW w:w="308" w:type="pct"/>
            <w:tcBorders>
              <w:tl2br w:val="nil"/>
              <w:tr2bl w:val="nil"/>
            </w:tcBorders>
            <w:shd w:val="clear" w:color="auto" w:fill="auto"/>
            <w:noWrap/>
            <w:vAlign w:val="center"/>
          </w:tcPr>
          <w:p w14:paraId="37E3403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6CC52EE6">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07D673E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18372A6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717095C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5CB2CEA9">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7F8DFEC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399E181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395.8</w:t>
            </w:r>
          </w:p>
        </w:tc>
        <w:tc>
          <w:tcPr>
            <w:tcW w:w="296" w:type="pct"/>
            <w:tcBorders>
              <w:tl2br w:val="nil"/>
              <w:tr2bl w:val="nil"/>
            </w:tcBorders>
            <w:shd w:val="clear" w:color="auto" w:fill="auto"/>
            <w:noWrap/>
            <w:vAlign w:val="center"/>
          </w:tcPr>
          <w:p w14:paraId="29F0126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236.4</w:t>
            </w:r>
          </w:p>
        </w:tc>
        <w:tc>
          <w:tcPr>
            <w:tcW w:w="254" w:type="pct"/>
            <w:tcBorders>
              <w:tl2br w:val="nil"/>
              <w:tr2bl w:val="nil"/>
            </w:tcBorders>
            <w:shd w:val="clear" w:color="auto" w:fill="auto"/>
            <w:noWrap/>
            <w:vAlign w:val="center"/>
          </w:tcPr>
          <w:p w14:paraId="2CAA2CC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36AEBF8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25.9</w:t>
            </w:r>
          </w:p>
        </w:tc>
        <w:tc>
          <w:tcPr>
            <w:tcW w:w="417" w:type="pct"/>
            <w:tcBorders>
              <w:tl2br w:val="nil"/>
              <w:tr2bl w:val="nil"/>
            </w:tcBorders>
            <w:shd w:val="clear" w:color="auto" w:fill="auto"/>
            <w:noWrap/>
            <w:vAlign w:val="center"/>
          </w:tcPr>
          <w:p w14:paraId="360C564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69.64</w:t>
            </w:r>
          </w:p>
        </w:tc>
        <w:tc>
          <w:tcPr>
            <w:tcW w:w="254" w:type="pct"/>
            <w:vMerge w:val="continue"/>
            <w:tcBorders>
              <w:tl2br w:val="nil"/>
              <w:tr2bl w:val="nil"/>
            </w:tcBorders>
            <w:shd w:val="clear" w:color="auto" w:fill="auto"/>
            <w:noWrap/>
            <w:vAlign w:val="center"/>
          </w:tcPr>
          <w:p w14:paraId="2634BE49">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5427B82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4720C45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40.64</w:t>
            </w:r>
          </w:p>
        </w:tc>
        <w:tc>
          <w:tcPr>
            <w:tcW w:w="308" w:type="pct"/>
            <w:tcBorders>
              <w:tl2br w:val="nil"/>
              <w:tr2bl w:val="nil"/>
            </w:tcBorders>
            <w:shd w:val="clear" w:color="auto" w:fill="auto"/>
            <w:noWrap/>
            <w:vAlign w:val="center"/>
          </w:tcPr>
          <w:p w14:paraId="29100FE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1CA24220">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038437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49331805">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52466A4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33A66299">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62F9072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7B1CBFF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395.8</w:t>
            </w:r>
          </w:p>
        </w:tc>
        <w:tc>
          <w:tcPr>
            <w:tcW w:w="296" w:type="pct"/>
            <w:tcBorders>
              <w:tl2br w:val="nil"/>
              <w:tr2bl w:val="nil"/>
            </w:tcBorders>
            <w:shd w:val="clear" w:color="auto" w:fill="auto"/>
            <w:noWrap/>
            <w:vAlign w:val="center"/>
          </w:tcPr>
          <w:p w14:paraId="4CD0D78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236.4</w:t>
            </w:r>
          </w:p>
        </w:tc>
        <w:tc>
          <w:tcPr>
            <w:tcW w:w="254" w:type="pct"/>
            <w:tcBorders>
              <w:tl2br w:val="nil"/>
              <w:tr2bl w:val="nil"/>
            </w:tcBorders>
            <w:shd w:val="clear" w:color="auto" w:fill="auto"/>
            <w:noWrap/>
            <w:vAlign w:val="center"/>
          </w:tcPr>
          <w:p w14:paraId="353B18E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1A173BC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2.2</w:t>
            </w:r>
          </w:p>
        </w:tc>
        <w:tc>
          <w:tcPr>
            <w:tcW w:w="417" w:type="pct"/>
            <w:tcBorders>
              <w:tl2br w:val="nil"/>
              <w:tr2bl w:val="nil"/>
            </w:tcBorders>
            <w:shd w:val="clear" w:color="auto" w:fill="auto"/>
            <w:noWrap/>
            <w:vAlign w:val="center"/>
          </w:tcPr>
          <w:p w14:paraId="0D8AEB4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77.84</w:t>
            </w:r>
          </w:p>
        </w:tc>
        <w:tc>
          <w:tcPr>
            <w:tcW w:w="254" w:type="pct"/>
            <w:vMerge w:val="continue"/>
            <w:tcBorders>
              <w:tl2br w:val="nil"/>
              <w:tr2bl w:val="nil"/>
            </w:tcBorders>
            <w:shd w:val="clear" w:color="auto" w:fill="auto"/>
            <w:noWrap/>
            <w:vAlign w:val="center"/>
          </w:tcPr>
          <w:p w14:paraId="00EC79AC">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08D53C1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4B2FC50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51.85</w:t>
            </w:r>
          </w:p>
        </w:tc>
        <w:tc>
          <w:tcPr>
            <w:tcW w:w="308" w:type="pct"/>
            <w:tcBorders>
              <w:tl2br w:val="nil"/>
              <w:tr2bl w:val="nil"/>
            </w:tcBorders>
            <w:shd w:val="clear" w:color="auto" w:fill="auto"/>
            <w:noWrap/>
            <w:vAlign w:val="center"/>
          </w:tcPr>
          <w:p w14:paraId="0DE3637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420FE2D9">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09ECC5C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33A2F8D5">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211900A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76E1B19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1F4EAFF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106454E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395.8</w:t>
            </w:r>
          </w:p>
        </w:tc>
        <w:tc>
          <w:tcPr>
            <w:tcW w:w="296" w:type="pct"/>
            <w:tcBorders>
              <w:tl2br w:val="nil"/>
              <w:tr2bl w:val="nil"/>
            </w:tcBorders>
            <w:shd w:val="clear" w:color="auto" w:fill="auto"/>
            <w:noWrap/>
            <w:vAlign w:val="center"/>
          </w:tcPr>
          <w:p w14:paraId="6868A08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236.4</w:t>
            </w:r>
          </w:p>
        </w:tc>
        <w:tc>
          <w:tcPr>
            <w:tcW w:w="254" w:type="pct"/>
            <w:tcBorders>
              <w:tl2br w:val="nil"/>
              <w:tr2bl w:val="nil"/>
            </w:tcBorders>
            <w:shd w:val="clear" w:color="auto" w:fill="auto"/>
            <w:noWrap/>
            <w:vAlign w:val="center"/>
          </w:tcPr>
          <w:p w14:paraId="074B03A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079CB03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2.8</w:t>
            </w:r>
          </w:p>
        </w:tc>
        <w:tc>
          <w:tcPr>
            <w:tcW w:w="417" w:type="pct"/>
            <w:tcBorders>
              <w:tl2br w:val="nil"/>
              <w:tr2bl w:val="nil"/>
            </w:tcBorders>
            <w:shd w:val="clear" w:color="auto" w:fill="auto"/>
            <w:noWrap/>
            <w:vAlign w:val="center"/>
          </w:tcPr>
          <w:p w14:paraId="1F4A8D8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76.12</w:t>
            </w:r>
          </w:p>
        </w:tc>
        <w:tc>
          <w:tcPr>
            <w:tcW w:w="254" w:type="pct"/>
            <w:vMerge w:val="continue"/>
            <w:tcBorders>
              <w:tl2br w:val="nil"/>
              <w:tr2bl w:val="nil"/>
            </w:tcBorders>
            <w:shd w:val="clear" w:color="auto" w:fill="auto"/>
            <w:noWrap/>
            <w:vAlign w:val="center"/>
          </w:tcPr>
          <w:p w14:paraId="22295B90">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04379AD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4073D89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47.12</w:t>
            </w:r>
          </w:p>
        </w:tc>
        <w:tc>
          <w:tcPr>
            <w:tcW w:w="308" w:type="pct"/>
            <w:tcBorders>
              <w:tl2br w:val="nil"/>
              <w:tr2bl w:val="nil"/>
            </w:tcBorders>
            <w:shd w:val="clear" w:color="auto" w:fill="auto"/>
            <w:noWrap/>
            <w:vAlign w:val="center"/>
          </w:tcPr>
          <w:p w14:paraId="3E43322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404BE021">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5129E8C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restart"/>
            <w:tcBorders>
              <w:tl2br w:val="nil"/>
              <w:tr2bl w:val="nil"/>
            </w:tcBorders>
            <w:shd w:val="clear" w:color="auto" w:fill="auto"/>
            <w:noWrap/>
            <w:vAlign w:val="center"/>
          </w:tcPr>
          <w:p w14:paraId="5019754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4#锅炉房</w:t>
            </w:r>
            <w:r>
              <w:rPr>
                <w:rFonts w:hint="eastAsia" w:ascii="Times New Roman" w:hAnsi="Times New Roman" w:eastAsia="宋体" w:cs="Times New Roman"/>
                <w:color w:val="FF0000"/>
                <w:sz w:val="21"/>
                <w:szCs w:val="21"/>
                <w:highlight w:val="none"/>
                <w:lang w:val="en-US" w:eastAsia="zh-CN"/>
              </w:rPr>
              <w:t>（116MW锅炉）</w:t>
            </w:r>
          </w:p>
        </w:tc>
        <w:tc>
          <w:tcPr>
            <w:tcW w:w="398" w:type="pct"/>
            <w:vMerge w:val="restart"/>
            <w:tcBorders>
              <w:tl2br w:val="nil"/>
              <w:tr2bl w:val="nil"/>
            </w:tcBorders>
            <w:shd w:val="clear" w:color="auto" w:fill="auto"/>
            <w:noWrap/>
            <w:vAlign w:val="center"/>
          </w:tcPr>
          <w:p w14:paraId="227EC6F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一次风机</w:t>
            </w:r>
          </w:p>
        </w:tc>
        <w:tc>
          <w:tcPr>
            <w:tcW w:w="387" w:type="pct"/>
            <w:vMerge w:val="restart"/>
            <w:tcBorders>
              <w:tl2br w:val="nil"/>
              <w:tr2bl w:val="nil"/>
            </w:tcBorders>
            <w:shd w:val="clear" w:color="auto" w:fill="auto"/>
            <w:noWrap/>
            <w:vAlign w:val="center"/>
          </w:tcPr>
          <w:p w14:paraId="1019C54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105</w:t>
            </w:r>
          </w:p>
        </w:tc>
        <w:tc>
          <w:tcPr>
            <w:tcW w:w="575" w:type="pct"/>
            <w:vMerge w:val="restart"/>
            <w:tcBorders>
              <w:tl2br w:val="nil"/>
              <w:tr2bl w:val="nil"/>
            </w:tcBorders>
            <w:shd w:val="clear" w:color="auto" w:fill="auto"/>
            <w:noWrap/>
            <w:vAlign w:val="center"/>
          </w:tcPr>
          <w:p w14:paraId="3C2298B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进风口消声器</w:t>
            </w:r>
          </w:p>
          <w:p w14:paraId="5907812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管道外壳阻尼</w:t>
            </w:r>
          </w:p>
        </w:tc>
        <w:tc>
          <w:tcPr>
            <w:tcW w:w="284" w:type="pct"/>
            <w:tcBorders>
              <w:tl2br w:val="nil"/>
              <w:tr2bl w:val="nil"/>
            </w:tcBorders>
            <w:shd w:val="clear" w:color="auto" w:fill="auto"/>
            <w:noWrap/>
            <w:vAlign w:val="center"/>
          </w:tcPr>
          <w:p w14:paraId="2C7C640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416.6</w:t>
            </w:r>
          </w:p>
        </w:tc>
        <w:tc>
          <w:tcPr>
            <w:tcW w:w="296" w:type="pct"/>
            <w:tcBorders>
              <w:tl2br w:val="nil"/>
              <w:tr2bl w:val="nil"/>
            </w:tcBorders>
            <w:shd w:val="clear" w:color="auto" w:fill="auto"/>
            <w:noWrap/>
            <w:vAlign w:val="center"/>
          </w:tcPr>
          <w:p w14:paraId="4DC2936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233.5</w:t>
            </w:r>
          </w:p>
        </w:tc>
        <w:tc>
          <w:tcPr>
            <w:tcW w:w="254" w:type="pct"/>
            <w:tcBorders>
              <w:tl2br w:val="nil"/>
              <w:tr2bl w:val="nil"/>
            </w:tcBorders>
            <w:shd w:val="clear" w:color="auto" w:fill="auto"/>
            <w:noWrap/>
            <w:vAlign w:val="center"/>
          </w:tcPr>
          <w:p w14:paraId="7490D80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60100F8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13.6</w:t>
            </w:r>
          </w:p>
        </w:tc>
        <w:tc>
          <w:tcPr>
            <w:tcW w:w="417" w:type="pct"/>
            <w:tcBorders>
              <w:tl2br w:val="nil"/>
              <w:tr2bl w:val="nil"/>
            </w:tcBorders>
            <w:shd w:val="clear" w:color="auto" w:fill="auto"/>
            <w:noWrap/>
            <w:vAlign w:val="center"/>
          </w:tcPr>
          <w:p w14:paraId="6BC1055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79.94</w:t>
            </w:r>
          </w:p>
        </w:tc>
        <w:tc>
          <w:tcPr>
            <w:tcW w:w="254" w:type="pct"/>
            <w:vMerge w:val="restart"/>
            <w:tcBorders>
              <w:tl2br w:val="nil"/>
              <w:tr2bl w:val="nil"/>
            </w:tcBorders>
            <w:shd w:val="clear" w:color="auto" w:fill="auto"/>
            <w:noWrap/>
            <w:vAlign w:val="center"/>
          </w:tcPr>
          <w:p w14:paraId="3D00848A">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连续</w:t>
            </w:r>
          </w:p>
        </w:tc>
        <w:tc>
          <w:tcPr>
            <w:tcW w:w="447" w:type="pct"/>
            <w:tcBorders>
              <w:tl2br w:val="nil"/>
              <w:tr2bl w:val="nil"/>
            </w:tcBorders>
            <w:shd w:val="clear" w:color="auto" w:fill="auto"/>
            <w:noWrap/>
            <w:vAlign w:val="center"/>
          </w:tcPr>
          <w:p w14:paraId="4D8D53E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01E1C20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53.95</w:t>
            </w:r>
          </w:p>
        </w:tc>
        <w:tc>
          <w:tcPr>
            <w:tcW w:w="308" w:type="pct"/>
            <w:tcBorders>
              <w:tl2br w:val="nil"/>
              <w:tr2bl w:val="nil"/>
            </w:tcBorders>
            <w:shd w:val="clear" w:color="auto" w:fill="auto"/>
            <w:noWrap/>
            <w:vAlign w:val="center"/>
          </w:tcPr>
          <w:p w14:paraId="7CE1AE2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DAF0E71">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57065CE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4A01C18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6A0112A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78EEB10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07D62675">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2D31F4E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416.6</w:t>
            </w:r>
          </w:p>
        </w:tc>
        <w:tc>
          <w:tcPr>
            <w:tcW w:w="296" w:type="pct"/>
            <w:tcBorders>
              <w:tl2br w:val="nil"/>
              <w:tr2bl w:val="nil"/>
            </w:tcBorders>
            <w:shd w:val="clear" w:color="auto" w:fill="auto"/>
            <w:noWrap/>
            <w:vAlign w:val="center"/>
          </w:tcPr>
          <w:p w14:paraId="50ED41A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233.5</w:t>
            </w:r>
          </w:p>
        </w:tc>
        <w:tc>
          <w:tcPr>
            <w:tcW w:w="254" w:type="pct"/>
            <w:tcBorders>
              <w:tl2br w:val="nil"/>
              <w:tr2bl w:val="nil"/>
            </w:tcBorders>
            <w:shd w:val="clear" w:color="auto" w:fill="auto"/>
            <w:noWrap/>
            <w:vAlign w:val="center"/>
          </w:tcPr>
          <w:p w14:paraId="1678B48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796C223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22.1</w:t>
            </w:r>
          </w:p>
        </w:tc>
        <w:tc>
          <w:tcPr>
            <w:tcW w:w="417" w:type="pct"/>
            <w:tcBorders>
              <w:tl2br w:val="nil"/>
              <w:tr2bl w:val="nil"/>
            </w:tcBorders>
            <w:shd w:val="clear" w:color="auto" w:fill="auto"/>
            <w:noWrap/>
            <w:vAlign w:val="center"/>
          </w:tcPr>
          <w:p w14:paraId="6640D29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79.55</w:t>
            </w:r>
          </w:p>
        </w:tc>
        <w:tc>
          <w:tcPr>
            <w:tcW w:w="254" w:type="pct"/>
            <w:vMerge w:val="continue"/>
            <w:tcBorders>
              <w:tl2br w:val="nil"/>
              <w:tr2bl w:val="nil"/>
            </w:tcBorders>
            <w:shd w:val="clear" w:color="auto" w:fill="auto"/>
            <w:noWrap/>
            <w:vAlign w:val="center"/>
          </w:tcPr>
          <w:p w14:paraId="46608ED9">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0F19CEC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5C3D68E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50.55</w:t>
            </w:r>
          </w:p>
        </w:tc>
        <w:tc>
          <w:tcPr>
            <w:tcW w:w="308" w:type="pct"/>
            <w:tcBorders>
              <w:tl2br w:val="nil"/>
              <w:tr2bl w:val="nil"/>
            </w:tcBorders>
            <w:shd w:val="clear" w:color="auto" w:fill="auto"/>
            <w:noWrap/>
            <w:vAlign w:val="center"/>
          </w:tcPr>
          <w:p w14:paraId="2656FFB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0903BFF5">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545FDA5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784BABB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00F6DEB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301D2B9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308E8D7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6EDE17A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416.6</w:t>
            </w:r>
          </w:p>
        </w:tc>
        <w:tc>
          <w:tcPr>
            <w:tcW w:w="296" w:type="pct"/>
            <w:tcBorders>
              <w:tl2br w:val="nil"/>
              <w:tr2bl w:val="nil"/>
            </w:tcBorders>
            <w:shd w:val="clear" w:color="auto" w:fill="auto"/>
            <w:noWrap/>
            <w:vAlign w:val="center"/>
          </w:tcPr>
          <w:p w14:paraId="7351491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233.5</w:t>
            </w:r>
          </w:p>
        </w:tc>
        <w:tc>
          <w:tcPr>
            <w:tcW w:w="254" w:type="pct"/>
            <w:tcBorders>
              <w:tl2br w:val="nil"/>
              <w:tr2bl w:val="nil"/>
            </w:tcBorders>
            <w:shd w:val="clear" w:color="auto" w:fill="auto"/>
            <w:noWrap/>
            <w:vAlign w:val="center"/>
          </w:tcPr>
          <w:p w14:paraId="6A795F1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34C1A06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5.6</w:t>
            </w:r>
          </w:p>
        </w:tc>
        <w:tc>
          <w:tcPr>
            <w:tcW w:w="417" w:type="pct"/>
            <w:tcBorders>
              <w:tl2br w:val="nil"/>
              <w:tr2bl w:val="nil"/>
            </w:tcBorders>
            <w:shd w:val="clear" w:color="auto" w:fill="auto"/>
            <w:noWrap/>
            <w:vAlign w:val="center"/>
          </w:tcPr>
          <w:p w14:paraId="3C48BDF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82.18</w:t>
            </w:r>
          </w:p>
        </w:tc>
        <w:tc>
          <w:tcPr>
            <w:tcW w:w="254" w:type="pct"/>
            <w:vMerge w:val="continue"/>
            <w:tcBorders>
              <w:tl2br w:val="nil"/>
              <w:tr2bl w:val="nil"/>
            </w:tcBorders>
            <w:shd w:val="clear" w:color="auto" w:fill="auto"/>
            <w:noWrap/>
            <w:vAlign w:val="center"/>
          </w:tcPr>
          <w:p w14:paraId="3B07B2E3">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49B54C6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68C5C8A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56.19</w:t>
            </w:r>
          </w:p>
        </w:tc>
        <w:tc>
          <w:tcPr>
            <w:tcW w:w="308" w:type="pct"/>
            <w:tcBorders>
              <w:tl2br w:val="nil"/>
              <w:tr2bl w:val="nil"/>
            </w:tcBorders>
            <w:shd w:val="clear" w:color="auto" w:fill="auto"/>
            <w:noWrap/>
            <w:vAlign w:val="center"/>
          </w:tcPr>
          <w:p w14:paraId="0E3AD0D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363283C5">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76F95C9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708385C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6912BB5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22EBC32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438CA5A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13FFDBB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416.6</w:t>
            </w:r>
          </w:p>
        </w:tc>
        <w:tc>
          <w:tcPr>
            <w:tcW w:w="296" w:type="pct"/>
            <w:tcBorders>
              <w:tl2br w:val="nil"/>
              <w:tr2bl w:val="nil"/>
            </w:tcBorders>
            <w:shd w:val="clear" w:color="auto" w:fill="auto"/>
            <w:noWrap/>
            <w:vAlign w:val="center"/>
          </w:tcPr>
          <w:p w14:paraId="0F4323A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233.5</w:t>
            </w:r>
          </w:p>
        </w:tc>
        <w:tc>
          <w:tcPr>
            <w:tcW w:w="254" w:type="pct"/>
            <w:tcBorders>
              <w:tl2br w:val="nil"/>
              <w:tr2bl w:val="nil"/>
            </w:tcBorders>
            <w:shd w:val="clear" w:color="auto" w:fill="auto"/>
            <w:noWrap/>
            <w:vAlign w:val="center"/>
          </w:tcPr>
          <w:p w14:paraId="6363F05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7FD5C97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5.3</w:t>
            </w:r>
          </w:p>
        </w:tc>
        <w:tc>
          <w:tcPr>
            <w:tcW w:w="417" w:type="pct"/>
            <w:tcBorders>
              <w:tl2br w:val="nil"/>
              <w:tr2bl w:val="nil"/>
            </w:tcBorders>
            <w:shd w:val="clear" w:color="auto" w:fill="auto"/>
            <w:noWrap/>
            <w:vAlign w:val="center"/>
          </w:tcPr>
          <w:p w14:paraId="53182F8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82.42</w:t>
            </w:r>
          </w:p>
        </w:tc>
        <w:tc>
          <w:tcPr>
            <w:tcW w:w="254" w:type="pct"/>
            <w:vMerge w:val="continue"/>
            <w:tcBorders>
              <w:tl2br w:val="nil"/>
              <w:tr2bl w:val="nil"/>
            </w:tcBorders>
            <w:shd w:val="clear" w:color="auto" w:fill="auto"/>
            <w:noWrap/>
            <w:vAlign w:val="center"/>
          </w:tcPr>
          <w:p w14:paraId="4A020D7F">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70766E9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749A051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53.42</w:t>
            </w:r>
          </w:p>
        </w:tc>
        <w:tc>
          <w:tcPr>
            <w:tcW w:w="308" w:type="pct"/>
            <w:tcBorders>
              <w:tl2br w:val="nil"/>
              <w:tr2bl w:val="nil"/>
            </w:tcBorders>
            <w:shd w:val="clear" w:color="auto" w:fill="auto"/>
            <w:noWrap/>
            <w:vAlign w:val="center"/>
          </w:tcPr>
          <w:p w14:paraId="0AA19D7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4C2A6371">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3521CCD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4F89C33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281D8A6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二次风机</w:t>
            </w:r>
          </w:p>
        </w:tc>
        <w:tc>
          <w:tcPr>
            <w:tcW w:w="387" w:type="pct"/>
            <w:vMerge w:val="restart"/>
            <w:tcBorders>
              <w:tl2br w:val="nil"/>
              <w:tr2bl w:val="nil"/>
            </w:tcBorders>
            <w:shd w:val="clear" w:color="auto" w:fill="auto"/>
            <w:noWrap/>
            <w:vAlign w:val="center"/>
          </w:tcPr>
          <w:p w14:paraId="7756C65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105</w:t>
            </w:r>
          </w:p>
        </w:tc>
        <w:tc>
          <w:tcPr>
            <w:tcW w:w="575" w:type="pct"/>
            <w:vMerge w:val="restart"/>
            <w:tcBorders>
              <w:tl2br w:val="nil"/>
              <w:tr2bl w:val="nil"/>
            </w:tcBorders>
            <w:shd w:val="clear" w:color="auto" w:fill="auto"/>
            <w:noWrap/>
            <w:vAlign w:val="center"/>
          </w:tcPr>
          <w:p w14:paraId="01B31C8C">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进风口消声器</w:t>
            </w:r>
          </w:p>
          <w:p w14:paraId="15F90AD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管道外壳阻尼</w:t>
            </w:r>
          </w:p>
        </w:tc>
        <w:tc>
          <w:tcPr>
            <w:tcW w:w="284" w:type="pct"/>
            <w:tcBorders>
              <w:tl2br w:val="nil"/>
              <w:tr2bl w:val="nil"/>
            </w:tcBorders>
            <w:shd w:val="clear" w:color="auto" w:fill="auto"/>
            <w:noWrap/>
            <w:vAlign w:val="center"/>
          </w:tcPr>
          <w:p w14:paraId="45EA9A2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415.8</w:t>
            </w:r>
          </w:p>
        </w:tc>
        <w:tc>
          <w:tcPr>
            <w:tcW w:w="296" w:type="pct"/>
            <w:tcBorders>
              <w:tl2br w:val="nil"/>
              <w:tr2bl w:val="nil"/>
            </w:tcBorders>
            <w:shd w:val="clear" w:color="auto" w:fill="auto"/>
            <w:noWrap/>
            <w:vAlign w:val="center"/>
          </w:tcPr>
          <w:p w14:paraId="6632D18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218.5</w:t>
            </w:r>
          </w:p>
        </w:tc>
        <w:tc>
          <w:tcPr>
            <w:tcW w:w="254" w:type="pct"/>
            <w:tcBorders>
              <w:tl2br w:val="nil"/>
              <w:tr2bl w:val="nil"/>
            </w:tcBorders>
            <w:shd w:val="clear" w:color="auto" w:fill="auto"/>
            <w:noWrap/>
            <w:vAlign w:val="center"/>
          </w:tcPr>
          <w:p w14:paraId="6ABAAEB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6409DB4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14.4</w:t>
            </w:r>
          </w:p>
        </w:tc>
        <w:tc>
          <w:tcPr>
            <w:tcW w:w="417" w:type="pct"/>
            <w:tcBorders>
              <w:tl2br w:val="nil"/>
              <w:tr2bl w:val="nil"/>
            </w:tcBorders>
            <w:shd w:val="clear" w:color="auto" w:fill="auto"/>
            <w:noWrap/>
            <w:vAlign w:val="center"/>
          </w:tcPr>
          <w:p w14:paraId="31DF09B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79.87</w:t>
            </w:r>
          </w:p>
        </w:tc>
        <w:tc>
          <w:tcPr>
            <w:tcW w:w="254" w:type="pct"/>
            <w:vMerge w:val="continue"/>
            <w:tcBorders>
              <w:tl2br w:val="nil"/>
              <w:tr2bl w:val="nil"/>
            </w:tcBorders>
            <w:shd w:val="clear" w:color="auto" w:fill="auto"/>
            <w:noWrap/>
            <w:vAlign w:val="center"/>
          </w:tcPr>
          <w:p w14:paraId="36E76554">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7C4F933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3B15624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53.88</w:t>
            </w:r>
          </w:p>
        </w:tc>
        <w:tc>
          <w:tcPr>
            <w:tcW w:w="308" w:type="pct"/>
            <w:tcBorders>
              <w:tl2br w:val="nil"/>
              <w:tr2bl w:val="nil"/>
            </w:tcBorders>
            <w:shd w:val="clear" w:color="auto" w:fill="auto"/>
            <w:noWrap/>
            <w:vAlign w:val="center"/>
          </w:tcPr>
          <w:p w14:paraId="0C788C6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5C3A090B">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6C283B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6AAA36C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3C642D7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3228B02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6C8DABA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14B23B9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415.8</w:t>
            </w:r>
          </w:p>
        </w:tc>
        <w:tc>
          <w:tcPr>
            <w:tcW w:w="296" w:type="pct"/>
            <w:tcBorders>
              <w:tl2br w:val="nil"/>
              <w:tr2bl w:val="nil"/>
            </w:tcBorders>
            <w:shd w:val="clear" w:color="auto" w:fill="auto"/>
            <w:noWrap/>
            <w:vAlign w:val="center"/>
          </w:tcPr>
          <w:p w14:paraId="1AE3A74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218.5</w:t>
            </w:r>
          </w:p>
        </w:tc>
        <w:tc>
          <w:tcPr>
            <w:tcW w:w="254" w:type="pct"/>
            <w:tcBorders>
              <w:tl2br w:val="nil"/>
              <w:tr2bl w:val="nil"/>
            </w:tcBorders>
            <w:shd w:val="clear" w:color="auto" w:fill="auto"/>
            <w:noWrap/>
            <w:vAlign w:val="center"/>
          </w:tcPr>
          <w:p w14:paraId="2B84D15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6245310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7.1</w:t>
            </w:r>
          </w:p>
        </w:tc>
        <w:tc>
          <w:tcPr>
            <w:tcW w:w="417" w:type="pct"/>
            <w:tcBorders>
              <w:tl2br w:val="nil"/>
              <w:tr2bl w:val="nil"/>
            </w:tcBorders>
            <w:shd w:val="clear" w:color="auto" w:fill="auto"/>
            <w:noWrap/>
            <w:vAlign w:val="center"/>
          </w:tcPr>
          <w:p w14:paraId="2C450D4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81.3</w:t>
            </w:r>
          </w:p>
        </w:tc>
        <w:tc>
          <w:tcPr>
            <w:tcW w:w="254" w:type="pct"/>
            <w:vMerge w:val="continue"/>
            <w:tcBorders>
              <w:tl2br w:val="nil"/>
              <w:tr2bl w:val="nil"/>
            </w:tcBorders>
            <w:shd w:val="clear" w:color="auto" w:fill="auto"/>
            <w:noWrap/>
            <w:vAlign w:val="center"/>
          </w:tcPr>
          <w:p w14:paraId="284320AF">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2B4C419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6868569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52.3</w:t>
            </w:r>
          </w:p>
        </w:tc>
        <w:tc>
          <w:tcPr>
            <w:tcW w:w="308" w:type="pct"/>
            <w:tcBorders>
              <w:tl2br w:val="nil"/>
              <w:tr2bl w:val="nil"/>
            </w:tcBorders>
            <w:shd w:val="clear" w:color="auto" w:fill="auto"/>
            <w:noWrap/>
            <w:vAlign w:val="center"/>
          </w:tcPr>
          <w:p w14:paraId="3D956C5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375EB026">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6116585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35428F3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2D0A1ED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47CE73C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3CE9ACC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6BCB618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415.8</w:t>
            </w:r>
          </w:p>
        </w:tc>
        <w:tc>
          <w:tcPr>
            <w:tcW w:w="296" w:type="pct"/>
            <w:tcBorders>
              <w:tl2br w:val="nil"/>
              <w:tr2bl w:val="nil"/>
            </w:tcBorders>
            <w:shd w:val="clear" w:color="auto" w:fill="auto"/>
            <w:noWrap/>
            <w:vAlign w:val="center"/>
          </w:tcPr>
          <w:p w14:paraId="7E25A45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218.5</w:t>
            </w:r>
          </w:p>
        </w:tc>
        <w:tc>
          <w:tcPr>
            <w:tcW w:w="254" w:type="pct"/>
            <w:tcBorders>
              <w:tl2br w:val="nil"/>
              <w:tr2bl w:val="nil"/>
            </w:tcBorders>
            <w:shd w:val="clear" w:color="auto" w:fill="auto"/>
            <w:noWrap/>
            <w:vAlign w:val="center"/>
          </w:tcPr>
          <w:p w14:paraId="4BD2E02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3E33BC7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4.8</w:t>
            </w:r>
          </w:p>
        </w:tc>
        <w:tc>
          <w:tcPr>
            <w:tcW w:w="417" w:type="pct"/>
            <w:tcBorders>
              <w:tl2br w:val="nil"/>
              <w:tr2bl w:val="nil"/>
            </w:tcBorders>
            <w:shd w:val="clear" w:color="auto" w:fill="auto"/>
            <w:noWrap/>
            <w:vAlign w:val="center"/>
          </w:tcPr>
          <w:p w14:paraId="0FFC55A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82.88</w:t>
            </w:r>
          </w:p>
        </w:tc>
        <w:tc>
          <w:tcPr>
            <w:tcW w:w="254" w:type="pct"/>
            <w:vMerge w:val="continue"/>
            <w:tcBorders>
              <w:tl2br w:val="nil"/>
              <w:tr2bl w:val="nil"/>
            </w:tcBorders>
            <w:shd w:val="clear" w:color="auto" w:fill="auto"/>
            <w:noWrap/>
            <w:vAlign w:val="center"/>
          </w:tcPr>
          <w:p w14:paraId="4DE447F9">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186E096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48FB654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56.89</w:t>
            </w:r>
          </w:p>
        </w:tc>
        <w:tc>
          <w:tcPr>
            <w:tcW w:w="308" w:type="pct"/>
            <w:tcBorders>
              <w:tl2br w:val="nil"/>
              <w:tr2bl w:val="nil"/>
            </w:tcBorders>
            <w:shd w:val="clear" w:color="auto" w:fill="auto"/>
            <w:noWrap/>
            <w:vAlign w:val="center"/>
          </w:tcPr>
          <w:p w14:paraId="73A04E2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69F539D9">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27623CB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743CC65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41CDE92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4D40641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16ED296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3D68FE3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415.8</w:t>
            </w:r>
          </w:p>
        </w:tc>
        <w:tc>
          <w:tcPr>
            <w:tcW w:w="296" w:type="pct"/>
            <w:tcBorders>
              <w:tl2br w:val="nil"/>
              <w:tr2bl w:val="nil"/>
            </w:tcBorders>
            <w:shd w:val="clear" w:color="auto" w:fill="auto"/>
            <w:noWrap/>
            <w:vAlign w:val="center"/>
          </w:tcPr>
          <w:p w14:paraId="59DADA6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218.5</w:t>
            </w:r>
          </w:p>
        </w:tc>
        <w:tc>
          <w:tcPr>
            <w:tcW w:w="254" w:type="pct"/>
            <w:tcBorders>
              <w:tl2br w:val="nil"/>
              <w:tr2bl w:val="nil"/>
            </w:tcBorders>
            <w:shd w:val="clear" w:color="auto" w:fill="auto"/>
            <w:noWrap/>
            <w:vAlign w:val="center"/>
          </w:tcPr>
          <w:p w14:paraId="7D1A171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15CFFB2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20.3</w:t>
            </w:r>
          </w:p>
        </w:tc>
        <w:tc>
          <w:tcPr>
            <w:tcW w:w="417" w:type="pct"/>
            <w:tcBorders>
              <w:tl2br w:val="nil"/>
              <w:tr2bl w:val="nil"/>
            </w:tcBorders>
            <w:shd w:val="clear" w:color="auto" w:fill="auto"/>
            <w:noWrap/>
            <w:vAlign w:val="center"/>
          </w:tcPr>
          <w:p w14:paraId="4BC5EBA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79.59</w:t>
            </w:r>
          </w:p>
        </w:tc>
        <w:tc>
          <w:tcPr>
            <w:tcW w:w="254" w:type="pct"/>
            <w:vMerge w:val="continue"/>
            <w:tcBorders>
              <w:tl2br w:val="nil"/>
              <w:tr2bl w:val="nil"/>
            </w:tcBorders>
            <w:shd w:val="clear" w:color="auto" w:fill="auto"/>
            <w:noWrap/>
            <w:vAlign w:val="center"/>
          </w:tcPr>
          <w:p w14:paraId="7E397289">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1C77B8C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444E22F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50.59</w:t>
            </w:r>
          </w:p>
        </w:tc>
        <w:tc>
          <w:tcPr>
            <w:tcW w:w="308" w:type="pct"/>
            <w:tcBorders>
              <w:tl2br w:val="nil"/>
              <w:tr2bl w:val="nil"/>
            </w:tcBorders>
            <w:shd w:val="clear" w:color="auto" w:fill="auto"/>
            <w:noWrap/>
            <w:vAlign w:val="center"/>
          </w:tcPr>
          <w:p w14:paraId="2B3DEF2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3EB9BC41">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7186B53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60BD959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197B7C6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空气预热器</w:t>
            </w:r>
          </w:p>
        </w:tc>
        <w:tc>
          <w:tcPr>
            <w:tcW w:w="387" w:type="pct"/>
            <w:vMerge w:val="restart"/>
            <w:tcBorders>
              <w:tl2br w:val="nil"/>
              <w:tr2bl w:val="nil"/>
            </w:tcBorders>
            <w:shd w:val="clear" w:color="auto" w:fill="auto"/>
            <w:noWrap/>
            <w:vAlign w:val="center"/>
          </w:tcPr>
          <w:p w14:paraId="7CBF793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85</w:t>
            </w:r>
          </w:p>
        </w:tc>
        <w:tc>
          <w:tcPr>
            <w:tcW w:w="575" w:type="pct"/>
            <w:vMerge w:val="restart"/>
            <w:tcBorders>
              <w:tl2br w:val="nil"/>
              <w:tr2bl w:val="nil"/>
            </w:tcBorders>
            <w:shd w:val="clear" w:color="auto" w:fill="auto"/>
            <w:noWrap/>
            <w:vAlign w:val="center"/>
          </w:tcPr>
          <w:p w14:paraId="0AEC417C">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基础减振</w:t>
            </w:r>
          </w:p>
          <w:p w14:paraId="59364D6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厂房隔声</w:t>
            </w:r>
          </w:p>
        </w:tc>
        <w:tc>
          <w:tcPr>
            <w:tcW w:w="284" w:type="pct"/>
            <w:tcBorders>
              <w:tl2br w:val="nil"/>
              <w:tr2bl w:val="nil"/>
            </w:tcBorders>
            <w:shd w:val="clear" w:color="auto" w:fill="auto"/>
            <w:noWrap/>
            <w:vAlign w:val="center"/>
          </w:tcPr>
          <w:p w14:paraId="3935F26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421.8</w:t>
            </w:r>
          </w:p>
        </w:tc>
        <w:tc>
          <w:tcPr>
            <w:tcW w:w="296" w:type="pct"/>
            <w:tcBorders>
              <w:tl2br w:val="nil"/>
              <w:tr2bl w:val="nil"/>
            </w:tcBorders>
            <w:shd w:val="clear" w:color="auto" w:fill="auto"/>
            <w:noWrap/>
            <w:vAlign w:val="center"/>
          </w:tcPr>
          <w:p w14:paraId="4C55C0E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235.5</w:t>
            </w:r>
          </w:p>
        </w:tc>
        <w:tc>
          <w:tcPr>
            <w:tcW w:w="254" w:type="pct"/>
            <w:tcBorders>
              <w:tl2br w:val="nil"/>
              <w:tr2bl w:val="nil"/>
            </w:tcBorders>
            <w:shd w:val="clear" w:color="auto" w:fill="auto"/>
            <w:noWrap/>
            <w:vAlign w:val="center"/>
          </w:tcPr>
          <w:p w14:paraId="18B87F7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2A85CCE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8.4</w:t>
            </w:r>
          </w:p>
        </w:tc>
        <w:tc>
          <w:tcPr>
            <w:tcW w:w="417" w:type="pct"/>
            <w:tcBorders>
              <w:tl2br w:val="nil"/>
              <w:tr2bl w:val="nil"/>
            </w:tcBorders>
            <w:shd w:val="clear" w:color="auto" w:fill="auto"/>
            <w:noWrap/>
            <w:vAlign w:val="center"/>
          </w:tcPr>
          <w:p w14:paraId="638FBB9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60.81</w:t>
            </w:r>
          </w:p>
        </w:tc>
        <w:tc>
          <w:tcPr>
            <w:tcW w:w="254" w:type="pct"/>
            <w:vMerge w:val="continue"/>
            <w:tcBorders>
              <w:tl2br w:val="nil"/>
              <w:tr2bl w:val="nil"/>
            </w:tcBorders>
            <w:shd w:val="clear" w:color="auto" w:fill="auto"/>
            <w:noWrap/>
            <w:vAlign w:val="center"/>
          </w:tcPr>
          <w:p w14:paraId="395B2400">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2520C78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4DEBE59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34.82</w:t>
            </w:r>
          </w:p>
        </w:tc>
        <w:tc>
          <w:tcPr>
            <w:tcW w:w="308" w:type="pct"/>
            <w:tcBorders>
              <w:tl2br w:val="nil"/>
              <w:tr2bl w:val="nil"/>
            </w:tcBorders>
            <w:shd w:val="clear" w:color="auto" w:fill="auto"/>
            <w:noWrap/>
            <w:vAlign w:val="center"/>
          </w:tcPr>
          <w:p w14:paraId="3DB57D3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00432304">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4798391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59C371C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02E6234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1B5F57F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2D971D4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605DEFA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421.8</w:t>
            </w:r>
          </w:p>
        </w:tc>
        <w:tc>
          <w:tcPr>
            <w:tcW w:w="296" w:type="pct"/>
            <w:tcBorders>
              <w:tl2br w:val="nil"/>
              <w:tr2bl w:val="nil"/>
            </w:tcBorders>
            <w:shd w:val="clear" w:color="auto" w:fill="auto"/>
            <w:noWrap/>
            <w:vAlign w:val="center"/>
          </w:tcPr>
          <w:p w14:paraId="7A0324B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235.5</w:t>
            </w:r>
          </w:p>
        </w:tc>
        <w:tc>
          <w:tcPr>
            <w:tcW w:w="254" w:type="pct"/>
            <w:tcBorders>
              <w:tl2br w:val="nil"/>
              <w:tr2bl w:val="nil"/>
            </w:tcBorders>
            <w:shd w:val="clear" w:color="auto" w:fill="auto"/>
            <w:noWrap/>
            <w:vAlign w:val="center"/>
          </w:tcPr>
          <w:p w14:paraId="73D02DD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0490DF9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24.1</w:t>
            </w:r>
          </w:p>
        </w:tc>
        <w:tc>
          <w:tcPr>
            <w:tcW w:w="417" w:type="pct"/>
            <w:tcBorders>
              <w:tl2br w:val="nil"/>
              <w:tr2bl w:val="nil"/>
            </w:tcBorders>
            <w:shd w:val="clear" w:color="auto" w:fill="auto"/>
            <w:noWrap/>
            <w:vAlign w:val="center"/>
          </w:tcPr>
          <w:p w14:paraId="0BCC8A8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59.51</w:t>
            </w:r>
          </w:p>
        </w:tc>
        <w:tc>
          <w:tcPr>
            <w:tcW w:w="254" w:type="pct"/>
            <w:vMerge w:val="continue"/>
            <w:tcBorders>
              <w:tl2br w:val="nil"/>
              <w:tr2bl w:val="nil"/>
            </w:tcBorders>
            <w:shd w:val="clear" w:color="auto" w:fill="auto"/>
            <w:noWrap/>
            <w:vAlign w:val="center"/>
          </w:tcPr>
          <w:p w14:paraId="18E7E9DF">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2414C23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06C2267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30.51</w:t>
            </w:r>
          </w:p>
        </w:tc>
        <w:tc>
          <w:tcPr>
            <w:tcW w:w="308" w:type="pct"/>
            <w:tcBorders>
              <w:tl2br w:val="nil"/>
              <w:tr2bl w:val="nil"/>
            </w:tcBorders>
            <w:shd w:val="clear" w:color="auto" w:fill="auto"/>
            <w:noWrap/>
            <w:vAlign w:val="center"/>
          </w:tcPr>
          <w:p w14:paraId="00F32EE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3CBC89BF">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191E3A2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15155A0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0B3A2D0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5EBB687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54B88F0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3E40869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421.8</w:t>
            </w:r>
          </w:p>
        </w:tc>
        <w:tc>
          <w:tcPr>
            <w:tcW w:w="296" w:type="pct"/>
            <w:tcBorders>
              <w:tl2br w:val="nil"/>
              <w:tr2bl w:val="nil"/>
            </w:tcBorders>
            <w:shd w:val="clear" w:color="auto" w:fill="auto"/>
            <w:noWrap/>
            <w:vAlign w:val="center"/>
          </w:tcPr>
          <w:p w14:paraId="546AE99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235.5</w:t>
            </w:r>
          </w:p>
        </w:tc>
        <w:tc>
          <w:tcPr>
            <w:tcW w:w="254" w:type="pct"/>
            <w:tcBorders>
              <w:tl2br w:val="nil"/>
              <w:tr2bl w:val="nil"/>
            </w:tcBorders>
            <w:shd w:val="clear" w:color="auto" w:fill="auto"/>
            <w:noWrap/>
            <w:vAlign w:val="center"/>
          </w:tcPr>
          <w:p w14:paraId="17B27B7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50C043D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10.8</w:t>
            </w:r>
          </w:p>
        </w:tc>
        <w:tc>
          <w:tcPr>
            <w:tcW w:w="417" w:type="pct"/>
            <w:tcBorders>
              <w:tl2br w:val="nil"/>
              <w:tr2bl w:val="nil"/>
            </w:tcBorders>
            <w:shd w:val="clear" w:color="auto" w:fill="auto"/>
            <w:noWrap/>
            <w:vAlign w:val="center"/>
          </w:tcPr>
          <w:p w14:paraId="76FB582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60.27</w:t>
            </w:r>
          </w:p>
        </w:tc>
        <w:tc>
          <w:tcPr>
            <w:tcW w:w="254" w:type="pct"/>
            <w:vMerge w:val="continue"/>
            <w:tcBorders>
              <w:tl2br w:val="nil"/>
              <w:tr2bl w:val="nil"/>
            </w:tcBorders>
            <w:shd w:val="clear" w:color="auto" w:fill="auto"/>
            <w:noWrap/>
            <w:vAlign w:val="center"/>
          </w:tcPr>
          <w:p w14:paraId="219D2011">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393CCE0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78BFEE1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34.28</w:t>
            </w:r>
          </w:p>
        </w:tc>
        <w:tc>
          <w:tcPr>
            <w:tcW w:w="308" w:type="pct"/>
            <w:tcBorders>
              <w:tl2br w:val="nil"/>
              <w:tr2bl w:val="nil"/>
            </w:tcBorders>
            <w:shd w:val="clear" w:color="auto" w:fill="auto"/>
            <w:noWrap/>
            <w:vAlign w:val="center"/>
          </w:tcPr>
          <w:p w14:paraId="224AF29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6143D2F5">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5192E16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45EB68E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673C51A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3CA69C4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4CAF635A">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5727E3E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421.8</w:t>
            </w:r>
          </w:p>
        </w:tc>
        <w:tc>
          <w:tcPr>
            <w:tcW w:w="296" w:type="pct"/>
            <w:tcBorders>
              <w:tl2br w:val="nil"/>
              <w:tr2bl w:val="nil"/>
            </w:tcBorders>
            <w:shd w:val="clear" w:color="auto" w:fill="auto"/>
            <w:noWrap/>
            <w:vAlign w:val="center"/>
          </w:tcPr>
          <w:p w14:paraId="43250BA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235.5</w:t>
            </w:r>
          </w:p>
        </w:tc>
        <w:tc>
          <w:tcPr>
            <w:tcW w:w="254" w:type="pct"/>
            <w:tcBorders>
              <w:tl2br w:val="nil"/>
              <w:tr2bl w:val="nil"/>
            </w:tcBorders>
            <w:shd w:val="clear" w:color="auto" w:fill="auto"/>
            <w:noWrap/>
            <w:vAlign w:val="center"/>
          </w:tcPr>
          <w:p w14:paraId="6553FFB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677B732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3.3</w:t>
            </w:r>
          </w:p>
        </w:tc>
        <w:tc>
          <w:tcPr>
            <w:tcW w:w="417" w:type="pct"/>
            <w:tcBorders>
              <w:tl2br w:val="nil"/>
              <w:tr2bl w:val="nil"/>
            </w:tcBorders>
            <w:shd w:val="clear" w:color="auto" w:fill="auto"/>
            <w:noWrap/>
            <w:vAlign w:val="center"/>
          </w:tcPr>
          <w:p w14:paraId="375316E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65</w:t>
            </w:r>
          </w:p>
        </w:tc>
        <w:tc>
          <w:tcPr>
            <w:tcW w:w="254" w:type="pct"/>
            <w:vMerge w:val="continue"/>
            <w:tcBorders>
              <w:tl2br w:val="nil"/>
              <w:tr2bl w:val="nil"/>
            </w:tcBorders>
            <w:shd w:val="clear" w:color="auto" w:fill="auto"/>
            <w:noWrap/>
            <w:vAlign w:val="center"/>
          </w:tcPr>
          <w:p w14:paraId="0E79CD05">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506632A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0A0723D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36</w:t>
            </w:r>
          </w:p>
        </w:tc>
        <w:tc>
          <w:tcPr>
            <w:tcW w:w="308" w:type="pct"/>
            <w:tcBorders>
              <w:tl2br w:val="nil"/>
              <w:tr2bl w:val="nil"/>
            </w:tcBorders>
            <w:shd w:val="clear" w:color="auto" w:fill="auto"/>
            <w:noWrap/>
            <w:vAlign w:val="center"/>
          </w:tcPr>
          <w:p w14:paraId="3225B10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63C65BE">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08E1B8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5993B28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730A7F6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引风机</w:t>
            </w:r>
          </w:p>
        </w:tc>
        <w:tc>
          <w:tcPr>
            <w:tcW w:w="387" w:type="pct"/>
            <w:vMerge w:val="restart"/>
            <w:tcBorders>
              <w:tl2br w:val="nil"/>
              <w:tr2bl w:val="nil"/>
            </w:tcBorders>
            <w:shd w:val="clear" w:color="auto" w:fill="auto"/>
            <w:noWrap/>
            <w:vAlign w:val="center"/>
          </w:tcPr>
          <w:p w14:paraId="399A3D3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100</w:t>
            </w:r>
          </w:p>
        </w:tc>
        <w:tc>
          <w:tcPr>
            <w:tcW w:w="575" w:type="pct"/>
            <w:vMerge w:val="restart"/>
            <w:tcBorders>
              <w:tl2br w:val="nil"/>
              <w:tr2bl w:val="nil"/>
            </w:tcBorders>
            <w:shd w:val="clear" w:color="auto" w:fill="auto"/>
            <w:noWrap/>
            <w:vAlign w:val="center"/>
          </w:tcPr>
          <w:p w14:paraId="48C0F9BA">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进风口消声器</w:t>
            </w:r>
          </w:p>
          <w:p w14:paraId="7A815A4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管道外壳阻尼</w:t>
            </w:r>
          </w:p>
        </w:tc>
        <w:tc>
          <w:tcPr>
            <w:tcW w:w="284" w:type="pct"/>
            <w:tcBorders>
              <w:tl2br w:val="nil"/>
              <w:tr2bl w:val="nil"/>
            </w:tcBorders>
            <w:shd w:val="clear" w:color="auto" w:fill="auto"/>
            <w:noWrap/>
            <w:vAlign w:val="center"/>
          </w:tcPr>
          <w:p w14:paraId="1E424EE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426.8</w:t>
            </w:r>
          </w:p>
        </w:tc>
        <w:tc>
          <w:tcPr>
            <w:tcW w:w="296" w:type="pct"/>
            <w:tcBorders>
              <w:tl2br w:val="nil"/>
              <w:tr2bl w:val="nil"/>
            </w:tcBorders>
            <w:shd w:val="clear" w:color="auto" w:fill="auto"/>
            <w:noWrap/>
            <w:vAlign w:val="center"/>
          </w:tcPr>
          <w:p w14:paraId="6E8CC9A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232.4</w:t>
            </w:r>
          </w:p>
        </w:tc>
        <w:tc>
          <w:tcPr>
            <w:tcW w:w="254" w:type="pct"/>
            <w:tcBorders>
              <w:tl2br w:val="nil"/>
              <w:tr2bl w:val="nil"/>
            </w:tcBorders>
            <w:shd w:val="clear" w:color="auto" w:fill="auto"/>
            <w:noWrap/>
            <w:vAlign w:val="center"/>
          </w:tcPr>
          <w:p w14:paraId="5EACCEF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1E361FE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3.4</w:t>
            </w:r>
          </w:p>
        </w:tc>
        <w:tc>
          <w:tcPr>
            <w:tcW w:w="417" w:type="pct"/>
            <w:tcBorders>
              <w:tl2br w:val="nil"/>
              <w:tr2bl w:val="nil"/>
            </w:tcBorders>
            <w:shd w:val="clear" w:color="auto" w:fill="auto"/>
            <w:noWrap/>
            <w:vAlign w:val="center"/>
          </w:tcPr>
          <w:p w14:paraId="43BD1AB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79.81</w:t>
            </w:r>
          </w:p>
        </w:tc>
        <w:tc>
          <w:tcPr>
            <w:tcW w:w="254" w:type="pct"/>
            <w:vMerge w:val="continue"/>
            <w:tcBorders>
              <w:tl2br w:val="nil"/>
              <w:tr2bl w:val="nil"/>
            </w:tcBorders>
            <w:shd w:val="clear" w:color="auto" w:fill="auto"/>
            <w:noWrap/>
            <w:vAlign w:val="center"/>
          </w:tcPr>
          <w:p w14:paraId="10BF8137">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5152E49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3686924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53.82</w:t>
            </w:r>
          </w:p>
        </w:tc>
        <w:tc>
          <w:tcPr>
            <w:tcW w:w="308" w:type="pct"/>
            <w:tcBorders>
              <w:tl2br w:val="nil"/>
              <w:tr2bl w:val="nil"/>
            </w:tcBorders>
            <w:shd w:val="clear" w:color="auto" w:fill="auto"/>
            <w:noWrap/>
            <w:vAlign w:val="center"/>
          </w:tcPr>
          <w:p w14:paraId="71393AC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7D863DD4">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00EE0E6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74B41B49">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2650D1E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50BC92F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4F89C66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3940A58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426.8</w:t>
            </w:r>
          </w:p>
        </w:tc>
        <w:tc>
          <w:tcPr>
            <w:tcW w:w="296" w:type="pct"/>
            <w:tcBorders>
              <w:tl2br w:val="nil"/>
              <w:tr2bl w:val="nil"/>
            </w:tcBorders>
            <w:shd w:val="clear" w:color="auto" w:fill="auto"/>
            <w:noWrap/>
            <w:vAlign w:val="center"/>
          </w:tcPr>
          <w:p w14:paraId="17A5910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232.4</w:t>
            </w:r>
          </w:p>
        </w:tc>
        <w:tc>
          <w:tcPr>
            <w:tcW w:w="254" w:type="pct"/>
            <w:tcBorders>
              <w:tl2br w:val="nil"/>
              <w:tr2bl w:val="nil"/>
            </w:tcBorders>
            <w:shd w:val="clear" w:color="auto" w:fill="auto"/>
            <w:noWrap/>
            <w:vAlign w:val="center"/>
          </w:tcPr>
          <w:p w14:paraId="1247631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13BE98D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21</w:t>
            </w:r>
          </w:p>
        </w:tc>
        <w:tc>
          <w:tcPr>
            <w:tcW w:w="417" w:type="pct"/>
            <w:tcBorders>
              <w:tl2br w:val="nil"/>
              <w:tr2bl w:val="nil"/>
            </w:tcBorders>
            <w:shd w:val="clear" w:color="auto" w:fill="auto"/>
            <w:noWrap/>
            <w:vAlign w:val="center"/>
          </w:tcPr>
          <w:p w14:paraId="2245CCD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74.57</w:t>
            </w:r>
          </w:p>
        </w:tc>
        <w:tc>
          <w:tcPr>
            <w:tcW w:w="254" w:type="pct"/>
            <w:vMerge w:val="continue"/>
            <w:tcBorders>
              <w:tl2br w:val="nil"/>
              <w:tr2bl w:val="nil"/>
            </w:tcBorders>
            <w:shd w:val="clear" w:color="auto" w:fill="auto"/>
            <w:noWrap/>
            <w:vAlign w:val="center"/>
          </w:tcPr>
          <w:p w14:paraId="449B2C1E">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5E1927D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18C06F7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45.57</w:t>
            </w:r>
          </w:p>
        </w:tc>
        <w:tc>
          <w:tcPr>
            <w:tcW w:w="308" w:type="pct"/>
            <w:tcBorders>
              <w:tl2br w:val="nil"/>
              <w:tr2bl w:val="nil"/>
            </w:tcBorders>
            <w:shd w:val="clear" w:color="auto" w:fill="auto"/>
            <w:noWrap/>
            <w:vAlign w:val="center"/>
          </w:tcPr>
          <w:p w14:paraId="0D9E963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67DE0619">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2C25389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2EFE4B0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69C8C94D">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557CB63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1236E38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68A2752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426.8</w:t>
            </w:r>
          </w:p>
        </w:tc>
        <w:tc>
          <w:tcPr>
            <w:tcW w:w="296" w:type="pct"/>
            <w:tcBorders>
              <w:tl2br w:val="nil"/>
              <w:tr2bl w:val="nil"/>
            </w:tcBorders>
            <w:shd w:val="clear" w:color="auto" w:fill="auto"/>
            <w:noWrap/>
            <w:vAlign w:val="center"/>
          </w:tcPr>
          <w:p w14:paraId="6BC540F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232.4</w:t>
            </w:r>
          </w:p>
        </w:tc>
        <w:tc>
          <w:tcPr>
            <w:tcW w:w="254" w:type="pct"/>
            <w:tcBorders>
              <w:tl2br w:val="nil"/>
              <w:tr2bl w:val="nil"/>
            </w:tcBorders>
            <w:shd w:val="clear" w:color="auto" w:fill="auto"/>
            <w:noWrap/>
            <w:vAlign w:val="center"/>
          </w:tcPr>
          <w:p w14:paraId="3BD899E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3E732B1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15.8</w:t>
            </w:r>
          </w:p>
        </w:tc>
        <w:tc>
          <w:tcPr>
            <w:tcW w:w="417" w:type="pct"/>
            <w:tcBorders>
              <w:tl2br w:val="nil"/>
              <w:tr2bl w:val="nil"/>
            </w:tcBorders>
            <w:shd w:val="clear" w:color="auto" w:fill="auto"/>
            <w:noWrap/>
            <w:vAlign w:val="center"/>
          </w:tcPr>
          <w:p w14:paraId="0515A58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74.78</w:t>
            </w:r>
          </w:p>
        </w:tc>
        <w:tc>
          <w:tcPr>
            <w:tcW w:w="254" w:type="pct"/>
            <w:vMerge w:val="continue"/>
            <w:tcBorders>
              <w:tl2br w:val="nil"/>
              <w:tr2bl w:val="nil"/>
            </w:tcBorders>
            <w:shd w:val="clear" w:color="auto" w:fill="auto"/>
            <w:noWrap/>
            <w:vAlign w:val="center"/>
          </w:tcPr>
          <w:p w14:paraId="53BFAC1C">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1B31F7E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4E8F16D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48.79</w:t>
            </w:r>
          </w:p>
        </w:tc>
        <w:tc>
          <w:tcPr>
            <w:tcW w:w="308" w:type="pct"/>
            <w:tcBorders>
              <w:tl2br w:val="nil"/>
              <w:tr2bl w:val="nil"/>
            </w:tcBorders>
            <w:shd w:val="clear" w:color="auto" w:fill="auto"/>
            <w:noWrap/>
            <w:vAlign w:val="center"/>
          </w:tcPr>
          <w:p w14:paraId="47BD4D6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15D1FA8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16C3BF3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6550A34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52B7F59D">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4310A87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0BADB85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073FBC8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426.8</w:t>
            </w:r>
          </w:p>
        </w:tc>
        <w:tc>
          <w:tcPr>
            <w:tcW w:w="296" w:type="pct"/>
            <w:tcBorders>
              <w:tl2br w:val="nil"/>
              <w:tr2bl w:val="nil"/>
            </w:tcBorders>
            <w:shd w:val="clear" w:color="auto" w:fill="auto"/>
            <w:noWrap/>
            <w:vAlign w:val="center"/>
          </w:tcPr>
          <w:p w14:paraId="56DE465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232.4</w:t>
            </w:r>
          </w:p>
        </w:tc>
        <w:tc>
          <w:tcPr>
            <w:tcW w:w="254" w:type="pct"/>
            <w:tcBorders>
              <w:tl2br w:val="nil"/>
              <w:tr2bl w:val="nil"/>
            </w:tcBorders>
            <w:shd w:val="clear" w:color="auto" w:fill="auto"/>
            <w:noWrap/>
            <w:vAlign w:val="center"/>
          </w:tcPr>
          <w:p w14:paraId="0F5817E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w:t>
            </w:r>
          </w:p>
        </w:tc>
        <w:tc>
          <w:tcPr>
            <w:tcW w:w="321" w:type="pct"/>
            <w:tcBorders>
              <w:tl2br w:val="nil"/>
              <w:tr2bl w:val="nil"/>
            </w:tcBorders>
            <w:shd w:val="clear" w:color="auto" w:fill="auto"/>
            <w:noWrap/>
            <w:vAlign w:val="center"/>
          </w:tcPr>
          <w:p w14:paraId="40C3AF5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6.4</w:t>
            </w:r>
          </w:p>
        </w:tc>
        <w:tc>
          <w:tcPr>
            <w:tcW w:w="417" w:type="pct"/>
            <w:tcBorders>
              <w:tl2br w:val="nil"/>
              <w:tr2bl w:val="nil"/>
            </w:tcBorders>
            <w:shd w:val="clear" w:color="auto" w:fill="auto"/>
            <w:noWrap/>
            <w:vAlign w:val="center"/>
          </w:tcPr>
          <w:p w14:paraId="2DDFE93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76.65</w:t>
            </w:r>
          </w:p>
        </w:tc>
        <w:tc>
          <w:tcPr>
            <w:tcW w:w="254" w:type="pct"/>
            <w:vMerge w:val="continue"/>
            <w:tcBorders>
              <w:tl2br w:val="nil"/>
              <w:tr2bl w:val="nil"/>
            </w:tcBorders>
            <w:shd w:val="clear" w:color="auto" w:fill="auto"/>
            <w:noWrap/>
            <w:vAlign w:val="center"/>
          </w:tcPr>
          <w:p w14:paraId="12639243">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3AA82C3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730665C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47.65</w:t>
            </w:r>
          </w:p>
        </w:tc>
        <w:tc>
          <w:tcPr>
            <w:tcW w:w="308" w:type="pct"/>
            <w:tcBorders>
              <w:tl2br w:val="nil"/>
              <w:tr2bl w:val="nil"/>
            </w:tcBorders>
            <w:shd w:val="clear" w:color="auto" w:fill="auto"/>
            <w:noWrap/>
            <w:vAlign w:val="center"/>
          </w:tcPr>
          <w:p w14:paraId="5E57E97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200379B">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73EE900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661F1F1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654413B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碎煤机</w:t>
            </w:r>
          </w:p>
        </w:tc>
        <w:tc>
          <w:tcPr>
            <w:tcW w:w="387" w:type="pct"/>
            <w:vMerge w:val="restart"/>
            <w:tcBorders>
              <w:tl2br w:val="nil"/>
              <w:tr2bl w:val="nil"/>
            </w:tcBorders>
            <w:shd w:val="clear" w:color="auto" w:fill="auto"/>
            <w:noWrap/>
            <w:vAlign w:val="center"/>
          </w:tcPr>
          <w:p w14:paraId="37DB2F7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95</w:t>
            </w:r>
          </w:p>
        </w:tc>
        <w:tc>
          <w:tcPr>
            <w:tcW w:w="575" w:type="pct"/>
            <w:vMerge w:val="restart"/>
            <w:tcBorders>
              <w:tl2br w:val="nil"/>
              <w:tr2bl w:val="nil"/>
            </w:tcBorders>
            <w:shd w:val="clear" w:color="auto" w:fill="auto"/>
            <w:noWrap/>
            <w:vAlign w:val="center"/>
          </w:tcPr>
          <w:p w14:paraId="4BB211C5">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隔声罩壳</w:t>
            </w:r>
          </w:p>
          <w:p w14:paraId="31D92EA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厂房隔声</w:t>
            </w:r>
          </w:p>
        </w:tc>
        <w:tc>
          <w:tcPr>
            <w:tcW w:w="284" w:type="pct"/>
            <w:tcBorders>
              <w:tl2br w:val="nil"/>
              <w:tr2bl w:val="nil"/>
            </w:tcBorders>
            <w:shd w:val="clear" w:color="auto" w:fill="auto"/>
            <w:noWrap/>
            <w:vAlign w:val="center"/>
          </w:tcPr>
          <w:p w14:paraId="1463551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413.7</w:t>
            </w:r>
          </w:p>
        </w:tc>
        <w:tc>
          <w:tcPr>
            <w:tcW w:w="296" w:type="pct"/>
            <w:tcBorders>
              <w:tl2br w:val="nil"/>
              <w:tr2bl w:val="nil"/>
            </w:tcBorders>
            <w:shd w:val="clear" w:color="auto" w:fill="auto"/>
            <w:noWrap/>
            <w:vAlign w:val="center"/>
          </w:tcPr>
          <w:p w14:paraId="28B887E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234.6</w:t>
            </w:r>
          </w:p>
        </w:tc>
        <w:tc>
          <w:tcPr>
            <w:tcW w:w="254" w:type="pct"/>
            <w:tcBorders>
              <w:tl2br w:val="nil"/>
              <w:tr2bl w:val="nil"/>
            </w:tcBorders>
            <w:shd w:val="clear" w:color="auto" w:fill="auto"/>
            <w:noWrap/>
            <w:vAlign w:val="center"/>
          </w:tcPr>
          <w:p w14:paraId="6566D97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6CB4ECD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16.5</w:t>
            </w:r>
          </w:p>
        </w:tc>
        <w:tc>
          <w:tcPr>
            <w:tcW w:w="417" w:type="pct"/>
            <w:tcBorders>
              <w:tl2br w:val="nil"/>
              <w:tr2bl w:val="nil"/>
            </w:tcBorders>
            <w:shd w:val="clear" w:color="auto" w:fill="auto"/>
            <w:noWrap/>
            <w:vAlign w:val="center"/>
          </w:tcPr>
          <w:p w14:paraId="705C6CA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69.74</w:t>
            </w:r>
          </w:p>
        </w:tc>
        <w:tc>
          <w:tcPr>
            <w:tcW w:w="254" w:type="pct"/>
            <w:vMerge w:val="continue"/>
            <w:tcBorders>
              <w:tl2br w:val="nil"/>
              <w:tr2bl w:val="nil"/>
            </w:tcBorders>
            <w:shd w:val="clear" w:color="auto" w:fill="auto"/>
            <w:noWrap/>
            <w:vAlign w:val="center"/>
          </w:tcPr>
          <w:p w14:paraId="09144828">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0BD746E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05A9234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43.75</w:t>
            </w:r>
          </w:p>
        </w:tc>
        <w:tc>
          <w:tcPr>
            <w:tcW w:w="308" w:type="pct"/>
            <w:tcBorders>
              <w:tl2br w:val="nil"/>
              <w:tr2bl w:val="nil"/>
            </w:tcBorders>
            <w:shd w:val="clear" w:color="auto" w:fill="auto"/>
            <w:noWrap/>
            <w:vAlign w:val="center"/>
          </w:tcPr>
          <w:p w14:paraId="38E0BF2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53BCD3EC">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095A4EC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08DB802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0BE7D7D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42F17E3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7EA9EBA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22D05AB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413.7</w:t>
            </w:r>
          </w:p>
        </w:tc>
        <w:tc>
          <w:tcPr>
            <w:tcW w:w="296" w:type="pct"/>
            <w:tcBorders>
              <w:tl2br w:val="nil"/>
              <w:tr2bl w:val="nil"/>
            </w:tcBorders>
            <w:shd w:val="clear" w:color="auto" w:fill="auto"/>
            <w:noWrap/>
            <w:vAlign w:val="center"/>
          </w:tcPr>
          <w:p w14:paraId="3C84C83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234.6</w:t>
            </w:r>
          </w:p>
        </w:tc>
        <w:tc>
          <w:tcPr>
            <w:tcW w:w="254" w:type="pct"/>
            <w:tcBorders>
              <w:tl2br w:val="nil"/>
              <w:tr2bl w:val="nil"/>
            </w:tcBorders>
            <w:shd w:val="clear" w:color="auto" w:fill="auto"/>
            <w:noWrap/>
            <w:vAlign w:val="center"/>
          </w:tcPr>
          <w:p w14:paraId="626DE35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323314F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23.2</w:t>
            </w:r>
          </w:p>
        </w:tc>
        <w:tc>
          <w:tcPr>
            <w:tcW w:w="417" w:type="pct"/>
            <w:tcBorders>
              <w:tl2br w:val="nil"/>
              <w:tr2bl w:val="nil"/>
            </w:tcBorders>
            <w:shd w:val="clear" w:color="auto" w:fill="auto"/>
            <w:noWrap/>
            <w:vAlign w:val="center"/>
          </w:tcPr>
          <w:p w14:paraId="26DC0A7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69.52</w:t>
            </w:r>
          </w:p>
        </w:tc>
        <w:tc>
          <w:tcPr>
            <w:tcW w:w="254" w:type="pct"/>
            <w:vMerge w:val="continue"/>
            <w:tcBorders>
              <w:tl2br w:val="nil"/>
              <w:tr2bl w:val="nil"/>
            </w:tcBorders>
            <w:shd w:val="clear" w:color="auto" w:fill="auto"/>
            <w:noWrap/>
            <w:vAlign w:val="center"/>
          </w:tcPr>
          <w:p w14:paraId="77AD2A2E">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3FC5463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26DD945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40.52</w:t>
            </w:r>
          </w:p>
        </w:tc>
        <w:tc>
          <w:tcPr>
            <w:tcW w:w="308" w:type="pct"/>
            <w:tcBorders>
              <w:tl2br w:val="nil"/>
              <w:tr2bl w:val="nil"/>
            </w:tcBorders>
            <w:shd w:val="clear" w:color="auto" w:fill="auto"/>
            <w:noWrap/>
            <w:vAlign w:val="center"/>
          </w:tcPr>
          <w:p w14:paraId="773A6E9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1C9A9B39">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051BB82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18E79DE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0F2594B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3E7C73D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2C3B101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48DD406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413.7</w:t>
            </w:r>
          </w:p>
        </w:tc>
        <w:tc>
          <w:tcPr>
            <w:tcW w:w="296" w:type="pct"/>
            <w:tcBorders>
              <w:tl2br w:val="nil"/>
              <w:tr2bl w:val="nil"/>
            </w:tcBorders>
            <w:shd w:val="clear" w:color="auto" w:fill="auto"/>
            <w:noWrap/>
            <w:vAlign w:val="center"/>
          </w:tcPr>
          <w:p w14:paraId="0BB62E9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234.6</w:t>
            </w:r>
          </w:p>
        </w:tc>
        <w:tc>
          <w:tcPr>
            <w:tcW w:w="254" w:type="pct"/>
            <w:tcBorders>
              <w:tl2br w:val="nil"/>
              <w:tr2bl w:val="nil"/>
            </w:tcBorders>
            <w:shd w:val="clear" w:color="auto" w:fill="auto"/>
            <w:noWrap/>
            <w:vAlign w:val="center"/>
          </w:tcPr>
          <w:p w14:paraId="058C718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35FC929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2.7</w:t>
            </w:r>
          </w:p>
        </w:tc>
        <w:tc>
          <w:tcPr>
            <w:tcW w:w="417" w:type="pct"/>
            <w:tcBorders>
              <w:tl2br w:val="nil"/>
              <w:tr2bl w:val="nil"/>
            </w:tcBorders>
            <w:shd w:val="clear" w:color="auto" w:fill="auto"/>
            <w:noWrap/>
            <w:vAlign w:val="center"/>
          </w:tcPr>
          <w:p w14:paraId="2F1F872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76.34</w:t>
            </w:r>
          </w:p>
        </w:tc>
        <w:tc>
          <w:tcPr>
            <w:tcW w:w="254" w:type="pct"/>
            <w:vMerge w:val="continue"/>
            <w:tcBorders>
              <w:tl2br w:val="nil"/>
              <w:tr2bl w:val="nil"/>
            </w:tcBorders>
            <w:shd w:val="clear" w:color="auto" w:fill="auto"/>
            <w:noWrap/>
            <w:vAlign w:val="center"/>
          </w:tcPr>
          <w:p w14:paraId="74B528CF">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38FEED4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2400AAF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50.35</w:t>
            </w:r>
          </w:p>
        </w:tc>
        <w:tc>
          <w:tcPr>
            <w:tcW w:w="308" w:type="pct"/>
            <w:tcBorders>
              <w:tl2br w:val="nil"/>
              <w:tr2bl w:val="nil"/>
            </w:tcBorders>
            <w:shd w:val="clear" w:color="auto" w:fill="auto"/>
            <w:noWrap/>
            <w:vAlign w:val="center"/>
          </w:tcPr>
          <w:p w14:paraId="0EEC3E6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50B2551C">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24A4A3B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3F35611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3373803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706523C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1A0CFE7D">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2D3F125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413.7</w:t>
            </w:r>
          </w:p>
        </w:tc>
        <w:tc>
          <w:tcPr>
            <w:tcW w:w="296" w:type="pct"/>
            <w:tcBorders>
              <w:tl2br w:val="nil"/>
              <w:tr2bl w:val="nil"/>
            </w:tcBorders>
            <w:shd w:val="clear" w:color="auto" w:fill="auto"/>
            <w:noWrap/>
            <w:vAlign w:val="center"/>
          </w:tcPr>
          <w:p w14:paraId="032F7CE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234.6</w:t>
            </w:r>
          </w:p>
        </w:tc>
        <w:tc>
          <w:tcPr>
            <w:tcW w:w="254" w:type="pct"/>
            <w:tcBorders>
              <w:tl2br w:val="nil"/>
              <w:tr2bl w:val="nil"/>
            </w:tcBorders>
            <w:shd w:val="clear" w:color="auto" w:fill="auto"/>
            <w:noWrap/>
            <w:vAlign w:val="center"/>
          </w:tcPr>
          <w:p w14:paraId="09C283E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w:t>
            </w:r>
          </w:p>
        </w:tc>
        <w:tc>
          <w:tcPr>
            <w:tcW w:w="321" w:type="pct"/>
            <w:tcBorders>
              <w:tl2br w:val="nil"/>
              <w:tr2bl w:val="nil"/>
            </w:tcBorders>
            <w:shd w:val="clear" w:color="auto" w:fill="auto"/>
            <w:noWrap/>
            <w:vAlign w:val="center"/>
          </w:tcPr>
          <w:p w14:paraId="5EB6874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4.2</w:t>
            </w:r>
          </w:p>
        </w:tc>
        <w:tc>
          <w:tcPr>
            <w:tcW w:w="417" w:type="pct"/>
            <w:tcBorders>
              <w:tl2br w:val="nil"/>
              <w:tr2bl w:val="nil"/>
            </w:tcBorders>
            <w:shd w:val="clear" w:color="auto" w:fill="auto"/>
            <w:noWrap/>
            <w:vAlign w:val="center"/>
          </w:tcPr>
          <w:p w14:paraId="63FB683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73.57</w:t>
            </w:r>
          </w:p>
        </w:tc>
        <w:tc>
          <w:tcPr>
            <w:tcW w:w="254" w:type="pct"/>
            <w:vMerge w:val="continue"/>
            <w:tcBorders>
              <w:tl2br w:val="nil"/>
              <w:tr2bl w:val="nil"/>
            </w:tcBorders>
            <w:shd w:val="clear" w:color="auto" w:fill="auto"/>
            <w:noWrap/>
            <w:vAlign w:val="center"/>
          </w:tcPr>
          <w:p w14:paraId="5E835F1F">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278E3EE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080EB0F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44.57</w:t>
            </w:r>
          </w:p>
        </w:tc>
        <w:tc>
          <w:tcPr>
            <w:tcW w:w="308" w:type="pct"/>
            <w:tcBorders>
              <w:tl2br w:val="nil"/>
              <w:tr2bl w:val="nil"/>
            </w:tcBorders>
            <w:shd w:val="clear" w:color="auto" w:fill="auto"/>
            <w:noWrap/>
            <w:vAlign w:val="center"/>
          </w:tcPr>
          <w:p w14:paraId="4E7BF2B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43DD0B26">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3586FDB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restart"/>
            <w:tcBorders>
              <w:tl2br w:val="nil"/>
              <w:tr2bl w:val="nil"/>
            </w:tcBorders>
            <w:shd w:val="clear" w:color="auto" w:fill="auto"/>
            <w:noWrap/>
            <w:vAlign w:val="center"/>
          </w:tcPr>
          <w:p w14:paraId="3B61888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软化水车间</w:t>
            </w:r>
          </w:p>
        </w:tc>
        <w:tc>
          <w:tcPr>
            <w:tcW w:w="398" w:type="pct"/>
            <w:vMerge w:val="restart"/>
            <w:tcBorders>
              <w:tl2br w:val="nil"/>
              <w:tr2bl w:val="nil"/>
            </w:tcBorders>
            <w:shd w:val="clear" w:color="auto" w:fill="auto"/>
            <w:noWrap/>
            <w:vAlign w:val="center"/>
          </w:tcPr>
          <w:p w14:paraId="6AB9D47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水泵1</w:t>
            </w:r>
          </w:p>
        </w:tc>
        <w:tc>
          <w:tcPr>
            <w:tcW w:w="387" w:type="pct"/>
            <w:vMerge w:val="restart"/>
            <w:tcBorders>
              <w:tl2br w:val="nil"/>
              <w:tr2bl w:val="nil"/>
            </w:tcBorders>
            <w:shd w:val="clear" w:color="auto" w:fill="auto"/>
            <w:noWrap/>
            <w:vAlign w:val="center"/>
          </w:tcPr>
          <w:p w14:paraId="0F107E7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90</w:t>
            </w:r>
          </w:p>
        </w:tc>
        <w:tc>
          <w:tcPr>
            <w:tcW w:w="575" w:type="pct"/>
            <w:vMerge w:val="restart"/>
            <w:tcBorders>
              <w:tl2br w:val="nil"/>
              <w:tr2bl w:val="nil"/>
            </w:tcBorders>
            <w:shd w:val="clear" w:color="auto" w:fill="auto"/>
            <w:noWrap/>
            <w:vAlign w:val="center"/>
          </w:tcPr>
          <w:p w14:paraId="2851238C">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隔声罩壳</w:t>
            </w:r>
          </w:p>
          <w:p w14:paraId="587F3C7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厂房隔声</w:t>
            </w:r>
          </w:p>
        </w:tc>
        <w:tc>
          <w:tcPr>
            <w:tcW w:w="284" w:type="pct"/>
            <w:tcBorders>
              <w:tl2br w:val="nil"/>
              <w:tr2bl w:val="nil"/>
            </w:tcBorders>
            <w:shd w:val="clear" w:color="auto" w:fill="auto"/>
            <w:noWrap/>
            <w:vAlign w:val="center"/>
          </w:tcPr>
          <w:p w14:paraId="2D40CC5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354.6</w:t>
            </w:r>
          </w:p>
        </w:tc>
        <w:tc>
          <w:tcPr>
            <w:tcW w:w="296" w:type="pct"/>
            <w:tcBorders>
              <w:tl2br w:val="nil"/>
              <w:tr2bl w:val="nil"/>
            </w:tcBorders>
            <w:shd w:val="clear" w:color="auto" w:fill="auto"/>
            <w:noWrap/>
            <w:vAlign w:val="center"/>
          </w:tcPr>
          <w:p w14:paraId="37175B7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-77.2</w:t>
            </w:r>
          </w:p>
        </w:tc>
        <w:tc>
          <w:tcPr>
            <w:tcW w:w="254" w:type="pct"/>
            <w:tcBorders>
              <w:tl2br w:val="nil"/>
              <w:tr2bl w:val="nil"/>
            </w:tcBorders>
            <w:shd w:val="clear" w:color="auto" w:fill="auto"/>
            <w:noWrap/>
            <w:vAlign w:val="center"/>
          </w:tcPr>
          <w:p w14:paraId="692AC1B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022A8D9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26.3</w:t>
            </w:r>
          </w:p>
        </w:tc>
        <w:tc>
          <w:tcPr>
            <w:tcW w:w="417" w:type="pct"/>
            <w:tcBorders>
              <w:tl2br w:val="nil"/>
              <w:tr2bl w:val="nil"/>
            </w:tcBorders>
            <w:shd w:val="clear" w:color="auto" w:fill="auto"/>
            <w:noWrap/>
            <w:vAlign w:val="center"/>
          </w:tcPr>
          <w:p w14:paraId="5980559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64.36</w:t>
            </w:r>
          </w:p>
        </w:tc>
        <w:tc>
          <w:tcPr>
            <w:tcW w:w="254" w:type="pct"/>
            <w:vMerge w:val="restart"/>
            <w:tcBorders>
              <w:tl2br w:val="nil"/>
              <w:tr2bl w:val="nil"/>
            </w:tcBorders>
            <w:shd w:val="clear" w:color="auto" w:fill="auto"/>
            <w:noWrap/>
            <w:vAlign w:val="center"/>
          </w:tcPr>
          <w:p w14:paraId="4BF126F9">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4558C25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719923A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35.36</w:t>
            </w:r>
          </w:p>
        </w:tc>
        <w:tc>
          <w:tcPr>
            <w:tcW w:w="308" w:type="pct"/>
            <w:tcBorders>
              <w:tl2br w:val="nil"/>
              <w:tr2bl w:val="nil"/>
            </w:tcBorders>
            <w:shd w:val="clear" w:color="auto" w:fill="auto"/>
            <w:noWrap/>
            <w:vAlign w:val="center"/>
          </w:tcPr>
          <w:p w14:paraId="6D7A4E9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7C9E0797">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3DF938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7F7DE685">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19A5CD2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0BEEFC0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315C048D">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0A8A055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354.6</w:t>
            </w:r>
          </w:p>
        </w:tc>
        <w:tc>
          <w:tcPr>
            <w:tcW w:w="296" w:type="pct"/>
            <w:tcBorders>
              <w:tl2br w:val="nil"/>
              <w:tr2bl w:val="nil"/>
            </w:tcBorders>
            <w:shd w:val="clear" w:color="auto" w:fill="auto"/>
            <w:noWrap/>
            <w:vAlign w:val="center"/>
          </w:tcPr>
          <w:p w14:paraId="5CF0FBB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-77.2</w:t>
            </w:r>
          </w:p>
        </w:tc>
        <w:tc>
          <w:tcPr>
            <w:tcW w:w="254" w:type="pct"/>
            <w:tcBorders>
              <w:tl2br w:val="nil"/>
              <w:tr2bl w:val="nil"/>
            </w:tcBorders>
            <w:shd w:val="clear" w:color="auto" w:fill="auto"/>
            <w:noWrap/>
            <w:vAlign w:val="center"/>
          </w:tcPr>
          <w:p w14:paraId="48B920F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195C8F3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21.8</w:t>
            </w:r>
          </w:p>
        </w:tc>
        <w:tc>
          <w:tcPr>
            <w:tcW w:w="417" w:type="pct"/>
            <w:tcBorders>
              <w:tl2br w:val="nil"/>
              <w:tr2bl w:val="nil"/>
            </w:tcBorders>
            <w:shd w:val="clear" w:color="auto" w:fill="auto"/>
            <w:noWrap/>
            <w:vAlign w:val="center"/>
          </w:tcPr>
          <w:p w14:paraId="7B489AC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64.44</w:t>
            </w:r>
          </w:p>
        </w:tc>
        <w:tc>
          <w:tcPr>
            <w:tcW w:w="254" w:type="pct"/>
            <w:vMerge w:val="continue"/>
            <w:tcBorders>
              <w:tl2br w:val="nil"/>
              <w:tr2bl w:val="nil"/>
            </w:tcBorders>
            <w:shd w:val="clear" w:color="auto" w:fill="auto"/>
            <w:noWrap/>
            <w:vAlign w:val="center"/>
          </w:tcPr>
          <w:p w14:paraId="060F1CFD">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0017E17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1A303B5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35.44</w:t>
            </w:r>
          </w:p>
        </w:tc>
        <w:tc>
          <w:tcPr>
            <w:tcW w:w="308" w:type="pct"/>
            <w:tcBorders>
              <w:tl2br w:val="nil"/>
              <w:tr2bl w:val="nil"/>
            </w:tcBorders>
            <w:shd w:val="clear" w:color="auto" w:fill="auto"/>
            <w:noWrap/>
            <w:vAlign w:val="center"/>
          </w:tcPr>
          <w:p w14:paraId="4196A06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3D6CB7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1ECDB89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07EB15A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05FF3CA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6864E30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5B3A359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55E89DD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354.6</w:t>
            </w:r>
          </w:p>
        </w:tc>
        <w:tc>
          <w:tcPr>
            <w:tcW w:w="296" w:type="pct"/>
            <w:tcBorders>
              <w:tl2br w:val="nil"/>
              <w:tr2bl w:val="nil"/>
            </w:tcBorders>
            <w:shd w:val="clear" w:color="auto" w:fill="auto"/>
            <w:noWrap/>
            <w:vAlign w:val="center"/>
          </w:tcPr>
          <w:p w14:paraId="4F2656F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-77.2</w:t>
            </w:r>
          </w:p>
        </w:tc>
        <w:tc>
          <w:tcPr>
            <w:tcW w:w="254" w:type="pct"/>
            <w:tcBorders>
              <w:tl2br w:val="nil"/>
              <w:tr2bl w:val="nil"/>
            </w:tcBorders>
            <w:shd w:val="clear" w:color="auto" w:fill="auto"/>
            <w:noWrap/>
            <w:vAlign w:val="center"/>
          </w:tcPr>
          <w:p w14:paraId="20EEE72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304F52B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10.9</w:t>
            </w:r>
          </w:p>
        </w:tc>
        <w:tc>
          <w:tcPr>
            <w:tcW w:w="417" w:type="pct"/>
            <w:tcBorders>
              <w:tl2br w:val="nil"/>
              <w:tr2bl w:val="nil"/>
            </w:tcBorders>
            <w:shd w:val="clear" w:color="auto" w:fill="auto"/>
            <w:noWrap/>
            <w:vAlign w:val="center"/>
          </w:tcPr>
          <w:p w14:paraId="1ED796A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65.16</w:t>
            </w:r>
          </w:p>
        </w:tc>
        <w:tc>
          <w:tcPr>
            <w:tcW w:w="254" w:type="pct"/>
            <w:vMerge w:val="continue"/>
            <w:tcBorders>
              <w:tl2br w:val="nil"/>
              <w:tr2bl w:val="nil"/>
            </w:tcBorders>
            <w:shd w:val="clear" w:color="auto" w:fill="auto"/>
            <w:noWrap/>
            <w:vAlign w:val="center"/>
          </w:tcPr>
          <w:p w14:paraId="1A73E080">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47032EB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055914D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36.16</w:t>
            </w:r>
          </w:p>
        </w:tc>
        <w:tc>
          <w:tcPr>
            <w:tcW w:w="308" w:type="pct"/>
            <w:tcBorders>
              <w:tl2br w:val="nil"/>
              <w:tr2bl w:val="nil"/>
            </w:tcBorders>
            <w:shd w:val="clear" w:color="auto" w:fill="auto"/>
            <w:noWrap/>
            <w:vAlign w:val="center"/>
          </w:tcPr>
          <w:p w14:paraId="0BB1605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CFD3FD1">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3150AFA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6719F49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73ED837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4B46BD9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1CD8905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67A1361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354.6</w:t>
            </w:r>
          </w:p>
        </w:tc>
        <w:tc>
          <w:tcPr>
            <w:tcW w:w="296" w:type="pct"/>
            <w:tcBorders>
              <w:tl2br w:val="nil"/>
              <w:tr2bl w:val="nil"/>
            </w:tcBorders>
            <w:shd w:val="clear" w:color="auto" w:fill="auto"/>
            <w:noWrap/>
            <w:vAlign w:val="center"/>
          </w:tcPr>
          <w:p w14:paraId="232FD63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-77.2</w:t>
            </w:r>
          </w:p>
        </w:tc>
        <w:tc>
          <w:tcPr>
            <w:tcW w:w="254" w:type="pct"/>
            <w:tcBorders>
              <w:tl2br w:val="nil"/>
              <w:tr2bl w:val="nil"/>
            </w:tcBorders>
            <w:shd w:val="clear" w:color="auto" w:fill="auto"/>
            <w:noWrap/>
            <w:vAlign w:val="center"/>
          </w:tcPr>
          <w:p w14:paraId="3A5244E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0739AF5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11.1</w:t>
            </w:r>
          </w:p>
        </w:tc>
        <w:tc>
          <w:tcPr>
            <w:tcW w:w="417" w:type="pct"/>
            <w:tcBorders>
              <w:tl2br w:val="nil"/>
              <w:tr2bl w:val="nil"/>
            </w:tcBorders>
            <w:shd w:val="clear" w:color="auto" w:fill="auto"/>
            <w:noWrap/>
            <w:vAlign w:val="center"/>
          </w:tcPr>
          <w:p w14:paraId="52B5B4A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65.13</w:t>
            </w:r>
          </w:p>
        </w:tc>
        <w:tc>
          <w:tcPr>
            <w:tcW w:w="254" w:type="pct"/>
            <w:vMerge w:val="continue"/>
            <w:tcBorders>
              <w:tl2br w:val="nil"/>
              <w:tr2bl w:val="nil"/>
            </w:tcBorders>
            <w:shd w:val="clear" w:color="auto" w:fill="auto"/>
            <w:noWrap/>
            <w:vAlign w:val="center"/>
          </w:tcPr>
          <w:p w14:paraId="2A54FEA6">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0F0EC6E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21424BC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36.13</w:t>
            </w:r>
          </w:p>
        </w:tc>
        <w:tc>
          <w:tcPr>
            <w:tcW w:w="308" w:type="pct"/>
            <w:tcBorders>
              <w:tl2br w:val="nil"/>
              <w:tr2bl w:val="nil"/>
            </w:tcBorders>
            <w:shd w:val="clear" w:color="auto" w:fill="auto"/>
            <w:noWrap/>
            <w:vAlign w:val="center"/>
          </w:tcPr>
          <w:p w14:paraId="0AEC8D6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478815E3">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169D6A8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20FC3C9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2EFF4B3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水泵2</w:t>
            </w:r>
          </w:p>
        </w:tc>
        <w:tc>
          <w:tcPr>
            <w:tcW w:w="387" w:type="pct"/>
            <w:vMerge w:val="restart"/>
            <w:tcBorders>
              <w:tl2br w:val="nil"/>
              <w:tr2bl w:val="nil"/>
            </w:tcBorders>
            <w:shd w:val="clear" w:color="auto" w:fill="auto"/>
            <w:noWrap/>
            <w:vAlign w:val="center"/>
          </w:tcPr>
          <w:p w14:paraId="1E9C521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90</w:t>
            </w:r>
          </w:p>
        </w:tc>
        <w:tc>
          <w:tcPr>
            <w:tcW w:w="575" w:type="pct"/>
            <w:vMerge w:val="restart"/>
            <w:tcBorders>
              <w:tl2br w:val="nil"/>
              <w:tr2bl w:val="nil"/>
            </w:tcBorders>
            <w:shd w:val="clear" w:color="auto" w:fill="auto"/>
            <w:noWrap/>
            <w:vAlign w:val="center"/>
          </w:tcPr>
          <w:p w14:paraId="725E38A6">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隔声罩壳</w:t>
            </w:r>
          </w:p>
          <w:p w14:paraId="47BB975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厂房隔声</w:t>
            </w:r>
          </w:p>
        </w:tc>
        <w:tc>
          <w:tcPr>
            <w:tcW w:w="284" w:type="pct"/>
            <w:tcBorders>
              <w:tl2br w:val="nil"/>
              <w:tr2bl w:val="nil"/>
            </w:tcBorders>
            <w:shd w:val="clear" w:color="auto" w:fill="auto"/>
            <w:noWrap/>
            <w:vAlign w:val="center"/>
          </w:tcPr>
          <w:p w14:paraId="3A2BC1C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372.5</w:t>
            </w:r>
          </w:p>
        </w:tc>
        <w:tc>
          <w:tcPr>
            <w:tcW w:w="296" w:type="pct"/>
            <w:tcBorders>
              <w:tl2br w:val="nil"/>
              <w:tr2bl w:val="nil"/>
            </w:tcBorders>
            <w:shd w:val="clear" w:color="auto" w:fill="auto"/>
            <w:noWrap/>
            <w:vAlign w:val="center"/>
          </w:tcPr>
          <w:p w14:paraId="59DCC4E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-79.8</w:t>
            </w:r>
          </w:p>
        </w:tc>
        <w:tc>
          <w:tcPr>
            <w:tcW w:w="254" w:type="pct"/>
            <w:tcBorders>
              <w:tl2br w:val="nil"/>
              <w:tr2bl w:val="nil"/>
            </w:tcBorders>
            <w:shd w:val="clear" w:color="auto" w:fill="auto"/>
            <w:noWrap/>
            <w:vAlign w:val="center"/>
          </w:tcPr>
          <w:p w14:paraId="074C66A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2DA993B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8.4</w:t>
            </w:r>
          </w:p>
        </w:tc>
        <w:tc>
          <w:tcPr>
            <w:tcW w:w="417" w:type="pct"/>
            <w:tcBorders>
              <w:tl2br w:val="nil"/>
              <w:tr2bl w:val="nil"/>
            </w:tcBorders>
            <w:shd w:val="clear" w:color="auto" w:fill="auto"/>
            <w:noWrap/>
            <w:vAlign w:val="center"/>
          </w:tcPr>
          <w:p w14:paraId="097F15F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65.73</w:t>
            </w:r>
          </w:p>
        </w:tc>
        <w:tc>
          <w:tcPr>
            <w:tcW w:w="254" w:type="pct"/>
            <w:vMerge w:val="continue"/>
            <w:tcBorders>
              <w:tl2br w:val="nil"/>
              <w:tr2bl w:val="nil"/>
            </w:tcBorders>
            <w:shd w:val="clear" w:color="auto" w:fill="auto"/>
            <w:noWrap/>
            <w:vAlign w:val="center"/>
          </w:tcPr>
          <w:p w14:paraId="04D65FB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413496C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52C06CA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36.73</w:t>
            </w:r>
          </w:p>
        </w:tc>
        <w:tc>
          <w:tcPr>
            <w:tcW w:w="308" w:type="pct"/>
            <w:tcBorders>
              <w:tl2br w:val="nil"/>
              <w:tr2bl w:val="nil"/>
            </w:tcBorders>
            <w:shd w:val="clear" w:color="auto" w:fill="auto"/>
            <w:noWrap/>
            <w:vAlign w:val="center"/>
          </w:tcPr>
          <w:p w14:paraId="400E52D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55769D26">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6686D0D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609CA43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67C795F5">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729E071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566BCF3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15F1F12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372.5</w:t>
            </w:r>
          </w:p>
        </w:tc>
        <w:tc>
          <w:tcPr>
            <w:tcW w:w="296" w:type="pct"/>
            <w:tcBorders>
              <w:tl2br w:val="nil"/>
              <w:tr2bl w:val="nil"/>
            </w:tcBorders>
            <w:shd w:val="clear" w:color="auto" w:fill="auto"/>
            <w:noWrap/>
            <w:vAlign w:val="center"/>
          </w:tcPr>
          <w:p w14:paraId="048027C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-79.8</w:t>
            </w:r>
          </w:p>
        </w:tc>
        <w:tc>
          <w:tcPr>
            <w:tcW w:w="254" w:type="pct"/>
            <w:tcBorders>
              <w:tl2br w:val="nil"/>
              <w:tr2bl w:val="nil"/>
            </w:tcBorders>
            <w:shd w:val="clear" w:color="auto" w:fill="auto"/>
            <w:noWrap/>
            <w:vAlign w:val="center"/>
          </w:tcPr>
          <w:p w14:paraId="6C05C67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00F04C4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19.2</w:t>
            </w:r>
          </w:p>
        </w:tc>
        <w:tc>
          <w:tcPr>
            <w:tcW w:w="417" w:type="pct"/>
            <w:tcBorders>
              <w:tl2br w:val="nil"/>
              <w:tr2bl w:val="nil"/>
            </w:tcBorders>
            <w:shd w:val="clear" w:color="auto" w:fill="auto"/>
            <w:noWrap/>
            <w:vAlign w:val="center"/>
          </w:tcPr>
          <w:p w14:paraId="11D6450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64.52</w:t>
            </w:r>
          </w:p>
        </w:tc>
        <w:tc>
          <w:tcPr>
            <w:tcW w:w="254" w:type="pct"/>
            <w:vMerge w:val="continue"/>
            <w:tcBorders>
              <w:tl2br w:val="nil"/>
              <w:tr2bl w:val="nil"/>
            </w:tcBorders>
            <w:shd w:val="clear" w:color="auto" w:fill="auto"/>
            <w:noWrap/>
            <w:vAlign w:val="center"/>
          </w:tcPr>
          <w:p w14:paraId="0470EE90">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347EE4C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7F5DE69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35.52</w:t>
            </w:r>
          </w:p>
        </w:tc>
        <w:tc>
          <w:tcPr>
            <w:tcW w:w="308" w:type="pct"/>
            <w:tcBorders>
              <w:tl2br w:val="nil"/>
              <w:tr2bl w:val="nil"/>
            </w:tcBorders>
            <w:shd w:val="clear" w:color="auto" w:fill="auto"/>
            <w:noWrap/>
            <w:vAlign w:val="center"/>
          </w:tcPr>
          <w:p w14:paraId="4EA80D8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454D67D8">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6A0CB55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225C5D4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6707DAD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05022D2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24021BE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021ACA9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372.5</w:t>
            </w:r>
          </w:p>
        </w:tc>
        <w:tc>
          <w:tcPr>
            <w:tcW w:w="296" w:type="pct"/>
            <w:tcBorders>
              <w:tl2br w:val="nil"/>
              <w:tr2bl w:val="nil"/>
            </w:tcBorders>
            <w:shd w:val="clear" w:color="auto" w:fill="auto"/>
            <w:noWrap/>
            <w:vAlign w:val="center"/>
          </w:tcPr>
          <w:p w14:paraId="2AB675B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-79.8</w:t>
            </w:r>
          </w:p>
        </w:tc>
        <w:tc>
          <w:tcPr>
            <w:tcW w:w="254" w:type="pct"/>
            <w:tcBorders>
              <w:tl2br w:val="nil"/>
              <w:tr2bl w:val="nil"/>
            </w:tcBorders>
            <w:shd w:val="clear" w:color="auto" w:fill="auto"/>
            <w:noWrap/>
            <w:vAlign w:val="center"/>
          </w:tcPr>
          <w:p w14:paraId="1AEAB68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248594B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28.8</w:t>
            </w:r>
          </w:p>
        </w:tc>
        <w:tc>
          <w:tcPr>
            <w:tcW w:w="417" w:type="pct"/>
            <w:tcBorders>
              <w:tl2br w:val="nil"/>
              <w:tr2bl w:val="nil"/>
            </w:tcBorders>
            <w:shd w:val="clear" w:color="auto" w:fill="auto"/>
            <w:noWrap/>
            <w:vAlign w:val="center"/>
          </w:tcPr>
          <w:p w14:paraId="14161DF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64.33</w:t>
            </w:r>
          </w:p>
        </w:tc>
        <w:tc>
          <w:tcPr>
            <w:tcW w:w="254" w:type="pct"/>
            <w:vMerge w:val="continue"/>
            <w:tcBorders>
              <w:tl2br w:val="nil"/>
              <w:tr2bl w:val="nil"/>
            </w:tcBorders>
            <w:shd w:val="clear" w:color="auto" w:fill="auto"/>
            <w:noWrap/>
            <w:vAlign w:val="center"/>
          </w:tcPr>
          <w:p w14:paraId="5D1FE1A1">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3BF2C80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17EB286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35.33</w:t>
            </w:r>
          </w:p>
        </w:tc>
        <w:tc>
          <w:tcPr>
            <w:tcW w:w="308" w:type="pct"/>
            <w:tcBorders>
              <w:tl2br w:val="nil"/>
              <w:tr2bl w:val="nil"/>
            </w:tcBorders>
            <w:shd w:val="clear" w:color="auto" w:fill="auto"/>
            <w:noWrap/>
            <w:vAlign w:val="center"/>
          </w:tcPr>
          <w:p w14:paraId="24EBF6C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0A80C5CE">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3DDFCF9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1574D6F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156E682D">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2C6BC88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45DB43A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5B66869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372.5</w:t>
            </w:r>
          </w:p>
        </w:tc>
        <w:tc>
          <w:tcPr>
            <w:tcW w:w="296" w:type="pct"/>
            <w:tcBorders>
              <w:tl2br w:val="nil"/>
              <w:tr2bl w:val="nil"/>
            </w:tcBorders>
            <w:shd w:val="clear" w:color="auto" w:fill="auto"/>
            <w:noWrap/>
            <w:vAlign w:val="center"/>
          </w:tcPr>
          <w:p w14:paraId="1ADE6F6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-79.8</w:t>
            </w:r>
          </w:p>
        </w:tc>
        <w:tc>
          <w:tcPr>
            <w:tcW w:w="254" w:type="pct"/>
            <w:tcBorders>
              <w:tl2br w:val="nil"/>
              <w:tr2bl w:val="nil"/>
            </w:tcBorders>
            <w:shd w:val="clear" w:color="auto" w:fill="auto"/>
            <w:noWrap/>
            <w:vAlign w:val="center"/>
          </w:tcPr>
          <w:p w14:paraId="2A23C48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1019BC9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13.7</w:t>
            </w:r>
          </w:p>
        </w:tc>
        <w:tc>
          <w:tcPr>
            <w:tcW w:w="417" w:type="pct"/>
            <w:tcBorders>
              <w:tl2br w:val="nil"/>
              <w:tr2bl w:val="nil"/>
            </w:tcBorders>
            <w:shd w:val="clear" w:color="auto" w:fill="auto"/>
            <w:noWrap/>
            <w:vAlign w:val="center"/>
          </w:tcPr>
          <w:p w14:paraId="1F4433E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64.83</w:t>
            </w:r>
          </w:p>
        </w:tc>
        <w:tc>
          <w:tcPr>
            <w:tcW w:w="254" w:type="pct"/>
            <w:vMerge w:val="continue"/>
            <w:tcBorders>
              <w:tl2br w:val="nil"/>
              <w:tr2bl w:val="nil"/>
            </w:tcBorders>
            <w:shd w:val="clear" w:color="auto" w:fill="auto"/>
            <w:noWrap/>
            <w:vAlign w:val="center"/>
          </w:tcPr>
          <w:p w14:paraId="486EE50C">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6550006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259294D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35.83</w:t>
            </w:r>
          </w:p>
        </w:tc>
        <w:tc>
          <w:tcPr>
            <w:tcW w:w="308" w:type="pct"/>
            <w:tcBorders>
              <w:tl2br w:val="nil"/>
              <w:tr2bl w:val="nil"/>
            </w:tcBorders>
            <w:shd w:val="clear" w:color="auto" w:fill="auto"/>
            <w:noWrap/>
            <w:vAlign w:val="center"/>
          </w:tcPr>
          <w:p w14:paraId="620F1A1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1A93A065">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67887A1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33C0B9A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0BD5073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水泵3</w:t>
            </w:r>
          </w:p>
        </w:tc>
        <w:tc>
          <w:tcPr>
            <w:tcW w:w="387" w:type="pct"/>
            <w:vMerge w:val="restart"/>
            <w:tcBorders>
              <w:tl2br w:val="nil"/>
              <w:tr2bl w:val="nil"/>
            </w:tcBorders>
            <w:shd w:val="clear" w:color="auto" w:fill="auto"/>
            <w:noWrap/>
            <w:vAlign w:val="center"/>
          </w:tcPr>
          <w:p w14:paraId="6BE74A4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90</w:t>
            </w:r>
          </w:p>
        </w:tc>
        <w:tc>
          <w:tcPr>
            <w:tcW w:w="575" w:type="pct"/>
            <w:vMerge w:val="restart"/>
            <w:tcBorders>
              <w:tl2br w:val="nil"/>
              <w:tr2bl w:val="nil"/>
            </w:tcBorders>
            <w:shd w:val="clear" w:color="auto" w:fill="auto"/>
            <w:noWrap/>
            <w:vAlign w:val="center"/>
          </w:tcPr>
          <w:p w14:paraId="36F3BC3B">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隔声罩壳</w:t>
            </w:r>
          </w:p>
          <w:p w14:paraId="22E70A7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厂房隔声</w:t>
            </w:r>
          </w:p>
        </w:tc>
        <w:tc>
          <w:tcPr>
            <w:tcW w:w="284" w:type="pct"/>
            <w:tcBorders>
              <w:tl2br w:val="nil"/>
              <w:tr2bl w:val="nil"/>
            </w:tcBorders>
            <w:shd w:val="clear" w:color="auto" w:fill="auto"/>
            <w:noWrap/>
            <w:vAlign w:val="center"/>
          </w:tcPr>
          <w:p w14:paraId="270759B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352.9</w:t>
            </w:r>
          </w:p>
        </w:tc>
        <w:tc>
          <w:tcPr>
            <w:tcW w:w="296" w:type="pct"/>
            <w:tcBorders>
              <w:tl2br w:val="nil"/>
              <w:tr2bl w:val="nil"/>
            </w:tcBorders>
            <w:shd w:val="clear" w:color="auto" w:fill="auto"/>
            <w:noWrap/>
            <w:vAlign w:val="center"/>
          </w:tcPr>
          <w:p w14:paraId="3B154B9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-87.4</w:t>
            </w:r>
          </w:p>
        </w:tc>
        <w:tc>
          <w:tcPr>
            <w:tcW w:w="254" w:type="pct"/>
            <w:tcBorders>
              <w:tl2br w:val="nil"/>
              <w:tr2bl w:val="nil"/>
            </w:tcBorders>
            <w:shd w:val="clear" w:color="auto" w:fill="auto"/>
            <w:noWrap/>
            <w:vAlign w:val="center"/>
          </w:tcPr>
          <w:p w14:paraId="3882FAA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6FE968C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28</w:t>
            </w:r>
          </w:p>
        </w:tc>
        <w:tc>
          <w:tcPr>
            <w:tcW w:w="417" w:type="pct"/>
            <w:tcBorders>
              <w:tl2br w:val="nil"/>
              <w:tr2bl w:val="nil"/>
            </w:tcBorders>
            <w:shd w:val="clear" w:color="auto" w:fill="auto"/>
            <w:noWrap/>
            <w:vAlign w:val="center"/>
          </w:tcPr>
          <w:p w14:paraId="5C3AAEB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64.34</w:t>
            </w:r>
          </w:p>
        </w:tc>
        <w:tc>
          <w:tcPr>
            <w:tcW w:w="254" w:type="pct"/>
            <w:vMerge w:val="continue"/>
            <w:tcBorders>
              <w:tl2br w:val="nil"/>
              <w:tr2bl w:val="nil"/>
            </w:tcBorders>
            <w:shd w:val="clear" w:color="auto" w:fill="auto"/>
            <w:noWrap/>
            <w:vAlign w:val="center"/>
          </w:tcPr>
          <w:p w14:paraId="59CD5711">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5B38B1A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3ED1711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35.34</w:t>
            </w:r>
          </w:p>
        </w:tc>
        <w:tc>
          <w:tcPr>
            <w:tcW w:w="308" w:type="pct"/>
            <w:tcBorders>
              <w:tl2br w:val="nil"/>
              <w:tr2bl w:val="nil"/>
            </w:tcBorders>
            <w:shd w:val="clear" w:color="auto" w:fill="auto"/>
            <w:noWrap/>
            <w:vAlign w:val="center"/>
          </w:tcPr>
          <w:p w14:paraId="444EEC5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34686947">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6DFF1F4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35A4652D">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2B42010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1A0E381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70C6081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68B89DC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352.9</w:t>
            </w:r>
          </w:p>
        </w:tc>
        <w:tc>
          <w:tcPr>
            <w:tcW w:w="296" w:type="pct"/>
            <w:tcBorders>
              <w:tl2br w:val="nil"/>
              <w:tr2bl w:val="nil"/>
            </w:tcBorders>
            <w:shd w:val="clear" w:color="auto" w:fill="auto"/>
            <w:noWrap/>
            <w:vAlign w:val="center"/>
          </w:tcPr>
          <w:p w14:paraId="1A2CE88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-87.4</w:t>
            </w:r>
          </w:p>
        </w:tc>
        <w:tc>
          <w:tcPr>
            <w:tcW w:w="254" w:type="pct"/>
            <w:tcBorders>
              <w:tl2br w:val="nil"/>
              <w:tr2bl w:val="nil"/>
            </w:tcBorders>
            <w:shd w:val="clear" w:color="auto" w:fill="auto"/>
            <w:noWrap/>
            <w:vAlign w:val="center"/>
          </w:tcPr>
          <w:p w14:paraId="5700348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7D73163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11.6</w:t>
            </w:r>
          </w:p>
        </w:tc>
        <w:tc>
          <w:tcPr>
            <w:tcW w:w="417" w:type="pct"/>
            <w:tcBorders>
              <w:tl2br w:val="nil"/>
              <w:tr2bl w:val="nil"/>
            </w:tcBorders>
            <w:shd w:val="clear" w:color="auto" w:fill="auto"/>
            <w:noWrap/>
            <w:vAlign w:val="center"/>
          </w:tcPr>
          <w:p w14:paraId="77F4098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65.06</w:t>
            </w:r>
          </w:p>
        </w:tc>
        <w:tc>
          <w:tcPr>
            <w:tcW w:w="254" w:type="pct"/>
            <w:vMerge w:val="continue"/>
            <w:tcBorders>
              <w:tl2br w:val="nil"/>
              <w:tr2bl w:val="nil"/>
            </w:tcBorders>
            <w:shd w:val="clear" w:color="auto" w:fill="auto"/>
            <w:noWrap/>
            <w:vAlign w:val="center"/>
          </w:tcPr>
          <w:p w14:paraId="4E2EF73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3B31DDD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104C252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36.06</w:t>
            </w:r>
          </w:p>
        </w:tc>
        <w:tc>
          <w:tcPr>
            <w:tcW w:w="308" w:type="pct"/>
            <w:tcBorders>
              <w:tl2br w:val="nil"/>
              <w:tr2bl w:val="nil"/>
            </w:tcBorders>
            <w:shd w:val="clear" w:color="auto" w:fill="auto"/>
            <w:noWrap/>
            <w:vAlign w:val="center"/>
          </w:tcPr>
          <w:p w14:paraId="4CC77A1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0B1C7A8A">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4F8EF35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030C23FD">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40A8349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475FE0B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154EC29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593D8FA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352.9</w:t>
            </w:r>
          </w:p>
        </w:tc>
        <w:tc>
          <w:tcPr>
            <w:tcW w:w="296" w:type="pct"/>
            <w:tcBorders>
              <w:tl2br w:val="nil"/>
              <w:tr2bl w:val="nil"/>
            </w:tcBorders>
            <w:shd w:val="clear" w:color="auto" w:fill="auto"/>
            <w:noWrap/>
            <w:vAlign w:val="center"/>
          </w:tcPr>
          <w:p w14:paraId="1EC28BB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-87.4</w:t>
            </w:r>
          </w:p>
        </w:tc>
        <w:tc>
          <w:tcPr>
            <w:tcW w:w="254" w:type="pct"/>
            <w:tcBorders>
              <w:tl2br w:val="nil"/>
              <w:tr2bl w:val="nil"/>
            </w:tcBorders>
            <w:shd w:val="clear" w:color="auto" w:fill="auto"/>
            <w:noWrap/>
            <w:vAlign w:val="center"/>
          </w:tcPr>
          <w:p w14:paraId="2FA1705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3F3F850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9.2</w:t>
            </w:r>
          </w:p>
        </w:tc>
        <w:tc>
          <w:tcPr>
            <w:tcW w:w="417" w:type="pct"/>
            <w:tcBorders>
              <w:tl2br w:val="nil"/>
              <w:tr2bl w:val="nil"/>
            </w:tcBorders>
            <w:shd w:val="clear" w:color="auto" w:fill="auto"/>
            <w:noWrap/>
            <w:vAlign w:val="center"/>
          </w:tcPr>
          <w:p w14:paraId="403F648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65.51</w:t>
            </w:r>
          </w:p>
        </w:tc>
        <w:tc>
          <w:tcPr>
            <w:tcW w:w="254" w:type="pct"/>
            <w:vMerge w:val="continue"/>
            <w:tcBorders>
              <w:tl2br w:val="nil"/>
              <w:tr2bl w:val="nil"/>
            </w:tcBorders>
            <w:shd w:val="clear" w:color="auto" w:fill="auto"/>
            <w:noWrap/>
            <w:vAlign w:val="center"/>
          </w:tcPr>
          <w:p w14:paraId="000AEE58">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49A2136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7724601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36.51</w:t>
            </w:r>
          </w:p>
        </w:tc>
        <w:tc>
          <w:tcPr>
            <w:tcW w:w="308" w:type="pct"/>
            <w:tcBorders>
              <w:tl2br w:val="nil"/>
              <w:tr2bl w:val="nil"/>
            </w:tcBorders>
            <w:shd w:val="clear" w:color="auto" w:fill="auto"/>
            <w:noWrap/>
            <w:vAlign w:val="center"/>
          </w:tcPr>
          <w:p w14:paraId="15F3661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3ED5AAB7">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48263BD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37C3AF14">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612A2D1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0B1E8F25">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2E6448F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642FAC7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352.9</w:t>
            </w:r>
          </w:p>
        </w:tc>
        <w:tc>
          <w:tcPr>
            <w:tcW w:w="296" w:type="pct"/>
            <w:tcBorders>
              <w:tl2br w:val="nil"/>
              <w:tr2bl w:val="nil"/>
            </w:tcBorders>
            <w:shd w:val="clear" w:color="auto" w:fill="auto"/>
            <w:noWrap/>
            <w:vAlign w:val="center"/>
          </w:tcPr>
          <w:p w14:paraId="2244092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-87.4</w:t>
            </w:r>
          </w:p>
        </w:tc>
        <w:tc>
          <w:tcPr>
            <w:tcW w:w="254" w:type="pct"/>
            <w:tcBorders>
              <w:tl2br w:val="nil"/>
              <w:tr2bl w:val="nil"/>
            </w:tcBorders>
            <w:shd w:val="clear" w:color="auto" w:fill="auto"/>
            <w:noWrap/>
            <w:vAlign w:val="center"/>
          </w:tcPr>
          <w:p w14:paraId="3DD24D1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605C2C8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21.3</w:t>
            </w:r>
          </w:p>
        </w:tc>
        <w:tc>
          <w:tcPr>
            <w:tcW w:w="417" w:type="pct"/>
            <w:tcBorders>
              <w:tl2br w:val="nil"/>
              <w:tr2bl w:val="nil"/>
            </w:tcBorders>
            <w:shd w:val="clear" w:color="auto" w:fill="auto"/>
            <w:noWrap/>
            <w:vAlign w:val="center"/>
          </w:tcPr>
          <w:p w14:paraId="2D41B8A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64.46</w:t>
            </w:r>
          </w:p>
        </w:tc>
        <w:tc>
          <w:tcPr>
            <w:tcW w:w="254" w:type="pct"/>
            <w:vMerge w:val="continue"/>
            <w:tcBorders>
              <w:tl2br w:val="nil"/>
              <w:tr2bl w:val="nil"/>
            </w:tcBorders>
            <w:shd w:val="clear" w:color="auto" w:fill="auto"/>
            <w:noWrap/>
            <w:vAlign w:val="center"/>
          </w:tcPr>
          <w:p w14:paraId="5A573FA4">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42964D8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29F7BA4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35.46</w:t>
            </w:r>
          </w:p>
        </w:tc>
        <w:tc>
          <w:tcPr>
            <w:tcW w:w="308" w:type="pct"/>
            <w:tcBorders>
              <w:tl2br w:val="nil"/>
              <w:tr2bl w:val="nil"/>
            </w:tcBorders>
            <w:shd w:val="clear" w:color="auto" w:fill="auto"/>
            <w:noWrap/>
            <w:vAlign w:val="center"/>
          </w:tcPr>
          <w:p w14:paraId="43EB405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405AFA5A">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37FEFE0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54AD5AF9">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restart"/>
            <w:tcBorders>
              <w:tl2br w:val="nil"/>
              <w:tr2bl w:val="nil"/>
            </w:tcBorders>
            <w:shd w:val="clear" w:color="auto" w:fill="auto"/>
            <w:noWrap/>
            <w:vAlign w:val="center"/>
          </w:tcPr>
          <w:p w14:paraId="5A0B336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水泵2</w:t>
            </w:r>
          </w:p>
        </w:tc>
        <w:tc>
          <w:tcPr>
            <w:tcW w:w="387" w:type="pct"/>
            <w:vMerge w:val="restart"/>
            <w:tcBorders>
              <w:tl2br w:val="nil"/>
              <w:tr2bl w:val="nil"/>
            </w:tcBorders>
            <w:shd w:val="clear" w:color="auto" w:fill="auto"/>
            <w:noWrap/>
            <w:vAlign w:val="center"/>
          </w:tcPr>
          <w:p w14:paraId="0431DD5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90</w:t>
            </w:r>
          </w:p>
        </w:tc>
        <w:tc>
          <w:tcPr>
            <w:tcW w:w="575" w:type="pct"/>
            <w:vMerge w:val="restart"/>
            <w:tcBorders>
              <w:tl2br w:val="nil"/>
              <w:tr2bl w:val="nil"/>
            </w:tcBorders>
            <w:shd w:val="clear" w:color="auto" w:fill="auto"/>
            <w:noWrap/>
            <w:vAlign w:val="center"/>
          </w:tcPr>
          <w:p w14:paraId="640E370D">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隔声罩壳</w:t>
            </w:r>
          </w:p>
          <w:p w14:paraId="4B04B87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厂房隔声</w:t>
            </w:r>
          </w:p>
        </w:tc>
        <w:tc>
          <w:tcPr>
            <w:tcW w:w="284" w:type="pct"/>
            <w:tcBorders>
              <w:tl2br w:val="nil"/>
              <w:tr2bl w:val="nil"/>
            </w:tcBorders>
            <w:shd w:val="clear" w:color="auto" w:fill="auto"/>
            <w:noWrap/>
            <w:vAlign w:val="center"/>
          </w:tcPr>
          <w:p w14:paraId="777098A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365.6</w:t>
            </w:r>
          </w:p>
        </w:tc>
        <w:tc>
          <w:tcPr>
            <w:tcW w:w="296" w:type="pct"/>
            <w:tcBorders>
              <w:tl2br w:val="nil"/>
              <w:tr2bl w:val="nil"/>
            </w:tcBorders>
            <w:shd w:val="clear" w:color="auto" w:fill="auto"/>
            <w:noWrap/>
            <w:vAlign w:val="center"/>
          </w:tcPr>
          <w:p w14:paraId="15DB92D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-89.1</w:t>
            </w:r>
          </w:p>
        </w:tc>
        <w:tc>
          <w:tcPr>
            <w:tcW w:w="254" w:type="pct"/>
            <w:tcBorders>
              <w:tl2br w:val="nil"/>
              <w:tr2bl w:val="nil"/>
            </w:tcBorders>
            <w:shd w:val="clear" w:color="auto" w:fill="auto"/>
            <w:noWrap/>
            <w:vAlign w:val="center"/>
          </w:tcPr>
          <w:p w14:paraId="2A463E8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6326FA3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15.3</w:t>
            </w:r>
          </w:p>
        </w:tc>
        <w:tc>
          <w:tcPr>
            <w:tcW w:w="417" w:type="pct"/>
            <w:tcBorders>
              <w:tl2br w:val="nil"/>
              <w:tr2bl w:val="nil"/>
            </w:tcBorders>
            <w:shd w:val="clear" w:color="auto" w:fill="auto"/>
            <w:noWrap/>
            <w:vAlign w:val="center"/>
          </w:tcPr>
          <w:p w14:paraId="2BEC70C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64.71</w:t>
            </w:r>
          </w:p>
        </w:tc>
        <w:tc>
          <w:tcPr>
            <w:tcW w:w="254" w:type="pct"/>
            <w:vMerge w:val="continue"/>
            <w:tcBorders>
              <w:tl2br w:val="nil"/>
              <w:tr2bl w:val="nil"/>
            </w:tcBorders>
            <w:shd w:val="clear" w:color="auto" w:fill="auto"/>
            <w:noWrap/>
            <w:vAlign w:val="center"/>
          </w:tcPr>
          <w:p w14:paraId="599900DA">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2602B4A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1AFE6B5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35.71</w:t>
            </w:r>
          </w:p>
        </w:tc>
        <w:tc>
          <w:tcPr>
            <w:tcW w:w="308" w:type="pct"/>
            <w:tcBorders>
              <w:tl2br w:val="nil"/>
              <w:tr2bl w:val="nil"/>
            </w:tcBorders>
            <w:shd w:val="clear" w:color="auto" w:fill="auto"/>
            <w:noWrap/>
            <w:vAlign w:val="center"/>
          </w:tcPr>
          <w:p w14:paraId="18C1646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6D20F5D0">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46FB44F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7049ECEF">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2EFE57F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31D3BF6D">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548D2899">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2BB0708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365.6</w:t>
            </w:r>
          </w:p>
        </w:tc>
        <w:tc>
          <w:tcPr>
            <w:tcW w:w="296" w:type="pct"/>
            <w:tcBorders>
              <w:tl2br w:val="nil"/>
              <w:tr2bl w:val="nil"/>
            </w:tcBorders>
            <w:shd w:val="clear" w:color="auto" w:fill="auto"/>
            <w:noWrap/>
            <w:vAlign w:val="center"/>
          </w:tcPr>
          <w:p w14:paraId="1D59896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-89.1</w:t>
            </w:r>
          </w:p>
        </w:tc>
        <w:tc>
          <w:tcPr>
            <w:tcW w:w="254" w:type="pct"/>
            <w:tcBorders>
              <w:tl2br w:val="nil"/>
              <w:tr2bl w:val="nil"/>
            </w:tcBorders>
            <w:shd w:val="clear" w:color="auto" w:fill="auto"/>
            <w:noWrap/>
            <w:vAlign w:val="center"/>
          </w:tcPr>
          <w:p w14:paraId="4FDFB1E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55CDF13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9.9</w:t>
            </w:r>
          </w:p>
        </w:tc>
        <w:tc>
          <w:tcPr>
            <w:tcW w:w="417" w:type="pct"/>
            <w:tcBorders>
              <w:tl2br w:val="nil"/>
              <w:tr2bl w:val="nil"/>
            </w:tcBorders>
            <w:shd w:val="clear" w:color="auto" w:fill="auto"/>
            <w:noWrap/>
            <w:vAlign w:val="center"/>
          </w:tcPr>
          <w:p w14:paraId="5FD6C59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65.35</w:t>
            </w:r>
          </w:p>
        </w:tc>
        <w:tc>
          <w:tcPr>
            <w:tcW w:w="254" w:type="pct"/>
            <w:vMerge w:val="continue"/>
            <w:tcBorders>
              <w:tl2br w:val="nil"/>
              <w:tr2bl w:val="nil"/>
            </w:tcBorders>
            <w:shd w:val="clear" w:color="auto" w:fill="auto"/>
            <w:noWrap/>
            <w:vAlign w:val="center"/>
          </w:tcPr>
          <w:p w14:paraId="7CECCE43">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5C4D345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615DFD6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36.35</w:t>
            </w:r>
          </w:p>
        </w:tc>
        <w:tc>
          <w:tcPr>
            <w:tcW w:w="308" w:type="pct"/>
            <w:tcBorders>
              <w:tl2br w:val="nil"/>
              <w:tr2bl w:val="nil"/>
            </w:tcBorders>
            <w:shd w:val="clear" w:color="auto" w:fill="auto"/>
            <w:noWrap/>
            <w:vAlign w:val="center"/>
          </w:tcPr>
          <w:p w14:paraId="098DE07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4F79AB45">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240EC27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0952427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34EB720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2A140B42">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1C3BE39C">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4C5B339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365.6</w:t>
            </w:r>
          </w:p>
        </w:tc>
        <w:tc>
          <w:tcPr>
            <w:tcW w:w="296" w:type="pct"/>
            <w:tcBorders>
              <w:tl2br w:val="nil"/>
              <w:tr2bl w:val="nil"/>
            </w:tcBorders>
            <w:shd w:val="clear" w:color="auto" w:fill="auto"/>
            <w:noWrap/>
            <w:vAlign w:val="center"/>
          </w:tcPr>
          <w:p w14:paraId="6B6238EA">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-89.1</w:t>
            </w:r>
          </w:p>
        </w:tc>
        <w:tc>
          <w:tcPr>
            <w:tcW w:w="254" w:type="pct"/>
            <w:tcBorders>
              <w:tl2br w:val="nil"/>
              <w:tr2bl w:val="nil"/>
            </w:tcBorders>
            <w:shd w:val="clear" w:color="auto" w:fill="auto"/>
            <w:noWrap/>
            <w:vAlign w:val="center"/>
          </w:tcPr>
          <w:p w14:paraId="6F70A77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3C76EE9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21.9</w:t>
            </w:r>
          </w:p>
        </w:tc>
        <w:tc>
          <w:tcPr>
            <w:tcW w:w="417" w:type="pct"/>
            <w:tcBorders>
              <w:tl2br w:val="nil"/>
              <w:tr2bl w:val="nil"/>
            </w:tcBorders>
            <w:shd w:val="clear" w:color="auto" w:fill="auto"/>
            <w:noWrap/>
            <w:vAlign w:val="center"/>
          </w:tcPr>
          <w:p w14:paraId="040F87F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64.44</w:t>
            </w:r>
          </w:p>
        </w:tc>
        <w:tc>
          <w:tcPr>
            <w:tcW w:w="254" w:type="pct"/>
            <w:vMerge w:val="continue"/>
            <w:tcBorders>
              <w:tl2br w:val="nil"/>
              <w:tr2bl w:val="nil"/>
            </w:tcBorders>
            <w:shd w:val="clear" w:color="auto" w:fill="auto"/>
            <w:noWrap/>
            <w:vAlign w:val="center"/>
          </w:tcPr>
          <w:p w14:paraId="0F75E1EB">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76DABD6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5ECF63A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35.44</w:t>
            </w:r>
          </w:p>
        </w:tc>
        <w:tc>
          <w:tcPr>
            <w:tcW w:w="308" w:type="pct"/>
            <w:tcBorders>
              <w:tl2br w:val="nil"/>
              <w:tr2bl w:val="nil"/>
            </w:tcBorders>
            <w:shd w:val="clear" w:color="auto" w:fill="auto"/>
            <w:noWrap/>
            <w:vAlign w:val="center"/>
          </w:tcPr>
          <w:p w14:paraId="5A3BB9C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54E0A08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428200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781C939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1F238CE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32A854E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271941BE">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312F13A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365.6</w:t>
            </w:r>
          </w:p>
        </w:tc>
        <w:tc>
          <w:tcPr>
            <w:tcW w:w="296" w:type="pct"/>
            <w:tcBorders>
              <w:tl2br w:val="nil"/>
              <w:tr2bl w:val="nil"/>
            </w:tcBorders>
            <w:shd w:val="clear" w:color="auto" w:fill="auto"/>
            <w:noWrap/>
            <w:vAlign w:val="center"/>
          </w:tcPr>
          <w:p w14:paraId="4545784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-89.1</w:t>
            </w:r>
          </w:p>
        </w:tc>
        <w:tc>
          <w:tcPr>
            <w:tcW w:w="254" w:type="pct"/>
            <w:tcBorders>
              <w:tl2br w:val="nil"/>
              <w:tr2bl w:val="nil"/>
            </w:tcBorders>
            <w:shd w:val="clear" w:color="auto" w:fill="auto"/>
            <w:noWrap/>
            <w:vAlign w:val="center"/>
          </w:tcPr>
          <w:p w14:paraId="44BC4B1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w:t>
            </w:r>
          </w:p>
        </w:tc>
        <w:tc>
          <w:tcPr>
            <w:tcW w:w="321" w:type="pct"/>
            <w:tcBorders>
              <w:tl2br w:val="nil"/>
              <w:tr2bl w:val="nil"/>
            </w:tcBorders>
            <w:shd w:val="clear" w:color="auto" w:fill="auto"/>
            <w:noWrap/>
            <w:vAlign w:val="center"/>
          </w:tcPr>
          <w:p w14:paraId="6AF599A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23</w:t>
            </w:r>
          </w:p>
        </w:tc>
        <w:tc>
          <w:tcPr>
            <w:tcW w:w="417" w:type="pct"/>
            <w:tcBorders>
              <w:tl2br w:val="nil"/>
              <w:tr2bl w:val="nil"/>
            </w:tcBorders>
            <w:shd w:val="clear" w:color="auto" w:fill="auto"/>
            <w:noWrap/>
            <w:vAlign w:val="center"/>
          </w:tcPr>
          <w:p w14:paraId="04F309F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64.42</w:t>
            </w:r>
          </w:p>
        </w:tc>
        <w:tc>
          <w:tcPr>
            <w:tcW w:w="254" w:type="pct"/>
            <w:vMerge w:val="continue"/>
            <w:tcBorders>
              <w:tl2br w:val="nil"/>
              <w:tr2bl w:val="nil"/>
            </w:tcBorders>
            <w:shd w:val="clear" w:color="auto" w:fill="auto"/>
            <w:noWrap/>
            <w:vAlign w:val="center"/>
          </w:tcPr>
          <w:p w14:paraId="7E7D3138">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2AB989A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3EDEA25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35.42</w:t>
            </w:r>
          </w:p>
        </w:tc>
        <w:tc>
          <w:tcPr>
            <w:tcW w:w="308" w:type="pct"/>
            <w:tcBorders>
              <w:tl2br w:val="nil"/>
              <w:tr2bl w:val="nil"/>
            </w:tcBorders>
            <w:shd w:val="clear" w:color="auto" w:fill="auto"/>
            <w:noWrap/>
            <w:vAlign w:val="center"/>
          </w:tcPr>
          <w:p w14:paraId="46F679A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32B24CEB">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5BF9831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restart"/>
            <w:tcBorders>
              <w:tl2br w:val="nil"/>
              <w:tr2bl w:val="nil"/>
            </w:tcBorders>
            <w:shd w:val="clear" w:color="auto" w:fill="auto"/>
            <w:noWrap/>
            <w:vAlign w:val="center"/>
          </w:tcPr>
          <w:p w14:paraId="1C061EB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灰库</w:t>
            </w:r>
          </w:p>
        </w:tc>
        <w:tc>
          <w:tcPr>
            <w:tcW w:w="398" w:type="pct"/>
            <w:vMerge w:val="restart"/>
            <w:tcBorders>
              <w:tl2br w:val="nil"/>
              <w:tr2bl w:val="nil"/>
            </w:tcBorders>
            <w:shd w:val="clear" w:color="auto" w:fill="auto"/>
            <w:noWrap/>
            <w:vAlign w:val="center"/>
          </w:tcPr>
          <w:p w14:paraId="1406B63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灰库风机</w:t>
            </w:r>
          </w:p>
        </w:tc>
        <w:tc>
          <w:tcPr>
            <w:tcW w:w="387" w:type="pct"/>
            <w:vMerge w:val="restart"/>
            <w:tcBorders>
              <w:tl2br w:val="nil"/>
              <w:tr2bl w:val="nil"/>
            </w:tcBorders>
            <w:shd w:val="clear" w:color="auto" w:fill="auto"/>
            <w:noWrap/>
            <w:vAlign w:val="center"/>
          </w:tcPr>
          <w:p w14:paraId="708734C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100</w:t>
            </w:r>
          </w:p>
        </w:tc>
        <w:tc>
          <w:tcPr>
            <w:tcW w:w="575" w:type="pct"/>
            <w:vMerge w:val="restart"/>
            <w:tcBorders>
              <w:tl2br w:val="nil"/>
              <w:tr2bl w:val="nil"/>
            </w:tcBorders>
            <w:shd w:val="clear" w:color="auto" w:fill="auto"/>
            <w:noWrap/>
            <w:vAlign w:val="center"/>
          </w:tcPr>
          <w:p w14:paraId="26B8FB58">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隔声罩壳</w:t>
            </w:r>
          </w:p>
          <w:p w14:paraId="51E13DB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厂房隔声</w:t>
            </w:r>
          </w:p>
        </w:tc>
        <w:tc>
          <w:tcPr>
            <w:tcW w:w="284" w:type="pct"/>
            <w:tcBorders>
              <w:tl2br w:val="nil"/>
              <w:tr2bl w:val="nil"/>
            </w:tcBorders>
            <w:shd w:val="clear" w:color="auto" w:fill="auto"/>
            <w:noWrap/>
            <w:vAlign w:val="center"/>
          </w:tcPr>
          <w:p w14:paraId="039F4D3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188.4</w:t>
            </w:r>
          </w:p>
        </w:tc>
        <w:tc>
          <w:tcPr>
            <w:tcW w:w="296" w:type="pct"/>
            <w:tcBorders>
              <w:tl2br w:val="nil"/>
              <w:tr2bl w:val="nil"/>
            </w:tcBorders>
            <w:shd w:val="clear" w:color="auto" w:fill="auto"/>
            <w:noWrap/>
            <w:vAlign w:val="center"/>
          </w:tcPr>
          <w:p w14:paraId="3CB82DE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510.4</w:t>
            </w:r>
          </w:p>
        </w:tc>
        <w:tc>
          <w:tcPr>
            <w:tcW w:w="254" w:type="pct"/>
            <w:tcBorders>
              <w:tl2br w:val="nil"/>
              <w:tr2bl w:val="nil"/>
            </w:tcBorders>
            <w:shd w:val="clear" w:color="auto" w:fill="auto"/>
            <w:noWrap/>
            <w:vAlign w:val="center"/>
          </w:tcPr>
          <w:p w14:paraId="01FBBA1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0.5</w:t>
            </w:r>
          </w:p>
        </w:tc>
        <w:tc>
          <w:tcPr>
            <w:tcW w:w="321" w:type="pct"/>
            <w:tcBorders>
              <w:tl2br w:val="nil"/>
              <w:tr2bl w:val="nil"/>
            </w:tcBorders>
            <w:shd w:val="clear" w:color="auto" w:fill="auto"/>
            <w:noWrap/>
            <w:vAlign w:val="center"/>
          </w:tcPr>
          <w:p w14:paraId="04B0792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54.52</w:t>
            </w:r>
          </w:p>
        </w:tc>
        <w:tc>
          <w:tcPr>
            <w:tcW w:w="417" w:type="pct"/>
            <w:tcBorders>
              <w:tl2br w:val="nil"/>
              <w:tr2bl w:val="nil"/>
            </w:tcBorders>
            <w:shd w:val="clear" w:color="auto" w:fill="auto"/>
            <w:noWrap/>
            <w:vAlign w:val="center"/>
          </w:tcPr>
          <w:p w14:paraId="020699F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68.87</w:t>
            </w:r>
          </w:p>
        </w:tc>
        <w:tc>
          <w:tcPr>
            <w:tcW w:w="254" w:type="pct"/>
            <w:vMerge w:val="restart"/>
            <w:tcBorders>
              <w:tl2br w:val="nil"/>
              <w:tr2bl w:val="nil"/>
            </w:tcBorders>
            <w:shd w:val="clear" w:color="auto" w:fill="auto"/>
            <w:noWrap/>
            <w:vAlign w:val="center"/>
          </w:tcPr>
          <w:p w14:paraId="1F0E1793">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连续</w:t>
            </w:r>
          </w:p>
        </w:tc>
        <w:tc>
          <w:tcPr>
            <w:tcW w:w="447" w:type="pct"/>
            <w:tcBorders>
              <w:tl2br w:val="nil"/>
              <w:tr2bl w:val="nil"/>
            </w:tcBorders>
            <w:shd w:val="clear" w:color="auto" w:fill="auto"/>
            <w:noWrap/>
            <w:vAlign w:val="center"/>
          </w:tcPr>
          <w:p w14:paraId="670A30FB">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6F5C338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49.87</w:t>
            </w:r>
          </w:p>
        </w:tc>
        <w:tc>
          <w:tcPr>
            <w:tcW w:w="308" w:type="pct"/>
            <w:tcBorders>
              <w:tl2br w:val="nil"/>
              <w:tr2bl w:val="nil"/>
            </w:tcBorders>
            <w:shd w:val="clear" w:color="auto" w:fill="auto"/>
            <w:noWrap/>
            <w:vAlign w:val="center"/>
          </w:tcPr>
          <w:p w14:paraId="212C5008">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6B8186A5">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2F434B9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505383AD">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7EBD2390">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3ED7727B">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35B33F65">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6938821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188.4</w:t>
            </w:r>
          </w:p>
        </w:tc>
        <w:tc>
          <w:tcPr>
            <w:tcW w:w="296" w:type="pct"/>
            <w:tcBorders>
              <w:tl2br w:val="nil"/>
              <w:tr2bl w:val="nil"/>
            </w:tcBorders>
            <w:shd w:val="clear" w:color="auto" w:fill="auto"/>
            <w:noWrap/>
            <w:vAlign w:val="center"/>
          </w:tcPr>
          <w:p w14:paraId="237C402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510.4</w:t>
            </w:r>
          </w:p>
        </w:tc>
        <w:tc>
          <w:tcPr>
            <w:tcW w:w="254" w:type="pct"/>
            <w:tcBorders>
              <w:tl2br w:val="nil"/>
              <w:tr2bl w:val="nil"/>
            </w:tcBorders>
            <w:shd w:val="clear" w:color="auto" w:fill="auto"/>
            <w:noWrap/>
            <w:vAlign w:val="center"/>
          </w:tcPr>
          <w:p w14:paraId="74343F3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0.5</w:t>
            </w:r>
          </w:p>
        </w:tc>
        <w:tc>
          <w:tcPr>
            <w:tcW w:w="321" w:type="pct"/>
            <w:tcBorders>
              <w:tl2br w:val="nil"/>
              <w:tr2bl w:val="nil"/>
            </w:tcBorders>
            <w:shd w:val="clear" w:color="auto" w:fill="auto"/>
            <w:noWrap/>
            <w:vAlign w:val="center"/>
          </w:tcPr>
          <w:p w14:paraId="6510850E">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12.25</w:t>
            </w:r>
          </w:p>
        </w:tc>
        <w:tc>
          <w:tcPr>
            <w:tcW w:w="417" w:type="pct"/>
            <w:tcBorders>
              <w:tl2br w:val="nil"/>
              <w:tr2bl w:val="nil"/>
            </w:tcBorders>
            <w:shd w:val="clear" w:color="auto" w:fill="auto"/>
            <w:noWrap/>
            <w:vAlign w:val="center"/>
          </w:tcPr>
          <w:p w14:paraId="78DDE6D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71.05</w:t>
            </w:r>
          </w:p>
        </w:tc>
        <w:tc>
          <w:tcPr>
            <w:tcW w:w="254" w:type="pct"/>
            <w:vMerge w:val="continue"/>
            <w:tcBorders>
              <w:tl2br w:val="nil"/>
              <w:tr2bl w:val="nil"/>
            </w:tcBorders>
            <w:shd w:val="clear" w:color="auto" w:fill="auto"/>
            <w:noWrap/>
            <w:vAlign w:val="center"/>
          </w:tcPr>
          <w:p w14:paraId="63676A12">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3155B807">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4F3314F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52.05</w:t>
            </w:r>
          </w:p>
        </w:tc>
        <w:tc>
          <w:tcPr>
            <w:tcW w:w="308" w:type="pct"/>
            <w:tcBorders>
              <w:tl2br w:val="nil"/>
              <w:tr2bl w:val="nil"/>
            </w:tcBorders>
            <w:shd w:val="clear" w:color="auto" w:fill="auto"/>
            <w:noWrap/>
            <w:vAlign w:val="center"/>
          </w:tcPr>
          <w:p w14:paraId="66FD08B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651D377D">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132860C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346" w:type="pct"/>
            <w:vMerge w:val="continue"/>
            <w:tcBorders>
              <w:tl2br w:val="nil"/>
              <w:tr2bl w:val="nil"/>
            </w:tcBorders>
            <w:shd w:val="clear" w:color="auto" w:fill="auto"/>
            <w:noWrap/>
            <w:vAlign w:val="center"/>
          </w:tcPr>
          <w:p w14:paraId="5E948BE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4E5E8537">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1DFD4248">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572A6BF3">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2AA128C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188.4</w:t>
            </w:r>
          </w:p>
        </w:tc>
        <w:tc>
          <w:tcPr>
            <w:tcW w:w="296" w:type="pct"/>
            <w:tcBorders>
              <w:tl2br w:val="nil"/>
              <w:tr2bl w:val="nil"/>
            </w:tcBorders>
            <w:shd w:val="clear" w:color="auto" w:fill="auto"/>
            <w:noWrap/>
            <w:vAlign w:val="center"/>
          </w:tcPr>
          <w:p w14:paraId="04E63A2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510.4</w:t>
            </w:r>
          </w:p>
        </w:tc>
        <w:tc>
          <w:tcPr>
            <w:tcW w:w="254" w:type="pct"/>
            <w:tcBorders>
              <w:tl2br w:val="nil"/>
              <w:tr2bl w:val="nil"/>
            </w:tcBorders>
            <w:shd w:val="clear" w:color="auto" w:fill="auto"/>
            <w:noWrap/>
            <w:vAlign w:val="center"/>
          </w:tcPr>
          <w:p w14:paraId="6259E79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0.5</w:t>
            </w:r>
          </w:p>
        </w:tc>
        <w:tc>
          <w:tcPr>
            <w:tcW w:w="321" w:type="pct"/>
            <w:tcBorders>
              <w:tl2br w:val="nil"/>
              <w:tr2bl w:val="nil"/>
            </w:tcBorders>
            <w:shd w:val="clear" w:color="auto" w:fill="auto"/>
            <w:noWrap/>
            <w:vAlign w:val="center"/>
          </w:tcPr>
          <w:p w14:paraId="24511D6D">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51.37</w:t>
            </w:r>
          </w:p>
        </w:tc>
        <w:tc>
          <w:tcPr>
            <w:tcW w:w="417" w:type="pct"/>
            <w:tcBorders>
              <w:tl2br w:val="nil"/>
              <w:tr2bl w:val="nil"/>
            </w:tcBorders>
            <w:shd w:val="clear" w:color="auto" w:fill="auto"/>
            <w:noWrap/>
            <w:vAlign w:val="center"/>
          </w:tcPr>
          <w:p w14:paraId="59867DA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68.89</w:t>
            </w:r>
          </w:p>
        </w:tc>
        <w:tc>
          <w:tcPr>
            <w:tcW w:w="254" w:type="pct"/>
            <w:vMerge w:val="continue"/>
            <w:tcBorders>
              <w:tl2br w:val="nil"/>
              <w:tr2bl w:val="nil"/>
            </w:tcBorders>
            <w:shd w:val="clear" w:color="auto" w:fill="auto"/>
            <w:noWrap/>
            <w:vAlign w:val="center"/>
          </w:tcPr>
          <w:p w14:paraId="765C1931">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52614B95">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59BC406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49.89</w:t>
            </w:r>
          </w:p>
        </w:tc>
        <w:tc>
          <w:tcPr>
            <w:tcW w:w="308" w:type="pct"/>
            <w:tcBorders>
              <w:tl2br w:val="nil"/>
              <w:tr2bl w:val="nil"/>
            </w:tcBorders>
            <w:shd w:val="clear" w:color="auto" w:fill="auto"/>
            <w:noWrap/>
            <w:vAlign w:val="center"/>
          </w:tcPr>
          <w:p w14:paraId="465C7FA4">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14001674">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r w14:paraId="00EE462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atLeast"/>
          <w:jc w:val="center"/>
        </w:trPr>
        <w:tc>
          <w:tcPr>
            <w:tcW w:w="346" w:type="pct"/>
            <w:vMerge w:val="continue"/>
            <w:tcBorders>
              <w:tl2br w:val="nil"/>
              <w:tr2bl w:val="nil"/>
            </w:tcBorders>
            <w:shd w:val="clear" w:color="auto" w:fill="auto"/>
            <w:noWrap/>
            <w:vAlign w:val="center"/>
          </w:tcPr>
          <w:p w14:paraId="566407D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98" w:type="pct"/>
            <w:vMerge w:val="continue"/>
            <w:tcBorders>
              <w:tl2br w:val="nil"/>
              <w:tr2bl w:val="nil"/>
            </w:tcBorders>
            <w:shd w:val="clear" w:color="auto" w:fill="auto"/>
            <w:noWrap/>
            <w:vAlign w:val="center"/>
          </w:tcPr>
          <w:p w14:paraId="63F0E7F5">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387" w:type="pct"/>
            <w:vMerge w:val="continue"/>
            <w:tcBorders>
              <w:tl2br w:val="nil"/>
              <w:tr2bl w:val="nil"/>
            </w:tcBorders>
            <w:shd w:val="clear" w:color="auto" w:fill="auto"/>
            <w:noWrap/>
            <w:vAlign w:val="center"/>
          </w:tcPr>
          <w:p w14:paraId="4C9117D6">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575" w:type="pct"/>
            <w:vMerge w:val="continue"/>
            <w:tcBorders>
              <w:tl2br w:val="nil"/>
              <w:tr2bl w:val="nil"/>
            </w:tcBorders>
            <w:shd w:val="clear" w:color="auto" w:fill="auto"/>
            <w:noWrap/>
            <w:vAlign w:val="center"/>
          </w:tcPr>
          <w:p w14:paraId="5860C871">
            <w:pPr>
              <w:spacing w:line="240" w:lineRule="auto"/>
              <w:ind w:firstLine="0" w:firstLineChars="0"/>
              <w:jc w:val="center"/>
              <w:rPr>
                <w:rFonts w:hint="default" w:ascii="Times New Roman" w:hAnsi="Times New Roman" w:eastAsia="宋体" w:cs="Times New Roman"/>
                <w:color w:val="FF0000"/>
                <w:sz w:val="21"/>
                <w:szCs w:val="21"/>
                <w:highlight w:val="none"/>
              </w:rPr>
            </w:pPr>
          </w:p>
        </w:tc>
        <w:tc>
          <w:tcPr>
            <w:tcW w:w="284" w:type="pct"/>
            <w:tcBorders>
              <w:tl2br w:val="nil"/>
              <w:tr2bl w:val="nil"/>
            </w:tcBorders>
            <w:shd w:val="clear" w:color="auto" w:fill="auto"/>
            <w:noWrap/>
            <w:vAlign w:val="center"/>
          </w:tcPr>
          <w:p w14:paraId="404F6881">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188.4</w:t>
            </w:r>
          </w:p>
        </w:tc>
        <w:tc>
          <w:tcPr>
            <w:tcW w:w="296" w:type="pct"/>
            <w:tcBorders>
              <w:tl2br w:val="nil"/>
              <w:tr2bl w:val="nil"/>
            </w:tcBorders>
            <w:shd w:val="clear" w:color="auto" w:fill="auto"/>
            <w:noWrap/>
            <w:vAlign w:val="center"/>
          </w:tcPr>
          <w:p w14:paraId="32CA3D96">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510.4</w:t>
            </w:r>
          </w:p>
        </w:tc>
        <w:tc>
          <w:tcPr>
            <w:tcW w:w="254" w:type="pct"/>
            <w:tcBorders>
              <w:tl2br w:val="nil"/>
              <w:tr2bl w:val="nil"/>
            </w:tcBorders>
            <w:shd w:val="clear" w:color="auto" w:fill="auto"/>
            <w:noWrap/>
            <w:vAlign w:val="center"/>
          </w:tcPr>
          <w:p w14:paraId="5850E5DF">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0.5</w:t>
            </w:r>
          </w:p>
        </w:tc>
        <w:tc>
          <w:tcPr>
            <w:tcW w:w="321" w:type="pct"/>
            <w:tcBorders>
              <w:tl2br w:val="nil"/>
              <w:tr2bl w:val="nil"/>
            </w:tcBorders>
            <w:shd w:val="clear" w:color="auto" w:fill="auto"/>
            <w:noWrap/>
            <w:vAlign w:val="center"/>
          </w:tcPr>
          <w:p w14:paraId="17C9FD53">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33.26</w:t>
            </w:r>
          </w:p>
        </w:tc>
        <w:tc>
          <w:tcPr>
            <w:tcW w:w="417" w:type="pct"/>
            <w:tcBorders>
              <w:tl2br w:val="nil"/>
              <w:tr2bl w:val="nil"/>
            </w:tcBorders>
            <w:shd w:val="clear" w:color="auto" w:fill="auto"/>
            <w:noWrap/>
            <w:vAlign w:val="center"/>
          </w:tcPr>
          <w:p w14:paraId="29EFC142">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69.12</w:t>
            </w:r>
          </w:p>
        </w:tc>
        <w:tc>
          <w:tcPr>
            <w:tcW w:w="254" w:type="pct"/>
            <w:vMerge w:val="continue"/>
            <w:tcBorders>
              <w:tl2br w:val="nil"/>
              <w:tr2bl w:val="nil"/>
            </w:tcBorders>
            <w:shd w:val="clear" w:color="auto" w:fill="auto"/>
            <w:noWrap/>
            <w:vAlign w:val="center"/>
          </w:tcPr>
          <w:p w14:paraId="6D8E59D5">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c>
          <w:tcPr>
            <w:tcW w:w="447" w:type="pct"/>
            <w:tcBorders>
              <w:tl2br w:val="nil"/>
              <w:tr2bl w:val="nil"/>
            </w:tcBorders>
            <w:shd w:val="clear" w:color="auto" w:fill="auto"/>
            <w:noWrap/>
            <w:vAlign w:val="center"/>
          </w:tcPr>
          <w:p w14:paraId="2A5FCF70">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25</w:t>
            </w:r>
          </w:p>
        </w:tc>
        <w:tc>
          <w:tcPr>
            <w:tcW w:w="381" w:type="pct"/>
            <w:tcBorders>
              <w:tl2br w:val="nil"/>
              <w:tr2bl w:val="nil"/>
            </w:tcBorders>
            <w:shd w:val="clear" w:color="auto" w:fill="auto"/>
            <w:noWrap/>
            <w:vAlign w:val="center"/>
          </w:tcPr>
          <w:p w14:paraId="7D5AFB99">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50.12</w:t>
            </w:r>
          </w:p>
        </w:tc>
        <w:tc>
          <w:tcPr>
            <w:tcW w:w="308" w:type="pct"/>
            <w:tcBorders>
              <w:tl2br w:val="nil"/>
              <w:tr2bl w:val="nil"/>
            </w:tcBorders>
            <w:shd w:val="clear" w:color="auto" w:fill="auto"/>
            <w:noWrap/>
            <w:vAlign w:val="center"/>
          </w:tcPr>
          <w:p w14:paraId="673A5E9C">
            <w:pPr>
              <w:spacing w:line="240" w:lineRule="auto"/>
              <w:ind w:firstLine="0" w:firstLineChars="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1m</w:t>
            </w:r>
          </w:p>
        </w:tc>
        <w:tc>
          <w:tcPr>
            <w:tcW w:w="325" w:type="pct"/>
            <w:vMerge w:val="continue"/>
            <w:tcBorders>
              <w:tl2br w:val="nil"/>
              <w:tr2bl w:val="nil"/>
            </w:tcBorders>
            <w:shd w:val="clear" w:color="auto" w:fill="auto"/>
            <w:noWrap/>
            <w:vAlign w:val="center"/>
          </w:tcPr>
          <w:p w14:paraId="26C1610F">
            <w:pPr>
              <w:spacing w:line="240" w:lineRule="auto"/>
              <w:ind w:firstLine="0" w:firstLineChars="0"/>
              <w:jc w:val="center"/>
              <w:rPr>
                <w:rFonts w:hint="default" w:ascii="Times New Roman" w:hAnsi="Times New Roman" w:eastAsia="宋体" w:cs="Times New Roman"/>
                <w:color w:val="FF0000"/>
                <w:sz w:val="21"/>
                <w:szCs w:val="21"/>
                <w:highlight w:val="none"/>
                <w:lang w:val="en-US" w:eastAsia="zh-CN"/>
              </w:rPr>
            </w:pPr>
          </w:p>
        </w:tc>
      </w:tr>
    </w:tbl>
    <w:p w14:paraId="726538DE">
      <w:pPr>
        <w:spacing w:line="480" w:lineRule="exact"/>
        <w:ind w:firstLine="0" w:firstLineChars="0"/>
        <w:jc w:val="center"/>
        <w:rPr>
          <w:rFonts w:hint="default" w:ascii="Times New Roman" w:hAnsi="Times New Roman" w:eastAsia="宋体" w:cs="Times New Roman"/>
          <w:b w:val="0"/>
          <w:bCs w:val="0"/>
          <w:color w:val="auto"/>
          <w:spacing w:val="0"/>
          <w:sz w:val="21"/>
          <w:szCs w:val="24"/>
          <w:highlight w:val="none"/>
          <w:lang w:val="en-US" w:eastAsia="zh-CN"/>
        </w:rPr>
      </w:pPr>
      <w:r>
        <w:rPr>
          <w:rFonts w:hint="default" w:ascii="Times New Roman" w:hAnsi="Times New Roman" w:eastAsia="黑体" w:cs="Times New Roman"/>
          <w:b w:val="0"/>
          <w:bCs w:val="0"/>
          <w:color w:val="auto"/>
          <w:sz w:val="24"/>
          <w:szCs w:val="24"/>
          <w:highlight w:val="none"/>
        </w:rPr>
        <w:t>表6-2-</w:t>
      </w:r>
      <w:r>
        <w:rPr>
          <w:rFonts w:hint="default" w:ascii="Times New Roman" w:hAnsi="Times New Roman" w:eastAsia="黑体" w:cs="Times New Roman"/>
          <w:b w:val="0"/>
          <w:bCs w:val="0"/>
          <w:color w:val="auto"/>
          <w:sz w:val="24"/>
          <w:szCs w:val="24"/>
          <w:highlight w:val="none"/>
          <w:lang w:val="en-US" w:eastAsia="zh-CN"/>
        </w:rPr>
        <w:t>4</w:t>
      </w:r>
      <w:r>
        <w:rPr>
          <w:rFonts w:hint="eastAsia" w:ascii="Times New Roman" w:hAnsi="Times New Roman" w:eastAsia="黑体" w:cs="Times New Roman"/>
          <w:b w:val="0"/>
          <w:bCs w:val="0"/>
          <w:color w:val="auto"/>
          <w:sz w:val="24"/>
          <w:szCs w:val="24"/>
          <w:highlight w:val="none"/>
          <w:lang w:val="en-US" w:eastAsia="zh-CN"/>
        </w:rPr>
        <w:t>1</w:t>
      </w:r>
      <w:r>
        <w:rPr>
          <w:rFonts w:hint="default" w:ascii="Times New Roman" w:hAnsi="Times New Roman" w:eastAsia="黑体" w:cs="Times New Roman"/>
          <w:b w:val="0"/>
          <w:bCs w:val="0"/>
          <w:color w:val="auto"/>
          <w:sz w:val="24"/>
          <w:szCs w:val="24"/>
          <w:highlight w:val="none"/>
          <w:lang w:val="en-US" w:eastAsia="zh-CN"/>
        </w:rPr>
        <w:t xml:space="preserve"> </w:t>
      </w:r>
      <w:r>
        <w:rPr>
          <w:rFonts w:hint="default" w:ascii="Times New Roman" w:hAnsi="Times New Roman" w:eastAsia="黑体" w:cs="Times New Roman"/>
          <w:b w:val="0"/>
          <w:bCs w:val="0"/>
          <w:color w:val="auto"/>
          <w:sz w:val="24"/>
          <w:szCs w:val="24"/>
          <w:highlight w:val="none"/>
        </w:rPr>
        <w:t xml:space="preserve"> </w:t>
      </w:r>
      <w:r>
        <w:rPr>
          <w:rFonts w:hint="default" w:ascii="Times New Roman" w:hAnsi="Times New Roman" w:eastAsia="黑体" w:cs="Times New Roman"/>
          <w:b w:val="0"/>
          <w:bCs w:val="0"/>
          <w:color w:val="auto"/>
          <w:sz w:val="24"/>
          <w:szCs w:val="24"/>
          <w:highlight w:val="none"/>
          <w:lang w:eastAsia="zh-CN"/>
        </w:rPr>
        <w:t>运营期噪声源强</w:t>
      </w:r>
      <w:r>
        <w:rPr>
          <w:rFonts w:hint="default" w:ascii="Times New Roman" w:hAnsi="Times New Roman" w:eastAsia="黑体" w:cs="Times New Roman"/>
          <w:b w:val="0"/>
          <w:bCs w:val="0"/>
          <w:color w:val="auto"/>
          <w:sz w:val="24"/>
          <w:szCs w:val="24"/>
          <w:highlight w:val="none"/>
          <w:lang w:val="en-US" w:eastAsia="zh-CN"/>
        </w:rPr>
        <w:t>调查清单（室外声源）</w:t>
      </w:r>
    </w:p>
    <w:tbl>
      <w:tblPr>
        <w:tblStyle w:val="3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7"/>
        <w:gridCol w:w="1381"/>
        <w:gridCol w:w="1403"/>
        <w:gridCol w:w="1086"/>
        <w:gridCol w:w="856"/>
        <w:gridCol w:w="1783"/>
        <w:gridCol w:w="2693"/>
        <w:gridCol w:w="1922"/>
        <w:gridCol w:w="1582"/>
        <w:gridCol w:w="802"/>
      </w:tblGrid>
      <w:tr w14:paraId="3E8A8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2" w:type="pct"/>
            <w:vMerge w:val="restart"/>
            <w:tcBorders>
              <w:top w:val="single" w:color="auto" w:sz="12" w:space="0"/>
              <w:left w:val="nil"/>
            </w:tcBorders>
            <w:vAlign w:val="center"/>
          </w:tcPr>
          <w:p w14:paraId="0803FBF2">
            <w:pPr>
              <w:keepNext w:val="0"/>
              <w:keepLines w:val="0"/>
              <w:pageBreakBefore w:val="0"/>
              <w:widowControl/>
              <w:kinsoku/>
              <w:wordWrap/>
              <w:overflowPunct/>
              <w:topLinePunct w:val="0"/>
              <w:autoSpaceDE/>
              <w:autoSpaceDN/>
              <w:bidi w:val="0"/>
              <w:adjustRightInd w:val="0"/>
              <w:snapToGrid/>
              <w:spacing w:before="0" w:beforeAutospacing="0" w:after="0" w:afterAutospacing="0" w:line="240" w:lineRule="auto"/>
              <w:ind w:firstLine="0" w:firstLineChars="0"/>
              <w:jc w:val="center"/>
              <w:textAlignment w:val="auto"/>
              <w:rPr>
                <w:rFonts w:hint="default" w:ascii="Times New Roman" w:hAnsi="Times New Roman" w:eastAsia="宋体" w:cs="Times New Roman"/>
                <w:b w:val="0"/>
                <w:bCs w:val="0"/>
                <w:color w:val="FF0000"/>
                <w:spacing w:val="0"/>
                <w:kern w:val="0"/>
                <w:sz w:val="21"/>
                <w:szCs w:val="21"/>
                <w:highlight w:val="none"/>
                <w:vertAlign w:val="baseline"/>
                <w:lang w:val="en-US" w:eastAsia="zh-CN" w:bidi="ar-SA"/>
              </w:rPr>
            </w:pPr>
            <w:r>
              <w:rPr>
                <w:rFonts w:hint="default" w:ascii="Times New Roman" w:hAnsi="Times New Roman" w:eastAsia="宋体" w:cs="Times New Roman"/>
                <w:b w:val="0"/>
                <w:bCs w:val="0"/>
                <w:color w:val="FF0000"/>
                <w:spacing w:val="0"/>
                <w:kern w:val="0"/>
                <w:sz w:val="21"/>
                <w:szCs w:val="21"/>
                <w:highlight w:val="none"/>
                <w:vertAlign w:val="baseline"/>
                <w:lang w:val="en-US" w:eastAsia="zh-CN" w:bidi="ar-SA"/>
              </w:rPr>
              <w:t>序号</w:t>
            </w:r>
          </w:p>
        </w:tc>
        <w:tc>
          <w:tcPr>
            <w:tcW w:w="487" w:type="pct"/>
            <w:vMerge w:val="restart"/>
            <w:tcBorders>
              <w:top w:val="single" w:color="auto" w:sz="12" w:space="0"/>
            </w:tcBorders>
            <w:vAlign w:val="center"/>
          </w:tcPr>
          <w:p w14:paraId="68BCCB4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声源名称</w:t>
            </w:r>
          </w:p>
        </w:tc>
        <w:tc>
          <w:tcPr>
            <w:tcW w:w="1180" w:type="pct"/>
            <w:gridSpan w:val="3"/>
            <w:tcBorders>
              <w:top w:val="single" w:color="auto" w:sz="12" w:space="0"/>
            </w:tcBorders>
            <w:vAlign w:val="center"/>
          </w:tcPr>
          <w:p w14:paraId="15B65AD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空间相对位置/m</w:t>
            </w:r>
          </w:p>
        </w:tc>
        <w:tc>
          <w:tcPr>
            <w:tcW w:w="629" w:type="pct"/>
            <w:vMerge w:val="restart"/>
            <w:tcBorders>
              <w:top w:val="single" w:color="auto" w:sz="12" w:space="0"/>
            </w:tcBorders>
            <w:vAlign w:val="center"/>
          </w:tcPr>
          <w:p w14:paraId="0B3CD3C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kern w:val="2"/>
                <w:sz w:val="21"/>
                <w:szCs w:val="21"/>
                <w:highlight w:val="none"/>
                <w:lang w:val="en-US" w:eastAsia="zh-CN" w:bidi="ar-SA"/>
              </w:rPr>
              <w:t>声源源强dB(A)</w:t>
            </w:r>
          </w:p>
        </w:tc>
        <w:tc>
          <w:tcPr>
            <w:tcW w:w="950" w:type="pct"/>
            <w:vMerge w:val="restart"/>
            <w:tcBorders>
              <w:top w:val="single" w:color="auto" w:sz="12" w:space="0"/>
            </w:tcBorders>
            <w:vAlign w:val="center"/>
          </w:tcPr>
          <w:p w14:paraId="269DDFB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kern w:val="2"/>
                <w:sz w:val="21"/>
                <w:szCs w:val="21"/>
                <w:highlight w:val="none"/>
                <w:lang w:val="en-US" w:eastAsia="zh-CN" w:bidi="ar-SA"/>
              </w:rPr>
              <w:t>声源控制措施</w:t>
            </w:r>
          </w:p>
        </w:tc>
        <w:tc>
          <w:tcPr>
            <w:tcW w:w="678" w:type="pct"/>
            <w:vMerge w:val="restart"/>
            <w:tcBorders>
              <w:top w:val="single" w:color="auto" w:sz="12" w:space="0"/>
            </w:tcBorders>
            <w:vAlign w:val="center"/>
          </w:tcPr>
          <w:p w14:paraId="19232B30">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降噪效果[dB(A)]</w:t>
            </w:r>
          </w:p>
        </w:tc>
        <w:tc>
          <w:tcPr>
            <w:tcW w:w="558" w:type="pct"/>
            <w:vMerge w:val="restart"/>
            <w:tcBorders>
              <w:top w:val="single" w:color="auto" w:sz="12" w:space="0"/>
            </w:tcBorders>
            <w:vAlign w:val="center"/>
          </w:tcPr>
          <w:p w14:paraId="7CA93E05">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rPr>
              <w:t>噪声排放量</w:t>
            </w:r>
            <w:r>
              <w:rPr>
                <w:rFonts w:hint="default" w:ascii="Times New Roman" w:hAnsi="Times New Roman" w:eastAsia="宋体" w:cs="Times New Roman"/>
                <w:b w:val="0"/>
                <w:bCs w:val="0"/>
                <w:color w:val="FF0000"/>
                <w:sz w:val="21"/>
                <w:szCs w:val="21"/>
                <w:highlight w:val="none"/>
                <w:lang w:val="en-US" w:eastAsia="zh-CN"/>
              </w:rPr>
              <w:t>/</w:t>
            </w:r>
            <w:r>
              <w:rPr>
                <w:rFonts w:hint="default" w:ascii="Times New Roman" w:hAnsi="Times New Roman" w:eastAsia="宋体" w:cs="Times New Roman"/>
                <w:b w:val="0"/>
                <w:bCs w:val="0"/>
                <w:color w:val="FF0000"/>
                <w:sz w:val="21"/>
                <w:szCs w:val="21"/>
                <w:highlight w:val="none"/>
              </w:rPr>
              <w:t>dB(A)</w:t>
            </w:r>
          </w:p>
        </w:tc>
        <w:tc>
          <w:tcPr>
            <w:tcW w:w="283" w:type="pct"/>
            <w:vMerge w:val="restart"/>
            <w:tcBorders>
              <w:top w:val="single" w:color="auto" w:sz="12" w:space="0"/>
              <w:right w:val="nil"/>
            </w:tcBorders>
            <w:vAlign w:val="center"/>
          </w:tcPr>
          <w:p w14:paraId="01823B96">
            <w:pPr>
              <w:keepNext w:val="0"/>
              <w:keepLines w:val="0"/>
              <w:pageBreakBefore w:val="0"/>
              <w:widowControl/>
              <w:kinsoku/>
              <w:wordWrap/>
              <w:overflowPunct/>
              <w:topLinePunct w:val="0"/>
              <w:autoSpaceDE/>
              <w:autoSpaceDN/>
              <w:bidi w:val="0"/>
              <w:adjustRightInd w:val="0"/>
              <w:snapToGrid/>
              <w:spacing w:before="0" w:beforeAutospacing="0" w:after="0" w:afterAutospacing="0" w:line="240" w:lineRule="auto"/>
              <w:ind w:firstLine="0" w:firstLineChars="0"/>
              <w:jc w:val="center"/>
              <w:textAlignment w:val="auto"/>
              <w:rPr>
                <w:rFonts w:hint="default" w:ascii="Times New Roman" w:hAnsi="Times New Roman" w:eastAsia="宋体" w:cs="Times New Roman"/>
                <w:b w:val="0"/>
                <w:bCs w:val="0"/>
                <w:color w:val="FF0000"/>
                <w:spacing w:val="0"/>
                <w:kern w:val="0"/>
                <w:sz w:val="21"/>
                <w:szCs w:val="21"/>
                <w:highlight w:val="none"/>
                <w:vertAlign w:val="baseline"/>
                <w:lang w:val="en-US" w:eastAsia="zh-CN" w:bidi="ar-SA"/>
              </w:rPr>
            </w:pPr>
            <w:r>
              <w:rPr>
                <w:rFonts w:hint="default" w:ascii="Times New Roman" w:hAnsi="Times New Roman" w:eastAsia="宋体" w:cs="Times New Roman"/>
                <w:b w:val="0"/>
                <w:bCs w:val="0"/>
                <w:color w:val="FF0000"/>
                <w:spacing w:val="0"/>
                <w:kern w:val="0"/>
                <w:sz w:val="21"/>
                <w:szCs w:val="21"/>
                <w:highlight w:val="none"/>
                <w:vertAlign w:val="baseline"/>
                <w:lang w:val="en-US" w:eastAsia="zh-CN" w:bidi="ar-SA"/>
              </w:rPr>
              <w:t>运行时段</w:t>
            </w:r>
          </w:p>
        </w:tc>
      </w:tr>
      <w:tr w14:paraId="4BDDC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232" w:type="pct"/>
            <w:vMerge w:val="continue"/>
            <w:tcBorders>
              <w:left w:val="nil"/>
            </w:tcBorders>
            <w:vAlign w:val="center"/>
          </w:tcPr>
          <w:p w14:paraId="560B2ADE">
            <w:pPr>
              <w:keepNext w:val="0"/>
              <w:keepLines w:val="0"/>
              <w:pageBreakBefore w:val="0"/>
              <w:widowControl/>
              <w:kinsoku/>
              <w:wordWrap/>
              <w:overflowPunct/>
              <w:topLinePunct w:val="0"/>
              <w:autoSpaceDE/>
              <w:autoSpaceDN/>
              <w:bidi w:val="0"/>
              <w:adjustRightInd w:val="0"/>
              <w:snapToGrid/>
              <w:spacing w:before="0" w:beforeAutospacing="0" w:after="0" w:afterAutospacing="0" w:line="240" w:lineRule="auto"/>
              <w:ind w:firstLine="0" w:firstLineChars="0"/>
              <w:jc w:val="center"/>
              <w:textAlignment w:val="auto"/>
              <w:rPr>
                <w:rFonts w:hint="default" w:ascii="Times New Roman" w:hAnsi="Times New Roman" w:eastAsia="宋体" w:cs="Times New Roman"/>
                <w:b w:val="0"/>
                <w:bCs w:val="0"/>
                <w:color w:val="FF0000"/>
                <w:spacing w:val="0"/>
                <w:kern w:val="0"/>
                <w:sz w:val="21"/>
                <w:szCs w:val="21"/>
                <w:highlight w:val="none"/>
                <w:vertAlign w:val="baseline"/>
                <w:lang w:val="en-US" w:eastAsia="zh-CN" w:bidi="ar-SA"/>
              </w:rPr>
            </w:pPr>
          </w:p>
        </w:tc>
        <w:tc>
          <w:tcPr>
            <w:tcW w:w="487" w:type="pct"/>
            <w:vMerge w:val="continue"/>
            <w:vAlign w:val="center"/>
          </w:tcPr>
          <w:p w14:paraId="29F6C10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val="0"/>
                <w:bCs w:val="0"/>
                <w:color w:val="FF0000"/>
                <w:sz w:val="21"/>
                <w:szCs w:val="21"/>
                <w:highlight w:val="none"/>
                <w:lang w:val="en-US" w:eastAsia="zh-CN"/>
              </w:rPr>
            </w:pPr>
          </w:p>
        </w:tc>
        <w:tc>
          <w:tcPr>
            <w:tcW w:w="495" w:type="pct"/>
            <w:vAlign w:val="center"/>
          </w:tcPr>
          <w:p w14:paraId="6DB8F7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X</w:t>
            </w:r>
          </w:p>
        </w:tc>
        <w:tc>
          <w:tcPr>
            <w:tcW w:w="383" w:type="pct"/>
            <w:vAlign w:val="center"/>
          </w:tcPr>
          <w:p w14:paraId="1BB8049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Y</w:t>
            </w:r>
          </w:p>
        </w:tc>
        <w:tc>
          <w:tcPr>
            <w:tcW w:w="302" w:type="pct"/>
            <w:vAlign w:val="center"/>
          </w:tcPr>
          <w:p w14:paraId="37E1047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Z</w:t>
            </w:r>
          </w:p>
        </w:tc>
        <w:tc>
          <w:tcPr>
            <w:tcW w:w="629" w:type="pct"/>
            <w:vMerge w:val="continue"/>
            <w:vAlign w:val="center"/>
          </w:tcPr>
          <w:p w14:paraId="0E451FE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val="0"/>
                <w:bCs w:val="0"/>
                <w:color w:val="FF0000"/>
                <w:kern w:val="2"/>
                <w:sz w:val="21"/>
                <w:szCs w:val="21"/>
                <w:highlight w:val="none"/>
                <w:lang w:val="en-US" w:eastAsia="zh-CN" w:bidi="ar-SA"/>
              </w:rPr>
            </w:pPr>
          </w:p>
        </w:tc>
        <w:tc>
          <w:tcPr>
            <w:tcW w:w="950" w:type="pct"/>
            <w:vMerge w:val="continue"/>
            <w:vAlign w:val="center"/>
          </w:tcPr>
          <w:p w14:paraId="3D23B05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val="0"/>
                <w:bCs w:val="0"/>
                <w:color w:val="FF0000"/>
                <w:kern w:val="2"/>
                <w:sz w:val="21"/>
                <w:szCs w:val="21"/>
                <w:highlight w:val="none"/>
                <w:lang w:val="en-US" w:eastAsia="zh-CN" w:bidi="ar-SA"/>
              </w:rPr>
            </w:pPr>
          </w:p>
        </w:tc>
        <w:tc>
          <w:tcPr>
            <w:tcW w:w="678" w:type="pct"/>
            <w:vMerge w:val="continue"/>
            <w:vAlign w:val="center"/>
          </w:tcPr>
          <w:p w14:paraId="054C2EE8">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p>
        </w:tc>
        <w:tc>
          <w:tcPr>
            <w:tcW w:w="558" w:type="pct"/>
            <w:vMerge w:val="continue"/>
            <w:vAlign w:val="center"/>
          </w:tcPr>
          <w:p w14:paraId="1FF5F0F6">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val="0"/>
                <w:color w:val="FF0000"/>
                <w:sz w:val="21"/>
                <w:szCs w:val="21"/>
                <w:highlight w:val="none"/>
              </w:rPr>
            </w:pPr>
          </w:p>
        </w:tc>
        <w:tc>
          <w:tcPr>
            <w:tcW w:w="283" w:type="pct"/>
            <w:vMerge w:val="continue"/>
            <w:tcBorders>
              <w:right w:val="nil"/>
            </w:tcBorders>
            <w:vAlign w:val="center"/>
          </w:tcPr>
          <w:p w14:paraId="73936F76">
            <w:pPr>
              <w:keepNext w:val="0"/>
              <w:keepLines w:val="0"/>
              <w:pageBreakBefore w:val="0"/>
              <w:widowControl/>
              <w:kinsoku/>
              <w:wordWrap/>
              <w:overflowPunct/>
              <w:topLinePunct w:val="0"/>
              <w:autoSpaceDE/>
              <w:autoSpaceDN/>
              <w:bidi w:val="0"/>
              <w:adjustRightInd w:val="0"/>
              <w:snapToGrid/>
              <w:spacing w:before="0" w:beforeAutospacing="0" w:after="0" w:afterAutospacing="0" w:line="240" w:lineRule="auto"/>
              <w:ind w:firstLine="0" w:firstLineChars="0"/>
              <w:jc w:val="center"/>
              <w:textAlignment w:val="auto"/>
              <w:rPr>
                <w:rFonts w:hint="default" w:ascii="Times New Roman" w:hAnsi="Times New Roman" w:eastAsia="宋体" w:cs="Times New Roman"/>
                <w:b w:val="0"/>
                <w:bCs w:val="0"/>
                <w:color w:val="FF0000"/>
                <w:spacing w:val="0"/>
                <w:kern w:val="0"/>
                <w:sz w:val="21"/>
                <w:szCs w:val="21"/>
                <w:highlight w:val="none"/>
                <w:vertAlign w:val="baseline"/>
                <w:lang w:val="en-US" w:eastAsia="zh-CN" w:bidi="ar-SA"/>
              </w:rPr>
            </w:pPr>
          </w:p>
        </w:tc>
      </w:tr>
      <w:tr w14:paraId="4038B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2" w:type="pct"/>
            <w:tcBorders>
              <w:left w:val="nil"/>
            </w:tcBorders>
            <w:vAlign w:val="center"/>
          </w:tcPr>
          <w:p w14:paraId="082F7D38">
            <w:pPr>
              <w:keepNext w:val="0"/>
              <w:keepLines w:val="0"/>
              <w:pageBreakBefore w:val="0"/>
              <w:widowControl/>
              <w:kinsoku/>
              <w:wordWrap/>
              <w:overflowPunct/>
              <w:topLinePunct w:val="0"/>
              <w:autoSpaceDE/>
              <w:autoSpaceDN/>
              <w:bidi w:val="0"/>
              <w:adjustRightInd w:val="0"/>
              <w:snapToGrid/>
              <w:spacing w:before="0" w:beforeAutospacing="0" w:after="0" w:afterAutospacing="0" w:line="240" w:lineRule="auto"/>
              <w:ind w:firstLine="0" w:firstLineChars="0"/>
              <w:jc w:val="center"/>
              <w:textAlignment w:val="auto"/>
              <w:rPr>
                <w:rFonts w:hint="default" w:ascii="Times New Roman" w:hAnsi="Times New Roman" w:eastAsia="宋体" w:cs="Times New Roman"/>
                <w:b w:val="0"/>
                <w:bCs w:val="0"/>
                <w:color w:val="FF0000"/>
                <w:spacing w:val="0"/>
                <w:kern w:val="0"/>
                <w:sz w:val="21"/>
                <w:szCs w:val="21"/>
                <w:highlight w:val="none"/>
                <w:vertAlign w:val="baseline"/>
                <w:lang w:val="en-US" w:eastAsia="zh-CN" w:bidi="ar-SA"/>
              </w:rPr>
            </w:pPr>
            <w:r>
              <w:rPr>
                <w:rFonts w:hint="default" w:ascii="Times New Roman" w:hAnsi="Times New Roman" w:eastAsia="宋体" w:cs="Times New Roman"/>
                <w:b w:val="0"/>
                <w:bCs w:val="0"/>
                <w:color w:val="FF0000"/>
                <w:spacing w:val="0"/>
                <w:kern w:val="0"/>
                <w:sz w:val="21"/>
                <w:szCs w:val="21"/>
                <w:highlight w:val="none"/>
                <w:vertAlign w:val="baseline"/>
                <w:lang w:val="en-US" w:eastAsia="zh-CN" w:bidi="ar-SA"/>
              </w:rPr>
              <w:t>1</w:t>
            </w:r>
          </w:p>
        </w:tc>
        <w:tc>
          <w:tcPr>
            <w:tcW w:w="487" w:type="pct"/>
            <w:vAlign w:val="center"/>
          </w:tcPr>
          <w:p w14:paraId="2D217FF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rPr>
              <w:t>冷却塔</w:t>
            </w:r>
          </w:p>
        </w:tc>
        <w:tc>
          <w:tcPr>
            <w:tcW w:w="495" w:type="pct"/>
            <w:vAlign w:val="bottom"/>
          </w:tcPr>
          <w:p w14:paraId="2BE2321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val="0"/>
                <w:bCs w:val="0"/>
                <w:color w:val="FF0000"/>
                <w:sz w:val="21"/>
                <w:szCs w:val="21"/>
                <w:highlight w:val="none"/>
                <w:lang w:val="en-US" w:eastAsia="zh-CN"/>
              </w:rPr>
            </w:pPr>
            <w:r>
              <w:rPr>
                <w:rFonts w:hint="eastAsia" w:ascii="Times New Roman" w:hAnsi="Times New Roman" w:eastAsia="宋体" w:cs="Times New Roman"/>
                <w:b w:val="0"/>
                <w:bCs w:val="0"/>
                <w:color w:val="FF0000"/>
                <w:sz w:val="21"/>
                <w:szCs w:val="21"/>
                <w:highlight w:val="none"/>
                <w:lang w:val="en-US" w:eastAsia="zh-CN"/>
              </w:rPr>
              <w:t>502.5</w:t>
            </w:r>
          </w:p>
        </w:tc>
        <w:tc>
          <w:tcPr>
            <w:tcW w:w="383" w:type="pct"/>
            <w:vAlign w:val="bottom"/>
          </w:tcPr>
          <w:p w14:paraId="0B06C7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val="0"/>
                <w:bCs w:val="0"/>
                <w:color w:val="FF0000"/>
                <w:sz w:val="21"/>
                <w:szCs w:val="21"/>
                <w:highlight w:val="none"/>
                <w:lang w:val="en-US" w:eastAsia="zh-CN"/>
              </w:rPr>
            </w:pPr>
            <w:r>
              <w:rPr>
                <w:rFonts w:hint="eastAsia" w:ascii="Times New Roman" w:hAnsi="Times New Roman" w:eastAsia="宋体" w:cs="Times New Roman"/>
                <w:b w:val="0"/>
                <w:bCs w:val="0"/>
                <w:color w:val="FF0000"/>
                <w:sz w:val="21"/>
                <w:szCs w:val="21"/>
                <w:highlight w:val="none"/>
                <w:lang w:val="en-US" w:eastAsia="zh-CN"/>
              </w:rPr>
              <w:t>-4.1</w:t>
            </w:r>
          </w:p>
        </w:tc>
        <w:tc>
          <w:tcPr>
            <w:tcW w:w="302" w:type="pct"/>
            <w:vAlign w:val="bottom"/>
          </w:tcPr>
          <w:p w14:paraId="7FE1FDC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val="0"/>
                <w:bCs w:val="0"/>
                <w:color w:val="FF0000"/>
                <w:sz w:val="21"/>
                <w:szCs w:val="21"/>
                <w:highlight w:val="none"/>
                <w:lang w:val="en-US" w:eastAsia="zh-CN"/>
              </w:rPr>
            </w:pPr>
            <w:r>
              <w:rPr>
                <w:rFonts w:hint="eastAsia" w:ascii="Times New Roman" w:hAnsi="Times New Roman" w:eastAsia="宋体" w:cs="Times New Roman"/>
                <w:b w:val="0"/>
                <w:bCs w:val="0"/>
                <w:color w:val="FF0000"/>
                <w:sz w:val="21"/>
                <w:szCs w:val="21"/>
                <w:highlight w:val="none"/>
                <w:lang w:val="en-US" w:eastAsia="zh-CN"/>
              </w:rPr>
              <w:t>2</w:t>
            </w:r>
          </w:p>
        </w:tc>
        <w:tc>
          <w:tcPr>
            <w:tcW w:w="629" w:type="pct"/>
            <w:vAlign w:val="center"/>
          </w:tcPr>
          <w:p w14:paraId="1ECAB43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val="0"/>
                <w:bCs w:val="0"/>
                <w:color w:val="FF0000"/>
                <w:kern w:val="2"/>
                <w:sz w:val="21"/>
                <w:szCs w:val="21"/>
                <w:highlight w:val="none"/>
                <w:lang w:val="en-US" w:eastAsia="zh-CN" w:bidi="ar-SA"/>
              </w:rPr>
            </w:pPr>
            <w:r>
              <w:rPr>
                <w:rFonts w:hint="eastAsia" w:ascii="Times New Roman" w:hAnsi="Times New Roman" w:eastAsia="宋体" w:cs="Times New Roman"/>
                <w:b w:val="0"/>
                <w:bCs w:val="0"/>
                <w:color w:val="FF0000"/>
                <w:kern w:val="2"/>
                <w:sz w:val="21"/>
                <w:szCs w:val="21"/>
                <w:highlight w:val="none"/>
                <w:lang w:val="en-US" w:eastAsia="zh-CN" w:bidi="ar-SA"/>
              </w:rPr>
              <w:t>90</w:t>
            </w:r>
          </w:p>
        </w:tc>
        <w:tc>
          <w:tcPr>
            <w:tcW w:w="950" w:type="pct"/>
            <w:vAlign w:val="center"/>
          </w:tcPr>
          <w:p w14:paraId="639E199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val="0"/>
                <w:bCs w:val="0"/>
                <w:color w:val="FF0000"/>
                <w:kern w:val="2"/>
                <w:sz w:val="21"/>
                <w:szCs w:val="21"/>
                <w:highlight w:val="none"/>
                <w:lang w:val="en-US" w:eastAsia="zh-CN" w:bidi="ar-SA"/>
              </w:rPr>
            </w:pPr>
            <w:r>
              <w:rPr>
                <w:rFonts w:hint="default" w:ascii="Times New Roman" w:hAnsi="Times New Roman" w:eastAsia="宋体" w:cs="Times New Roman"/>
                <w:b w:val="0"/>
                <w:bCs w:val="0"/>
                <w:color w:val="FF0000"/>
                <w:kern w:val="2"/>
                <w:sz w:val="21"/>
                <w:szCs w:val="21"/>
                <w:highlight w:val="none"/>
                <w:lang w:val="en-US" w:eastAsia="zh-CN" w:bidi="ar-SA"/>
              </w:rPr>
              <w:t>导流消声片、消声垫</w:t>
            </w:r>
          </w:p>
        </w:tc>
        <w:tc>
          <w:tcPr>
            <w:tcW w:w="678" w:type="pct"/>
            <w:vAlign w:val="center"/>
          </w:tcPr>
          <w:p w14:paraId="632C6ABF">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10</w:t>
            </w:r>
          </w:p>
        </w:tc>
        <w:tc>
          <w:tcPr>
            <w:tcW w:w="558" w:type="pct"/>
            <w:vAlign w:val="center"/>
          </w:tcPr>
          <w:p w14:paraId="0BE8114B">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eastAsia" w:ascii="Times New Roman" w:hAnsi="Times New Roman" w:eastAsia="宋体" w:cs="Times New Roman"/>
                <w:b w:val="0"/>
                <w:bCs w:val="0"/>
                <w:color w:val="FF0000"/>
                <w:sz w:val="21"/>
                <w:szCs w:val="21"/>
                <w:highlight w:val="none"/>
                <w:lang w:val="en-US" w:eastAsia="zh-CN"/>
              </w:rPr>
              <w:t>80</w:t>
            </w:r>
          </w:p>
        </w:tc>
        <w:tc>
          <w:tcPr>
            <w:tcW w:w="283" w:type="pct"/>
            <w:tcBorders>
              <w:right w:val="nil"/>
            </w:tcBorders>
            <w:vAlign w:val="center"/>
          </w:tcPr>
          <w:p w14:paraId="663C7B21">
            <w:pPr>
              <w:keepNext w:val="0"/>
              <w:keepLines w:val="0"/>
              <w:pageBreakBefore w:val="0"/>
              <w:widowControl/>
              <w:kinsoku/>
              <w:wordWrap/>
              <w:overflowPunct/>
              <w:topLinePunct w:val="0"/>
              <w:autoSpaceDE/>
              <w:autoSpaceDN/>
              <w:bidi w:val="0"/>
              <w:adjustRightInd w:val="0"/>
              <w:snapToGrid/>
              <w:spacing w:before="0" w:beforeAutospacing="0" w:after="0" w:afterAutospacing="0" w:line="240" w:lineRule="auto"/>
              <w:ind w:firstLine="0" w:firstLineChars="0"/>
              <w:jc w:val="center"/>
              <w:textAlignment w:val="auto"/>
              <w:rPr>
                <w:rFonts w:hint="default" w:ascii="Times New Roman" w:hAnsi="Times New Roman" w:eastAsia="宋体" w:cs="Times New Roman"/>
                <w:b w:val="0"/>
                <w:bCs w:val="0"/>
                <w:color w:val="FF0000"/>
                <w:spacing w:val="0"/>
                <w:kern w:val="0"/>
                <w:sz w:val="21"/>
                <w:szCs w:val="21"/>
                <w:highlight w:val="none"/>
                <w:vertAlign w:val="baseline"/>
                <w:lang w:val="en-US" w:eastAsia="zh-CN" w:bidi="ar-SA"/>
              </w:rPr>
            </w:pPr>
            <w:r>
              <w:rPr>
                <w:rFonts w:hint="default" w:ascii="Times New Roman" w:hAnsi="Times New Roman" w:eastAsia="宋体" w:cs="Times New Roman"/>
                <w:b w:val="0"/>
                <w:bCs w:val="0"/>
                <w:color w:val="FF0000"/>
                <w:spacing w:val="0"/>
                <w:kern w:val="0"/>
                <w:sz w:val="21"/>
                <w:szCs w:val="21"/>
                <w:highlight w:val="none"/>
                <w:vertAlign w:val="baseline"/>
                <w:lang w:val="en-US" w:eastAsia="zh-CN" w:bidi="ar-SA"/>
              </w:rPr>
              <w:t>连续</w:t>
            </w:r>
          </w:p>
        </w:tc>
      </w:tr>
    </w:tbl>
    <w:p w14:paraId="4E6CA74B">
      <w:pPr>
        <w:bidi w:val="0"/>
        <w:ind w:left="0" w:leftChars="0" w:firstLine="0" w:firstLineChars="0"/>
        <w:rPr>
          <w:rFonts w:hint="default" w:ascii="Times New Roman" w:hAnsi="Times New Roman" w:eastAsia="宋体" w:cs="Times New Roman"/>
          <w:color w:val="auto"/>
          <w:highlight w:val="none"/>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5456CDBF">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（4）预测模式</w:t>
      </w:r>
    </w:p>
    <w:p w14:paraId="25ADB46D">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根据《环境影响评价技术导则 声环境》（HJ2.4-2021）的要求，本项目声环境影响预测模型采用导则中附录A（规范性附录）户外声传播的衰减和附录B（规范性附录）中“B.1工业噪声预测计算模型”。</w:t>
      </w:r>
    </w:p>
    <w:p w14:paraId="6625FC2D">
      <w:pPr>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某一室内声源靠近围护结构处产生的倍频带声压级</w:t>
      </w:r>
    </w:p>
    <w:p w14:paraId="2D04BB44">
      <w:pPr>
        <w:bidi w:val="0"/>
        <w:ind w:left="0" w:leftChars="0" w:firstLine="0" w:firstLineChars="0"/>
        <w:jc w:val="center"/>
        <w:rPr>
          <w:rFonts w:hint="default" w:ascii="Times New Roman" w:hAnsi="Times New Roman" w:eastAsia="宋体" w:cs="Times New Roman"/>
          <w:color w:val="auto"/>
          <w:highlight w:val="none"/>
        </w:rPr>
      </w:pPr>
      <w:bookmarkStart w:id="449" w:name="_Toc337734459"/>
      <w:bookmarkStart w:id="450" w:name="_Toc355942051"/>
      <w:r>
        <w:rPr>
          <w:rFonts w:hint="default" w:ascii="Times New Roman" w:hAnsi="Times New Roman" w:eastAsia="宋体" w:cs="Times New Roman"/>
          <w:color w:val="auto"/>
          <w:position w:val="-28"/>
          <w:szCs w:val="24"/>
          <w:highlight w:val="none"/>
        </w:rPr>
        <w:object>
          <v:shape id="_x0000_i1051" o:spt="75" type="#_x0000_t75" style="height:41.65pt;width:169.3pt;" o:ole="t" filled="f" o:preferrelative="t" stroked="f" coordsize="21600,21600">
            <v:path/>
            <v:fill on="f" focussize="0,0"/>
            <v:stroke on="f"/>
            <v:imagedata r:id="rId111" o:title=""/>
            <o:lock v:ext="edit" aspectratio="t"/>
            <w10:wrap type="none"/>
            <w10:anchorlock/>
          </v:shape>
          <o:OLEObject Type="Embed" ProgID="Equation.3" ShapeID="_x0000_i1051" DrawAspect="Content" ObjectID="_1468075751" r:id="rId110">
            <o:LockedField>false</o:LockedField>
          </o:OLEObject>
        </w:object>
      </w:r>
    </w:p>
    <w:p w14:paraId="7B23CB3B">
      <w:pPr>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式中</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L</w:t>
      </w:r>
      <w:r>
        <w:rPr>
          <w:rFonts w:hint="default" w:ascii="Times New Roman" w:hAnsi="Times New Roman" w:eastAsia="宋体" w:cs="Times New Roman"/>
          <w:color w:val="auto"/>
          <w:highlight w:val="none"/>
          <w:vertAlign w:val="subscript"/>
          <w:lang w:val="en-US" w:eastAsia="zh-CN"/>
        </w:rPr>
        <w:t>p1</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靠近开口处（窗户）室内某倍频带的声压级或A声级，dB；</w:t>
      </w:r>
    </w:p>
    <w:p w14:paraId="42B12144">
      <w:pPr>
        <w:bidi w:val="0"/>
        <w:ind w:firstLine="1200" w:firstLineChars="50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Lw</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点声源声功率级（A计权或倍频带），dB；</w:t>
      </w:r>
    </w:p>
    <w:p w14:paraId="22E69EAC">
      <w:pPr>
        <w:bidi w:val="0"/>
        <w:ind w:firstLine="1200" w:firstLineChars="50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Q—指向性因数，通常对无指向性声源，当声源放在房间中心时，Q=1，当放在一面墙的中心时，Q=2；当放在两面墙夹角处时，Q=4，当放在三面墙夹角处时，Q=8</w:t>
      </w:r>
      <w:r>
        <w:rPr>
          <w:rFonts w:hint="default" w:ascii="Times New Roman" w:hAnsi="Times New Roman" w:eastAsia="宋体" w:cs="Times New Roman"/>
          <w:color w:val="auto"/>
          <w:highlight w:val="none"/>
          <w:lang w:eastAsia="zh-CN"/>
        </w:rPr>
        <w:t>。</w:t>
      </w:r>
    </w:p>
    <w:p w14:paraId="5F878F15">
      <w:pPr>
        <w:bidi w:val="0"/>
        <w:ind w:firstLine="1200" w:firstLineChars="5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R—房间常数，R=Sα/(1−α</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，S为房间内表面面积，m</w:t>
      </w:r>
      <w:r>
        <w:rPr>
          <w:rFonts w:hint="default" w:ascii="Times New Roman" w:hAnsi="Times New Roman" w:eastAsia="宋体" w:cs="Times New Roman"/>
          <w:color w:val="auto"/>
          <w:highlight w:val="none"/>
          <w:vertAlign w:val="superscript"/>
        </w:rPr>
        <w:t>2</w:t>
      </w:r>
      <w:r>
        <w:rPr>
          <w:rFonts w:hint="default" w:ascii="Times New Roman" w:hAnsi="Times New Roman" w:eastAsia="宋体" w:cs="Times New Roman"/>
          <w:color w:val="auto"/>
          <w:highlight w:val="none"/>
        </w:rPr>
        <w:t>，α为平均吸声系数；</w:t>
      </w:r>
    </w:p>
    <w:p w14:paraId="223333A7">
      <w:pPr>
        <w:bidi w:val="0"/>
        <w:ind w:firstLine="1200" w:firstLineChars="5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r—声源到靠近围护结构某点处的距离，m。</w:t>
      </w:r>
    </w:p>
    <w:p w14:paraId="7076FB63">
      <w:pPr>
        <w:bidi w:val="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所有室内声源在围护结构处产生的i倍频带叠加声压级：</w:t>
      </w:r>
    </w:p>
    <w:p w14:paraId="0A9C087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position w:val="-34"/>
          <w:szCs w:val="24"/>
          <w:highlight w:val="none"/>
        </w:rPr>
        <w:object>
          <v:shape id="_x0000_i1052" o:spt="75" type="#_x0000_t75" style="height:42.75pt;width:142.8pt;" o:ole="t" filled="f" o:preferrelative="t" stroked="f" coordsize="21600,21600">
            <v:path/>
            <v:fill on="f" focussize="0,0"/>
            <v:stroke on="f"/>
            <v:imagedata r:id="rId113" o:title=""/>
            <o:lock v:ext="edit" aspectratio="t"/>
            <w10:wrap type="none"/>
            <w10:anchorlock/>
          </v:shape>
          <o:OLEObject Type="Embed" ProgID="Equation.3" ShapeID="_x0000_i1052" DrawAspect="Content" ObjectID="_1468075752" r:id="rId112">
            <o:LockedField>false</o:LockedField>
          </o:OLEObject>
        </w:object>
      </w:r>
    </w:p>
    <w:p w14:paraId="71283420">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式中</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L</w:t>
      </w:r>
      <w:r>
        <w:rPr>
          <w:rFonts w:hint="default" w:ascii="Times New Roman" w:hAnsi="Times New Roman" w:eastAsia="宋体" w:cs="Times New Roman"/>
          <w:color w:val="auto"/>
          <w:highlight w:val="none"/>
          <w:vertAlign w:val="subscript"/>
        </w:rPr>
        <w:t>p1i(T)</w:t>
      </w:r>
      <w:r>
        <w:rPr>
          <w:rFonts w:hint="default" w:ascii="Times New Roman" w:hAnsi="Times New Roman" w:eastAsia="宋体" w:cs="Times New Roman"/>
          <w:color w:val="auto"/>
          <w:highlight w:val="none"/>
        </w:rPr>
        <w:t>—靠近围护结构处室内N个声源i倍频带的叠加声压级，dB；</w:t>
      </w:r>
    </w:p>
    <w:p w14:paraId="22284DA6">
      <w:pPr>
        <w:bidi w:val="0"/>
        <w:ind w:firstLine="1200" w:firstLineChars="5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L</w:t>
      </w:r>
      <w:r>
        <w:rPr>
          <w:rFonts w:hint="default" w:ascii="Times New Roman" w:hAnsi="Times New Roman" w:eastAsia="宋体" w:cs="Times New Roman"/>
          <w:color w:val="auto"/>
          <w:highlight w:val="none"/>
          <w:vertAlign w:val="subscript"/>
        </w:rPr>
        <w:t>p1ij</w:t>
      </w:r>
      <w:r>
        <w:rPr>
          <w:rFonts w:hint="default" w:ascii="Times New Roman" w:hAnsi="Times New Roman" w:eastAsia="宋体" w:cs="Times New Roman"/>
          <w:color w:val="auto"/>
          <w:highlight w:val="none"/>
        </w:rPr>
        <w:t>—室内j声源i倍频带的声压级，dB；</w:t>
      </w:r>
    </w:p>
    <w:p w14:paraId="1549B704">
      <w:pPr>
        <w:bidi w:val="0"/>
        <w:ind w:firstLine="1200" w:firstLineChars="5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N—室内声源总数。</w:t>
      </w:r>
    </w:p>
    <w:p w14:paraId="01415671">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无指向性点声源几何发散衰减的基本公式是：</w:t>
      </w:r>
    </w:p>
    <w:p w14:paraId="1369EEED">
      <w:pPr>
        <w:bidi w:val="0"/>
        <w:ind w:left="0" w:leftChars="0"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position w:val="-30"/>
          <w:szCs w:val="24"/>
          <w:highlight w:val="none"/>
        </w:rPr>
        <w:object>
          <v:shape id="_x0000_i1053" o:spt="75" type="#_x0000_t75" style="height:37.05pt;width:130.9pt;" o:ole="t" filled="f" o:preferrelative="t" stroked="f" coordsize="21600,21600">
            <v:path/>
            <v:fill on="f" focussize="0,0"/>
            <v:stroke on="f"/>
            <v:imagedata r:id="rId115" o:title=""/>
            <o:lock v:ext="edit" aspectratio="t"/>
            <w10:wrap type="none"/>
            <w10:anchorlock/>
          </v:shape>
          <o:OLEObject Type="Embed" ProgID="Equation.3" ShapeID="_x0000_i1053" DrawAspect="Content" ObjectID="_1468075753" r:id="rId114">
            <o:LockedField>false</o:LockedField>
          </o:OLEObject>
        </w:object>
      </w:r>
    </w:p>
    <w:p w14:paraId="5615390A">
      <w:pPr>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式中</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Lp(r)</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预测点处声压级，</w:t>
      </w:r>
      <w:r>
        <w:rPr>
          <w:rFonts w:hint="default" w:ascii="Times New Roman" w:hAnsi="Times New Roman" w:eastAsia="宋体" w:cs="Times New Roman"/>
          <w:color w:val="auto"/>
          <w:highlight w:val="none"/>
        </w:rPr>
        <w:t>dB</w:t>
      </w:r>
      <w:r>
        <w:rPr>
          <w:rFonts w:hint="default" w:ascii="Times New Roman" w:hAnsi="Times New Roman" w:eastAsia="宋体" w:cs="Times New Roman"/>
          <w:color w:val="auto"/>
          <w:highlight w:val="none"/>
          <w:lang w:eastAsia="zh-CN"/>
        </w:rPr>
        <w:t>；</w:t>
      </w:r>
    </w:p>
    <w:p w14:paraId="593EADCC">
      <w:pPr>
        <w:bidi w:val="0"/>
        <w:ind w:firstLine="1200" w:firstLineChars="5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Lp(r0)—</w:t>
      </w:r>
      <w:r>
        <w:rPr>
          <w:rFonts w:hint="default" w:ascii="Times New Roman" w:hAnsi="Times New Roman" w:eastAsia="宋体" w:cs="Times New Roman"/>
          <w:color w:val="auto"/>
          <w:highlight w:val="none"/>
          <w:lang w:val="en-US" w:eastAsia="zh-CN"/>
        </w:rPr>
        <w:t>参考位置</w:t>
      </w:r>
      <w:r>
        <w:rPr>
          <w:rFonts w:hint="default" w:ascii="Times New Roman" w:hAnsi="Times New Roman" w:eastAsia="宋体" w:cs="Times New Roman"/>
          <w:color w:val="auto"/>
          <w:highlight w:val="none"/>
        </w:rPr>
        <w:t>r0处的</w:t>
      </w:r>
      <w:r>
        <w:rPr>
          <w:rFonts w:hint="default" w:ascii="Times New Roman" w:hAnsi="Times New Roman" w:eastAsia="宋体" w:cs="Times New Roman"/>
          <w:color w:val="auto"/>
          <w:highlight w:val="none"/>
          <w:lang w:val="en-US" w:eastAsia="zh-CN"/>
        </w:rPr>
        <w:t>声压级</w:t>
      </w:r>
      <w:r>
        <w:rPr>
          <w:rFonts w:hint="default" w:ascii="Times New Roman" w:hAnsi="Times New Roman" w:eastAsia="宋体" w:cs="Times New Roman"/>
          <w:color w:val="auto"/>
          <w:highlight w:val="none"/>
        </w:rPr>
        <w:t>，dB；</w:t>
      </w:r>
    </w:p>
    <w:p w14:paraId="4CF67656">
      <w:pPr>
        <w:bidi w:val="0"/>
        <w:ind w:firstLine="1200" w:firstLineChars="50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r</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预测点距声源的距离；</w:t>
      </w:r>
    </w:p>
    <w:p w14:paraId="7022D6D3">
      <w:pPr>
        <w:bidi w:val="0"/>
        <w:ind w:firstLine="1200" w:firstLineChars="5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r0—</w:t>
      </w:r>
      <w:r>
        <w:rPr>
          <w:rFonts w:hint="default" w:ascii="Times New Roman" w:hAnsi="Times New Roman" w:eastAsia="宋体" w:cs="Times New Roman"/>
          <w:color w:val="auto"/>
          <w:highlight w:val="none"/>
          <w:lang w:val="en-US" w:eastAsia="zh-CN"/>
        </w:rPr>
        <w:t>参考位置</w:t>
      </w:r>
      <w:r>
        <w:rPr>
          <w:rFonts w:hint="default" w:ascii="Times New Roman" w:hAnsi="Times New Roman" w:eastAsia="宋体" w:cs="Times New Roman"/>
          <w:color w:val="auto"/>
          <w:highlight w:val="none"/>
        </w:rPr>
        <w:t>距声源的距离，m。</w:t>
      </w:r>
    </w:p>
    <w:p w14:paraId="785C26E7">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建设项目声源在预测点产生的等效声级贡献值</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Leqg</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计算公式：</w:t>
      </w:r>
    </w:p>
    <w:p w14:paraId="6AAF5809">
      <w:pPr>
        <w:bidi w:val="0"/>
        <w:ind w:left="0" w:leftChars="0"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position w:val="-30"/>
          <w:szCs w:val="24"/>
          <w:highlight w:val="none"/>
        </w:rPr>
        <w:object>
          <v:shape id="_x0000_i1054" o:spt="75" type="#_x0000_t75" style="height:38.9pt;width:143.45pt;" o:ole="t" filled="f" o:preferrelative="t" stroked="f" coordsize="21600,21600">
            <v:path/>
            <v:fill on="f" focussize="0,0"/>
            <v:stroke on="f"/>
            <v:imagedata r:id="rId117" o:title=""/>
            <o:lock v:ext="edit" aspectratio="t"/>
            <w10:wrap type="none"/>
            <w10:anchorlock/>
          </v:shape>
          <o:OLEObject Type="Embed" ProgID="Equation.3" ShapeID="_x0000_i1054" DrawAspect="Content" ObjectID="_1468075754" r:id="rId116">
            <o:LockedField>false</o:LockedField>
          </o:OLEObject>
        </w:object>
      </w:r>
    </w:p>
    <w:p w14:paraId="79A7DF44">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式中</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Leqg—建设项目声源在预测点的等效声级贡献值，dB(A</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w:t>
      </w:r>
    </w:p>
    <w:p w14:paraId="02F5F607">
      <w:pPr>
        <w:bidi w:val="0"/>
        <w:ind w:firstLine="1200" w:firstLineChars="5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LAi—i声源在预测点产生的A声级，dB(A</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w:t>
      </w:r>
    </w:p>
    <w:p w14:paraId="7A9CB0FC">
      <w:pPr>
        <w:bidi w:val="0"/>
        <w:ind w:firstLine="1200" w:firstLineChars="5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T—预测计算的时间段，s；</w:t>
      </w:r>
    </w:p>
    <w:p w14:paraId="171E9DA1">
      <w:pPr>
        <w:bidi w:val="0"/>
        <w:ind w:firstLine="1200" w:firstLineChars="5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ti—i声源在T时段内的运行时间，s。</w:t>
      </w:r>
    </w:p>
    <w:p w14:paraId="5D30659B">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预测点的预测等效声级</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Leq</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计算公式：</w:t>
      </w:r>
    </w:p>
    <w:p w14:paraId="0380AEC0">
      <w:pPr>
        <w:bidi w:val="0"/>
        <w:ind w:left="0" w:leftChars="0"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position w:val="-10"/>
          <w:szCs w:val="24"/>
          <w:highlight w:val="none"/>
        </w:rPr>
        <w:object>
          <v:shape id="_x0000_i1055" o:spt="75" type="#_x0000_t75" style="height:24.2pt;width:184.6pt;" o:ole="t" filled="f" o:preferrelative="t" stroked="f" coordsize="21600,21600">
            <v:path/>
            <v:fill on="f" focussize="0,0"/>
            <v:stroke on="f"/>
            <v:imagedata r:id="rId119" o:title=""/>
            <o:lock v:ext="edit" aspectratio="t"/>
            <w10:wrap type="none"/>
            <w10:anchorlock/>
          </v:shape>
          <o:OLEObject Type="Embed" ProgID="Equation.3" ShapeID="_x0000_i1055" DrawAspect="Content" ObjectID="_1468075755" r:id="rId118">
            <o:LockedField>false</o:LockedField>
          </o:OLEObject>
        </w:object>
      </w:r>
    </w:p>
    <w:p w14:paraId="2CC3B387">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式中</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Leqg—建设项目声源在预测点的等效声级贡献值，dB(A</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 xml:space="preserve">； </w:t>
      </w:r>
    </w:p>
    <w:p w14:paraId="4FE4A17E">
      <w:pPr>
        <w:bidi w:val="0"/>
        <w:ind w:firstLine="1200" w:firstLineChars="5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Leqb—预测点的背景值，dB(A</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w:t>
      </w:r>
    </w:p>
    <w:bookmarkEnd w:id="449"/>
    <w:bookmarkEnd w:id="450"/>
    <w:p w14:paraId="72230E7D">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2"/>
          <w:szCs w:val="24"/>
          <w:highlight w:val="none"/>
        </w:rPr>
        <w:t>（</w:t>
      </w:r>
      <w:r>
        <w:rPr>
          <w:rFonts w:hint="eastAsia" w:ascii="Times New Roman" w:hAnsi="Times New Roman" w:eastAsia="宋体" w:cs="Times New Roman"/>
          <w:color w:val="auto"/>
          <w:kern w:val="2"/>
          <w:szCs w:val="24"/>
          <w:highlight w:val="none"/>
          <w:lang w:val="en-US" w:eastAsia="zh-CN"/>
        </w:rPr>
        <w:t>5</w:t>
      </w:r>
      <w:r>
        <w:rPr>
          <w:rFonts w:hint="default" w:ascii="Times New Roman" w:hAnsi="Times New Roman" w:eastAsia="宋体" w:cs="Times New Roman"/>
          <w:color w:val="auto"/>
          <w:kern w:val="2"/>
          <w:szCs w:val="24"/>
          <w:highlight w:val="none"/>
        </w:rPr>
        <w:t>）预测</w:t>
      </w:r>
      <w:r>
        <w:rPr>
          <w:rFonts w:hint="default" w:ascii="Times New Roman" w:hAnsi="Times New Roman" w:eastAsia="宋体" w:cs="Times New Roman"/>
          <w:color w:val="auto"/>
          <w:highlight w:val="none"/>
        </w:rPr>
        <w:t>结果</w:t>
      </w:r>
    </w:p>
    <w:p w14:paraId="267760B4">
      <w:pPr>
        <w:bidi w:val="0"/>
        <w:rPr>
          <w:rFonts w:hint="default" w:ascii="Times New Roman" w:hAnsi="Times New Roman" w:eastAsia="宋体" w:cs="Times New Roman"/>
          <w:color w:val="auto"/>
          <w:szCs w:val="24"/>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ascii="Times New Roman" w:hAnsi="Times New Roman" w:eastAsia="宋体" w:cs="Times New Roman"/>
          <w:color w:val="auto"/>
          <w:highlight w:val="none"/>
        </w:rPr>
        <w:t>噪声预测采用网格布点法，建立直角坐标系，以</w:t>
      </w:r>
      <w:r>
        <w:rPr>
          <w:rFonts w:hint="default" w:ascii="Times New Roman" w:hAnsi="Times New Roman" w:eastAsia="宋体" w:cs="Times New Roman"/>
          <w:color w:val="auto"/>
          <w:highlight w:val="none"/>
          <w:lang w:val="en-US" w:eastAsia="zh-CN"/>
        </w:rPr>
        <w:t>10</w:t>
      </w:r>
      <w:r>
        <w:rPr>
          <w:rFonts w:hint="default" w:ascii="Times New Roman" w:hAnsi="Times New Roman" w:eastAsia="宋体" w:cs="Times New Roman"/>
          <w:color w:val="auto"/>
          <w:highlight w:val="none"/>
        </w:rPr>
        <w:t>m×</w:t>
      </w:r>
      <w:r>
        <w:rPr>
          <w:rFonts w:hint="default" w:ascii="Times New Roman" w:hAnsi="Times New Roman" w:eastAsia="宋体" w:cs="Times New Roman"/>
          <w:color w:val="auto"/>
          <w:highlight w:val="none"/>
          <w:lang w:val="en-US" w:eastAsia="zh-CN"/>
        </w:rPr>
        <w:t>10</w:t>
      </w:r>
      <w:r>
        <w:rPr>
          <w:rFonts w:hint="default" w:ascii="Times New Roman" w:hAnsi="Times New Roman" w:eastAsia="宋体" w:cs="Times New Roman"/>
          <w:color w:val="auto"/>
          <w:highlight w:val="none"/>
        </w:rPr>
        <w:t>m间距为步长，将</w:t>
      </w:r>
      <w:r>
        <w:rPr>
          <w:rFonts w:hint="default" w:ascii="Times New Roman" w:hAnsi="Times New Roman" w:eastAsia="宋体" w:cs="Times New Roman"/>
          <w:color w:val="auto"/>
          <w:highlight w:val="none"/>
          <w:lang w:val="en-US" w:eastAsia="zh-CN"/>
        </w:rPr>
        <w:t>声环境贡献值</w:t>
      </w:r>
      <w:r>
        <w:rPr>
          <w:rFonts w:hint="default" w:ascii="Times New Roman" w:hAnsi="Times New Roman" w:eastAsia="宋体" w:cs="Times New Roman"/>
          <w:color w:val="auto"/>
          <w:highlight w:val="none"/>
        </w:rPr>
        <w:t>与现状值进行叠加</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声环境质量现状监测值已包含现有工程噪声影响值。因此本次噪声预测评价以本项目新增噪声源叠加声环境质量现状监测值进行声环境影响预测评价。本项目声环境保护目标噪声预测结果</w:t>
      </w:r>
      <w:r>
        <w:rPr>
          <w:rFonts w:hint="default" w:ascii="Times New Roman" w:hAnsi="Times New Roman" w:eastAsia="宋体" w:cs="Times New Roman"/>
          <w:color w:val="auto"/>
          <w:highlight w:val="none"/>
        </w:rPr>
        <w:t>见表6</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2-</w:t>
      </w:r>
      <w:r>
        <w:rPr>
          <w:rFonts w:hint="default" w:ascii="Times New Roman" w:hAnsi="Times New Roman" w:eastAsia="宋体" w:cs="Times New Roman"/>
          <w:color w:val="auto"/>
          <w:highlight w:val="none"/>
          <w:lang w:val="en-US" w:eastAsia="zh-CN"/>
        </w:rPr>
        <w:t>4</w:t>
      </w:r>
      <w:r>
        <w:rPr>
          <w:rFonts w:hint="eastAsia"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厂界噪声预测结果</w:t>
      </w:r>
      <w:r>
        <w:rPr>
          <w:rFonts w:hint="default" w:ascii="Times New Roman" w:hAnsi="Times New Roman" w:eastAsia="宋体" w:cs="Times New Roman"/>
          <w:color w:val="auto"/>
          <w:highlight w:val="none"/>
          <w:lang w:val="en-US" w:eastAsia="zh-CN"/>
        </w:rPr>
        <w:t>见表6.2-</w:t>
      </w:r>
      <w:r>
        <w:rPr>
          <w:rFonts w:hint="eastAsia" w:ascii="Times New Roman" w:hAnsi="Times New Roman" w:eastAsia="宋体" w:cs="Times New Roman"/>
          <w:color w:val="auto"/>
          <w:highlight w:val="none"/>
          <w:lang w:val="en-US" w:eastAsia="zh-CN"/>
        </w:rPr>
        <w:t>45</w:t>
      </w:r>
      <w:r>
        <w:rPr>
          <w:rFonts w:hint="default" w:ascii="Times New Roman" w:hAnsi="Times New Roman" w:eastAsia="宋体" w:cs="Times New Roman"/>
          <w:color w:val="auto"/>
          <w:szCs w:val="24"/>
          <w:highlight w:val="none"/>
          <w:lang w:val="en-US" w:eastAsia="zh-CN"/>
        </w:rPr>
        <w:t>。</w:t>
      </w:r>
    </w:p>
    <w:p w14:paraId="69BAAC93">
      <w:pPr>
        <w:keepNext w:val="0"/>
        <w:keepLines w:val="0"/>
        <w:pageBreakBefore w:val="0"/>
        <w:widowControl w:val="0"/>
        <w:kinsoku/>
        <w:wordWrap/>
        <w:overflowPunct/>
        <w:topLinePunct w:val="0"/>
        <w:bidi w:val="0"/>
        <w:adjustRightInd/>
        <w:snapToGrid/>
        <w:spacing w:line="480" w:lineRule="exact"/>
        <w:ind w:left="0" w:leftChars="0" w:firstLine="0" w:firstLineChars="0"/>
        <w:jc w:val="center"/>
        <w:rPr>
          <w:rFonts w:hint="default" w:ascii="Times New Roman" w:hAnsi="Times New Roman" w:eastAsia="宋体" w:cs="Times New Roman"/>
          <w:color w:val="auto"/>
          <w:spacing w:val="20"/>
          <w:sz w:val="24"/>
          <w:szCs w:val="24"/>
          <w:highlight w:val="none"/>
        </w:rPr>
      </w:pPr>
      <w:r>
        <w:rPr>
          <w:rFonts w:hint="default" w:ascii="Times New Roman" w:hAnsi="Times New Roman" w:eastAsia="宋体" w:cs="Times New Roman"/>
          <w:color w:val="auto"/>
          <w:spacing w:val="20"/>
          <w:sz w:val="24"/>
          <w:szCs w:val="24"/>
          <w:highlight w:val="none"/>
        </w:rPr>
        <w:t>表</w:t>
      </w:r>
      <w:r>
        <w:rPr>
          <w:rFonts w:hint="default" w:ascii="Times New Roman" w:hAnsi="Times New Roman" w:eastAsia="宋体" w:cs="Times New Roman"/>
          <w:color w:val="auto"/>
          <w:spacing w:val="20"/>
          <w:sz w:val="24"/>
          <w:szCs w:val="24"/>
          <w:highlight w:val="none"/>
          <w:lang w:val="en-US" w:eastAsia="zh-CN"/>
        </w:rPr>
        <w:t>6.2-</w:t>
      </w:r>
      <w:r>
        <w:rPr>
          <w:rFonts w:hint="eastAsia" w:ascii="Times New Roman" w:hAnsi="Times New Roman" w:eastAsia="宋体" w:cs="Times New Roman"/>
          <w:color w:val="auto"/>
          <w:spacing w:val="20"/>
          <w:sz w:val="24"/>
          <w:szCs w:val="24"/>
          <w:highlight w:val="none"/>
          <w:lang w:val="en-US" w:eastAsia="zh-CN"/>
        </w:rPr>
        <w:t>35</w:t>
      </w:r>
      <w:r>
        <w:rPr>
          <w:rFonts w:hint="default" w:ascii="Times New Roman" w:hAnsi="Times New Roman" w:eastAsia="宋体" w:cs="Times New Roman"/>
          <w:color w:val="auto"/>
          <w:spacing w:val="20"/>
          <w:sz w:val="24"/>
          <w:szCs w:val="24"/>
          <w:highlight w:val="none"/>
        </w:rPr>
        <w:t xml:space="preserve">  </w:t>
      </w:r>
      <w:r>
        <w:rPr>
          <w:rFonts w:hint="default" w:ascii="Times New Roman" w:hAnsi="Times New Roman" w:eastAsia="宋体" w:cs="Times New Roman"/>
          <w:color w:val="auto"/>
          <w:spacing w:val="20"/>
          <w:sz w:val="24"/>
          <w:szCs w:val="24"/>
          <w:highlight w:val="none"/>
          <w:lang w:val="en-US" w:eastAsia="zh-CN"/>
        </w:rPr>
        <w:t>工业企业声环境保护目标噪声</w:t>
      </w:r>
      <w:r>
        <w:rPr>
          <w:rFonts w:hint="default" w:ascii="Times New Roman" w:hAnsi="Times New Roman" w:eastAsia="宋体" w:cs="Times New Roman"/>
          <w:color w:val="auto"/>
          <w:spacing w:val="20"/>
          <w:sz w:val="24"/>
          <w:szCs w:val="24"/>
          <w:highlight w:val="none"/>
        </w:rPr>
        <w:t>预测结果</w:t>
      </w:r>
      <w:r>
        <w:rPr>
          <w:rFonts w:hint="default" w:ascii="Times New Roman" w:hAnsi="Times New Roman" w:eastAsia="宋体" w:cs="Times New Roman"/>
          <w:color w:val="auto"/>
          <w:spacing w:val="20"/>
          <w:sz w:val="24"/>
          <w:szCs w:val="24"/>
          <w:highlight w:val="none"/>
          <w:lang w:val="en-US" w:eastAsia="zh-CN"/>
        </w:rPr>
        <w:t>与达标分析</w:t>
      </w:r>
      <w:r>
        <w:rPr>
          <w:rFonts w:hint="default" w:ascii="Times New Roman" w:hAnsi="Times New Roman" w:eastAsia="宋体" w:cs="Times New Roman"/>
          <w:color w:val="auto"/>
          <w:spacing w:val="20"/>
          <w:sz w:val="24"/>
          <w:szCs w:val="24"/>
          <w:highlight w:val="none"/>
        </w:rPr>
        <w:t>表</w:t>
      </w:r>
    </w:p>
    <w:tbl>
      <w:tblPr>
        <w:tblStyle w:val="37"/>
        <w:tblW w:w="5063"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851"/>
        <w:gridCol w:w="950"/>
        <w:gridCol w:w="966"/>
        <w:gridCol w:w="1000"/>
        <w:gridCol w:w="867"/>
        <w:gridCol w:w="1083"/>
        <w:gridCol w:w="1120"/>
        <w:gridCol w:w="950"/>
        <w:gridCol w:w="950"/>
        <w:gridCol w:w="1147"/>
        <w:gridCol w:w="1100"/>
        <w:gridCol w:w="983"/>
        <w:gridCol w:w="854"/>
      </w:tblGrid>
      <w:tr w14:paraId="17B754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85" w:type="pct"/>
            <w:vMerge w:val="restart"/>
            <w:tcBorders>
              <w:tl2br w:val="nil"/>
              <w:tr2bl w:val="nil"/>
            </w:tcBorders>
            <w:vAlign w:val="center"/>
          </w:tcPr>
          <w:p w14:paraId="0DBCA9FF">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宋体" w:cs="Times New Roman"/>
                <w:b w:val="0"/>
                <w:bCs/>
                <w:color w:val="FF0000"/>
                <w:sz w:val="21"/>
                <w:szCs w:val="21"/>
                <w:highlight w:val="none"/>
              </w:rPr>
            </w:pPr>
            <w:r>
              <w:rPr>
                <w:rFonts w:hint="default" w:ascii="Times New Roman" w:hAnsi="Times New Roman" w:eastAsia="宋体" w:cs="Times New Roman"/>
                <w:b w:val="0"/>
                <w:bCs/>
                <w:color w:val="FF0000"/>
                <w:sz w:val="21"/>
                <w:szCs w:val="21"/>
                <w:highlight w:val="none"/>
              </w:rPr>
              <w:t>序号</w:t>
            </w:r>
          </w:p>
        </w:tc>
        <w:tc>
          <w:tcPr>
            <w:tcW w:w="644" w:type="pct"/>
            <w:vMerge w:val="restart"/>
            <w:tcBorders>
              <w:tl2br w:val="nil"/>
              <w:tr2bl w:val="nil"/>
            </w:tcBorders>
            <w:vAlign w:val="center"/>
          </w:tcPr>
          <w:p w14:paraId="378C31AC">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宋体" w:cs="Times New Roman"/>
                <w:b w:val="0"/>
                <w:bCs/>
                <w:color w:val="FF0000"/>
                <w:sz w:val="21"/>
                <w:szCs w:val="21"/>
                <w:highlight w:val="none"/>
              </w:rPr>
            </w:pPr>
            <w:r>
              <w:rPr>
                <w:rFonts w:hint="default" w:ascii="Times New Roman" w:hAnsi="Times New Roman" w:eastAsia="宋体" w:cs="Times New Roman"/>
                <w:b w:val="0"/>
                <w:bCs/>
                <w:color w:val="FF0000"/>
                <w:sz w:val="21"/>
                <w:szCs w:val="21"/>
                <w:highlight w:val="none"/>
              </w:rPr>
              <w:t>声环境</w:t>
            </w:r>
          </w:p>
          <w:p w14:paraId="155E0EE8">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宋体" w:cs="Times New Roman"/>
                <w:b w:val="0"/>
                <w:bCs/>
                <w:color w:val="FF0000"/>
                <w:sz w:val="21"/>
                <w:szCs w:val="21"/>
                <w:highlight w:val="none"/>
              </w:rPr>
            </w:pPr>
            <w:r>
              <w:rPr>
                <w:rFonts w:hint="default" w:ascii="Times New Roman" w:hAnsi="Times New Roman" w:eastAsia="宋体" w:cs="Times New Roman"/>
                <w:b w:val="0"/>
                <w:bCs/>
                <w:color w:val="FF0000"/>
                <w:sz w:val="21"/>
                <w:szCs w:val="21"/>
                <w:highlight w:val="none"/>
              </w:rPr>
              <w:t>保护目标名称</w:t>
            </w:r>
          </w:p>
        </w:tc>
        <w:tc>
          <w:tcPr>
            <w:tcW w:w="667" w:type="pct"/>
            <w:gridSpan w:val="2"/>
            <w:tcBorders>
              <w:tl2br w:val="nil"/>
              <w:tr2bl w:val="nil"/>
            </w:tcBorders>
            <w:vAlign w:val="center"/>
          </w:tcPr>
          <w:p w14:paraId="74B08388">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宋体" w:cs="Times New Roman"/>
                <w:b w:val="0"/>
                <w:bCs/>
                <w:color w:val="FF0000"/>
                <w:sz w:val="21"/>
                <w:szCs w:val="21"/>
                <w:highlight w:val="none"/>
              </w:rPr>
            </w:pPr>
            <w:r>
              <w:rPr>
                <w:rFonts w:hint="default" w:ascii="Times New Roman" w:hAnsi="Times New Roman" w:eastAsia="宋体" w:cs="Times New Roman"/>
                <w:b w:val="0"/>
                <w:bCs/>
                <w:color w:val="FF0000"/>
                <w:sz w:val="21"/>
                <w:szCs w:val="21"/>
                <w:highlight w:val="none"/>
              </w:rPr>
              <w:t>噪声</w:t>
            </w:r>
            <w:r>
              <w:rPr>
                <w:rFonts w:hint="default" w:ascii="Times New Roman" w:hAnsi="Times New Roman" w:eastAsia="宋体" w:cs="Times New Roman"/>
                <w:b w:val="0"/>
                <w:bCs/>
                <w:color w:val="FF0000"/>
                <w:sz w:val="21"/>
                <w:szCs w:val="21"/>
                <w:highlight w:val="none"/>
                <w:lang w:val="en-US" w:eastAsia="zh-CN"/>
              </w:rPr>
              <w:t>现状</w:t>
            </w:r>
            <w:r>
              <w:rPr>
                <w:rFonts w:hint="default" w:ascii="Times New Roman" w:hAnsi="Times New Roman" w:eastAsia="宋体" w:cs="Times New Roman"/>
                <w:b w:val="0"/>
                <w:bCs/>
                <w:color w:val="FF0000"/>
                <w:sz w:val="21"/>
                <w:szCs w:val="21"/>
                <w:highlight w:val="none"/>
              </w:rPr>
              <w:t>值/dB(A)</w:t>
            </w:r>
          </w:p>
        </w:tc>
        <w:tc>
          <w:tcPr>
            <w:tcW w:w="650" w:type="pct"/>
            <w:gridSpan w:val="2"/>
            <w:tcBorders>
              <w:tl2br w:val="nil"/>
              <w:tr2bl w:val="nil"/>
            </w:tcBorders>
            <w:vAlign w:val="center"/>
          </w:tcPr>
          <w:p w14:paraId="3F6533C1">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宋体" w:cs="Times New Roman"/>
                <w:b w:val="0"/>
                <w:bCs/>
                <w:color w:val="FF0000"/>
                <w:sz w:val="21"/>
                <w:szCs w:val="21"/>
                <w:highlight w:val="none"/>
              </w:rPr>
            </w:pPr>
            <w:r>
              <w:rPr>
                <w:rFonts w:hint="default" w:ascii="Times New Roman" w:hAnsi="Times New Roman" w:eastAsia="宋体" w:cs="Times New Roman"/>
                <w:b w:val="0"/>
                <w:bCs/>
                <w:color w:val="FF0000"/>
                <w:sz w:val="21"/>
                <w:szCs w:val="21"/>
                <w:highlight w:val="none"/>
              </w:rPr>
              <w:t>噪声贡献值/dB(A)</w:t>
            </w:r>
          </w:p>
        </w:tc>
        <w:tc>
          <w:tcPr>
            <w:tcW w:w="767" w:type="pct"/>
            <w:gridSpan w:val="2"/>
            <w:tcBorders>
              <w:tl2br w:val="nil"/>
              <w:tr2bl w:val="nil"/>
            </w:tcBorders>
            <w:vAlign w:val="center"/>
          </w:tcPr>
          <w:p w14:paraId="6A502880">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宋体" w:cs="Times New Roman"/>
                <w:b w:val="0"/>
                <w:bCs/>
                <w:color w:val="FF0000"/>
                <w:sz w:val="21"/>
                <w:szCs w:val="21"/>
                <w:highlight w:val="none"/>
              </w:rPr>
            </w:pPr>
            <w:r>
              <w:rPr>
                <w:rFonts w:hint="default" w:ascii="Times New Roman" w:hAnsi="Times New Roman" w:eastAsia="宋体" w:cs="Times New Roman"/>
                <w:b w:val="0"/>
                <w:bCs/>
                <w:color w:val="FF0000"/>
                <w:sz w:val="21"/>
                <w:szCs w:val="21"/>
                <w:highlight w:val="none"/>
              </w:rPr>
              <w:t>噪声预测值/dB(A)</w:t>
            </w:r>
          </w:p>
        </w:tc>
        <w:tc>
          <w:tcPr>
            <w:tcW w:w="661" w:type="pct"/>
            <w:gridSpan w:val="2"/>
            <w:tcBorders>
              <w:tl2br w:val="nil"/>
              <w:tr2bl w:val="nil"/>
            </w:tcBorders>
            <w:vAlign w:val="center"/>
          </w:tcPr>
          <w:p w14:paraId="4D2D5EB2">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宋体" w:cs="Times New Roman"/>
                <w:b w:val="0"/>
                <w:bCs/>
                <w:color w:val="FF0000"/>
                <w:sz w:val="21"/>
                <w:szCs w:val="21"/>
                <w:highlight w:val="none"/>
              </w:rPr>
            </w:pPr>
            <w:r>
              <w:rPr>
                <w:rFonts w:hint="default" w:ascii="Times New Roman" w:hAnsi="Times New Roman" w:eastAsia="宋体" w:cs="Times New Roman"/>
                <w:b w:val="0"/>
                <w:bCs/>
                <w:color w:val="FF0000"/>
                <w:sz w:val="21"/>
                <w:szCs w:val="21"/>
                <w:highlight w:val="none"/>
              </w:rPr>
              <w:t>较现状增量/dB(A)</w:t>
            </w:r>
          </w:p>
        </w:tc>
        <w:tc>
          <w:tcPr>
            <w:tcW w:w="782" w:type="pct"/>
            <w:gridSpan w:val="2"/>
            <w:tcBorders>
              <w:tl2br w:val="nil"/>
              <w:tr2bl w:val="nil"/>
            </w:tcBorders>
            <w:vAlign w:val="center"/>
          </w:tcPr>
          <w:p w14:paraId="636DDB5E">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宋体" w:cs="Times New Roman"/>
                <w:b w:val="0"/>
                <w:bCs/>
                <w:color w:val="FF0000"/>
                <w:sz w:val="21"/>
                <w:szCs w:val="21"/>
                <w:highlight w:val="none"/>
              </w:rPr>
            </w:pPr>
            <w:r>
              <w:rPr>
                <w:rFonts w:hint="default" w:ascii="Times New Roman" w:hAnsi="Times New Roman" w:eastAsia="宋体" w:cs="Times New Roman"/>
                <w:b w:val="0"/>
                <w:bCs/>
                <w:color w:val="FF0000"/>
                <w:sz w:val="21"/>
                <w:szCs w:val="21"/>
                <w:highlight w:val="none"/>
              </w:rPr>
              <w:t>噪声标准值/dB(A)</w:t>
            </w:r>
          </w:p>
        </w:tc>
        <w:tc>
          <w:tcPr>
            <w:tcW w:w="639" w:type="pct"/>
            <w:gridSpan w:val="2"/>
            <w:tcBorders>
              <w:tl2br w:val="nil"/>
              <w:tr2bl w:val="nil"/>
            </w:tcBorders>
            <w:vAlign w:val="center"/>
          </w:tcPr>
          <w:p w14:paraId="3964BC39">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宋体" w:cs="Times New Roman"/>
                <w:b w:val="0"/>
                <w:bCs/>
                <w:color w:val="FF0000"/>
                <w:sz w:val="21"/>
                <w:szCs w:val="21"/>
                <w:highlight w:val="none"/>
              </w:rPr>
            </w:pPr>
            <w:r>
              <w:rPr>
                <w:rFonts w:hint="default" w:ascii="Times New Roman" w:hAnsi="Times New Roman" w:eastAsia="宋体" w:cs="Times New Roman"/>
                <w:b w:val="0"/>
                <w:bCs/>
                <w:color w:val="FF0000"/>
                <w:sz w:val="21"/>
                <w:szCs w:val="21"/>
                <w:highlight w:val="none"/>
              </w:rPr>
              <w:t>超标和达标情况</w:t>
            </w:r>
          </w:p>
        </w:tc>
      </w:tr>
      <w:tr w14:paraId="6C634A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85" w:type="pct"/>
            <w:vMerge w:val="continue"/>
            <w:tcBorders>
              <w:tl2br w:val="nil"/>
              <w:tr2bl w:val="nil"/>
            </w:tcBorders>
            <w:vAlign w:val="center"/>
          </w:tcPr>
          <w:p w14:paraId="40E7AF4B">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宋体" w:cs="Times New Roman"/>
                <w:b w:val="0"/>
                <w:bCs/>
                <w:color w:val="FF0000"/>
                <w:sz w:val="21"/>
                <w:szCs w:val="21"/>
                <w:highlight w:val="none"/>
              </w:rPr>
            </w:pPr>
          </w:p>
        </w:tc>
        <w:tc>
          <w:tcPr>
            <w:tcW w:w="644" w:type="pct"/>
            <w:vMerge w:val="continue"/>
            <w:tcBorders>
              <w:tl2br w:val="nil"/>
              <w:tr2bl w:val="nil"/>
            </w:tcBorders>
            <w:vAlign w:val="center"/>
          </w:tcPr>
          <w:p w14:paraId="27FDF75E">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宋体" w:cs="Times New Roman"/>
                <w:b w:val="0"/>
                <w:bCs/>
                <w:color w:val="FF0000"/>
                <w:sz w:val="21"/>
                <w:szCs w:val="21"/>
                <w:highlight w:val="none"/>
              </w:rPr>
            </w:pPr>
          </w:p>
        </w:tc>
        <w:tc>
          <w:tcPr>
            <w:tcW w:w="330" w:type="pct"/>
            <w:tcBorders>
              <w:tl2br w:val="nil"/>
              <w:tr2bl w:val="nil"/>
            </w:tcBorders>
            <w:vAlign w:val="center"/>
          </w:tcPr>
          <w:p w14:paraId="72202CC5">
            <w:pPr>
              <w:pStyle w:val="15"/>
              <w:keepNext w:val="0"/>
              <w:keepLines w:val="0"/>
              <w:pageBreakBefore w:val="0"/>
              <w:kinsoku/>
              <w:wordWrap/>
              <w:overflowPunct/>
              <w:topLinePunct w:val="0"/>
              <w:autoSpaceDE/>
              <w:autoSpaceDN/>
              <w:bidi w:val="0"/>
              <w:adjustRightInd/>
              <w:snapToGrid/>
              <w:spacing w:after="0" w:line="360" w:lineRule="exact"/>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昼间</w:t>
            </w:r>
          </w:p>
        </w:tc>
        <w:tc>
          <w:tcPr>
            <w:tcW w:w="336" w:type="pct"/>
            <w:tcBorders>
              <w:tl2br w:val="nil"/>
              <w:tr2bl w:val="nil"/>
            </w:tcBorders>
            <w:vAlign w:val="center"/>
          </w:tcPr>
          <w:p w14:paraId="3F66F787">
            <w:pPr>
              <w:pStyle w:val="15"/>
              <w:keepNext w:val="0"/>
              <w:keepLines w:val="0"/>
              <w:pageBreakBefore w:val="0"/>
              <w:kinsoku/>
              <w:wordWrap/>
              <w:overflowPunct/>
              <w:topLinePunct w:val="0"/>
              <w:autoSpaceDE/>
              <w:autoSpaceDN/>
              <w:bidi w:val="0"/>
              <w:adjustRightInd/>
              <w:snapToGrid/>
              <w:spacing w:after="0" w:line="360" w:lineRule="exact"/>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夜间</w:t>
            </w:r>
          </w:p>
        </w:tc>
        <w:tc>
          <w:tcPr>
            <w:tcW w:w="348" w:type="pct"/>
            <w:tcBorders>
              <w:tl2br w:val="nil"/>
              <w:tr2bl w:val="nil"/>
            </w:tcBorders>
            <w:vAlign w:val="center"/>
          </w:tcPr>
          <w:p w14:paraId="502DAD8C">
            <w:pPr>
              <w:pStyle w:val="15"/>
              <w:keepNext w:val="0"/>
              <w:keepLines w:val="0"/>
              <w:pageBreakBefore w:val="0"/>
              <w:kinsoku/>
              <w:wordWrap/>
              <w:overflowPunct/>
              <w:topLinePunct w:val="0"/>
              <w:autoSpaceDE/>
              <w:autoSpaceDN/>
              <w:bidi w:val="0"/>
              <w:adjustRightInd/>
              <w:snapToGrid/>
              <w:spacing w:after="0" w:line="360" w:lineRule="exact"/>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昼间</w:t>
            </w:r>
          </w:p>
        </w:tc>
        <w:tc>
          <w:tcPr>
            <w:tcW w:w="301" w:type="pct"/>
            <w:tcBorders>
              <w:tl2br w:val="nil"/>
              <w:tr2bl w:val="nil"/>
            </w:tcBorders>
            <w:vAlign w:val="center"/>
          </w:tcPr>
          <w:p w14:paraId="111EFDCF">
            <w:pPr>
              <w:pStyle w:val="15"/>
              <w:keepNext w:val="0"/>
              <w:keepLines w:val="0"/>
              <w:pageBreakBefore w:val="0"/>
              <w:kinsoku/>
              <w:wordWrap/>
              <w:overflowPunct/>
              <w:topLinePunct w:val="0"/>
              <w:autoSpaceDE/>
              <w:autoSpaceDN/>
              <w:bidi w:val="0"/>
              <w:adjustRightInd/>
              <w:snapToGrid/>
              <w:spacing w:after="0" w:line="360" w:lineRule="exact"/>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夜间</w:t>
            </w:r>
          </w:p>
        </w:tc>
        <w:tc>
          <w:tcPr>
            <w:tcW w:w="377" w:type="pct"/>
            <w:tcBorders>
              <w:tl2br w:val="nil"/>
              <w:tr2bl w:val="nil"/>
            </w:tcBorders>
            <w:vAlign w:val="center"/>
          </w:tcPr>
          <w:p w14:paraId="421025DD">
            <w:pPr>
              <w:pStyle w:val="15"/>
              <w:keepNext w:val="0"/>
              <w:keepLines w:val="0"/>
              <w:pageBreakBefore w:val="0"/>
              <w:kinsoku/>
              <w:wordWrap/>
              <w:overflowPunct/>
              <w:topLinePunct w:val="0"/>
              <w:autoSpaceDE/>
              <w:autoSpaceDN/>
              <w:bidi w:val="0"/>
              <w:adjustRightInd/>
              <w:snapToGrid/>
              <w:spacing w:after="0" w:line="360" w:lineRule="exact"/>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昼间</w:t>
            </w:r>
          </w:p>
        </w:tc>
        <w:tc>
          <w:tcPr>
            <w:tcW w:w="390" w:type="pct"/>
            <w:tcBorders>
              <w:tl2br w:val="nil"/>
              <w:tr2bl w:val="nil"/>
            </w:tcBorders>
            <w:vAlign w:val="center"/>
          </w:tcPr>
          <w:p w14:paraId="5CB088AD">
            <w:pPr>
              <w:pStyle w:val="15"/>
              <w:keepNext w:val="0"/>
              <w:keepLines w:val="0"/>
              <w:pageBreakBefore w:val="0"/>
              <w:kinsoku/>
              <w:wordWrap/>
              <w:overflowPunct/>
              <w:topLinePunct w:val="0"/>
              <w:autoSpaceDE/>
              <w:autoSpaceDN/>
              <w:bidi w:val="0"/>
              <w:adjustRightInd/>
              <w:snapToGrid/>
              <w:spacing w:after="0" w:line="360" w:lineRule="exact"/>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夜间</w:t>
            </w:r>
          </w:p>
        </w:tc>
        <w:tc>
          <w:tcPr>
            <w:tcW w:w="330" w:type="pct"/>
            <w:tcBorders>
              <w:tl2br w:val="nil"/>
              <w:tr2bl w:val="nil"/>
            </w:tcBorders>
            <w:vAlign w:val="center"/>
          </w:tcPr>
          <w:p w14:paraId="16A5F199">
            <w:pPr>
              <w:pStyle w:val="15"/>
              <w:keepNext w:val="0"/>
              <w:keepLines w:val="0"/>
              <w:pageBreakBefore w:val="0"/>
              <w:kinsoku/>
              <w:wordWrap/>
              <w:overflowPunct/>
              <w:topLinePunct w:val="0"/>
              <w:autoSpaceDE/>
              <w:autoSpaceDN/>
              <w:bidi w:val="0"/>
              <w:adjustRightInd/>
              <w:snapToGrid/>
              <w:spacing w:after="0" w:line="360" w:lineRule="exact"/>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昼间</w:t>
            </w:r>
          </w:p>
        </w:tc>
        <w:tc>
          <w:tcPr>
            <w:tcW w:w="330" w:type="pct"/>
            <w:tcBorders>
              <w:tl2br w:val="nil"/>
              <w:tr2bl w:val="nil"/>
            </w:tcBorders>
            <w:vAlign w:val="center"/>
          </w:tcPr>
          <w:p w14:paraId="4B84003A">
            <w:pPr>
              <w:pStyle w:val="15"/>
              <w:keepNext w:val="0"/>
              <w:keepLines w:val="0"/>
              <w:pageBreakBefore w:val="0"/>
              <w:kinsoku/>
              <w:wordWrap/>
              <w:overflowPunct/>
              <w:topLinePunct w:val="0"/>
              <w:autoSpaceDE/>
              <w:autoSpaceDN/>
              <w:bidi w:val="0"/>
              <w:adjustRightInd/>
              <w:snapToGrid/>
              <w:spacing w:after="0" w:line="360" w:lineRule="exact"/>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夜间</w:t>
            </w:r>
          </w:p>
        </w:tc>
        <w:tc>
          <w:tcPr>
            <w:tcW w:w="399" w:type="pct"/>
            <w:tcBorders>
              <w:tl2br w:val="nil"/>
              <w:tr2bl w:val="nil"/>
            </w:tcBorders>
            <w:vAlign w:val="center"/>
          </w:tcPr>
          <w:p w14:paraId="17B6965F">
            <w:pPr>
              <w:pStyle w:val="15"/>
              <w:keepNext w:val="0"/>
              <w:keepLines w:val="0"/>
              <w:pageBreakBefore w:val="0"/>
              <w:kinsoku/>
              <w:wordWrap/>
              <w:overflowPunct/>
              <w:topLinePunct w:val="0"/>
              <w:autoSpaceDE/>
              <w:autoSpaceDN/>
              <w:bidi w:val="0"/>
              <w:adjustRightInd/>
              <w:snapToGrid/>
              <w:spacing w:after="0" w:line="360" w:lineRule="exact"/>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昼间</w:t>
            </w:r>
          </w:p>
        </w:tc>
        <w:tc>
          <w:tcPr>
            <w:tcW w:w="383" w:type="pct"/>
            <w:tcBorders>
              <w:tl2br w:val="nil"/>
              <w:tr2bl w:val="nil"/>
            </w:tcBorders>
            <w:vAlign w:val="center"/>
          </w:tcPr>
          <w:p w14:paraId="5343134E">
            <w:pPr>
              <w:pStyle w:val="15"/>
              <w:keepNext w:val="0"/>
              <w:keepLines w:val="0"/>
              <w:pageBreakBefore w:val="0"/>
              <w:kinsoku/>
              <w:wordWrap/>
              <w:overflowPunct/>
              <w:topLinePunct w:val="0"/>
              <w:autoSpaceDE/>
              <w:autoSpaceDN/>
              <w:bidi w:val="0"/>
              <w:adjustRightInd/>
              <w:snapToGrid/>
              <w:spacing w:after="0" w:line="360" w:lineRule="exact"/>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夜间</w:t>
            </w:r>
          </w:p>
        </w:tc>
        <w:tc>
          <w:tcPr>
            <w:tcW w:w="342" w:type="pct"/>
            <w:tcBorders>
              <w:tl2br w:val="nil"/>
              <w:tr2bl w:val="nil"/>
            </w:tcBorders>
            <w:vAlign w:val="center"/>
          </w:tcPr>
          <w:p w14:paraId="3385C616">
            <w:pPr>
              <w:pStyle w:val="15"/>
              <w:keepNext w:val="0"/>
              <w:keepLines w:val="0"/>
              <w:pageBreakBefore w:val="0"/>
              <w:kinsoku/>
              <w:wordWrap/>
              <w:overflowPunct/>
              <w:topLinePunct w:val="0"/>
              <w:autoSpaceDE/>
              <w:autoSpaceDN/>
              <w:bidi w:val="0"/>
              <w:adjustRightInd/>
              <w:snapToGrid/>
              <w:spacing w:after="0" w:line="360" w:lineRule="exact"/>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昼间</w:t>
            </w:r>
          </w:p>
        </w:tc>
        <w:tc>
          <w:tcPr>
            <w:tcW w:w="297" w:type="pct"/>
            <w:tcBorders>
              <w:tl2br w:val="nil"/>
              <w:tr2bl w:val="nil"/>
            </w:tcBorders>
            <w:vAlign w:val="center"/>
          </w:tcPr>
          <w:p w14:paraId="6E92963E">
            <w:pPr>
              <w:pStyle w:val="15"/>
              <w:keepNext w:val="0"/>
              <w:keepLines w:val="0"/>
              <w:pageBreakBefore w:val="0"/>
              <w:kinsoku/>
              <w:wordWrap/>
              <w:overflowPunct/>
              <w:topLinePunct w:val="0"/>
              <w:autoSpaceDE/>
              <w:autoSpaceDN/>
              <w:bidi w:val="0"/>
              <w:adjustRightInd/>
              <w:snapToGrid/>
              <w:spacing w:after="0" w:line="360" w:lineRule="exact"/>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夜间</w:t>
            </w:r>
          </w:p>
        </w:tc>
      </w:tr>
      <w:tr w14:paraId="3B154D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85" w:type="pct"/>
            <w:tcBorders>
              <w:tl2br w:val="nil"/>
              <w:tr2bl w:val="nil"/>
            </w:tcBorders>
            <w:vAlign w:val="center"/>
          </w:tcPr>
          <w:p w14:paraId="4D3B7B12">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rPr>
              <w:t>1</w:t>
            </w:r>
          </w:p>
        </w:tc>
        <w:tc>
          <w:tcPr>
            <w:tcW w:w="644" w:type="pct"/>
            <w:tcBorders>
              <w:tl2br w:val="nil"/>
              <w:tr2bl w:val="nil"/>
            </w:tcBorders>
            <w:shd w:val="clear" w:color="auto" w:fill="auto"/>
            <w:vAlign w:val="center"/>
          </w:tcPr>
          <w:p w14:paraId="5554244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原热电家属楼1层</w:t>
            </w:r>
          </w:p>
        </w:tc>
        <w:tc>
          <w:tcPr>
            <w:tcW w:w="950" w:type="dxa"/>
            <w:tcBorders>
              <w:tl2br w:val="nil"/>
              <w:tr2bl w:val="nil"/>
            </w:tcBorders>
            <w:vAlign w:val="center"/>
          </w:tcPr>
          <w:p w14:paraId="439F3C7A">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48</w:t>
            </w:r>
          </w:p>
        </w:tc>
        <w:tc>
          <w:tcPr>
            <w:tcW w:w="966" w:type="dxa"/>
            <w:tcBorders>
              <w:tl2br w:val="nil"/>
              <w:tr2bl w:val="nil"/>
            </w:tcBorders>
            <w:vAlign w:val="center"/>
          </w:tcPr>
          <w:p w14:paraId="5C67824E">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44</w:t>
            </w:r>
          </w:p>
        </w:tc>
        <w:tc>
          <w:tcPr>
            <w:tcW w:w="1000" w:type="dxa"/>
            <w:tcBorders>
              <w:tl2br w:val="nil"/>
              <w:tr2bl w:val="nil"/>
            </w:tcBorders>
            <w:shd w:val="clear" w:color="auto" w:fill="auto"/>
            <w:vAlign w:val="center"/>
          </w:tcPr>
          <w:p w14:paraId="50C7CF0B">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48.01</w:t>
            </w:r>
          </w:p>
        </w:tc>
        <w:tc>
          <w:tcPr>
            <w:tcW w:w="867" w:type="dxa"/>
            <w:tcBorders>
              <w:tl2br w:val="nil"/>
              <w:tr2bl w:val="nil"/>
            </w:tcBorders>
            <w:shd w:val="clear" w:color="auto" w:fill="auto"/>
            <w:vAlign w:val="center"/>
          </w:tcPr>
          <w:p w14:paraId="0C601266">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44.03</w:t>
            </w:r>
          </w:p>
        </w:tc>
        <w:tc>
          <w:tcPr>
            <w:tcW w:w="1083" w:type="dxa"/>
            <w:tcBorders>
              <w:tl2br w:val="nil"/>
              <w:tr2bl w:val="nil"/>
            </w:tcBorders>
            <w:shd w:val="clear" w:color="auto" w:fill="auto"/>
            <w:vAlign w:val="center"/>
          </w:tcPr>
          <w:p w14:paraId="6198F0C5">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22.60</w:t>
            </w:r>
          </w:p>
        </w:tc>
        <w:tc>
          <w:tcPr>
            <w:tcW w:w="1120" w:type="dxa"/>
            <w:tcBorders>
              <w:tl2br w:val="nil"/>
              <w:tr2bl w:val="nil"/>
            </w:tcBorders>
            <w:shd w:val="clear" w:color="auto" w:fill="auto"/>
            <w:vAlign w:val="center"/>
          </w:tcPr>
          <w:p w14:paraId="3F452B93">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22.60</w:t>
            </w:r>
          </w:p>
        </w:tc>
        <w:tc>
          <w:tcPr>
            <w:tcW w:w="950" w:type="dxa"/>
            <w:tcBorders>
              <w:tl2br w:val="nil"/>
              <w:tr2bl w:val="nil"/>
            </w:tcBorders>
            <w:shd w:val="clear" w:color="auto" w:fill="auto"/>
            <w:vAlign w:val="center"/>
          </w:tcPr>
          <w:p w14:paraId="1DCC76F8">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0.01</w:t>
            </w:r>
          </w:p>
        </w:tc>
        <w:tc>
          <w:tcPr>
            <w:tcW w:w="950" w:type="dxa"/>
            <w:tcBorders>
              <w:tl2br w:val="nil"/>
              <w:tr2bl w:val="nil"/>
            </w:tcBorders>
            <w:shd w:val="clear" w:color="auto" w:fill="auto"/>
            <w:vAlign w:val="center"/>
          </w:tcPr>
          <w:p w14:paraId="418E082B">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0.03</w:t>
            </w:r>
          </w:p>
        </w:tc>
        <w:tc>
          <w:tcPr>
            <w:tcW w:w="399" w:type="pct"/>
            <w:tcBorders>
              <w:tl2br w:val="nil"/>
              <w:tr2bl w:val="nil"/>
            </w:tcBorders>
            <w:vAlign w:val="center"/>
          </w:tcPr>
          <w:p w14:paraId="16CC098A">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i w:val="0"/>
                <w:iCs w:val="0"/>
                <w:color w:val="FF0000"/>
                <w:kern w:val="2"/>
                <w:sz w:val="21"/>
                <w:szCs w:val="21"/>
                <w:highlight w:val="none"/>
                <w:u w:val="none"/>
                <w:lang w:val="en-US" w:eastAsia="zh-CN" w:bidi="ar-SA"/>
              </w:rPr>
            </w:pPr>
            <w:r>
              <w:rPr>
                <w:rFonts w:hint="default" w:ascii="Times New Roman" w:hAnsi="Times New Roman" w:eastAsia="宋体" w:cs="Times New Roman"/>
                <w:b w:val="0"/>
                <w:bCs/>
                <w:i w:val="0"/>
                <w:iCs w:val="0"/>
                <w:color w:val="FF0000"/>
                <w:kern w:val="2"/>
                <w:sz w:val="21"/>
                <w:szCs w:val="21"/>
                <w:highlight w:val="none"/>
                <w:u w:val="none"/>
                <w:lang w:val="en-US" w:eastAsia="zh-CN" w:bidi="ar-SA"/>
              </w:rPr>
              <w:t>60</w:t>
            </w:r>
          </w:p>
        </w:tc>
        <w:tc>
          <w:tcPr>
            <w:tcW w:w="383" w:type="pct"/>
            <w:tcBorders>
              <w:tl2br w:val="nil"/>
              <w:tr2bl w:val="nil"/>
            </w:tcBorders>
            <w:vAlign w:val="center"/>
          </w:tcPr>
          <w:p w14:paraId="4AAF613C">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i w:val="0"/>
                <w:iCs w:val="0"/>
                <w:color w:val="FF0000"/>
                <w:kern w:val="2"/>
                <w:sz w:val="21"/>
                <w:szCs w:val="21"/>
                <w:highlight w:val="none"/>
                <w:u w:val="none"/>
                <w:lang w:val="en-US" w:eastAsia="zh-CN" w:bidi="ar-SA"/>
              </w:rPr>
            </w:pPr>
            <w:r>
              <w:rPr>
                <w:rFonts w:hint="default" w:ascii="Times New Roman" w:hAnsi="Times New Roman" w:eastAsia="宋体" w:cs="Times New Roman"/>
                <w:b w:val="0"/>
                <w:bCs/>
                <w:i w:val="0"/>
                <w:iCs w:val="0"/>
                <w:color w:val="FF0000"/>
                <w:kern w:val="2"/>
                <w:sz w:val="21"/>
                <w:szCs w:val="21"/>
                <w:highlight w:val="none"/>
                <w:u w:val="none"/>
                <w:lang w:val="en-US" w:eastAsia="zh-CN" w:bidi="ar-SA"/>
              </w:rPr>
              <w:t>50</w:t>
            </w:r>
          </w:p>
        </w:tc>
        <w:tc>
          <w:tcPr>
            <w:tcW w:w="342" w:type="pct"/>
            <w:tcBorders>
              <w:tl2br w:val="nil"/>
              <w:tr2bl w:val="nil"/>
            </w:tcBorders>
            <w:vAlign w:val="center"/>
          </w:tcPr>
          <w:p w14:paraId="2E914937">
            <w:pPr>
              <w:pStyle w:val="15"/>
              <w:keepNext w:val="0"/>
              <w:keepLines w:val="0"/>
              <w:pageBreakBefore w:val="0"/>
              <w:kinsoku/>
              <w:wordWrap/>
              <w:overflowPunct/>
              <w:topLinePunct w:val="0"/>
              <w:autoSpaceDE/>
              <w:autoSpaceDN/>
              <w:bidi w:val="0"/>
              <w:adjustRightInd/>
              <w:snapToGrid/>
              <w:spacing w:after="0" w:line="360" w:lineRule="exact"/>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达标</w:t>
            </w:r>
          </w:p>
        </w:tc>
        <w:tc>
          <w:tcPr>
            <w:tcW w:w="297" w:type="pct"/>
            <w:tcBorders>
              <w:tl2br w:val="nil"/>
              <w:tr2bl w:val="nil"/>
            </w:tcBorders>
            <w:vAlign w:val="center"/>
          </w:tcPr>
          <w:p w14:paraId="115FFC8A">
            <w:pPr>
              <w:pStyle w:val="15"/>
              <w:keepNext w:val="0"/>
              <w:keepLines w:val="0"/>
              <w:pageBreakBefore w:val="0"/>
              <w:kinsoku/>
              <w:wordWrap/>
              <w:overflowPunct/>
              <w:topLinePunct w:val="0"/>
              <w:autoSpaceDE/>
              <w:autoSpaceDN/>
              <w:bidi w:val="0"/>
              <w:adjustRightInd/>
              <w:snapToGrid/>
              <w:spacing w:after="0" w:line="360" w:lineRule="exact"/>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达标</w:t>
            </w:r>
          </w:p>
        </w:tc>
      </w:tr>
      <w:tr w14:paraId="4C859C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85" w:type="pct"/>
            <w:tcBorders>
              <w:tl2br w:val="nil"/>
              <w:tr2bl w:val="nil"/>
            </w:tcBorders>
            <w:vAlign w:val="center"/>
          </w:tcPr>
          <w:p w14:paraId="68A26494">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宋体" w:cs="Times New Roman"/>
                <w:b w:val="0"/>
                <w:bCs/>
                <w:color w:val="FF0000"/>
                <w:sz w:val="21"/>
                <w:szCs w:val="21"/>
                <w:highlight w:val="none"/>
                <w:lang w:val="en-US" w:eastAsia="zh-CN"/>
              </w:rPr>
            </w:pPr>
            <w:r>
              <w:rPr>
                <w:rFonts w:hint="default" w:ascii="Times New Roman" w:hAnsi="Times New Roman" w:eastAsia="宋体" w:cs="Times New Roman"/>
                <w:b w:val="0"/>
                <w:bCs/>
                <w:color w:val="FF0000"/>
                <w:sz w:val="21"/>
                <w:szCs w:val="21"/>
                <w:highlight w:val="none"/>
                <w:lang w:val="en-US" w:eastAsia="zh-CN"/>
              </w:rPr>
              <w:t>2</w:t>
            </w:r>
          </w:p>
        </w:tc>
        <w:tc>
          <w:tcPr>
            <w:tcW w:w="644" w:type="pct"/>
            <w:tcBorders>
              <w:tl2br w:val="nil"/>
              <w:tr2bl w:val="nil"/>
            </w:tcBorders>
            <w:shd w:val="clear" w:color="auto" w:fill="auto"/>
            <w:vAlign w:val="center"/>
          </w:tcPr>
          <w:p w14:paraId="16D979F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原热电家属楼3层</w:t>
            </w:r>
          </w:p>
        </w:tc>
        <w:tc>
          <w:tcPr>
            <w:tcW w:w="950" w:type="dxa"/>
            <w:tcBorders>
              <w:tl2br w:val="nil"/>
              <w:tr2bl w:val="nil"/>
            </w:tcBorders>
            <w:vAlign w:val="center"/>
          </w:tcPr>
          <w:p w14:paraId="59F0B57F">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color w:val="FF0000"/>
                <w:sz w:val="21"/>
                <w:szCs w:val="21"/>
                <w:highlight w:val="none"/>
                <w:lang w:val="en-US" w:eastAsia="zh-CN"/>
              </w:rPr>
            </w:pPr>
            <w:r>
              <w:rPr>
                <w:rFonts w:hint="default" w:ascii="Times New Roman" w:hAnsi="Times New Roman" w:eastAsia="宋体" w:cs="Times New Roman"/>
                <w:i w:val="0"/>
                <w:iCs w:val="0"/>
                <w:color w:val="FF0000"/>
                <w:kern w:val="0"/>
                <w:sz w:val="21"/>
                <w:szCs w:val="21"/>
                <w:highlight w:val="none"/>
                <w:u w:val="none"/>
                <w:lang w:val="en-US" w:eastAsia="zh-CN" w:bidi="ar"/>
              </w:rPr>
              <w:t>49</w:t>
            </w:r>
          </w:p>
        </w:tc>
        <w:tc>
          <w:tcPr>
            <w:tcW w:w="966" w:type="dxa"/>
            <w:tcBorders>
              <w:tl2br w:val="nil"/>
              <w:tr2bl w:val="nil"/>
            </w:tcBorders>
            <w:vAlign w:val="center"/>
          </w:tcPr>
          <w:p w14:paraId="3A2F1328">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color w:val="FF0000"/>
                <w:sz w:val="21"/>
                <w:szCs w:val="21"/>
                <w:highlight w:val="none"/>
                <w:lang w:val="en-US" w:eastAsia="zh-CN"/>
              </w:rPr>
            </w:pPr>
            <w:r>
              <w:rPr>
                <w:rFonts w:hint="default" w:ascii="Times New Roman" w:hAnsi="Times New Roman" w:eastAsia="宋体" w:cs="Times New Roman"/>
                <w:i w:val="0"/>
                <w:iCs w:val="0"/>
                <w:color w:val="FF0000"/>
                <w:kern w:val="0"/>
                <w:sz w:val="21"/>
                <w:szCs w:val="21"/>
                <w:highlight w:val="none"/>
                <w:u w:val="none"/>
                <w:lang w:val="en-US" w:eastAsia="zh-CN" w:bidi="ar"/>
              </w:rPr>
              <w:t>45</w:t>
            </w:r>
          </w:p>
        </w:tc>
        <w:tc>
          <w:tcPr>
            <w:tcW w:w="1000" w:type="dxa"/>
            <w:tcBorders>
              <w:tl2br w:val="nil"/>
              <w:tr2bl w:val="nil"/>
            </w:tcBorders>
            <w:shd w:val="clear" w:color="auto" w:fill="auto"/>
            <w:vAlign w:val="center"/>
          </w:tcPr>
          <w:p w14:paraId="371852C9">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49.01</w:t>
            </w:r>
          </w:p>
        </w:tc>
        <w:tc>
          <w:tcPr>
            <w:tcW w:w="867" w:type="dxa"/>
            <w:tcBorders>
              <w:tl2br w:val="nil"/>
              <w:tr2bl w:val="nil"/>
            </w:tcBorders>
            <w:shd w:val="clear" w:color="auto" w:fill="auto"/>
            <w:vAlign w:val="center"/>
          </w:tcPr>
          <w:p w14:paraId="7C37DB78">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45.02</w:t>
            </w:r>
          </w:p>
        </w:tc>
        <w:tc>
          <w:tcPr>
            <w:tcW w:w="1083" w:type="dxa"/>
            <w:tcBorders>
              <w:tl2br w:val="nil"/>
              <w:tr2bl w:val="nil"/>
            </w:tcBorders>
            <w:shd w:val="clear" w:color="auto" w:fill="auto"/>
            <w:vAlign w:val="center"/>
          </w:tcPr>
          <w:p w14:paraId="7647C3DF">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22.59</w:t>
            </w:r>
          </w:p>
        </w:tc>
        <w:tc>
          <w:tcPr>
            <w:tcW w:w="1120" w:type="dxa"/>
            <w:tcBorders>
              <w:tl2br w:val="nil"/>
              <w:tr2bl w:val="nil"/>
            </w:tcBorders>
            <w:shd w:val="clear" w:color="auto" w:fill="auto"/>
            <w:vAlign w:val="center"/>
          </w:tcPr>
          <w:p w14:paraId="336EF02C">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22.59</w:t>
            </w:r>
          </w:p>
        </w:tc>
        <w:tc>
          <w:tcPr>
            <w:tcW w:w="950" w:type="dxa"/>
            <w:tcBorders>
              <w:tl2br w:val="nil"/>
              <w:tr2bl w:val="nil"/>
            </w:tcBorders>
            <w:shd w:val="clear" w:color="auto" w:fill="auto"/>
            <w:vAlign w:val="center"/>
          </w:tcPr>
          <w:p w14:paraId="4B8F9413">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0.01</w:t>
            </w:r>
          </w:p>
        </w:tc>
        <w:tc>
          <w:tcPr>
            <w:tcW w:w="950" w:type="dxa"/>
            <w:tcBorders>
              <w:tl2br w:val="nil"/>
              <w:tr2bl w:val="nil"/>
            </w:tcBorders>
            <w:shd w:val="clear" w:color="auto" w:fill="auto"/>
            <w:vAlign w:val="center"/>
          </w:tcPr>
          <w:p w14:paraId="6EB9F873">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0.02</w:t>
            </w:r>
          </w:p>
        </w:tc>
        <w:tc>
          <w:tcPr>
            <w:tcW w:w="1147" w:type="dxa"/>
            <w:tcBorders>
              <w:tl2br w:val="nil"/>
              <w:tr2bl w:val="nil"/>
            </w:tcBorders>
            <w:vAlign w:val="center"/>
          </w:tcPr>
          <w:p w14:paraId="499E903B">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i w:val="0"/>
                <w:iCs w:val="0"/>
                <w:color w:val="FF0000"/>
                <w:kern w:val="2"/>
                <w:sz w:val="21"/>
                <w:szCs w:val="21"/>
                <w:highlight w:val="none"/>
                <w:u w:val="none"/>
                <w:lang w:val="en-US" w:eastAsia="zh-CN" w:bidi="ar-SA"/>
              </w:rPr>
            </w:pPr>
            <w:r>
              <w:rPr>
                <w:rFonts w:hint="default" w:ascii="Times New Roman" w:hAnsi="Times New Roman" w:eastAsia="宋体" w:cs="Times New Roman"/>
                <w:b w:val="0"/>
                <w:bCs/>
                <w:i w:val="0"/>
                <w:iCs w:val="0"/>
                <w:color w:val="FF0000"/>
                <w:kern w:val="2"/>
                <w:sz w:val="21"/>
                <w:szCs w:val="21"/>
                <w:highlight w:val="none"/>
                <w:u w:val="none"/>
                <w:lang w:val="en-US" w:eastAsia="zh-CN" w:bidi="ar-SA"/>
              </w:rPr>
              <w:t>60</w:t>
            </w:r>
          </w:p>
        </w:tc>
        <w:tc>
          <w:tcPr>
            <w:tcW w:w="1100" w:type="dxa"/>
            <w:tcBorders>
              <w:tl2br w:val="nil"/>
              <w:tr2bl w:val="nil"/>
            </w:tcBorders>
            <w:vAlign w:val="center"/>
          </w:tcPr>
          <w:p w14:paraId="74468316">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i w:val="0"/>
                <w:iCs w:val="0"/>
                <w:color w:val="FF0000"/>
                <w:kern w:val="2"/>
                <w:sz w:val="21"/>
                <w:szCs w:val="21"/>
                <w:highlight w:val="none"/>
                <w:u w:val="none"/>
                <w:lang w:val="en-US" w:eastAsia="zh-CN" w:bidi="ar-SA"/>
              </w:rPr>
            </w:pPr>
            <w:r>
              <w:rPr>
                <w:rFonts w:hint="default" w:ascii="Times New Roman" w:hAnsi="Times New Roman" w:eastAsia="宋体" w:cs="Times New Roman"/>
                <w:b w:val="0"/>
                <w:bCs/>
                <w:i w:val="0"/>
                <w:iCs w:val="0"/>
                <w:color w:val="FF0000"/>
                <w:kern w:val="2"/>
                <w:sz w:val="21"/>
                <w:szCs w:val="21"/>
                <w:highlight w:val="none"/>
                <w:u w:val="none"/>
                <w:lang w:val="en-US" w:eastAsia="zh-CN" w:bidi="ar-SA"/>
              </w:rPr>
              <w:t>50</w:t>
            </w:r>
          </w:p>
        </w:tc>
        <w:tc>
          <w:tcPr>
            <w:tcW w:w="342" w:type="pct"/>
            <w:tcBorders>
              <w:tl2br w:val="nil"/>
              <w:tr2bl w:val="nil"/>
            </w:tcBorders>
            <w:vAlign w:val="center"/>
          </w:tcPr>
          <w:p w14:paraId="0FEC8CC7">
            <w:pPr>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b w:val="0"/>
                <w:bCs/>
                <w:color w:val="FF0000"/>
                <w:sz w:val="21"/>
                <w:szCs w:val="21"/>
                <w:highlight w:val="none"/>
                <w:lang w:val="en-US" w:eastAsia="zh-CN"/>
              </w:rPr>
            </w:pPr>
            <w:r>
              <w:rPr>
                <w:rFonts w:hint="default" w:ascii="Times New Roman" w:hAnsi="Times New Roman" w:eastAsia="宋体" w:cs="Times New Roman"/>
                <w:b w:val="0"/>
                <w:bCs/>
                <w:color w:val="FF0000"/>
                <w:sz w:val="21"/>
                <w:szCs w:val="21"/>
                <w:highlight w:val="none"/>
                <w:lang w:val="en-US" w:eastAsia="zh-CN"/>
              </w:rPr>
              <w:t>达标</w:t>
            </w:r>
          </w:p>
        </w:tc>
        <w:tc>
          <w:tcPr>
            <w:tcW w:w="297" w:type="pct"/>
            <w:tcBorders>
              <w:tl2br w:val="nil"/>
              <w:tr2bl w:val="nil"/>
            </w:tcBorders>
            <w:vAlign w:val="center"/>
          </w:tcPr>
          <w:p w14:paraId="45F3111C">
            <w:pPr>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b w:val="0"/>
                <w:bCs/>
                <w:color w:val="FF0000"/>
                <w:sz w:val="21"/>
                <w:szCs w:val="21"/>
                <w:highlight w:val="none"/>
                <w:lang w:val="en-US" w:eastAsia="zh-CN"/>
              </w:rPr>
            </w:pPr>
            <w:r>
              <w:rPr>
                <w:rFonts w:hint="default" w:ascii="Times New Roman" w:hAnsi="Times New Roman" w:eastAsia="宋体" w:cs="Times New Roman"/>
                <w:b w:val="0"/>
                <w:bCs/>
                <w:color w:val="FF0000"/>
                <w:sz w:val="21"/>
                <w:szCs w:val="21"/>
                <w:highlight w:val="none"/>
                <w:lang w:val="en-US" w:eastAsia="zh-CN"/>
              </w:rPr>
              <w:t>达标</w:t>
            </w:r>
          </w:p>
        </w:tc>
      </w:tr>
      <w:tr w14:paraId="778DDC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85" w:type="pct"/>
            <w:tcBorders>
              <w:tl2br w:val="nil"/>
              <w:tr2bl w:val="nil"/>
            </w:tcBorders>
            <w:vAlign w:val="center"/>
          </w:tcPr>
          <w:p w14:paraId="7A5FD8D6">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宋体" w:cs="Times New Roman"/>
                <w:b w:val="0"/>
                <w:bCs/>
                <w:color w:val="FF0000"/>
                <w:sz w:val="21"/>
                <w:szCs w:val="21"/>
                <w:highlight w:val="none"/>
                <w:lang w:val="en-US" w:eastAsia="zh-CN"/>
              </w:rPr>
            </w:pPr>
            <w:r>
              <w:rPr>
                <w:rFonts w:hint="default" w:ascii="Times New Roman" w:hAnsi="Times New Roman" w:eastAsia="宋体" w:cs="Times New Roman"/>
                <w:b w:val="0"/>
                <w:bCs/>
                <w:color w:val="FF0000"/>
                <w:sz w:val="21"/>
                <w:szCs w:val="21"/>
                <w:highlight w:val="none"/>
                <w:lang w:val="en-US" w:eastAsia="zh-CN"/>
              </w:rPr>
              <w:t>3</w:t>
            </w:r>
          </w:p>
        </w:tc>
        <w:tc>
          <w:tcPr>
            <w:tcW w:w="644" w:type="pct"/>
            <w:tcBorders>
              <w:tl2br w:val="nil"/>
              <w:tr2bl w:val="nil"/>
            </w:tcBorders>
            <w:shd w:val="clear" w:color="auto" w:fill="auto"/>
            <w:vAlign w:val="center"/>
          </w:tcPr>
          <w:p w14:paraId="0E61607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原热电家属楼5层</w:t>
            </w:r>
          </w:p>
        </w:tc>
        <w:tc>
          <w:tcPr>
            <w:tcW w:w="950" w:type="dxa"/>
            <w:tcBorders>
              <w:tl2br w:val="nil"/>
              <w:tr2bl w:val="nil"/>
            </w:tcBorders>
            <w:vAlign w:val="center"/>
          </w:tcPr>
          <w:p w14:paraId="09810A3C">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color w:val="FF0000"/>
                <w:sz w:val="21"/>
                <w:szCs w:val="21"/>
                <w:highlight w:val="none"/>
                <w:lang w:val="en-US" w:eastAsia="zh-CN"/>
              </w:rPr>
            </w:pPr>
            <w:r>
              <w:rPr>
                <w:rFonts w:hint="default" w:ascii="Times New Roman" w:hAnsi="Times New Roman" w:eastAsia="宋体" w:cs="Times New Roman"/>
                <w:i w:val="0"/>
                <w:iCs w:val="0"/>
                <w:color w:val="FF0000"/>
                <w:kern w:val="0"/>
                <w:sz w:val="21"/>
                <w:szCs w:val="21"/>
                <w:highlight w:val="none"/>
                <w:u w:val="none"/>
                <w:lang w:val="en-US" w:eastAsia="zh-CN" w:bidi="ar"/>
              </w:rPr>
              <w:t>49</w:t>
            </w:r>
          </w:p>
        </w:tc>
        <w:tc>
          <w:tcPr>
            <w:tcW w:w="966" w:type="dxa"/>
            <w:tcBorders>
              <w:tl2br w:val="nil"/>
              <w:tr2bl w:val="nil"/>
            </w:tcBorders>
            <w:vAlign w:val="center"/>
          </w:tcPr>
          <w:p w14:paraId="0E17FD3B">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color w:val="FF0000"/>
                <w:sz w:val="21"/>
                <w:szCs w:val="21"/>
                <w:highlight w:val="none"/>
                <w:lang w:val="en-US" w:eastAsia="zh-CN"/>
              </w:rPr>
            </w:pPr>
            <w:r>
              <w:rPr>
                <w:rFonts w:hint="default" w:ascii="Times New Roman" w:hAnsi="Times New Roman" w:eastAsia="宋体" w:cs="Times New Roman"/>
                <w:i w:val="0"/>
                <w:iCs w:val="0"/>
                <w:color w:val="FF0000"/>
                <w:kern w:val="0"/>
                <w:sz w:val="21"/>
                <w:szCs w:val="21"/>
                <w:highlight w:val="none"/>
                <w:u w:val="none"/>
                <w:lang w:val="en-US" w:eastAsia="zh-CN" w:bidi="ar"/>
              </w:rPr>
              <w:t>45</w:t>
            </w:r>
          </w:p>
        </w:tc>
        <w:tc>
          <w:tcPr>
            <w:tcW w:w="1000" w:type="dxa"/>
            <w:tcBorders>
              <w:tl2br w:val="nil"/>
              <w:tr2bl w:val="nil"/>
            </w:tcBorders>
            <w:shd w:val="clear" w:color="auto" w:fill="auto"/>
            <w:vAlign w:val="center"/>
          </w:tcPr>
          <w:p w14:paraId="107958F7">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49.01</w:t>
            </w:r>
          </w:p>
        </w:tc>
        <w:tc>
          <w:tcPr>
            <w:tcW w:w="867" w:type="dxa"/>
            <w:tcBorders>
              <w:tl2br w:val="nil"/>
              <w:tr2bl w:val="nil"/>
            </w:tcBorders>
            <w:shd w:val="clear" w:color="auto" w:fill="auto"/>
            <w:vAlign w:val="center"/>
          </w:tcPr>
          <w:p w14:paraId="2582222A">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45.03</w:t>
            </w:r>
          </w:p>
        </w:tc>
        <w:tc>
          <w:tcPr>
            <w:tcW w:w="1083" w:type="dxa"/>
            <w:tcBorders>
              <w:tl2br w:val="nil"/>
              <w:tr2bl w:val="nil"/>
            </w:tcBorders>
            <w:shd w:val="clear" w:color="auto" w:fill="auto"/>
            <w:vAlign w:val="center"/>
          </w:tcPr>
          <w:p w14:paraId="2D4FC2ED">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23.08</w:t>
            </w:r>
          </w:p>
        </w:tc>
        <w:tc>
          <w:tcPr>
            <w:tcW w:w="1120" w:type="dxa"/>
            <w:tcBorders>
              <w:tl2br w:val="nil"/>
              <w:tr2bl w:val="nil"/>
            </w:tcBorders>
            <w:shd w:val="clear" w:color="auto" w:fill="auto"/>
            <w:vAlign w:val="center"/>
          </w:tcPr>
          <w:p w14:paraId="7BD5AAFD">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23.08</w:t>
            </w:r>
          </w:p>
        </w:tc>
        <w:tc>
          <w:tcPr>
            <w:tcW w:w="950" w:type="dxa"/>
            <w:tcBorders>
              <w:tl2br w:val="nil"/>
              <w:tr2bl w:val="nil"/>
            </w:tcBorders>
            <w:shd w:val="clear" w:color="auto" w:fill="auto"/>
            <w:vAlign w:val="center"/>
          </w:tcPr>
          <w:p w14:paraId="679E2351">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0.01</w:t>
            </w:r>
          </w:p>
        </w:tc>
        <w:tc>
          <w:tcPr>
            <w:tcW w:w="950" w:type="dxa"/>
            <w:tcBorders>
              <w:tl2br w:val="nil"/>
              <w:tr2bl w:val="nil"/>
            </w:tcBorders>
            <w:shd w:val="clear" w:color="auto" w:fill="auto"/>
            <w:vAlign w:val="center"/>
          </w:tcPr>
          <w:p w14:paraId="0E39C131">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0.03</w:t>
            </w:r>
          </w:p>
        </w:tc>
        <w:tc>
          <w:tcPr>
            <w:tcW w:w="1147" w:type="dxa"/>
            <w:tcBorders>
              <w:tl2br w:val="nil"/>
              <w:tr2bl w:val="nil"/>
            </w:tcBorders>
            <w:vAlign w:val="center"/>
          </w:tcPr>
          <w:p w14:paraId="45C124E7">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i w:val="0"/>
                <w:iCs w:val="0"/>
                <w:color w:val="FF0000"/>
                <w:kern w:val="2"/>
                <w:sz w:val="21"/>
                <w:szCs w:val="21"/>
                <w:highlight w:val="none"/>
                <w:u w:val="none"/>
                <w:lang w:val="en-US" w:eastAsia="zh-CN" w:bidi="ar-SA"/>
              </w:rPr>
            </w:pPr>
            <w:r>
              <w:rPr>
                <w:rFonts w:hint="default" w:ascii="Times New Roman" w:hAnsi="Times New Roman" w:eastAsia="宋体" w:cs="Times New Roman"/>
                <w:b w:val="0"/>
                <w:bCs/>
                <w:i w:val="0"/>
                <w:iCs w:val="0"/>
                <w:color w:val="FF0000"/>
                <w:kern w:val="2"/>
                <w:sz w:val="21"/>
                <w:szCs w:val="21"/>
                <w:highlight w:val="none"/>
                <w:u w:val="none"/>
                <w:lang w:val="en-US" w:eastAsia="zh-CN" w:bidi="ar-SA"/>
              </w:rPr>
              <w:t>60</w:t>
            </w:r>
          </w:p>
        </w:tc>
        <w:tc>
          <w:tcPr>
            <w:tcW w:w="1100" w:type="dxa"/>
            <w:tcBorders>
              <w:tl2br w:val="nil"/>
              <w:tr2bl w:val="nil"/>
            </w:tcBorders>
            <w:vAlign w:val="center"/>
          </w:tcPr>
          <w:p w14:paraId="731AE22F">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i w:val="0"/>
                <w:iCs w:val="0"/>
                <w:color w:val="FF0000"/>
                <w:kern w:val="2"/>
                <w:sz w:val="21"/>
                <w:szCs w:val="21"/>
                <w:highlight w:val="none"/>
                <w:u w:val="none"/>
                <w:lang w:val="en-US" w:eastAsia="zh-CN" w:bidi="ar-SA"/>
              </w:rPr>
            </w:pPr>
            <w:r>
              <w:rPr>
                <w:rFonts w:hint="default" w:ascii="Times New Roman" w:hAnsi="Times New Roman" w:eastAsia="宋体" w:cs="Times New Roman"/>
                <w:b w:val="0"/>
                <w:bCs/>
                <w:i w:val="0"/>
                <w:iCs w:val="0"/>
                <w:color w:val="FF0000"/>
                <w:kern w:val="2"/>
                <w:sz w:val="21"/>
                <w:szCs w:val="21"/>
                <w:highlight w:val="none"/>
                <w:u w:val="none"/>
                <w:lang w:val="en-US" w:eastAsia="zh-CN" w:bidi="ar-SA"/>
              </w:rPr>
              <w:t>50</w:t>
            </w:r>
          </w:p>
        </w:tc>
        <w:tc>
          <w:tcPr>
            <w:tcW w:w="342" w:type="pct"/>
            <w:tcBorders>
              <w:tl2br w:val="nil"/>
              <w:tr2bl w:val="nil"/>
            </w:tcBorders>
            <w:vAlign w:val="center"/>
          </w:tcPr>
          <w:p w14:paraId="71B68A3D">
            <w:pPr>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b w:val="0"/>
                <w:bCs/>
                <w:color w:val="FF0000"/>
                <w:sz w:val="21"/>
                <w:szCs w:val="21"/>
                <w:highlight w:val="none"/>
                <w:lang w:val="en-US" w:eastAsia="zh-CN"/>
              </w:rPr>
            </w:pPr>
            <w:r>
              <w:rPr>
                <w:rFonts w:hint="default" w:ascii="Times New Roman" w:hAnsi="Times New Roman" w:eastAsia="宋体" w:cs="Times New Roman"/>
                <w:b w:val="0"/>
                <w:bCs/>
                <w:color w:val="FF0000"/>
                <w:sz w:val="21"/>
                <w:szCs w:val="21"/>
                <w:highlight w:val="none"/>
                <w:lang w:val="en-US" w:eastAsia="zh-CN"/>
              </w:rPr>
              <w:t>达标</w:t>
            </w:r>
          </w:p>
        </w:tc>
        <w:tc>
          <w:tcPr>
            <w:tcW w:w="297" w:type="pct"/>
            <w:tcBorders>
              <w:tl2br w:val="nil"/>
              <w:tr2bl w:val="nil"/>
            </w:tcBorders>
            <w:vAlign w:val="center"/>
          </w:tcPr>
          <w:p w14:paraId="7F012D8B">
            <w:pPr>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b w:val="0"/>
                <w:bCs/>
                <w:color w:val="FF0000"/>
                <w:sz w:val="21"/>
                <w:szCs w:val="21"/>
                <w:highlight w:val="none"/>
                <w:lang w:val="en-US" w:eastAsia="zh-CN"/>
              </w:rPr>
            </w:pPr>
            <w:r>
              <w:rPr>
                <w:rFonts w:hint="default" w:ascii="Times New Roman" w:hAnsi="Times New Roman" w:eastAsia="宋体" w:cs="Times New Roman"/>
                <w:b w:val="0"/>
                <w:bCs/>
                <w:color w:val="FF0000"/>
                <w:sz w:val="21"/>
                <w:szCs w:val="21"/>
                <w:highlight w:val="none"/>
                <w:lang w:val="en-US" w:eastAsia="zh-CN"/>
              </w:rPr>
              <w:t>达标</w:t>
            </w:r>
          </w:p>
        </w:tc>
      </w:tr>
      <w:tr w14:paraId="280A4A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85" w:type="pct"/>
            <w:tcBorders>
              <w:tl2br w:val="nil"/>
              <w:tr2bl w:val="nil"/>
            </w:tcBorders>
            <w:vAlign w:val="center"/>
          </w:tcPr>
          <w:p w14:paraId="563F5788">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kern w:val="2"/>
                <w:sz w:val="21"/>
                <w:szCs w:val="21"/>
                <w:highlight w:val="none"/>
                <w:lang w:val="en-US" w:eastAsia="zh-CN" w:bidi="ar-SA"/>
              </w:rPr>
              <w:t>4</w:t>
            </w:r>
          </w:p>
        </w:tc>
        <w:tc>
          <w:tcPr>
            <w:tcW w:w="644" w:type="pct"/>
            <w:tcBorders>
              <w:tl2br w:val="nil"/>
              <w:tr2bl w:val="nil"/>
            </w:tcBorders>
            <w:shd w:val="clear" w:color="auto" w:fill="auto"/>
            <w:vAlign w:val="center"/>
          </w:tcPr>
          <w:p w14:paraId="0CB804CB">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黑锻新城1层</w:t>
            </w:r>
          </w:p>
        </w:tc>
        <w:tc>
          <w:tcPr>
            <w:tcW w:w="950" w:type="dxa"/>
            <w:tcBorders>
              <w:tl2br w:val="nil"/>
              <w:tr2bl w:val="nil"/>
            </w:tcBorders>
            <w:vAlign w:val="center"/>
          </w:tcPr>
          <w:p w14:paraId="2AFE4273">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48</w:t>
            </w:r>
          </w:p>
        </w:tc>
        <w:tc>
          <w:tcPr>
            <w:tcW w:w="966" w:type="dxa"/>
            <w:tcBorders>
              <w:tl2br w:val="nil"/>
              <w:tr2bl w:val="nil"/>
            </w:tcBorders>
            <w:vAlign w:val="center"/>
          </w:tcPr>
          <w:p w14:paraId="2538889E">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44</w:t>
            </w:r>
          </w:p>
        </w:tc>
        <w:tc>
          <w:tcPr>
            <w:tcW w:w="1000" w:type="dxa"/>
            <w:tcBorders>
              <w:tl2br w:val="nil"/>
              <w:tr2bl w:val="nil"/>
            </w:tcBorders>
            <w:shd w:val="clear" w:color="auto" w:fill="auto"/>
            <w:vAlign w:val="center"/>
          </w:tcPr>
          <w:p w14:paraId="0FD3C7BE">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48.03</w:t>
            </w:r>
          </w:p>
        </w:tc>
        <w:tc>
          <w:tcPr>
            <w:tcW w:w="867" w:type="dxa"/>
            <w:tcBorders>
              <w:tl2br w:val="nil"/>
              <w:tr2bl w:val="nil"/>
            </w:tcBorders>
            <w:shd w:val="clear" w:color="auto" w:fill="auto"/>
            <w:vAlign w:val="center"/>
          </w:tcPr>
          <w:p w14:paraId="0E90FBC7">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44.08</w:t>
            </w:r>
          </w:p>
        </w:tc>
        <w:tc>
          <w:tcPr>
            <w:tcW w:w="1083" w:type="dxa"/>
            <w:tcBorders>
              <w:tl2br w:val="nil"/>
              <w:tr2bl w:val="nil"/>
            </w:tcBorders>
            <w:shd w:val="clear" w:color="auto" w:fill="auto"/>
            <w:vAlign w:val="center"/>
          </w:tcPr>
          <w:p w14:paraId="2051B4ED">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26.51</w:t>
            </w:r>
          </w:p>
        </w:tc>
        <w:tc>
          <w:tcPr>
            <w:tcW w:w="1120" w:type="dxa"/>
            <w:tcBorders>
              <w:tl2br w:val="nil"/>
              <w:tr2bl w:val="nil"/>
            </w:tcBorders>
            <w:shd w:val="clear" w:color="auto" w:fill="auto"/>
            <w:vAlign w:val="center"/>
          </w:tcPr>
          <w:p w14:paraId="00001799">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26.51</w:t>
            </w:r>
          </w:p>
        </w:tc>
        <w:tc>
          <w:tcPr>
            <w:tcW w:w="950" w:type="dxa"/>
            <w:tcBorders>
              <w:tl2br w:val="nil"/>
              <w:tr2bl w:val="nil"/>
            </w:tcBorders>
            <w:shd w:val="clear" w:color="auto" w:fill="auto"/>
            <w:vAlign w:val="center"/>
          </w:tcPr>
          <w:p w14:paraId="39E98CEE">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0.03</w:t>
            </w:r>
          </w:p>
        </w:tc>
        <w:tc>
          <w:tcPr>
            <w:tcW w:w="950" w:type="dxa"/>
            <w:tcBorders>
              <w:tl2br w:val="nil"/>
              <w:tr2bl w:val="nil"/>
            </w:tcBorders>
            <w:shd w:val="clear" w:color="auto" w:fill="auto"/>
            <w:vAlign w:val="center"/>
          </w:tcPr>
          <w:p w14:paraId="68D0D70A">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0.08</w:t>
            </w:r>
          </w:p>
        </w:tc>
        <w:tc>
          <w:tcPr>
            <w:tcW w:w="1147" w:type="dxa"/>
            <w:tcBorders>
              <w:tl2br w:val="nil"/>
              <w:tr2bl w:val="nil"/>
            </w:tcBorders>
            <w:vAlign w:val="center"/>
          </w:tcPr>
          <w:p w14:paraId="0E602410">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i w:val="0"/>
                <w:iCs w:val="0"/>
                <w:color w:val="FF0000"/>
                <w:kern w:val="2"/>
                <w:sz w:val="21"/>
                <w:szCs w:val="21"/>
                <w:highlight w:val="none"/>
                <w:u w:val="none"/>
                <w:lang w:val="en-US" w:eastAsia="zh-CN" w:bidi="ar-SA"/>
              </w:rPr>
            </w:pPr>
            <w:r>
              <w:rPr>
                <w:rFonts w:hint="default" w:ascii="Times New Roman" w:hAnsi="Times New Roman" w:eastAsia="宋体" w:cs="Times New Roman"/>
                <w:b w:val="0"/>
                <w:bCs/>
                <w:i w:val="0"/>
                <w:iCs w:val="0"/>
                <w:color w:val="FF0000"/>
                <w:kern w:val="2"/>
                <w:sz w:val="21"/>
                <w:szCs w:val="21"/>
                <w:highlight w:val="none"/>
                <w:u w:val="none"/>
                <w:lang w:val="en-US" w:eastAsia="zh-CN" w:bidi="ar-SA"/>
              </w:rPr>
              <w:t>60</w:t>
            </w:r>
          </w:p>
        </w:tc>
        <w:tc>
          <w:tcPr>
            <w:tcW w:w="1100" w:type="dxa"/>
            <w:tcBorders>
              <w:tl2br w:val="nil"/>
              <w:tr2bl w:val="nil"/>
            </w:tcBorders>
            <w:vAlign w:val="center"/>
          </w:tcPr>
          <w:p w14:paraId="3A0443A8">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i w:val="0"/>
                <w:iCs w:val="0"/>
                <w:color w:val="FF0000"/>
                <w:kern w:val="2"/>
                <w:sz w:val="21"/>
                <w:szCs w:val="21"/>
                <w:highlight w:val="none"/>
                <w:u w:val="none"/>
                <w:lang w:val="en-US" w:eastAsia="zh-CN" w:bidi="ar-SA"/>
              </w:rPr>
            </w:pPr>
            <w:r>
              <w:rPr>
                <w:rFonts w:hint="default" w:ascii="Times New Roman" w:hAnsi="Times New Roman" w:eastAsia="宋体" w:cs="Times New Roman"/>
                <w:b w:val="0"/>
                <w:bCs/>
                <w:i w:val="0"/>
                <w:iCs w:val="0"/>
                <w:color w:val="FF0000"/>
                <w:kern w:val="2"/>
                <w:sz w:val="21"/>
                <w:szCs w:val="21"/>
                <w:highlight w:val="none"/>
                <w:u w:val="none"/>
                <w:lang w:val="en-US" w:eastAsia="zh-CN" w:bidi="ar-SA"/>
              </w:rPr>
              <w:t>50</w:t>
            </w:r>
          </w:p>
        </w:tc>
        <w:tc>
          <w:tcPr>
            <w:tcW w:w="342" w:type="pct"/>
            <w:tcBorders>
              <w:tl2br w:val="nil"/>
              <w:tr2bl w:val="nil"/>
            </w:tcBorders>
            <w:vAlign w:val="center"/>
          </w:tcPr>
          <w:p w14:paraId="74FEC6A2">
            <w:pPr>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达标</w:t>
            </w:r>
          </w:p>
        </w:tc>
        <w:tc>
          <w:tcPr>
            <w:tcW w:w="297" w:type="pct"/>
            <w:tcBorders>
              <w:tl2br w:val="nil"/>
              <w:tr2bl w:val="nil"/>
            </w:tcBorders>
            <w:vAlign w:val="center"/>
          </w:tcPr>
          <w:p w14:paraId="2390C4AD">
            <w:pPr>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达标</w:t>
            </w:r>
          </w:p>
        </w:tc>
      </w:tr>
      <w:tr w14:paraId="4ACE56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185" w:type="pct"/>
            <w:tcBorders>
              <w:tl2br w:val="nil"/>
              <w:tr2bl w:val="nil"/>
            </w:tcBorders>
            <w:vAlign w:val="center"/>
          </w:tcPr>
          <w:p w14:paraId="3189C4C0">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kern w:val="2"/>
                <w:sz w:val="21"/>
                <w:szCs w:val="21"/>
                <w:highlight w:val="none"/>
                <w:lang w:val="en-US" w:eastAsia="zh-CN" w:bidi="ar-SA"/>
              </w:rPr>
              <w:t>5</w:t>
            </w:r>
          </w:p>
        </w:tc>
        <w:tc>
          <w:tcPr>
            <w:tcW w:w="644" w:type="pct"/>
            <w:tcBorders>
              <w:tl2br w:val="nil"/>
              <w:tr2bl w:val="nil"/>
            </w:tcBorders>
            <w:shd w:val="clear" w:color="auto" w:fill="auto"/>
            <w:vAlign w:val="center"/>
          </w:tcPr>
          <w:p w14:paraId="3DD0404F">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黑锻新城3层</w:t>
            </w:r>
          </w:p>
        </w:tc>
        <w:tc>
          <w:tcPr>
            <w:tcW w:w="950" w:type="dxa"/>
            <w:tcBorders>
              <w:tl2br w:val="nil"/>
              <w:tr2bl w:val="nil"/>
            </w:tcBorders>
            <w:vAlign w:val="center"/>
          </w:tcPr>
          <w:p w14:paraId="729B6D6F">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48</w:t>
            </w:r>
          </w:p>
        </w:tc>
        <w:tc>
          <w:tcPr>
            <w:tcW w:w="966" w:type="dxa"/>
            <w:tcBorders>
              <w:tl2br w:val="nil"/>
              <w:tr2bl w:val="nil"/>
            </w:tcBorders>
            <w:vAlign w:val="center"/>
          </w:tcPr>
          <w:p w14:paraId="0849A402">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44</w:t>
            </w:r>
          </w:p>
        </w:tc>
        <w:tc>
          <w:tcPr>
            <w:tcW w:w="1000" w:type="dxa"/>
            <w:tcBorders>
              <w:tl2br w:val="nil"/>
              <w:tr2bl w:val="nil"/>
            </w:tcBorders>
            <w:shd w:val="clear" w:color="auto" w:fill="auto"/>
            <w:vAlign w:val="center"/>
          </w:tcPr>
          <w:p w14:paraId="388A52FA">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48.03</w:t>
            </w:r>
          </w:p>
        </w:tc>
        <w:tc>
          <w:tcPr>
            <w:tcW w:w="867" w:type="dxa"/>
            <w:tcBorders>
              <w:tl2br w:val="nil"/>
              <w:tr2bl w:val="nil"/>
            </w:tcBorders>
            <w:shd w:val="clear" w:color="auto" w:fill="auto"/>
            <w:vAlign w:val="center"/>
          </w:tcPr>
          <w:p w14:paraId="03773EA3">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44.08</w:t>
            </w:r>
          </w:p>
        </w:tc>
        <w:tc>
          <w:tcPr>
            <w:tcW w:w="1083" w:type="dxa"/>
            <w:tcBorders>
              <w:tl2br w:val="nil"/>
              <w:tr2bl w:val="nil"/>
            </w:tcBorders>
            <w:shd w:val="clear" w:color="auto" w:fill="auto"/>
            <w:vAlign w:val="center"/>
          </w:tcPr>
          <w:p w14:paraId="2419AFB8">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26.51</w:t>
            </w:r>
          </w:p>
        </w:tc>
        <w:tc>
          <w:tcPr>
            <w:tcW w:w="1120" w:type="dxa"/>
            <w:tcBorders>
              <w:tl2br w:val="nil"/>
              <w:tr2bl w:val="nil"/>
            </w:tcBorders>
            <w:shd w:val="clear" w:color="auto" w:fill="auto"/>
            <w:vAlign w:val="center"/>
          </w:tcPr>
          <w:p w14:paraId="3CA8CDA4">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26.51</w:t>
            </w:r>
          </w:p>
        </w:tc>
        <w:tc>
          <w:tcPr>
            <w:tcW w:w="950" w:type="dxa"/>
            <w:tcBorders>
              <w:tl2br w:val="nil"/>
              <w:tr2bl w:val="nil"/>
            </w:tcBorders>
            <w:shd w:val="clear" w:color="auto" w:fill="auto"/>
            <w:vAlign w:val="center"/>
          </w:tcPr>
          <w:p w14:paraId="1994F967">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0.03</w:t>
            </w:r>
          </w:p>
        </w:tc>
        <w:tc>
          <w:tcPr>
            <w:tcW w:w="950" w:type="dxa"/>
            <w:tcBorders>
              <w:tl2br w:val="nil"/>
              <w:tr2bl w:val="nil"/>
            </w:tcBorders>
            <w:shd w:val="clear" w:color="auto" w:fill="auto"/>
            <w:vAlign w:val="center"/>
          </w:tcPr>
          <w:p w14:paraId="3FBF9580">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0.08</w:t>
            </w:r>
          </w:p>
        </w:tc>
        <w:tc>
          <w:tcPr>
            <w:tcW w:w="1147" w:type="dxa"/>
            <w:tcBorders>
              <w:tl2br w:val="nil"/>
              <w:tr2bl w:val="nil"/>
            </w:tcBorders>
            <w:vAlign w:val="center"/>
          </w:tcPr>
          <w:p w14:paraId="697E98FD">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i w:val="0"/>
                <w:iCs w:val="0"/>
                <w:color w:val="FF0000"/>
                <w:kern w:val="2"/>
                <w:sz w:val="21"/>
                <w:szCs w:val="21"/>
                <w:highlight w:val="none"/>
                <w:u w:val="none"/>
                <w:lang w:val="en-US" w:eastAsia="zh-CN" w:bidi="ar-SA"/>
              </w:rPr>
            </w:pPr>
            <w:r>
              <w:rPr>
                <w:rFonts w:hint="default" w:ascii="Times New Roman" w:hAnsi="Times New Roman" w:eastAsia="宋体" w:cs="Times New Roman"/>
                <w:b w:val="0"/>
                <w:bCs/>
                <w:i w:val="0"/>
                <w:iCs w:val="0"/>
                <w:color w:val="FF0000"/>
                <w:kern w:val="2"/>
                <w:sz w:val="21"/>
                <w:szCs w:val="21"/>
                <w:highlight w:val="none"/>
                <w:u w:val="none"/>
                <w:lang w:val="en-US" w:eastAsia="zh-CN" w:bidi="ar-SA"/>
              </w:rPr>
              <w:t>60</w:t>
            </w:r>
          </w:p>
        </w:tc>
        <w:tc>
          <w:tcPr>
            <w:tcW w:w="1100" w:type="dxa"/>
            <w:tcBorders>
              <w:tl2br w:val="nil"/>
              <w:tr2bl w:val="nil"/>
            </w:tcBorders>
            <w:vAlign w:val="center"/>
          </w:tcPr>
          <w:p w14:paraId="3FD7FADB">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i w:val="0"/>
                <w:iCs w:val="0"/>
                <w:color w:val="FF0000"/>
                <w:kern w:val="2"/>
                <w:sz w:val="21"/>
                <w:szCs w:val="21"/>
                <w:highlight w:val="none"/>
                <w:u w:val="none"/>
                <w:lang w:val="en-US" w:eastAsia="zh-CN" w:bidi="ar-SA"/>
              </w:rPr>
            </w:pPr>
            <w:r>
              <w:rPr>
                <w:rFonts w:hint="default" w:ascii="Times New Roman" w:hAnsi="Times New Roman" w:eastAsia="宋体" w:cs="Times New Roman"/>
                <w:b w:val="0"/>
                <w:bCs/>
                <w:i w:val="0"/>
                <w:iCs w:val="0"/>
                <w:color w:val="FF0000"/>
                <w:kern w:val="2"/>
                <w:sz w:val="21"/>
                <w:szCs w:val="21"/>
                <w:highlight w:val="none"/>
                <w:u w:val="none"/>
                <w:lang w:val="en-US" w:eastAsia="zh-CN" w:bidi="ar-SA"/>
              </w:rPr>
              <w:t>50</w:t>
            </w:r>
          </w:p>
        </w:tc>
        <w:tc>
          <w:tcPr>
            <w:tcW w:w="342" w:type="pct"/>
            <w:tcBorders>
              <w:tl2br w:val="nil"/>
              <w:tr2bl w:val="nil"/>
            </w:tcBorders>
            <w:vAlign w:val="center"/>
          </w:tcPr>
          <w:p w14:paraId="67A83E74">
            <w:pPr>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达标</w:t>
            </w:r>
          </w:p>
        </w:tc>
        <w:tc>
          <w:tcPr>
            <w:tcW w:w="297" w:type="pct"/>
            <w:tcBorders>
              <w:tl2br w:val="nil"/>
              <w:tr2bl w:val="nil"/>
            </w:tcBorders>
            <w:vAlign w:val="center"/>
          </w:tcPr>
          <w:p w14:paraId="66257965">
            <w:pPr>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达标</w:t>
            </w:r>
          </w:p>
        </w:tc>
      </w:tr>
      <w:tr w14:paraId="350EC3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185" w:type="pct"/>
            <w:vAlign w:val="center"/>
          </w:tcPr>
          <w:p w14:paraId="585EAE9A">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kern w:val="2"/>
                <w:sz w:val="21"/>
                <w:szCs w:val="21"/>
                <w:highlight w:val="none"/>
                <w:lang w:val="en-US" w:eastAsia="zh-CN" w:bidi="ar-SA"/>
              </w:rPr>
              <w:t>6</w:t>
            </w:r>
          </w:p>
        </w:tc>
        <w:tc>
          <w:tcPr>
            <w:tcW w:w="644" w:type="pct"/>
            <w:shd w:val="clear" w:color="auto" w:fill="auto"/>
            <w:vAlign w:val="center"/>
          </w:tcPr>
          <w:p w14:paraId="06562F6C">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黑锻新城5层</w:t>
            </w:r>
          </w:p>
        </w:tc>
        <w:tc>
          <w:tcPr>
            <w:tcW w:w="950" w:type="dxa"/>
            <w:vAlign w:val="center"/>
          </w:tcPr>
          <w:p w14:paraId="7F9D613D">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49</w:t>
            </w:r>
          </w:p>
        </w:tc>
        <w:tc>
          <w:tcPr>
            <w:tcW w:w="966" w:type="dxa"/>
            <w:vAlign w:val="center"/>
          </w:tcPr>
          <w:p w14:paraId="14CF73DB">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45</w:t>
            </w:r>
          </w:p>
        </w:tc>
        <w:tc>
          <w:tcPr>
            <w:tcW w:w="1000" w:type="dxa"/>
            <w:shd w:val="clear" w:color="auto" w:fill="auto"/>
            <w:vAlign w:val="center"/>
          </w:tcPr>
          <w:p w14:paraId="1047E051">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49.02</w:t>
            </w:r>
          </w:p>
        </w:tc>
        <w:tc>
          <w:tcPr>
            <w:tcW w:w="867" w:type="dxa"/>
            <w:shd w:val="clear" w:color="auto" w:fill="auto"/>
            <w:vAlign w:val="center"/>
          </w:tcPr>
          <w:p w14:paraId="7B7E5692">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45.06</w:t>
            </w:r>
          </w:p>
        </w:tc>
        <w:tc>
          <w:tcPr>
            <w:tcW w:w="1083" w:type="dxa"/>
            <w:shd w:val="clear" w:color="auto" w:fill="auto"/>
            <w:vAlign w:val="center"/>
          </w:tcPr>
          <w:p w14:paraId="1004C5B0">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26.50</w:t>
            </w:r>
          </w:p>
        </w:tc>
        <w:tc>
          <w:tcPr>
            <w:tcW w:w="1120" w:type="dxa"/>
            <w:shd w:val="clear" w:color="auto" w:fill="auto"/>
            <w:vAlign w:val="center"/>
          </w:tcPr>
          <w:p w14:paraId="7A17416D">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26.50</w:t>
            </w:r>
          </w:p>
        </w:tc>
        <w:tc>
          <w:tcPr>
            <w:tcW w:w="950" w:type="dxa"/>
            <w:shd w:val="clear" w:color="auto" w:fill="auto"/>
            <w:vAlign w:val="center"/>
          </w:tcPr>
          <w:p w14:paraId="2E0BFF67">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0.02</w:t>
            </w:r>
          </w:p>
        </w:tc>
        <w:tc>
          <w:tcPr>
            <w:tcW w:w="950" w:type="dxa"/>
            <w:shd w:val="clear" w:color="auto" w:fill="auto"/>
            <w:vAlign w:val="center"/>
          </w:tcPr>
          <w:p w14:paraId="32597ECD">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0.06</w:t>
            </w:r>
          </w:p>
        </w:tc>
        <w:tc>
          <w:tcPr>
            <w:tcW w:w="1147" w:type="dxa"/>
            <w:vAlign w:val="center"/>
          </w:tcPr>
          <w:p w14:paraId="3A4E73EE">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i w:val="0"/>
                <w:iCs w:val="0"/>
                <w:color w:val="FF0000"/>
                <w:kern w:val="2"/>
                <w:sz w:val="21"/>
                <w:szCs w:val="21"/>
                <w:highlight w:val="none"/>
                <w:u w:val="none"/>
                <w:lang w:val="en-US" w:eastAsia="zh-CN" w:bidi="ar-SA"/>
              </w:rPr>
            </w:pPr>
            <w:r>
              <w:rPr>
                <w:rFonts w:hint="default" w:ascii="Times New Roman" w:hAnsi="Times New Roman" w:eastAsia="宋体" w:cs="Times New Roman"/>
                <w:b w:val="0"/>
                <w:bCs/>
                <w:i w:val="0"/>
                <w:iCs w:val="0"/>
                <w:color w:val="FF0000"/>
                <w:kern w:val="2"/>
                <w:sz w:val="21"/>
                <w:szCs w:val="21"/>
                <w:highlight w:val="none"/>
                <w:u w:val="none"/>
                <w:lang w:val="en-US" w:eastAsia="zh-CN" w:bidi="ar-SA"/>
              </w:rPr>
              <w:t>60</w:t>
            </w:r>
          </w:p>
        </w:tc>
        <w:tc>
          <w:tcPr>
            <w:tcW w:w="1100" w:type="dxa"/>
            <w:vAlign w:val="center"/>
          </w:tcPr>
          <w:p w14:paraId="32127580">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i w:val="0"/>
                <w:iCs w:val="0"/>
                <w:color w:val="FF0000"/>
                <w:kern w:val="2"/>
                <w:sz w:val="21"/>
                <w:szCs w:val="21"/>
                <w:highlight w:val="none"/>
                <w:u w:val="none"/>
                <w:lang w:val="en-US" w:eastAsia="zh-CN" w:bidi="ar-SA"/>
              </w:rPr>
            </w:pPr>
            <w:r>
              <w:rPr>
                <w:rFonts w:hint="default" w:ascii="Times New Roman" w:hAnsi="Times New Roman" w:eastAsia="宋体" w:cs="Times New Roman"/>
                <w:b w:val="0"/>
                <w:bCs/>
                <w:i w:val="0"/>
                <w:iCs w:val="0"/>
                <w:color w:val="FF0000"/>
                <w:kern w:val="2"/>
                <w:sz w:val="21"/>
                <w:szCs w:val="21"/>
                <w:highlight w:val="none"/>
                <w:u w:val="none"/>
                <w:lang w:val="en-US" w:eastAsia="zh-CN" w:bidi="ar-SA"/>
              </w:rPr>
              <w:t>50</w:t>
            </w:r>
          </w:p>
        </w:tc>
        <w:tc>
          <w:tcPr>
            <w:tcW w:w="342" w:type="pct"/>
            <w:vAlign w:val="center"/>
          </w:tcPr>
          <w:p w14:paraId="6E99DF45">
            <w:pPr>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达标</w:t>
            </w:r>
          </w:p>
        </w:tc>
        <w:tc>
          <w:tcPr>
            <w:tcW w:w="297" w:type="pct"/>
            <w:vAlign w:val="center"/>
          </w:tcPr>
          <w:p w14:paraId="74B5A326">
            <w:pPr>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达标</w:t>
            </w:r>
          </w:p>
        </w:tc>
      </w:tr>
      <w:tr w14:paraId="3012B4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85" w:type="pct"/>
            <w:vAlign w:val="center"/>
          </w:tcPr>
          <w:p w14:paraId="33D9ECE8">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kern w:val="2"/>
                <w:sz w:val="21"/>
                <w:szCs w:val="21"/>
                <w:highlight w:val="none"/>
                <w:lang w:val="en-US" w:eastAsia="zh-CN" w:bidi="ar-SA"/>
              </w:rPr>
              <w:t>7</w:t>
            </w:r>
          </w:p>
        </w:tc>
        <w:tc>
          <w:tcPr>
            <w:tcW w:w="644" w:type="pct"/>
            <w:shd w:val="clear" w:color="auto" w:fill="auto"/>
            <w:vAlign w:val="center"/>
          </w:tcPr>
          <w:p w14:paraId="043C5BD1">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黑锻新城7层</w:t>
            </w:r>
          </w:p>
        </w:tc>
        <w:tc>
          <w:tcPr>
            <w:tcW w:w="950" w:type="dxa"/>
            <w:vAlign w:val="center"/>
          </w:tcPr>
          <w:p w14:paraId="077B5FD7">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49</w:t>
            </w:r>
          </w:p>
        </w:tc>
        <w:tc>
          <w:tcPr>
            <w:tcW w:w="966" w:type="dxa"/>
            <w:vAlign w:val="center"/>
          </w:tcPr>
          <w:p w14:paraId="0CF60E87">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46</w:t>
            </w:r>
          </w:p>
        </w:tc>
        <w:tc>
          <w:tcPr>
            <w:tcW w:w="1000" w:type="dxa"/>
            <w:shd w:val="clear" w:color="auto" w:fill="auto"/>
            <w:vAlign w:val="center"/>
          </w:tcPr>
          <w:p w14:paraId="770BE821">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49.02</w:t>
            </w:r>
          </w:p>
        </w:tc>
        <w:tc>
          <w:tcPr>
            <w:tcW w:w="867" w:type="dxa"/>
            <w:shd w:val="clear" w:color="auto" w:fill="auto"/>
            <w:vAlign w:val="center"/>
          </w:tcPr>
          <w:p w14:paraId="4C7749E0">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46.05</w:t>
            </w:r>
          </w:p>
        </w:tc>
        <w:tc>
          <w:tcPr>
            <w:tcW w:w="1083" w:type="dxa"/>
            <w:shd w:val="clear" w:color="auto" w:fill="auto"/>
            <w:vAlign w:val="center"/>
          </w:tcPr>
          <w:p w14:paraId="0439B4B3">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26.47</w:t>
            </w:r>
          </w:p>
        </w:tc>
        <w:tc>
          <w:tcPr>
            <w:tcW w:w="1120" w:type="dxa"/>
            <w:shd w:val="clear" w:color="auto" w:fill="auto"/>
            <w:vAlign w:val="center"/>
          </w:tcPr>
          <w:p w14:paraId="4D4E9286">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26.47</w:t>
            </w:r>
          </w:p>
        </w:tc>
        <w:tc>
          <w:tcPr>
            <w:tcW w:w="950" w:type="dxa"/>
            <w:shd w:val="clear" w:color="auto" w:fill="auto"/>
            <w:vAlign w:val="center"/>
          </w:tcPr>
          <w:p w14:paraId="4A968F9D">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0.02</w:t>
            </w:r>
          </w:p>
        </w:tc>
        <w:tc>
          <w:tcPr>
            <w:tcW w:w="950" w:type="dxa"/>
            <w:shd w:val="clear" w:color="auto" w:fill="auto"/>
            <w:vAlign w:val="center"/>
          </w:tcPr>
          <w:p w14:paraId="6406A7F1">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0.05</w:t>
            </w:r>
          </w:p>
        </w:tc>
        <w:tc>
          <w:tcPr>
            <w:tcW w:w="1147" w:type="dxa"/>
            <w:vAlign w:val="center"/>
          </w:tcPr>
          <w:p w14:paraId="233B2C5D">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i w:val="0"/>
                <w:iCs w:val="0"/>
                <w:color w:val="FF0000"/>
                <w:kern w:val="2"/>
                <w:sz w:val="21"/>
                <w:szCs w:val="21"/>
                <w:highlight w:val="none"/>
                <w:u w:val="none"/>
                <w:lang w:val="en-US" w:eastAsia="zh-CN" w:bidi="ar-SA"/>
              </w:rPr>
            </w:pPr>
            <w:r>
              <w:rPr>
                <w:rFonts w:hint="default" w:ascii="Times New Roman" w:hAnsi="Times New Roman" w:eastAsia="宋体" w:cs="Times New Roman"/>
                <w:b w:val="0"/>
                <w:bCs/>
                <w:i w:val="0"/>
                <w:iCs w:val="0"/>
                <w:color w:val="FF0000"/>
                <w:kern w:val="2"/>
                <w:sz w:val="21"/>
                <w:szCs w:val="21"/>
                <w:highlight w:val="none"/>
                <w:u w:val="none"/>
                <w:lang w:val="en-US" w:eastAsia="zh-CN" w:bidi="ar-SA"/>
              </w:rPr>
              <w:t>60</w:t>
            </w:r>
          </w:p>
        </w:tc>
        <w:tc>
          <w:tcPr>
            <w:tcW w:w="1100" w:type="dxa"/>
            <w:vAlign w:val="center"/>
          </w:tcPr>
          <w:p w14:paraId="0569B13C">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i w:val="0"/>
                <w:iCs w:val="0"/>
                <w:color w:val="FF0000"/>
                <w:kern w:val="2"/>
                <w:sz w:val="21"/>
                <w:szCs w:val="21"/>
                <w:highlight w:val="none"/>
                <w:u w:val="none"/>
                <w:lang w:val="en-US" w:eastAsia="zh-CN" w:bidi="ar-SA"/>
              </w:rPr>
            </w:pPr>
            <w:r>
              <w:rPr>
                <w:rFonts w:hint="default" w:ascii="Times New Roman" w:hAnsi="Times New Roman" w:eastAsia="宋体" w:cs="Times New Roman"/>
                <w:b w:val="0"/>
                <w:bCs/>
                <w:i w:val="0"/>
                <w:iCs w:val="0"/>
                <w:color w:val="FF0000"/>
                <w:kern w:val="2"/>
                <w:sz w:val="21"/>
                <w:szCs w:val="21"/>
                <w:highlight w:val="none"/>
                <w:u w:val="none"/>
                <w:lang w:val="en-US" w:eastAsia="zh-CN" w:bidi="ar-SA"/>
              </w:rPr>
              <w:t>50</w:t>
            </w:r>
          </w:p>
        </w:tc>
        <w:tc>
          <w:tcPr>
            <w:tcW w:w="342" w:type="pct"/>
            <w:vAlign w:val="center"/>
          </w:tcPr>
          <w:p w14:paraId="01F7AF25">
            <w:pPr>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达标</w:t>
            </w:r>
          </w:p>
        </w:tc>
        <w:tc>
          <w:tcPr>
            <w:tcW w:w="297" w:type="pct"/>
            <w:vAlign w:val="center"/>
          </w:tcPr>
          <w:p w14:paraId="4B8A6241">
            <w:pPr>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达标</w:t>
            </w:r>
          </w:p>
        </w:tc>
      </w:tr>
      <w:tr w14:paraId="1F0770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185" w:type="pct"/>
            <w:vAlign w:val="center"/>
          </w:tcPr>
          <w:p w14:paraId="0887C03E">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kern w:val="2"/>
                <w:sz w:val="21"/>
                <w:szCs w:val="21"/>
                <w:highlight w:val="none"/>
                <w:lang w:val="en-US" w:eastAsia="zh-CN" w:bidi="ar-SA"/>
              </w:rPr>
              <w:t>8</w:t>
            </w:r>
          </w:p>
        </w:tc>
        <w:tc>
          <w:tcPr>
            <w:tcW w:w="644" w:type="pct"/>
            <w:shd w:val="clear" w:color="auto" w:fill="auto"/>
            <w:vAlign w:val="center"/>
          </w:tcPr>
          <w:p w14:paraId="654E42B1">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黑锻新城9层</w:t>
            </w:r>
          </w:p>
        </w:tc>
        <w:tc>
          <w:tcPr>
            <w:tcW w:w="950" w:type="dxa"/>
            <w:vAlign w:val="center"/>
          </w:tcPr>
          <w:p w14:paraId="78252567">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49</w:t>
            </w:r>
          </w:p>
        </w:tc>
        <w:tc>
          <w:tcPr>
            <w:tcW w:w="966" w:type="dxa"/>
            <w:vAlign w:val="center"/>
          </w:tcPr>
          <w:p w14:paraId="74FD7E37">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45</w:t>
            </w:r>
          </w:p>
        </w:tc>
        <w:tc>
          <w:tcPr>
            <w:tcW w:w="1000" w:type="dxa"/>
            <w:shd w:val="clear" w:color="auto" w:fill="auto"/>
            <w:vAlign w:val="center"/>
          </w:tcPr>
          <w:p w14:paraId="08D52D61">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49.02</w:t>
            </w:r>
          </w:p>
        </w:tc>
        <w:tc>
          <w:tcPr>
            <w:tcW w:w="867" w:type="dxa"/>
            <w:shd w:val="clear" w:color="auto" w:fill="auto"/>
            <w:vAlign w:val="center"/>
          </w:tcPr>
          <w:p w14:paraId="77529F35">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45.06</w:t>
            </w:r>
          </w:p>
        </w:tc>
        <w:tc>
          <w:tcPr>
            <w:tcW w:w="1083" w:type="dxa"/>
            <w:shd w:val="clear" w:color="auto" w:fill="auto"/>
            <w:vAlign w:val="center"/>
          </w:tcPr>
          <w:p w14:paraId="03A78036">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26.44</w:t>
            </w:r>
          </w:p>
        </w:tc>
        <w:tc>
          <w:tcPr>
            <w:tcW w:w="1120" w:type="dxa"/>
            <w:shd w:val="clear" w:color="auto" w:fill="auto"/>
            <w:vAlign w:val="center"/>
          </w:tcPr>
          <w:p w14:paraId="3A130A59">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26.44</w:t>
            </w:r>
          </w:p>
        </w:tc>
        <w:tc>
          <w:tcPr>
            <w:tcW w:w="950" w:type="dxa"/>
            <w:shd w:val="clear" w:color="auto" w:fill="auto"/>
            <w:vAlign w:val="center"/>
          </w:tcPr>
          <w:p w14:paraId="4D1AA34D">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0.02</w:t>
            </w:r>
          </w:p>
        </w:tc>
        <w:tc>
          <w:tcPr>
            <w:tcW w:w="950" w:type="dxa"/>
            <w:shd w:val="clear" w:color="auto" w:fill="auto"/>
            <w:vAlign w:val="center"/>
          </w:tcPr>
          <w:p w14:paraId="60DBD08C">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0.06</w:t>
            </w:r>
          </w:p>
        </w:tc>
        <w:tc>
          <w:tcPr>
            <w:tcW w:w="1147" w:type="dxa"/>
            <w:vAlign w:val="center"/>
          </w:tcPr>
          <w:p w14:paraId="5F1D31F8">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i w:val="0"/>
                <w:iCs w:val="0"/>
                <w:color w:val="FF0000"/>
                <w:kern w:val="2"/>
                <w:sz w:val="21"/>
                <w:szCs w:val="21"/>
                <w:highlight w:val="none"/>
                <w:u w:val="none"/>
                <w:lang w:val="en-US" w:eastAsia="zh-CN" w:bidi="ar-SA"/>
              </w:rPr>
            </w:pPr>
            <w:r>
              <w:rPr>
                <w:rFonts w:hint="default" w:ascii="Times New Roman" w:hAnsi="Times New Roman" w:eastAsia="宋体" w:cs="Times New Roman"/>
                <w:b w:val="0"/>
                <w:bCs/>
                <w:i w:val="0"/>
                <w:iCs w:val="0"/>
                <w:color w:val="FF0000"/>
                <w:kern w:val="2"/>
                <w:sz w:val="21"/>
                <w:szCs w:val="21"/>
                <w:highlight w:val="none"/>
                <w:u w:val="none"/>
                <w:lang w:val="en-US" w:eastAsia="zh-CN" w:bidi="ar-SA"/>
              </w:rPr>
              <w:t>60</w:t>
            </w:r>
          </w:p>
        </w:tc>
        <w:tc>
          <w:tcPr>
            <w:tcW w:w="1100" w:type="dxa"/>
            <w:vAlign w:val="center"/>
          </w:tcPr>
          <w:p w14:paraId="78CEB9B5">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i w:val="0"/>
                <w:iCs w:val="0"/>
                <w:color w:val="FF0000"/>
                <w:kern w:val="2"/>
                <w:sz w:val="21"/>
                <w:szCs w:val="21"/>
                <w:highlight w:val="none"/>
                <w:u w:val="none"/>
                <w:lang w:val="en-US" w:eastAsia="zh-CN" w:bidi="ar-SA"/>
              </w:rPr>
            </w:pPr>
            <w:r>
              <w:rPr>
                <w:rFonts w:hint="default" w:ascii="Times New Roman" w:hAnsi="Times New Roman" w:eastAsia="宋体" w:cs="Times New Roman"/>
                <w:b w:val="0"/>
                <w:bCs/>
                <w:i w:val="0"/>
                <w:iCs w:val="0"/>
                <w:color w:val="FF0000"/>
                <w:kern w:val="2"/>
                <w:sz w:val="21"/>
                <w:szCs w:val="21"/>
                <w:highlight w:val="none"/>
                <w:u w:val="none"/>
                <w:lang w:val="en-US" w:eastAsia="zh-CN" w:bidi="ar-SA"/>
              </w:rPr>
              <w:t>50</w:t>
            </w:r>
          </w:p>
        </w:tc>
        <w:tc>
          <w:tcPr>
            <w:tcW w:w="342" w:type="pct"/>
            <w:vAlign w:val="center"/>
          </w:tcPr>
          <w:p w14:paraId="36D91622">
            <w:pPr>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达标</w:t>
            </w:r>
          </w:p>
        </w:tc>
        <w:tc>
          <w:tcPr>
            <w:tcW w:w="297" w:type="pct"/>
            <w:vAlign w:val="center"/>
          </w:tcPr>
          <w:p w14:paraId="09F6B2D1">
            <w:pPr>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达标</w:t>
            </w:r>
          </w:p>
        </w:tc>
      </w:tr>
      <w:tr w14:paraId="0BA14F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85" w:type="pct"/>
            <w:vAlign w:val="center"/>
          </w:tcPr>
          <w:p w14:paraId="382E5D5B">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kern w:val="2"/>
                <w:sz w:val="21"/>
                <w:szCs w:val="21"/>
                <w:highlight w:val="none"/>
                <w:lang w:val="en-US" w:eastAsia="zh-CN" w:bidi="ar-SA"/>
              </w:rPr>
              <w:t>9</w:t>
            </w:r>
          </w:p>
        </w:tc>
        <w:tc>
          <w:tcPr>
            <w:tcW w:w="644" w:type="pct"/>
            <w:shd w:val="clear" w:color="auto" w:fill="auto"/>
            <w:vAlign w:val="center"/>
          </w:tcPr>
          <w:p w14:paraId="199D8E70">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黑锻新城11层</w:t>
            </w:r>
          </w:p>
        </w:tc>
        <w:tc>
          <w:tcPr>
            <w:tcW w:w="950" w:type="dxa"/>
            <w:vAlign w:val="center"/>
          </w:tcPr>
          <w:p w14:paraId="3EAB11E4">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50</w:t>
            </w:r>
          </w:p>
        </w:tc>
        <w:tc>
          <w:tcPr>
            <w:tcW w:w="966" w:type="dxa"/>
            <w:vAlign w:val="center"/>
          </w:tcPr>
          <w:p w14:paraId="2EB675C0">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46</w:t>
            </w:r>
          </w:p>
        </w:tc>
        <w:tc>
          <w:tcPr>
            <w:tcW w:w="1000" w:type="dxa"/>
            <w:shd w:val="clear" w:color="auto" w:fill="auto"/>
            <w:vAlign w:val="center"/>
          </w:tcPr>
          <w:p w14:paraId="76910EEE">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50.02</w:t>
            </w:r>
          </w:p>
        </w:tc>
        <w:tc>
          <w:tcPr>
            <w:tcW w:w="867" w:type="dxa"/>
            <w:shd w:val="clear" w:color="auto" w:fill="auto"/>
            <w:vAlign w:val="center"/>
          </w:tcPr>
          <w:p w14:paraId="22D43F05">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46.05</w:t>
            </w:r>
          </w:p>
        </w:tc>
        <w:tc>
          <w:tcPr>
            <w:tcW w:w="1083" w:type="dxa"/>
            <w:shd w:val="clear" w:color="auto" w:fill="auto"/>
            <w:vAlign w:val="center"/>
          </w:tcPr>
          <w:p w14:paraId="1679A52F">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26.40</w:t>
            </w:r>
          </w:p>
        </w:tc>
        <w:tc>
          <w:tcPr>
            <w:tcW w:w="1120" w:type="dxa"/>
            <w:shd w:val="clear" w:color="auto" w:fill="auto"/>
            <w:vAlign w:val="center"/>
          </w:tcPr>
          <w:p w14:paraId="6C73394C">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26.40</w:t>
            </w:r>
          </w:p>
        </w:tc>
        <w:tc>
          <w:tcPr>
            <w:tcW w:w="950" w:type="dxa"/>
            <w:shd w:val="clear" w:color="auto" w:fill="auto"/>
            <w:vAlign w:val="center"/>
          </w:tcPr>
          <w:p w14:paraId="611141DE">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0.02</w:t>
            </w:r>
          </w:p>
        </w:tc>
        <w:tc>
          <w:tcPr>
            <w:tcW w:w="950" w:type="dxa"/>
            <w:shd w:val="clear" w:color="auto" w:fill="auto"/>
            <w:vAlign w:val="center"/>
          </w:tcPr>
          <w:p w14:paraId="12C01787">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0.05</w:t>
            </w:r>
          </w:p>
        </w:tc>
        <w:tc>
          <w:tcPr>
            <w:tcW w:w="1147" w:type="dxa"/>
            <w:vAlign w:val="center"/>
          </w:tcPr>
          <w:p w14:paraId="4ED504D6">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i w:val="0"/>
                <w:iCs w:val="0"/>
                <w:color w:val="FF0000"/>
                <w:kern w:val="2"/>
                <w:sz w:val="21"/>
                <w:szCs w:val="21"/>
                <w:highlight w:val="none"/>
                <w:u w:val="none"/>
                <w:lang w:val="en-US" w:eastAsia="zh-CN" w:bidi="ar-SA"/>
              </w:rPr>
            </w:pPr>
            <w:r>
              <w:rPr>
                <w:rFonts w:hint="default" w:ascii="Times New Roman" w:hAnsi="Times New Roman" w:eastAsia="宋体" w:cs="Times New Roman"/>
                <w:b w:val="0"/>
                <w:bCs/>
                <w:i w:val="0"/>
                <w:iCs w:val="0"/>
                <w:color w:val="FF0000"/>
                <w:kern w:val="2"/>
                <w:sz w:val="21"/>
                <w:szCs w:val="21"/>
                <w:highlight w:val="none"/>
                <w:u w:val="none"/>
                <w:lang w:val="en-US" w:eastAsia="zh-CN" w:bidi="ar-SA"/>
              </w:rPr>
              <w:t>60</w:t>
            </w:r>
          </w:p>
        </w:tc>
        <w:tc>
          <w:tcPr>
            <w:tcW w:w="1100" w:type="dxa"/>
            <w:vAlign w:val="center"/>
          </w:tcPr>
          <w:p w14:paraId="53FF85B7">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i w:val="0"/>
                <w:iCs w:val="0"/>
                <w:color w:val="FF0000"/>
                <w:kern w:val="2"/>
                <w:sz w:val="21"/>
                <w:szCs w:val="21"/>
                <w:highlight w:val="none"/>
                <w:u w:val="none"/>
                <w:lang w:val="en-US" w:eastAsia="zh-CN" w:bidi="ar-SA"/>
              </w:rPr>
            </w:pPr>
            <w:r>
              <w:rPr>
                <w:rFonts w:hint="default" w:ascii="Times New Roman" w:hAnsi="Times New Roman" w:eastAsia="宋体" w:cs="Times New Roman"/>
                <w:b w:val="0"/>
                <w:bCs/>
                <w:i w:val="0"/>
                <w:iCs w:val="0"/>
                <w:color w:val="FF0000"/>
                <w:kern w:val="2"/>
                <w:sz w:val="21"/>
                <w:szCs w:val="21"/>
                <w:highlight w:val="none"/>
                <w:u w:val="none"/>
                <w:lang w:val="en-US" w:eastAsia="zh-CN" w:bidi="ar-SA"/>
              </w:rPr>
              <w:t>50</w:t>
            </w:r>
          </w:p>
        </w:tc>
        <w:tc>
          <w:tcPr>
            <w:tcW w:w="342" w:type="pct"/>
            <w:vAlign w:val="center"/>
          </w:tcPr>
          <w:p w14:paraId="0B1C3D1D">
            <w:pPr>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达标</w:t>
            </w:r>
          </w:p>
        </w:tc>
        <w:tc>
          <w:tcPr>
            <w:tcW w:w="297" w:type="pct"/>
            <w:vAlign w:val="center"/>
          </w:tcPr>
          <w:p w14:paraId="0CD576FC">
            <w:pPr>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达标</w:t>
            </w:r>
          </w:p>
        </w:tc>
      </w:tr>
      <w:tr w14:paraId="2631EE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185" w:type="pct"/>
            <w:vAlign w:val="center"/>
          </w:tcPr>
          <w:p w14:paraId="779CD5EB">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kern w:val="2"/>
                <w:sz w:val="21"/>
                <w:szCs w:val="21"/>
                <w:highlight w:val="none"/>
                <w:lang w:val="en-US" w:eastAsia="zh-CN" w:bidi="ar-SA"/>
              </w:rPr>
              <w:t>10</w:t>
            </w:r>
          </w:p>
        </w:tc>
        <w:tc>
          <w:tcPr>
            <w:tcW w:w="644" w:type="pct"/>
            <w:shd w:val="clear" w:color="auto" w:fill="auto"/>
            <w:vAlign w:val="center"/>
          </w:tcPr>
          <w:p w14:paraId="29CE4EF4">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黑锻新城13层</w:t>
            </w:r>
          </w:p>
        </w:tc>
        <w:tc>
          <w:tcPr>
            <w:tcW w:w="950" w:type="dxa"/>
            <w:vAlign w:val="center"/>
          </w:tcPr>
          <w:p w14:paraId="3C700FFA">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50</w:t>
            </w:r>
          </w:p>
        </w:tc>
        <w:tc>
          <w:tcPr>
            <w:tcW w:w="966" w:type="dxa"/>
            <w:vAlign w:val="center"/>
          </w:tcPr>
          <w:p w14:paraId="40E8F7CB">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47</w:t>
            </w:r>
          </w:p>
        </w:tc>
        <w:tc>
          <w:tcPr>
            <w:tcW w:w="1000" w:type="dxa"/>
            <w:shd w:val="clear" w:color="auto" w:fill="auto"/>
            <w:vAlign w:val="center"/>
          </w:tcPr>
          <w:p w14:paraId="692A8D88">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50.02</w:t>
            </w:r>
          </w:p>
        </w:tc>
        <w:tc>
          <w:tcPr>
            <w:tcW w:w="867" w:type="dxa"/>
            <w:shd w:val="clear" w:color="auto" w:fill="auto"/>
            <w:vAlign w:val="center"/>
          </w:tcPr>
          <w:p w14:paraId="0857F0A2">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47.04</w:t>
            </w:r>
          </w:p>
        </w:tc>
        <w:tc>
          <w:tcPr>
            <w:tcW w:w="1083" w:type="dxa"/>
            <w:shd w:val="clear" w:color="auto" w:fill="auto"/>
            <w:vAlign w:val="center"/>
          </w:tcPr>
          <w:p w14:paraId="44231CD1">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26.36</w:t>
            </w:r>
          </w:p>
        </w:tc>
        <w:tc>
          <w:tcPr>
            <w:tcW w:w="1120" w:type="dxa"/>
            <w:shd w:val="clear" w:color="auto" w:fill="auto"/>
            <w:vAlign w:val="center"/>
          </w:tcPr>
          <w:p w14:paraId="65C42EB7">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26.36</w:t>
            </w:r>
          </w:p>
        </w:tc>
        <w:tc>
          <w:tcPr>
            <w:tcW w:w="950" w:type="dxa"/>
            <w:shd w:val="clear" w:color="auto" w:fill="auto"/>
            <w:vAlign w:val="center"/>
          </w:tcPr>
          <w:p w14:paraId="6308CC5E">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0.02</w:t>
            </w:r>
          </w:p>
        </w:tc>
        <w:tc>
          <w:tcPr>
            <w:tcW w:w="950" w:type="dxa"/>
            <w:shd w:val="clear" w:color="auto" w:fill="auto"/>
            <w:vAlign w:val="center"/>
          </w:tcPr>
          <w:p w14:paraId="1CAD8D73">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0.04</w:t>
            </w:r>
          </w:p>
        </w:tc>
        <w:tc>
          <w:tcPr>
            <w:tcW w:w="1147" w:type="dxa"/>
            <w:vAlign w:val="center"/>
          </w:tcPr>
          <w:p w14:paraId="0924E484">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i w:val="0"/>
                <w:iCs w:val="0"/>
                <w:color w:val="FF0000"/>
                <w:kern w:val="2"/>
                <w:sz w:val="21"/>
                <w:szCs w:val="21"/>
                <w:highlight w:val="none"/>
                <w:u w:val="none"/>
                <w:lang w:val="en-US" w:eastAsia="zh-CN" w:bidi="ar-SA"/>
              </w:rPr>
            </w:pPr>
            <w:r>
              <w:rPr>
                <w:rFonts w:hint="default" w:ascii="Times New Roman" w:hAnsi="Times New Roman" w:eastAsia="宋体" w:cs="Times New Roman"/>
                <w:b w:val="0"/>
                <w:bCs/>
                <w:i w:val="0"/>
                <w:iCs w:val="0"/>
                <w:color w:val="FF0000"/>
                <w:kern w:val="2"/>
                <w:sz w:val="21"/>
                <w:szCs w:val="21"/>
                <w:highlight w:val="none"/>
                <w:u w:val="none"/>
                <w:lang w:val="en-US" w:eastAsia="zh-CN" w:bidi="ar-SA"/>
              </w:rPr>
              <w:t>60</w:t>
            </w:r>
          </w:p>
        </w:tc>
        <w:tc>
          <w:tcPr>
            <w:tcW w:w="1100" w:type="dxa"/>
            <w:vAlign w:val="center"/>
          </w:tcPr>
          <w:p w14:paraId="24AD0C80">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i w:val="0"/>
                <w:iCs w:val="0"/>
                <w:color w:val="FF0000"/>
                <w:kern w:val="2"/>
                <w:sz w:val="21"/>
                <w:szCs w:val="21"/>
                <w:highlight w:val="none"/>
                <w:u w:val="none"/>
                <w:lang w:val="en-US" w:eastAsia="zh-CN" w:bidi="ar-SA"/>
              </w:rPr>
            </w:pPr>
            <w:r>
              <w:rPr>
                <w:rFonts w:hint="default" w:ascii="Times New Roman" w:hAnsi="Times New Roman" w:eastAsia="宋体" w:cs="Times New Roman"/>
                <w:b w:val="0"/>
                <w:bCs/>
                <w:i w:val="0"/>
                <w:iCs w:val="0"/>
                <w:color w:val="FF0000"/>
                <w:kern w:val="2"/>
                <w:sz w:val="21"/>
                <w:szCs w:val="21"/>
                <w:highlight w:val="none"/>
                <w:u w:val="none"/>
                <w:lang w:val="en-US" w:eastAsia="zh-CN" w:bidi="ar-SA"/>
              </w:rPr>
              <w:t>50</w:t>
            </w:r>
          </w:p>
        </w:tc>
        <w:tc>
          <w:tcPr>
            <w:tcW w:w="342" w:type="pct"/>
            <w:vAlign w:val="center"/>
          </w:tcPr>
          <w:p w14:paraId="3C22E8B3">
            <w:pPr>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达标</w:t>
            </w:r>
          </w:p>
        </w:tc>
        <w:tc>
          <w:tcPr>
            <w:tcW w:w="297" w:type="pct"/>
            <w:vAlign w:val="center"/>
          </w:tcPr>
          <w:p w14:paraId="4DCB136E">
            <w:pPr>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达标</w:t>
            </w:r>
          </w:p>
        </w:tc>
      </w:tr>
      <w:tr w14:paraId="05DE47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185" w:type="pct"/>
            <w:vAlign w:val="center"/>
          </w:tcPr>
          <w:p w14:paraId="03D9CE6D">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kern w:val="2"/>
                <w:sz w:val="21"/>
                <w:szCs w:val="21"/>
                <w:highlight w:val="none"/>
                <w:lang w:val="en-US" w:eastAsia="zh-CN" w:bidi="ar-SA"/>
              </w:rPr>
              <w:t>11</w:t>
            </w:r>
          </w:p>
        </w:tc>
        <w:tc>
          <w:tcPr>
            <w:tcW w:w="644" w:type="pct"/>
            <w:shd w:val="clear" w:color="auto" w:fill="auto"/>
            <w:vAlign w:val="center"/>
          </w:tcPr>
          <w:p w14:paraId="7498EB7C">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黑锻新城15层</w:t>
            </w:r>
          </w:p>
        </w:tc>
        <w:tc>
          <w:tcPr>
            <w:tcW w:w="950" w:type="dxa"/>
            <w:vAlign w:val="center"/>
          </w:tcPr>
          <w:p w14:paraId="5C15A419">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51</w:t>
            </w:r>
          </w:p>
        </w:tc>
        <w:tc>
          <w:tcPr>
            <w:tcW w:w="966" w:type="dxa"/>
            <w:vAlign w:val="center"/>
          </w:tcPr>
          <w:p w14:paraId="190548F5">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47</w:t>
            </w:r>
          </w:p>
        </w:tc>
        <w:tc>
          <w:tcPr>
            <w:tcW w:w="1000" w:type="dxa"/>
            <w:shd w:val="clear" w:color="auto" w:fill="auto"/>
            <w:vAlign w:val="center"/>
          </w:tcPr>
          <w:p w14:paraId="06E47842">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51.01</w:t>
            </w:r>
          </w:p>
        </w:tc>
        <w:tc>
          <w:tcPr>
            <w:tcW w:w="867" w:type="dxa"/>
            <w:shd w:val="clear" w:color="auto" w:fill="auto"/>
            <w:vAlign w:val="center"/>
          </w:tcPr>
          <w:p w14:paraId="215FF194">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47.04</w:t>
            </w:r>
          </w:p>
        </w:tc>
        <w:tc>
          <w:tcPr>
            <w:tcW w:w="1083" w:type="dxa"/>
            <w:shd w:val="clear" w:color="auto" w:fill="auto"/>
            <w:vAlign w:val="center"/>
          </w:tcPr>
          <w:p w14:paraId="614B13D8">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26.30</w:t>
            </w:r>
          </w:p>
        </w:tc>
        <w:tc>
          <w:tcPr>
            <w:tcW w:w="1120" w:type="dxa"/>
            <w:shd w:val="clear" w:color="auto" w:fill="auto"/>
            <w:vAlign w:val="center"/>
          </w:tcPr>
          <w:p w14:paraId="330BF508">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26.30</w:t>
            </w:r>
          </w:p>
        </w:tc>
        <w:tc>
          <w:tcPr>
            <w:tcW w:w="950" w:type="dxa"/>
            <w:shd w:val="clear" w:color="auto" w:fill="auto"/>
            <w:vAlign w:val="center"/>
          </w:tcPr>
          <w:p w14:paraId="21C16523">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0.01</w:t>
            </w:r>
          </w:p>
        </w:tc>
        <w:tc>
          <w:tcPr>
            <w:tcW w:w="950" w:type="dxa"/>
            <w:shd w:val="clear" w:color="auto" w:fill="auto"/>
            <w:vAlign w:val="center"/>
          </w:tcPr>
          <w:p w14:paraId="707F4BCE">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0.04</w:t>
            </w:r>
          </w:p>
        </w:tc>
        <w:tc>
          <w:tcPr>
            <w:tcW w:w="1147" w:type="dxa"/>
            <w:vAlign w:val="center"/>
          </w:tcPr>
          <w:p w14:paraId="0F1FA1D7">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i w:val="0"/>
                <w:iCs w:val="0"/>
                <w:color w:val="FF0000"/>
                <w:kern w:val="2"/>
                <w:sz w:val="21"/>
                <w:szCs w:val="21"/>
                <w:highlight w:val="none"/>
                <w:u w:val="none"/>
                <w:lang w:val="en-US" w:eastAsia="zh-CN" w:bidi="ar-SA"/>
              </w:rPr>
            </w:pPr>
            <w:r>
              <w:rPr>
                <w:rFonts w:hint="default" w:ascii="Times New Roman" w:hAnsi="Times New Roman" w:eastAsia="宋体" w:cs="Times New Roman"/>
                <w:b w:val="0"/>
                <w:bCs/>
                <w:i w:val="0"/>
                <w:iCs w:val="0"/>
                <w:color w:val="FF0000"/>
                <w:kern w:val="2"/>
                <w:sz w:val="21"/>
                <w:szCs w:val="21"/>
                <w:highlight w:val="none"/>
                <w:u w:val="none"/>
                <w:lang w:val="en-US" w:eastAsia="zh-CN" w:bidi="ar-SA"/>
              </w:rPr>
              <w:t>60</w:t>
            </w:r>
          </w:p>
        </w:tc>
        <w:tc>
          <w:tcPr>
            <w:tcW w:w="1100" w:type="dxa"/>
            <w:vAlign w:val="center"/>
          </w:tcPr>
          <w:p w14:paraId="06A03BFB">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宋体" w:cs="Times New Roman"/>
                <w:b w:val="0"/>
                <w:bCs/>
                <w:i w:val="0"/>
                <w:iCs w:val="0"/>
                <w:color w:val="FF0000"/>
                <w:kern w:val="2"/>
                <w:sz w:val="21"/>
                <w:szCs w:val="21"/>
                <w:highlight w:val="none"/>
                <w:u w:val="none"/>
                <w:lang w:val="en-US" w:eastAsia="zh-CN" w:bidi="ar-SA"/>
              </w:rPr>
            </w:pPr>
            <w:r>
              <w:rPr>
                <w:rFonts w:hint="default" w:ascii="Times New Roman" w:hAnsi="Times New Roman" w:eastAsia="宋体" w:cs="Times New Roman"/>
                <w:b w:val="0"/>
                <w:bCs/>
                <w:i w:val="0"/>
                <w:iCs w:val="0"/>
                <w:color w:val="FF0000"/>
                <w:kern w:val="2"/>
                <w:sz w:val="21"/>
                <w:szCs w:val="21"/>
                <w:highlight w:val="none"/>
                <w:u w:val="none"/>
                <w:lang w:val="en-US" w:eastAsia="zh-CN" w:bidi="ar-SA"/>
              </w:rPr>
              <w:t>50</w:t>
            </w:r>
          </w:p>
        </w:tc>
        <w:tc>
          <w:tcPr>
            <w:tcW w:w="342" w:type="pct"/>
            <w:vAlign w:val="center"/>
          </w:tcPr>
          <w:p w14:paraId="5632D493">
            <w:pPr>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达标</w:t>
            </w:r>
          </w:p>
        </w:tc>
        <w:tc>
          <w:tcPr>
            <w:tcW w:w="297" w:type="pct"/>
            <w:vAlign w:val="center"/>
          </w:tcPr>
          <w:p w14:paraId="3DE4807C">
            <w:pPr>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达标</w:t>
            </w:r>
          </w:p>
        </w:tc>
      </w:tr>
    </w:tbl>
    <w:p w14:paraId="77E0EB6E">
      <w:pPr>
        <w:keepNext w:val="0"/>
        <w:keepLines w:val="0"/>
        <w:pageBreakBefore w:val="0"/>
        <w:widowControl w:val="0"/>
        <w:kinsoku/>
        <w:wordWrap/>
        <w:overflowPunct/>
        <w:topLinePunct w:val="0"/>
        <w:bidi w:val="0"/>
        <w:adjustRightInd/>
        <w:snapToGrid/>
        <w:spacing w:line="480" w:lineRule="exact"/>
        <w:ind w:left="0" w:leftChars="0" w:firstLine="0" w:firstLineChars="0"/>
        <w:jc w:val="center"/>
        <w:rPr>
          <w:rFonts w:hint="default" w:ascii="Times New Roman" w:hAnsi="Times New Roman" w:eastAsia="宋体" w:cs="Times New Roman"/>
          <w:color w:val="auto"/>
          <w:spacing w:val="20"/>
          <w:sz w:val="24"/>
          <w:szCs w:val="24"/>
          <w:highlight w:val="none"/>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4038E7A">
      <w:pPr>
        <w:keepNext w:val="0"/>
        <w:keepLines w:val="0"/>
        <w:pageBreakBefore w:val="0"/>
        <w:widowControl w:val="0"/>
        <w:kinsoku/>
        <w:wordWrap/>
        <w:overflowPunct/>
        <w:topLinePunct w:val="0"/>
        <w:bidi w:val="0"/>
        <w:adjustRightInd/>
        <w:snapToGrid/>
        <w:spacing w:line="480" w:lineRule="exact"/>
        <w:ind w:left="0" w:leftChars="0" w:firstLine="0" w:firstLineChars="0"/>
        <w:jc w:val="center"/>
        <w:rPr>
          <w:rFonts w:hint="default" w:ascii="Times New Roman" w:hAnsi="Times New Roman" w:eastAsia="宋体" w:cs="Times New Roman"/>
          <w:color w:val="auto"/>
          <w:spacing w:val="20"/>
          <w:sz w:val="24"/>
          <w:szCs w:val="24"/>
          <w:highlight w:val="none"/>
          <w:lang w:val="en-US" w:eastAsia="zh-CN"/>
        </w:rPr>
      </w:pPr>
      <w:r>
        <w:rPr>
          <w:rFonts w:hint="default" w:ascii="Times New Roman" w:hAnsi="Times New Roman" w:eastAsia="宋体" w:cs="Times New Roman"/>
          <w:color w:val="auto"/>
          <w:spacing w:val="20"/>
          <w:sz w:val="24"/>
          <w:szCs w:val="24"/>
          <w:highlight w:val="none"/>
          <w:lang w:val="en-US" w:eastAsia="zh-CN"/>
        </w:rPr>
        <w:t>表6.2-</w:t>
      </w:r>
      <w:r>
        <w:rPr>
          <w:rFonts w:hint="eastAsia" w:ascii="Times New Roman" w:hAnsi="Times New Roman" w:eastAsia="宋体" w:cs="Times New Roman"/>
          <w:color w:val="auto"/>
          <w:spacing w:val="20"/>
          <w:sz w:val="24"/>
          <w:szCs w:val="24"/>
          <w:highlight w:val="none"/>
          <w:lang w:val="en-US" w:eastAsia="zh-CN"/>
        </w:rPr>
        <w:t>36</w:t>
      </w:r>
      <w:r>
        <w:rPr>
          <w:rFonts w:hint="default" w:ascii="Times New Roman" w:hAnsi="Times New Roman" w:eastAsia="宋体" w:cs="Times New Roman"/>
          <w:color w:val="auto"/>
          <w:spacing w:val="20"/>
          <w:sz w:val="24"/>
          <w:szCs w:val="24"/>
          <w:highlight w:val="none"/>
          <w:lang w:val="en-US" w:eastAsia="zh-CN"/>
        </w:rPr>
        <w:t xml:space="preserve">  厂界噪声预测结果一览表 单位：dB(A)</w:t>
      </w:r>
    </w:p>
    <w:tbl>
      <w:tblPr>
        <w:tblStyle w:val="3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1508"/>
        <w:gridCol w:w="905"/>
        <w:gridCol w:w="796"/>
        <w:gridCol w:w="929"/>
        <w:gridCol w:w="995"/>
        <w:gridCol w:w="769"/>
        <w:gridCol w:w="825"/>
        <w:gridCol w:w="704"/>
        <w:gridCol w:w="662"/>
      </w:tblGrid>
      <w:tr w14:paraId="762081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250" w:type="pct"/>
            <w:vMerge w:val="restart"/>
            <w:tcBorders>
              <w:tl2br w:val="nil"/>
              <w:tr2bl w:val="nil"/>
            </w:tcBorders>
            <w:vAlign w:val="center"/>
          </w:tcPr>
          <w:p w14:paraId="4D5D702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color w:val="FF0000"/>
                <w:sz w:val="21"/>
                <w:szCs w:val="21"/>
                <w:highlight w:val="none"/>
              </w:rPr>
            </w:pPr>
            <w:r>
              <w:rPr>
                <w:rFonts w:hint="default" w:ascii="Times New Roman" w:hAnsi="Times New Roman" w:eastAsia="宋体" w:cs="Times New Roman"/>
                <w:b w:val="0"/>
                <w:bCs/>
                <w:color w:val="FF0000"/>
                <w:sz w:val="21"/>
                <w:szCs w:val="21"/>
                <w:highlight w:val="none"/>
              </w:rPr>
              <w:t>序号</w:t>
            </w:r>
          </w:p>
        </w:tc>
        <w:tc>
          <w:tcPr>
            <w:tcW w:w="885" w:type="pct"/>
            <w:vMerge w:val="restart"/>
            <w:tcBorders>
              <w:tl2br w:val="nil"/>
              <w:tr2bl w:val="nil"/>
            </w:tcBorders>
            <w:vAlign w:val="center"/>
          </w:tcPr>
          <w:p w14:paraId="6638ED2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b w:val="0"/>
                <w:bCs/>
                <w:color w:val="FF0000"/>
                <w:sz w:val="21"/>
                <w:szCs w:val="21"/>
                <w:highlight w:val="none"/>
                <w:lang w:eastAsia="zh-CN"/>
              </w:rPr>
            </w:pPr>
            <w:r>
              <w:rPr>
                <w:rFonts w:hint="eastAsia" w:ascii="Times New Roman" w:hAnsi="Times New Roman" w:eastAsia="宋体" w:cs="Times New Roman"/>
                <w:b w:val="0"/>
                <w:bCs/>
                <w:color w:val="FF0000"/>
                <w:sz w:val="21"/>
                <w:szCs w:val="21"/>
                <w:highlight w:val="none"/>
                <w:lang w:eastAsia="zh-CN"/>
              </w:rPr>
              <w:t>预测点</w:t>
            </w:r>
          </w:p>
        </w:tc>
        <w:tc>
          <w:tcPr>
            <w:tcW w:w="998" w:type="pct"/>
            <w:gridSpan w:val="2"/>
            <w:tcBorders>
              <w:tl2br w:val="nil"/>
              <w:tr2bl w:val="nil"/>
            </w:tcBorders>
            <w:vAlign w:val="center"/>
          </w:tcPr>
          <w:p w14:paraId="19A3ED0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color w:val="FF0000"/>
                <w:sz w:val="21"/>
                <w:szCs w:val="21"/>
                <w:highlight w:val="none"/>
              </w:rPr>
            </w:pPr>
            <w:r>
              <w:rPr>
                <w:rFonts w:hint="default" w:ascii="Times New Roman" w:hAnsi="Times New Roman" w:eastAsia="宋体" w:cs="Times New Roman"/>
                <w:b w:val="0"/>
                <w:bCs/>
                <w:color w:val="FF0000"/>
                <w:sz w:val="21"/>
                <w:szCs w:val="21"/>
                <w:highlight w:val="none"/>
              </w:rPr>
              <w:t>噪声</w:t>
            </w:r>
            <w:r>
              <w:rPr>
                <w:rFonts w:hint="default" w:ascii="Times New Roman" w:hAnsi="Times New Roman" w:eastAsia="宋体" w:cs="Times New Roman"/>
                <w:b w:val="0"/>
                <w:bCs/>
                <w:color w:val="FF0000"/>
                <w:sz w:val="21"/>
                <w:szCs w:val="21"/>
                <w:highlight w:val="none"/>
                <w:lang w:val="en-US" w:eastAsia="zh-CN"/>
              </w:rPr>
              <w:t>现状</w:t>
            </w:r>
            <w:r>
              <w:rPr>
                <w:rFonts w:hint="default" w:ascii="Times New Roman" w:hAnsi="Times New Roman" w:eastAsia="宋体" w:cs="Times New Roman"/>
                <w:b w:val="0"/>
                <w:bCs/>
                <w:color w:val="FF0000"/>
                <w:sz w:val="21"/>
                <w:szCs w:val="21"/>
                <w:highlight w:val="none"/>
              </w:rPr>
              <w:t>值/dB(A)</w:t>
            </w:r>
          </w:p>
        </w:tc>
        <w:tc>
          <w:tcPr>
            <w:tcW w:w="1129" w:type="pct"/>
            <w:gridSpan w:val="2"/>
            <w:tcBorders>
              <w:tl2br w:val="nil"/>
              <w:tr2bl w:val="nil"/>
            </w:tcBorders>
            <w:vAlign w:val="center"/>
          </w:tcPr>
          <w:p w14:paraId="2A354A5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color w:val="FF0000"/>
                <w:sz w:val="21"/>
                <w:szCs w:val="21"/>
                <w:highlight w:val="none"/>
              </w:rPr>
            </w:pPr>
            <w:r>
              <w:rPr>
                <w:rFonts w:hint="default" w:ascii="Times New Roman" w:hAnsi="Times New Roman" w:eastAsia="宋体" w:cs="Times New Roman"/>
                <w:b w:val="0"/>
                <w:bCs/>
                <w:color w:val="FF0000"/>
                <w:sz w:val="21"/>
                <w:szCs w:val="21"/>
                <w:highlight w:val="none"/>
              </w:rPr>
              <w:t>噪声贡献值</w:t>
            </w:r>
          </w:p>
          <w:p w14:paraId="62B9288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color w:val="FF0000"/>
                <w:sz w:val="21"/>
                <w:szCs w:val="21"/>
                <w:highlight w:val="none"/>
              </w:rPr>
            </w:pPr>
            <w:r>
              <w:rPr>
                <w:rFonts w:hint="default" w:ascii="Times New Roman" w:hAnsi="Times New Roman" w:eastAsia="宋体" w:cs="Times New Roman"/>
                <w:b w:val="0"/>
                <w:bCs/>
                <w:color w:val="FF0000"/>
                <w:sz w:val="21"/>
                <w:szCs w:val="21"/>
                <w:highlight w:val="none"/>
              </w:rPr>
              <w:t>/dB(A)</w:t>
            </w:r>
          </w:p>
        </w:tc>
        <w:tc>
          <w:tcPr>
            <w:tcW w:w="935" w:type="pct"/>
            <w:gridSpan w:val="2"/>
            <w:tcBorders>
              <w:tl2br w:val="nil"/>
              <w:tr2bl w:val="nil"/>
            </w:tcBorders>
            <w:vAlign w:val="center"/>
          </w:tcPr>
          <w:p w14:paraId="1FE42F0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color w:val="FF0000"/>
                <w:sz w:val="21"/>
                <w:szCs w:val="21"/>
                <w:highlight w:val="none"/>
              </w:rPr>
            </w:pPr>
            <w:r>
              <w:rPr>
                <w:rFonts w:hint="default" w:ascii="Times New Roman" w:hAnsi="Times New Roman" w:eastAsia="宋体" w:cs="Times New Roman"/>
                <w:b w:val="0"/>
                <w:bCs/>
                <w:color w:val="FF0000"/>
                <w:sz w:val="21"/>
                <w:szCs w:val="21"/>
                <w:highlight w:val="none"/>
              </w:rPr>
              <w:t>噪声标准/dB(A)</w:t>
            </w:r>
          </w:p>
        </w:tc>
        <w:tc>
          <w:tcPr>
            <w:tcW w:w="801" w:type="pct"/>
            <w:gridSpan w:val="2"/>
            <w:tcBorders>
              <w:tl2br w:val="nil"/>
              <w:tr2bl w:val="nil"/>
            </w:tcBorders>
            <w:vAlign w:val="center"/>
          </w:tcPr>
          <w:p w14:paraId="5CA45E7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color w:val="FF0000"/>
                <w:sz w:val="21"/>
                <w:szCs w:val="21"/>
                <w:highlight w:val="none"/>
              </w:rPr>
            </w:pPr>
            <w:r>
              <w:rPr>
                <w:rFonts w:hint="default" w:ascii="Times New Roman" w:hAnsi="Times New Roman" w:eastAsia="宋体" w:cs="Times New Roman"/>
                <w:b w:val="0"/>
                <w:bCs/>
                <w:color w:val="FF0000"/>
                <w:sz w:val="21"/>
                <w:szCs w:val="21"/>
                <w:highlight w:val="none"/>
              </w:rPr>
              <w:t>超标和达标情况</w:t>
            </w:r>
          </w:p>
        </w:tc>
      </w:tr>
      <w:tr w14:paraId="6C2DF2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250" w:type="pct"/>
            <w:vMerge w:val="continue"/>
            <w:tcBorders>
              <w:tl2br w:val="nil"/>
              <w:tr2bl w:val="nil"/>
            </w:tcBorders>
            <w:vAlign w:val="center"/>
          </w:tcPr>
          <w:p w14:paraId="79FDB8F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color w:val="FF0000"/>
                <w:sz w:val="21"/>
                <w:szCs w:val="21"/>
                <w:highlight w:val="none"/>
              </w:rPr>
            </w:pPr>
          </w:p>
        </w:tc>
        <w:tc>
          <w:tcPr>
            <w:tcW w:w="885" w:type="pct"/>
            <w:vMerge w:val="continue"/>
            <w:tcBorders>
              <w:tl2br w:val="nil"/>
              <w:tr2bl w:val="nil"/>
            </w:tcBorders>
            <w:vAlign w:val="center"/>
          </w:tcPr>
          <w:p w14:paraId="584E2C5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color w:val="FF0000"/>
                <w:sz w:val="21"/>
                <w:szCs w:val="21"/>
                <w:highlight w:val="none"/>
              </w:rPr>
            </w:pPr>
          </w:p>
        </w:tc>
        <w:tc>
          <w:tcPr>
            <w:tcW w:w="531" w:type="pct"/>
            <w:tcBorders>
              <w:tl2br w:val="nil"/>
              <w:tr2bl w:val="nil"/>
            </w:tcBorders>
            <w:vAlign w:val="center"/>
          </w:tcPr>
          <w:p w14:paraId="1D51090E">
            <w:pPr>
              <w:pStyle w:val="15"/>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昼间</w:t>
            </w:r>
          </w:p>
        </w:tc>
        <w:tc>
          <w:tcPr>
            <w:tcW w:w="466" w:type="pct"/>
            <w:tcBorders>
              <w:tl2br w:val="nil"/>
              <w:tr2bl w:val="nil"/>
            </w:tcBorders>
            <w:vAlign w:val="center"/>
          </w:tcPr>
          <w:p w14:paraId="4F7BA61C">
            <w:pPr>
              <w:pStyle w:val="15"/>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夜间</w:t>
            </w:r>
          </w:p>
        </w:tc>
        <w:tc>
          <w:tcPr>
            <w:tcW w:w="545" w:type="pct"/>
            <w:tcBorders>
              <w:tl2br w:val="nil"/>
              <w:tr2bl w:val="nil"/>
            </w:tcBorders>
            <w:vAlign w:val="center"/>
          </w:tcPr>
          <w:p w14:paraId="33014F10">
            <w:pPr>
              <w:pStyle w:val="15"/>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昼间</w:t>
            </w:r>
          </w:p>
        </w:tc>
        <w:tc>
          <w:tcPr>
            <w:tcW w:w="583" w:type="pct"/>
            <w:tcBorders>
              <w:tl2br w:val="nil"/>
              <w:tr2bl w:val="nil"/>
            </w:tcBorders>
            <w:vAlign w:val="center"/>
          </w:tcPr>
          <w:p w14:paraId="35FF1E7F">
            <w:pPr>
              <w:pStyle w:val="15"/>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夜间</w:t>
            </w:r>
          </w:p>
        </w:tc>
        <w:tc>
          <w:tcPr>
            <w:tcW w:w="451" w:type="pct"/>
            <w:tcBorders>
              <w:tl2br w:val="nil"/>
              <w:tr2bl w:val="nil"/>
            </w:tcBorders>
            <w:vAlign w:val="center"/>
          </w:tcPr>
          <w:p w14:paraId="470E43EE">
            <w:pPr>
              <w:pStyle w:val="15"/>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昼间</w:t>
            </w:r>
          </w:p>
        </w:tc>
        <w:tc>
          <w:tcPr>
            <w:tcW w:w="484" w:type="pct"/>
            <w:tcBorders>
              <w:tl2br w:val="nil"/>
              <w:tr2bl w:val="nil"/>
            </w:tcBorders>
            <w:vAlign w:val="center"/>
          </w:tcPr>
          <w:p w14:paraId="686D3A26">
            <w:pPr>
              <w:pStyle w:val="15"/>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夜间</w:t>
            </w:r>
          </w:p>
        </w:tc>
        <w:tc>
          <w:tcPr>
            <w:tcW w:w="413" w:type="pct"/>
            <w:tcBorders>
              <w:tl2br w:val="nil"/>
              <w:tr2bl w:val="nil"/>
            </w:tcBorders>
            <w:vAlign w:val="center"/>
          </w:tcPr>
          <w:p w14:paraId="17FABDB0">
            <w:pPr>
              <w:pStyle w:val="15"/>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昼间</w:t>
            </w:r>
          </w:p>
        </w:tc>
        <w:tc>
          <w:tcPr>
            <w:tcW w:w="388" w:type="pct"/>
            <w:tcBorders>
              <w:tl2br w:val="nil"/>
              <w:tr2bl w:val="nil"/>
            </w:tcBorders>
            <w:vAlign w:val="center"/>
          </w:tcPr>
          <w:p w14:paraId="714A4710">
            <w:pPr>
              <w:pStyle w:val="15"/>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夜间</w:t>
            </w:r>
          </w:p>
        </w:tc>
      </w:tr>
      <w:tr w14:paraId="0F106D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250" w:type="pct"/>
            <w:tcBorders>
              <w:tl2br w:val="nil"/>
              <w:tr2bl w:val="nil"/>
            </w:tcBorders>
            <w:vAlign w:val="center"/>
          </w:tcPr>
          <w:p w14:paraId="5A16D34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rPr>
              <w:t>1</w:t>
            </w:r>
          </w:p>
        </w:tc>
        <w:tc>
          <w:tcPr>
            <w:tcW w:w="885" w:type="pct"/>
            <w:tcBorders>
              <w:tl2br w:val="nil"/>
              <w:tr2bl w:val="nil"/>
            </w:tcBorders>
            <w:vAlign w:val="center"/>
          </w:tcPr>
          <w:p w14:paraId="0DE55319">
            <w:pPr>
              <w:pStyle w:val="63"/>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rPr>
              <w:t>厂界</w:t>
            </w:r>
            <w:r>
              <w:rPr>
                <w:rFonts w:hint="default" w:ascii="Times New Roman" w:hAnsi="Times New Roman" w:eastAsia="宋体" w:cs="Times New Roman"/>
                <w:b w:val="0"/>
                <w:bCs/>
                <w:color w:val="FF0000"/>
                <w:sz w:val="21"/>
                <w:szCs w:val="21"/>
                <w:highlight w:val="none"/>
                <w:lang w:val="en-US" w:eastAsia="zh-CN"/>
              </w:rPr>
              <w:t>东</w:t>
            </w:r>
            <w:r>
              <w:rPr>
                <w:rFonts w:hint="default" w:ascii="Times New Roman" w:hAnsi="Times New Roman" w:eastAsia="宋体" w:cs="Times New Roman"/>
                <w:b w:val="0"/>
                <w:bCs/>
                <w:color w:val="FF0000"/>
                <w:sz w:val="21"/>
                <w:szCs w:val="21"/>
                <w:highlight w:val="none"/>
              </w:rPr>
              <w:t>侧</w:t>
            </w:r>
            <w:r>
              <w:rPr>
                <w:rFonts w:hint="eastAsia" w:ascii="Times New Roman" w:hAnsi="Times New Roman" w:eastAsia="宋体" w:cs="Times New Roman"/>
                <w:b w:val="0"/>
                <w:bCs/>
                <w:color w:val="FF0000"/>
                <w:sz w:val="21"/>
                <w:szCs w:val="21"/>
                <w:highlight w:val="none"/>
                <w:lang w:val="en-US" w:eastAsia="zh-CN"/>
              </w:rPr>
              <w:t>1m</w:t>
            </w:r>
          </w:p>
        </w:tc>
        <w:tc>
          <w:tcPr>
            <w:tcW w:w="531" w:type="pct"/>
            <w:tcBorders>
              <w:tl2br w:val="nil"/>
              <w:tr2bl w:val="nil"/>
            </w:tcBorders>
            <w:vAlign w:val="center"/>
          </w:tcPr>
          <w:p w14:paraId="274DCE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51</w:t>
            </w:r>
          </w:p>
        </w:tc>
        <w:tc>
          <w:tcPr>
            <w:tcW w:w="466" w:type="pct"/>
            <w:tcBorders>
              <w:tl2br w:val="nil"/>
              <w:tr2bl w:val="nil"/>
            </w:tcBorders>
            <w:vAlign w:val="center"/>
          </w:tcPr>
          <w:p w14:paraId="4B29FA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42</w:t>
            </w:r>
          </w:p>
        </w:tc>
        <w:tc>
          <w:tcPr>
            <w:tcW w:w="545" w:type="pct"/>
            <w:tcBorders>
              <w:tl2br w:val="nil"/>
              <w:tr2bl w:val="nil"/>
            </w:tcBorders>
            <w:vAlign w:val="center"/>
          </w:tcPr>
          <w:p w14:paraId="2EEFE158">
            <w:pPr>
              <w:pStyle w:val="15"/>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eastAsia" w:eastAsia="宋体" w:cs="Times New Roman"/>
                <w:b w:val="0"/>
                <w:bCs/>
                <w:color w:val="FF0000"/>
                <w:kern w:val="2"/>
                <w:sz w:val="21"/>
                <w:szCs w:val="21"/>
                <w:highlight w:val="none"/>
                <w:lang w:val="en-US" w:eastAsia="zh-CN" w:bidi="ar-SA"/>
              </w:rPr>
              <w:t>33</w:t>
            </w:r>
          </w:p>
        </w:tc>
        <w:tc>
          <w:tcPr>
            <w:tcW w:w="583" w:type="pct"/>
            <w:tcBorders>
              <w:tl2br w:val="nil"/>
              <w:tr2bl w:val="nil"/>
            </w:tcBorders>
            <w:shd w:val="clear" w:color="auto" w:fill="auto"/>
            <w:vAlign w:val="center"/>
          </w:tcPr>
          <w:p w14:paraId="1B2E4367">
            <w:pPr>
              <w:pStyle w:val="15"/>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eastAsia" w:eastAsia="宋体" w:cs="Times New Roman"/>
                <w:b w:val="0"/>
                <w:bCs/>
                <w:color w:val="FF0000"/>
                <w:kern w:val="2"/>
                <w:sz w:val="21"/>
                <w:szCs w:val="21"/>
                <w:highlight w:val="none"/>
                <w:lang w:val="en-US" w:eastAsia="zh-CN" w:bidi="ar-SA"/>
              </w:rPr>
              <w:t>33</w:t>
            </w:r>
          </w:p>
        </w:tc>
        <w:tc>
          <w:tcPr>
            <w:tcW w:w="451" w:type="pct"/>
            <w:tcBorders>
              <w:tl2br w:val="nil"/>
              <w:tr2bl w:val="nil"/>
            </w:tcBorders>
            <w:vAlign w:val="center"/>
          </w:tcPr>
          <w:p w14:paraId="24420E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eastAsia" w:ascii="Times New Roman" w:hAnsi="Times New Roman" w:eastAsia="宋体" w:cs="Times New Roman"/>
                <w:b w:val="0"/>
                <w:bCs/>
                <w:color w:val="FF0000"/>
                <w:kern w:val="2"/>
                <w:sz w:val="21"/>
                <w:szCs w:val="21"/>
                <w:highlight w:val="none"/>
                <w:lang w:val="en-US" w:eastAsia="zh-CN" w:bidi="ar-SA"/>
              </w:rPr>
              <w:t>65</w:t>
            </w:r>
          </w:p>
        </w:tc>
        <w:tc>
          <w:tcPr>
            <w:tcW w:w="484" w:type="pct"/>
            <w:tcBorders>
              <w:tl2br w:val="nil"/>
              <w:tr2bl w:val="nil"/>
            </w:tcBorders>
            <w:vAlign w:val="center"/>
          </w:tcPr>
          <w:p w14:paraId="5C7893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eastAsia" w:ascii="Times New Roman" w:hAnsi="Times New Roman" w:eastAsia="宋体" w:cs="Times New Roman"/>
                <w:b w:val="0"/>
                <w:bCs/>
                <w:color w:val="FF0000"/>
                <w:kern w:val="2"/>
                <w:sz w:val="21"/>
                <w:szCs w:val="21"/>
                <w:highlight w:val="none"/>
                <w:lang w:val="en-US" w:eastAsia="zh-CN" w:bidi="ar-SA"/>
              </w:rPr>
              <w:t>55</w:t>
            </w:r>
          </w:p>
        </w:tc>
        <w:tc>
          <w:tcPr>
            <w:tcW w:w="413" w:type="pct"/>
            <w:tcBorders>
              <w:tl2br w:val="nil"/>
              <w:tr2bl w:val="nil"/>
            </w:tcBorders>
            <w:vAlign w:val="center"/>
          </w:tcPr>
          <w:p w14:paraId="2EB326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i w:val="0"/>
                <w:iCs w:val="0"/>
                <w:color w:val="FF0000"/>
                <w:kern w:val="2"/>
                <w:sz w:val="21"/>
                <w:szCs w:val="21"/>
                <w:highlight w:val="none"/>
                <w:u w:val="none"/>
                <w:lang w:val="en-US" w:eastAsia="zh-CN" w:bidi="ar-SA"/>
              </w:rPr>
            </w:pPr>
            <w:r>
              <w:rPr>
                <w:rFonts w:hint="default" w:ascii="Times New Roman" w:hAnsi="Times New Roman" w:eastAsia="宋体" w:cs="Times New Roman"/>
                <w:b w:val="0"/>
                <w:bCs/>
                <w:color w:val="FF0000"/>
                <w:sz w:val="21"/>
                <w:szCs w:val="21"/>
                <w:highlight w:val="none"/>
                <w:lang w:val="en-US" w:eastAsia="zh-CN"/>
              </w:rPr>
              <w:t>达标</w:t>
            </w:r>
          </w:p>
        </w:tc>
        <w:tc>
          <w:tcPr>
            <w:tcW w:w="388" w:type="pct"/>
            <w:tcBorders>
              <w:tl2br w:val="nil"/>
              <w:tr2bl w:val="nil"/>
            </w:tcBorders>
            <w:vAlign w:val="center"/>
          </w:tcPr>
          <w:p w14:paraId="6AE0B121">
            <w:pPr>
              <w:pStyle w:val="15"/>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达标</w:t>
            </w:r>
          </w:p>
        </w:tc>
      </w:tr>
      <w:tr w14:paraId="28D0B5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50" w:type="pct"/>
            <w:tcBorders>
              <w:tl2br w:val="nil"/>
              <w:tr2bl w:val="nil"/>
            </w:tcBorders>
            <w:vAlign w:val="center"/>
          </w:tcPr>
          <w:p w14:paraId="1E6777E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2</w:t>
            </w:r>
          </w:p>
        </w:tc>
        <w:tc>
          <w:tcPr>
            <w:tcW w:w="885" w:type="pct"/>
            <w:tcBorders>
              <w:tl2br w:val="nil"/>
              <w:tr2bl w:val="nil"/>
            </w:tcBorders>
            <w:vAlign w:val="center"/>
          </w:tcPr>
          <w:p w14:paraId="185FFD55">
            <w:pPr>
              <w:pStyle w:val="63"/>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厂界南侧</w:t>
            </w:r>
            <w:r>
              <w:rPr>
                <w:rFonts w:hint="eastAsia" w:ascii="Times New Roman" w:hAnsi="Times New Roman" w:eastAsia="宋体" w:cs="Times New Roman"/>
                <w:b w:val="0"/>
                <w:bCs/>
                <w:color w:val="FF0000"/>
                <w:sz w:val="21"/>
                <w:szCs w:val="21"/>
                <w:highlight w:val="none"/>
                <w:lang w:val="en-US" w:eastAsia="zh-CN"/>
              </w:rPr>
              <w:t>1m</w:t>
            </w:r>
          </w:p>
        </w:tc>
        <w:tc>
          <w:tcPr>
            <w:tcW w:w="531" w:type="pct"/>
            <w:tcBorders>
              <w:tl2br w:val="nil"/>
              <w:tr2bl w:val="nil"/>
            </w:tcBorders>
            <w:vAlign w:val="center"/>
          </w:tcPr>
          <w:p w14:paraId="579754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52</w:t>
            </w:r>
          </w:p>
        </w:tc>
        <w:tc>
          <w:tcPr>
            <w:tcW w:w="466" w:type="pct"/>
            <w:tcBorders>
              <w:tl2br w:val="nil"/>
              <w:tr2bl w:val="nil"/>
            </w:tcBorders>
            <w:vAlign w:val="center"/>
          </w:tcPr>
          <w:p w14:paraId="55A3C8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43</w:t>
            </w:r>
          </w:p>
        </w:tc>
        <w:tc>
          <w:tcPr>
            <w:tcW w:w="545" w:type="pct"/>
            <w:tcBorders>
              <w:tl2br w:val="nil"/>
              <w:tr2bl w:val="nil"/>
            </w:tcBorders>
            <w:vAlign w:val="center"/>
          </w:tcPr>
          <w:p w14:paraId="58C7FA6F">
            <w:pPr>
              <w:pStyle w:val="15"/>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eastAsia" w:eastAsia="宋体" w:cs="Times New Roman"/>
                <w:b w:val="0"/>
                <w:bCs/>
                <w:color w:val="FF0000"/>
                <w:kern w:val="2"/>
                <w:sz w:val="21"/>
                <w:szCs w:val="21"/>
                <w:highlight w:val="none"/>
                <w:lang w:val="en-US" w:eastAsia="zh-CN" w:bidi="ar-SA"/>
              </w:rPr>
              <w:t>32</w:t>
            </w:r>
          </w:p>
        </w:tc>
        <w:tc>
          <w:tcPr>
            <w:tcW w:w="583" w:type="pct"/>
            <w:tcBorders>
              <w:tl2br w:val="nil"/>
              <w:tr2bl w:val="nil"/>
            </w:tcBorders>
            <w:shd w:val="clear" w:color="auto" w:fill="auto"/>
            <w:vAlign w:val="center"/>
          </w:tcPr>
          <w:p w14:paraId="0540022C">
            <w:pPr>
              <w:pStyle w:val="15"/>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eastAsia" w:eastAsia="宋体" w:cs="Times New Roman"/>
                <w:b w:val="0"/>
                <w:bCs/>
                <w:color w:val="FF0000"/>
                <w:kern w:val="2"/>
                <w:sz w:val="21"/>
                <w:szCs w:val="21"/>
                <w:highlight w:val="none"/>
                <w:lang w:val="en-US" w:eastAsia="zh-CN" w:bidi="ar-SA"/>
              </w:rPr>
              <w:t>32</w:t>
            </w:r>
          </w:p>
        </w:tc>
        <w:tc>
          <w:tcPr>
            <w:tcW w:w="451" w:type="pct"/>
            <w:tcBorders>
              <w:tl2br w:val="nil"/>
              <w:tr2bl w:val="nil"/>
            </w:tcBorders>
            <w:vAlign w:val="center"/>
          </w:tcPr>
          <w:p w14:paraId="749669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eastAsia" w:ascii="Times New Roman" w:hAnsi="Times New Roman" w:eastAsia="宋体" w:cs="Times New Roman"/>
                <w:b w:val="0"/>
                <w:bCs/>
                <w:color w:val="FF0000"/>
                <w:kern w:val="2"/>
                <w:sz w:val="21"/>
                <w:szCs w:val="21"/>
                <w:highlight w:val="none"/>
                <w:lang w:val="en-US" w:eastAsia="zh-CN" w:bidi="ar-SA"/>
              </w:rPr>
              <w:t>65</w:t>
            </w:r>
          </w:p>
        </w:tc>
        <w:tc>
          <w:tcPr>
            <w:tcW w:w="484" w:type="pct"/>
            <w:tcBorders>
              <w:tl2br w:val="nil"/>
              <w:tr2bl w:val="nil"/>
            </w:tcBorders>
            <w:shd w:val="clear" w:color="auto" w:fill="auto"/>
            <w:vAlign w:val="center"/>
          </w:tcPr>
          <w:p w14:paraId="6DE6BB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eastAsia" w:ascii="Times New Roman" w:hAnsi="Times New Roman" w:eastAsia="宋体" w:cs="Times New Roman"/>
                <w:b w:val="0"/>
                <w:bCs/>
                <w:color w:val="FF0000"/>
                <w:kern w:val="2"/>
                <w:sz w:val="21"/>
                <w:szCs w:val="21"/>
                <w:highlight w:val="none"/>
                <w:lang w:val="en-US" w:eastAsia="zh-CN" w:bidi="ar-SA"/>
              </w:rPr>
              <w:t>55</w:t>
            </w:r>
          </w:p>
        </w:tc>
        <w:tc>
          <w:tcPr>
            <w:tcW w:w="413" w:type="pct"/>
            <w:tcBorders>
              <w:tl2br w:val="nil"/>
              <w:tr2bl w:val="nil"/>
            </w:tcBorders>
            <w:vAlign w:val="center"/>
          </w:tcPr>
          <w:p w14:paraId="092C89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i w:val="0"/>
                <w:iCs w:val="0"/>
                <w:color w:val="FF0000"/>
                <w:kern w:val="2"/>
                <w:sz w:val="21"/>
                <w:szCs w:val="21"/>
                <w:highlight w:val="none"/>
                <w:u w:val="none"/>
                <w:lang w:val="en-US" w:eastAsia="zh-CN" w:bidi="ar-SA"/>
              </w:rPr>
            </w:pPr>
            <w:r>
              <w:rPr>
                <w:rFonts w:hint="default" w:ascii="Times New Roman" w:hAnsi="Times New Roman" w:eastAsia="宋体" w:cs="Times New Roman"/>
                <w:b w:val="0"/>
                <w:bCs/>
                <w:color w:val="FF0000"/>
                <w:sz w:val="21"/>
                <w:szCs w:val="21"/>
                <w:highlight w:val="none"/>
                <w:lang w:val="en-US" w:eastAsia="zh-CN"/>
              </w:rPr>
              <w:t>达标</w:t>
            </w:r>
          </w:p>
        </w:tc>
        <w:tc>
          <w:tcPr>
            <w:tcW w:w="388" w:type="pct"/>
            <w:tcBorders>
              <w:tl2br w:val="nil"/>
              <w:tr2bl w:val="nil"/>
            </w:tcBorders>
            <w:vAlign w:val="center"/>
          </w:tcPr>
          <w:p w14:paraId="05BFE29D">
            <w:pPr>
              <w:pStyle w:val="15"/>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达标</w:t>
            </w:r>
          </w:p>
        </w:tc>
      </w:tr>
      <w:tr w14:paraId="3D96A4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250" w:type="pct"/>
            <w:tcBorders>
              <w:tl2br w:val="nil"/>
              <w:tr2bl w:val="nil"/>
            </w:tcBorders>
            <w:vAlign w:val="center"/>
          </w:tcPr>
          <w:p w14:paraId="0429267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3</w:t>
            </w:r>
          </w:p>
        </w:tc>
        <w:tc>
          <w:tcPr>
            <w:tcW w:w="885" w:type="pct"/>
            <w:tcBorders>
              <w:tl2br w:val="nil"/>
              <w:tr2bl w:val="nil"/>
            </w:tcBorders>
            <w:vAlign w:val="center"/>
          </w:tcPr>
          <w:p w14:paraId="2293C22D">
            <w:pPr>
              <w:pStyle w:val="63"/>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rPr>
              <w:t>厂界</w:t>
            </w:r>
            <w:r>
              <w:rPr>
                <w:rFonts w:hint="default" w:ascii="Times New Roman" w:hAnsi="Times New Roman" w:eastAsia="宋体" w:cs="Times New Roman"/>
                <w:b w:val="0"/>
                <w:bCs/>
                <w:color w:val="FF0000"/>
                <w:sz w:val="21"/>
                <w:szCs w:val="21"/>
                <w:highlight w:val="none"/>
                <w:lang w:val="en-US" w:eastAsia="zh-CN"/>
              </w:rPr>
              <w:t>西侧</w:t>
            </w:r>
            <w:r>
              <w:rPr>
                <w:rFonts w:hint="eastAsia" w:ascii="Times New Roman" w:hAnsi="Times New Roman" w:eastAsia="宋体" w:cs="Times New Roman"/>
                <w:b w:val="0"/>
                <w:bCs/>
                <w:color w:val="FF0000"/>
                <w:sz w:val="21"/>
                <w:szCs w:val="21"/>
                <w:highlight w:val="none"/>
                <w:lang w:val="en-US" w:eastAsia="zh-CN"/>
              </w:rPr>
              <w:t>1m</w:t>
            </w:r>
          </w:p>
        </w:tc>
        <w:tc>
          <w:tcPr>
            <w:tcW w:w="531" w:type="pct"/>
            <w:tcBorders>
              <w:tl2br w:val="nil"/>
              <w:tr2bl w:val="nil"/>
            </w:tcBorders>
            <w:vAlign w:val="center"/>
          </w:tcPr>
          <w:p w14:paraId="45DAD8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53</w:t>
            </w:r>
          </w:p>
        </w:tc>
        <w:tc>
          <w:tcPr>
            <w:tcW w:w="466" w:type="pct"/>
            <w:tcBorders>
              <w:tl2br w:val="nil"/>
              <w:tr2bl w:val="nil"/>
            </w:tcBorders>
            <w:vAlign w:val="center"/>
          </w:tcPr>
          <w:p w14:paraId="2FF09B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44</w:t>
            </w:r>
          </w:p>
        </w:tc>
        <w:tc>
          <w:tcPr>
            <w:tcW w:w="545" w:type="pct"/>
            <w:tcBorders>
              <w:tl2br w:val="nil"/>
              <w:tr2bl w:val="nil"/>
            </w:tcBorders>
            <w:vAlign w:val="center"/>
          </w:tcPr>
          <w:p w14:paraId="771DA8B5">
            <w:pPr>
              <w:pStyle w:val="15"/>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eastAsia" w:eastAsia="宋体" w:cs="Times New Roman"/>
                <w:b w:val="0"/>
                <w:bCs/>
                <w:color w:val="FF0000"/>
                <w:kern w:val="2"/>
                <w:sz w:val="21"/>
                <w:szCs w:val="21"/>
                <w:highlight w:val="none"/>
                <w:lang w:val="en-US" w:eastAsia="zh-CN" w:bidi="ar-SA"/>
              </w:rPr>
              <w:t>26</w:t>
            </w:r>
          </w:p>
        </w:tc>
        <w:tc>
          <w:tcPr>
            <w:tcW w:w="583" w:type="pct"/>
            <w:tcBorders>
              <w:tl2br w:val="nil"/>
              <w:tr2bl w:val="nil"/>
            </w:tcBorders>
            <w:shd w:val="clear" w:color="auto" w:fill="auto"/>
            <w:vAlign w:val="center"/>
          </w:tcPr>
          <w:p w14:paraId="38B7B7D2">
            <w:pPr>
              <w:pStyle w:val="15"/>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eastAsia" w:eastAsia="宋体" w:cs="Times New Roman"/>
                <w:b w:val="0"/>
                <w:bCs/>
                <w:color w:val="FF0000"/>
                <w:kern w:val="2"/>
                <w:sz w:val="21"/>
                <w:szCs w:val="21"/>
                <w:highlight w:val="none"/>
                <w:lang w:val="en-US" w:eastAsia="zh-CN" w:bidi="ar-SA"/>
              </w:rPr>
              <w:t>26</w:t>
            </w:r>
          </w:p>
        </w:tc>
        <w:tc>
          <w:tcPr>
            <w:tcW w:w="451" w:type="pct"/>
            <w:tcBorders>
              <w:tl2br w:val="nil"/>
              <w:tr2bl w:val="nil"/>
            </w:tcBorders>
            <w:vAlign w:val="center"/>
          </w:tcPr>
          <w:p w14:paraId="43B025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eastAsia" w:ascii="Times New Roman" w:hAnsi="Times New Roman" w:eastAsia="宋体" w:cs="Times New Roman"/>
                <w:b w:val="0"/>
                <w:bCs/>
                <w:color w:val="FF0000"/>
                <w:kern w:val="2"/>
                <w:sz w:val="21"/>
                <w:szCs w:val="21"/>
                <w:highlight w:val="none"/>
                <w:lang w:val="en-US" w:eastAsia="zh-CN" w:bidi="ar-SA"/>
              </w:rPr>
              <w:t>65</w:t>
            </w:r>
          </w:p>
        </w:tc>
        <w:tc>
          <w:tcPr>
            <w:tcW w:w="484" w:type="pct"/>
            <w:tcBorders>
              <w:tl2br w:val="nil"/>
              <w:tr2bl w:val="nil"/>
            </w:tcBorders>
            <w:shd w:val="clear" w:color="auto" w:fill="auto"/>
            <w:vAlign w:val="center"/>
          </w:tcPr>
          <w:p w14:paraId="6E460E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eastAsia" w:ascii="Times New Roman" w:hAnsi="Times New Roman" w:eastAsia="宋体" w:cs="Times New Roman"/>
                <w:b w:val="0"/>
                <w:bCs/>
                <w:color w:val="FF0000"/>
                <w:kern w:val="2"/>
                <w:sz w:val="21"/>
                <w:szCs w:val="21"/>
                <w:highlight w:val="none"/>
                <w:lang w:val="en-US" w:eastAsia="zh-CN" w:bidi="ar-SA"/>
              </w:rPr>
              <w:t>55</w:t>
            </w:r>
          </w:p>
        </w:tc>
        <w:tc>
          <w:tcPr>
            <w:tcW w:w="413" w:type="pct"/>
            <w:tcBorders>
              <w:tl2br w:val="nil"/>
              <w:tr2bl w:val="nil"/>
            </w:tcBorders>
            <w:vAlign w:val="center"/>
          </w:tcPr>
          <w:p w14:paraId="571312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i w:val="0"/>
                <w:iCs w:val="0"/>
                <w:color w:val="FF0000"/>
                <w:kern w:val="2"/>
                <w:sz w:val="21"/>
                <w:szCs w:val="21"/>
                <w:highlight w:val="none"/>
                <w:u w:val="none"/>
                <w:lang w:val="en-US" w:eastAsia="zh-CN" w:bidi="ar-SA"/>
              </w:rPr>
            </w:pPr>
            <w:r>
              <w:rPr>
                <w:rFonts w:hint="default" w:ascii="Times New Roman" w:hAnsi="Times New Roman" w:eastAsia="宋体" w:cs="Times New Roman"/>
                <w:b w:val="0"/>
                <w:bCs/>
                <w:color w:val="FF0000"/>
                <w:sz w:val="21"/>
                <w:szCs w:val="21"/>
                <w:highlight w:val="none"/>
                <w:lang w:val="en-US" w:eastAsia="zh-CN"/>
              </w:rPr>
              <w:t>达标</w:t>
            </w:r>
          </w:p>
        </w:tc>
        <w:tc>
          <w:tcPr>
            <w:tcW w:w="388" w:type="pct"/>
            <w:tcBorders>
              <w:tl2br w:val="nil"/>
              <w:tr2bl w:val="nil"/>
            </w:tcBorders>
            <w:vAlign w:val="center"/>
          </w:tcPr>
          <w:p w14:paraId="18526652">
            <w:pPr>
              <w:pStyle w:val="15"/>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达标</w:t>
            </w:r>
          </w:p>
        </w:tc>
      </w:tr>
      <w:tr w14:paraId="05F835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250" w:type="pct"/>
            <w:tcBorders>
              <w:tl2br w:val="nil"/>
              <w:tr2bl w:val="nil"/>
            </w:tcBorders>
            <w:vAlign w:val="center"/>
          </w:tcPr>
          <w:p w14:paraId="6C77B9B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4</w:t>
            </w:r>
          </w:p>
        </w:tc>
        <w:tc>
          <w:tcPr>
            <w:tcW w:w="885" w:type="pct"/>
            <w:tcBorders>
              <w:tl2br w:val="nil"/>
              <w:tr2bl w:val="nil"/>
            </w:tcBorders>
            <w:vAlign w:val="center"/>
          </w:tcPr>
          <w:p w14:paraId="7D528487">
            <w:pPr>
              <w:pStyle w:val="63"/>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厂界北侧</w:t>
            </w:r>
            <w:r>
              <w:rPr>
                <w:rFonts w:hint="eastAsia" w:ascii="Times New Roman" w:hAnsi="Times New Roman" w:eastAsia="宋体" w:cs="Times New Roman"/>
                <w:b w:val="0"/>
                <w:bCs/>
                <w:color w:val="FF0000"/>
                <w:sz w:val="21"/>
                <w:szCs w:val="21"/>
                <w:highlight w:val="none"/>
                <w:lang w:val="en-US" w:eastAsia="zh-CN"/>
              </w:rPr>
              <w:t>1m</w:t>
            </w:r>
          </w:p>
        </w:tc>
        <w:tc>
          <w:tcPr>
            <w:tcW w:w="531" w:type="pct"/>
            <w:tcBorders>
              <w:tl2br w:val="nil"/>
              <w:tr2bl w:val="nil"/>
            </w:tcBorders>
            <w:vAlign w:val="center"/>
          </w:tcPr>
          <w:p w14:paraId="0B9A3E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52</w:t>
            </w:r>
          </w:p>
        </w:tc>
        <w:tc>
          <w:tcPr>
            <w:tcW w:w="466" w:type="pct"/>
            <w:tcBorders>
              <w:tl2br w:val="nil"/>
              <w:tr2bl w:val="nil"/>
            </w:tcBorders>
            <w:vAlign w:val="center"/>
          </w:tcPr>
          <w:p w14:paraId="333673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42</w:t>
            </w:r>
          </w:p>
        </w:tc>
        <w:tc>
          <w:tcPr>
            <w:tcW w:w="545" w:type="pct"/>
            <w:tcBorders>
              <w:tl2br w:val="nil"/>
              <w:tr2bl w:val="nil"/>
            </w:tcBorders>
            <w:vAlign w:val="center"/>
          </w:tcPr>
          <w:p w14:paraId="2A48F64E">
            <w:pPr>
              <w:pStyle w:val="15"/>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eastAsia" w:eastAsia="宋体" w:cs="Times New Roman"/>
                <w:b w:val="0"/>
                <w:bCs/>
                <w:color w:val="FF0000"/>
                <w:kern w:val="2"/>
                <w:sz w:val="21"/>
                <w:szCs w:val="21"/>
                <w:highlight w:val="none"/>
                <w:lang w:val="en-US" w:eastAsia="zh-CN" w:bidi="ar-SA"/>
              </w:rPr>
              <w:t>20</w:t>
            </w:r>
          </w:p>
        </w:tc>
        <w:tc>
          <w:tcPr>
            <w:tcW w:w="583" w:type="pct"/>
            <w:tcBorders>
              <w:tl2br w:val="nil"/>
              <w:tr2bl w:val="nil"/>
            </w:tcBorders>
            <w:shd w:val="clear" w:color="auto" w:fill="auto"/>
            <w:vAlign w:val="center"/>
          </w:tcPr>
          <w:p w14:paraId="13973DC2">
            <w:pPr>
              <w:pStyle w:val="15"/>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eastAsia" w:eastAsia="宋体" w:cs="Times New Roman"/>
                <w:b w:val="0"/>
                <w:bCs/>
                <w:color w:val="FF0000"/>
                <w:kern w:val="2"/>
                <w:sz w:val="21"/>
                <w:szCs w:val="21"/>
                <w:highlight w:val="none"/>
                <w:lang w:val="en-US" w:eastAsia="zh-CN" w:bidi="ar-SA"/>
              </w:rPr>
              <w:t>20</w:t>
            </w:r>
          </w:p>
        </w:tc>
        <w:tc>
          <w:tcPr>
            <w:tcW w:w="451" w:type="pct"/>
            <w:tcBorders>
              <w:tl2br w:val="nil"/>
              <w:tr2bl w:val="nil"/>
            </w:tcBorders>
            <w:vAlign w:val="center"/>
          </w:tcPr>
          <w:p w14:paraId="00CFA2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eastAsia" w:ascii="Times New Roman" w:hAnsi="Times New Roman" w:eastAsia="宋体" w:cs="Times New Roman"/>
                <w:b w:val="0"/>
                <w:bCs/>
                <w:color w:val="FF0000"/>
                <w:kern w:val="2"/>
                <w:sz w:val="21"/>
                <w:szCs w:val="21"/>
                <w:highlight w:val="none"/>
                <w:lang w:val="en-US" w:eastAsia="zh-CN" w:bidi="ar-SA"/>
              </w:rPr>
              <w:t>65</w:t>
            </w:r>
          </w:p>
        </w:tc>
        <w:tc>
          <w:tcPr>
            <w:tcW w:w="484" w:type="pct"/>
            <w:tcBorders>
              <w:tl2br w:val="nil"/>
              <w:tr2bl w:val="nil"/>
            </w:tcBorders>
            <w:shd w:val="clear" w:color="auto" w:fill="auto"/>
            <w:vAlign w:val="center"/>
          </w:tcPr>
          <w:p w14:paraId="284BFC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color w:val="FF0000"/>
                <w:kern w:val="2"/>
                <w:sz w:val="21"/>
                <w:szCs w:val="21"/>
                <w:highlight w:val="none"/>
                <w:lang w:val="en-US" w:eastAsia="zh-CN" w:bidi="ar-SA"/>
              </w:rPr>
            </w:pPr>
            <w:r>
              <w:rPr>
                <w:rFonts w:hint="eastAsia" w:ascii="Times New Roman" w:hAnsi="Times New Roman" w:eastAsia="宋体" w:cs="Times New Roman"/>
                <w:b w:val="0"/>
                <w:bCs/>
                <w:color w:val="FF0000"/>
                <w:kern w:val="2"/>
                <w:sz w:val="21"/>
                <w:szCs w:val="21"/>
                <w:highlight w:val="none"/>
                <w:lang w:val="en-US" w:eastAsia="zh-CN" w:bidi="ar-SA"/>
              </w:rPr>
              <w:t>55</w:t>
            </w:r>
          </w:p>
        </w:tc>
        <w:tc>
          <w:tcPr>
            <w:tcW w:w="413" w:type="pct"/>
            <w:tcBorders>
              <w:tl2br w:val="nil"/>
              <w:tr2bl w:val="nil"/>
            </w:tcBorders>
            <w:vAlign w:val="center"/>
          </w:tcPr>
          <w:p w14:paraId="059B3C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i w:val="0"/>
                <w:iCs w:val="0"/>
                <w:color w:val="FF0000"/>
                <w:kern w:val="2"/>
                <w:sz w:val="21"/>
                <w:szCs w:val="21"/>
                <w:highlight w:val="none"/>
                <w:u w:val="none"/>
                <w:lang w:val="en-US" w:eastAsia="zh-CN" w:bidi="ar-SA"/>
              </w:rPr>
            </w:pPr>
            <w:r>
              <w:rPr>
                <w:rFonts w:hint="default" w:ascii="Times New Roman" w:hAnsi="Times New Roman" w:eastAsia="宋体" w:cs="Times New Roman"/>
                <w:b w:val="0"/>
                <w:bCs/>
                <w:color w:val="FF0000"/>
                <w:sz w:val="21"/>
                <w:szCs w:val="21"/>
                <w:highlight w:val="none"/>
                <w:lang w:val="en-US" w:eastAsia="zh-CN"/>
              </w:rPr>
              <w:t>达标</w:t>
            </w:r>
          </w:p>
        </w:tc>
        <w:tc>
          <w:tcPr>
            <w:tcW w:w="388" w:type="pct"/>
            <w:tcBorders>
              <w:tl2br w:val="nil"/>
              <w:tr2bl w:val="nil"/>
            </w:tcBorders>
            <w:vAlign w:val="center"/>
          </w:tcPr>
          <w:p w14:paraId="3C4EB5DC">
            <w:pPr>
              <w:pStyle w:val="15"/>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rPr>
                <w:rFonts w:hint="default" w:ascii="Times New Roman" w:hAnsi="Times New Roman" w:eastAsia="宋体" w:cs="Times New Roman"/>
                <w:b w:val="0"/>
                <w:bCs/>
                <w:color w:val="FF0000"/>
                <w:kern w:val="2"/>
                <w:sz w:val="21"/>
                <w:szCs w:val="21"/>
                <w:highlight w:val="none"/>
                <w:lang w:val="en-US" w:eastAsia="zh-CN" w:bidi="ar-SA"/>
              </w:rPr>
            </w:pPr>
            <w:r>
              <w:rPr>
                <w:rFonts w:hint="default" w:ascii="Times New Roman" w:hAnsi="Times New Roman" w:eastAsia="宋体" w:cs="Times New Roman"/>
                <w:b w:val="0"/>
                <w:bCs/>
                <w:color w:val="FF0000"/>
                <w:sz w:val="21"/>
                <w:szCs w:val="21"/>
                <w:highlight w:val="none"/>
                <w:lang w:val="en-US" w:eastAsia="zh-CN"/>
              </w:rPr>
              <w:t>达标</w:t>
            </w:r>
          </w:p>
        </w:tc>
      </w:tr>
    </w:tbl>
    <w:p w14:paraId="627250F9">
      <w:pPr>
        <w:pStyle w:val="6"/>
        <w:rPr>
          <w:rFonts w:hint="default"/>
          <w:highlight w:val="none"/>
          <w:lang w:val="en-US" w:eastAsia="zh-CN"/>
        </w:rPr>
      </w:pPr>
      <w:r>
        <w:rPr>
          <w:rFonts w:hint="default"/>
          <w:highlight w:val="none"/>
          <w:lang w:val="en-US" w:eastAsia="zh-CN"/>
        </w:rPr>
        <w:drawing>
          <wp:inline distT="0" distB="0" distL="114300" distR="114300">
            <wp:extent cx="5273040" cy="4991735"/>
            <wp:effectExtent l="0" t="0" r="3810" b="18415"/>
            <wp:docPr id="142"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41"/>
                    <pic:cNvPicPr>
                      <a:picLocks noChangeAspect="1"/>
                    </pic:cNvPicPr>
                  </pic:nvPicPr>
                  <pic:blipFill>
                    <a:blip r:embed="rId120"/>
                    <a:stretch>
                      <a:fillRect/>
                    </a:stretch>
                  </pic:blipFill>
                  <pic:spPr>
                    <a:xfrm>
                      <a:off x="0" y="0"/>
                      <a:ext cx="5273040" cy="4991735"/>
                    </a:xfrm>
                    <a:prstGeom prst="rect">
                      <a:avLst/>
                    </a:prstGeom>
                    <a:noFill/>
                    <a:ln>
                      <a:noFill/>
                    </a:ln>
                  </pic:spPr>
                </pic:pic>
              </a:graphicData>
            </a:graphic>
          </wp:inline>
        </w:drawing>
      </w:r>
    </w:p>
    <w:p w14:paraId="6EF79C19">
      <w:pPr>
        <w:pStyle w:val="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highlight w:val="none"/>
          <w:lang w:val="en-US" w:eastAsia="zh-CN"/>
        </w:rPr>
        <w:t>图6.2-1</w:t>
      </w:r>
      <w:r>
        <w:rPr>
          <w:rFonts w:hint="eastAsia"/>
          <w:highlight w:val="none"/>
          <w:lang w:val="en-US" w:eastAsia="zh-CN"/>
        </w:rPr>
        <w:t>4</w:t>
      </w:r>
      <w:r>
        <w:rPr>
          <w:rFonts w:hint="default"/>
          <w:highlight w:val="none"/>
          <w:lang w:val="en-US" w:eastAsia="zh-CN"/>
        </w:rPr>
        <w:t xml:space="preserve"> 噪声贡献值预测</w:t>
      </w:r>
      <w:r>
        <w:rPr>
          <w:rFonts w:hint="eastAsia"/>
          <w:highlight w:val="none"/>
          <w:lang w:val="en-US" w:eastAsia="zh-CN"/>
        </w:rPr>
        <w:t>图</w:t>
      </w:r>
    </w:p>
    <w:p w14:paraId="16E2D78F">
      <w:pPr>
        <w:adjustRightInd w:val="0"/>
        <w:snapToGrid w:val="0"/>
        <w:spacing w:line="480" w:lineRule="exact"/>
        <w:ind w:left="0" w:leftChars="0" w:firstLine="0" w:firstLineChars="0"/>
        <w:jc w:val="center"/>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drawing>
          <wp:anchor distT="0" distB="0" distL="114300" distR="114300" simplePos="0" relativeHeight="251730944" behindDoc="0" locked="0" layoutInCell="1" allowOverlap="1">
            <wp:simplePos x="0" y="0"/>
            <wp:positionH relativeFrom="column">
              <wp:posOffset>127000</wp:posOffset>
            </wp:positionH>
            <wp:positionV relativeFrom="paragraph">
              <wp:posOffset>38100</wp:posOffset>
            </wp:positionV>
            <wp:extent cx="5266055" cy="2378710"/>
            <wp:effectExtent l="0" t="0" r="10795" b="2540"/>
            <wp:wrapTopAndBottom/>
            <wp:docPr id="143"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42"/>
                    <pic:cNvPicPr>
                      <a:picLocks noChangeAspect="1"/>
                    </pic:cNvPicPr>
                  </pic:nvPicPr>
                  <pic:blipFill>
                    <a:blip r:embed="rId121"/>
                    <a:stretch>
                      <a:fillRect/>
                    </a:stretch>
                  </pic:blipFill>
                  <pic:spPr>
                    <a:xfrm>
                      <a:off x="0" y="0"/>
                      <a:ext cx="5266055" cy="2378710"/>
                    </a:xfrm>
                    <a:prstGeom prst="rect">
                      <a:avLst/>
                    </a:prstGeom>
                    <a:noFill/>
                    <a:ln>
                      <a:noFill/>
                    </a:ln>
                  </pic:spPr>
                </pic:pic>
              </a:graphicData>
            </a:graphic>
          </wp:anchor>
        </w:drawing>
      </w:r>
      <w:r>
        <w:rPr>
          <w:rFonts w:hint="eastAsia" w:ascii="Times New Roman" w:hAnsi="Times New Roman" w:eastAsia="宋体" w:cs="Times New Roman"/>
          <w:color w:val="auto"/>
          <w:sz w:val="24"/>
          <w:szCs w:val="24"/>
          <w:highlight w:val="none"/>
          <w:lang w:val="en-US" w:eastAsia="zh-CN"/>
        </w:rPr>
        <w:t>图6.2-15  声环境保护目标垂直声级图（黑锻新城小区）</w:t>
      </w:r>
    </w:p>
    <w:p w14:paraId="6FF88967">
      <w:pPr>
        <w:adjustRightInd w:val="0"/>
        <w:snapToGrid w:val="0"/>
        <w:spacing w:line="480" w:lineRule="exact"/>
        <w:ind w:left="0" w:leftChars="0" w:firstLine="0" w:firstLineChars="0"/>
        <w:jc w:val="center"/>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drawing>
          <wp:anchor distT="0" distB="0" distL="114300" distR="114300" simplePos="0" relativeHeight="251731968" behindDoc="0" locked="0" layoutInCell="1" allowOverlap="1">
            <wp:simplePos x="0" y="0"/>
            <wp:positionH relativeFrom="column">
              <wp:posOffset>10795</wp:posOffset>
            </wp:positionH>
            <wp:positionV relativeFrom="paragraph">
              <wp:posOffset>92075</wp:posOffset>
            </wp:positionV>
            <wp:extent cx="5274310" cy="1935480"/>
            <wp:effectExtent l="0" t="0" r="2540" b="7620"/>
            <wp:wrapTopAndBottom/>
            <wp:docPr id="145"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44"/>
                    <pic:cNvPicPr>
                      <a:picLocks noChangeAspect="1"/>
                    </pic:cNvPicPr>
                  </pic:nvPicPr>
                  <pic:blipFill>
                    <a:blip r:embed="rId122"/>
                    <a:stretch>
                      <a:fillRect/>
                    </a:stretch>
                  </pic:blipFill>
                  <pic:spPr>
                    <a:xfrm>
                      <a:off x="0" y="0"/>
                      <a:ext cx="5274310" cy="1935480"/>
                    </a:xfrm>
                    <a:prstGeom prst="rect">
                      <a:avLst/>
                    </a:prstGeom>
                    <a:noFill/>
                    <a:ln>
                      <a:noFill/>
                    </a:ln>
                  </pic:spPr>
                </pic:pic>
              </a:graphicData>
            </a:graphic>
          </wp:anchor>
        </w:drawing>
      </w:r>
      <w:r>
        <w:rPr>
          <w:rFonts w:hint="eastAsia" w:ascii="Times New Roman" w:hAnsi="Times New Roman" w:eastAsia="宋体" w:cs="Times New Roman"/>
          <w:color w:val="auto"/>
          <w:sz w:val="24"/>
          <w:szCs w:val="24"/>
          <w:highlight w:val="none"/>
          <w:lang w:val="en-US" w:eastAsia="zh-CN"/>
        </w:rPr>
        <w:t>图6.2-16  声环境保护目标垂直声级图（原热电厂家属区）</w:t>
      </w:r>
    </w:p>
    <w:p w14:paraId="746658FF">
      <w:pPr>
        <w:adjustRightInd w:val="0"/>
        <w:snapToGrid w:val="0"/>
        <w:spacing w:line="480" w:lineRule="exact"/>
        <w:ind w:firstLine="480" w:firstLineChars="200"/>
        <w:rPr>
          <w:rFonts w:hint="default" w:ascii="Times New Roman" w:hAnsi="Times New Roman" w:eastAsia="宋体" w:cs="Times New Roman"/>
          <w:color w:val="FF0000"/>
          <w:highlight w:val="none"/>
        </w:rPr>
      </w:pPr>
      <w:r>
        <w:rPr>
          <w:rFonts w:hint="default" w:ascii="Times New Roman" w:hAnsi="Times New Roman" w:eastAsia="宋体" w:cs="Times New Roman"/>
          <w:color w:val="FF0000"/>
          <w:sz w:val="24"/>
          <w:szCs w:val="24"/>
          <w:highlight w:val="none"/>
        </w:rPr>
        <w:t>本项目噪声源采取封闭厂房，采取减振、消声、吸声装置降噪，正常工况下，厂界昼夜间噪声预测值满足《工业企业厂界环境噪声排放标准》（GB12348-2008）表1工业企业厂界环境噪声排放限值中</w:t>
      </w:r>
      <w:r>
        <w:rPr>
          <w:rFonts w:hint="eastAsia" w:ascii="Times New Roman" w:hAnsi="Times New Roman" w:eastAsia="宋体" w:cs="Times New Roman"/>
          <w:color w:val="FF0000"/>
          <w:sz w:val="24"/>
          <w:szCs w:val="24"/>
          <w:highlight w:val="none"/>
          <w:lang w:eastAsia="zh-CN"/>
        </w:rPr>
        <w:t>3类</w:t>
      </w:r>
      <w:r>
        <w:rPr>
          <w:rFonts w:hint="default" w:ascii="Times New Roman" w:hAnsi="Times New Roman" w:eastAsia="宋体" w:cs="Times New Roman"/>
          <w:color w:val="FF0000"/>
          <w:sz w:val="24"/>
          <w:szCs w:val="24"/>
          <w:highlight w:val="none"/>
        </w:rPr>
        <w:t>声环境功能区标准</w:t>
      </w:r>
      <w:r>
        <w:rPr>
          <w:rFonts w:hint="eastAsia"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rPr>
        <w:t>声环境</w:t>
      </w:r>
      <w:r>
        <w:rPr>
          <w:rFonts w:hint="eastAsia" w:ascii="Times New Roman" w:hAnsi="Times New Roman" w:eastAsia="宋体" w:cs="Times New Roman"/>
          <w:color w:val="FF0000"/>
          <w:sz w:val="24"/>
          <w:szCs w:val="24"/>
          <w:highlight w:val="none"/>
          <w:lang w:eastAsia="zh-CN"/>
        </w:rPr>
        <w:t>敏感</w:t>
      </w:r>
      <w:r>
        <w:rPr>
          <w:rFonts w:hint="default" w:ascii="Times New Roman" w:hAnsi="Times New Roman" w:eastAsia="宋体" w:cs="Times New Roman"/>
          <w:color w:val="FF0000"/>
          <w:sz w:val="24"/>
          <w:szCs w:val="24"/>
          <w:highlight w:val="none"/>
        </w:rPr>
        <w:t>目标昼夜间噪声预测值</w:t>
      </w:r>
      <w:r>
        <w:rPr>
          <w:rFonts w:hint="eastAsia" w:ascii="Times New Roman" w:hAnsi="Times New Roman" w:eastAsia="宋体" w:cs="Times New Roman"/>
          <w:color w:val="FF0000"/>
          <w:sz w:val="24"/>
          <w:szCs w:val="24"/>
          <w:highlight w:val="none"/>
          <w:lang w:val="en-US" w:eastAsia="zh-CN"/>
        </w:rPr>
        <w:t>均</w:t>
      </w:r>
      <w:r>
        <w:rPr>
          <w:rFonts w:hint="default" w:ascii="Times New Roman" w:hAnsi="Times New Roman" w:eastAsia="宋体" w:cs="Times New Roman"/>
          <w:color w:val="FF0000"/>
          <w:sz w:val="24"/>
          <w:szCs w:val="24"/>
          <w:highlight w:val="none"/>
        </w:rPr>
        <w:t>满足《声环境质量标准》表1环境噪声限值中的</w:t>
      </w:r>
      <w:r>
        <w:rPr>
          <w:rFonts w:hint="eastAsia" w:ascii="Times New Roman" w:hAnsi="Times New Roman" w:eastAsia="宋体" w:cs="Times New Roman"/>
          <w:color w:val="FF0000"/>
          <w:sz w:val="24"/>
          <w:szCs w:val="24"/>
          <w:highlight w:val="none"/>
          <w:lang w:val="en-US" w:eastAsia="zh-CN"/>
        </w:rPr>
        <w:t>2</w:t>
      </w:r>
      <w:r>
        <w:rPr>
          <w:rFonts w:hint="eastAsia" w:ascii="Times New Roman" w:hAnsi="Times New Roman" w:eastAsia="宋体" w:cs="Times New Roman"/>
          <w:color w:val="FF0000"/>
          <w:sz w:val="24"/>
          <w:szCs w:val="24"/>
          <w:highlight w:val="none"/>
          <w:lang w:eastAsia="zh-CN"/>
        </w:rPr>
        <w:t>类</w:t>
      </w:r>
      <w:r>
        <w:rPr>
          <w:rFonts w:hint="default" w:ascii="Times New Roman" w:hAnsi="Times New Roman" w:eastAsia="宋体" w:cs="Times New Roman"/>
          <w:color w:val="FF0000"/>
          <w:sz w:val="24"/>
          <w:szCs w:val="24"/>
          <w:highlight w:val="none"/>
        </w:rPr>
        <w:t>标准</w:t>
      </w:r>
      <w:r>
        <w:rPr>
          <w:rFonts w:hint="eastAsia"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rPr>
        <w:t>项目建设不会改变现有的声环境质量</w:t>
      </w:r>
      <w:r>
        <w:rPr>
          <w:rFonts w:hint="eastAsia"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rPr>
        <w:t>对声环境的影响是可以接受的。从声环境保护角度而言，本工程的建设是可行的。</w:t>
      </w:r>
    </w:p>
    <w:p w14:paraId="7B3F0E0A">
      <w:pPr>
        <w:pStyle w:val="6"/>
        <w:numPr>
          <w:ilvl w:val="2"/>
          <w:numId w:val="3"/>
        </w:numPr>
        <w:bidi w:val="0"/>
        <w:ind w:left="709" w:leftChars="0" w:hanging="709" w:firstLineChars="0"/>
        <w:rPr>
          <w:rFonts w:hint="default" w:ascii="Times New Roman" w:hAnsi="Times New Roman" w:eastAsia="宋体" w:cs="Times New Roman"/>
          <w:color w:val="auto"/>
          <w:highlight w:val="none"/>
        </w:rPr>
      </w:pPr>
      <w:bookmarkStart w:id="451" w:name="_Toc693"/>
      <w:bookmarkStart w:id="452" w:name="_Toc6899"/>
      <w:bookmarkStart w:id="453" w:name="_Toc2820"/>
      <w:r>
        <w:rPr>
          <w:rFonts w:hint="default" w:ascii="Times New Roman" w:hAnsi="Times New Roman" w:eastAsia="宋体" w:cs="Times New Roman"/>
          <w:color w:val="auto"/>
          <w:highlight w:val="none"/>
        </w:rPr>
        <w:t>固体废物影响评价</w:t>
      </w:r>
      <w:bookmarkEnd w:id="451"/>
      <w:bookmarkEnd w:id="452"/>
      <w:bookmarkEnd w:id="453"/>
    </w:p>
    <w:p w14:paraId="3C0AF81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本项目锅炉除灰渣系统产生的锅炉灰渣</w:t>
      </w:r>
      <w:r>
        <w:rPr>
          <w:rFonts w:hint="default" w:ascii="Times New Roman" w:hAnsi="Times New Roman" w:eastAsia="宋体" w:cs="Times New Roman"/>
          <w:color w:val="auto"/>
          <w:sz w:val="24"/>
          <w:szCs w:val="24"/>
          <w:highlight w:val="none"/>
        </w:rPr>
        <w:t>在厂区的</w:t>
      </w:r>
      <w:r>
        <w:rPr>
          <w:rFonts w:hint="eastAsia" w:ascii="Times New Roman" w:hAnsi="Times New Roman" w:eastAsia="宋体" w:cs="Times New Roman"/>
          <w:color w:val="auto"/>
          <w:sz w:val="24"/>
          <w:szCs w:val="24"/>
          <w:highlight w:val="none"/>
          <w:lang w:eastAsia="zh-CN"/>
        </w:rPr>
        <w:t>灰库</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渣库</w:t>
      </w:r>
      <w:r>
        <w:rPr>
          <w:rFonts w:hint="default" w:ascii="Times New Roman" w:hAnsi="Times New Roman" w:eastAsia="宋体" w:cs="Times New Roman"/>
          <w:color w:val="auto"/>
          <w:sz w:val="24"/>
          <w:szCs w:val="24"/>
          <w:highlight w:val="none"/>
        </w:rPr>
        <w:t>分别暂存后</w:t>
      </w:r>
      <w:r>
        <w:rPr>
          <w:rFonts w:hint="default" w:ascii="Times New Roman" w:hAnsi="Times New Roman" w:eastAsia="宋体" w:cs="Times New Roman"/>
          <w:color w:val="auto"/>
          <w:sz w:val="24"/>
          <w:szCs w:val="24"/>
          <w:highlight w:val="none"/>
          <w:lang w:val="en-US" w:eastAsia="zh-CN"/>
        </w:rPr>
        <w:t>，外售综合利用</w:t>
      </w:r>
      <w:r>
        <w:rPr>
          <w:rFonts w:hint="eastAsia" w:ascii="Times New Roman" w:hAnsi="Times New Roman" w:eastAsia="宋体" w:cs="Times New Roman"/>
          <w:color w:val="auto"/>
          <w:sz w:val="24"/>
          <w:szCs w:val="24"/>
          <w:highlight w:val="none"/>
          <w:lang w:val="en-US" w:eastAsia="zh-CN"/>
        </w:rPr>
        <w:t>。目前，企业已与佳木斯北方奥特建材有限公司、佳木斯市丰奇水泥有限公司、佳木斯北方水泥有限公司东风分公司签订锅炉灰渣处置协议。本项目产生飞灰1227.19t/a，炉渣4908.76t/a。本项目产生的飞灰、炉渣量小于表6.2-37中三家公司的原辅材料使用量。本项目建设单位已与佳木斯北方奥特建材有限公司、佳木斯市丰奇水泥有限公司、佳木斯北方水泥有限公司东风分公司签订灰渣综合利用处置协议。本项目产生的飞灰、炉渣可根据企业运行情况外售给上述三家企业。因此本项目产生的飞灰、炉渣外售综合利用可行。</w:t>
      </w:r>
    </w:p>
    <w:p w14:paraId="2644414E">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Times New Roman" w:hAnsi="Times New Roman" w:eastAsia="宋体" w:cs="Times New Roman"/>
          <w:color w:val="FF0000"/>
          <w:sz w:val="24"/>
          <w:szCs w:val="24"/>
          <w:highlight w:val="none"/>
          <w:lang w:val="en-US" w:eastAsia="zh-CN"/>
        </w:rPr>
      </w:pPr>
      <w:r>
        <w:rPr>
          <w:rFonts w:hint="eastAsia" w:ascii="Times New Roman" w:hAnsi="Times New Roman" w:eastAsia="宋体" w:cs="Times New Roman"/>
          <w:color w:val="FF0000"/>
          <w:sz w:val="24"/>
          <w:szCs w:val="24"/>
          <w:highlight w:val="none"/>
          <w:lang w:val="en-US" w:eastAsia="zh-CN"/>
        </w:rPr>
        <w:t>表6.2-37  灰渣处置单位基本信息</w:t>
      </w:r>
    </w:p>
    <w:tbl>
      <w:tblPr>
        <w:tblStyle w:val="38"/>
        <w:tblW w:w="4998"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25"/>
        <w:gridCol w:w="2333"/>
        <w:gridCol w:w="2500"/>
        <w:gridCol w:w="2461"/>
      </w:tblGrid>
      <w:tr w14:paraId="1FDC44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8" w:type="pct"/>
            <w:tcBorders>
              <w:tl2br w:val="nil"/>
              <w:tr2bl w:val="nil"/>
            </w:tcBorders>
            <w:vAlign w:val="center"/>
          </w:tcPr>
          <w:p w14:paraId="6474FB83">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单位名称</w:t>
            </w:r>
          </w:p>
        </w:tc>
        <w:tc>
          <w:tcPr>
            <w:tcW w:w="1369" w:type="pct"/>
            <w:tcBorders>
              <w:tl2br w:val="nil"/>
              <w:tr2bl w:val="nil"/>
            </w:tcBorders>
            <w:vAlign w:val="center"/>
          </w:tcPr>
          <w:p w14:paraId="415A4AC8">
            <w:pPr>
              <w:spacing w:line="240" w:lineRule="auto"/>
              <w:ind w:firstLine="0" w:firstLineChars="0"/>
              <w:jc w:val="center"/>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lang w:val="en-US" w:eastAsia="zh-CN"/>
              </w:rPr>
              <w:t>佳木斯北方奥特建材有限公司</w:t>
            </w:r>
          </w:p>
        </w:tc>
        <w:tc>
          <w:tcPr>
            <w:tcW w:w="1467" w:type="pct"/>
            <w:tcBorders>
              <w:tl2br w:val="nil"/>
              <w:tr2bl w:val="nil"/>
            </w:tcBorders>
            <w:vAlign w:val="center"/>
          </w:tcPr>
          <w:p w14:paraId="72D43C33">
            <w:pPr>
              <w:spacing w:line="240" w:lineRule="auto"/>
              <w:ind w:firstLine="0" w:firstLineChars="0"/>
              <w:jc w:val="center"/>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佳木斯市丰奇水泥有限公司</w:t>
            </w:r>
          </w:p>
        </w:tc>
        <w:tc>
          <w:tcPr>
            <w:tcW w:w="1444" w:type="pct"/>
            <w:tcBorders>
              <w:tl2br w:val="nil"/>
              <w:tr2bl w:val="nil"/>
            </w:tcBorders>
            <w:vAlign w:val="center"/>
          </w:tcPr>
          <w:p w14:paraId="580FA80C">
            <w:pPr>
              <w:spacing w:line="240" w:lineRule="auto"/>
              <w:ind w:firstLine="0" w:firstLineChars="0"/>
              <w:jc w:val="center"/>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佳木斯北方水泥有限公司东风分公司</w:t>
            </w:r>
          </w:p>
        </w:tc>
      </w:tr>
      <w:tr w14:paraId="666DA85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8" w:type="pct"/>
            <w:tcBorders>
              <w:tl2br w:val="nil"/>
              <w:tr2bl w:val="nil"/>
            </w:tcBorders>
            <w:vAlign w:val="center"/>
          </w:tcPr>
          <w:p w14:paraId="41A35B5B">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环评批复</w:t>
            </w:r>
          </w:p>
        </w:tc>
        <w:tc>
          <w:tcPr>
            <w:tcW w:w="1369" w:type="pct"/>
            <w:tcBorders>
              <w:tl2br w:val="nil"/>
              <w:tr2bl w:val="nil"/>
            </w:tcBorders>
            <w:vAlign w:val="center"/>
          </w:tcPr>
          <w:p w14:paraId="210265F1">
            <w:pPr>
              <w:spacing w:line="240" w:lineRule="auto"/>
              <w:ind w:firstLine="0" w:firstLineChars="0"/>
              <w:jc w:val="center"/>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lang w:val="en-US" w:eastAsia="zh-CN"/>
              </w:rPr>
              <w:t>佳环建审〔2016〕88号</w:t>
            </w:r>
          </w:p>
        </w:tc>
        <w:tc>
          <w:tcPr>
            <w:tcW w:w="1467" w:type="pct"/>
            <w:tcBorders>
              <w:tl2br w:val="nil"/>
              <w:tr2bl w:val="nil"/>
            </w:tcBorders>
            <w:vAlign w:val="center"/>
          </w:tcPr>
          <w:p w14:paraId="5E00D410">
            <w:pPr>
              <w:spacing w:line="240" w:lineRule="auto"/>
              <w:ind w:firstLine="0" w:firstLineChars="0"/>
              <w:jc w:val="center"/>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rPr>
              <w:t>黑环审</w:t>
            </w:r>
            <w:r>
              <w:rPr>
                <w:rFonts w:hint="default" w:ascii="Times New Roman" w:hAnsi="Times New Roman" w:eastAsia="宋体" w:cs="Times New Roman"/>
                <w:color w:val="FF0000"/>
                <w:sz w:val="21"/>
                <w:szCs w:val="21"/>
                <w:highlight w:val="none"/>
                <w:lang w:val="en-US" w:eastAsia="zh-CN"/>
              </w:rPr>
              <w:t>〔</w:t>
            </w:r>
            <w:r>
              <w:rPr>
                <w:rFonts w:hint="default" w:ascii="Times New Roman" w:hAnsi="Times New Roman" w:eastAsia="宋体" w:cs="Times New Roman"/>
                <w:color w:val="FF0000"/>
                <w:sz w:val="21"/>
                <w:szCs w:val="21"/>
                <w:highlight w:val="none"/>
              </w:rPr>
              <w:t>2014</w:t>
            </w:r>
            <w:r>
              <w:rPr>
                <w:rFonts w:hint="default" w:ascii="Times New Roman" w:hAnsi="Times New Roman" w:eastAsia="宋体" w:cs="Times New Roman"/>
                <w:color w:val="FF0000"/>
                <w:sz w:val="21"/>
                <w:szCs w:val="21"/>
                <w:highlight w:val="none"/>
                <w:lang w:val="en-US" w:eastAsia="zh-CN"/>
              </w:rPr>
              <w:t>〕</w:t>
            </w:r>
            <w:r>
              <w:rPr>
                <w:rFonts w:hint="default" w:ascii="Times New Roman" w:hAnsi="Times New Roman" w:eastAsia="宋体" w:cs="Times New Roman"/>
                <w:color w:val="FF0000"/>
                <w:sz w:val="21"/>
                <w:szCs w:val="21"/>
                <w:highlight w:val="none"/>
              </w:rPr>
              <w:t>131号</w:t>
            </w:r>
          </w:p>
        </w:tc>
        <w:tc>
          <w:tcPr>
            <w:tcW w:w="1444" w:type="pct"/>
            <w:tcBorders>
              <w:tl2br w:val="nil"/>
              <w:tr2bl w:val="nil"/>
            </w:tcBorders>
            <w:vAlign w:val="center"/>
          </w:tcPr>
          <w:p w14:paraId="101E07AE">
            <w:pPr>
              <w:spacing w:line="240" w:lineRule="auto"/>
              <w:ind w:firstLine="0" w:firstLineChars="0"/>
              <w:jc w:val="center"/>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佳环建审</w:t>
            </w:r>
            <w:r>
              <w:rPr>
                <w:rFonts w:hint="default"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rPr>
              <w:t>20</w:t>
            </w:r>
            <w:r>
              <w:rPr>
                <w:rFonts w:hint="default" w:ascii="Times New Roman" w:hAnsi="Times New Roman" w:eastAsia="宋体" w:cs="Times New Roman"/>
                <w:color w:val="FF0000"/>
                <w:sz w:val="21"/>
                <w:szCs w:val="21"/>
                <w:highlight w:val="none"/>
                <w:vertAlign w:val="baseline"/>
                <w:lang w:val="en-US" w:eastAsia="zh-CN"/>
              </w:rPr>
              <w:t>08〕047</w:t>
            </w:r>
            <w:r>
              <w:rPr>
                <w:rFonts w:hint="default" w:ascii="Times New Roman" w:hAnsi="Times New Roman" w:eastAsia="宋体" w:cs="Times New Roman"/>
                <w:color w:val="FF0000"/>
                <w:sz w:val="21"/>
                <w:szCs w:val="21"/>
                <w:highlight w:val="none"/>
                <w:vertAlign w:val="baseline"/>
              </w:rPr>
              <w:t>号</w:t>
            </w:r>
          </w:p>
        </w:tc>
      </w:tr>
      <w:tr w14:paraId="0E28064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8" w:type="pct"/>
            <w:tcBorders>
              <w:tl2br w:val="nil"/>
              <w:tr2bl w:val="nil"/>
            </w:tcBorders>
            <w:vAlign w:val="center"/>
          </w:tcPr>
          <w:p w14:paraId="640A166D">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竣工环境保护验收</w:t>
            </w:r>
          </w:p>
        </w:tc>
        <w:tc>
          <w:tcPr>
            <w:tcW w:w="1369" w:type="pct"/>
            <w:tcBorders>
              <w:tl2br w:val="nil"/>
              <w:tr2bl w:val="nil"/>
            </w:tcBorders>
            <w:vAlign w:val="center"/>
          </w:tcPr>
          <w:p w14:paraId="3E8B1AF8">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rPr>
            </w:pPr>
            <w:r>
              <w:rPr>
                <w:rFonts w:hint="default" w:ascii="Times New Roman" w:hAnsi="Times New Roman" w:eastAsia="宋体" w:cs="Times New Roman"/>
                <w:color w:val="FF0000"/>
                <w:sz w:val="21"/>
                <w:szCs w:val="21"/>
                <w:highlight w:val="none"/>
                <w:vertAlign w:val="baseline"/>
                <w:lang w:val="en-US" w:eastAsia="zh-CN"/>
              </w:rPr>
              <w:t>2023年1月自主验收</w:t>
            </w:r>
          </w:p>
        </w:tc>
        <w:tc>
          <w:tcPr>
            <w:tcW w:w="1467" w:type="pct"/>
            <w:tcBorders>
              <w:tl2br w:val="nil"/>
              <w:tr2bl w:val="nil"/>
            </w:tcBorders>
            <w:vAlign w:val="center"/>
          </w:tcPr>
          <w:p w14:paraId="2776ADE4">
            <w:pPr>
              <w:spacing w:line="240" w:lineRule="auto"/>
              <w:ind w:firstLine="0" w:firstLineChars="0"/>
              <w:jc w:val="center"/>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佳环专验</w:t>
            </w:r>
            <w:r>
              <w:rPr>
                <w:rFonts w:hint="default"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rPr>
              <w:t>2016</w:t>
            </w:r>
            <w:r>
              <w:rPr>
                <w:rFonts w:hint="default"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rPr>
              <w:t>18号</w:t>
            </w:r>
          </w:p>
        </w:tc>
        <w:tc>
          <w:tcPr>
            <w:tcW w:w="1444" w:type="pct"/>
            <w:tcBorders>
              <w:tl2br w:val="nil"/>
              <w:tr2bl w:val="nil"/>
            </w:tcBorders>
            <w:vAlign w:val="center"/>
          </w:tcPr>
          <w:p w14:paraId="79A7B5FE">
            <w:pPr>
              <w:spacing w:line="240" w:lineRule="auto"/>
              <w:ind w:firstLine="0" w:firstLineChars="0"/>
              <w:jc w:val="center"/>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佳环专验</w:t>
            </w:r>
            <w:r>
              <w:rPr>
                <w:rFonts w:hint="default"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rPr>
              <w:t>201</w:t>
            </w:r>
            <w:r>
              <w:rPr>
                <w:rFonts w:hint="default" w:ascii="Times New Roman" w:hAnsi="Times New Roman" w:eastAsia="宋体" w:cs="Times New Roman"/>
                <w:color w:val="FF0000"/>
                <w:sz w:val="21"/>
                <w:szCs w:val="21"/>
                <w:highlight w:val="none"/>
                <w:vertAlign w:val="baseline"/>
                <w:lang w:val="en-US" w:eastAsia="zh-CN"/>
              </w:rPr>
              <w:t>0〕29</w:t>
            </w:r>
            <w:r>
              <w:rPr>
                <w:rFonts w:hint="default" w:ascii="Times New Roman" w:hAnsi="Times New Roman" w:eastAsia="宋体" w:cs="Times New Roman"/>
                <w:color w:val="FF0000"/>
                <w:sz w:val="21"/>
                <w:szCs w:val="21"/>
                <w:highlight w:val="none"/>
                <w:vertAlign w:val="baseline"/>
              </w:rPr>
              <w:t>号</w:t>
            </w:r>
          </w:p>
        </w:tc>
      </w:tr>
      <w:tr w14:paraId="1478D6C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8" w:type="pct"/>
            <w:tcBorders>
              <w:tl2br w:val="nil"/>
              <w:tr2bl w:val="nil"/>
            </w:tcBorders>
            <w:vAlign w:val="center"/>
          </w:tcPr>
          <w:p w14:paraId="6E8B1B69">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排污许可</w:t>
            </w:r>
          </w:p>
        </w:tc>
        <w:tc>
          <w:tcPr>
            <w:tcW w:w="1369" w:type="pct"/>
            <w:tcBorders>
              <w:tl2br w:val="nil"/>
              <w:tr2bl w:val="nil"/>
            </w:tcBorders>
            <w:vAlign w:val="center"/>
          </w:tcPr>
          <w:p w14:paraId="6417EE9A">
            <w:pPr>
              <w:spacing w:line="240" w:lineRule="auto"/>
              <w:ind w:firstLine="0" w:firstLineChars="0"/>
              <w:jc w:val="center"/>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lang w:val="en-US" w:eastAsia="zh-CN"/>
              </w:rPr>
              <w:t>912308265927333973001P</w:t>
            </w:r>
          </w:p>
        </w:tc>
        <w:tc>
          <w:tcPr>
            <w:tcW w:w="1467" w:type="pct"/>
            <w:tcBorders>
              <w:tl2br w:val="nil"/>
              <w:tr2bl w:val="nil"/>
            </w:tcBorders>
            <w:vAlign w:val="center"/>
          </w:tcPr>
          <w:p w14:paraId="056EB065">
            <w:pPr>
              <w:spacing w:line="240" w:lineRule="auto"/>
              <w:ind w:firstLine="0" w:firstLineChars="0"/>
              <w:jc w:val="center"/>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912308000617548261001P</w:t>
            </w:r>
          </w:p>
        </w:tc>
        <w:tc>
          <w:tcPr>
            <w:tcW w:w="1444" w:type="pct"/>
            <w:tcBorders>
              <w:tl2br w:val="nil"/>
              <w:tr2bl w:val="nil"/>
            </w:tcBorders>
            <w:vAlign w:val="center"/>
          </w:tcPr>
          <w:p w14:paraId="79709B14">
            <w:pPr>
              <w:spacing w:line="240" w:lineRule="auto"/>
              <w:ind w:firstLine="0" w:firstLineChars="0"/>
              <w:jc w:val="center"/>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912308006926257722001P</w:t>
            </w:r>
          </w:p>
        </w:tc>
      </w:tr>
      <w:tr w14:paraId="1A6594A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8" w:type="pct"/>
            <w:tcBorders>
              <w:tl2br w:val="nil"/>
              <w:tr2bl w:val="nil"/>
            </w:tcBorders>
            <w:vAlign w:val="center"/>
          </w:tcPr>
          <w:p w14:paraId="5FDDDADF">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产品产能</w:t>
            </w:r>
          </w:p>
        </w:tc>
        <w:tc>
          <w:tcPr>
            <w:tcW w:w="1369" w:type="pct"/>
            <w:tcBorders>
              <w:tl2br w:val="nil"/>
              <w:tr2bl w:val="nil"/>
            </w:tcBorders>
            <w:vAlign w:val="center"/>
          </w:tcPr>
          <w:p w14:paraId="44FE1C3A">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水泥60万t/a</w:t>
            </w:r>
          </w:p>
        </w:tc>
        <w:tc>
          <w:tcPr>
            <w:tcW w:w="1467" w:type="pct"/>
            <w:tcBorders>
              <w:tl2br w:val="nil"/>
              <w:tr2bl w:val="nil"/>
            </w:tcBorders>
            <w:vAlign w:val="center"/>
          </w:tcPr>
          <w:p w14:paraId="7E692D53">
            <w:pPr>
              <w:spacing w:line="240" w:lineRule="auto"/>
              <w:ind w:firstLine="0" w:firstLineChars="0"/>
              <w:jc w:val="center"/>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lang w:val="en-US" w:eastAsia="zh-CN"/>
              </w:rPr>
              <w:t>水泥60万t/a</w:t>
            </w:r>
          </w:p>
        </w:tc>
        <w:tc>
          <w:tcPr>
            <w:tcW w:w="1444" w:type="pct"/>
            <w:tcBorders>
              <w:tl2br w:val="nil"/>
              <w:tr2bl w:val="nil"/>
            </w:tcBorders>
            <w:vAlign w:val="center"/>
          </w:tcPr>
          <w:p w14:paraId="6120B938">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水泥100万t/a</w:t>
            </w:r>
          </w:p>
        </w:tc>
      </w:tr>
      <w:tr w14:paraId="660D988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8" w:type="pct"/>
            <w:tcBorders>
              <w:tl2br w:val="nil"/>
              <w:tr2bl w:val="nil"/>
            </w:tcBorders>
            <w:vAlign w:val="center"/>
          </w:tcPr>
          <w:p w14:paraId="48E3BA5E">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原材料消耗</w:t>
            </w:r>
          </w:p>
        </w:tc>
        <w:tc>
          <w:tcPr>
            <w:tcW w:w="1369" w:type="pct"/>
            <w:tcBorders>
              <w:tl2br w:val="nil"/>
              <w:tr2bl w:val="nil"/>
            </w:tcBorders>
            <w:vAlign w:val="center"/>
          </w:tcPr>
          <w:p w14:paraId="0B5EFE5B">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粉煤灰7.5万t/a</w:t>
            </w:r>
          </w:p>
          <w:p w14:paraId="28DCCFD8">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脱硫石膏2.7万t/a</w:t>
            </w:r>
          </w:p>
          <w:p w14:paraId="623A3FC2">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炉渣4万t/a</w:t>
            </w:r>
          </w:p>
          <w:p w14:paraId="7EF206FE">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石灰石7.2万t/a</w:t>
            </w:r>
          </w:p>
          <w:p w14:paraId="0E6D9EE1">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熟料45万t/a</w:t>
            </w:r>
          </w:p>
        </w:tc>
        <w:tc>
          <w:tcPr>
            <w:tcW w:w="1467" w:type="pct"/>
            <w:tcBorders>
              <w:tl2br w:val="nil"/>
              <w:tr2bl w:val="nil"/>
            </w:tcBorders>
            <w:vAlign w:val="center"/>
          </w:tcPr>
          <w:p w14:paraId="30A03CFD">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粉煤灰9.6万t/a</w:t>
            </w:r>
          </w:p>
          <w:p w14:paraId="0869E4CA">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脱硫石膏2.4万t/a</w:t>
            </w:r>
          </w:p>
          <w:p w14:paraId="50482C18">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炉渣12万t/a</w:t>
            </w:r>
          </w:p>
          <w:p w14:paraId="48930704">
            <w:pPr>
              <w:spacing w:line="240" w:lineRule="auto"/>
              <w:ind w:firstLine="0" w:firstLineChars="0"/>
              <w:jc w:val="center"/>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lang w:val="en-US" w:eastAsia="zh-CN"/>
              </w:rPr>
              <w:t>熟料36万t/a</w:t>
            </w:r>
          </w:p>
        </w:tc>
        <w:tc>
          <w:tcPr>
            <w:tcW w:w="1444" w:type="pct"/>
            <w:tcBorders>
              <w:tl2br w:val="nil"/>
              <w:tr2bl w:val="nil"/>
            </w:tcBorders>
            <w:vAlign w:val="center"/>
          </w:tcPr>
          <w:p w14:paraId="378C255C">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粉煤灰9.9万t/a</w:t>
            </w:r>
          </w:p>
          <w:p w14:paraId="37291353">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石膏4.2万t/a</w:t>
            </w:r>
          </w:p>
          <w:p w14:paraId="654F6E76">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炉渣6.2万t/a</w:t>
            </w:r>
          </w:p>
          <w:p w14:paraId="7C8EB0F5">
            <w:pPr>
              <w:spacing w:line="240" w:lineRule="auto"/>
              <w:ind w:firstLine="0" w:firstLineChars="0"/>
              <w:jc w:val="center"/>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lang w:val="en-US" w:eastAsia="zh-CN"/>
              </w:rPr>
              <w:t>熟料79.万t/a</w:t>
            </w:r>
          </w:p>
        </w:tc>
      </w:tr>
    </w:tbl>
    <w:p w14:paraId="06770DC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sz w:val="24"/>
          <w:szCs w:val="24"/>
          <w:highlight w:val="none"/>
          <w:lang w:val="en-US" w:eastAsia="zh-CN"/>
        </w:rPr>
        <w:t>废布袋由厂家定期更换回收</w:t>
      </w:r>
      <w:r>
        <w:rPr>
          <w:rFonts w:hint="eastAsia" w:ascii="Times New Roman" w:hAnsi="Times New Roman" w:eastAsia="宋体" w:cs="Times New Roman"/>
          <w:color w:val="auto"/>
          <w:sz w:val="24"/>
          <w:szCs w:val="24"/>
          <w:highlight w:val="none"/>
          <w:lang w:val="en-US" w:eastAsia="zh-CN"/>
        </w:rPr>
        <w:t>；碎煤机除尘器粉尘作为燃料入炉燃烧</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灰库</w:t>
      </w:r>
      <w:r>
        <w:rPr>
          <w:rFonts w:hint="default" w:ascii="Times New Roman" w:hAnsi="Times New Roman" w:eastAsia="宋体" w:cs="Times New Roman"/>
          <w:color w:val="auto"/>
          <w:sz w:val="24"/>
          <w:szCs w:val="24"/>
          <w:highlight w:val="none"/>
          <w:lang w:val="en-US" w:eastAsia="zh-CN"/>
        </w:rPr>
        <w:t>除尘器粉尘</w:t>
      </w:r>
      <w:r>
        <w:rPr>
          <w:rFonts w:hint="eastAsia" w:ascii="Times New Roman" w:hAnsi="Times New Roman" w:eastAsia="宋体" w:cs="Times New Roman"/>
          <w:color w:val="auto"/>
          <w:sz w:val="24"/>
          <w:szCs w:val="24"/>
          <w:highlight w:val="none"/>
          <w:lang w:val="en-US" w:eastAsia="zh-CN"/>
        </w:rPr>
        <w:t>灰库</w:t>
      </w:r>
      <w:r>
        <w:rPr>
          <w:rFonts w:hint="default" w:ascii="Times New Roman" w:hAnsi="Times New Roman" w:eastAsia="宋体" w:cs="Times New Roman"/>
          <w:color w:val="auto"/>
          <w:sz w:val="24"/>
          <w:szCs w:val="24"/>
          <w:highlight w:val="none"/>
          <w:lang w:val="en-US" w:eastAsia="zh-CN"/>
        </w:rPr>
        <w:t>内暂存，外售佳木斯北方奥特建材有限公司综合利用</w:t>
      </w:r>
      <w:r>
        <w:rPr>
          <w:rFonts w:hint="eastAsia" w:ascii="Times New Roman" w:hAnsi="Times New Roman" w:eastAsia="宋体" w:cs="Times New Roman"/>
          <w:color w:val="auto"/>
          <w:sz w:val="24"/>
          <w:szCs w:val="24"/>
          <w:highlight w:val="none"/>
          <w:lang w:val="en-US" w:eastAsia="zh-CN"/>
        </w:rPr>
        <w:t>；生石灰粉仓除尘器收尘回用于脱硫工序</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地下水</w:t>
      </w:r>
      <w:r>
        <w:rPr>
          <w:rFonts w:hint="default" w:ascii="Times New Roman" w:hAnsi="Times New Roman" w:eastAsia="宋体" w:cs="Times New Roman"/>
          <w:color w:val="auto"/>
          <w:sz w:val="24"/>
          <w:szCs w:val="24"/>
          <w:highlight w:val="none"/>
          <w:lang w:val="en-US" w:eastAsia="zh-CN"/>
        </w:rPr>
        <w:t>池</w:t>
      </w:r>
      <w:r>
        <w:rPr>
          <w:rFonts w:hint="eastAsia" w:ascii="Times New Roman" w:hAnsi="Times New Roman" w:eastAsia="宋体" w:cs="Times New Roman"/>
          <w:color w:val="auto"/>
          <w:sz w:val="24"/>
          <w:szCs w:val="24"/>
          <w:highlight w:val="none"/>
          <w:lang w:val="en-US" w:eastAsia="zh-CN"/>
        </w:rPr>
        <w:t>、初期雨水收集池</w:t>
      </w:r>
      <w:r>
        <w:rPr>
          <w:rFonts w:hint="default" w:ascii="Times New Roman" w:hAnsi="Times New Roman" w:eastAsia="宋体" w:cs="Times New Roman"/>
          <w:color w:val="auto"/>
          <w:sz w:val="24"/>
          <w:szCs w:val="24"/>
          <w:highlight w:val="none"/>
          <w:lang w:val="en-US" w:eastAsia="zh-CN"/>
        </w:rPr>
        <w:t>沉渣作为燃料入炉燃烧；不新增</w:t>
      </w:r>
      <w:r>
        <w:rPr>
          <w:rFonts w:hint="default" w:ascii="Times New Roman" w:hAnsi="Times New Roman" w:eastAsia="宋体" w:cs="Times New Roman"/>
          <w:color w:val="auto"/>
          <w:sz w:val="24"/>
          <w:szCs w:val="24"/>
          <w:highlight w:val="none"/>
          <w:lang w:eastAsia="zh-CN"/>
        </w:rPr>
        <w:t>工作人员，</w:t>
      </w:r>
      <w:r>
        <w:rPr>
          <w:rFonts w:hint="default" w:ascii="Times New Roman" w:hAnsi="Times New Roman" w:eastAsia="宋体" w:cs="Times New Roman"/>
          <w:color w:val="auto"/>
          <w:sz w:val="24"/>
          <w:szCs w:val="24"/>
          <w:highlight w:val="none"/>
          <w:lang w:val="en-US" w:eastAsia="zh-CN"/>
        </w:rPr>
        <w:t>因此不新增</w:t>
      </w:r>
      <w:r>
        <w:rPr>
          <w:rFonts w:hint="default" w:ascii="Times New Roman" w:hAnsi="Times New Roman" w:eastAsia="宋体" w:cs="Times New Roman"/>
          <w:color w:val="auto"/>
          <w:kern w:val="0"/>
          <w:sz w:val="24"/>
          <w:szCs w:val="24"/>
          <w:highlight w:val="none"/>
        </w:rPr>
        <w:t>生活垃圾。</w:t>
      </w:r>
    </w:p>
    <w:p w14:paraId="2892FC14">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FF0000"/>
          <w:spacing w:val="0"/>
          <w:kern w:val="0"/>
          <w:sz w:val="24"/>
          <w:szCs w:val="24"/>
          <w:highlight w:val="none"/>
        </w:rPr>
      </w:pPr>
      <w:r>
        <w:rPr>
          <w:rFonts w:hint="default" w:ascii="Times New Roman" w:hAnsi="Times New Roman" w:eastAsia="宋体" w:cs="Times New Roman"/>
          <w:color w:val="auto"/>
          <w:spacing w:val="0"/>
          <w:kern w:val="0"/>
          <w:sz w:val="24"/>
          <w:szCs w:val="24"/>
          <w:highlight w:val="none"/>
        </w:rPr>
        <w:t>根据《国家危险废物名录</w:t>
      </w:r>
      <w:r>
        <w:rPr>
          <w:rFonts w:hint="default" w:ascii="Times New Roman" w:hAnsi="Times New Roman" w:eastAsia="宋体" w:cs="Times New Roman"/>
          <w:color w:val="auto"/>
          <w:spacing w:val="0"/>
          <w:kern w:val="0"/>
          <w:sz w:val="24"/>
          <w:szCs w:val="24"/>
          <w:highlight w:val="none"/>
          <w:lang w:eastAsia="zh-CN"/>
        </w:rPr>
        <w:t>（</w:t>
      </w:r>
      <w:r>
        <w:rPr>
          <w:rFonts w:hint="default" w:ascii="Times New Roman" w:hAnsi="Times New Roman" w:eastAsia="宋体" w:cs="Times New Roman"/>
          <w:color w:val="auto"/>
          <w:spacing w:val="0"/>
          <w:kern w:val="0"/>
          <w:sz w:val="24"/>
          <w:szCs w:val="24"/>
          <w:highlight w:val="none"/>
          <w:lang w:val="en-US" w:eastAsia="zh-CN"/>
        </w:rPr>
        <w:t>2021年版</w:t>
      </w:r>
      <w:r>
        <w:rPr>
          <w:rFonts w:hint="default" w:ascii="Times New Roman" w:hAnsi="Times New Roman" w:eastAsia="宋体" w:cs="Times New Roman"/>
          <w:color w:val="auto"/>
          <w:spacing w:val="0"/>
          <w:kern w:val="0"/>
          <w:sz w:val="24"/>
          <w:szCs w:val="24"/>
          <w:highlight w:val="none"/>
          <w:lang w:eastAsia="zh-CN"/>
        </w:rPr>
        <w:t>）</w:t>
      </w:r>
      <w:r>
        <w:rPr>
          <w:rFonts w:hint="default" w:ascii="Times New Roman" w:hAnsi="Times New Roman" w:eastAsia="宋体" w:cs="Times New Roman"/>
          <w:color w:val="auto"/>
          <w:spacing w:val="0"/>
          <w:kern w:val="0"/>
          <w:sz w:val="24"/>
          <w:szCs w:val="24"/>
          <w:highlight w:val="none"/>
        </w:rPr>
        <w:t>》，本项目</w:t>
      </w:r>
      <w:r>
        <w:rPr>
          <w:rFonts w:hint="default" w:ascii="Times New Roman" w:hAnsi="Times New Roman" w:eastAsia="宋体" w:cs="Times New Roman"/>
          <w:color w:val="auto"/>
          <w:spacing w:val="0"/>
          <w:kern w:val="0"/>
          <w:sz w:val="24"/>
          <w:szCs w:val="24"/>
          <w:highlight w:val="none"/>
          <w:lang w:eastAsia="zh-CN"/>
        </w:rPr>
        <w:t>机械维修及拆解过程中产生</w:t>
      </w:r>
      <w:r>
        <w:rPr>
          <w:rFonts w:hint="default" w:ascii="Times New Roman" w:hAnsi="Times New Roman" w:eastAsia="宋体" w:cs="Times New Roman"/>
          <w:color w:val="auto"/>
          <w:spacing w:val="0"/>
          <w:kern w:val="0"/>
          <w:sz w:val="24"/>
          <w:szCs w:val="24"/>
          <w:highlight w:val="none"/>
          <w:lang w:val="en-US" w:eastAsia="zh-CN"/>
        </w:rPr>
        <w:t>的</w:t>
      </w:r>
      <w:r>
        <w:rPr>
          <w:rFonts w:hint="default" w:ascii="Times New Roman" w:hAnsi="Times New Roman" w:eastAsia="宋体" w:cs="Times New Roman"/>
          <w:color w:val="auto"/>
          <w:spacing w:val="0"/>
          <w:kern w:val="0"/>
          <w:sz w:val="24"/>
          <w:szCs w:val="24"/>
          <w:highlight w:val="none"/>
          <w:lang w:eastAsia="zh-CN"/>
        </w:rPr>
        <w:t>废矿物油</w:t>
      </w:r>
      <w:r>
        <w:rPr>
          <w:rFonts w:hint="default" w:ascii="Times New Roman" w:hAnsi="Times New Roman" w:eastAsia="宋体" w:cs="Times New Roman"/>
          <w:color w:val="auto"/>
          <w:spacing w:val="0"/>
          <w:kern w:val="0"/>
          <w:sz w:val="24"/>
          <w:szCs w:val="24"/>
          <w:highlight w:val="none"/>
        </w:rPr>
        <w:t>属于危险废物（HW08废矿物油与含矿物油废物中</w:t>
      </w:r>
      <w:r>
        <w:rPr>
          <w:rFonts w:hint="default" w:ascii="Times New Roman" w:hAnsi="Times New Roman" w:eastAsia="宋体" w:cs="Times New Roman"/>
          <w:color w:val="auto"/>
          <w:spacing w:val="0"/>
          <w:kern w:val="0"/>
          <w:sz w:val="24"/>
          <w:szCs w:val="24"/>
          <w:highlight w:val="none"/>
          <w:lang w:val="en-US" w:eastAsia="zh-CN"/>
        </w:rPr>
        <w:t>非特定行业</w:t>
      </w:r>
      <w:r>
        <w:rPr>
          <w:rFonts w:hint="default" w:ascii="Times New Roman" w:hAnsi="Times New Roman" w:eastAsia="宋体" w:cs="Times New Roman"/>
          <w:color w:val="auto"/>
          <w:spacing w:val="0"/>
          <w:kern w:val="0"/>
          <w:sz w:val="24"/>
          <w:szCs w:val="24"/>
          <w:highlight w:val="none"/>
        </w:rPr>
        <w:t>900-</w:t>
      </w:r>
      <w:r>
        <w:rPr>
          <w:rFonts w:hint="eastAsia" w:ascii="Times New Roman" w:hAnsi="Times New Roman" w:eastAsia="宋体" w:cs="Times New Roman"/>
          <w:color w:val="auto"/>
          <w:spacing w:val="0"/>
          <w:kern w:val="0"/>
          <w:sz w:val="24"/>
          <w:szCs w:val="24"/>
          <w:highlight w:val="none"/>
          <w:lang w:val="en-US" w:eastAsia="zh-CN"/>
        </w:rPr>
        <w:t>214</w:t>
      </w:r>
      <w:r>
        <w:rPr>
          <w:rFonts w:hint="default" w:ascii="Times New Roman" w:hAnsi="Times New Roman" w:eastAsia="宋体" w:cs="Times New Roman"/>
          <w:color w:val="auto"/>
          <w:spacing w:val="0"/>
          <w:kern w:val="0"/>
          <w:sz w:val="24"/>
          <w:szCs w:val="24"/>
          <w:highlight w:val="none"/>
        </w:rPr>
        <w:t>-08</w:t>
      </w:r>
      <w:r>
        <w:rPr>
          <w:rFonts w:hint="default" w:ascii="Times New Roman" w:hAnsi="Times New Roman" w:eastAsia="宋体" w:cs="Times New Roman"/>
          <w:color w:val="auto"/>
          <w:spacing w:val="0"/>
          <w:kern w:val="0"/>
          <w:sz w:val="24"/>
          <w:szCs w:val="24"/>
          <w:highlight w:val="none"/>
          <w:lang w:val="en-US" w:eastAsia="zh-CN"/>
        </w:rPr>
        <w:t>车辆、轮船及其它机械维修过程中产生的废发动机油、制动器油、自动变速器油、齿轮油等废润滑油</w:t>
      </w:r>
      <w:r>
        <w:rPr>
          <w:rFonts w:hint="default" w:ascii="Times New Roman" w:hAnsi="Times New Roman" w:eastAsia="宋体" w:cs="Times New Roman"/>
          <w:color w:val="auto"/>
          <w:spacing w:val="0"/>
          <w:kern w:val="0"/>
          <w:sz w:val="24"/>
          <w:szCs w:val="24"/>
          <w:highlight w:val="none"/>
        </w:rPr>
        <w:t>）</w:t>
      </w:r>
      <w:r>
        <w:rPr>
          <w:rFonts w:hint="default" w:ascii="Times New Roman" w:hAnsi="Times New Roman" w:eastAsia="宋体" w:cs="Times New Roman"/>
          <w:color w:val="FF0000"/>
          <w:kern w:val="0"/>
          <w:sz w:val="24"/>
          <w:szCs w:val="24"/>
          <w:highlight w:val="none"/>
          <w:lang w:eastAsia="zh-CN"/>
        </w:rPr>
        <w:t>。</w:t>
      </w:r>
    </w:p>
    <w:p w14:paraId="375C9CB9">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kern w:val="0"/>
          <w:sz w:val="24"/>
          <w:szCs w:val="24"/>
          <w:highlight w:val="none"/>
          <w:lang w:eastAsia="zh-CN"/>
        </w:rPr>
        <w:t>根据《建设项目危险废物环境影响评价指南》要求，按照《危险废物贮存污染控制标准》（</w:t>
      </w:r>
      <w:r>
        <w:rPr>
          <w:rFonts w:hint="default" w:ascii="Times New Roman" w:hAnsi="Times New Roman" w:eastAsia="宋体" w:cs="Times New Roman"/>
          <w:color w:val="auto"/>
          <w:kern w:val="0"/>
          <w:sz w:val="24"/>
          <w:szCs w:val="24"/>
          <w:highlight w:val="none"/>
          <w:lang w:val="en-US" w:eastAsia="zh-CN"/>
        </w:rPr>
        <w:t>GB18597-2023</w:t>
      </w:r>
      <w:r>
        <w:rPr>
          <w:rFonts w:hint="default" w:ascii="Times New Roman" w:hAnsi="Times New Roman" w:eastAsia="宋体" w:cs="Times New Roman"/>
          <w:color w:val="auto"/>
          <w:kern w:val="0"/>
          <w:sz w:val="24"/>
          <w:szCs w:val="24"/>
          <w:highlight w:val="none"/>
          <w:lang w:eastAsia="zh-CN"/>
        </w:rPr>
        <w:t>）要求，本项目厂区</w:t>
      </w:r>
      <w:r>
        <w:rPr>
          <w:rFonts w:hint="eastAsia" w:ascii="Times New Roman" w:hAnsi="Times New Roman" w:eastAsia="宋体" w:cs="Times New Roman"/>
          <w:color w:val="auto"/>
          <w:kern w:val="0"/>
          <w:sz w:val="24"/>
          <w:szCs w:val="24"/>
          <w:highlight w:val="none"/>
          <w:lang w:val="en-US" w:eastAsia="zh-CN"/>
        </w:rPr>
        <w:t>内</w:t>
      </w:r>
      <w:r>
        <w:rPr>
          <w:rFonts w:hint="default" w:ascii="Times New Roman" w:hAnsi="Times New Roman" w:eastAsia="宋体" w:cs="Times New Roman"/>
          <w:color w:val="auto"/>
          <w:kern w:val="0"/>
          <w:sz w:val="24"/>
          <w:szCs w:val="24"/>
          <w:highlight w:val="none"/>
          <w:lang w:eastAsia="zh-CN"/>
        </w:rPr>
        <w:t>东</w:t>
      </w:r>
      <w:r>
        <w:rPr>
          <w:rFonts w:hint="default" w:ascii="Times New Roman" w:hAnsi="Times New Roman" w:eastAsia="宋体" w:cs="Times New Roman"/>
          <w:color w:val="auto"/>
          <w:kern w:val="0"/>
          <w:sz w:val="24"/>
          <w:szCs w:val="24"/>
          <w:highlight w:val="none"/>
          <w:lang w:val="en-US" w:eastAsia="zh-CN"/>
        </w:rPr>
        <w:t>南</w:t>
      </w:r>
      <w:r>
        <w:rPr>
          <w:rFonts w:hint="default" w:ascii="Times New Roman" w:hAnsi="Times New Roman" w:eastAsia="宋体" w:cs="Times New Roman"/>
          <w:color w:val="auto"/>
          <w:kern w:val="0"/>
          <w:sz w:val="24"/>
          <w:szCs w:val="24"/>
          <w:highlight w:val="none"/>
          <w:lang w:eastAsia="zh-CN"/>
        </w:rPr>
        <w:t>角</w:t>
      </w:r>
      <w:r>
        <w:rPr>
          <w:rFonts w:hint="eastAsia" w:ascii="Times New Roman" w:hAnsi="Times New Roman" w:eastAsia="宋体" w:cs="Times New Roman"/>
          <w:color w:val="auto"/>
          <w:kern w:val="0"/>
          <w:sz w:val="24"/>
          <w:szCs w:val="24"/>
          <w:highlight w:val="none"/>
          <w:lang w:val="en-US" w:eastAsia="zh-CN"/>
        </w:rPr>
        <w:t>已建成</w:t>
      </w:r>
      <w:r>
        <w:rPr>
          <w:rFonts w:hint="default" w:ascii="Times New Roman" w:hAnsi="Times New Roman" w:eastAsia="宋体" w:cs="Times New Roman"/>
          <w:color w:val="auto"/>
          <w:kern w:val="0"/>
          <w:sz w:val="24"/>
          <w:szCs w:val="24"/>
          <w:highlight w:val="none"/>
        </w:rPr>
        <w:t>1</w:t>
      </w:r>
      <w:r>
        <w:rPr>
          <w:rFonts w:hint="default" w:ascii="Times New Roman" w:hAnsi="Times New Roman" w:eastAsia="宋体" w:cs="Times New Roman"/>
          <w:color w:val="auto"/>
          <w:kern w:val="0"/>
          <w:sz w:val="24"/>
          <w:szCs w:val="24"/>
          <w:highlight w:val="none"/>
          <w:lang w:val="en-US" w:eastAsia="zh-CN"/>
        </w:rPr>
        <w:t>个</w:t>
      </w:r>
      <w:r>
        <w:rPr>
          <w:rFonts w:hint="eastAsia" w:ascii="Times New Roman" w:hAnsi="Times New Roman" w:eastAsia="宋体" w:cs="Times New Roman"/>
          <w:color w:val="auto"/>
          <w:kern w:val="0"/>
          <w:sz w:val="24"/>
          <w:szCs w:val="24"/>
          <w:highlight w:val="none"/>
          <w:lang w:val="en-US" w:eastAsia="zh-CN"/>
        </w:rPr>
        <w:t>60</w:t>
      </w:r>
      <w:r>
        <w:rPr>
          <w:rFonts w:hint="default" w:ascii="Times New Roman" w:hAnsi="Times New Roman" w:eastAsia="宋体" w:cs="Times New Roman"/>
          <w:color w:val="auto"/>
          <w:kern w:val="0"/>
          <w:sz w:val="24"/>
          <w:szCs w:val="24"/>
          <w:highlight w:val="none"/>
        </w:rPr>
        <w:t>m</w:t>
      </w:r>
      <w:r>
        <w:rPr>
          <w:rFonts w:hint="default" w:ascii="Times New Roman" w:hAnsi="Times New Roman" w:eastAsia="宋体" w:cs="Times New Roman"/>
          <w:color w:val="auto"/>
          <w:kern w:val="0"/>
          <w:sz w:val="24"/>
          <w:szCs w:val="24"/>
          <w:highlight w:val="none"/>
          <w:vertAlign w:val="superscript"/>
        </w:rPr>
        <w:t>2</w:t>
      </w:r>
      <w:r>
        <w:rPr>
          <w:rFonts w:hint="default" w:ascii="Times New Roman" w:hAnsi="Times New Roman" w:eastAsia="宋体" w:cs="Times New Roman"/>
          <w:color w:val="auto"/>
          <w:kern w:val="0"/>
          <w:sz w:val="24"/>
          <w:szCs w:val="24"/>
          <w:highlight w:val="none"/>
        </w:rPr>
        <w:t>的危险废物</w:t>
      </w:r>
      <w:r>
        <w:rPr>
          <w:rFonts w:hint="eastAsia" w:ascii="Times New Roman" w:hAnsi="Times New Roman" w:eastAsia="宋体" w:cs="Times New Roman"/>
          <w:color w:val="auto"/>
          <w:kern w:val="0"/>
          <w:sz w:val="24"/>
          <w:szCs w:val="24"/>
          <w:highlight w:val="none"/>
          <w:lang w:val="en-US" w:eastAsia="zh-CN"/>
        </w:rPr>
        <w:t>贮存库</w:t>
      </w:r>
      <w:r>
        <w:rPr>
          <w:rFonts w:hint="default"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eastAsia="zh-CN"/>
        </w:rPr>
        <w:t>危险废物</w:t>
      </w:r>
      <w:r>
        <w:rPr>
          <w:rFonts w:hint="default" w:ascii="Times New Roman" w:hAnsi="Times New Roman" w:eastAsia="宋体" w:cs="Times New Roman"/>
          <w:color w:val="auto"/>
          <w:kern w:val="0"/>
          <w:sz w:val="24"/>
          <w:szCs w:val="24"/>
          <w:highlight w:val="none"/>
        </w:rPr>
        <w:t>暂存后委托</w:t>
      </w:r>
      <w:r>
        <w:rPr>
          <w:rFonts w:hint="default" w:ascii="Times New Roman" w:hAnsi="Times New Roman" w:eastAsia="宋体" w:cs="Times New Roman"/>
          <w:color w:val="auto"/>
          <w:kern w:val="0"/>
          <w:sz w:val="24"/>
          <w:szCs w:val="24"/>
          <w:highlight w:val="none"/>
          <w:lang w:val="en-US" w:eastAsia="zh-CN"/>
        </w:rPr>
        <w:t>有危废处理资质单位</w:t>
      </w:r>
      <w:r>
        <w:rPr>
          <w:rFonts w:hint="default" w:ascii="Times New Roman" w:hAnsi="Times New Roman" w:eastAsia="宋体" w:cs="Times New Roman"/>
          <w:color w:val="auto"/>
          <w:kern w:val="0"/>
          <w:sz w:val="24"/>
          <w:szCs w:val="24"/>
          <w:highlight w:val="none"/>
        </w:rPr>
        <w:t>统一处理</w:t>
      </w:r>
      <w:r>
        <w:rPr>
          <w:rFonts w:hint="default" w:ascii="Times New Roman" w:hAnsi="Times New Roman" w:eastAsia="宋体" w:cs="Times New Roman"/>
          <w:color w:val="auto"/>
          <w:kern w:val="0"/>
          <w:sz w:val="24"/>
          <w:szCs w:val="24"/>
          <w:highlight w:val="none"/>
          <w:lang w:eastAsia="zh-CN"/>
        </w:rPr>
        <w:t>。本项目危废</w:t>
      </w:r>
      <w:r>
        <w:rPr>
          <w:rFonts w:hint="eastAsia" w:ascii="Times New Roman" w:hAnsi="Times New Roman" w:eastAsia="宋体" w:cs="Times New Roman"/>
          <w:color w:val="auto"/>
          <w:kern w:val="0"/>
          <w:sz w:val="24"/>
          <w:szCs w:val="24"/>
          <w:highlight w:val="none"/>
          <w:lang w:val="en-US" w:eastAsia="zh-CN"/>
        </w:rPr>
        <w:t>贮存库</w:t>
      </w:r>
      <w:r>
        <w:rPr>
          <w:rFonts w:hint="default" w:ascii="Times New Roman" w:hAnsi="Times New Roman" w:eastAsia="宋体" w:cs="Times New Roman"/>
          <w:color w:val="auto"/>
          <w:kern w:val="0"/>
          <w:sz w:val="24"/>
          <w:szCs w:val="24"/>
          <w:highlight w:val="none"/>
          <w:lang w:eastAsia="zh-CN"/>
        </w:rPr>
        <w:t>的贮存能力能够满足危险废物的贮存要求，</w:t>
      </w:r>
      <w:r>
        <w:rPr>
          <w:rFonts w:hint="eastAsia" w:ascii="Times New Roman" w:hAnsi="Times New Roman" w:eastAsia="宋体" w:cs="Times New Roman"/>
          <w:color w:val="auto"/>
          <w:kern w:val="0"/>
          <w:sz w:val="24"/>
          <w:szCs w:val="24"/>
          <w:highlight w:val="none"/>
          <w:lang w:eastAsia="zh-CN"/>
        </w:rPr>
        <w:t>危废贮存库</w:t>
      </w:r>
      <w:r>
        <w:rPr>
          <w:rFonts w:hint="default" w:ascii="Times New Roman" w:hAnsi="Times New Roman" w:eastAsia="宋体" w:cs="Times New Roman"/>
          <w:color w:val="auto"/>
          <w:kern w:val="0"/>
          <w:sz w:val="24"/>
          <w:szCs w:val="24"/>
          <w:highlight w:val="none"/>
          <w:lang w:val="en-US" w:eastAsia="zh-CN"/>
        </w:rPr>
        <w:t>采用1.5mm厚土工膜+250mm抗渗混凝土进行防渗处理</w:t>
      </w:r>
      <w:r>
        <w:rPr>
          <w:rFonts w:hint="default" w:ascii="Times New Roman" w:hAnsi="Times New Roman" w:eastAsia="宋体" w:cs="Times New Roman"/>
          <w:color w:val="auto"/>
          <w:kern w:val="0"/>
          <w:sz w:val="24"/>
          <w:szCs w:val="24"/>
          <w:highlight w:val="none"/>
          <w:lang w:eastAsia="zh-CN"/>
        </w:rPr>
        <w:t>；贮存过程中</w:t>
      </w:r>
      <w:r>
        <w:rPr>
          <w:rFonts w:hint="default" w:ascii="Times New Roman" w:hAnsi="Times New Roman" w:eastAsia="宋体" w:cs="Times New Roman"/>
          <w:color w:val="auto"/>
          <w:kern w:val="0"/>
          <w:sz w:val="24"/>
          <w:szCs w:val="24"/>
          <w:highlight w:val="none"/>
        </w:rPr>
        <w:t>使用符合标准的容器盛装危险废物</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装载危险废物的容器及材质要满足相应的强度要求</w:t>
      </w:r>
      <w:r>
        <w:rPr>
          <w:rFonts w:hint="default" w:ascii="Times New Roman" w:hAnsi="Times New Roman" w:eastAsia="宋体" w:cs="Times New Roman"/>
          <w:color w:val="auto"/>
          <w:kern w:val="0"/>
          <w:sz w:val="24"/>
          <w:szCs w:val="24"/>
          <w:highlight w:val="none"/>
          <w:lang w:eastAsia="zh-CN"/>
        </w:rPr>
        <w:t>；保存好</w:t>
      </w:r>
      <w:r>
        <w:rPr>
          <w:rFonts w:hint="default" w:ascii="Times New Roman" w:hAnsi="Times New Roman" w:eastAsia="宋体" w:cs="Times New Roman"/>
          <w:color w:val="auto"/>
          <w:kern w:val="0"/>
          <w:sz w:val="24"/>
          <w:szCs w:val="24"/>
          <w:highlight w:val="none"/>
        </w:rPr>
        <w:t>危险废物情况的记录，记录上须注明危险废物的名称、来源、数量、特性和包装容器的类别、入库日期、存放库位、废物出库日期及接收单位名称。</w:t>
      </w:r>
      <w:r>
        <w:rPr>
          <w:rFonts w:hint="default" w:ascii="Times New Roman" w:hAnsi="Times New Roman" w:eastAsia="宋体" w:cs="Times New Roman"/>
          <w:color w:val="auto"/>
          <w:kern w:val="0"/>
          <w:sz w:val="24"/>
          <w:szCs w:val="24"/>
          <w:highlight w:val="none"/>
          <w:lang w:eastAsia="zh-CN"/>
        </w:rPr>
        <w:t>确保危险废物不非法流失，合法利用或处置；危废</w:t>
      </w:r>
      <w:r>
        <w:rPr>
          <w:rFonts w:hint="eastAsia" w:ascii="Times New Roman" w:hAnsi="Times New Roman" w:eastAsia="宋体" w:cs="Times New Roman"/>
          <w:color w:val="auto"/>
          <w:kern w:val="0"/>
          <w:sz w:val="24"/>
          <w:szCs w:val="24"/>
          <w:highlight w:val="none"/>
          <w:lang w:val="en-US" w:eastAsia="zh-CN"/>
        </w:rPr>
        <w:t>贮存库</w:t>
      </w:r>
      <w:r>
        <w:rPr>
          <w:rFonts w:hint="default" w:ascii="Times New Roman" w:hAnsi="Times New Roman" w:eastAsia="宋体" w:cs="Times New Roman"/>
          <w:color w:val="auto"/>
          <w:kern w:val="0"/>
          <w:sz w:val="24"/>
          <w:szCs w:val="24"/>
          <w:highlight w:val="none"/>
          <w:lang w:eastAsia="zh-CN"/>
        </w:rPr>
        <w:t>贮存多种危险废物的，应根据本项目所产生的危险废物类别和性质进行分类贮存</w:t>
      </w:r>
      <w:r>
        <w:rPr>
          <w:rFonts w:hint="default"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eastAsia="zh-CN"/>
        </w:rPr>
        <w:t>通过采取上述措施能够预防危险废物对环境的影响。</w:t>
      </w:r>
    </w:p>
    <w:p w14:paraId="25588B72">
      <w:pPr>
        <w:keepNext w:val="0"/>
        <w:keepLines w:val="0"/>
        <w:pageBreakBefore w:val="0"/>
        <w:widowControl w:val="0"/>
        <w:kinsoku/>
        <w:wordWrap/>
        <w:overflowPunct/>
        <w:topLinePunct w:val="0"/>
        <w:autoSpaceDE/>
        <w:autoSpaceDN/>
        <w:bidi w:val="0"/>
        <w:adjustRightInd/>
        <w:snapToGrid/>
        <w:spacing w:line="480" w:lineRule="exact"/>
        <w:ind w:left="0" w:firstLine="556" w:firstLineChars="232"/>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4"/>
          <w:szCs w:val="24"/>
          <w:highlight w:val="none"/>
          <w:lang w:eastAsia="zh-CN"/>
        </w:rPr>
        <w:t>通过采取上述</w:t>
      </w:r>
      <w:r>
        <w:rPr>
          <w:rFonts w:hint="eastAsia" w:ascii="Times New Roman" w:hAnsi="Times New Roman" w:eastAsia="宋体" w:cs="Times New Roman"/>
          <w:color w:val="auto"/>
          <w:sz w:val="24"/>
          <w:szCs w:val="24"/>
          <w:highlight w:val="none"/>
          <w:lang w:eastAsia="zh-CN"/>
        </w:rPr>
        <w:t>措施</w:t>
      </w:r>
      <w:r>
        <w:rPr>
          <w:rFonts w:hint="default" w:ascii="Times New Roman" w:hAnsi="Times New Roman" w:eastAsia="宋体" w:cs="Times New Roman"/>
          <w:color w:val="auto"/>
          <w:sz w:val="24"/>
          <w:szCs w:val="24"/>
          <w:highlight w:val="none"/>
          <w:lang w:eastAsia="zh-CN"/>
        </w:rPr>
        <w:t>能够预防危险废物对环境的影响。本项目危险废物产生</w:t>
      </w:r>
      <w:r>
        <w:rPr>
          <w:rFonts w:hint="default" w:ascii="Times New Roman" w:hAnsi="Times New Roman" w:eastAsia="宋体" w:cs="Times New Roman"/>
          <w:color w:val="auto"/>
          <w:sz w:val="24"/>
          <w:szCs w:val="24"/>
          <w:highlight w:val="none"/>
          <w:lang w:val="en-US" w:eastAsia="zh-CN"/>
        </w:rPr>
        <w:t>情况</w:t>
      </w:r>
      <w:r>
        <w:rPr>
          <w:rFonts w:hint="default" w:ascii="Times New Roman" w:hAnsi="Times New Roman" w:eastAsia="宋体" w:cs="Times New Roman"/>
          <w:color w:val="auto"/>
          <w:sz w:val="24"/>
          <w:szCs w:val="24"/>
          <w:highlight w:val="none"/>
          <w:lang w:eastAsia="zh-CN"/>
        </w:rPr>
        <w:t>见表</w:t>
      </w:r>
      <w:r>
        <w:rPr>
          <w:rFonts w:hint="default" w:ascii="Times New Roman" w:hAnsi="Times New Roman" w:eastAsia="宋体" w:cs="Times New Roman"/>
          <w:color w:val="auto"/>
          <w:sz w:val="24"/>
          <w:szCs w:val="24"/>
          <w:highlight w:val="none"/>
          <w:lang w:val="en-US" w:eastAsia="zh-CN"/>
        </w:rPr>
        <w:t>6.2-</w:t>
      </w:r>
      <w:r>
        <w:rPr>
          <w:rFonts w:hint="eastAsia" w:ascii="Times New Roman" w:hAnsi="Times New Roman" w:eastAsia="宋体" w:cs="Times New Roman"/>
          <w:color w:val="auto"/>
          <w:sz w:val="24"/>
          <w:szCs w:val="24"/>
          <w:highlight w:val="none"/>
          <w:lang w:val="en-US" w:eastAsia="zh-CN"/>
        </w:rPr>
        <w:t>37</w:t>
      </w:r>
      <w:r>
        <w:rPr>
          <w:rFonts w:hint="default" w:ascii="Times New Roman" w:hAnsi="Times New Roman" w:eastAsia="宋体" w:cs="Times New Roman"/>
          <w:color w:val="auto"/>
          <w:sz w:val="24"/>
          <w:szCs w:val="24"/>
          <w:highlight w:val="none"/>
          <w:lang w:val="en-US" w:eastAsia="zh-CN"/>
        </w:rPr>
        <w:t>。</w:t>
      </w:r>
    </w:p>
    <w:p w14:paraId="3FEF8C32">
      <w:pPr>
        <w:spacing w:line="500" w:lineRule="exact"/>
        <w:jc w:val="center"/>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表</w:t>
      </w:r>
      <w:r>
        <w:rPr>
          <w:rFonts w:hint="default" w:ascii="Times New Roman" w:hAnsi="Times New Roman" w:eastAsia="宋体" w:cs="Times New Roman"/>
          <w:bCs/>
          <w:color w:val="auto"/>
          <w:sz w:val="24"/>
          <w:szCs w:val="24"/>
          <w:highlight w:val="none"/>
          <w:lang w:val="en-US" w:eastAsia="zh-CN"/>
        </w:rPr>
        <w:t>6.2</w:t>
      </w:r>
      <w:r>
        <w:rPr>
          <w:rFonts w:hint="default" w:ascii="Times New Roman" w:hAnsi="Times New Roman" w:eastAsia="宋体" w:cs="Times New Roman"/>
          <w:bCs/>
          <w:color w:val="auto"/>
          <w:sz w:val="24"/>
          <w:szCs w:val="24"/>
          <w:highlight w:val="none"/>
        </w:rPr>
        <w:t>-</w:t>
      </w:r>
      <w:r>
        <w:rPr>
          <w:rFonts w:hint="eastAsia" w:ascii="Times New Roman" w:hAnsi="Times New Roman" w:eastAsia="宋体" w:cs="Times New Roman"/>
          <w:bCs/>
          <w:color w:val="auto"/>
          <w:sz w:val="24"/>
          <w:szCs w:val="24"/>
          <w:highlight w:val="none"/>
          <w:lang w:val="en-US" w:eastAsia="zh-CN"/>
        </w:rPr>
        <w:t>37</w:t>
      </w:r>
      <w:r>
        <w:rPr>
          <w:rFonts w:hint="default" w:ascii="Times New Roman" w:hAnsi="Times New Roman" w:eastAsia="宋体" w:cs="Times New Roman"/>
          <w:bCs/>
          <w:color w:val="auto"/>
          <w:sz w:val="24"/>
          <w:szCs w:val="24"/>
          <w:highlight w:val="none"/>
        </w:rPr>
        <w:t xml:space="preserve"> 本项目危险废物产生量及处置情况表</w:t>
      </w:r>
    </w:p>
    <w:tbl>
      <w:tblPr>
        <w:tblStyle w:val="37"/>
        <w:tblW w:w="493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75"/>
        <w:gridCol w:w="694"/>
        <w:gridCol w:w="892"/>
        <w:gridCol w:w="1117"/>
        <w:gridCol w:w="842"/>
        <w:gridCol w:w="683"/>
        <w:gridCol w:w="463"/>
        <w:gridCol w:w="659"/>
        <w:gridCol w:w="670"/>
        <w:gridCol w:w="671"/>
        <w:gridCol w:w="1344"/>
      </w:tblGrid>
      <w:tr w14:paraId="7B2E3C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2" w:type="pct"/>
            <w:tcBorders>
              <w:tl2br w:val="nil"/>
              <w:tr2bl w:val="nil"/>
            </w:tcBorders>
            <w:noWrap w:val="0"/>
            <w:vAlign w:val="center"/>
          </w:tcPr>
          <w:p w14:paraId="7F489400">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序号</w:t>
            </w:r>
          </w:p>
        </w:tc>
        <w:tc>
          <w:tcPr>
            <w:tcW w:w="412" w:type="pct"/>
            <w:tcBorders>
              <w:tl2br w:val="nil"/>
              <w:tr2bl w:val="nil"/>
            </w:tcBorders>
            <w:noWrap w:val="0"/>
            <w:vAlign w:val="center"/>
          </w:tcPr>
          <w:p w14:paraId="55B0E23F">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危险废物名称</w:t>
            </w:r>
          </w:p>
        </w:tc>
        <w:tc>
          <w:tcPr>
            <w:tcW w:w="530" w:type="pct"/>
            <w:tcBorders>
              <w:tl2br w:val="nil"/>
              <w:tr2bl w:val="nil"/>
            </w:tcBorders>
            <w:noWrap w:val="0"/>
            <w:vAlign w:val="center"/>
          </w:tcPr>
          <w:p w14:paraId="791AF5C4">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危险废物类别</w:t>
            </w:r>
          </w:p>
        </w:tc>
        <w:tc>
          <w:tcPr>
            <w:tcW w:w="664" w:type="pct"/>
            <w:tcBorders>
              <w:tl2br w:val="nil"/>
              <w:tr2bl w:val="nil"/>
            </w:tcBorders>
            <w:noWrap w:val="0"/>
            <w:vAlign w:val="center"/>
          </w:tcPr>
          <w:p w14:paraId="202BC608">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危险废物代码</w:t>
            </w:r>
          </w:p>
        </w:tc>
        <w:tc>
          <w:tcPr>
            <w:tcW w:w="500" w:type="pct"/>
            <w:tcBorders>
              <w:tl2br w:val="nil"/>
              <w:tr2bl w:val="nil"/>
            </w:tcBorders>
            <w:noWrap w:val="0"/>
            <w:vAlign w:val="center"/>
          </w:tcPr>
          <w:p w14:paraId="579CB1F3">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产生量</w:t>
            </w:r>
          </w:p>
        </w:tc>
        <w:tc>
          <w:tcPr>
            <w:tcW w:w="406" w:type="pct"/>
            <w:tcBorders>
              <w:tl2br w:val="nil"/>
              <w:tr2bl w:val="nil"/>
            </w:tcBorders>
            <w:noWrap w:val="0"/>
            <w:vAlign w:val="center"/>
          </w:tcPr>
          <w:p w14:paraId="18C00B5E">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产生</w:t>
            </w:r>
          </w:p>
          <w:p w14:paraId="5F6E2420">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工序</w:t>
            </w:r>
          </w:p>
        </w:tc>
        <w:tc>
          <w:tcPr>
            <w:tcW w:w="275" w:type="pct"/>
            <w:tcBorders>
              <w:tl2br w:val="nil"/>
              <w:tr2bl w:val="nil"/>
            </w:tcBorders>
            <w:noWrap w:val="0"/>
            <w:vAlign w:val="center"/>
          </w:tcPr>
          <w:p w14:paraId="0128547E">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形态</w:t>
            </w:r>
          </w:p>
        </w:tc>
        <w:tc>
          <w:tcPr>
            <w:tcW w:w="391" w:type="pct"/>
            <w:tcBorders>
              <w:tl2br w:val="nil"/>
              <w:tr2bl w:val="nil"/>
            </w:tcBorders>
            <w:noWrap w:val="0"/>
            <w:vAlign w:val="center"/>
          </w:tcPr>
          <w:p w14:paraId="630027DF">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主要</w:t>
            </w:r>
          </w:p>
          <w:p w14:paraId="10F62CB9">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成分</w:t>
            </w:r>
          </w:p>
        </w:tc>
        <w:tc>
          <w:tcPr>
            <w:tcW w:w="398" w:type="pct"/>
            <w:tcBorders>
              <w:tl2br w:val="nil"/>
              <w:tr2bl w:val="nil"/>
            </w:tcBorders>
            <w:noWrap w:val="0"/>
            <w:vAlign w:val="center"/>
          </w:tcPr>
          <w:p w14:paraId="3FD065C9">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产废</w:t>
            </w:r>
          </w:p>
          <w:p w14:paraId="7C7ED8D6">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周期</w:t>
            </w:r>
          </w:p>
        </w:tc>
        <w:tc>
          <w:tcPr>
            <w:tcW w:w="398" w:type="pct"/>
            <w:tcBorders>
              <w:tl2br w:val="nil"/>
              <w:tr2bl w:val="nil"/>
            </w:tcBorders>
            <w:noWrap w:val="0"/>
            <w:vAlign w:val="center"/>
          </w:tcPr>
          <w:p w14:paraId="269EF0E7">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危险</w:t>
            </w:r>
          </w:p>
          <w:p w14:paraId="3A04E2C9">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特性</w:t>
            </w:r>
          </w:p>
        </w:tc>
        <w:tc>
          <w:tcPr>
            <w:tcW w:w="799" w:type="pct"/>
            <w:tcBorders>
              <w:tl2br w:val="nil"/>
              <w:tr2bl w:val="nil"/>
            </w:tcBorders>
            <w:noWrap w:val="0"/>
            <w:vAlign w:val="center"/>
          </w:tcPr>
          <w:p w14:paraId="0510B192">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污染</w:t>
            </w:r>
          </w:p>
          <w:p w14:paraId="683A09F2">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GB"/>
              </w:rPr>
              <w:t>防治措施</w:t>
            </w:r>
          </w:p>
        </w:tc>
      </w:tr>
      <w:tr w14:paraId="440327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2" w:type="pct"/>
            <w:tcBorders>
              <w:tl2br w:val="nil"/>
              <w:tr2bl w:val="nil"/>
            </w:tcBorders>
            <w:noWrap w:val="0"/>
            <w:vAlign w:val="center"/>
          </w:tcPr>
          <w:p w14:paraId="6FFBDEE2">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bookmarkStart w:id="454" w:name="_Toc25894"/>
            <w:bookmarkStart w:id="455" w:name="_Toc31770"/>
            <w:bookmarkStart w:id="456" w:name="_Toc20122"/>
            <w:r>
              <w:rPr>
                <w:rFonts w:hint="eastAsia" w:ascii="Times New Roman" w:hAnsi="Times New Roman" w:eastAsia="宋体" w:cs="Times New Roman"/>
                <w:color w:val="auto"/>
                <w:kern w:val="2"/>
                <w:sz w:val="21"/>
                <w:szCs w:val="21"/>
                <w:highlight w:val="none"/>
                <w:lang w:val="en-US" w:eastAsia="zh-CN" w:bidi="ar-SA"/>
              </w:rPr>
              <w:t>1</w:t>
            </w:r>
          </w:p>
        </w:tc>
        <w:tc>
          <w:tcPr>
            <w:tcW w:w="412" w:type="pct"/>
            <w:tcBorders>
              <w:tl2br w:val="nil"/>
              <w:tr2bl w:val="nil"/>
            </w:tcBorders>
            <w:shd w:val="clear" w:color="auto" w:fill="auto"/>
            <w:noWrap w:val="0"/>
            <w:vAlign w:val="center"/>
          </w:tcPr>
          <w:p w14:paraId="1D893FD3">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lang w:val="en-GB" w:eastAsia="zh-CN" w:bidi="ar-SA"/>
              </w:rPr>
            </w:pPr>
            <w:r>
              <w:rPr>
                <w:rFonts w:hint="default" w:ascii="Times New Roman" w:hAnsi="Times New Roman" w:eastAsia="宋体" w:cs="Times New Roman"/>
                <w:color w:val="auto"/>
                <w:sz w:val="21"/>
                <w:szCs w:val="21"/>
                <w:highlight w:val="none"/>
                <w:lang w:val="en-GB"/>
              </w:rPr>
              <w:t>废矿物油</w:t>
            </w:r>
          </w:p>
        </w:tc>
        <w:tc>
          <w:tcPr>
            <w:tcW w:w="530" w:type="pct"/>
            <w:tcBorders>
              <w:tl2br w:val="nil"/>
              <w:tr2bl w:val="nil"/>
            </w:tcBorders>
            <w:shd w:val="clear" w:color="auto" w:fill="auto"/>
            <w:noWrap w:val="0"/>
            <w:vAlign w:val="center"/>
          </w:tcPr>
          <w:p w14:paraId="573EB054">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GB"/>
              </w:rPr>
            </w:pPr>
            <w:r>
              <w:rPr>
                <w:rFonts w:hint="default" w:ascii="Times New Roman" w:hAnsi="Times New Roman" w:eastAsia="宋体" w:cs="Times New Roman"/>
                <w:color w:val="auto"/>
                <w:sz w:val="21"/>
                <w:szCs w:val="21"/>
                <w:highlight w:val="none"/>
                <w:lang w:val="en-GB"/>
              </w:rPr>
              <w:t>HW08</w:t>
            </w:r>
          </w:p>
          <w:p w14:paraId="2B95EF87">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废矿物油与含矿物油废物</w:t>
            </w:r>
          </w:p>
        </w:tc>
        <w:tc>
          <w:tcPr>
            <w:tcW w:w="664" w:type="pct"/>
            <w:tcBorders>
              <w:tl2br w:val="nil"/>
              <w:tr2bl w:val="nil"/>
            </w:tcBorders>
            <w:shd w:val="clear" w:color="auto" w:fill="auto"/>
            <w:noWrap w:val="0"/>
            <w:vAlign w:val="center"/>
          </w:tcPr>
          <w:p w14:paraId="6CF76CF7">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pacing w:val="0"/>
                <w:sz w:val="21"/>
                <w:szCs w:val="21"/>
                <w:highlight w:val="none"/>
                <w:lang w:val="en-US" w:eastAsia="zh-CN"/>
              </w:rPr>
              <w:t>非特定行业</w:t>
            </w:r>
            <w:r>
              <w:rPr>
                <w:rFonts w:hint="default" w:ascii="Times New Roman" w:hAnsi="Times New Roman" w:eastAsia="宋体" w:cs="Times New Roman"/>
                <w:color w:val="auto"/>
                <w:spacing w:val="0"/>
                <w:sz w:val="21"/>
                <w:szCs w:val="21"/>
                <w:highlight w:val="none"/>
              </w:rPr>
              <w:t>900-</w:t>
            </w:r>
            <w:r>
              <w:rPr>
                <w:rFonts w:hint="eastAsia" w:ascii="Times New Roman" w:hAnsi="Times New Roman" w:eastAsia="宋体" w:cs="Times New Roman"/>
                <w:color w:val="auto"/>
                <w:spacing w:val="0"/>
                <w:sz w:val="21"/>
                <w:szCs w:val="21"/>
                <w:highlight w:val="none"/>
                <w:lang w:val="en-US" w:eastAsia="zh-CN"/>
              </w:rPr>
              <w:t>214</w:t>
            </w:r>
            <w:r>
              <w:rPr>
                <w:rFonts w:hint="default" w:ascii="Times New Roman" w:hAnsi="Times New Roman" w:eastAsia="宋体" w:cs="Times New Roman"/>
                <w:color w:val="auto"/>
                <w:spacing w:val="0"/>
                <w:sz w:val="21"/>
                <w:szCs w:val="21"/>
                <w:highlight w:val="none"/>
              </w:rPr>
              <w:t>-08</w:t>
            </w:r>
            <w:r>
              <w:rPr>
                <w:rFonts w:hint="default" w:ascii="Times New Roman" w:hAnsi="Times New Roman" w:eastAsia="宋体" w:cs="Times New Roman"/>
                <w:color w:val="auto"/>
                <w:spacing w:val="0"/>
                <w:sz w:val="21"/>
                <w:szCs w:val="21"/>
                <w:highlight w:val="none"/>
                <w:lang w:val="en-US" w:eastAsia="zh-CN"/>
              </w:rPr>
              <w:t>车辆、轮船及其它机械维修过程中产生的废发动机油、制动器油、自动变速器油、齿轮油等废润滑油</w:t>
            </w:r>
          </w:p>
        </w:tc>
        <w:tc>
          <w:tcPr>
            <w:tcW w:w="500" w:type="pct"/>
            <w:tcBorders>
              <w:tl2br w:val="nil"/>
              <w:tr2bl w:val="nil"/>
            </w:tcBorders>
            <w:shd w:val="clear" w:color="auto" w:fill="auto"/>
            <w:noWrap w:val="0"/>
            <w:vAlign w:val="center"/>
          </w:tcPr>
          <w:p w14:paraId="7520E904">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w:t>
            </w:r>
            <w:r>
              <w:rPr>
                <w:rFonts w:hint="eastAsia" w:ascii="Times New Roman" w:hAnsi="Times New Roman" w:eastAsia="宋体" w:cs="Times New Roman"/>
                <w:color w:val="auto"/>
                <w:sz w:val="21"/>
                <w:szCs w:val="21"/>
                <w:highlight w:val="none"/>
                <w:lang w:val="en-US" w:eastAsia="zh-CN"/>
              </w:rPr>
              <w:t>1</w:t>
            </w:r>
          </w:p>
          <w:p w14:paraId="76A06087">
            <w:pPr>
              <w:pStyle w:val="47"/>
              <w:keepNext w:val="0"/>
              <w:keepLines w:val="0"/>
              <w:pageBreakBefore w:val="0"/>
              <w:widowControl w:val="0"/>
              <w:kinsoku/>
              <w:wordWrap/>
              <w:overflowPunct/>
              <w:bidi w:val="0"/>
              <w:snapToGrid/>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t</w:t>
            </w:r>
            <w:r>
              <w:rPr>
                <w:rFonts w:hint="default" w:ascii="Times New Roman" w:hAnsi="Times New Roman" w:eastAsia="宋体" w:cs="Times New Roman"/>
                <w:color w:val="auto"/>
                <w:sz w:val="21"/>
                <w:szCs w:val="21"/>
                <w:highlight w:val="none"/>
                <w:lang w:val="en-GB"/>
              </w:rPr>
              <w:t>/</w:t>
            </w:r>
            <w:r>
              <w:rPr>
                <w:rFonts w:hint="default" w:ascii="Times New Roman" w:hAnsi="Times New Roman" w:eastAsia="宋体" w:cs="Times New Roman"/>
                <w:color w:val="auto"/>
                <w:sz w:val="21"/>
                <w:szCs w:val="21"/>
                <w:highlight w:val="none"/>
              </w:rPr>
              <w:t>a</w:t>
            </w:r>
          </w:p>
        </w:tc>
        <w:tc>
          <w:tcPr>
            <w:tcW w:w="406" w:type="pct"/>
            <w:tcBorders>
              <w:tl2br w:val="nil"/>
              <w:tr2bl w:val="nil"/>
            </w:tcBorders>
            <w:shd w:val="clear" w:color="auto" w:fill="auto"/>
            <w:noWrap w:val="0"/>
            <w:vAlign w:val="center"/>
          </w:tcPr>
          <w:p w14:paraId="1802B64C">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车辆、机械维修和拆解过程</w:t>
            </w:r>
          </w:p>
        </w:tc>
        <w:tc>
          <w:tcPr>
            <w:tcW w:w="275" w:type="pct"/>
            <w:tcBorders>
              <w:tl2br w:val="nil"/>
              <w:tr2bl w:val="nil"/>
            </w:tcBorders>
            <w:shd w:val="clear" w:color="auto" w:fill="auto"/>
            <w:noWrap w:val="0"/>
            <w:vAlign w:val="center"/>
          </w:tcPr>
          <w:p w14:paraId="3001217A">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液态</w:t>
            </w:r>
          </w:p>
        </w:tc>
        <w:tc>
          <w:tcPr>
            <w:tcW w:w="391" w:type="pct"/>
            <w:tcBorders>
              <w:tl2br w:val="nil"/>
              <w:tr2bl w:val="nil"/>
            </w:tcBorders>
            <w:shd w:val="clear" w:color="auto" w:fill="auto"/>
            <w:noWrap w:val="0"/>
            <w:vAlign w:val="center"/>
          </w:tcPr>
          <w:p w14:paraId="13D00BC6">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矿物油</w:t>
            </w:r>
          </w:p>
          <w:p w14:paraId="408A730C">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p>
        </w:tc>
        <w:tc>
          <w:tcPr>
            <w:tcW w:w="398" w:type="pct"/>
            <w:tcBorders>
              <w:tl2br w:val="nil"/>
              <w:tr2bl w:val="nil"/>
            </w:tcBorders>
            <w:shd w:val="clear" w:color="auto" w:fill="auto"/>
            <w:noWrap w:val="0"/>
            <w:vAlign w:val="center"/>
          </w:tcPr>
          <w:p w14:paraId="0C321076">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w:t>
            </w:r>
            <w:r>
              <w:rPr>
                <w:rFonts w:hint="default" w:ascii="Times New Roman" w:hAnsi="Times New Roman" w:eastAsia="宋体" w:cs="Times New Roman"/>
                <w:color w:val="auto"/>
                <w:sz w:val="21"/>
                <w:szCs w:val="21"/>
                <w:highlight w:val="none"/>
                <w:lang w:val="en-US" w:eastAsia="zh-CN"/>
              </w:rPr>
              <w:t>a</w:t>
            </w:r>
          </w:p>
        </w:tc>
        <w:tc>
          <w:tcPr>
            <w:tcW w:w="398" w:type="pct"/>
            <w:tcBorders>
              <w:tl2br w:val="nil"/>
              <w:tr2bl w:val="nil"/>
            </w:tcBorders>
            <w:shd w:val="clear" w:color="auto" w:fill="auto"/>
            <w:noWrap w:val="0"/>
            <w:vAlign w:val="center"/>
          </w:tcPr>
          <w:p w14:paraId="3A065AD0">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毒性</w:t>
            </w:r>
          </w:p>
          <w:p w14:paraId="409190CD">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易燃性</w:t>
            </w:r>
          </w:p>
        </w:tc>
        <w:tc>
          <w:tcPr>
            <w:tcW w:w="799" w:type="pct"/>
            <w:tcBorders>
              <w:tl2br w:val="nil"/>
              <w:tr2bl w:val="nil"/>
            </w:tcBorders>
            <w:noWrap w:val="0"/>
            <w:vAlign w:val="center"/>
          </w:tcPr>
          <w:p w14:paraId="0EC6493B">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暂存于危废贮存库委托有资质单位处置</w:t>
            </w:r>
          </w:p>
        </w:tc>
      </w:tr>
    </w:tbl>
    <w:p w14:paraId="580EC02B">
      <w:pPr>
        <w:pStyle w:val="6"/>
        <w:numPr>
          <w:ilvl w:val="2"/>
          <w:numId w:val="3"/>
        </w:numPr>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燃料及灰渣运输环节环境影响分析</w:t>
      </w:r>
      <w:bookmarkEnd w:id="454"/>
      <w:bookmarkEnd w:id="455"/>
      <w:bookmarkEnd w:id="456"/>
    </w:p>
    <w:p w14:paraId="7093100C">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燃料及灰渣运输过程扬尘环境影响分析</w:t>
      </w:r>
    </w:p>
    <w:p w14:paraId="482C8D81">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燃料、</w:t>
      </w:r>
      <w:r>
        <w:rPr>
          <w:rFonts w:hint="eastAsia" w:ascii="Times New Roman" w:hAnsi="Times New Roman" w:eastAsia="宋体" w:cs="Times New Roman"/>
          <w:color w:val="auto"/>
          <w:highlight w:val="none"/>
          <w:lang w:eastAsia="zh-CN"/>
        </w:rPr>
        <w:t>灰渣</w:t>
      </w:r>
      <w:r>
        <w:rPr>
          <w:rFonts w:hint="default" w:ascii="Times New Roman" w:hAnsi="Times New Roman" w:eastAsia="宋体" w:cs="Times New Roman"/>
          <w:color w:val="auto"/>
          <w:highlight w:val="none"/>
        </w:rPr>
        <w:t>运输车辆采用苫布遮盖；炉渣经渣</w:t>
      </w:r>
      <w:r>
        <w:rPr>
          <w:rFonts w:hint="default" w:ascii="Times New Roman" w:hAnsi="Times New Roman" w:eastAsia="宋体" w:cs="Times New Roman"/>
          <w:color w:val="auto"/>
          <w:highlight w:val="none"/>
          <w:lang w:eastAsia="zh-CN"/>
        </w:rPr>
        <w:t>仓</w:t>
      </w:r>
      <w:r>
        <w:rPr>
          <w:rFonts w:hint="default" w:ascii="Times New Roman" w:hAnsi="Times New Roman" w:eastAsia="宋体" w:cs="Times New Roman"/>
          <w:color w:val="auto"/>
          <w:highlight w:val="none"/>
        </w:rPr>
        <w:t>由卸干渣设备装车外运至灰渣综合利用单位；干灰采用气力输送至</w:t>
      </w:r>
      <w:r>
        <w:rPr>
          <w:rFonts w:hint="eastAsia" w:ascii="Times New Roman" w:hAnsi="Times New Roman" w:eastAsia="宋体" w:cs="Times New Roman"/>
          <w:color w:val="auto"/>
          <w:highlight w:val="none"/>
          <w:lang w:eastAsia="zh-CN"/>
        </w:rPr>
        <w:t>灰库</w:t>
      </w:r>
      <w:r>
        <w:rPr>
          <w:rFonts w:hint="default" w:ascii="Times New Roman" w:hAnsi="Times New Roman" w:eastAsia="宋体" w:cs="Times New Roman"/>
          <w:color w:val="auto"/>
          <w:highlight w:val="none"/>
        </w:rPr>
        <w:t>，封闭罐车运输至综合利用单位。车辆行驶过程中由于轮胎与路面接触会产生路面风蚀扬尘，由于运输道路全部</w:t>
      </w:r>
      <w:r>
        <w:rPr>
          <w:rFonts w:hint="eastAsia" w:ascii="Times New Roman" w:hAnsi="Times New Roman" w:eastAsia="宋体" w:cs="Times New Roman"/>
          <w:color w:val="auto"/>
          <w:highlight w:val="none"/>
          <w:lang w:eastAsia="zh-CN"/>
        </w:rPr>
        <w:t>为</w:t>
      </w:r>
      <w:r>
        <w:rPr>
          <w:rFonts w:hint="default" w:ascii="Times New Roman" w:hAnsi="Times New Roman" w:eastAsia="宋体" w:cs="Times New Roman"/>
          <w:color w:val="auto"/>
          <w:highlight w:val="none"/>
        </w:rPr>
        <w:t>水泥路面，运输车辆行驶过程中产生的扬尘量较少，因此运输车辆行驶过程中产生的路面扬尘对环境影响较小。</w:t>
      </w:r>
    </w:p>
    <w:p w14:paraId="0162E753">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）灰渣运输过程中声环境影响分析</w:t>
      </w:r>
    </w:p>
    <w:p w14:paraId="11DA22C4">
      <w:pPr>
        <w:bidi w:val="0"/>
        <w:rPr>
          <w:rFonts w:hint="default" w:ascii="Times New Roman" w:hAnsi="Times New Roman" w:eastAsia="宋体" w:cs="Times New Roman"/>
          <w:color w:val="auto"/>
          <w:spacing w:val="0"/>
          <w:kern w:val="0"/>
          <w:highlight w:val="none"/>
        </w:rPr>
      </w:pPr>
      <w:r>
        <w:rPr>
          <w:rFonts w:hint="default" w:ascii="Times New Roman" w:hAnsi="Times New Roman" w:eastAsia="宋体" w:cs="Times New Roman"/>
          <w:color w:val="auto"/>
          <w:highlight w:val="none"/>
          <w:lang w:eastAsia="zh-CN"/>
        </w:rPr>
        <w:t>灰渣运输过程中</w:t>
      </w:r>
      <w:r>
        <w:rPr>
          <w:rFonts w:hint="default" w:ascii="Times New Roman" w:hAnsi="Times New Roman" w:eastAsia="宋体" w:cs="Times New Roman"/>
          <w:color w:val="auto"/>
          <w:highlight w:val="none"/>
        </w:rPr>
        <w:t>交通噪声对环境的影响，采用《公路建设项目环境影响评价规范（试行）》中推荐的公路交通噪声预测模式，其模式如下：</w:t>
      </w:r>
    </w:p>
    <w:p w14:paraId="3F0CC9F4">
      <w:pPr>
        <w:ind w:left="0" w:leftChars="0" w:firstLine="0" w:firstLineChars="0"/>
        <w:jc w:val="center"/>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position w:val="-32"/>
          <w:highlight w:val="none"/>
        </w:rPr>
        <w:object>
          <v:shape id="_x0000_i1056" o:spt="75" type="#_x0000_t75" style="height:38.5pt;width:266.35pt;" o:ole="t" filled="f" o:preferrelative="t" stroked="f" coordsize="21600,21600">
            <v:path/>
            <v:fill on="f" focussize="0,0"/>
            <v:stroke on="f"/>
            <v:imagedata r:id="rId124" o:title=""/>
            <o:lock v:ext="edit" aspectratio="t"/>
            <w10:wrap type="none"/>
            <w10:anchorlock/>
          </v:shape>
          <o:OLEObject Type="Embed" ProgID="Equation.3" ShapeID="_x0000_i1056" DrawAspect="Content" ObjectID="_1468075756" r:id="rId123">
            <o:LockedField>false</o:LockedField>
          </o:OLEObject>
        </w:object>
      </w:r>
    </w:p>
    <w:p w14:paraId="595A8D51">
      <w:pPr>
        <w:spacing w:line="480" w:lineRule="exac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highlight w:val="none"/>
        </w:rPr>
        <w:t>式中</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L</w:t>
      </w:r>
      <w:r>
        <w:rPr>
          <w:rFonts w:hint="default" w:ascii="Times New Roman" w:hAnsi="Times New Roman" w:eastAsia="宋体" w:cs="Times New Roman"/>
          <w:color w:val="auto"/>
          <w:sz w:val="24"/>
          <w:szCs w:val="24"/>
          <w:highlight w:val="none"/>
          <w:vertAlign w:val="subscript"/>
        </w:rPr>
        <w:t>Aeq</w:t>
      </w:r>
      <w:r>
        <w:rPr>
          <w:rFonts w:hint="eastAsia" w:ascii="Times New Roman" w:hAnsi="Times New Roman" w:eastAsia="宋体" w:cs="Times New Roman"/>
          <w:color w:val="auto"/>
          <w:sz w:val="24"/>
          <w:szCs w:val="24"/>
          <w:highlight w:val="none"/>
          <w:vertAlign w:val="subscript"/>
          <w:lang w:eastAsia="zh-CN"/>
        </w:rPr>
        <w:t>）</w:t>
      </w:r>
      <w:r>
        <w:rPr>
          <w:rFonts w:hint="default" w:ascii="Times New Roman" w:hAnsi="Times New Roman" w:eastAsia="宋体" w:cs="Times New Roman"/>
          <w:color w:val="auto"/>
          <w:sz w:val="24"/>
          <w:szCs w:val="24"/>
          <w:highlight w:val="none"/>
          <w:vertAlign w:val="subscript"/>
        </w:rPr>
        <w:t>i</w:t>
      </w:r>
      <w:r>
        <w:rPr>
          <w:rFonts w:hint="default" w:ascii="Times New Roman" w:hAnsi="Times New Roman" w:eastAsia="宋体" w:cs="Times New Roman"/>
          <w:color w:val="auto"/>
          <w:sz w:val="24"/>
          <w:szCs w:val="24"/>
          <w:highlight w:val="none"/>
        </w:rPr>
        <w:t>——i型车辆行驶于昼间或夜间，预测点接收到小时交通噪声值，dB（A）；</w:t>
      </w:r>
    </w:p>
    <w:p w14:paraId="0A31940E">
      <w:pPr>
        <w:pStyle w:val="93"/>
        <w:ind w:firstLine="1200" w:firstLineChars="500"/>
        <w:rPr>
          <w:rFonts w:hint="default" w:ascii="Times New Roman" w:hAnsi="Times New Roman" w:eastAsia="宋体" w:cs="Times New Roman"/>
          <w:color w:val="auto"/>
          <w:spacing w:val="0"/>
          <w:highlight w:val="none"/>
        </w:rPr>
      </w:pPr>
      <w:r>
        <w:rPr>
          <w:rFonts w:hint="default" w:ascii="Times New Roman" w:hAnsi="Times New Roman" w:eastAsia="宋体" w:cs="Times New Roman"/>
          <w:color w:val="auto"/>
          <w:spacing w:val="0"/>
          <w:highlight w:val="none"/>
        </w:rPr>
        <w:t>L</w:t>
      </w:r>
      <w:r>
        <w:rPr>
          <w:rFonts w:hint="default" w:ascii="Times New Roman" w:hAnsi="Times New Roman" w:eastAsia="宋体" w:cs="Times New Roman"/>
          <w:color w:val="auto"/>
          <w:spacing w:val="0"/>
          <w:highlight w:val="none"/>
          <w:vertAlign w:val="subscript"/>
        </w:rPr>
        <w:t>w,i</w:t>
      </w:r>
      <w:r>
        <w:rPr>
          <w:rFonts w:hint="default" w:ascii="Times New Roman" w:hAnsi="Times New Roman" w:eastAsia="宋体" w:cs="Times New Roman"/>
          <w:color w:val="auto"/>
          <w:spacing w:val="0"/>
          <w:highlight w:val="none"/>
        </w:rPr>
        <w:t>——第i型车辆的平均辐射声级，相当于7.5m处的A声级，dB（A）；</w:t>
      </w:r>
    </w:p>
    <w:p w14:paraId="674DE316">
      <w:pPr>
        <w:pStyle w:val="93"/>
        <w:ind w:firstLine="1200" w:firstLineChars="500"/>
        <w:rPr>
          <w:rFonts w:hint="default" w:ascii="Times New Roman" w:hAnsi="Times New Roman" w:eastAsia="宋体" w:cs="Times New Roman"/>
          <w:color w:val="auto"/>
          <w:spacing w:val="0"/>
          <w:highlight w:val="none"/>
        </w:rPr>
      </w:pPr>
      <w:r>
        <w:rPr>
          <w:rFonts w:hint="default" w:ascii="Times New Roman" w:hAnsi="Times New Roman" w:eastAsia="宋体" w:cs="Times New Roman"/>
          <w:color w:val="auto"/>
          <w:spacing w:val="0"/>
          <w:highlight w:val="none"/>
        </w:rPr>
        <w:t>N</w:t>
      </w:r>
      <w:r>
        <w:rPr>
          <w:rFonts w:hint="default" w:ascii="Times New Roman" w:hAnsi="Times New Roman" w:eastAsia="宋体" w:cs="Times New Roman"/>
          <w:color w:val="auto"/>
          <w:spacing w:val="0"/>
          <w:highlight w:val="none"/>
          <w:vertAlign w:val="subscript"/>
        </w:rPr>
        <w:t>i</w:t>
      </w:r>
      <w:r>
        <w:rPr>
          <w:rFonts w:hint="default" w:ascii="Times New Roman" w:hAnsi="Times New Roman" w:eastAsia="宋体" w:cs="Times New Roman"/>
          <w:color w:val="auto"/>
          <w:spacing w:val="0"/>
          <w:highlight w:val="none"/>
        </w:rPr>
        <w:t>——第i型车辆的昼间或夜间的平均小时交通量，辆/h；</w:t>
      </w:r>
    </w:p>
    <w:p w14:paraId="27AD227D">
      <w:pPr>
        <w:pStyle w:val="93"/>
        <w:ind w:firstLine="1200" w:firstLineChars="500"/>
        <w:rPr>
          <w:rFonts w:hint="default" w:ascii="Times New Roman" w:hAnsi="Times New Roman" w:eastAsia="宋体" w:cs="Times New Roman"/>
          <w:color w:val="auto"/>
          <w:spacing w:val="0"/>
          <w:highlight w:val="none"/>
        </w:rPr>
      </w:pPr>
      <w:r>
        <w:rPr>
          <w:rFonts w:hint="default" w:ascii="Times New Roman" w:hAnsi="Times New Roman" w:eastAsia="宋体" w:cs="Times New Roman"/>
          <w:color w:val="auto"/>
          <w:spacing w:val="0"/>
          <w:highlight w:val="none"/>
        </w:rPr>
        <w:t>v</w:t>
      </w:r>
      <w:r>
        <w:rPr>
          <w:rFonts w:hint="default" w:ascii="Times New Roman" w:hAnsi="Times New Roman" w:eastAsia="宋体" w:cs="Times New Roman"/>
          <w:color w:val="auto"/>
          <w:spacing w:val="0"/>
          <w:highlight w:val="none"/>
          <w:vertAlign w:val="subscript"/>
        </w:rPr>
        <w:t>i</w:t>
      </w:r>
      <w:r>
        <w:rPr>
          <w:rFonts w:hint="default" w:ascii="Times New Roman" w:hAnsi="Times New Roman" w:eastAsia="宋体" w:cs="Times New Roman"/>
          <w:color w:val="auto"/>
          <w:spacing w:val="0"/>
          <w:highlight w:val="none"/>
        </w:rPr>
        <w:t>——i型车辆的平均行驶速度，km/h；</w:t>
      </w:r>
    </w:p>
    <w:p w14:paraId="42F80407">
      <w:pPr>
        <w:pStyle w:val="93"/>
        <w:ind w:firstLine="1200" w:firstLineChars="500"/>
        <w:rPr>
          <w:rFonts w:hint="default" w:ascii="Times New Roman" w:hAnsi="Times New Roman" w:eastAsia="宋体" w:cs="Times New Roman"/>
          <w:color w:val="auto"/>
          <w:spacing w:val="0"/>
          <w:highlight w:val="none"/>
        </w:rPr>
      </w:pPr>
      <w:r>
        <w:rPr>
          <w:rFonts w:hint="default" w:ascii="Times New Roman" w:hAnsi="Times New Roman" w:eastAsia="宋体" w:cs="Times New Roman"/>
          <w:color w:val="auto"/>
          <w:spacing w:val="0"/>
          <w:highlight w:val="none"/>
        </w:rPr>
        <w:t>T——LAeq的预测时间，在此取1h；</w:t>
      </w:r>
    </w:p>
    <w:p w14:paraId="2972FEC4">
      <w:pPr>
        <w:pStyle w:val="93"/>
        <w:ind w:firstLine="1200" w:firstLineChars="500"/>
        <w:rPr>
          <w:rFonts w:hint="default" w:ascii="Times New Roman" w:hAnsi="Times New Roman" w:eastAsia="宋体" w:cs="Times New Roman"/>
          <w:color w:val="auto"/>
          <w:spacing w:val="0"/>
          <w:highlight w:val="none"/>
        </w:rPr>
      </w:pPr>
      <w:r>
        <w:rPr>
          <w:rFonts w:hint="default" w:ascii="Times New Roman" w:hAnsi="Times New Roman" w:eastAsia="宋体" w:cs="Times New Roman"/>
          <w:color w:val="auto"/>
          <w:spacing w:val="0"/>
          <w:highlight w:val="none"/>
        </w:rPr>
        <w:t>ΔL距离——第i型车辆行驶噪声</w:t>
      </w:r>
      <w:r>
        <w:rPr>
          <w:rFonts w:hint="eastAsia" w:eastAsia="宋体" w:cs="Times New Roman"/>
          <w:color w:val="auto"/>
          <w:spacing w:val="0"/>
          <w:highlight w:val="none"/>
          <w:lang w:eastAsia="zh-CN"/>
        </w:rPr>
        <w:t>，</w:t>
      </w:r>
      <w:r>
        <w:rPr>
          <w:rFonts w:hint="default" w:ascii="Times New Roman" w:hAnsi="Times New Roman" w:eastAsia="宋体" w:cs="Times New Roman"/>
          <w:color w:val="auto"/>
          <w:spacing w:val="0"/>
          <w:highlight w:val="none"/>
        </w:rPr>
        <w:t>昼间或夜间在距噪声等效行车线距离为r的预测点处的距离衰减量，dB（A）；</w:t>
      </w:r>
    </w:p>
    <w:p w14:paraId="699CB6BB">
      <w:pPr>
        <w:pStyle w:val="93"/>
        <w:ind w:firstLine="1200" w:firstLineChars="500"/>
        <w:rPr>
          <w:rFonts w:hint="default" w:ascii="Times New Roman" w:hAnsi="Times New Roman" w:eastAsia="宋体" w:cs="Times New Roman"/>
          <w:color w:val="auto"/>
          <w:spacing w:val="0"/>
          <w:highlight w:val="none"/>
        </w:rPr>
      </w:pPr>
      <w:r>
        <w:rPr>
          <w:rFonts w:hint="default" w:ascii="Times New Roman" w:hAnsi="Times New Roman" w:eastAsia="宋体" w:cs="Times New Roman"/>
          <w:color w:val="auto"/>
          <w:spacing w:val="0"/>
          <w:highlight w:val="none"/>
        </w:rPr>
        <w:t>ΔL纵坡——公路纵坡引起的交通噪声修正量，dB（A）；</w:t>
      </w:r>
    </w:p>
    <w:p w14:paraId="13F1AC8B">
      <w:pPr>
        <w:pStyle w:val="93"/>
        <w:ind w:firstLine="1080" w:firstLineChars="450"/>
        <w:rPr>
          <w:rFonts w:hint="default" w:ascii="Times New Roman" w:hAnsi="Times New Roman" w:eastAsia="宋体" w:cs="Times New Roman"/>
          <w:color w:val="auto"/>
          <w:spacing w:val="0"/>
          <w:highlight w:val="none"/>
        </w:rPr>
      </w:pPr>
      <w:r>
        <w:rPr>
          <w:rFonts w:hint="default" w:ascii="Times New Roman" w:hAnsi="Times New Roman" w:eastAsia="宋体" w:cs="Times New Roman"/>
          <w:color w:val="auto"/>
          <w:spacing w:val="0"/>
          <w:highlight w:val="none"/>
        </w:rPr>
        <w:t>ΔL路面——公路路面引起的交通噪声修正量，dB（A）。</w:t>
      </w:r>
    </w:p>
    <w:p w14:paraId="1D926633">
      <w:pPr>
        <w:pStyle w:val="93"/>
        <w:ind w:firstLine="480"/>
        <w:rPr>
          <w:rFonts w:hint="default" w:ascii="Times New Roman" w:hAnsi="Times New Roman" w:eastAsia="宋体" w:cs="Times New Roman"/>
          <w:snapToGrid w:val="0"/>
          <w:color w:val="auto"/>
          <w:sz w:val="24"/>
          <w:highlight w:val="none"/>
        </w:rPr>
      </w:pPr>
      <w:r>
        <w:rPr>
          <w:rFonts w:hint="default" w:ascii="Times New Roman" w:hAnsi="Times New Roman" w:eastAsia="宋体" w:cs="Times New Roman"/>
          <w:color w:val="auto"/>
          <w:spacing w:val="0"/>
          <w:highlight w:val="none"/>
        </w:rPr>
        <w:t>本项目运输车辆引发的公路交通噪声对公路两侧的噪声贡献值见表6</w:t>
      </w:r>
      <w:r>
        <w:rPr>
          <w:rFonts w:hint="default" w:ascii="Times New Roman" w:hAnsi="Times New Roman" w:eastAsia="宋体" w:cs="Times New Roman"/>
          <w:color w:val="auto"/>
          <w:spacing w:val="0"/>
          <w:highlight w:val="none"/>
          <w:lang w:val="en-US" w:eastAsia="zh-CN"/>
        </w:rPr>
        <w:t>.</w:t>
      </w:r>
      <w:r>
        <w:rPr>
          <w:rFonts w:hint="default" w:ascii="Times New Roman" w:hAnsi="Times New Roman" w:eastAsia="宋体" w:cs="Times New Roman"/>
          <w:color w:val="auto"/>
          <w:spacing w:val="0"/>
          <w:highlight w:val="none"/>
        </w:rPr>
        <w:t>2</w:t>
      </w:r>
      <w:r>
        <w:rPr>
          <w:rFonts w:hint="default" w:ascii="Times New Roman" w:hAnsi="Times New Roman" w:eastAsia="宋体" w:cs="Times New Roman"/>
          <w:color w:val="auto"/>
          <w:spacing w:val="0"/>
          <w:highlight w:val="none"/>
          <w:lang w:val="en-US" w:eastAsia="zh-CN"/>
        </w:rPr>
        <w:t>-4</w:t>
      </w:r>
      <w:r>
        <w:rPr>
          <w:rFonts w:hint="eastAsia" w:eastAsia="宋体" w:cs="Times New Roman"/>
          <w:color w:val="auto"/>
          <w:spacing w:val="0"/>
          <w:highlight w:val="none"/>
          <w:lang w:val="en-US" w:eastAsia="zh-CN"/>
        </w:rPr>
        <w:t>7</w:t>
      </w:r>
      <w:r>
        <w:rPr>
          <w:rFonts w:hint="default" w:ascii="Times New Roman" w:hAnsi="Times New Roman" w:eastAsia="宋体" w:cs="Times New Roman"/>
          <w:color w:val="auto"/>
          <w:spacing w:val="0"/>
          <w:highlight w:val="none"/>
        </w:rPr>
        <w:t>。</w:t>
      </w:r>
    </w:p>
    <w:p w14:paraId="4FD172F6">
      <w:pPr>
        <w:pStyle w:val="35"/>
        <w:spacing w:after="0" w:line="480" w:lineRule="exact"/>
        <w:ind w:firstLine="240"/>
        <w:jc w:val="center"/>
        <w:rPr>
          <w:rFonts w:hint="default" w:ascii="Times New Roman" w:hAnsi="Times New Roman" w:eastAsia="宋体" w:cs="Times New Roman"/>
          <w:snapToGrid w:val="0"/>
          <w:color w:val="auto"/>
          <w:sz w:val="24"/>
          <w:highlight w:val="none"/>
        </w:rPr>
      </w:pPr>
      <w:r>
        <w:rPr>
          <w:rFonts w:hint="default" w:ascii="Times New Roman" w:hAnsi="Times New Roman" w:eastAsia="宋体" w:cs="Times New Roman"/>
          <w:snapToGrid w:val="0"/>
          <w:color w:val="auto"/>
          <w:sz w:val="24"/>
          <w:highlight w:val="none"/>
        </w:rPr>
        <w:t>表6</w:t>
      </w:r>
      <w:r>
        <w:rPr>
          <w:rFonts w:hint="default" w:ascii="Times New Roman" w:hAnsi="Times New Roman" w:eastAsia="宋体" w:cs="Times New Roman"/>
          <w:snapToGrid w:val="0"/>
          <w:color w:val="auto"/>
          <w:sz w:val="24"/>
          <w:highlight w:val="none"/>
          <w:lang w:val="en-US" w:eastAsia="zh-CN"/>
        </w:rPr>
        <w:t>.</w:t>
      </w:r>
      <w:r>
        <w:rPr>
          <w:rFonts w:hint="default" w:ascii="Times New Roman" w:hAnsi="Times New Roman" w:eastAsia="宋体" w:cs="Times New Roman"/>
          <w:snapToGrid w:val="0"/>
          <w:color w:val="auto"/>
          <w:sz w:val="24"/>
          <w:highlight w:val="none"/>
        </w:rPr>
        <w:t>2-</w:t>
      </w:r>
      <w:r>
        <w:rPr>
          <w:rFonts w:hint="eastAsia" w:cs="Times New Roman"/>
          <w:snapToGrid w:val="0"/>
          <w:color w:val="auto"/>
          <w:sz w:val="24"/>
          <w:highlight w:val="none"/>
          <w:lang w:val="en-US" w:eastAsia="zh-CN"/>
        </w:rPr>
        <w:t>38</w:t>
      </w:r>
      <w:r>
        <w:rPr>
          <w:rFonts w:hint="default" w:ascii="Times New Roman" w:hAnsi="Times New Roman" w:eastAsia="宋体" w:cs="Times New Roman"/>
          <w:snapToGrid w:val="0"/>
          <w:color w:val="auto"/>
          <w:sz w:val="24"/>
          <w:highlight w:val="none"/>
          <w:lang w:val="en-US" w:eastAsia="zh-CN"/>
        </w:rPr>
        <w:t xml:space="preserve"> </w:t>
      </w:r>
      <w:r>
        <w:rPr>
          <w:rFonts w:hint="default" w:ascii="Times New Roman" w:hAnsi="Times New Roman" w:eastAsia="宋体" w:cs="Times New Roman"/>
          <w:snapToGrid w:val="0"/>
          <w:color w:val="auto"/>
          <w:sz w:val="24"/>
          <w:highlight w:val="none"/>
        </w:rPr>
        <w:t xml:space="preserve"> 本项目公路运输交通噪声贡献值单位：dB(A)</w:t>
      </w:r>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776"/>
        <w:gridCol w:w="776"/>
        <w:gridCol w:w="776"/>
        <w:gridCol w:w="782"/>
        <w:gridCol w:w="775"/>
        <w:gridCol w:w="775"/>
        <w:gridCol w:w="775"/>
        <w:gridCol w:w="775"/>
        <w:gridCol w:w="679"/>
        <w:gridCol w:w="857"/>
      </w:tblGrid>
      <w:tr w14:paraId="49290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6" w:type="dxa"/>
            <w:tcBorders>
              <w:top w:val="single" w:color="auto" w:sz="12" w:space="0"/>
              <w:left w:val="nil"/>
              <w:right w:val="single" w:color="auto" w:sz="4" w:space="0"/>
            </w:tcBorders>
            <w:noWrap w:val="0"/>
            <w:vAlign w:val="center"/>
          </w:tcPr>
          <w:p w14:paraId="068851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路段</w:t>
            </w:r>
          </w:p>
        </w:tc>
        <w:tc>
          <w:tcPr>
            <w:tcW w:w="7746" w:type="dxa"/>
            <w:gridSpan w:val="10"/>
            <w:tcBorders>
              <w:top w:val="single" w:color="auto" w:sz="12" w:space="0"/>
              <w:left w:val="single" w:color="auto" w:sz="4" w:space="0"/>
              <w:right w:val="nil"/>
            </w:tcBorders>
            <w:noWrap w:val="0"/>
            <w:vAlign w:val="center"/>
          </w:tcPr>
          <w:p w14:paraId="7A0554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公路中线两侧不同距离处交通噪声贡献值L</w:t>
            </w:r>
            <w:r>
              <w:rPr>
                <w:rFonts w:hint="default" w:ascii="Times New Roman" w:hAnsi="Times New Roman" w:eastAsia="宋体" w:cs="Times New Roman"/>
                <w:color w:val="auto"/>
                <w:sz w:val="21"/>
                <w:szCs w:val="21"/>
                <w:highlight w:val="none"/>
                <w:vertAlign w:val="subscript"/>
              </w:rPr>
              <w:t>Aeq</w:t>
            </w:r>
            <w:r>
              <w:rPr>
                <w:rFonts w:hint="default" w:ascii="Times New Roman" w:hAnsi="Times New Roman" w:eastAsia="宋体" w:cs="Times New Roman"/>
                <w:color w:val="auto"/>
                <w:sz w:val="21"/>
                <w:szCs w:val="21"/>
                <w:highlight w:val="none"/>
              </w:rPr>
              <w:t>，dB（A）</w:t>
            </w:r>
          </w:p>
        </w:tc>
      </w:tr>
      <w:tr w14:paraId="6BF7E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6" w:type="dxa"/>
            <w:vMerge w:val="restart"/>
            <w:tcBorders>
              <w:left w:val="nil"/>
              <w:right w:val="single" w:color="auto" w:sz="4" w:space="0"/>
            </w:tcBorders>
            <w:noWrap w:val="0"/>
            <w:vAlign w:val="center"/>
          </w:tcPr>
          <w:p w14:paraId="37E631B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全</w:t>
            </w:r>
          </w:p>
          <w:p w14:paraId="6AF12D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路</w:t>
            </w:r>
          </w:p>
          <w:p w14:paraId="2C7B6A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段</w:t>
            </w:r>
          </w:p>
        </w:tc>
        <w:tc>
          <w:tcPr>
            <w:tcW w:w="7746" w:type="dxa"/>
            <w:gridSpan w:val="10"/>
            <w:tcBorders>
              <w:left w:val="single" w:color="auto" w:sz="4" w:space="0"/>
              <w:right w:val="nil"/>
            </w:tcBorders>
            <w:noWrap w:val="0"/>
            <w:vAlign w:val="center"/>
          </w:tcPr>
          <w:p w14:paraId="0564FD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类声环境功能区</w:t>
            </w:r>
          </w:p>
        </w:tc>
      </w:tr>
      <w:tr w14:paraId="10926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6" w:type="dxa"/>
            <w:vMerge w:val="continue"/>
            <w:tcBorders>
              <w:left w:val="nil"/>
              <w:right w:val="single" w:color="auto" w:sz="4" w:space="0"/>
            </w:tcBorders>
            <w:noWrap w:val="0"/>
            <w:vAlign w:val="center"/>
          </w:tcPr>
          <w:p w14:paraId="6F6655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776" w:type="dxa"/>
            <w:tcBorders>
              <w:left w:val="single" w:color="auto" w:sz="4" w:space="0"/>
              <w:right w:val="single" w:color="auto" w:sz="4" w:space="0"/>
            </w:tcBorders>
            <w:noWrap w:val="0"/>
            <w:vAlign w:val="center"/>
          </w:tcPr>
          <w:p w14:paraId="3BFA40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10m</w:t>
            </w:r>
          </w:p>
        </w:tc>
        <w:tc>
          <w:tcPr>
            <w:tcW w:w="776" w:type="dxa"/>
            <w:tcBorders>
              <w:left w:val="single" w:color="auto" w:sz="4" w:space="0"/>
              <w:right w:val="single" w:color="auto" w:sz="4" w:space="0"/>
            </w:tcBorders>
            <w:noWrap w:val="0"/>
            <w:vAlign w:val="center"/>
          </w:tcPr>
          <w:p w14:paraId="587CE8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20m</w:t>
            </w:r>
          </w:p>
        </w:tc>
        <w:tc>
          <w:tcPr>
            <w:tcW w:w="776" w:type="dxa"/>
            <w:tcBorders>
              <w:left w:val="single" w:color="auto" w:sz="4" w:space="0"/>
              <w:right w:val="single" w:color="auto" w:sz="4" w:space="0"/>
            </w:tcBorders>
            <w:noWrap w:val="0"/>
            <w:vAlign w:val="center"/>
          </w:tcPr>
          <w:p w14:paraId="3F6F63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 m</w:t>
            </w:r>
          </w:p>
        </w:tc>
        <w:tc>
          <w:tcPr>
            <w:tcW w:w="782" w:type="dxa"/>
            <w:tcBorders>
              <w:left w:val="single" w:color="auto" w:sz="4" w:space="0"/>
              <w:right w:val="single" w:color="auto" w:sz="4" w:space="0"/>
            </w:tcBorders>
            <w:noWrap w:val="0"/>
            <w:vAlign w:val="center"/>
          </w:tcPr>
          <w:p w14:paraId="13D6E4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40 m</w:t>
            </w:r>
          </w:p>
        </w:tc>
        <w:tc>
          <w:tcPr>
            <w:tcW w:w="775" w:type="dxa"/>
            <w:tcBorders>
              <w:left w:val="single" w:color="auto" w:sz="4" w:space="0"/>
              <w:right w:val="single" w:color="auto" w:sz="4" w:space="0"/>
            </w:tcBorders>
            <w:noWrap w:val="0"/>
            <w:vAlign w:val="center"/>
          </w:tcPr>
          <w:p w14:paraId="678AC2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50 m</w:t>
            </w:r>
          </w:p>
        </w:tc>
        <w:tc>
          <w:tcPr>
            <w:tcW w:w="775" w:type="dxa"/>
            <w:tcBorders>
              <w:left w:val="single" w:color="auto" w:sz="4" w:space="0"/>
              <w:right w:val="single" w:color="auto" w:sz="4" w:space="0"/>
            </w:tcBorders>
            <w:noWrap w:val="0"/>
            <w:vAlign w:val="center"/>
          </w:tcPr>
          <w:p w14:paraId="33117B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60 m</w:t>
            </w:r>
          </w:p>
        </w:tc>
        <w:tc>
          <w:tcPr>
            <w:tcW w:w="775" w:type="dxa"/>
            <w:tcBorders>
              <w:left w:val="single" w:color="auto" w:sz="4" w:space="0"/>
              <w:right w:val="single" w:color="auto" w:sz="4" w:space="0"/>
            </w:tcBorders>
            <w:noWrap w:val="0"/>
            <w:vAlign w:val="center"/>
          </w:tcPr>
          <w:p w14:paraId="0A3302C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70 m</w:t>
            </w:r>
          </w:p>
        </w:tc>
        <w:tc>
          <w:tcPr>
            <w:tcW w:w="775" w:type="dxa"/>
            <w:tcBorders>
              <w:left w:val="single" w:color="auto" w:sz="4" w:space="0"/>
              <w:right w:val="single" w:color="auto" w:sz="4" w:space="0"/>
            </w:tcBorders>
            <w:noWrap w:val="0"/>
            <w:vAlign w:val="center"/>
          </w:tcPr>
          <w:p w14:paraId="2798BD1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80 m</w:t>
            </w:r>
          </w:p>
        </w:tc>
        <w:tc>
          <w:tcPr>
            <w:tcW w:w="679" w:type="dxa"/>
            <w:tcBorders>
              <w:left w:val="single" w:color="auto" w:sz="4" w:space="0"/>
              <w:right w:val="single" w:color="auto" w:sz="4" w:space="0"/>
            </w:tcBorders>
            <w:noWrap w:val="0"/>
            <w:vAlign w:val="center"/>
          </w:tcPr>
          <w:p w14:paraId="71C0B2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90 m</w:t>
            </w:r>
          </w:p>
        </w:tc>
        <w:tc>
          <w:tcPr>
            <w:tcW w:w="857" w:type="dxa"/>
            <w:tcBorders>
              <w:left w:val="single" w:color="auto" w:sz="4" w:space="0"/>
              <w:right w:val="nil"/>
            </w:tcBorders>
            <w:noWrap w:val="0"/>
            <w:vAlign w:val="center"/>
          </w:tcPr>
          <w:p w14:paraId="77F4F2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100 m</w:t>
            </w:r>
          </w:p>
        </w:tc>
      </w:tr>
      <w:tr w14:paraId="3773C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6" w:type="dxa"/>
            <w:vMerge w:val="continue"/>
            <w:tcBorders>
              <w:left w:val="nil"/>
              <w:bottom w:val="single" w:color="auto" w:sz="12" w:space="0"/>
              <w:right w:val="single" w:color="auto" w:sz="4" w:space="0"/>
            </w:tcBorders>
            <w:noWrap w:val="0"/>
            <w:vAlign w:val="center"/>
          </w:tcPr>
          <w:p w14:paraId="7834A5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776" w:type="dxa"/>
            <w:tcBorders>
              <w:left w:val="single" w:color="auto" w:sz="4" w:space="0"/>
              <w:bottom w:val="single" w:color="auto" w:sz="12" w:space="0"/>
              <w:right w:val="single" w:color="auto" w:sz="4" w:space="0"/>
            </w:tcBorders>
            <w:noWrap w:val="0"/>
            <w:vAlign w:val="center"/>
          </w:tcPr>
          <w:p w14:paraId="0167D0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54.9</w:t>
            </w:r>
          </w:p>
        </w:tc>
        <w:tc>
          <w:tcPr>
            <w:tcW w:w="776" w:type="dxa"/>
            <w:tcBorders>
              <w:left w:val="single" w:color="auto" w:sz="4" w:space="0"/>
              <w:bottom w:val="single" w:color="auto" w:sz="12" w:space="0"/>
              <w:right w:val="single" w:color="auto" w:sz="4" w:space="0"/>
            </w:tcBorders>
            <w:noWrap w:val="0"/>
            <w:vAlign w:val="center"/>
          </w:tcPr>
          <w:p w14:paraId="0539CD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51.9</w:t>
            </w:r>
          </w:p>
        </w:tc>
        <w:tc>
          <w:tcPr>
            <w:tcW w:w="776" w:type="dxa"/>
            <w:tcBorders>
              <w:left w:val="single" w:color="auto" w:sz="4" w:space="0"/>
              <w:bottom w:val="single" w:color="auto" w:sz="12" w:space="0"/>
              <w:right w:val="single" w:color="auto" w:sz="4" w:space="0"/>
            </w:tcBorders>
            <w:noWrap w:val="0"/>
            <w:vAlign w:val="center"/>
          </w:tcPr>
          <w:p w14:paraId="682E34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50.1</w:t>
            </w:r>
          </w:p>
        </w:tc>
        <w:tc>
          <w:tcPr>
            <w:tcW w:w="782" w:type="dxa"/>
            <w:tcBorders>
              <w:left w:val="single" w:color="auto" w:sz="4" w:space="0"/>
              <w:bottom w:val="single" w:color="auto" w:sz="12" w:space="0"/>
              <w:right w:val="single" w:color="auto" w:sz="4" w:space="0"/>
            </w:tcBorders>
            <w:noWrap w:val="0"/>
            <w:vAlign w:val="center"/>
          </w:tcPr>
          <w:p w14:paraId="3DFD05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48.8</w:t>
            </w:r>
          </w:p>
        </w:tc>
        <w:tc>
          <w:tcPr>
            <w:tcW w:w="775" w:type="dxa"/>
            <w:tcBorders>
              <w:left w:val="single" w:color="auto" w:sz="4" w:space="0"/>
              <w:bottom w:val="single" w:color="auto" w:sz="12" w:space="0"/>
              <w:right w:val="single" w:color="auto" w:sz="4" w:space="0"/>
            </w:tcBorders>
            <w:noWrap w:val="0"/>
            <w:vAlign w:val="center"/>
          </w:tcPr>
          <w:p w14:paraId="23050B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47.8</w:t>
            </w:r>
          </w:p>
        </w:tc>
        <w:tc>
          <w:tcPr>
            <w:tcW w:w="775" w:type="dxa"/>
            <w:tcBorders>
              <w:left w:val="single" w:color="auto" w:sz="4" w:space="0"/>
              <w:bottom w:val="single" w:color="auto" w:sz="12" w:space="0"/>
              <w:right w:val="single" w:color="auto" w:sz="4" w:space="0"/>
            </w:tcBorders>
            <w:noWrap w:val="0"/>
            <w:vAlign w:val="center"/>
          </w:tcPr>
          <w:p w14:paraId="42BF2A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47</w:t>
            </w:r>
          </w:p>
        </w:tc>
        <w:tc>
          <w:tcPr>
            <w:tcW w:w="775" w:type="dxa"/>
            <w:tcBorders>
              <w:left w:val="single" w:color="auto" w:sz="4" w:space="0"/>
              <w:bottom w:val="single" w:color="auto" w:sz="12" w:space="0"/>
              <w:right w:val="single" w:color="auto" w:sz="4" w:space="0"/>
            </w:tcBorders>
            <w:noWrap w:val="0"/>
            <w:vAlign w:val="center"/>
          </w:tcPr>
          <w:p w14:paraId="71D43E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46.3</w:t>
            </w:r>
          </w:p>
        </w:tc>
        <w:tc>
          <w:tcPr>
            <w:tcW w:w="775" w:type="dxa"/>
            <w:tcBorders>
              <w:left w:val="single" w:color="auto" w:sz="4" w:space="0"/>
              <w:bottom w:val="single" w:color="auto" w:sz="12" w:space="0"/>
              <w:right w:val="single" w:color="auto" w:sz="4" w:space="0"/>
            </w:tcBorders>
            <w:noWrap w:val="0"/>
            <w:vAlign w:val="center"/>
          </w:tcPr>
          <w:p w14:paraId="7ACC82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45.7</w:t>
            </w:r>
          </w:p>
        </w:tc>
        <w:tc>
          <w:tcPr>
            <w:tcW w:w="679" w:type="dxa"/>
            <w:tcBorders>
              <w:left w:val="single" w:color="auto" w:sz="4" w:space="0"/>
              <w:bottom w:val="single" w:color="auto" w:sz="12" w:space="0"/>
              <w:right w:val="single" w:color="auto" w:sz="4" w:space="0"/>
            </w:tcBorders>
            <w:noWrap w:val="0"/>
            <w:vAlign w:val="center"/>
          </w:tcPr>
          <w:p w14:paraId="7B4F11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45.1</w:t>
            </w:r>
          </w:p>
        </w:tc>
        <w:tc>
          <w:tcPr>
            <w:tcW w:w="857" w:type="dxa"/>
            <w:tcBorders>
              <w:left w:val="single" w:color="auto" w:sz="4" w:space="0"/>
              <w:bottom w:val="single" w:color="auto" w:sz="12" w:space="0"/>
              <w:right w:val="nil"/>
            </w:tcBorders>
            <w:noWrap w:val="0"/>
            <w:vAlign w:val="center"/>
          </w:tcPr>
          <w:p w14:paraId="47CBAF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44.6</w:t>
            </w:r>
          </w:p>
        </w:tc>
      </w:tr>
    </w:tbl>
    <w:p w14:paraId="3B0EF0B6">
      <w:pPr>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由表6-2</w:t>
      </w:r>
      <w:r>
        <w:rPr>
          <w:rFonts w:hint="default" w:ascii="Times New Roman" w:hAnsi="Times New Roman" w:eastAsia="宋体" w:cs="Times New Roman"/>
          <w:color w:val="auto"/>
          <w:highlight w:val="none"/>
          <w:lang w:val="en-US" w:eastAsia="zh-CN"/>
        </w:rPr>
        <w:t>-4</w:t>
      </w:r>
      <w:r>
        <w:rPr>
          <w:rFonts w:hint="eastAsia" w:ascii="Times New Roman" w:hAnsi="Times New Roman" w:eastAsia="宋体" w:cs="Times New Roman"/>
          <w:color w:val="auto"/>
          <w:highlight w:val="none"/>
          <w:lang w:val="en-US" w:eastAsia="zh-CN"/>
        </w:rPr>
        <w:t>7</w:t>
      </w:r>
      <w:r>
        <w:rPr>
          <w:rFonts w:hint="default" w:ascii="Times New Roman" w:hAnsi="Times New Roman" w:eastAsia="宋体" w:cs="Times New Roman"/>
          <w:color w:val="auto"/>
          <w:highlight w:val="none"/>
        </w:rPr>
        <w:t>可以看出，本项目运输车辆对市区道路两侧的交通噪声贡献值符合《声环境质量标准》（GB3096-2008）昼间</w:t>
      </w:r>
      <w:r>
        <w:rPr>
          <w:rFonts w:hint="eastAsia"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类标准限值。本项目夜间不安排运输，当白天运输</w:t>
      </w:r>
      <w:r>
        <w:rPr>
          <w:rFonts w:hint="eastAsia" w:ascii="Times New Roman" w:hAnsi="Times New Roman" w:eastAsia="宋体" w:cs="Times New Roman"/>
          <w:color w:val="auto"/>
          <w:highlight w:val="none"/>
          <w:lang w:eastAsia="zh-CN"/>
        </w:rPr>
        <w:t>车辆</w:t>
      </w:r>
      <w:r>
        <w:rPr>
          <w:rFonts w:hint="default" w:ascii="Times New Roman" w:hAnsi="Times New Roman" w:eastAsia="宋体" w:cs="Times New Roman"/>
          <w:color w:val="auto"/>
          <w:highlight w:val="none"/>
        </w:rPr>
        <w:t>经过居民区时，运输车辆应采取限制车速、禁鸣等措施，可有效降低运输车辆噪声对道路两侧居民的影响</w:t>
      </w:r>
      <w:r>
        <w:rPr>
          <w:rFonts w:hint="default" w:ascii="Times New Roman" w:hAnsi="Times New Roman" w:eastAsia="宋体" w:cs="Times New Roman"/>
          <w:color w:val="auto"/>
          <w:highlight w:val="none"/>
          <w:lang w:eastAsia="zh-CN"/>
        </w:rPr>
        <w:t>。</w:t>
      </w:r>
    </w:p>
    <w:p w14:paraId="55C1D5FB">
      <w:pPr>
        <w:pStyle w:val="6"/>
        <w:numPr>
          <w:ilvl w:val="2"/>
          <w:numId w:val="3"/>
        </w:numPr>
        <w:bidi w:val="0"/>
        <w:ind w:left="709" w:leftChars="0" w:hanging="709" w:firstLineChars="0"/>
        <w:rPr>
          <w:rFonts w:hint="default" w:ascii="Times New Roman" w:hAnsi="Times New Roman" w:eastAsia="宋体" w:cs="Times New Roman"/>
          <w:color w:val="auto"/>
          <w:highlight w:val="none"/>
          <w:lang w:eastAsia="zh-CN"/>
        </w:rPr>
      </w:pPr>
      <w:bookmarkStart w:id="457" w:name="_Toc4304"/>
      <w:bookmarkStart w:id="458" w:name="_Toc29212"/>
      <w:bookmarkStart w:id="459" w:name="_Toc29465"/>
      <w:r>
        <w:rPr>
          <w:rFonts w:hint="default" w:ascii="Times New Roman" w:hAnsi="Times New Roman" w:eastAsia="宋体" w:cs="Times New Roman"/>
          <w:color w:val="auto"/>
          <w:highlight w:val="none"/>
          <w:lang w:eastAsia="zh-CN"/>
        </w:rPr>
        <w:t>生态环境影响分析</w:t>
      </w:r>
      <w:bookmarkEnd w:id="457"/>
      <w:bookmarkEnd w:id="458"/>
      <w:bookmarkEnd w:id="459"/>
    </w:p>
    <w:p w14:paraId="3C64E58B">
      <w:pPr>
        <w:bidi w:val="0"/>
        <w:rPr>
          <w:rFonts w:hint="default" w:ascii="Times New Roman" w:hAnsi="Times New Roman" w:eastAsia="宋体" w:cs="Times New Roman"/>
          <w:color w:val="auto"/>
          <w:spacing w:val="0"/>
          <w:sz w:val="24"/>
          <w:highlight w:val="none"/>
          <w:lang w:val="en-US" w:eastAsia="zh-CN"/>
        </w:rPr>
      </w:pPr>
      <w:r>
        <w:rPr>
          <w:rFonts w:hint="default" w:ascii="Times New Roman" w:hAnsi="Times New Roman" w:eastAsia="宋体" w:cs="Times New Roman"/>
          <w:color w:val="auto"/>
          <w:spacing w:val="0"/>
          <w:sz w:val="24"/>
          <w:highlight w:val="none"/>
        </w:rPr>
        <w:t>本项目选址位于</w:t>
      </w:r>
      <w:r>
        <w:rPr>
          <w:rFonts w:hint="eastAsia" w:ascii="Times New Roman" w:hAnsi="Times New Roman" w:eastAsia="宋体" w:cs="Times New Roman"/>
          <w:color w:val="auto"/>
          <w:spacing w:val="0"/>
          <w:sz w:val="24"/>
          <w:highlight w:val="none"/>
          <w:lang w:val="en-US" w:eastAsia="zh-CN"/>
        </w:rPr>
        <w:t>佳木斯市</w:t>
      </w:r>
      <w:r>
        <w:rPr>
          <w:rFonts w:hint="default" w:ascii="Times New Roman" w:hAnsi="Times New Roman" w:eastAsia="宋体" w:cs="Times New Roman"/>
          <w:color w:val="auto"/>
          <w:spacing w:val="0"/>
          <w:sz w:val="24"/>
          <w:highlight w:val="none"/>
          <w:lang w:val="en-US" w:eastAsia="zh-CN"/>
        </w:rPr>
        <w:t>，</w:t>
      </w:r>
      <w:r>
        <w:rPr>
          <w:rFonts w:hint="default" w:ascii="Times New Roman" w:hAnsi="Times New Roman" w:eastAsia="宋体" w:cs="Times New Roman"/>
          <w:color w:val="auto"/>
          <w:spacing w:val="0"/>
          <w:sz w:val="24"/>
          <w:highlight w:val="none"/>
        </w:rPr>
        <w:t>用地性质为工业用地，厂址所在区域</w:t>
      </w:r>
      <w:r>
        <w:rPr>
          <w:rFonts w:hint="default" w:ascii="Times New Roman" w:hAnsi="Times New Roman" w:eastAsia="宋体" w:cs="Times New Roman"/>
          <w:color w:val="auto"/>
          <w:spacing w:val="0"/>
          <w:sz w:val="24"/>
          <w:highlight w:val="none"/>
          <w:lang w:val="en-US" w:eastAsia="zh-CN"/>
        </w:rPr>
        <w:t>多为居住用地，</w:t>
      </w:r>
      <w:r>
        <w:rPr>
          <w:rFonts w:hint="default" w:ascii="Times New Roman" w:hAnsi="Times New Roman" w:eastAsia="宋体" w:cs="Times New Roman"/>
          <w:color w:val="auto"/>
          <w:spacing w:val="0"/>
          <w:sz w:val="24"/>
          <w:highlight w:val="none"/>
        </w:rPr>
        <w:t>自然生态已被人工生态所代替。占地内无古稀树木和保护树种，树木、草丛中已无大型哺乳动物，仅有鸟类、鼠类及昆虫类小型动物，因此</w:t>
      </w:r>
      <w:r>
        <w:rPr>
          <w:rFonts w:hint="default" w:ascii="Times New Roman" w:hAnsi="Times New Roman" w:eastAsia="宋体" w:cs="Times New Roman"/>
          <w:color w:val="auto"/>
          <w:spacing w:val="0"/>
          <w:sz w:val="24"/>
          <w:highlight w:val="none"/>
          <w:lang w:val="en-US" w:eastAsia="zh-CN"/>
        </w:rPr>
        <w:t>本</w:t>
      </w:r>
      <w:r>
        <w:rPr>
          <w:rFonts w:hint="default" w:ascii="Times New Roman" w:hAnsi="Times New Roman" w:eastAsia="宋体" w:cs="Times New Roman"/>
          <w:color w:val="auto"/>
          <w:spacing w:val="0"/>
          <w:sz w:val="24"/>
          <w:highlight w:val="none"/>
        </w:rPr>
        <w:t>项目建设</w:t>
      </w:r>
      <w:r>
        <w:rPr>
          <w:rFonts w:hint="default" w:ascii="Times New Roman" w:hAnsi="Times New Roman" w:eastAsia="宋体" w:cs="Times New Roman"/>
          <w:color w:val="auto"/>
          <w:spacing w:val="0"/>
          <w:sz w:val="24"/>
          <w:highlight w:val="none"/>
          <w:lang w:eastAsia="zh-CN"/>
        </w:rPr>
        <w:t>对</w:t>
      </w:r>
      <w:r>
        <w:rPr>
          <w:rFonts w:hint="default" w:ascii="Times New Roman" w:hAnsi="Times New Roman" w:eastAsia="宋体" w:cs="Times New Roman"/>
          <w:color w:val="auto"/>
          <w:spacing w:val="0"/>
          <w:sz w:val="24"/>
          <w:highlight w:val="none"/>
        </w:rPr>
        <w:t>生态</w:t>
      </w:r>
      <w:r>
        <w:rPr>
          <w:rFonts w:hint="default" w:ascii="Times New Roman" w:hAnsi="Times New Roman" w:eastAsia="宋体" w:cs="Times New Roman"/>
          <w:color w:val="auto"/>
          <w:spacing w:val="0"/>
          <w:sz w:val="24"/>
          <w:highlight w:val="none"/>
          <w:lang w:eastAsia="zh-CN"/>
        </w:rPr>
        <w:t>环境</w:t>
      </w:r>
      <w:r>
        <w:rPr>
          <w:rFonts w:hint="default" w:ascii="Times New Roman" w:hAnsi="Times New Roman" w:eastAsia="宋体" w:cs="Times New Roman"/>
          <w:color w:val="auto"/>
          <w:spacing w:val="0"/>
          <w:sz w:val="24"/>
          <w:highlight w:val="none"/>
        </w:rPr>
        <w:t>影响甚微。</w:t>
      </w:r>
    </w:p>
    <w:p w14:paraId="7307F5C7">
      <w:pPr>
        <w:pStyle w:val="6"/>
        <w:numPr>
          <w:ilvl w:val="2"/>
          <w:numId w:val="3"/>
        </w:numPr>
        <w:bidi w:val="0"/>
        <w:ind w:left="709" w:leftChars="0" w:hanging="709" w:firstLineChars="0"/>
        <w:rPr>
          <w:rFonts w:hint="default" w:ascii="Times New Roman" w:hAnsi="Times New Roman" w:eastAsia="宋体" w:cs="Times New Roman"/>
          <w:color w:val="auto"/>
          <w:highlight w:val="none"/>
          <w:lang w:eastAsia="zh-CN"/>
        </w:rPr>
      </w:pPr>
      <w:bookmarkStart w:id="460" w:name="_Toc8349"/>
      <w:bookmarkStart w:id="461" w:name="_Toc1511"/>
      <w:bookmarkStart w:id="462" w:name="_Toc4089"/>
      <w:r>
        <w:rPr>
          <w:rFonts w:hint="eastAsia" w:ascii="Times New Roman" w:hAnsi="Times New Roman" w:cs="Times New Roman"/>
          <w:color w:val="auto"/>
          <w:highlight w:val="none"/>
          <w:lang w:val="en-US" w:eastAsia="zh-CN"/>
        </w:rPr>
        <w:t>环境风险影响分析</w:t>
      </w:r>
    </w:p>
    <w:p w14:paraId="2C2F594C">
      <w:pPr>
        <w:pStyle w:val="5"/>
        <w:rPr>
          <w:rFonts w:hint="default" w:ascii="Times New Roman" w:hAnsi="Times New Roman" w:eastAsia="宋体" w:cs="Times New Roman"/>
          <w:color w:val="auto"/>
          <w:spacing w:val="0"/>
          <w:kern w:val="2"/>
          <w:sz w:val="24"/>
          <w:szCs w:val="22"/>
          <w:highlight w:val="none"/>
          <w:lang w:val="en-US" w:eastAsia="zh-CN" w:bidi="ar-SA"/>
        </w:rPr>
      </w:pPr>
      <w:r>
        <w:rPr>
          <w:rFonts w:hint="default" w:ascii="Times New Roman" w:hAnsi="Times New Roman" w:eastAsia="宋体" w:cs="Times New Roman"/>
          <w:color w:val="auto"/>
          <w:spacing w:val="0"/>
          <w:kern w:val="2"/>
          <w:sz w:val="24"/>
          <w:szCs w:val="22"/>
          <w:highlight w:val="none"/>
          <w:lang w:val="en-US" w:eastAsia="zh-CN" w:bidi="ar-SA"/>
        </w:rPr>
        <w:t>根据《建设项目环境风险评价技术导则》（HJ169-2018）“附录B重点关注的危险物质及临界量”可知，本项目机械维修及拆解过程中会产生废矿物油，废矿物油产生量约0.</w:t>
      </w:r>
      <w:r>
        <w:rPr>
          <w:rFonts w:hint="eastAsia" w:ascii="Times New Roman" w:hAnsi="Times New Roman" w:eastAsia="宋体" w:cs="Times New Roman"/>
          <w:color w:val="auto"/>
          <w:spacing w:val="0"/>
          <w:kern w:val="2"/>
          <w:sz w:val="24"/>
          <w:szCs w:val="22"/>
          <w:highlight w:val="none"/>
          <w:lang w:val="en-US" w:eastAsia="zh-CN" w:bidi="ar-SA"/>
        </w:rPr>
        <w:t>1</w:t>
      </w:r>
      <w:r>
        <w:rPr>
          <w:rFonts w:hint="default" w:ascii="Times New Roman" w:hAnsi="Times New Roman" w:eastAsia="宋体" w:cs="Times New Roman"/>
          <w:color w:val="auto"/>
          <w:spacing w:val="0"/>
          <w:kern w:val="2"/>
          <w:sz w:val="24"/>
          <w:szCs w:val="22"/>
          <w:highlight w:val="none"/>
          <w:lang w:val="en-US" w:eastAsia="zh-CN" w:bidi="ar-SA"/>
        </w:rPr>
        <w:t>t/a，产生量很小，暂存于危废</w:t>
      </w:r>
      <w:r>
        <w:rPr>
          <w:rFonts w:hint="eastAsia" w:ascii="Times New Roman" w:hAnsi="Times New Roman" w:eastAsia="宋体" w:cs="Times New Roman"/>
          <w:color w:val="auto"/>
          <w:spacing w:val="0"/>
          <w:kern w:val="2"/>
          <w:sz w:val="24"/>
          <w:szCs w:val="22"/>
          <w:highlight w:val="none"/>
          <w:lang w:val="en-US" w:eastAsia="zh-CN" w:bidi="ar-SA"/>
        </w:rPr>
        <w:t>贮存库</w:t>
      </w:r>
      <w:r>
        <w:rPr>
          <w:rFonts w:hint="default" w:ascii="Times New Roman" w:hAnsi="Times New Roman" w:eastAsia="宋体" w:cs="Times New Roman"/>
          <w:color w:val="auto"/>
          <w:spacing w:val="0"/>
          <w:kern w:val="2"/>
          <w:sz w:val="24"/>
          <w:szCs w:val="22"/>
          <w:highlight w:val="none"/>
          <w:lang w:val="en-US" w:eastAsia="zh-CN" w:bidi="ar-SA"/>
        </w:rPr>
        <w:t>，委托有危险废物处理资质的单位统一处理。</w:t>
      </w:r>
    </w:p>
    <w:p w14:paraId="223CABF9">
      <w:pPr>
        <w:pStyle w:val="6"/>
        <w:numPr>
          <w:ilvl w:val="2"/>
          <w:numId w:val="3"/>
        </w:numPr>
        <w:bidi w:val="0"/>
        <w:ind w:left="709" w:leftChars="0" w:hanging="709" w:firstLineChars="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土壤环境影响预测分析</w:t>
      </w:r>
      <w:bookmarkEnd w:id="460"/>
      <w:bookmarkEnd w:id="461"/>
      <w:bookmarkEnd w:id="462"/>
    </w:p>
    <w:p w14:paraId="6476318C">
      <w:pPr>
        <w:pStyle w:val="7"/>
        <w:numPr>
          <w:ilvl w:val="3"/>
          <w:numId w:val="3"/>
        </w:numPr>
        <w:bidi w:val="0"/>
        <w:ind w:left="850" w:leftChars="0" w:hanging="850" w:firstLineChars="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预测因子</w:t>
      </w:r>
    </w:p>
    <w:p w14:paraId="4CCB5AC8">
      <w:pPr>
        <w:bidi w:val="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本项目为</w:t>
      </w:r>
      <w:r>
        <w:rPr>
          <w:rFonts w:hint="default" w:ascii="Times New Roman" w:hAnsi="Times New Roman" w:eastAsia="宋体" w:cs="Times New Roman"/>
          <w:color w:val="auto"/>
          <w:sz w:val="24"/>
          <w:szCs w:val="24"/>
          <w:highlight w:val="none"/>
          <w:lang w:val="en-US" w:eastAsia="zh-CN"/>
        </w:rPr>
        <w:t>热力生产</w:t>
      </w:r>
      <w:r>
        <w:rPr>
          <w:rFonts w:hint="default" w:ascii="Times New Roman" w:hAnsi="Times New Roman" w:eastAsia="宋体" w:cs="Times New Roman"/>
          <w:color w:val="auto"/>
          <w:sz w:val="24"/>
          <w:szCs w:val="24"/>
          <w:highlight w:val="none"/>
        </w:rPr>
        <w:t>项目，对于土壤环境属于污染影响型项目，根据本项目特点，造成土壤污染的途径主要</w:t>
      </w:r>
      <w:r>
        <w:rPr>
          <w:rFonts w:hint="default" w:ascii="Times New Roman" w:hAnsi="Times New Roman" w:eastAsia="宋体" w:cs="Times New Roman"/>
          <w:color w:val="auto"/>
          <w:sz w:val="24"/>
          <w:szCs w:val="24"/>
          <w:highlight w:val="none"/>
          <w:lang w:val="en-US" w:eastAsia="zh-CN"/>
        </w:rPr>
        <w:t>是</w:t>
      </w:r>
      <w:r>
        <w:rPr>
          <w:rFonts w:hint="default" w:ascii="Times New Roman" w:hAnsi="Times New Roman" w:eastAsia="宋体" w:cs="Times New Roman"/>
          <w:color w:val="auto"/>
          <w:sz w:val="24"/>
          <w:szCs w:val="24"/>
          <w:highlight w:val="none"/>
        </w:rPr>
        <w:t>废气中污染物汞</w:t>
      </w:r>
      <w:r>
        <w:rPr>
          <w:rFonts w:hint="default" w:ascii="Times New Roman" w:hAnsi="Times New Roman" w:eastAsia="宋体" w:cs="Times New Roman"/>
          <w:color w:val="auto"/>
          <w:sz w:val="24"/>
          <w:szCs w:val="24"/>
          <w:highlight w:val="none"/>
          <w:lang w:val="en-US" w:eastAsia="zh-CN"/>
        </w:rPr>
        <w:t>及其化合物</w:t>
      </w:r>
      <w:r>
        <w:rPr>
          <w:rFonts w:hint="default" w:ascii="Times New Roman" w:hAnsi="Times New Roman" w:eastAsia="宋体" w:cs="Times New Roman"/>
          <w:color w:val="auto"/>
          <w:sz w:val="24"/>
          <w:szCs w:val="24"/>
          <w:highlight w:val="none"/>
        </w:rPr>
        <w:t>随大气沉降渗入土壤</w:t>
      </w:r>
      <w:r>
        <w:rPr>
          <w:rFonts w:hint="default" w:ascii="Times New Roman" w:hAnsi="Times New Roman" w:eastAsia="宋体" w:cs="Times New Roman"/>
          <w:color w:val="auto"/>
          <w:sz w:val="24"/>
          <w:szCs w:val="24"/>
          <w:highlight w:val="none"/>
          <w:lang w:val="en-US" w:eastAsia="zh-CN"/>
        </w:rPr>
        <w:t>环境中</w:t>
      </w:r>
      <w:r>
        <w:rPr>
          <w:rFonts w:hint="default" w:ascii="Times New Roman" w:hAnsi="Times New Roman" w:eastAsia="宋体" w:cs="Times New Roman"/>
          <w:color w:val="auto"/>
          <w:sz w:val="24"/>
          <w:szCs w:val="24"/>
          <w:highlight w:val="none"/>
          <w:lang w:eastAsia="zh-CN"/>
        </w:rPr>
        <w:t>，本项目选择汞作为土壤预测因子。</w:t>
      </w:r>
    </w:p>
    <w:p w14:paraId="6E68B30E">
      <w:pPr>
        <w:pStyle w:val="7"/>
        <w:numPr>
          <w:ilvl w:val="3"/>
          <w:numId w:val="3"/>
        </w:numPr>
        <w:bidi w:val="0"/>
        <w:ind w:left="850" w:leftChars="0" w:hanging="850" w:firstLineChars="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评价方法</w:t>
      </w:r>
    </w:p>
    <w:p w14:paraId="51EB1951">
      <w:pPr>
        <w:bidi w:val="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szCs w:val="24"/>
          <w:highlight w:val="none"/>
        </w:rPr>
        <w:t>根据本项目</w:t>
      </w:r>
      <w:r>
        <w:rPr>
          <w:rFonts w:hint="default" w:ascii="Times New Roman" w:hAnsi="Times New Roman" w:eastAsia="宋体" w:cs="Times New Roman"/>
          <w:color w:val="auto"/>
          <w:sz w:val="24"/>
          <w:szCs w:val="24"/>
          <w:highlight w:val="none"/>
          <w:lang w:eastAsia="zh-CN"/>
        </w:rPr>
        <w:t>锅炉运行排放的废气通过大气沉降进入土壤，</w:t>
      </w:r>
      <w:r>
        <w:rPr>
          <w:rFonts w:hint="default" w:ascii="Times New Roman" w:hAnsi="Times New Roman" w:eastAsia="宋体" w:cs="Times New Roman"/>
          <w:color w:val="auto"/>
          <w:sz w:val="24"/>
          <w:highlight w:val="none"/>
        </w:rPr>
        <w:t>干沉降通量除以该质量即为单位质量土壤的</w:t>
      </w:r>
      <w:r>
        <w:rPr>
          <w:rFonts w:hint="default" w:ascii="Times New Roman" w:hAnsi="Times New Roman" w:eastAsia="宋体" w:cs="Times New Roman"/>
          <w:color w:val="auto"/>
          <w:sz w:val="24"/>
          <w:highlight w:val="none"/>
          <w:lang w:eastAsia="zh-CN"/>
        </w:rPr>
        <w:t>汞</w:t>
      </w:r>
      <w:r>
        <w:rPr>
          <w:rFonts w:hint="default" w:ascii="Times New Roman" w:hAnsi="Times New Roman" w:eastAsia="宋体" w:cs="Times New Roman"/>
          <w:color w:val="auto"/>
          <w:sz w:val="24"/>
          <w:highlight w:val="none"/>
        </w:rPr>
        <w:t>干沉降累积量</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年累积沉降量采用大气环境影响预测章节预测点的年累积沉降量最大增值。评价因子同大气环境影响评价，即评价</w:t>
      </w:r>
      <w:r>
        <w:rPr>
          <w:rFonts w:hint="default" w:ascii="Times New Roman" w:hAnsi="Times New Roman" w:eastAsia="宋体" w:cs="Times New Roman"/>
          <w:color w:val="auto"/>
          <w:sz w:val="24"/>
          <w:highlight w:val="none"/>
          <w:lang w:eastAsia="zh-CN"/>
        </w:rPr>
        <w:t>汞</w:t>
      </w:r>
      <w:r>
        <w:rPr>
          <w:rFonts w:hint="default" w:ascii="Times New Roman" w:hAnsi="Times New Roman" w:eastAsia="宋体" w:cs="Times New Roman"/>
          <w:color w:val="auto"/>
          <w:sz w:val="24"/>
          <w:highlight w:val="none"/>
        </w:rPr>
        <w:t>沉降对土壤的累积影响。本项目采用《环境影响评价技术导则 土壤环境（试行）》（HJ964-2018）附录E</w:t>
      </w:r>
      <w:r>
        <w:rPr>
          <w:rFonts w:hint="default" w:ascii="Times New Roman" w:hAnsi="Times New Roman" w:eastAsia="宋体" w:cs="Times New Roman"/>
          <w:color w:val="auto"/>
          <w:sz w:val="24"/>
          <w:highlight w:val="none"/>
          <w:lang w:val="en-US" w:eastAsia="zh-CN"/>
        </w:rPr>
        <w:t>土壤环境影响预测方法</w:t>
      </w:r>
      <w:r>
        <w:rPr>
          <w:rFonts w:hint="default" w:ascii="Times New Roman" w:hAnsi="Times New Roman" w:eastAsia="宋体" w:cs="Times New Roman"/>
          <w:color w:val="auto"/>
          <w:sz w:val="24"/>
          <w:highlight w:val="none"/>
        </w:rPr>
        <w:t>。预测方法如下：</w:t>
      </w:r>
    </w:p>
    <w:p w14:paraId="5DE880FF">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a）单位质量土壤中某种物质的增量可用下式计算：</w:t>
      </w:r>
    </w:p>
    <w:p w14:paraId="5977D8D1">
      <w:pPr>
        <w:bidi w:val="0"/>
        <w:ind w:left="0" w:leftChars="0"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position w:val="-12"/>
          <w:highlight w:val="none"/>
        </w:rPr>
        <w:object>
          <v:shape id="_x0000_i1057" o:spt="75" type="#_x0000_t75" style="height:17pt;width:169.15pt;" o:ole="t" filled="f" o:preferrelative="t" stroked="f" coordsize="21600,21600">
            <v:path/>
            <v:fill on="f" focussize="0,0"/>
            <v:stroke on="f" joinstyle="miter"/>
            <v:imagedata r:id="rId126" o:title=""/>
            <o:lock v:ext="edit" aspectratio="t"/>
            <w10:wrap type="none"/>
            <w10:anchorlock/>
          </v:shape>
          <o:OLEObject Type="Embed" ProgID="Equation.KSEE3" ShapeID="_x0000_i1057" DrawAspect="Content" ObjectID="_1468075757" r:id="rId125">
            <o:LockedField>false</o:LockedField>
          </o:OLEObject>
        </w:object>
      </w:r>
    </w:p>
    <w:p w14:paraId="4E93881A">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式中：△S--单位质量表层土壤中某种物质的增量，g/kg；</w:t>
      </w:r>
    </w:p>
    <w:p w14:paraId="68755E23">
      <w:pPr>
        <w:bidi w:val="0"/>
        <w:ind w:firstLine="1200" w:firstLineChars="500"/>
        <w:rPr>
          <w:rFonts w:hint="default" w:ascii="Times New Roman" w:hAnsi="Times New Roman" w:eastAsia="宋体" w:cs="Times New Roman"/>
          <w:color w:val="auto"/>
          <w:kern w:val="2"/>
          <w:highlight w:val="none"/>
        </w:rPr>
      </w:pPr>
      <w:r>
        <w:rPr>
          <w:rFonts w:hint="default" w:ascii="Times New Roman" w:hAnsi="Times New Roman" w:eastAsia="宋体" w:cs="Times New Roman"/>
          <w:color w:val="auto"/>
          <w:kern w:val="2"/>
          <w:highlight w:val="none"/>
        </w:rPr>
        <w:t>I</w:t>
      </w:r>
      <w:r>
        <w:rPr>
          <w:rFonts w:hint="default" w:ascii="Times New Roman" w:hAnsi="Times New Roman" w:eastAsia="宋体" w:cs="Times New Roman"/>
          <w:color w:val="auto"/>
          <w:kern w:val="2"/>
          <w:highlight w:val="none"/>
          <w:vertAlign w:val="subscript"/>
        </w:rPr>
        <w:t>S</w:t>
      </w:r>
      <w:r>
        <w:rPr>
          <w:rFonts w:hint="default" w:ascii="Times New Roman" w:hAnsi="Times New Roman" w:eastAsia="宋体" w:cs="Times New Roman"/>
          <w:color w:val="auto"/>
          <w:kern w:val="2"/>
          <w:highlight w:val="none"/>
        </w:rPr>
        <w:t>--预测评价范围内单位年份表层土壤中某种物质的输入量，g；本项目采用大气环境影响预测章节预测点的年累积沉降量最大增值。</w:t>
      </w:r>
    </w:p>
    <w:p w14:paraId="562A0653">
      <w:pPr>
        <w:bidi w:val="0"/>
        <w:ind w:firstLine="1200" w:firstLineChars="500"/>
        <w:rPr>
          <w:rFonts w:hint="default" w:ascii="Times New Roman" w:hAnsi="Times New Roman" w:eastAsia="宋体" w:cs="Times New Roman"/>
          <w:color w:val="auto"/>
          <w:kern w:val="2"/>
          <w:highlight w:val="none"/>
        </w:rPr>
      </w:pPr>
      <w:r>
        <w:rPr>
          <w:rFonts w:hint="default" w:ascii="Times New Roman" w:hAnsi="Times New Roman" w:eastAsia="宋体" w:cs="Times New Roman"/>
          <w:color w:val="auto"/>
          <w:kern w:val="2"/>
          <w:highlight w:val="none"/>
        </w:rPr>
        <w:t>L</w:t>
      </w:r>
      <w:r>
        <w:rPr>
          <w:rFonts w:hint="default" w:ascii="Times New Roman" w:hAnsi="Times New Roman" w:eastAsia="宋体" w:cs="Times New Roman"/>
          <w:color w:val="auto"/>
          <w:kern w:val="2"/>
          <w:highlight w:val="none"/>
          <w:vertAlign w:val="subscript"/>
        </w:rPr>
        <w:t>S</w:t>
      </w:r>
      <w:r>
        <w:rPr>
          <w:rFonts w:hint="default" w:ascii="Times New Roman" w:hAnsi="Times New Roman" w:eastAsia="宋体" w:cs="Times New Roman"/>
          <w:color w:val="auto"/>
          <w:kern w:val="2"/>
          <w:highlight w:val="none"/>
        </w:rPr>
        <w:t>-</w:t>
      </w:r>
      <w:r>
        <w:rPr>
          <w:rFonts w:hint="eastAsia" w:ascii="Times New Roman" w:hAnsi="Times New Roman" w:eastAsia="宋体" w:cs="Times New Roman"/>
          <w:color w:val="auto"/>
          <w:kern w:val="2"/>
          <w:highlight w:val="none"/>
          <w:lang w:eastAsia="zh-CN"/>
        </w:rPr>
        <w:t>－</w:t>
      </w:r>
      <w:r>
        <w:rPr>
          <w:rFonts w:hint="default" w:ascii="Times New Roman" w:hAnsi="Times New Roman" w:eastAsia="宋体" w:cs="Times New Roman"/>
          <w:color w:val="auto"/>
          <w:kern w:val="2"/>
          <w:highlight w:val="none"/>
        </w:rPr>
        <w:t>预测评价范围内单位年份表层土壤中某种物质经淋溶排出的量，g；涉及大气沉降影响的可以不考虑输出量，L</w:t>
      </w:r>
      <w:r>
        <w:rPr>
          <w:rFonts w:hint="default" w:ascii="Times New Roman" w:hAnsi="Times New Roman" w:eastAsia="宋体" w:cs="Times New Roman"/>
          <w:color w:val="auto"/>
          <w:kern w:val="2"/>
          <w:highlight w:val="none"/>
          <w:vertAlign w:val="subscript"/>
        </w:rPr>
        <w:t>S</w:t>
      </w:r>
      <w:r>
        <w:rPr>
          <w:rFonts w:hint="default" w:ascii="Times New Roman" w:hAnsi="Times New Roman" w:eastAsia="宋体" w:cs="Times New Roman"/>
          <w:color w:val="auto"/>
          <w:kern w:val="2"/>
          <w:highlight w:val="none"/>
        </w:rPr>
        <w:t>取0；</w:t>
      </w:r>
    </w:p>
    <w:p w14:paraId="00880E4A">
      <w:pPr>
        <w:bidi w:val="0"/>
        <w:ind w:firstLine="1200" w:firstLineChars="500"/>
        <w:rPr>
          <w:rFonts w:hint="default" w:ascii="Times New Roman" w:hAnsi="Times New Roman" w:eastAsia="宋体" w:cs="Times New Roman"/>
          <w:color w:val="auto"/>
          <w:kern w:val="2"/>
          <w:highlight w:val="none"/>
        </w:rPr>
      </w:pPr>
      <w:r>
        <w:rPr>
          <w:rFonts w:hint="default" w:ascii="Times New Roman" w:hAnsi="Times New Roman" w:eastAsia="宋体" w:cs="Times New Roman"/>
          <w:color w:val="auto"/>
          <w:kern w:val="2"/>
          <w:highlight w:val="none"/>
        </w:rPr>
        <w:t>Rs--预测评价范围内单位年份表层土壤中某种物质经径流排出的量，g；涉及大气沉降影响的可以不考虑输出量，R</w:t>
      </w:r>
      <w:r>
        <w:rPr>
          <w:rFonts w:hint="default" w:ascii="Times New Roman" w:hAnsi="Times New Roman" w:eastAsia="宋体" w:cs="Times New Roman"/>
          <w:color w:val="auto"/>
          <w:kern w:val="2"/>
          <w:highlight w:val="none"/>
          <w:vertAlign w:val="subscript"/>
        </w:rPr>
        <w:t>S</w:t>
      </w:r>
      <w:r>
        <w:rPr>
          <w:rFonts w:hint="default" w:ascii="Times New Roman" w:hAnsi="Times New Roman" w:eastAsia="宋体" w:cs="Times New Roman"/>
          <w:color w:val="auto"/>
          <w:kern w:val="2"/>
          <w:highlight w:val="none"/>
        </w:rPr>
        <w:t>取0；</w:t>
      </w:r>
    </w:p>
    <w:p w14:paraId="5A8D61B8">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eastAsia="宋体" w:cs="Times New Roman"/>
          <w:color w:val="auto"/>
          <w:kern w:val="2"/>
          <w:highlight w:val="none"/>
          <w:vertAlign w:val="baseline"/>
          <w:lang w:val="en-US" w:eastAsia="zh-CN"/>
        </w:rPr>
      </w:pPr>
      <w:r>
        <w:rPr>
          <w:rFonts w:hint="default" w:ascii="Times New Roman" w:hAnsi="Times New Roman" w:eastAsia="宋体" w:cs="Times New Roman"/>
          <w:color w:val="auto"/>
          <w:kern w:val="2"/>
          <w:highlight w:val="none"/>
        </w:rPr>
        <w:t>ρ</w:t>
      </w:r>
      <w:r>
        <w:rPr>
          <w:rFonts w:hint="default" w:ascii="Times New Roman" w:hAnsi="Times New Roman" w:eastAsia="宋体" w:cs="Times New Roman"/>
          <w:color w:val="auto"/>
          <w:kern w:val="2"/>
          <w:highlight w:val="none"/>
          <w:vertAlign w:val="subscript"/>
        </w:rPr>
        <w:t>b</w:t>
      </w:r>
      <w:r>
        <w:rPr>
          <w:rFonts w:hint="default" w:ascii="Times New Roman" w:hAnsi="Times New Roman" w:eastAsia="宋体" w:cs="Times New Roman"/>
          <w:color w:val="auto"/>
          <w:kern w:val="2"/>
          <w:highlight w:val="none"/>
        </w:rPr>
        <w:t>-</w:t>
      </w:r>
      <w:r>
        <w:rPr>
          <w:rFonts w:hint="eastAsia" w:ascii="Times New Roman" w:hAnsi="Times New Roman" w:eastAsia="宋体" w:cs="Times New Roman"/>
          <w:color w:val="auto"/>
          <w:kern w:val="2"/>
          <w:highlight w:val="none"/>
          <w:lang w:eastAsia="zh-CN"/>
        </w:rPr>
        <w:t>－</w:t>
      </w:r>
      <w:r>
        <w:rPr>
          <w:rFonts w:hint="default" w:ascii="Times New Roman" w:hAnsi="Times New Roman" w:eastAsia="宋体" w:cs="Times New Roman"/>
          <w:color w:val="auto"/>
          <w:kern w:val="2"/>
          <w:highlight w:val="none"/>
        </w:rPr>
        <w:t>表层土壤容重，kg/m</w:t>
      </w:r>
      <w:r>
        <w:rPr>
          <w:rFonts w:hint="default" w:ascii="Times New Roman" w:hAnsi="Times New Roman" w:eastAsia="宋体" w:cs="Times New Roman"/>
          <w:color w:val="auto"/>
          <w:kern w:val="2"/>
          <w:highlight w:val="none"/>
          <w:vertAlign w:val="superscript"/>
        </w:rPr>
        <w:t>3</w:t>
      </w:r>
      <w:r>
        <w:rPr>
          <w:rFonts w:hint="default" w:ascii="Times New Roman" w:hAnsi="Times New Roman" w:eastAsia="宋体" w:cs="Times New Roman"/>
          <w:color w:val="auto"/>
          <w:kern w:val="2"/>
          <w:highlight w:val="none"/>
        </w:rPr>
        <w:t>，</w:t>
      </w:r>
      <w:r>
        <w:rPr>
          <w:rFonts w:hint="eastAsia" w:ascii="Times New Roman" w:hAnsi="Times New Roman" w:eastAsia="宋体" w:cs="Times New Roman"/>
          <w:color w:val="auto"/>
          <w:kern w:val="2"/>
          <w:highlight w:val="none"/>
          <w:lang w:val="en-US" w:eastAsia="zh-CN"/>
        </w:rPr>
        <w:t>建设用地</w:t>
      </w:r>
      <w:r>
        <w:rPr>
          <w:rFonts w:hint="default" w:ascii="Times New Roman" w:hAnsi="Times New Roman" w:eastAsia="宋体" w:cs="Times New Roman"/>
          <w:color w:val="auto"/>
          <w:highlight w:val="none"/>
        </w:rPr>
        <w:t>取</w:t>
      </w:r>
      <w:r>
        <w:rPr>
          <w:rFonts w:hint="eastAsia" w:ascii="Times New Roman" w:hAnsi="Times New Roman" w:eastAsia="宋体" w:cs="Times New Roman"/>
          <w:color w:val="auto"/>
          <w:highlight w:val="none"/>
          <w:lang w:val="en-US" w:eastAsia="zh-CN"/>
        </w:rPr>
        <w:t>970</w:t>
      </w:r>
      <w:r>
        <w:rPr>
          <w:rFonts w:hint="default" w:ascii="Times New Roman" w:hAnsi="Times New Roman" w:eastAsia="宋体" w:cs="Times New Roman"/>
          <w:color w:val="auto"/>
          <w:kern w:val="2"/>
          <w:highlight w:val="none"/>
        </w:rPr>
        <w:t>k</w:t>
      </w:r>
      <w:r>
        <w:rPr>
          <w:rFonts w:hint="default" w:ascii="Times New Roman" w:hAnsi="Times New Roman" w:eastAsia="宋体" w:cs="Times New Roman"/>
          <w:color w:val="auto"/>
          <w:highlight w:val="none"/>
        </w:rPr>
        <w:t>g/m</w:t>
      </w:r>
      <w:r>
        <w:rPr>
          <w:rFonts w:hint="default" w:ascii="Times New Roman" w:hAnsi="Times New Roman" w:eastAsia="宋体" w:cs="Times New Roman"/>
          <w:color w:val="auto"/>
          <w:highlight w:val="none"/>
          <w:vertAlign w:val="superscript"/>
        </w:rPr>
        <w:t>3</w:t>
      </w:r>
      <w:r>
        <w:rPr>
          <w:rFonts w:hint="eastAsia" w:ascii="Times New Roman" w:hAnsi="Times New Roman" w:eastAsia="宋体" w:cs="Times New Roman"/>
          <w:color w:val="auto"/>
          <w:highlight w:val="none"/>
          <w:vertAlign w:val="baseline"/>
          <w:lang w:eastAsia="zh-CN"/>
        </w:rPr>
        <w:t>；</w:t>
      </w:r>
      <w:r>
        <w:rPr>
          <w:rFonts w:hint="eastAsia" w:ascii="Times New Roman" w:hAnsi="Times New Roman" w:eastAsia="宋体" w:cs="Times New Roman"/>
          <w:color w:val="auto"/>
          <w:highlight w:val="none"/>
          <w:vertAlign w:val="baseline"/>
          <w:lang w:val="en-US" w:eastAsia="zh-CN"/>
        </w:rPr>
        <w:t>农用地取980kg/m</w:t>
      </w:r>
      <w:r>
        <w:rPr>
          <w:rFonts w:hint="eastAsia" w:ascii="Times New Roman" w:hAnsi="Times New Roman" w:eastAsia="宋体" w:cs="Times New Roman"/>
          <w:color w:val="auto"/>
          <w:highlight w:val="none"/>
          <w:vertAlign w:val="superscript"/>
          <w:lang w:val="en-US" w:eastAsia="zh-CN"/>
        </w:rPr>
        <w:t>3</w:t>
      </w:r>
      <w:r>
        <w:rPr>
          <w:rFonts w:hint="eastAsia" w:ascii="Times New Roman" w:hAnsi="Times New Roman" w:eastAsia="宋体" w:cs="Times New Roman"/>
          <w:color w:val="auto"/>
          <w:highlight w:val="none"/>
          <w:vertAlign w:val="baseline"/>
          <w:lang w:val="en-US" w:eastAsia="zh-CN"/>
        </w:rPr>
        <w:t>；</w:t>
      </w:r>
    </w:p>
    <w:p w14:paraId="379817F5">
      <w:pPr>
        <w:keepNext w:val="0"/>
        <w:keepLines w:val="0"/>
        <w:pageBreakBefore w:val="0"/>
        <w:widowControl w:val="0"/>
        <w:numPr>
          <w:ilvl w:val="0"/>
          <w:numId w:val="9"/>
        </w:numPr>
        <w:kinsoku/>
        <w:wordWrap/>
        <w:overflowPunct/>
        <w:topLinePunct w:val="0"/>
        <w:autoSpaceDE/>
        <w:autoSpaceDN/>
        <w:bidi w:val="0"/>
        <w:adjustRightInd/>
        <w:snapToGrid/>
        <w:ind w:firstLine="1200" w:firstLineChars="500"/>
        <w:textAlignment w:val="auto"/>
        <w:rPr>
          <w:rFonts w:hint="default" w:ascii="Times New Roman" w:hAnsi="Times New Roman" w:eastAsia="宋体" w:cs="Times New Roman"/>
          <w:color w:val="auto"/>
          <w:kern w:val="2"/>
          <w:highlight w:val="none"/>
        </w:rPr>
      </w:pPr>
      <w:r>
        <w:rPr>
          <w:rFonts w:hint="eastAsia" w:ascii="Times New Roman" w:hAnsi="Times New Roman" w:eastAsia="宋体" w:cs="Times New Roman"/>
          <w:color w:val="auto"/>
          <w:kern w:val="2"/>
          <w:highlight w:val="none"/>
          <w:lang w:eastAsia="zh-CN"/>
        </w:rPr>
        <w:t>－</w:t>
      </w:r>
      <w:r>
        <w:rPr>
          <w:rFonts w:hint="default" w:ascii="Times New Roman" w:hAnsi="Times New Roman" w:eastAsia="宋体" w:cs="Times New Roman"/>
          <w:color w:val="auto"/>
          <w:kern w:val="2"/>
          <w:highlight w:val="none"/>
        </w:rPr>
        <w:t>预测评价范围，m</w:t>
      </w:r>
      <w:r>
        <w:rPr>
          <w:rFonts w:hint="default" w:ascii="Times New Roman" w:hAnsi="Times New Roman" w:eastAsia="宋体" w:cs="Times New Roman"/>
          <w:color w:val="auto"/>
          <w:kern w:val="2"/>
          <w:highlight w:val="none"/>
          <w:vertAlign w:val="superscript"/>
        </w:rPr>
        <w:t>2</w:t>
      </w:r>
      <w:r>
        <w:rPr>
          <w:rFonts w:hint="default" w:ascii="Times New Roman" w:hAnsi="Times New Roman" w:eastAsia="宋体" w:cs="Times New Roman"/>
          <w:color w:val="auto"/>
          <w:kern w:val="2"/>
          <w:highlight w:val="none"/>
        </w:rPr>
        <w:t>；取</w:t>
      </w:r>
      <w:r>
        <w:rPr>
          <w:rFonts w:hint="default" w:ascii="Times New Roman" w:hAnsi="Times New Roman" w:eastAsia="宋体" w:cs="Times New Roman"/>
          <w:color w:val="auto"/>
          <w:highlight w:val="none"/>
        </w:rPr>
        <w:t>单位面积1m</w:t>
      </w:r>
      <w:r>
        <w:rPr>
          <w:rFonts w:hint="default" w:ascii="Times New Roman" w:hAnsi="Times New Roman" w:eastAsia="宋体" w:cs="Times New Roman"/>
          <w:color w:val="auto"/>
          <w:highlight w:val="none"/>
          <w:vertAlign w:val="superscript"/>
        </w:rPr>
        <w:t>2</w:t>
      </w:r>
      <w:r>
        <w:rPr>
          <w:rFonts w:hint="default" w:ascii="Times New Roman" w:hAnsi="Times New Roman" w:eastAsia="宋体" w:cs="Times New Roman"/>
          <w:color w:val="auto"/>
          <w:highlight w:val="none"/>
        </w:rPr>
        <w:t>；</w:t>
      </w:r>
    </w:p>
    <w:p w14:paraId="0E300B57">
      <w:pPr>
        <w:keepNext w:val="0"/>
        <w:keepLines w:val="0"/>
        <w:pageBreakBefore w:val="0"/>
        <w:widowControl w:val="0"/>
        <w:numPr>
          <w:ilvl w:val="0"/>
          <w:numId w:val="10"/>
        </w:numPr>
        <w:kinsoku/>
        <w:wordWrap/>
        <w:overflowPunct/>
        <w:topLinePunct w:val="0"/>
        <w:autoSpaceDE/>
        <w:autoSpaceDN/>
        <w:bidi w:val="0"/>
        <w:adjustRightInd/>
        <w:snapToGrid/>
        <w:ind w:firstLine="1200" w:firstLineChars="500"/>
        <w:textAlignment w:val="auto"/>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表层土壤深度，一般取0.2m；</w:t>
      </w:r>
    </w:p>
    <w:p w14:paraId="2E5060A5">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n-</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持续年份，a，分别计算5a，10a和20a；</w:t>
      </w:r>
    </w:p>
    <w:p w14:paraId="495E4911">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b）单位质量土壤中某种物质的预测值可根据其增量叠加现状值进行计算，如式：S=Sb+△S</w:t>
      </w:r>
    </w:p>
    <w:p w14:paraId="7A77BC75">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式中：Sb--单位质量土壤中某种物质的现状值，g/kg；</w:t>
      </w:r>
    </w:p>
    <w:p w14:paraId="0AFD32F9">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S--单位质量土壤中某种物质的预测值，g/kg；</w:t>
      </w:r>
    </w:p>
    <w:p w14:paraId="34BBBE92">
      <w:pPr>
        <w:spacing w:line="480" w:lineRule="exac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区域年均干沉积最大值见表</w:t>
      </w:r>
      <w:r>
        <w:rPr>
          <w:rFonts w:hint="default" w:ascii="Times New Roman" w:hAnsi="Times New Roman" w:eastAsia="宋体" w:cs="Times New Roman"/>
          <w:color w:val="auto"/>
          <w:sz w:val="24"/>
          <w:highlight w:val="none"/>
          <w:lang w:val="en-US" w:eastAsia="zh-CN"/>
        </w:rPr>
        <w:t>6</w:t>
      </w:r>
      <w:r>
        <w:rPr>
          <w:rFonts w:hint="default" w:ascii="Times New Roman" w:hAnsi="Times New Roman" w:eastAsia="宋体" w:cs="Times New Roman"/>
          <w:color w:val="auto"/>
          <w:sz w:val="24"/>
          <w:highlight w:val="none"/>
        </w:rPr>
        <w:t>-2-</w:t>
      </w:r>
      <w:r>
        <w:rPr>
          <w:rFonts w:hint="eastAsia" w:ascii="Times New Roman" w:hAnsi="Times New Roman" w:eastAsia="宋体" w:cs="Times New Roman"/>
          <w:color w:val="auto"/>
          <w:sz w:val="24"/>
          <w:highlight w:val="none"/>
          <w:lang w:val="en-US" w:eastAsia="zh-CN"/>
        </w:rPr>
        <w:t>39</w:t>
      </w:r>
      <w:r>
        <w:rPr>
          <w:rFonts w:hint="default" w:ascii="Times New Roman" w:hAnsi="Times New Roman" w:eastAsia="宋体" w:cs="Times New Roman"/>
          <w:color w:val="auto"/>
          <w:sz w:val="24"/>
          <w:highlight w:val="none"/>
        </w:rPr>
        <w:t>，干沉降对土壤累积影响值见表</w:t>
      </w:r>
      <w:r>
        <w:rPr>
          <w:rFonts w:hint="default" w:ascii="Times New Roman" w:hAnsi="Times New Roman" w:eastAsia="宋体" w:cs="Times New Roman"/>
          <w:color w:val="auto"/>
          <w:sz w:val="24"/>
          <w:highlight w:val="none"/>
          <w:lang w:val="en-US" w:eastAsia="zh-CN"/>
        </w:rPr>
        <w:t>6</w:t>
      </w:r>
      <w:r>
        <w:rPr>
          <w:rFonts w:hint="default" w:ascii="Times New Roman" w:hAnsi="Times New Roman" w:eastAsia="宋体" w:cs="Times New Roman"/>
          <w:color w:val="auto"/>
          <w:sz w:val="24"/>
          <w:highlight w:val="none"/>
        </w:rPr>
        <w:t>-2-</w:t>
      </w:r>
      <w:r>
        <w:rPr>
          <w:rFonts w:hint="default" w:ascii="Times New Roman" w:hAnsi="Times New Roman" w:eastAsia="宋体" w:cs="Times New Roman"/>
          <w:color w:val="auto"/>
          <w:sz w:val="24"/>
          <w:highlight w:val="none"/>
          <w:lang w:val="en-US" w:eastAsia="zh-CN"/>
        </w:rPr>
        <w:t>4</w:t>
      </w:r>
      <w:r>
        <w:rPr>
          <w:rFonts w:hint="eastAsia" w:ascii="Times New Roman" w:hAnsi="Times New Roman" w:eastAsia="宋体" w:cs="Times New Roman"/>
          <w:color w:val="auto"/>
          <w:sz w:val="24"/>
          <w:highlight w:val="none"/>
          <w:lang w:val="en-US" w:eastAsia="zh-CN"/>
        </w:rPr>
        <w:t>0</w:t>
      </w:r>
      <w:r>
        <w:rPr>
          <w:rFonts w:hint="default" w:ascii="Times New Roman" w:hAnsi="Times New Roman" w:eastAsia="宋体" w:cs="Times New Roman"/>
          <w:color w:val="auto"/>
          <w:sz w:val="24"/>
          <w:highlight w:val="none"/>
        </w:rPr>
        <w:t>，干沉降对土壤累积影响叠加值见表</w:t>
      </w:r>
      <w:r>
        <w:rPr>
          <w:rFonts w:hint="default" w:ascii="Times New Roman" w:hAnsi="Times New Roman" w:eastAsia="宋体" w:cs="Times New Roman"/>
          <w:color w:val="auto"/>
          <w:sz w:val="24"/>
          <w:highlight w:val="none"/>
          <w:lang w:val="en-US" w:eastAsia="zh-CN"/>
        </w:rPr>
        <w:t>6</w:t>
      </w:r>
      <w:r>
        <w:rPr>
          <w:rFonts w:hint="default" w:ascii="Times New Roman" w:hAnsi="Times New Roman" w:eastAsia="宋体" w:cs="Times New Roman"/>
          <w:color w:val="auto"/>
          <w:sz w:val="24"/>
          <w:highlight w:val="none"/>
        </w:rPr>
        <w:t>-2-</w:t>
      </w:r>
      <w:r>
        <w:rPr>
          <w:rFonts w:hint="eastAsia" w:ascii="Times New Roman" w:hAnsi="Times New Roman" w:eastAsia="宋体" w:cs="Times New Roman"/>
          <w:color w:val="auto"/>
          <w:sz w:val="24"/>
          <w:highlight w:val="none"/>
          <w:lang w:val="en-US" w:eastAsia="zh-CN"/>
        </w:rPr>
        <w:t>41</w:t>
      </w:r>
      <w:r>
        <w:rPr>
          <w:rFonts w:hint="default" w:ascii="Times New Roman" w:hAnsi="Times New Roman" w:eastAsia="宋体" w:cs="Times New Roman"/>
          <w:color w:val="auto"/>
          <w:sz w:val="24"/>
          <w:highlight w:val="none"/>
        </w:rPr>
        <w:t>。</w:t>
      </w:r>
    </w:p>
    <w:p w14:paraId="2BD13F41">
      <w:pPr>
        <w:spacing w:line="480" w:lineRule="exact"/>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highlight w:val="none"/>
        </w:rPr>
        <w:t>表</w:t>
      </w:r>
      <w:r>
        <w:rPr>
          <w:rFonts w:hint="default" w:ascii="Times New Roman" w:hAnsi="Times New Roman" w:eastAsia="宋体" w:cs="Times New Roman"/>
          <w:color w:val="auto"/>
          <w:kern w:val="0"/>
          <w:sz w:val="24"/>
          <w:highlight w:val="none"/>
          <w:lang w:val="en-US" w:eastAsia="zh-CN"/>
        </w:rPr>
        <w:t>6</w:t>
      </w:r>
      <w:r>
        <w:rPr>
          <w:rFonts w:hint="default" w:ascii="Times New Roman" w:hAnsi="Times New Roman" w:eastAsia="宋体" w:cs="Times New Roman"/>
          <w:color w:val="auto"/>
          <w:kern w:val="0"/>
          <w:sz w:val="24"/>
          <w:highlight w:val="none"/>
        </w:rPr>
        <w:t>-2-</w:t>
      </w:r>
      <w:r>
        <w:rPr>
          <w:rFonts w:hint="eastAsia" w:ascii="Times New Roman" w:hAnsi="Times New Roman" w:eastAsia="宋体" w:cs="Times New Roman"/>
          <w:color w:val="auto"/>
          <w:kern w:val="0"/>
          <w:sz w:val="24"/>
          <w:highlight w:val="none"/>
          <w:lang w:val="en-US" w:eastAsia="zh-CN"/>
        </w:rPr>
        <w:t>39</w:t>
      </w:r>
      <w:r>
        <w:rPr>
          <w:rFonts w:hint="default" w:ascii="Times New Roman" w:hAnsi="Times New Roman" w:eastAsia="宋体" w:cs="Times New Roman"/>
          <w:color w:val="auto"/>
          <w:kern w:val="0"/>
          <w:sz w:val="24"/>
          <w:highlight w:val="none"/>
          <w:lang w:val="en-US" w:eastAsia="zh-CN"/>
        </w:rPr>
        <w:t xml:space="preserve"> </w:t>
      </w:r>
      <w:r>
        <w:rPr>
          <w:rFonts w:hint="default" w:ascii="Times New Roman" w:hAnsi="Times New Roman" w:eastAsia="宋体" w:cs="Times New Roman"/>
          <w:color w:val="auto"/>
          <w:kern w:val="0"/>
          <w:sz w:val="24"/>
          <w:highlight w:val="none"/>
        </w:rPr>
        <w:t xml:space="preserve"> 区域年均干沉积最大值</w:t>
      </w:r>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8"/>
        <w:gridCol w:w="3782"/>
        <w:gridCol w:w="3782"/>
      </w:tblGrid>
      <w:tr w14:paraId="70608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2" w:type="pct"/>
            <w:tcBorders>
              <w:top w:val="single" w:color="auto" w:sz="12" w:space="0"/>
              <w:left w:val="nil"/>
            </w:tcBorders>
            <w:noWrap w:val="0"/>
            <w:vAlign w:val="center"/>
          </w:tcPr>
          <w:p w14:paraId="4C3A1FAE">
            <w:pPr>
              <w:keepNext w:val="0"/>
              <w:keepLines w:val="0"/>
              <w:pageBreakBefore w:val="0"/>
              <w:widowControl w:val="0"/>
              <w:kinsoku/>
              <w:wordWrap/>
              <w:overflowPunct/>
              <w:topLinePunct w:val="0"/>
              <w:bidi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2218" w:type="pct"/>
            <w:tcBorders>
              <w:top w:val="single" w:color="auto" w:sz="12" w:space="0"/>
            </w:tcBorders>
            <w:noWrap w:val="0"/>
            <w:vAlign w:val="center"/>
          </w:tcPr>
          <w:p w14:paraId="0F450C89">
            <w:pPr>
              <w:keepNext w:val="0"/>
              <w:keepLines w:val="0"/>
              <w:pageBreakBefore w:val="0"/>
              <w:widowControl w:val="0"/>
              <w:kinsoku/>
              <w:wordWrap/>
              <w:overflowPunct/>
              <w:topLinePunct w:val="0"/>
              <w:bidi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预测因子</w:t>
            </w:r>
          </w:p>
        </w:tc>
        <w:tc>
          <w:tcPr>
            <w:tcW w:w="2218" w:type="pct"/>
            <w:tcBorders>
              <w:top w:val="single" w:color="auto" w:sz="12" w:space="0"/>
              <w:right w:val="nil"/>
            </w:tcBorders>
            <w:noWrap w:val="0"/>
            <w:vAlign w:val="center"/>
          </w:tcPr>
          <w:p w14:paraId="4C075E6F">
            <w:pPr>
              <w:keepNext w:val="0"/>
              <w:keepLines w:val="0"/>
              <w:pageBreakBefore w:val="0"/>
              <w:widowControl w:val="0"/>
              <w:kinsoku/>
              <w:wordWrap/>
              <w:overflowPunct/>
              <w:topLinePunct w:val="0"/>
              <w:bidi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最大值（g/m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w:t>
            </w:r>
          </w:p>
        </w:tc>
      </w:tr>
      <w:tr w14:paraId="087CD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2" w:type="pct"/>
            <w:vMerge w:val="restart"/>
            <w:tcBorders>
              <w:left w:val="nil"/>
            </w:tcBorders>
            <w:noWrap w:val="0"/>
            <w:vAlign w:val="center"/>
          </w:tcPr>
          <w:p w14:paraId="518F4FBE">
            <w:pPr>
              <w:keepNext w:val="0"/>
              <w:keepLines w:val="0"/>
              <w:pageBreakBefore w:val="0"/>
              <w:widowControl w:val="0"/>
              <w:kinsoku/>
              <w:wordWrap/>
              <w:overflowPunct/>
              <w:topLinePunct w:val="0"/>
              <w:bidi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2218" w:type="pct"/>
            <w:vMerge w:val="restart"/>
            <w:noWrap w:val="0"/>
            <w:vAlign w:val="center"/>
          </w:tcPr>
          <w:p w14:paraId="571486D9">
            <w:pPr>
              <w:pStyle w:val="124"/>
              <w:keepNext w:val="0"/>
              <w:keepLines w:val="0"/>
              <w:pageBreakBefore w:val="0"/>
              <w:widowControl w:val="0"/>
              <w:kinsoku/>
              <w:wordWrap/>
              <w:overflowPunct/>
              <w:topLinePunct w:val="0"/>
              <w:autoSpaceDE w:val="0"/>
              <w:autoSpaceDN w:val="0"/>
              <w:bidi w:val="0"/>
              <w:snapToGrid w:val="0"/>
              <w:spacing w:line="240" w:lineRule="auto"/>
              <w:ind w:firstLine="0" w:firstLineChars="0"/>
              <w:jc w:val="center"/>
              <w:textAlignment w:val="bottom"/>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Hg</w:t>
            </w:r>
          </w:p>
        </w:tc>
        <w:tc>
          <w:tcPr>
            <w:tcW w:w="2218" w:type="pct"/>
            <w:tcBorders>
              <w:right w:val="nil"/>
            </w:tcBorders>
            <w:noWrap w:val="0"/>
            <w:vAlign w:val="center"/>
          </w:tcPr>
          <w:p w14:paraId="2688B2CB">
            <w:pPr>
              <w:keepNext w:val="0"/>
              <w:keepLines w:val="0"/>
              <w:pageBreakBefore w:val="0"/>
              <w:widowControl w:val="0"/>
              <w:kinsoku/>
              <w:wordWrap/>
              <w:overflowPunct/>
              <w:topLinePunct w:val="0"/>
              <w:bidi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1.2×10</w:t>
            </w:r>
            <w:r>
              <w:rPr>
                <w:rFonts w:hint="eastAsia" w:ascii="Times New Roman" w:hAnsi="Times New Roman" w:eastAsia="宋体" w:cs="Times New Roman"/>
                <w:color w:val="auto"/>
                <w:sz w:val="21"/>
                <w:szCs w:val="21"/>
                <w:highlight w:val="none"/>
                <w:vertAlign w:val="superscript"/>
                <w:lang w:val="en-US" w:eastAsia="zh-CN"/>
              </w:rPr>
              <w:t>-4</w:t>
            </w:r>
            <w:r>
              <w:rPr>
                <w:rFonts w:hint="eastAsia" w:ascii="Times New Roman" w:hAnsi="Times New Roman" w:eastAsia="宋体" w:cs="Times New Roman"/>
                <w:color w:val="auto"/>
                <w:sz w:val="21"/>
                <w:szCs w:val="21"/>
                <w:highlight w:val="none"/>
                <w:lang w:val="en-US" w:eastAsia="zh-CN"/>
              </w:rPr>
              <w:t>（建设用地）</w:t>
            </w:r>
          </w:p>
        </w:tc>
      </w:tr>
      <w:tr w14:paraId="2453D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2" w:type="pct"/>
            <w:vMerge w:val="continue"/>
            <w:tcBorders>
              <w:left w:val="nil"/>
              <w:bottom w:val="single" w:color="auto" w:sz="12" w:space="0"/>
            </w:tcBorders>
            <w:noWrap w:val="0"/>
            <w:vAlign w:val="center"/>
          </w:tcPr>
          <w:p w14:paraId="7EAADBBD">
            <w:pPr>
              <w:keepNext w:val="0"/>
              <w:keepLines w:val="0"/>
              <w:pageBreakBefore w:val="0"/>
              <w:widowControl w:val="0"/>
              <w:kinsoku/>
              <w:wordWrap/>
              <w:overflowPunct/>
              <w:topLinePunct w:val="0"/>
              <w:bidi w:val="0"/>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2218" w:type="pct"/>
            <w:vMerge w:val="continue"/>
            <w:tcBorders>
              <w:bottom w:val="single" w:color="auto" w:sz="12" w:space="0"/>
            </w:tcBorders>
            <w:noWrap w:val="0"/>
            <w:vAlign w:val="center"/>
          </w:tcPr>
          <w:p w14:paraId="02DF438F">
            <w:pPr>
              <w:pStyle w:val="124"/>
              <w:keepNext w:val="0"/>
              <w:keepLines w:val="0"/>
              <w:pageBreakBefore w:val="0"/>
              <w:widowControl w:val="0"/>
              <w:kinsoku/>
              <w:wordWrap/>
              <w:overflowPunct/>
              <w:topLinePunct w:val="0"/>
              <w:autoSpaceDE w:val="0"/>
              <w:autoSpaceDN w:val="0"/>
              <w:bidi w:val="0"/>
              <w:snapToGrid w:val="0"/>
              <w:spacing w:line="240" w:lineRule="auto"/>
              <w:ind w:firstLine="0" w:firstLineChars="0"/>
              <w:jc w:val="center"/>
              <w:textAlignment w:val="bottom"/>
              <w:rPr>
                <w:rFonts w:hint="default" w:ascii="Times New Roman" w:hAnsi="Times New Roman" w:eastAsia="宋体" w:cs="Times New Roman"/>
                <w:color w:val="auto"/>
                <w:sz w:val="21"/>
                <w:szCs w:val="21"/>
                <w:highlight w:val="none"/>
              </w:rPr>
            </w:pPr>
          </w:p>
        </w:tc>
        <w:tc>
          <w:tcPr>
            <w:tcW w:w="2218" w:type="pct"/>
            <w:tcBorders>
              <w:bottom w:val="single" w:color="auto" w:sz="12" w:space="0"/>
              <w:right w:val="nil"/>
            </w:tcBorders>
            <w:noWrap w:val="0"/>
            <w:vAlign w:val="center"/>
          </w:tcPr>
          <w:p w14:paraId="638BC2B2">
            <w:pPr>
              <w:keepNext w:val="0"/>
              <w:keepLines w:val="0"/>
              <w:pageBreakBefore w:val="0"/>
              <w:widowControl w:val="0"/>
              <w:kinsoku/>
              <w:wordWrap/>
              <w:overflowPunct/>
              <w:topLinePunct w:val="0"/>
              <w:bidi w:val="0"/>
              <w:snapToGrid w:val="0"/>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1.1×10</w:t>
            </w:r>
            <w:r>
              <w:rPr>
                <w:rFonts w:hint="eastAsia" w:ascii="Times New Roman" w:hAnsi="Times New Roman" w:eastAsia="宋体" w:cs="Times New Roman"/>
                <w:color w:val="auto"/>
                <w:sz w:val="21"/>
                <w:szCs w:val="21"/>
                <w:highlight w:val="none"/>
                <w:vertAlign w:val="superscript"/>
                <w:lang w:val="en-US" w:eastAsia="zh-CN"/>
              </w:rPr>
              <w:t>-4</w:t>
            </w:r>
            <w:r>
              <w:rPr>
                <w:rFonts w:hint="eastAsia" w:ascii="Times New Roman" w:hAnsi="Times New Roman" w:eastAsia="宋体" w:cs="Times New Roman"/>
                <w:color w:val="auto"/>
                <w:sz w:val="21"/>
                <w:szCs w:val="21"/>
                <w:highlight w:val="none"/>
                <w:lang w:val="en-US" w:eastAsia="zh-CN"/>
              </w:rPr>
              <w:t>（农用地）</w:t>
            </w:r>
          </w:p>
        </w:tc>
      </w:tr>
    </w:tbl>
    <w:p w14:paraId="479B3F85">
      <w:pPr>
        <w:spacing w:line="480" w:lineRule="exact"/>
        <w:jc w:val="center"/>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表</w:t>
      </w:r>
      <w:r>
        <w:rPr>
          <w:rFonts w:hint="default" w:ascii="Times New Roman" w:hAnsi="Times New Roman" w:eastAsia="宋体" w:cs="Times New Roman"/>
          <w:color w:val="auto"/>
          <w:kern w:val="0"/>
          <w:sz w:val="24"/>
          <w:highlight w:val="none"/>
          <w:lang w:val="en-US" w:eastAsia="zh-CN"/>
        </w:rPr>
        <w:t>6</w:t>
      </w:r>
      <w:r>
        <w:rPr>
          <w:rFonts w:hint="default" w:ascii="Times New Roman" w:hAnsi="Times New Roman" w:eastAsia="宋体" w:cs="Times New Roman"/>
          <w:color w:val="auto"/>
          <w:kern w:val="0"/>
          <w:sz w:val="24"/>
          <w:highlight w:val="none"/>
        </w:rPr>
        <w:t>-2-</w:t>
      </w:r>
      <w:r>
        <w:rPr>
          <w:rFonts w:hint="default" w:ascii="Times New Roman" w:hAnsi="Times New Roman" w:eastAsia="宋体" w:cs="Times New Roman"/>
          <w:color w:val="auto"/>
          <w:kern w:val="0"/>
          <w:sz w:val="24"/>
          <w:highlight w:val="none"/>
          <w:lang w:val="en-US" w:eastAsia="zh-CN"/>
        </w:rPr>
        <w:t>4</w:t>
      </w:r>
      <w:r>
        <w:rPr>
          <w:rFonts w:hint="eastAsia" w:ascii="Times New Roman" w:hAnsi="Times New Roman" w:eastAsia="宋体" w:cs="Times New Roman"/>
          <w:color w:val="auto"/>
          <w:kern w:val="0"/>
          <w:sz w:val="24"/>
          <w:highlight w:val="none"/>
          <w:lang w:val="en-US" w:eastAsia="zh-CN"/>
        </w:rPr>
        <w:t>0</w:t>
      </w:r>
      <w:r>
        <w:rPr>
          <w:rFonts w:hint="default" w:ascii="Times New Roman" w:hAnsi="Times New Roman" w:eastAsia="宋体" w:cs="Times New Roman"/>
          <w:color w:val="auto"/>
          <w:kern w:val="0"/>
          <w:sz w:val="24"/>
          <w:highlight w:val="none"/>
          <w:lang w:val="en-US" w:eastAsia="zh-CN"/>
        </w:rPr>
        <w:t xml:space="preserve"> </w:t>
      </w:r>
      <w:r>
        <w:rPr>
          <w:rFonts w:hint="default" w:ascii="Times New Roman" w:hAnsi="Times New Roman" w:eastAsia="宋体" w:cs="Times New Roman"/>
          <w:color w:val="auto"/>
          <w:kern w:val="0"/>
          <w:sz w:val="24"/>
          <w:highlight w:val="none"/>
        </w:rPr>
        <w:t xml:space="preserve"> 干沉降对土壤累积影响值</w:t>
      </w:r>
    </w:p>
    <w:tbl>
      <w:tblPr>
        <w:tblStyle w:val="3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1533"/>
        <w:gridCol w:w="1390"/>
        <w:gridCol w:w="1602"/>
        <w:gridCol w:w="1437"/>
        <w:gridCol w:w="1786"/>
      </w:tblGrid>
      <w:tr w14:paraId="1512F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2" w:type="pct"/>
            <w:vMerge w:val="restart"/>
            <w:tcBorders>
              <w:top w:val="single" w:color="auto" w:sz="12" w:space="0"/>
              <w:left w:val="nil"/>
            </w:tcBorders>
            <w:noWrap w:val="0"/>
            <w:vAlign w:val="center"/>
          </w:tcPr>
          <w:p w14:paraId="7268F318">
            <w:pPr>
              <w:keepNext w:val="0"/>
              <w:keepLines w:val="0"/>
              <w:pageBreakBefore w:val="0"/>
              <w:kinsoku/>
              <w:wordWrap/>
              <w:overflowPunct/>
              <w:topLinePunct w:val="0"/>
              <w:bidi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899" w:type="pct"/>
            <w:vMerge w:val="restart"/>
            <w:tcBorders>
              <w:top w:val="single" w:color="auto" w:sz="12" w:space="0"/>
            </w:tcBorders>
            <w:noWrap w:val="0"/>
            <w:vAlign w:val="center"/>
          </w:tcPr>
          <w:p w14:paraId="608E8301">
            <w:pPr>
              <w:keepNext w:val="0"/>
              <w:keepLines w:val="0"/>
              <w:pageBreakBefore w:val="0"/>
              <w:kinsoku/>
              <w:wordWrap/>
              <w:overflowPunct/>
              <w:topLinePunct w:val="0"/>
              <w:bidi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因子</w:t>
            </w:r>
          </w:p>
        </w:tc>
        <w:tc>
          <w:tcPr>
            <w:tcW w:w="815" w:type="pct"/>
            <w:vMerge w:val="restart"/>
            <w:tcBorders>
              <w:top w:val="single" w:color="auto" w:sz="12" w:space="0"/>
            </w:tcBorders>
            <w:noWrap w:val="0"/>
            <w:vAlign w:val="center"/>
          </w:tcPr>
          <w:p w14:paraId="67098572">
            <w:pPr>
              <w:keepNext w:val="0"/>
              <w:keepLines w:val="0"/>
              <w:pageBreakBefore w:val="0"/>
              <w:kinsoku/>
              <w:wordWrap/>
              <w:overflowPunct/>
              <w:topLinePunct w:val="0"/>
              <w:bidi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年输入量（mg/kg）</w:t>
            </w:r>
          </w:p>
        </w:tc>
        <w:tc>
          <w:tcPr>
            <w:tcW w:w="2831" w:type="pct"/>
            <w:gridSpan w:val="3"/>
            <w:tcBorders>
              <w:top w:val="single" w:color="auto" w:sz="12" w:space="0"/>
              <w:right w:val="nil"/>
            </w:tcBorders>
            <w:noWrap w:val="0"/>
            <w:vAlign w:val="center"/>
          </w:tcPr>
          <w:p w14:paraId="14052139">
            <w:pPr>
              <w:keepNext w:val="0"/>
              <w:keepLines w:val="0"/>
              <w:pageBreakBefore w:val="0"/>
              <w:kinsoku/>
              <w:wordWrap/>
              <w:overflowPunct/>
              <w:topLinePunct w:val="0"/>
              <w:bidi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累积</w:t>
            </w:r>
            <w:r>
              <w:rPr>
                <w:rFonts w:hint="default" w:ascii="Times New Roman" w:hAnsi="Times New Roman" w:eastAsia="宋体" w:cs="Times New Roman"/>
                <w:color w:val="auto"/>
                <w:sz w:val="21"/>
                <w:szCs w:val="21"/>
                <w:highlight w:val="none"/>
                <w:lang w:val="en-US" w:eastAsia="zh-CN"/>
              </w:rPr>
              <w:t>预测</w:t>
            </w:r>
            <w:r>
              <w:rPr>
                <w:rFonts w:hint="default" w:ascii="Times New Roman" w:hAnsi="Times New Roman" w:eastAsia="宋体" w:cs="Times New Roman"/>
                <w:color w:val="auto"/>
                <w:sz w:val="21"/>
                <w:szCs w:val="21"/>
                <w:highlight w:val="none"/>
              </w:rPr>
              <w:t>值（mg/kg）</w:t>
            </w:r>
          </w:p>
        </w:tc>
      </w:tr>
      <w:tr w14:paraId="34065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2" w:type="pct"/>
            <w:vMerge w:val="continue"/>
            <w:tcBorders>
              <w:left w:val="nil"/>
            </w:tcBorders>
            <w:noWrap w:val="0"/>
            <w:vAlign w:val="center"/>
          </w:tcPr>
          <w:p w14:paraId="014C544F">
            <w:pPr>
              <w:keepNext w:val="0"/>
              <w:keepLines w:val="0"/>
              <w:pageBreakBefore w:val="0"/>
              <w:kinsoku/>
              <w:wordWrap/>
              <w:overflowPunct/>
              <w:topLinePunct w:val="0"/>
              <w:bidi w:val="0"/>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899" w:type="pct"/>
            <w:vMerge w:val="continue"/>
            <w:noWrap w:val="0"/>
            <w:vAlign w:val="center"/>
          </w:tcPr>
          <w:p w14:paraId="7C5E7CEB">
            <w:pPr>
              <w:keepNext w:val="0"/>
              <w:keepLines w:val="0"/>
              <w:pageBreakBefore w:val="0"/>
              <w:kinsoku/>
              <w:wordWrap/>
              <w:overflowPunct/>
              <w:topLinePunct w:val="0"/>
              <w:bidi w:val="0"/>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815" w:type="pct"/>
            <w:vMerge w:val="continue"/>
            <w:noWrap w:val="0"/>
            <w:vAlign w:val="center"/>
          </w:tcPr>
          <w:p w14:paraId="398CF466">
            <w:pPr>
              <w:keepNext w:val="0"/>
              <w:keepLines w:val="0"/>
              <w:pageBreakBefore w:val="0"/>
              <w:kinsoku/>
              <w:wordWrap/>
              <w:overflowPunct/>
              <w:topLinePunct w:val="0"/>
              <w:bidi w:val="0"/>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940" w:type="pct"/>
            <w:noWrap w:val="0"/>
            <w:vAlign w:val="center"/>
          </w:tcPr>
          <w:p w14:paraId="080A8DD7">
            <w:pPr>
              <w:keepNext w:val="0"/>
              <w:keepLines w:val="0"/>
              <w:pageBreakBefore w:val="0"/>
              <w:kinsoku/>
              <w:wordWrap/>
              <w:overflowPunct/>
              <w:topLinePunct w:val="0"/>
              <w:bidi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5年</w:t>
            </w:r>
          </w:p>
        </w:tc>
        <w:tc>
          <w:tcPr>
            <w:tcW w:w="843" w:type="pct"/>
            <w:noWrap w:val="0"/>
            <w:vAlign w:val="center"/>
          </w:tcPr>
          <w:p w14:paraId="464D41C7">
            <w:pPr>
              <w:keepNext w:val="0"/>
              <w:keepLines w:val="0"/>
              <w:pageBreakBefore w:val="0"/>
              <w:kinsoku/>
              <w:wordWrap/>
              <w:overflowPunct/>
              <w:topLinePunct w:val="0"/>
              <w:bidi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10年</w:t>
            </w:r>
          </w:p>
        </w:tc>
        <w:tc>
          <w:tcPr>
            <w:tcW w:w="1048" w:type="pct"/>
            <w:tcBorders>
              <w:right w:val="nil"/>
            </w:tcBorders>
            <w:noWrap w:val="0"/>
            <w:vAlign w:val="center"/>
          </w:tcPr>
          <w:p w14:paraId="6881173D">
            <w:pPr>
              <w:keepNext w:val="0"/>
              <w:keepLines w:val="0"/>
              <w:pageBreakBefore w:val="0"/>
              <w:kinsoku/>
              <w:wordWrap/>
              <w:overflowPunct/>
              <w:topLinePunct w:val="0"/>
              <w:bidi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20年</w:t>
            </w:r>
          </w:p>
        </w:tc>
      </w:tr>
      <w:tr w14:paraId="143A0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2" w:type="pct"/>
            <w:vMerge w:val="restart"/>
            <w:tcBorders>
              <w:left w:val="nil"/>
            </w:tcBorders>
            <w:noWrap w:val="0"/>
            <w:vAlign w:val="center"/>
          </w:tcPr>
          <w:p w14:paraId="41F2AADA">
            <w:pPr>
              <w:keepNext w:val="0"/>
              <w:keepLines w:val="0"/>
              <w:pageBreakBefore w:val="0"/>
              <w:kinsoku/>
              <w:wordWrap/>
              <w:overflowPunct/>
              <w:topLinePunct w:val="0"/>
              <w:bidi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899" w:type="pct"/>
            <w:noWrap w:val="0"/>
            <w:vAlign w:val="center"/>
          </w:tcPr>
          <w:p w14:paraId="598A3F15">
            <w:pPr>
              <w:pStyle w:val="124"/>
              <w:keepNext w:val="0"/>
              <w:keepLines w:val="0"/>
              <w:pageBreakBefore w:val="0"/>
              <w:kinsoku/>
              <w:wordWrap/>
              <w:overflowPunct/>
              <w:topLinePunct w:val="0"/>
              <w:autoSpaceDE w:val="0"/>
              <w:autoSpaceDN w:val="0"/>
              <w:bidi w:val="0"/>
              <w:snapToGrid w:val="0"/>
              <w:spacing w:line="240" w:lineRule="auto"/>
              <w:ind w:firstLine="0" w:firstLineChars="0"/>
              <w:jc w:val="center"/>
              <w:textAlignment w:val="bottom"/>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cyan"/>
              </w:rPr>
              <w:t>Hg</w:t>
            </w:r>
            <w:r>
              <w:rPr>
                <w:rFonts w:hint="eastAsia" w:ascii="Times New Roman" w:hAnsi="Times New Roman" w:cs="Times New Roman"/>
                <w:color w:val="auto"/>
                <w:sz w:val="21"/>
                <w:szCs w:val="21"/>
                <w:highlight w:val="cyan"/>
                <w:lang w:eastAsia="zh-CN"/>
              </w:rPr>
              <w:t>（</w:t>
            </w:r>
            <w:r>
              <w:rPr>
                <w:rFonts w:hint="eastAsia" w:ascii="Times New Roman" w:hAnsi="Times New Roman" w:cs="Times New Roman"/>
                <w:color w:val="auto"/>
                <w:sz w:val="21"/>
                <w:szCs w:val="21"/>
                <w:highlight w:val="cyan"/>
                <w:lang w:val="en-US" w:eastAsia="zh-CN"/>
              </w:rPr>
              <w:t>农用地</w:t>
            </w:r>
            <w:r>
              <w:rPr>
                <w:rFonts w:hint="eastAsia" w:ascii="Times New Roman" w:hAnsi="Times New Roman" w:cs="Times New Roman"/>
                <w:color w:val="auto"/>
                <w:sz w:val="21"/>
                <w:szCs w:val="21"/>
                <w:highlight w:val="cyan"/>
                <w:lang w:eastAsia="zh-CN"/>
              </w:rPr>
              <w:t>）</w:t>
            </w:r>
          </w:p>
        </w:tc>
        <w:tc>
          <w:tcPr>
            <w:tcW w:w="815" w:type="pct"/>
            <w:noWrap w:val="0"/>
            <w:vAlign w:val="center"/>
          </w:tcPr>
          <w:p w14:paraId="7320B1EC">
            <w:pPr>
              <w:keepNext w:val="0"/>
              <w:keepLines w:val="0"/>
              <w:pageBreakBefore w:val="0"/>
              <w:widowControl/>
              <w:kinsoku/>
              <w:wordWrap/>
              <w:overflowPunct/>
              <w:topLinePunct w:val="0"/>
              <w:bidi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cyan"/>
                <w:lang w:val="en-US" w:eastAsia="zh-CN" w:bidi="ar"/>
              </w:rPr>
              <w:t>4.51128</w:t>
            </w:r>
            <w:r>
              <w:rPr>
                <w:rFonts w:hint="default" w:ascii="Times New Roman" w:hAnsi="Times New Roman" w:eastAsia="宋体" w:cs="Times New Roman"/>
                <w:color w:val="auto"/>
                <w:sz w:val="21"/>
                <w:szCs w:val="21"/>
                <w:highlight w:val="cyan"/>
                <w:lang w:val="en-US" w:eastAsia="zh-CN"/>
              </w:rPr>
              <w:t>×10</w:t>
            </w:r>
            <w:r>
              <w:rPr>
                <w:rFonts w:hint="default" w:ascii="Times New Roman" w:hAnsi="Times New Roman" w:eastAsia="宋体" w:cs="Times New Roman"/>
                <w:color w:val="auto"/>
                <w:sz w:val="21"/>
                <w:szCs w:val="21"/>
                <w:highlight w:val="cyan"/>
                <w:vertAlign w:val="superscript"/>
                <w:lang w:val="en-US" w:eastAsia="zh-CN"/>
              </w:rPr>
              <w:t>-</w:t>
            </w:r>
            <w:r>
              <w:rPr>
                <w:rFonts w:hint="eastAsia" w:ascii="Times New Roman" w:hAnsi="Times New Roman" w:eastAsia="宋体" w:cs="Times New Roman"/>
                <w:color w:val="auto"/>
                <w:sz w:val="21"/>
                <w:szCs w:val="21"/>
                <w:highlight w:val="cyan"/>
                <w:vertAlign w:val="superscript"/>
                <w:lang w:val="en-US" w:eastAsia="zh-CN"/>
              </w:rPr>
              <w:t>4</w:t>
            </w:r>
          </w:p>
        </w:tc>
        <w:tc>
          <w:tcPr>
            <w:tcW w:w="940" w:type="pct"/>
            <w:noWrap w:val="0"/>
            <w:vAlign w:val="center"/>
          </w:tcPr>
          <w:p w14:paraId="0D7A48C5">
            <w:pPr>
              <w:keepNext w:val="0"/>
              <w:keepLines w:val="0"/>
              <w:pageBreakBefore w:val="0"/>
              <w:widowControl/>
              <w:kinsoku/>
              <w:wordWrap/>
              <w:overflowPunct/>
              <w:topLinePunct w:val="0"/>
              <w:bidi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sz w:val="21"/>
                <w:szCs w:val="21"/>
                <w:highlight w:val="cyan"/>
                <w:lang w:val="en-US" w:eastAsia="zh-CN"/>
              </w:rPr>
              <w:t>2.256</w:t>
            </w:r>
            <w:r>
              <w:rPr>
                <w:rFonts w:hint="default" w:ascii="Times New Roman" w:hAnsi="Times New Roman" w:eastAsia="宋体" w:cs="Times New Roman"/>
                <w:color w:val="auto"/>
                <w:sz w:val="21"/>
                <w:szCs w:val="21"/>
                <w:highlight w:val="cyan"/>
                <w:lang w:val="en-US" w:eastAsia="zh-CN"/>
              </w:rPr>
              <w:t>×10</w:t>
            </w:r>
            <w:r>
              <w:rPr>
                <w:rFonts w:hint="default" w:ascii="Times New Roman" w:hAnsi="Times New Roman" w:eastAsia="宋体" w:cs="Times New Roman"/>
                <w:color w:val="auto"/>
                <w:sz w:val="21"/>
                <w:szCs w:val="21"/>
                <w:highlight w:val="cyan"/>
                <w:vertAlign w:val="superscript"/>
                <w:lang w:val="en-US" w:eastAsia="zh-CN"/>
              </w:rPr>
              <w:t>-</w:t>
            </w:r>
            <w:r>
              <w:rPr>
                <w:rFonts w:hint="eastAsia" w:ascii="Times New Roman" w:hAnsi="Times New Roman" w:eastAsia="宋体" w:cs="Times New Roman"/>
                <w:color w:val="auto"/>
                <w:sz w:val="21"/>
                <w:szCs w:val="21"/>
                <w:highlight w:val="cyan"/>
                <w:vertAlign w:val="superscript"/>
                <w:lang w:val="en-US" w:eastAsia="zh-CN"/>
              </w:rPr>
              <w:t>3</w:t>
            </w:r>
          </w:p>
        </w:tc>
        <w:tc>
          <w:tcPr>
            <w:tcW w:w="843" w:type="pct"/>
            <w:noWrap w:val="0"/>
            <w:vAlign w:val="center"/>
          </w:tcPr>
          <w:p w14:paraId="6E610FEB">
            <w:pPr>
              <w:keepNext w:val="0"/>
              <w:keepLines w:val="0"/>
              <w:pageBreakBefore w:val="0"/>
              <w:widowControl/>
              <w:kinsoku/>
              <w:wordWrap/>
              <w:overflowPunct/>
              <w:topLinePunct w:val="0"/>
              <w:bidi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sz w:val="21"/>
                <w:szCs w:val="21"/>
                <w:highlight w:val="cyan"/>
                <w:lang w:val="en-US" w:eastAsia="zh-CN"/>
              </w:rPr>
              <w:t>4.511</w:t>
            </w:r>
            <w:r>
              <w:rPr>
                <w:rFonts w:hint="default" w:ascii="Times New Roman" w:hAnsi="Times New Roman" w:eastAsia="宋体" w:cs="Times New Roman"/>
                <w:color w:val="auto"/>
                <w:sz w:val="21"/>
                <w:szCs w:val="21"/>
                <w:highlight w:val="cyan"/>
                <w:lang w:val="en-US" w:eastAsia="zh-CN"/>
              </w:rPr>
              <w:t>×10</w:t>
            </w:r>
            <w:r>
              <w:rPr>
                <w:rFonts w:hint="default" w:ascii="Times New Roman" w:hAnsi="Times New Roman" w:eastAsia="宋体" w:cs="Times New Roman"/>
                <w:color w:val="auto"/>
                <w:sz w:val="21"/>
                <w:szCs w:val="21"/>
                <w:highlight w:val="cyan"/>
                <w:vertAlign w:val="superscript"/>
                <w:lang w:val="en-US" w:eastAsia="zh-CN"/>
              </w:rPr>
              <w:t>-</w:t>
            </w:r>
            <w:r>
              <w:rPr>
                <w:rFonts w:hint="eastAsia" w:ascii="Times New Roman" w:hAnsi="Times New Roman" w:eastAsia="宋体" w:cs="Times New Roman"/>
                <w:color w:val="auto"/>
                <w:sz w:val="21"/>
                <w:szCs w:val="21"/>
                <w:highlight w:val="cyan"/>
                <w:vertAlign w:val="superscript"/>
                <w:lang w:val="en-US" w:eastAsia="zh-CN"/>
              </w:rPr>
              <w:t>3</w:t>
            </w:r>
          </w:p>
        </w:tc>
        <w:tc>
          <w:tcPr>
            <w:tcW w:w="1048" w:type="pct"/>
            <w:tcBorders>
              <w:right w:val="nil"/>
            </w:tcBorders>
            <w:noWrap w:val="0"/>
            <w:vAlign w:val="center"/>
          </w:tcPr>
          <w:p w14:paraId="0801446F">
            <w:pPr>
              <w:keepNext w:val="0"/>
              <w:keepLines w:val="0"/>
              <w:pageBreakBefore w:val="0"/>
              <w:widowControl/>
              <w:kinsoku/>
              <w:wordWrap/>
              <w:overflowPunct/>
              <w:topLinePunct w:val="0"/>
              <w:bidi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cyan"/>
                <w:lang w:val="en-US" w:eastAsia="zh-CN" w:bidi="ar"/>
              </w:rPr>
              <w:t>9.022</w:t>
            </w:r>
            <w:r>
              <w:rPr>
                <w:rFonts w:hint="default" w:ascii="Times New Roman" w:hAnsi="Times New Roman" w:eastAsia="宋体" w:cs="Times New Roman"/>
                <w:color w:val="auto"/>
                <w:sz w:val="21"/>
                <w:szCs w:val="21"/>
                <w:highlight w:val="cyan"/>
                <w:lang w:val="en-US" w:eastAsia="zh-CN"/>
              </w:rPr>
              <w:t>×10</w:t>
            </w:r>
            <w:r>
              <w:rPr>
                <w:rFonts w:hint="default" w:ascii="Times New Roman" w:hAnsi="Times New Roman" w:eastAsia="宋体" w:cs="Times New Roman"/>
                <w:color w:val="auto"/>
                <w:sz w:val="21"/>
                <w:szCs w:val="21"/>
                <w:highlight w:val="cyan"/>
                <w:vertAlign w:val="superscript"/>
                <w:lang w:val="en-US" w:eastAsia="zh-CN"/>
              </w:rPr>
              <w:t>-</w:t>
            </w:r>
            <w:r>
              <w:rPr>
                <w:rFonts w:hint="eastAsia" w:ascii="Times New Roman" w:hAnsi="Times New Roman" w:eastAsia="宋体" w:cs="Times New Roman"/>
                <w:color w:val="auto"/>
                <w:sz w:val="21"/>
                <w:szCs w:val="21"/>
                <w:highlight w:val="cyan"/>
                <w:vertAlign w:val="superscript"/>
                <w:lang w:val="en-US" w:eastAsia="zh-CN"/>
              </w:rPr>
              <w:t>3</w:t>
            </w:r>
          </w:p>
        </w:tc>
      </w:tr>
      <w:tr w14:paraId="7808C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2" w:type="pct"/>
            <w:vMerge w:val="continue"/>
            <w:tcBorders>
              <w:left w:val="nil"/>
              <w:bottom w:val="single" w:color="auto" w:sz="12" w:space="0"/>
            </w:tcBorders>
            <w:noWrap w:val="0"/>
            <w:vAlign w:val="center"/>
          </w:tcPr>
          <w:p w14:paraId="28EE0647">
            <w:pPr>
              <w:keepNext w:val="0"/>
              <w:keepLines w:val="0"/>
              <w:pageBreakBefore w:val="0"/>
              <w:kinsoku/>
              <w:wordWrap/>
              <w:overflowPunct/>
              <w:topLinePunct w:val="0"/>
              <w:bidi w:val="0"/>
              <w:spacing w:line="240" w:lineRule="auto"/>
              <w:ind w:firstLine="0" w:firstLineChars="0"/>
              <w:jc w:val="center"/>
              <w:rPr>
                <w:rFonts w:hint="default" w:ascii="Times New Roman" w:hAnsi="Times New Roman" w:eastAsia="宋体" w:cs="Times New Roman"/>
                <w:color w:val="auto"/>
                <w:sz w:val="21"/>
                <w:szCs w:val="21"/>
                <w:highlight w:val="none"/>
              </w:rPr>
            </w:pPr>
          </w:p>
        </w:tc>
        <w:tc>
          <w:tcPr>
            <w:tcW w:w="899" w:type="pct"/>
            <w:tcBorders>
              <w:bottom w:val="single" w:color="auto" w:sz="12" w:space="0"/>
            </w:tcBorders>
            <w:noWrap w:val="0"/>
            <w:vAlign w:val="center"/>
          </w:tcPr>
          <w:p w14:paraId="0463FB5F">
            <w:pPr>
              <w:pStyle w:val="124"/>
              <w:keepNext w:val="0"/>
              <w:keepLines w:val="0"/>
              <w:pageBreakBefore w:val="0"/>
              <w:kinsoku/>
              <w:wordWrap/>
              <w:overflowPunct/>
              <w:topLinePunct w:val="0"/>
              <w:autoSpaceDE w:val="0"/>
              <w:autoSpaceDN w:val="0"/>
              <w:bidi w:val="0"/>
              <w:snapToGrid w:val="0"/>
              <w:spacing w:line="240" w:lineRule="auto"/>
              <w:ind w:firstLine="0" w:firstLineChars="0"/>
              <w:jc w:val="center"/>
              <w:textAlignment w:val="bottom"/>
              <w:rPr>
                <w:rFonts w:hint="default"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cyan"/>
                <w:lang w:val="en-US" w:eastAsia="zh-CN"/>
              </w:rPr>
              <w:t>Hg（建设用地）</w:t>
            </w:r>
          </w:p>
        </w:tc>
        <w:tc>
          <w:tcPr>
            <w:tcW w:w="815" w:type="pct"/>
            <w:tcBorders>
              <w:bottom w:val="single" w:color="auto" w:sz="12" w:space="0"/>
            </w:tcBorders>
            <w:noWrap w:val="0"/>
            <w:vAlign w:val="center"/>
          </w:tcPr>
          <w:p w14:paraId="4524F40F">
            <w:pPr>
              <w:keepNext w:val="0"/>
              <w:keepLines w:val="0"/>
              <w:pageBreakBefore w:val="0"/>
              <w:widowControl/>
              <w:kinsoku/>
              <w:wordWrap/>
              <w:overflowPunct/>
              <w:topLinePunct w:val="0"/>
              <w:bidi w:val="0"/>
              <w:spacing w:line="240" w:lineRule="auto"/>
              <w:ind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cyan"/>
                <w:lang w:val="en-US" w:eastAsia="zh-CN" w:bidi="ar"/>
              </w:rPr>
              <w:t>4.13534</w:t>
            </w:r>
            <w:r>
              <w:rPr>
                <w:rFonts w:hint="default" w:ascii="Times New Roman" w:hAnsi="Times New Roman" w:eastAsia="宋体" w:cs="Times New Roman"/>
                <w:color w:val="auto"/>
                <w:sz w:val="21"/>
                <w:szCs w:val="21"/>
                <w:highlight w:val="cyan"/>
                <w:lang w:val="en-US" w:eastAsia="zh-CN"/>
              </w:rPr>
              <w:t>×10</w:t>
            </w:r>
            <w:r>
              <w:rPr>
                <w:rFonts w:hint="default" w:ascii="Times New Roman" w:hAnsi="Times New Roman" w:eastAsia="宋体" w:cs="Times New Roman"/>
                <w:color w:val="auto"/>
                <w:sz w:val="21"/>
                <w:szCs w:val="21"/>
                <w:highlight w:val="cyan"/>
                <w:vertAlign w:val="superscript"/>
                <w:lang w:val="en-US" w:eastAsia="zh-CN"/>
              </w:rPr>
              <w:t>-</w:t>
            </w:r>
            <w:r>
              <w:rPr>
                <w:rFonts w:hint="eastAsia" w:ascii="Times New Roman" w:hAnsi="Times New Roman" w:eastAsia="宋体" w:cs="Times New Roman"/>
                <w:color w:val="auto"/>
                <w:sz w:val="21"/>
                <w:szCs w:val="21"/>
                <w:highlight w:val="cyan"/>
                <w:vertAlign w:val="superscript"/>
                <w:lang w:val="en-US" w:eastAsia="zh-CN"/>
              </w:rPr>
              <w:t>4</w:t>
            </w:r>
          </w:p>
        </w:tc>
        <w:tc>
          <w:tcPr>
            <w:tcW w:w="940" w:type="pct"/>
            <w:tcBorders>
              <w:bottom w:val="single" w:color="auto" w:sz="12" w:space="0"/>
            </w:tcBorders>
            <w:noWrap w:val="0"/>
            <w:vAlign w:val="center"/>
          </w:tcPr>
          <w:p w14:paraId="5A5C3234">
            <w:pPr>
              <w:keepNext w:val="0"/>
              <w:keepLines w:val="0"/>
              <w:pageBreakBefore w:val="0"/>
              <w:widowControl/>
              <w:kinsoku/>
              <w:wordWrap/>
              <w:overflowPunct/>
              <w:topLinePunct w:val="0"/>
              <w:bidi w:val="0"/>
              <w:spacing w:line="240" w:lineRule="auto"/>
              <w:ind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sz w:val="21"/>
                <w:szCs w:val="21"/>
                <w:highlight w:val="cyan"/>
                <w:lang w:val="en-US" w:eastAsia="zh-CN"/>
              </w:rPr>
              <w:t>2.068</w:t>
            </w:r>
            <w:r>
              <w:rPr>
                <w:rFonts w:hint="default" w:ascii="Times New Roman" w:hAnsi="Times New Roman" w:eastAsia="宋体" w:cs="Times New Roman"/>
                <w:color w:val="auto"/>
                <w:sz w:val="21"/>
                <w:szCs w:val="21"/>
                <w:highlight w:val="cyan"/>
                <w:lang w:val="en-US" w:eastAsia="zh-CN"/>
              </w:rPr>
              <w:t>×10</w:t>
            </w:r>
            <w:r>
              <w:rPr>
                <w:rFonts w:hint="default" w:ascii="Times New Roman" w:hAnsi="Times New Roman" w:eastAsia="宋体" w:cs="Times New Roman"/>
                <w:color w:val="auto"/>
                <w:sz w:val="21"/>
                <w:szCs w:val="21"/>
                <w:highlight w:val="cyan"/>
                <w:vertAlign w:val="superscript"/>
                <w:lang w:val="en-US" w:eastAsia="zh-CN"/>
              </w:rPr>
              <w:t>-</w:t>
            </w:r>
            <w:r>
              <w:rPr>
                <w:rFonts w:hint="eastAsia" w:ascii="Times New Roman" w:hAnsi="Times New Roman" w:eastAsia="宋体" w:cs="Times New Roman"/>
                <w:color w:val="auto"/>
                <w:sz w:val="21"/>
                <w:szCs w:val="21"/>
                <w:highlight w:val="cyan"/>
                <w:vertAlign w:val="superscript"/>
                <w:lang w:val="en-US" w:eastAsia="zh-CN"/>
              </w:rPr>
              <w:t>3</w:t>
            </w:r>
          </w:p>
        </w:tc>
        <w:tc>
          <w:tcPr>
            <w:tcW w:w="843" w:type="pct"/>
            <w:tcBorders>
              <w:bottom w:val="single" w:color="auto" w:sz="12" w:space="0"/>
            </w:tcBorders>
            <w:noWrap w:val="0"/>
            <w:vAlign w:val="center"/>
          </w:tcPr>
          <w:p w14:paraId="10E7BBEF">
            <w:pPr>
              <w:keepNext w:val="0"/>
              <w:keepLines w:val="0"/>
              <w:pageBreakBefore w:val="0"/>
              <w:widowControl/>
              <w:kinsoku/>
              <w:wordWrap/>
              <w:overflowPunct/>
              <w:topLinePunct w:val="0"/>
              <w:bidi w:val="0"/>
              <w:spacing w:line="240" w:lineRule="auto"/>
              <w:ind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sz w:val="21"/>
                <w:szCs w:val="21"/>
                <w:highlight w:val="cyan"/>
                <w:lang w:val="en-US" w:eastAsia="zh-CN"/>
              </w:rPr>
              <w:t>4.135</w:t>
            </w:r>
            <w:r>
              <w:rPr>
                <w:rFonts w:hint="default" w:ascii="Times New Roman" w:hAnsi="Times New Roman" w:eastAsia="宋体" w:cs="Times New Roman"/>
                <w:color w:val="auto"/>
                <w:sz w:val="21"/>
                <w:szCs w:val="21"/>
                <w:highlight w:val="cyan"/>
                <w:lang w:val="en-US" w:eastAsia="zh-CN"/>
              </w:rPr>
              <w:t>×10</w:t>
            </w:r>
            <w:r>
              <w:rPr>
                <w:rFonts w:hint="default" w:ascii="Times New Roman" w:hAnsi="Times New Roman" w:eastAsia="宋体" w:cs="Times New Roman"/>
                <w:color w:val="auto"/>
                <w:sz w:val="21"/>
                <w:szCs w:val="21"/>
                <w:highlight w:val="cyan"/>
                <w:vertAlign w:val="superscript"/>
                <w:lang w:val="en-US" w:eastAsia="zh-CN"/>
              </w:rPr>
              <w:t>-</w:t>
            </w:r>
            <w:r>
              <w:rPr>
                <w:rFonts w:hint="eastAsia" w:ascii="Times New Roman" w:hAnsi="Times New Roman" w:eastAsia="宋体" w:cs="Times New Roman"/>
                <w:color w:val="auto"/>
                <w:sz w:val="21"/>
                <w:szCs w:val="21"/>
                <w:highlight w:val="cyan"/>
                <w:vertAlign w:val="superscript"/>
                <w:lang w:val="en-US" w:eastAsia="zh-CN"/>
              </w:rPr>
              <w:t>3</w:t>
            </w:r>
          </w:p>
        </w:tc>
        <w:tc>
          <w:tcPr>
            <w:tcW w:w="1048" w:type="pct"/>
            <w:tcBorders>
              <w:bottom w:val="single" w:color="auto" w:sz="12" w:space="0"/>
              <w:right w:val="nil"/>
            </w:tcBorders>
            <w:noWrap w:val="0"/>
            <w:vAlign w:val="center"/>
          </w:tcPr>
          <w:p w14:paraId="4E900AC7">
            <w:pPr>
              <w:keepNext w:val="0"/>
              <w:keepLines w:val="0"/>
              <w:pageBreakBefore w:val="0"/>
              <w:widowControl/>
              <w:kinsoku/>
              <w:wordWrap/>
              <w:overflowPunct/>
              <w:topLinePunct w:val="0"/>
              <w:bidi w:val="0"/>
              <w:spacing w:line="240" w:lineRule="auto"/>
              <w:ind w:firstLine="0" w:firstLineChars="0"/>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sz w:val="21"/>
                <w:szCs w:val="21"/>
                <w:highlight w:val="cyan"/>
                <w:lang w:val="en-US" w:eastAsia="zh-CN"/>
              </w:rPr>
              <w:t>8.271</w:t>
            </w:r>
            <w:r>
              <w:rPr>
                <w:rFonts w:hint="default" w:ascii="Times New Roman" w:hAnsi="Times New Roman" w:eastAsia="宋体" w:cs="Times New Roman"/>
                <w:color w:val="auto"/>
                <w:sz w:val="21"/>
                <w:szCs w:val="21"/>
                <w:highlight w:val="cyan"/>
                <w:lang w:val="en-US" w:eastAsia="zh-CN"/>
              </w:rPr>
              <w:t>×10</w:t>
            </w:r>
            <w:r>
              <w:rPr>
                <w:rFonts w:hint="default" w:ascii="Times New Roman" w:hAnsi="Times New Roman" w:eastAsia="宋体" w:cs="Times New Roman"/>
                <w:color w:val="auto"/>
                <w:sz w:val="21"/>
                <w:szCs w:val="21"/>
                <w:highlight w:val="cyan"/>
                <w:vertAlign w:val="superscript"/>
                <w:lang w:val="en-US" w:eastAsia="zh-CN"/>
              </w:rPr>
              <w:t>-</w:t>
            </w:r>
            <w:r>
              <w:rPr>
                <w:rFonts w:hint="eastAsia" w:ascii="Times New Roman" w:hAnsi="Times New Roman" w:eastAsia="宋体" w:cs="Times New Roman"/>
                <w:color w:val="auto"/>
                <w:sz w:val="21"/>
                <w:szCs w:val="21"/>
                <w:highlight w:val="cyan"/>
                <w:vertAlign w:val="superscript"/>
                <w:lang w:val="en-US" w:eastAsia="zh-CN"/>
              </w:rPr>
              <w:t>3</w:t>
            </w:r>
          </w:p>
        </w:tc>
      </w:tr>
    </w:tbl>
    <w:p w14:paraId="36FECFEA">
      <w:pPr>
        <w:spacing w:line="480" w:lineRule="exact"/>
        <w:jc w:val="center"/>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表</w:t>
      </w:r>
      <w:r>
        <w:rPr>
          <w:rFonts w:hint="default" w:ascii="Times New Roman" w:hAnsi="Times New Roman" w:eastAsia="宋体" w:cs="Times New Roman"/>
          <w:color w:val="auto"/>
          <w:kern w:val="0"/>
          <w:sz w:val="24"/>
          <w:highlight w:val="none"/>
          <w:lang w:val="en-US" w:eastAsia="zh-CN"/>
        </w:rPr>
        <w:t>6</w:t>
      </w:r>
      <w:r>
        <w:rPr>
          <w:rFonts w:hint="default" w:ascii="Times New Roman" w:hAnsi="Times New Roman" w:eastAsia="宋体" w:cs="Times New Roman"/>
          <w:color w:val="auto"/>
          <w:kern w:val="0"/>
          <w:sz w:val="24"/>
          <w:highlight w:val="none"/>
        </w:rPr>
        <w:t>-2-</w:t>
      </w:r>
      <w:r>
        <w:rPr>
          <w:rFonts w:hint="eastAsia" w:ascii="Times New Roman" w:hAnsi="Times New Roman" w:eastAsia="宋体" w:cs="Times New Roman"/>
          <w:color w:val="auto"/>
          <w:kern w:val="0"/>
          <w:sz w:val="24"/>
          <w:highlight w:val="none"/>
          <w:lang w:val="en-US" w:eastAsia="zh-CN"/>
        </w:rPr>
        <w:t>41</w:t>
      </w:r>
      <w:r>
        <w:rPr>
          <w:rFonts w:hint="default" w:ascii="Times New Roman" w:hAnsi="Times New Roman" w:eastAsia="宋体" w:cs="Times New Roman"/>
          <w:color w:val="auto"/>
          <w:kern w:val="0"/>
          <w:sz w:val="24"/>
          <w:highlight w:val="none"/>
          <w:lang w:val="en-US" w:eastAsia="zh-CN"/>
        </w:rPr>
        <w:t xml:space="preserve"> </w:t>
      </w:r>
      <w:r>
        <w:rPr>
          <w:rFonts w:hint="default" w:ascii="Times New Roman" w:hAnsi="Times New Roman" w:eastAsia="宋体" w:cs="Times New Roman"/>
          <w:color w:val="auto"/>
          <w:kern w:val="0"/>
          <w:sz w:val="24"/>
          <w:highlight w:val="none"/>
        </w:rPr>
        <w:t xml:space="preserve"> 干沉降对土壤累积影响叠加值</w:t>
      </w:r>
    </w:p>
    <w:tbl>
      <w:tblPr>
        <w:tblStyle w:val="37"/>
        <w:tblW w:w="492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949"/>
        <w:gridCol w:w="816"/>
        <w:gridCol w:w="850"/>
        <w:gridCol w:w="929"/>
        <w:gridCol w:w="890"/>
        <w:gridCol w:w="1088"/>
        <w:gridCol w:w="2243"/>
      </w:tblGrid>
      <w:tr w14:paraId="798B4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378" w:type="pct"/>
            <w:vMerge w:val="restart"/>
            <w:tcBorders>
              <w:top w:val="single" w:color="auto" w:sz="12" w:space="0"/>
              <w:left w:val="nil"/>
            </w:tcBorders>
            <w:noWrap w:val="0"/>
            <w:vAlign w:val="center"/>
          </w:tcPr>
          <w:p w14:paraId="2E4CF0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序号</w:t>
            </w:r>
          </w:p>
        </w:tc>
        <w:tc>
          <w:tcPr>
            <w:tcW w:w="564" w:type="pct"/>
            <w:vMerge w:val="restart"/>
            <w:tcBorders>
              <w:top w:val="single" w:color="auto" w:sz="12" w:space="0"/>
            </w:tcBorders>
            <w:noWrap w:val="0"/>
            <w:vAlign w:val="center"/>
          </w:tcPr>
          <w:p w14:paraId="00101F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因子</w:t>
            </w:r>
          </w:p>
        </w:tc>
        <w:tc>
          <w:tcPr>
            <w:tcW w:w="485" w:type="pct"/>
            <w:vMerge w:val="restart"/>
            <w:tcBorders>
              <w:top w:val="single" w:color="auto" w:sz="12" w:space="0"/>
            </w:tcBorders>
            <w:noWrap w:val="0"/>
            <w:vAlign w:val="center"/>
          </w:tcPr>
          <w:p w14:paraId="2AC286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现状</w:t>
            </w:r>
            <w:r>
              <w:rPr>
                <w:rFonts w:hint="default" w:ascii="Times New Roman" w:hAnsi="Times New Roman" w:eastAsia="宋体" w:cs="Times New Roman"/>
                <w:color w:val="auto"/>
                <w:kern w:val="0"/>
                <w:sz w:val="21"/>
                <w:szCs w:val="21"/>
                <w:highlight w:val="none"/>
              </w:rPr>
              <w:t>值（mg/kg）</w:t>
            </w:r>
          </w:p>
        </w:tc>
        <w:tc>
          <w:tcPr>
            <w:tcW w:w="1588" w:type="pct"/>
            <w:gridSpan w:val="3"/>
            <w:tcBorders>
              <w:top w:val="single" w:color="auto" w:sz="12" w:space="0"/>
              <w:right w:val="nil"/>
            </w:tcBorders>
            <w:noWrap w:val="0"/>
            <w:vAlign w:val="center"/>
          </w:tcPr>
          <w:p w14:paraId="0E27CC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累积叠加值（mg/kg）</w:t>
            </w:r>
          </w:p>
        </w:tc>
        <w:tc>
          <w:tcPr>
            <w:tcW w:w="647" w:type="pct"/>
            <w:vMerge w:val="restart"/>
            <w:tcBorders>
              <w:top w:val="single" w:color="auto" w:sz="12" w:space="0"/>
              <w:right w:val="nil"/>
            </w:tcBorders>
            <w:noWrap w:val="0"/>
            <w:vAlign w:val="center"/>
          </w:tcPr>
          <w:p w14:paraId="0D6A26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标准值（mg/kg）</w:t>
            </w:r>
          </w:p>
        </w:tc>
        <w:tc>
          <w:tcPr>
            <w:tcW w:w="1334" w:type="pct"/>
            <w:vMerge w:val="restart"/>
            <w:tcBorders>
              <w:top w:val="single" w:color="auto" w:sz="12" w:space="0"/>
              <w:right w:val="nil"/>
            </w:tcBorders>
            <w:noWrap w:val="0"/>
            <w:vAlign w:val="center"/>
          </w:tcPr>
          <w:p w14:paraId="6A72C6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备注</w:t>
            </w:r>
          </w:p>
        </w:tc>
      </w:tr>
      <w:tr w14:paraId="2AC41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378" w:type="pct"/>
            <w:vMerge w:val="continue"/>
            <w:tcBorders>
              <w:left w:val="nil"/>
            </w:tcBorders>
            <w:noWrap w:val="0"/>
            <w:vAlign w:val="center"/>
          </w:tcPr>
          <w:p w14:paraId="77AE7A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564" w:type="pct"/>
            <w:vMerge w:val="continue"/>
            <w:noWrap w:val="0"/>
            <w:vAlign w:val="center"/>
          </w:tcPr>
          <w:p w14:paraId="0502B4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485" w:type="pct"/>
            <w:vMerge w:val="continue"/>
            <w:noWrap w:val="0"/>
            <w:vAlign w:val="center"/>
          </w:tcPr>
          <w:p w14:paraId="3302E96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505" w:type="pct"/>
            <w:noWrap w:val="0"/>
            <w:vAlign w:val="center"/>
          </w:tcPr>
          <w:p w14:paraId="3927AC4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5年</w:t>
            </w:r>
          </w:p>
        </w:tc>
        <w:tc>
          <w:tcPr>
            <w:tcW w:w="552" w:type="pct"/>
            <w:noWrap w:val="0"/>
            <w:vAlign w:val="center"/>
          </w:tcPr>
          <w:p w14:paraId="3547D4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10年</w:t>
            </w:r>
          </w:p>
        </w:tc>
        <w:tc>
          <w:tcPr>
            <w:tcW w:w="529" w:type="pct"/>
            <w:tcBorders>
              <w:right w:val="nil"/>
            </w:tcBorders>
            <w:noWrap w:val="0"/>
            <w:vAlign w:val="center"/>
          </w:tcPr>
          <w:p w14:paraId="23298A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20年</w:t>
            </w:r>
          </w:p>
        </w:tc>
        <w:tc>
          <w:tcPr>
            <w:tcW w:w="647" w:type="pct"/>
            <w:vMerge w:val="continue"/>
            <w:tcBorders>
              <w:right w:val="nil"/>
            </w:tcBorders>
            <w:noWrap w:val="0"/>
            <w:vAlign w:val="center"/>
          </w:tcPr>
          <w:p w14:paraId="613835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1334" w:type="pct"/>
            <w:vMerge w:val="continue"/>
            <w:tcBorders>
              <w:right w:val="nil"/>
            </w:tcBorders>
            <w:noWrap w:val="0"/>
            <w:vAlign w:val="center"/>
          </w:tcPr>
          <w:p w14:paraId="49CBFE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r>
      <w:tr w14:paraId="1944E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8" w:type="pct"/>
            <w:vMerge w:val="restart"/>
            <w:tcBorders>
              <w:left w:val="nil"/>
            </w:tcBorders>
            <w:noWrap w:val="0"/>
            <w:vAlign w:val="center"/>
          </w:tcPr>
          <w:p w14:paraId="74763C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w:t>
            </w:r>
          </w:p>
        </w:tc>
        <w:tc>
          <w:tcPr>
            <w:tcW w:w="564" w:type="pct"/>
            <w:noWrap w:val="0"/>
            <w:vAlign w:val="center"/>
          </w:tcPr>
          <w:p w14:paraId="72012CB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cyan"/>
                <w:lang w:bidi="ar"/>
              </w:rPr>
            </w:pPr>
            <w:r>
              <w:rPr>
                <w:rFonts w:hint="default" w:ascii="Times New Roman" w:hAnsi="Times New Roman" w:eastAsia="宋体" w:cs="Times New Roman"/>
                <w:color w:val="auto"/>
                <w:kern w:val="0"/>
                <w:sz w:val="21"/>
                <w:szCs w:val="21"/>
                <w:highlight w:val="cyan"/>
                <w:lang w:bidi="ar"/>
              </w:rPr>
              <w:t>Hg</w:t>
            </w:r>
          </w:p>
          <w:p w14:paraId="657DEAF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cyan"/>
                <w:lang w:eastAsia="zh-CN" w:bidi="ar"/>
              </w:rPr>
              <w:t>（</w:t>
            </w:r>
            <w:r>
              <w:rPr>
                <w:rFonts w:hint="eastAsia" w:ascii="Times New Roman" w:hAnsi="Times New Roman" w:eastAsia="宋体" w:cs="Times New Roman"/>
                <w:color w:val="auto"/>
                <w:kern w:val="0"/>
                <w:sz w:val="21"/>
                <w:szCs w:val="21"/>
                <w:highlight w:val="cyan"/>
                <w:lang w:val="en-US" w:eastAsia="zh-CN" w:bidi="ar"/>
              </w:rPr>
              <w:t>农用地</w:t>
            </w:r>
            <w:r>
              <w:rPr>
                <w:rFonts w:hint="eastAsia" w:ascii="Times New Roman" w:hAnsi="Times New Roman" w:eastAsia="宋体" w:cs="Times New Roman"/>
                <w:color w:val="auto"/>
                <w:kern w:val="0"/>
                <w:sz w:val="21"/>
                <w:szCs w:val="21"/>
                <w:highlight w:val="cyan"/>
                <w:lang w:eastAsia="zh-CN" w:bidi="ar"/>
              </w:rPr>
              <w:t>）</w:t>
            </w:r>
          </w:p>
        </w:tc>
        <w:tc>
          <w:tcPr>
            <w:tcW w:w="485" w:type="pct"/>
            <w:noWrap w:val="0"/>
            <w:vAlign w:val="center"/>
          </w:tcPr>
          <w:p w14:paraId="5D14A5F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cyan"/>
                <w:lang w:val="en-US" w:eastAsia="zh-CN" w:bidi="ar"/>
              </w:rPr>
              <w:t>0.081</w:t>
            </w:r>
          </w:p>
        </w:tc>
        <w:tc>
          <w:tcPr>
            <w:tcW w:w="505" w:type="pct"/>
            <w:noWrap w:val="0"/>
            <w:vAlign w:val="center"/>
          </w:tcPr>
          <w:p w14:paraId="6632E0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0.0832</w:t>
            </w:r>
          </w:p>
        </w:tc>
        <w:tc>
          <w:tcPr>
            <w:tcW w:w="552" w:type="pct"/>
            <w:noWrap w:val="0"/>
            <w:vAlign w:val="center"/>
          </w:tcPr>
          <w:p w14:paraId="0E90CD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0.0855</w:t>
            </w:r>
          </w:p>
        </w:tc>
        <w:tc>
          <w:tcPr>
            <w:tcW w:w="529" w:type="pct"/>
            <w:tcBorders>
              <w:right w:val="nil"/>
            </w:tcBorders>
            <w:noWrap w:val="0"/>
            <w:vAlign w:val="center"/>
          </w:tcPr>
          <w:p w14:paraId="4A9869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0.0900</w:t>
            </w:r>
          </w:p>
        </w:tc>
        <w:tc>
          <w:tcPr>
            <w:tcW w:w="647" w:type="pct"/>
            <w:tcBorders>
              <w:right w:val="nil"/>
            </w:tcBorders>
            <w:noWrap w:val="0"/>
            <w:vAlign w:val="center"/>
          </w:tcPr>
          <w:p w14:paraId="739F816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2.4</w:t>
            </w:r>
          </w:p>
        </w:tc>
        <w:tc>
          <w:tcPr>
            <w:tcW w:w="1334" w:type="pct"/>
            <w:tcBorders>
              <w:right w:val="nil"/>
            </w:tcBorders>
            <w:noWrap w:val="0"/>
            <w:vAlign w:val="center"/>
          </w:tcPr>
          <w:p w14:paraId="1E7225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《土壤环境质量建设用地土壤污染风险管控标准（试行）》（GB36600-2018）中建设用地土壤污染风险筛选值</w:t>
            </w:r>
          </w:p>
        </w:tc>
      </w:tr>
      <w:tr w14:paraId="183A5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8" w:type="pct"/>
            <w:vMerge w:val="continue"/>
            <w:tcBorders>
              <w:left w:val="nil"/>
              <w:bottom w:val="single" w:color="auto" w:sz="12" w:space="0"/>
            </w:tcBorders>
            <w:noWrap w:val="0"/>
            <w:vAlign w:val="center"/>
          </w:tcPr>
          <w:p w14:paraId="0F1DE8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564" w:type="pct"/>
            <w:tcBorders>
              <w:bottom w:val="single" w:color="auto" w:sz="12" w:space="0"/>
            </w:tcBorders>
            <w:noWrap w:val="0"/>
            <w:vAlign w:val="center"/>
          </w:tcPr>
          <w:p w14:paraId="498443C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cs="Times New Roman"/>
                <w:color w:val="auto"/>
                <w:sz w:val="21"/>
                <w:szCs w:val="21"/>
                <w:highlight w:val="cyan"/>
                <w:lang w:val="en-US" w:eastAsia="zh-CN"/>
              </w:rPr>
            </w:pPr>
            <w:r>
              <w:rPr>
                <w:rFonts w:hint="eastAsia" w:ascii="Times New Roman" w:hAnsi="Times New Roman" w:cs="Times New Roman"/>
                <w:color w:val="auto"/>
                <w:sz w:val="21"/>
                <w:szCs w:val="21"/>
                <w:highlight w:val="cyan"/>
                <w:lang w:val="en-US" w:eastAsia="zh-CN"/>
              </w:rPr>
              <w:t>Hg</w:t>
            </w:r>
          </w:p>
          <w:p w14:paraId="19F397E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rPr>
            </w:pPr>
            <w:r>
              <w:rPr>
                <w:rFonts w:hint="eastAsia" w:ascii="Times New Roman" w:hAnsi="Times New Roman" w:cs="Times New Roman"/>
                <w:color w:val="auto"/>
                <w:sz w:val="21"/>
                <w:szCs w:val="21"/>
                <w:highlight w:val="cyan"/>
                <w:lang w:val="en-US" w:eastAsia="zh-CN"/>
              </w:rPr>
              <w:t>（建设用地）</w:t>
            </w:r>
          </w:p>
        </w:tc>
        <w:tc>
          <w:tcPr>
            <w:tcW w:w="485" w:type="pct"/>
            <w:tcBorders>
              <w:bottom w:val="single" w:color="auto" w:sz="12" w:space="0"/>
            </w:tcBorders>
            <w:noWrap w:val="0"/>
            <w:vAlign w:val="center"/>
          </w:tcPr>
          <w:p w14:paraId="7AAEDA0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cyan"/>
                <w:lang w:val="en-US" w:eastAsia="zh-CN" w:bidi="ar"/>
              </w:rPr>
              <w:t>0.322</w:t>
            </w:r>
          </w:p>
        </w:tc>
        <w:tc>
          <w:tcPr>
            <w:tcW w:w="505" w:type="pct"/>
            <w:tcBorders>
              <w:bottom w:val="single" w:color="auto" w:sz="12" w:space="0"/>
            </w:tcBorders>
            <w:noWrap w:val="0"/>
            <w:vAlign w:val="center"/>
          </w:tcPr>
          <w:p w14:paraId="77AE6E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0.3241</w:t>
            </w:r>
          </w:p>
        </w:tc>
        <w:tc>
          <w:tcPr>
            <w:tcW w:w="552" w:type="pct"/>
            <w:tcBorders>
              <w:bottom w:val="single" w:color="auto" w:sz="12" w:space="0"/>
            </w:tcBorders>
            <w:noWrap w:val="0"/>
            <w:vAlign w:val="center"/>
          </w:tcPr>
          <w:p w14:paraId="474F03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0.3261</w:t>
            </w:r>
          </w:p>
        </w:tc>
        <w:tc>
          <w:tcPr>
            <w:tcW w:w="529" w:type="pct"/>
            <w:tcBorders>
              <w:bottom w:val="single" w:color="auto" w:sz="12" w:space="0"/>
              <w:right w:val="nil"/>
            </w:tcBorders>
            <w:noWrap w:val="0"/>
            <w:vAlign w:val="center"/>
          </w:tcPr>
          <w:p w14:paraId="5ABC19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0.3303</w:t>
            </w:r>
          </w:p>
        </w:tc>
        <w:tc>
          <w:tcPr>
            <w:tcW w:w="647" w:type="pct"/>
            <w:tcBorders>
              <w:bottom w:val="single" w:color="auto" w:sz="12" w:space="0"/>
              <w:right w:val="nil"/>
            </w:tcBorders>
            <w:noWrap w:val="0"/>
            <w:vAlign w:val="center"/>
          </w:tcPr>
          <w:p w14:paraId="027B26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38</w:t>
            </w:r>
          </w:p>
        </w:tc>
        <w:tc>
          <w:tcPr>
            <w:tcW w:w="1334" w:type="pct"/>
            <w:tcBorders>
              <w:bottom w:val="single" w:color="auto" w:sz="12" w:space="0"/>
              <w:right w:val="nil"/>
            </w:tcBorders>
            <w:noWrap w:val="0"/>
            <w:vAlign w:val="center"/>
          </w:tcPr>
          <w:p w14:paraId="2D0BEA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lang w:val="en-US" w:eastAsia="zh-CN"/>
              </w:rPr>
              <w:t>土壤环境质量 农用地土壤污染风险管控标准</w:t>
            </w:r>
            <w:r>
              <w:rPr>
                <w:rFonts w:hint="eastAsia" w:ascii="Times New Roman" w:hAnsi="Times New Roman" w:eastAsia="宋体"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lang w:val="en-US" w:eastAsia="zh-CN"/>
              </w:rPr>
              <w:t>试行</w:t>
            </w:r>
            <w:r>
              <w:rPr>
                <w:rFonts w:hint="eastAsia" w:ascii="Times New Roman" w:hAnsi="Times New Roman" w:eastAsia="宋体"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lang w:val="en-US" w:eastAsia="zh-CN"/>
              </w:rPr>
              <w:t>GB 15618-2018</w:t>
            </w:r>
            <w:r>
              <w:rPr>
                <w:rFonts w:hint="eastAsia" w:ascii="Times New Roman" w:hAnsi="Times New Roman" w:eastAsia="宋体" w:cs="Times New Roman"/>
                <w:color w:val="auto"/>
                <w:kern w:val="0"/>
                <w:sz w:val="21"/>
                <w:szCs w:val="21"/>
                <w:highlight w:val="none"/>
                <w:lang w:val="en-US" w:eastAsia="zh-CN"/>
              </w:rPr>
              <w:t>）</w:t>
            </w:r>
          </w:p>
        </w:tc>
      </w:tr>
    </w:tbl>
    <w:p w14:paraId="5D71867A">
      <w:pPr>
        <w:bidi w:val="0"/>
        <w:ind w:left="0" w:leftChars="0" w:firstLine="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注：累积叠加值=预测值+现状值</w:t>
      </w:r>
    </w:p>
    <w:p w14:paraId="231C1FFA">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0"/>
          <w:sz w:val="24"/>
          <w:highlight w:val="none"/>
        </w:rPr>
        <w:t>本项目排放废气中的汞含量很小，经20年沉降累积土壤中Hg增量甚微，不会造成周边土壤影响，土壤累积污染在可接受范围内。</w:t>
      </w:r>
      <w:r>
        <w:rPr>
          <w:rFonts w:hint="default" w:ascii="Times New Roman" w:hAnsi="Times New Roman" w:eastAsia="宋体" w:cs="Times New Roman"/>
          <w:color w:val="auto"/>
          <w:highlight w:val="none"/>
        </w:rPr>
        <w:t>本项目烟气排放的Hg经大气沉降后进入土壤中的累积量叠加本底后，在</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0年内其评价范围内均满足《土壤环境质量 建设用地土壤污染风险管控标准（试行）》</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GB36600-2018</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表1中第二类用地筛选值。本项目采取相应的防渗措施，有效防止污染物通过入渗途径进入土壤环境造成污染，对于泄漏现象应及时发现并采取有效措施停止泄漏，对土壤环境几乎无影响。因此认为本项目实施后Hg累</w:t>
      </w:r>
      <w:r>
        <w:rPr>
          <w:rFonts w:hint="eastAsia" w:ascii="Times New Roman" w:hAnsi="Times New Roman" w:eastAsia="宋体" w:cs="Times New Roman"/>
          <w:color w:val="auto"/>
          <w:highlight w:val="none"/>
          <w:lang w:eastAsia="zh-CN"/>
        </w:rPr>
        <w:t>积</w:t>
      </w:r>
      <w:r>
        <w:rPr>
          <w:rFonts w:hint="default" w:ascii="Times New Roman" w:hAnsi="Times New Roman" w:eastAsia="宋体" w:cs="Times New Roman"/>
          <w:color w:val="auto"/>
          <w:highlight w:val="none"/>
        </w:rPr>
        <w:t>性影响较小。</w:t>
      </w:r>
      <w:r>
        <w:rPr>
          <w:rFonts w:hint="default" w:ascii="Times New Roman" w:hAnsi="Times New Roman" w:eastAsia="宋体" w:cs="Times New Roman"/>
          <w:color w:val="auto"/>
          <w:highlight w:val="none"/>
        </w:rPr>
        <w:br w:type="page"/>
      </w:r>
    </w:p>
    <w:p w14:paraId="3ABDF3FE">
      <w:pPr>
        <w:pStyle w:val="3"/>
        <w:numPr>
          <w:ilvl w:val="0"/>
          <w:numId w:val="0"/>
        </w:numPr>
        <w:bidi w:val="0"/>
        <w:ind w:leftChars="0"/>
        <w:rPr>
          <w:rFonts w:hint="default" w:ascii="Times New Roman" w:hAnsi="Times New Roman" w:eastAsia="宋体" w:cs="Times New Roman"/>
          <w:color w:val="auto"/>
          <w:highlight w:val="none"/>
        </w:rPr>
      </w:pPr>
      <w:bookmarkStart w:id="463" w:name="_Toc871"/>
      <w:bookmarkStart w:id="464" w:name="_Toc4503"/>
      <w:r>
        <w:rPr>
          <w:rFonts w:hint="default" w:ascii="Times New Roman" w:hAnsi="Times New Roman" w:eastAsia="宋体" w:cs="Times New Roman"/>
          <w:color w:val="auto"/>
          <w:highlight w:val="none"/>
          <w:lang w:val="en-US" w:eastAsia="zh-CN"/>
        </w:rPr>
        <w:t>7</w:t>
      </w:r>
      <w:r>
        <w:rPr>
          <w:rFonts w:hint="default" w:ascii="Times New Roman" w:hAnsi="Times New Roman" w:eastAsia="宋体" w:cs="Times New Roman"/>
          <w:color w:val="auto"/>
          <w:highlight w:val="none"/>
        </w:rPr>
        <w:t>环境保护措施及其可行性分析</w:t>
      </w:r>
      <w:bookmarkEnd w:id="463"/>
      <w:bookmarkEnd w:id="464"/>
    </w:p>
    <w:p w14:paraId="50B25F36">
      <w:pPr>
        <w:pStyle w:val="4"/>
        <w:bidi w:val="0"/>
        <w:rPr>
          <w:rFonts w:hint="default" w:ascii="Times New Roman" w:hAnsi="Times New Roman" w:eastAsia="宋体" w:cs="Times New Roman"/>
          <w:b/>
          <w:bCs/>
          <w:color w:val="auto"/>
          <w:highlight w:val="none"/>
        </w:rPr>
      </w:pPr>
      <w:bookmarkStart w:id="465" w:name="_Toc20351"/>
      <w:bookmarkStart w:id="466" w:name="_Toc22503"/>
      <w:r>
        <w:rPr>
          <w:rFonts w:hint="default" w:ascii="Times New Roman" w:hAnsi="Times New Roman" w:eastAsia="宋体" w:cs="Times New Roman"/>
          <w:b/>
          <w:bCs/>
          <w:color w:val="auto"/>
          <w:highlight w:val="none"/>
        </w:rPr>
        <w:t>7.1 施工期环境保护措施</w:t>
      </w:r>
      <w:bookmarkEnd w:id="465"/>
      <w:bookmarkEnd w:id="466"/>
    </w:p>
    <w:p w14:paraId="2507C73B">
      <w:pPr>
        <w:pStyle w:val="6"/>
        <w:bidi w:val="0"/>
        <w:rPr>
          <w:rFonts w:hint="default" w:ascii="Times New Roman" w:hAnsi="Times New Roman" w:eastAsia="宋体" w:cs="Times New Roman"/>
          <w:color w:val="auto"/>
          <w:highlight w:val="none"/>
        </w:rPr>
      </w:pPr>
      <w:bookmarkStart w:id="467" w:name="_Toc9385"/>
      <w:bookmarkStart w:id="468" w:name="_Toc3922"/>
      <w:bookmarkStart w:id="469" w:name="_Toc4032"/>
      <w:r>
        <w:rPr>
          <w:rFonts w:hint="default" w:ascii="Times New Roman" w:hAnsi="Times New Roman" w:eastAsia="宋体" w:cs="Times New Roman"/>
          <w:color w:val="auto"/>
          <w:highlight w:val="none"/>
        </w:rPr>
        <w:t>7.1.1 施工扬尘污染防治措施</w:t>
      </w:r>
      <w:bookmarkEnd w:id="467"/>
      <w:bookmarkEnd w:id="468"/>
      <w:bookmarkEnd w:id="469"/>
    </w:p>
    <w:p w14:paraId="4836C2F7">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本项目施工期在建筑施工场地四周建设围挡，围挡高度不低于2m；施工场地地面洒水降尘；施工运输时对运输车辆加盖苫布，选择远离人群密集区的</w:t>
      </w:r>
      <w:r>
        <w:rPr>
          <w:rFonts w:hint="eastAsia" w:ascii="Times New Roman" w:hAnsi="Times New Roman" w:eastAsia="宋体" w:cs="Times New Roman"/>
          <w:color w:val="auto"/>
          <w:highlight w:val="none"/>
          <w:lang w:eastAsia="zh-CN"/>
        </w:rPr>
        <w:t>行车</w:t>
      </w:r>
      <w:r>
        <w:rPr>
          <w:rFonts w:hint="default" w:ascii="Times New Roman" w:hAnsi="Times New Roman" w:eastAsia="宋体" w:cs="Times New Roman"/>
          <w:color w:val="auto"/>
          <w:highlight w:val="none"/>
        </w:rPr>
        <w:t>路线，并在城区内运输时减速慢行；合理安排施工进度，尽量缩短建设工期；对施工管理者和施工人员进行环境保护方面的培训，加强施工操作规范。</w:t>
      </w:r>
    </w:p>
    <w:p w14:paraId="12114AE8">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通过采取上述废气污染防治措施后，施工扬尘浓度贡献值满足《大气污染物综合排放标准》（GB16297-1996）表2新污染源大气污染物排放限值中颗粒物无组织排放监控浓度限值（周界外浓度最高点1.0mg/m</w:t>
      </w:r>
      <w:r>
        <w:rPr>
          <w:rFonts w:hint="default" w:ascii="Times New Roman" w:hAnsi="Times New Roman" w:eastAsia="宋体" w:cs="Times New Roman"/>
          <w:color w:val="auto"/>
          <w:highlight w:val="none"/>
          <w:vertAlign w:val="superscript"/>
        </w:rPr>
        <w:t>3</w:t>
      </w:r>
      <w:r>
        <w:rPr>
          <w:rFonts w:hint="default" w:ascii="Times New Roman" w:hAnsi="Times New Roman" w:eastAsia="宋体" w:cs="Times New Roman"/>
          <w:color w:val="auto"/>
          <w:highlight w:val="none"/>
        </w:rPr>
        <w:t>）。</w:t>
      </w:r>
    </w:p>
    <w:p w14:paraId="71432D5B">
      <w:pPr>
        <w:pStyle w:val="6"/>
        <w:bidi w:val="0"/>
        <w:rPr>
          <w:rFonts w:hint="default" w:ascii="Times New Roman" w:hAnsi="Times New Roman" w:eastAsia="宋体" w:cs="Times New Roman"/>
          <w:color w:val="auto"/>
          <w:highlight w:val="none"/>
        </w:rPr>
      </w:pPr>
      <w:bookmarkStart w:id="470" w:name="_Toc1552"/>
      <w:bookmarkStart w:id="471" w:name="_Toc15234"/>
      <w:bookmarkStart w:id="472" w:name="_Toc23121"/>
      <w:r>
        <w:rPr>
          <w:rFonts w:hint="default" w:ascii="Times New Roman" w:hAnsi="Times New Roman" w:eastAsia="宋体" w:cs="Times New Roman"/>
          <w:color w:val="auto"/>
          <w:highlight w:val="none"/>
        </w:rPr>
        <w:t>7.1.2 施工废水污染防治措施</w:t>
      </w:r>
      <w:bookmarkEnd w:id="470"/>
      <w:bookmarkEnd w:id="471"/>
      <w:bookmarkEnd w:id="472"/>
    </w:p>
    <w:p w14:paraId="27266F57">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本项目施工期施工人员产生的生活污水排入</w:t>
      </w:r>
      <w:r>
        <w:rPr>
          <w:rFonts w:hint="eastAsia" w:ascii="Times New Roman" w:hAnsi="Times New Roman" w:eastAsia="宋体" w:cs="Times New Roman"/>
          <w:color w:val="auto"/>
          <w:highlight w:val="none"/>
          <w:lang w:eastAsia="zh-CN"/>
        </w:rPr>
        <w:t>佳木斯西区污水处理厂</w:t>
      </w:r>
      <w:r>
        <w:rPr>
          <w:rFonts w:hint="default" w:ascii="Times New Roman" w:hAnsi="Times New Roman" w:eastAsia="宋体" w:cs="Times New Roman"/>
          <w:color w:val="auto"/>
          <w:highlight w:val="none"/>
        </w:rPr>
        <w:t>；施工生产废水主要特点是悬浮物含量高，混凝土浇筑废水、土石方工程及雨天引起的水土流失、雨污水等悬浮物浓度高的废水，含砂量大，其中SS经沉淀后可以大部分去除。施工废水经过沉淀池处理后用于施工场地降尘，禁止散排。</w:t>
      </w:r>
    </w:p>
    <w:p w14:paraId="50B8A5C8">
      <w:pPr>
        <w:pStyle w:val="6"/>
        <w:bidi w:val="0"/>
        <w:rPr>
          <w:rFonts w:hint="default" w:ascii="Times New Roman" w:hAnsi="Times New Roman" w:eastAsia="宋体" w:cs="Times New Roman"/>
          <w:color w:val="auto"/>
          <w:highlight w:val="none"/>
        </w:rPr>
      </w:pPr>
      <w:bookmarkStart w:id="473" w:name="_Toc2568"/>
      <w:bookmarkStart w:id="474" w:name="_Toc11731"/>
      <w:bookmarkStart w:id="475" w:name="_Toc29460"/>
      <w:r>
        <w:rPr>
          <w:rFonts w:hint="default" w:ascii="Times New Roman" w:hAnsi="Times New Roman" w:eastAsia="宋体" w:cs="Times New Roman"/>
          <w:color w:val="auto"/>
          <w:highlight w:val="none"/>
        </w:rPr>
        <w:t>7.1.3 施工噪声污染防治措施</w:t>
      </w:r>
      <w:bookmarkEnd w:id="473"/>
      <w:bookmarkEnd w:id="474"/>
      <w:bookmarkEnd w:id="475"/>
    </w:p>
    <w:p w14:paraId="7BDE7115">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（1）在施工机械选型上，应选用正规厂家、噪声较低的环保型机械，确保施工机械正常运行。</w:t>
      </w:r>
    </w:p>
    <w:p w14:paraId="679FACBD">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（2）合理布局使用机械，由于厂区</w:t>
      </w:r>
      <w:r>
        <w:rPr>
          <w:rFonts w:hint="eastAsia" w:ascii="Times New Roman" w:hAnsi="Times New Roman" w:eastAsia="宋体" w:cs="Times New Roman"/>
          <w:color w:val="auto"/>
          <w:highlight w:val="none"/>
          <w:lang w:eastAsia="zh-CN"/>
        </w:rPr>
        <w:t>西</w:t>
      </w:r>
      <w:r>
        <w:rPr>
          <w:rFonts w:hint="default" w:ascii="Times New Roman" w:hAnsi="Times New Roman" w:eastAsia="宋体" w:cs="Times New Roman"/>
          <w:color w:val="auto"/>
          <w:highlight w:val="none"/>
        </w:rPr>
        <w:t>侧厂界外</w:t>
      </w:r>
      <w:r>
        <w:rPr>
          <w:rFonts w:hint="eastAsia" w:ascii="Times New Roman" w:hAnsi="Times New Roman" w:eastAsia="宋体" w:cs="Times New Roman"/>
          <w:color w:val="auto"/>
          <w:highlight w:val="none"/>
          <w:lang w:val="en-US" w:eastAsia="zh-CN"/>
        </w:rPr>
        <w:t>30</w:t>
      </w:r>
      <w:r>
        <w:rPr>
          <w:rFonts w:hint="default" w:ascii="Times New Roman" w:hAnsi="Times New Roman" w:eastAsia="宋体" w:cs="Times New Roman"/>
          <w:color w:val="auto"/>
          <w:highlight w:val="none"/>
        </w:rPr>
        <w:t>m处为</w:t>
      </w:r>
      <w:r>
        <w:rPr>
          <w:rFonts w:hint="eastAsia" w:ascii="Times New Roman" w:hAnsi="Times New Roman" w:eastAsia="宋体" w:cs="Times New Roman"/>
          <w:color w:val="auto"/>
          <w:highlight w:val="none"/>
          <w:lang w:val="en-US" w:eastAsia="zh-CN"/>
        </w:rPr>
        <w:t>原热电厂家属区</w:t>
      </w:r>
      <w:r>
        <w:rPr>
          <w:rFonts w:hint="default" w:ascii="Times New Roman" w:hAnsi="Times New Roman" w:eastAsia="宋体" w:cs="Times New Roman"/>
          <w:color w:val="auto"/>
          <w:highlight w:val="none"/>
        </w:rPr>
        <w:t>，本次评价要求施工机械布置在远离西侧厂界的区域。</w:t>
      </w:r>
    </w:p>
    <w:p w14:paraId="6AC67C13">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（3）合理安排施工时间，</w:t>
      </w:r>
      <w:r>
        <w:rPr>
          <w:rFonts w:hint="eastAsia" w:ascii="Times New Roman" w:hAnsi="Times New Roman" w:eastAsia="宋体" w:cs="Times New Roman"/>
          <w:color w:val="auto"/>
          <w:highlight w:val="none"/>
          <w:lang w:eastAsia="zh-CN"/>
        </w:rPr>
        <w:t>杜绝</w:t>
      </w:r>
      <w:r>
        <w:rPr>
          <w:rFonts w:hint="default" w:ascii="Times New Roman" w:hAnsi="Times New Roman" w:eastAsia="宋体" w:cs="Times New Roman"/>
          <w:color w:val="auto"/>
          <w:highlight w:val="none"/>
        </w:rPr>
        <w:t>夜间施工现象，施工机械不得重载作业，最大程度地降低施工产生的噪声影响。</w:t>
      </w:r>
    </w:p>
    <w:p w14:paraId="760F7B80">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（4）运输车辆在城区内行驶时禁止鸣笛，并限速行驶；</w:t>
      </w:r>
    </w:p>
    <w:p w14:paraId="682E2A68">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（5）施工过程中要做到文明施工，高噪声施工机械的放置要注意对厂区外环境的影响。</w:t>
      </w:r>
    </w:p>
    <w:p w14:paraId="3E77A145">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通过采取上述噪声污染防治措施后，施工期噪声满足</w:t>
      </w:r>
      <w:r>
        <w:rPr>
          <w:rFonts w:hint="eastAsia" w:ascii="Times New Roman" w:hAnsi="Times New Roman" w:eastAsia="宋体" w:cs="Times New Roman"/>
          <w:color w:val="auto"/>
          <w:highlight w:val="none"/>
          <w:lang w:eastAsia="zh-CN"/>
        </w:rPr>
        <w:t>《建筑施工噪声排放标准》（GB12523-2025）</w:t>
      </w:r>
      <w:r>
        <w:rPr>
          <w:rFonts w:hint="default" w:ascii="Times New Roman" w:hAnsi="Times New Roman" w:eastAsia="宋体" w:cs="Times New Roman"/>
          <w:color w:val="auto"/>
          <w:highlight w:val="none"/>
        </w:rPr>
        <w:t>表1建筑施工场界环境噪声排放限值要求。</w:t>
      </w:r>
    </w:p>
    <w:p w14:paraId="46FD2297">
      <w:pPr>
        <w:pStyle w:val="6"/>
        <w:bidi w:val="0"/>
        <w:rPr>
          <w:rFonts w:hint="default" w:ascii="Times New Roman" w:hAnsi="Times New Roman" w:eastAsia="宋体" w:cs="Times New Roman"/>
          <w:color w:val="auto"/>
          <w:highlight w:val="none"/>
        </w:rPr>
      </w:pPr>
      <w:bookmarkStart w:id="476" w:name="_Toc30250"/>
      <w:bookmarkStart w:id="477" w:name="_Toc19082"/>
      <w:bookmarkStart w:id="478" w:name="_Toc23069"/>
      <w:r>
        <w:rPr>
          <w:rFonts w:hint="default" w:ascii="Times New Roman" w:hAnsi="Times New Roman" w:eastAsia="宋体" w:cs="Times New Roman"/>
          <w:color w:val="auto"/>
          <w:highlight w:val="none"/>
        </w:rPr>
        <w:t>7.1.4 施工固体废物污染防治措施</w:t>
      </w:r>
      <w:bookmarkEnd w:id="476"/>
      <w:bookmarkEnd w:id="477"/>
      <w:bookmarkEnd w:id="478"/>
    </w:p>
    <w:p w14:paraId="36F6CA38">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施工期固体废物主要为施工弃土、建筑垃圾和施工人员产生的生活垃圾。</w:t>
      </w:r>
    </w:p>
    <w:p w14:paraId="6B0727FA">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（1）施工产生的弃土和建筑垃圾应送至</w:t>
      </w:r>
      <w:r>
        <w:rPr>
          <w:rFonts w:hint="eastAsia" w:ascii="Times New Roman" w:hAnsi="Times New Roman" w:eastAsia="宋体" w:cs="Times New Roman"/>
          <w:color w:val="auto"/>
          <w:highlight w:val="none"/>
          <w:lang w:eastAsia="zh-CN"/>
        </w:rPr>
        <w:t>政府</w:t>
      </w:r>
      <w:r>
        <w:rPr>
          <w:rFonts w:hint="default" w:ascii="Times New Roman" w:hAnsi="Times New Roman" w:eastAsia="宋体" w:cs="Times New Roman"/>
          <w:color w:val="auto"/>
          <w:highlight w:val="none"/>
        </w:rPr>
        <w:t>指定地点</w:t>
      </w:r>
      <w:r>
        <w:rPr>
          <w:rFonts w:hint="eastAsia" w:ascii="Times New Roman" w:hAnsi="Times New Roman" w:eastAsia="宋体" w:cs="Times New Roman"/>
          <w:color w:val="auto"/>
          <w:highlight w:val="none"/>
          <w:lang w:eastAsia="zh-CN"/>
        </w:rPr>
        <w:t>、建筑垃圾转运间</w:t>
      </w:r>
      <w:r>
        <w:rPr>
          <w:rFonts w:hint="default" w:ascii="Times New Roman" w:hAnsi="Times New Roman" w:eastAsia="宋体" w:cs="Times New Roman"/>
          <w:color w:val="auto"/>
          <w:highlight w:val="none"/>
        </w:rPr>
        <w:t>。</w:t>
      </w:r>
    </w:p>
    <w:p w14:paraId="5BAE0DDA">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（2）施工人员产生的生活垃圾量较少，可设置固定垃圾箱存放，由市政部门统一清运处理。</w:t>
      </w:r>
    </w:p>
    <w:p w14:paraId="07BD312E">
      <w:pPr>
        <w:pStyle w:val="4"/>
        <w:bidi w:val="0"/>
        <w:rPr>
          <w:rFonts w:hint="default" w:ascii="Times New Roman" w:hAnsi="Times New Roman" w:eastAsia="宋体" w:cs="Times New Roman"/>
          <w:b/>
          <w:bCs/>
          <w:color w:val="auto"/>
          <w:highlight w:val="none"/>
          <w:lang w:eastAsia="zh-CN"/>
        </w:rPr>
      </w:pPr>
      <w:bookmarkStart w:id="479" w:name="_Toc19107"/>
      <w:bookmarkStart w:id="480" w:name="_Toc24446"/>
      <w:bookmarkStart w:id="481" w:name="_Toc27680"/>
      <w:r>
        <w:rPr>
          <w:rFonts w:hint="default" w:ascii="Times New Roman" w:hAnsi="Times New Roman" w:eastAsia="宋体" w:cs="Times New Roman"/>
          <w:b/>
          <w:bCs/>
          <w:color w:val="auto"/>
          <w:highlight w:val="none"/>
        </w:rPr>
        <w:t>7.2 运营期</w:t>
      </w:r>
      <w:r>
        <w:rPr>
          <w:rFonts w:hint="default" w:ascii="Times New Roman" w:hAnsi="Times New Roman" w:eastAsia="宋体" w:cs="Times New Roman"/>
          <w:b/>
          <w:bCs/>
          <w:color w:val="auto"/>
          <w:highlight w:val="none"/>
          <w:lang w:eastAsia="zh-CN"/>
        </w:rPr>
        <w:t>环境保护措施</w:t>
      </w:r>
      <w:bookmarkEnd w:id="479"/>
      <w:bookmarkEnd w:id="480"/>
      <w:bookmarkEnd w:id="481"/>
    </w:p>
    <w:p w14:paraId="6751D099">
      <w:pPr>
        <w:pStyle w:val="6"/>
        <w:bidi w:val="0"/>
        <w:rPr>
          <w:rFonts w:hint="default" w:ascii="Times New Roman" w:hAnsi="Times New Roman" w:eastAsia="宋体" w:cs="Times New Roman"/>
          <w:color w:val="auto"/>
          <w:highlight w:val="none"/>
        </w:rPr>
      </w:pPr>
      <w:bookmarkStart w:id="482" w:name="_Toc32341"/>
      <w:bookmarkStart w:id="483" w:name="_Toc29837"/>
      <w:bookmarkStart w:id="484" w:name="_Toc4113"/>
      <w:r>
        <w:rPr>
          <w:rFonts w:hint="default" w:ascii="Times New Roman" w:hAnsi="Times New Roman" w:eastAsia="宋体" w:cs="Times New Roman"/>
          <w:color w:val="auto"/>
          <w:highlight w:val="none"/>
        </w:rPr>
        <w:t>7.2.1 废气污染防治措施</w:t>
      </w:r>
      <w:bookmarkEnd w:id="482"/>
      <w:bookmarkEnd w:id="483"/>
      <w:bookmarkEnd w:id="484"/>
    </w:p>
    <w:p w14:paraId="4805DB5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w:t>
      </w:r>
      <w:r>
        <w:rPr>
          <w:rFonts w:hint="eastAsia" w:ascii="Times New Roman" w:hAnsi="Times New Roman" w:eastAsia="宋体" w:cs="Times New Roman"/>
          <w:color w:val="auto"/>
          <w:sz w:val="24"/>
          <w:szCs w:val="24"/>
          <w:highlight w:val="none"/>
          <w:lang w:val="en-US" w:eastAsia="zh-CN"/>
        </w:rPr>
        <w:t>建设</w:t>
      </w:r>
      <w:r>
        <w:rPr>
          <w:rFonts w:hint="default" w:ascii="Times New Roman" w:hAnsi="Times New Roman" w:eastAsia="宋体" w:cs="Times New Roman"/>
          <w:color w:val="auto"/>
          <w:sz w:val="24"/>
          <w:szCs w:val="24"/>
          <w:highlight w:val="none"/>
          <w:lang w:val="en-US" w:eastAsia="zh-CN"/>
        </w:rPr>
        <w:t>的</w:t>
      </w:r>
      <w:r>
        <w:rPr>
          <w:rFonts w:hint="eastAsia" w:ascii="Times New Roman" w:hAnsi="Times New Roman" w:eastAsia="宋体" w:cs="Times New Roman"/>
          <w:color w:val="auto"/>
          <w:sz w:val="24"/>
          <w:szCs w:val="24"/>
          <w:highlight w:val="none"/>
          <w:lang w:val="en-US" w:eastAsia="zh-CN"/>
        </w:rPr>
        <w:t>5#锅炉</w:t>
      </w:r>
      <w:r>
        <w:rPr>
          <w:rFonts w:hint="default" w:ascii="Times New Roman" w:hAnsi="Times New Roman" w:eastAsia="宋体" w:cs="Times New Roman"/>
          <w:color w:val="auto"/>
          <w:sz w:val="24"/>
          <w:szCs w:val="24"/>
          <w:highlight w:val="none"/>
          <w:lang w:val="en-US" w:eastAsia="zh-CN"/>
        </w:rPr>
        <w:t>烟气污染物采用“</w:t>
      </w:r>
      <w:r>
        <w:rPr>
          <w:rFonts w:hint="eastAsia" w:ascii="Times New Roman" w:hAnsi="Times New Roman" w:eastAsia="宋体" w:cs="Times New Roman"/>
          <w:color w:val="auto"/>
          <w:sz w:val="24"/>
          <w:szCs w:val="24"/>
          <w:highlight w:val="none"/>
          <w:lang w:val="en-US" w:eastAsia="zh-CN"/>
        </w:rPr>
        <w:t>炉内喷钙+氨法脱硫+SNCR+亚氯酸钠脱硝+袋式除尘器</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后通过一根70m高烟囱排放</w:t>
      </w:r>
      <w:r>
        <w:rPr>
          <w:rFonts w:hint="default" w:ascii="Times New Roman" w:hAnsi="Times New Roman" w:eastAsia="宋体" w:cs="Times New Roman"/>
          <w:color w:val="auto"/>
          <w:sz w:val="24"/>
          <w:szCs w:val="24"/>
          <w:highlight w:val="none"/>
          <w:lang w:val="en-US" w:eastAsia="zh-CN"/>
        </w:rPr>
        <w:t>，厂区现有</w:t>
      </w:r>
      <w:r>
        <w:rPr>
          <w:rFonts w:hint="eastAsia" w:ascii="Times New Roman" w:hAnsi="Times New Roman" w:eastAsia="宋体" w:cs="Times New Roman"/>
          <w:color w:val="auto"/>
          <w:sz w:val="24"/>
          <w:szCs w:val="24"/>
          <w:highlight w:val="none"/>
          <w:lang w:val="en-US" w:eastAsia="zh-CN"/>
        </w:rPr>
        <w:t>4台锅炉，1#锅炉和2#锅炉，烟气分别经电袋复合除尘+炉内喷钙+SNCR脱硝+半干法烟气循环流化床脱硫工艺处理后通过同一根99m高烟囱排放；4#锅炉烟气经电袋复合除尘+低氮燃烧+SNCR脱硝+半干法烟气循环流化床脱硫工艺处理后通过155m高烟囱排放；3#锅炉3#锅炉烟气经电袋复合除尘+炉内喷钙+SNCR脱硝处理后与4#锅炉经过同一根155m高烟囱排放，3#锅炉未进行超低改造，目前停炉未运行。现有4台</w:t>
      </w:r>
      <w:r>
        <w:rPr>
          <w:rFonts w:hint="default" w:ascii="Times New Roman" w:hAnsi="Times New Roman" w:eastAsia="宋体" w:cs="Times New Roman"/>
          <w:color w:val="auto"/>
          <w:sz w:val="24"/>
          <w:szCs w:val="24"/>
          <w:highlight w:val="none"/>
          <w:lang w:val="en-US" w:eastAsia="zh-CN"/>
        </w:rPr>
        <w:t>锅炉</w:t>
      </w:r>
      <w:r>
        <w:rPr>
          <w:rFonts w:hint="eastAsia" w:ascii="Times New Roman" w:hAnsi="Times New Roman" w:eastAsia="宋体" w:cs="Times New Roman"/>
          <w:color w:val="auto"/>
          <w:sz w:val="24"/>
          <w:szCs w:val="24"/>
          <w:highlight w:val="none"/>
          <w:lang w:val="en-US" w:eastAsia="zh-CN"/>
        </w:rPr>
        <w:t>及本项目建设的5#锅炉分别安装</w:t>
      </w:r>
      <w:r>
        <w:rPr>
          <w:rFonts w:hint="default" w:ascii="Times New Roman" w:hAnsi="Times New Roman" w:eastAsia="宋体" w:cs="Times New Roman"/>
          <w:color w:val="auto"/>
          <w:sz w:val="24"/>
          <w:szCs w:val="24"/>
          <w:highlight w:val="none"/>
          <w:lang w:val="en-US" w:eastAsia="zh-CN"/>
        </w:rPr>
        <w:t>在线监测设备，在线监测设备均与</w:t>
      </w:r>
      <w:r>
        <w:rPr>
          <w:rFonts w:hint="eastAsia" w:ascii="Times New Roman" w:hAnsi="Times New Roman" w:eastAsia="宋体" w:cs="Times New Roman"/>
          <w:color w:val="auto"/>
          <w:sz w:val="24"/>
          <w:szCs w:val="24"/>
          <w:highlight w:val="none"/>
          <w:lang w:val="en-US" w:eastAsia="zh-CN"/>
        </w:rPr>
        <w:t>佳木斯市生态环境局</w:t>
      </w:r>
      <w:r>
        <w:rPr>
          <w:rFonts w:hint="default" w:ascii="Times New Roman" w:hAnsi="Times New Roman" w:eastAsia="宋体" w:cs="Times New Roman"/>
          <w:color w:val="auto"/>
          <w:sz w:val="24"/>
          <w:szCs w:val="24"/>
          <w:highlight w:val="none"/>
          <w:lang w:val="en-US" w:eastAsia="zh-CN"/>
        </w:rPr>
        <w:t>联网。</w:t>
      </w:r>
    </w:p>
    <w:p w14:paraId="5E1F1D57">
      <w:pPr>
        <w:pStyle w:val="47"/>
        <w:keepNext w:val="0"/>
        <w:keepLines w:val="0"/>
        <w:pageBreakBefore w:val="0"/>
        <w:widowControl w:val="0"/>
        <w:kinsoku/>
        <w:wordWrap/>
        <w:overflowPunct/>
        <w:topLinePunct w:val="0"/>
        <w:bidi w:val="0"/>
        <w:snapToGrid/>
        <w:spacing w:line="480" w:lineRule="exact"/>
        <w:ind w:firstLine="480" w:firstLineChars="20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采取上述废气污染防治措施后，</w:t>
      </w:r>
      <w:r>
        <w:rPr>
          <w:rFonts w:hint="eastAsia" w:ascii="Times New Roman" w:hAnsi="Times New Roman" w:cs="Times New Roman"/>
          <w:iCs/>
          <w:color w:val="auto"/>
          <w:sz w:val="24"/>
          <w:highlight w:val="none"/>
          <w:lang w:val="en-US" w:eastAsia="zh-CN"/>
        </w:rPr>
        <w:t>本项目</w:t>
      </w:r>
      <w:r>
        <w:rPr>
          <w:rFonts w:hint="default" w:ascii="Times New Roman" w:hAnsi="Times New Roman" w:eastAsia="宋体" w:cs="Times New Roman"/>
          <w:iCs/>
          <w:color w:val="auto"/>
          <w:sz w:val="24"/>
          <w:highlight w:val="none"/>
        </w:rPr>
        <w:t>锅炉</w:t>
      </w:r>
      <w:r>
        <w:rPr>
          <w:rFonts w:hint="default" w:ascii="Times New Roman" w:hAnsi="Times New Roman" w:eastAsia="宋体" w:cs="Times New Roman"/>
          <w:color w:val="auto"/>
          <w:sz w:val="24"/>
          <w:szCs w:val="24"/>
          <w:highlight w:val="none"/>
          <w:lang w:val="en-US" w:eastAsia="zh-CN"/>
        </w:rPr>
        <w:t>烟气污染物排放浓度</w:t>
      </w:r>
      <w:r>
        <w:rPr>
          <w:rFonts w:hint="default" w:ascii="Times New Roman" w:hAnsi="Times New Roman" w:eastAsia="宋体" w:cs="Times New Roman"/>
          <w:color w:val="auto"/>
          <w:sz w:val="24"/>
          <w:szCs w:val="24"/>
          <w:highlight w:val="none"/>
          <w:lang w:bidi="ar"/>
        </w:rPr>
        <w:t>满足《关于印发</w:t>
      </w:r>
      <w:r>
        <w:rPr>
          <w:rFonts w:hint="eastAsia" w:ascii="Times New Roman" w:hAnsi="Times New Roman" w:cs="Times New Roman"/>
          <w:color w:val="auto"/>
          <w:sz w:val="24"/>
          <w:szCs w:val="24"/>
          <w:highlight w:val="none"/>
          <w:lang w:eastAsia="zh-CN" w:bidi="ar"/>
        </w:rPr>
        <w:t>〈</w:t>
      </w:r>
      <w:r>
        <w:rPr>
          <w:rFonts w:hint="default" w:ascii="Times New Roman" w:hAnsi="Times New Roman" w:eastAsia="宋体" w:cs="Times New Roman"/>
          <w:color w:val="auto"/>
          <w:sz w:val="24"/>
          <w:szCs w:val="24"/>
          <w:highlight w:val="none"/>
          <w:lang w:bidi="ar"/>
        </w:rPr>
        <w:t>全面实施燃煤电厂超低排放和节能改造工作方案</w:t>
      </w:r>
      <w:r>
        <w:rPr>
          <w:rFonts w:hint="eastAsia" w:ascii="Times New Roman" w:hAnsi="Times New Roman" w:cs="Times New Roman"/>
          <w:color w:val="auto"/>
          <w:sz w:val="24"/>
          <w:szCs w:val="24"/>
          <w:highlight w:val="none"/>
          <w:lang w:eastAsia="zh-CN" w:bidi="ar"/>
        </w:rPr>
        <w:t>〉的通知》</w:t>
      </w:r>
      <w:r>
        <w:rPr>
          <w:rFonts w:hint="default" w:ascii="Times New Roman" w:hAnsi="Times New Roman" w:eastAsia="宋体" w:cs="Times New Roman"/>
          <w:color w:val="auto"/>
          <w:sz w:val="24"/>
          <w:szCs w:val="24"/>
          <w:highlight w:val="none"/>
          <w:lang w:bidi="ar"/>
        </w:rPr>
        <w:t>（环发</w:t>
      </w:r>
      <w:r>
        <w:rPr>
          <w:rFonts w:hint="eastAsia" w:ascii="Times New Roman" w:hAnsi="Times New Roman" w:cs="Times New Roman"/>
          <w:color w:val="auto"/>
          <w:sz w:val="24"/>
          <w:szCs w:val="24"/>
          <w:highlight w:val="none"/>
          <w:lang w:eastAsia="zh-CN" w:bidi="ar"/>
        </w:rPr>
        <w:t>〔</w:t>
      </w:r>
      <w:r>
        <w:rPr>
          <w:rFonts w:hint="default" w:ascii="Times New Roman" w:hAnsi="Times New Roman" w:eastAsia="宋体" w:cs="Times New Roman"/>
          <w:color w:val="auto"/>
          <w:sz w:val="24"/>
          <w:szCs w:val="24"/>
          <w:highlight w:val="none"/>
          <w:lang w:bidi="ar"/>
        </w:rPr>
        <w:t>2015</w:t>
      </w:r>
      <w:r>
        <w:rPr>
          <w:rFonts w:hint="eastAsia" w:ascii="Times New Roman" w:hAnsi="Times New Roman" w:cs="Times New Roman"/>
          <w:color w:val="auto"/>
          <w:sz w:val="24"/>
          <w:szCs w:val="24"/>
          <w:highlight w:val="none"/>
          <w:lang w:eastAsia="zh-CN" w:bidi="ar"/>
        </w:rPr>
        <w:t>〕</w:t>
      </w:r>
      <w:r>
        <w:rPr>
          <w:rFonts w:hint="default" w:ascii="Times New Roman" w:hAnsi="Times New Roman" w:eastAsia="宋体" w:cs="Times New Roman"/>
          <w:color w:val="auto"/>
          <w:sz w:val="24"/>
          <w:szCs w:val="24"/>
          <w:highlight w:val="none"/>
          <w:lang w:bidi="ar"/>
        </w:rPr>
        <w:t>164号）要求，达到超低排放</w:t>
      </w:r>
      <w:r>
        <w:rPr>
          <w:rFonts w:hint="default" w:ascii="Times New Roman" w:hAnsi="Times New Roman" w:eastAsia="宋体" w:cs="Times New Roman"/>
          <w:color w:val="auto"/>
          <w:sz w:val="24"/>
          <w:szCs w:val="24"/>
          <w:highlight w:val="none"/>
          <w:lang w:val="en-US" w:eastAsia="zh-CN" w:bidi="ar"/>
        </w:rPr>
        <w:t>限值</w:t>
      </w:r>
      <w:r>
        <w:rPr>
          <w:rFonts w:hint="default" w:ascii="Times New Roman" w:hAnsi="Times New Roman" w:eastAsia="宋体" w:cs="Times New Roman"/>
          <w:color w:val="auto"/>
          <w:sz w:val="24"/>
          <w:szCs w:val="24"/>
          <w:highlight w:val="none"/>
          <w:lang w:bidi="ar"/>
        </w:rPr>
        <w:t>（在基准氧含量6%条件下，烟尘、SO</w:t>
      </w:r>
      <w:r>
        <w:rPr>
          <w:rFonts w:hint="default" w:ascii="Times New Roman" w:hAnsi="Times New Roman" w:eastAsia="宋体" w:cs="Times New Roman"/>
          <w:color w:val="auto"/>
          <w:sz w:val="24"/>
          <w:szCs w:val="24"/>
          <w:highlight w:val="none"/>
          <w:vertAlign w:val="subscript"/>
          <w:lang w:bidi="ar"/>
        </w:rPr>
        <w:t>2</w:t>
      </w:r>
      <w:r>
        <w:rPr>
          <w:rFonts w:hint="default" w:ascii="Times New Roman" w:hAnsi="Times New Roman" w:eastAsia="宋体" w:cs="Times New Roman"/>
          <w:color w:val="auto"/>
          <w:sz w:val="24"/>
          <w:szCs w:val="24"/>
          <w:highlight w:val="none"/>
          <w:lang w:bidi="ar"/>
        </w:rPr>
        <w:t>、NO</w:t>
      </w:r>
      <w:r>
        <w:rPr>
          <w:rFonts w:hint="default" w:ascii="Times New Roman" w:hAnsi="Times New Roman" w:eastAsia="宋体" w:cs="Times New Roman"/>
          <w:color w:val="auto"/>
          <w:sz w:val="24"/>
          <w:szCs w:val="24"/>
          <w:highlight w:val="none"/>
          <w:vertAlign w:val="subscript"/>
          <w:lang w:bidi="ar"/>
        </w:rPr>
        <w:t>X</w:t>
      </w:r>
      <w:r>
        <w:rPr>
          <w:rFonts w:hint="default" w:ascii="Times New Roman" w:hAnsi="Times New Roman" w:eastAsia="宋体" w:cs="Times New Roman"/>
          <w:color w:val="auto"/>
          <w:sz w:val="24"/>
          <w:szCs w:val="24"/>
          <w:highlight w:val="none"/>
          <w:lang w:bidi="ar"/>
        </w:rPr>
        <w:t>排放浓度分别不高于10mg/m</w:t>
      </w:r>
      <w:r>
        <w:rPr>
          <w:rFonts w:hint="default" w:ascii="Times New Roman" w:hAnsi="Times New Roman" w:eastAsia="宋体" w:cs="Times New Roman"/>
          <w:color w:val="auto"/>
          <w:sz w:val="24"/>
          <w:szCs w:val="24"/>
          <w:highlight w:val="none"/>
          <w:vertAlign w:val="superscript"/>
          <w:lang w:bidi="ar"/>
        </w:rPr>
        <w:t>3</w:t>
      </w:r>
      <w:r>
        <w:rPr>
          <w:rFonts w:hint="default" w:ascii="Times New Roman" w:hAnsi="Times New Roman" w:eastAsia="宋体" w:cs="Times New Roman"/>
          <w:color w:val="auto"/>
          <w:sz w:val="24"/>
          <w:szCs w:val="24"/>
          <w:highlight w:val="none"/>
          <w:lang w:bidi="ar"/>
        </w:rPr>
        <w:t>、35mg/m</w:t>
      </w:r>
      <w:r>
        <w:rPr>
          <w:rFonts w:hint="default" w:ascii="Times New Roman" w:hAnsi="Times New Roman" w:eastAsia="宋体" w:cs="Times New Roman"/>
          <w:color w:val="auto"/>
          <w:sz w:val="24"/>
          <w:szCs w:val="24"/>
          <w:highlight w:val="none"/>
          <w:vertAlign w:val="superscript"/>
          <w:lang w:bidi="ar"/>
        </w:rPr>
        <w:t>3</w:t>
      </w:r>
      <w:r>
        <w:rPr>
          <w:rFonts w:hint="default" w:ascii="Times New Roman" w:hAnsi="Times New Roman" w:eastAsia="宋体" w:cs="Times New Roman"/>
          <w:color w:val="auto"/>
          <w:sz w:val="24"/>
          <w:szCs w:val="24"/>
          <w:highlight w:val="none"/>
          <w:lang w:bidi="ar"/>
        </w:rPr>
        <w:t>、50mg/m</w:t>
      </w:r>
      <w:r>
        <w:rPr>
          <w:rFonts w:hint="default" w:ascii="Times New Roman" w:hAnsi="Times New Roman" w:eastAsia="宋体" w:cs="Times New Roman"/>
          <w:color w:val="auto"/>
          <w:sz w:val="24"/>
          <w:szCs w:val="24"/>
          <w:highlight w:val="none"/>
          <w:vertAlign w:val="superscript"/>
          <w:lang w:bidi="ar"/>
        </w:rPr>
        <w:t>3</w:t>
      </w:r>
      <w:r>
        <w:rPr>
          <w:rFonts w:hint="default" w:ascii="Times New Roman" w:hAnsi="Times New Roman" w:eastAsia="宋体" w:cs="Times New Roman"/>
          <w:color w:val="auto"/>
          <w:sz w:val="24"/>
          <w:szCs w:val="24"/>
          <w:highlight w:val="none"/>
          <w:lang w:bidi="ar"/>
        </w:rPr>
        <w:t>）</w:t>
      </w:r>
      <w:r>
        <w:rPr>
          <w:rFonts w:hint="default" w:ascii="Times New Roman" w:hAnsi="Times New Roman" w:eastAsia="宋体" w:cs="Times New Roman"/>
          <w:color w:val="auto"/>
          <w:sz w:val="24"/>
          <w:szCs w:val="24"/>
          <w:highlight w:val="none"/>
          <w:lang w:val="en-US" w:eastAsia="zh-CN" w:bidi="ar"/>
        </w:rPr>
        <w:t>要求，</w:t>
      </w:r>
      <w:r>
        <w:rPr>
          <w:rFonts w:hint="default" w:ascii="Times New Roman" w:hAnsi="Times New Roman" w:eastAsia="宋体" w:cs="Times New Roman"/>
          <w:color w:val="auto"/>
          <w:sz w:val="24"/>
          <w:szCs w:val="24"/>
          <w:highlight w:val="none"/>
        </w:rPr>
        <w:t>Hg排放浓度满足</w:t>
      </w:r>
      <w:r>
        <w:rPr>
          <w:rFonts w:hint="eastAsia" w:ascii="Times New Roman" w:hAnsi="Times New Roman" w:cs="Times New Roman"/>
          <w:color w:val="auto"/>
          <w:sz w:val="24"/>
          <w:szCs w:val="24"/>
          <w:highlight w:val="none"/>
          <w:lang w:val="en-US" w:eastAsia="zh-CN"/>
        </w:rPr>
        <w:t>《锅炉大气污染物排放标准》（GB13271-2014）表2的限值要求</w:t>
      </w:r>
      <w:r>
        <w:rPr>
          <w:rFonts w:hint="default" w:ascii="Times New Roman" w:hAnsi="Times New Roman" w:eastAsia="宋体" w:cs="Times New Roman"/>
          <w:color w:val="auto"/>
          <w:sz w:val="24"/>
          <w:szCs w:val="24"/>
          <w:highlight w:val="none"/>
          <w:lang w:val="en-US" w:eastAsia="zh-CN"/>
        </w:rPr>
        <w:t>。</w:t>
      </w:r>
    </w:p>
    <w:p w14:paraId="5B328828">
      <w:pPr>
        <w:pStyle w:val="7"/>
        <w:bidi w:val="0"/>
        <w:rPr>
          <w:rFonts w:hint="default" w:ascii="Times New Roman" w:hAnsi="Times New Roman" w:eastAsia="宋体" w:cs="Times New Roman"/>
          <w:color w:val="FF0000"/>
          <w:highlight w:val="none"/>
        </w:rPr>
      </w:pPr>
      <w:r>
        <w:rPr>
          <w:rFonts w:hint="default" w:ascii="Times New Roman" w:hAnsi="Times New Roman" w:eastAsia="宋体" w:cs="Times New Roman"/>
          <w:color w:val="auto"/>
          <w:highlight w:val="none"/>
        </w:rPr>
        <w:t xml:space="preserve">7.2.1.1 </w:t>
      </w:r>
      <w:r>
        <w:rPr>
          <w:rFonts w:hint="default" w:ascii="Times New Roman" w:hAnsi="Times New Roman" w:eastAsia="宋体" w:cs="Times New Roman"/>
          <w:color w:val="FF0000"/>
          <w:highlight w:val="none"/>
        </w:rPr>
        <w:t>本项目</w:t>
      </w:r>
      <w:r>
        <w:rPr>
          <w:rFonts w:hint="default" w:ascii="Times New Roman" w:hAnsi="Times New Roman" w:eastAsia="宋体" w:cs="Times New Roman"/>
          <w:color w:val="FF0000"/>
          <w:highlight w:val="none"/>
          <w:lang w:eastAsia="zh-CN"/>
        </w:rPr>
        <w:t>烟尘污染</w:t>
      </w:r>
      <w:r>
        <w:rPr>
          <w:rFonts w:hint="default" w:ascii="Times New Roman" w:hAnsi="Times New Roman" w:eastAsia="宋体" w:cs="Times New Roman"/>
          <w:color w:val="FF0000"/>
          <w:highlight w:val="none"/>
        </w:rPr>
        <w:t>防治措施</w:t>
      </w:r>
    </w:p>
    <w:p w14:paraId="3A90F372">
      <w:pPr>
        <w:pStyle w:val="108"/>
        <w:keepNext w:val="0"/>
        <w:keepLines w:val="0"/>
        <w:pageBreakBefore w:val="0"/>
        <w:widowControl w:val="0"/>
        <w:kinsoku/>
        <w:wordWrap/>
        <w:overflowPunct/>
        <w:topLinePunct w:val="0"/>
        <w:autoSpaceDE/>
        <w:autoSpaceDN/>
        <w:bidi w:val="0"/>
        <w:adjustRightInd/>
        <w:snapToGrid/>
        <w:spacing w:line="480" w:lineRule="exact"/>
        <w:ind w:leftChars="0" w:firstLine="480" w:firstLineChars="200"/>
        <w:textAlignment w:val="auto"/>
        <w:rPr>
          <w:rFonts w:hint="default" w:ascii="Times New Roman" w:hAnsi="Times New Roman" w:eastAsia="宋体" w:cs="Times New Roman"/>
          <w:b w:val="0"/>
          <w:bCs w:val="0"/>
          <w:color w:val="FF0000"/>
          <w:spacing w:val="0"/>
          <w:highlight w:val="none"/>
          <w:lang w:val="en-US" w:eastAsia="zh-CN"/>
        </w:rPr>
      </w:pPr>
      <w:r>
        <w:rPr>
          <w:rFonts w:hint="default" w:ascii="Times New Roman" w:hAnsi="Times New Roman" w:eastAsia="宋体" w:cs="Times New Roman"/>
          <w:b w:val="0"/>
          <w:bCs w:val="0"/>
          <w:color w:val="FF0000"/>
          <w:spacing w:val="0"/>
          <w:sz w:val="24"/>
          <w:highlight w:val="none"/>
          <w:lang w:val="en-US" w:eastAsia="zh-CN"/>
        </w:rPr>
        <w:t>依据</w:t>
      </w:r>
      <w:r>
        <w:rPr>
          <w:rFonts w:hint="default" w:ascii="Times New Roman" w:hAnsi="Times New Roman" w:eastAsia="宋体" w:cs="Times New Roman"/>
          <w:color w:val="FF0000"/>
          <w:spacing w:val="0"/>
          <w:sz w:val="24"/>
          <w:highlight w:val="none"/>
          <w:lang w:eastAsia="zh-CN"/>
        </w:rPr>
        <w:t>《工业锅炉污染防治可行技术指南》（HJ1178</w:t>
      </w:r>
      <w:r>
        <w:rPr>
          <w:rFonts w:hint="default" w:ascii="Times New Roman" w:hAnsi="Times New Roman" w:eastAsia="宋体" w:cs="Times New Roman"/>
          <w:color w:val="FF0000"/>
          <w:spacing w:val="0"/>
          <w:sz w:val="24"/>
          <w:highlight w:val="none"/>
          <w:lang w:val="en-US" w:eastAsia="zh-CN"/>
        </w:rPr>
        <w:t>-</w:t>
      </w:r>
      <w:r>
        <w:rPr>
          <w:rFonts w:hint="default" w:ascii="Times New Roman" w:hAnsi="Times New Roman" w:eastAsia="宋体" w:cs="Times New Roman"/>
          <w:color w:val="FF0000"/>
          <w:spacing w:val="0"/>
          <w:sz w:val="24"/>
          <w:highlight w:val="none"/>
          <w:lang w:eastAsia="zh-CN"/>
        </w:rPr>
        <w:t>2021）</w:t>
      </w:r>
      <w:r>
        <w:rPr>
          <w:rFonts w:hint="default" w:ascii="Times New Roman" w:hAnsi="Times New Roman" w:eastAsia="宋体" w:cs="Times New Roman"/>
          <w:b w:val="0"/>
          <w:bCs w:val="0"/>
          <w:color w:val="FF0000"/>
          <w:spacing w:val="0"/>
          <w:sz w:val="24"/>
          <w:highlight w:val="none"/>
          <w:lang w:val="en-US" w:eastAsia="zh-CN"/>
        </w:rPr>
        <w:t>中“6.1.2颗粒物治理技术”中规定</w:t>
      </w:r>
      <w:r>
        <w:rPr>
          <w:rFonts w:hint="default" w:ascii="Times New Roman" w:hAnsi="Times New Roman" w:eastAsia="宋体" w:cs="Times New Roman"/>
          <w:b w:val="0"/>
          <w:bCs w:val="0"/>
          <w:color w:val="FF0000"/>
          <w:spacing w:val="0"/>
          <w:highlight w:val="none"/>
          <w:lang w:val="en-US" w:eastAsia="zh-CN"/>
        </w:rPr>
        <w:t>，颗粒物治理技术可采用干式</w:t>
      </w:r>
      <w:r>
        <w:rPr>
          <w:rFonts w:hint="eastAsia" w:eastAsia="宋体" w:cs="Times New Roman"/>
          <w:b w:val="0"/>
          <w:bCs w:val="0"/>
          <w:color w:val="FF0000"/>
          <w:spacing w:val="0"/>
          <w:highlight w:val="none"/>
          <w:lang w:val="en-US" w:eastAsia="zh-CN"/>
        </w:rPr>
        <w:t>电袋除尘</w:t>
      </w:r>
      <w:r>
        <w:rPr>
          <w:rFonts w:hint="default" w:ascii="Times New Roman" w:hAnsi="Times New Roman" w:eastAsia="宋体" w:cs="Times New Roman"/>
          <w:b w:val="0"/>
          <w:bCs w:val="0"/>
          <w:color w:val="FF0000"/>
          <w:spacing w:val="0"/>
          <w:highlight w:val="none"/>
          <w:lang w:val="en-US" w:eastAsia="zh-CN"/>
        </w:rPr>
        <w:t>技术、袋式除尘技术、湿式</w:t>
      </w:r>
      <w:r>
        <w:rPr>
          <w:rFonts w:hint="eastAsia" w:eastAsia="宋体" w:cs="Times New Roman"/>
          <w:b w:val="0"/>
          <w:bCs w:val="0"/>
          <w:color w:val="FF0000"/>
          <w:spacing w:val="0"/>
          <w:highlight w:val="none"/>
          <w:lang w:val="en-US" w:eastAsia="zh-CN"/>
        </w:rPr>
        <w:t>电袋除尘</w:t>
      </w:r>
      <w:r>
        <w:rPr>
          <w:rFonts w:hint="default" w:ascii="Times New Roman" w:hAnsi="Times New Roman" w:eastAsia="宋体" w:cs="Times New Roman"/>
          <w:b w:val="0"/>
          <w:bCs w:val="0"/>
          <w:color w:val="FF0000"/>
          <w:spacing w:val="0"/>
          <w:highlight w:val="none"/>
          <w:lang w:val="en-US" w:eastAsia="zh-CN"/>
        </w:rPr>
        <w:t>技术和</w:t>
      </w:r>
      <w:r>
        <w:rPr>
          <w:rFonts w:hint="eastAsia" w:eastAsia="宋体" w:cs="Times New Roman"/>
          <w:b w:val="0"/>
          <w:bCs w:val="0"/>
          <w:color w:val="FF0000"/>
          <w:spacing w:val="0"/>
          <w:highlight w:val="none"/>
          <w:lang w:val="en-US" w:eastAsia="zh-CN"/>
        </w:rPr>
        <w:t>电</w:t>
      </w:r>
      <w:r>
        <w:rPr>
          <w:rFonts w:hint="default" w:ascii="Times New Roman" w:hAnsi="Times New Roman" w:eastAsia="宋体" w:cs="Times New Roman"/>
          <w:b w:val="0"/>
          <w:bCs w:val="0"/>
          <w:color w:val="FF0000"/>
          <w:spacing w:val="0"/>
          <w:highlight w:val="none"/>
          <w:lang w:val="en-US" w:eastAsia="zh-CN"/>
        </w:rPr>
        <w:t>复合除尘技术，</w:t>
      </w:r>
      <w:r>
        <w:rPr>
          <w:rFonts w:hint="default" w:ascii="Times New Roman" w:hAnsi="Times New Roman" w:eastAsia="宋体" w:cs="Times New Roman"/>
          <w:b w:val="0"/>
          <w:bCs w:val="0"/>
          <w:color w:val="FF0000"/>
          <w:spacing w:val="0"/>
          <w:highlight w:val="none"/>
          <w:lang w:eastAsia="zh-CN"/>
        </w:rPr>
        <w:t>各</w:t>
      </w:r>
      <w:r>
        <w:rPr>
          <w:rFonts w:hint="default" w:ascii="Times New Roman" w:hAnsi="Times New Roman" w:eastAsia="宋体" w:cs="Times New Roman"/>
          <w:b w:val="0"/>
          <w:bCs w:val="0"/>
          <w:color w:val="FF0000"/>
          <w:spacing w:val="0"/>
          <w:highlight w:val="none"/>
          <w:lang w:val="en-US" w:eastAsia="zh-CN"/>
        </w:rPr>
        <w:t>项</w:t>
      </w:r>
      <w:r>
        <w:rPr>
          <w:rFonts w:hint="default" w:ascii="Times New Roman" w:hAnsi="Times New Roman" w:eastAsia="宋体" w:cs="Times New Roman"/>
          <w:b w:val="0"/>
          <w:bCs w:val="0"/>
          <w:color w:val="FF0000"/>
          <w:spacing w:val="0"/>
          <w:highlight w:val="none"/>
          <w:lang w:eastAsia="zh-CN"/>
        </w:rPr>
        <w:t>除尘技术比选如下：</w:t>
      </w:r>
    </w:p>
    <w:p w14:paraId="3CD5286D">
      <w:pPr>
        <w:pStyle w:val="108"/>
        <w:keepNext w:val="0"/>
        <w:keepLines w:val="0"/>
        <w:pageBreakBefore w:val="0"/>
        <w:widowControl w:val="0"/>
        <w:kinsoku/>
        <w:wordWrap/>
        <w:overflowPunct/>
        <w:topLinePunct w:val="0"/>
        <w:autoSpaceDE/>
        <w:autoSpaceDN/>
        <w:bidi w:val="0"/>
        <w:adjustRightInd/>
        <w:snapToGrid/>
        <w:spacing w:line="480" w:lineRule="exact"/>
        <w:ind w:leftChars="0" w:firstLine="480" w:firstLineChars="200"/>
        <w:textAlignment w:val="auto"/>
        <w:rPr>
          <w:rFonts w:hint="default" w:ascii="Times New Roman" w:hAnsi="Times New Roman" w:eastAsia="宋体" w:cs="Times New Roman"/>
          <w:b w:val="0"/>
          <w:bCs w:val="0"/>
          <w:color w:val="FF0000"/>
          <w:spacing w:val="0"/>
          <w:highlight w:val="none"/>
        </w:rPr>
      </w:pPr>
      <w:r>
        <w:rPr>
          <w:rFonts w:hint="default" w:ascii="Times New Roman" w:hAnsi="Times New Roman" w:eastAsia="宋体" w:cs="Times New Roman"/>
          <w:b w:val="0"/>
          <w:bCs w:val="0"/>
          <w:color w:val="FF0000"/>
          <w:spacing w:val="0"/>
          <w:highlight w:val="none"/>
        </w:rPr>
        <w:t>（1）</w:t>
      </w:r>
      <w:r>
        <w:rPr>
          <w:rFonts w:hint="default" w:ascii="Times New Roman" w:hAnsi="Times New Roman" w:eastAsia="宋体" w:cs="Times New Roman"/>
          <w:b w:val="0"/>
          <w:bCs w:val="0"/>
          <w:color w:val="FF0000"/>
          <w:spacing w:val="0"/>
          <w:highlight w:val="none"/>
          <w:lang w:val="en-US" w:eastAsia="zh-CN"/>
        </w:rPr>
        <w:t>干式</w:t>
      </w:r>
      <w:r>
        <w:rPr>
          <w:rFonts w:hint="eastAsia" w:eastAsia="宋体" w:cs="Times New Roman"/>
          <w:b w:val="0"/>
          <w:bCs w:val="0"/>
          <w:color w:val="FF0000"/>
          <w:spacing w:val="0"/>
          <w:highlight w:val="none"/>
          <w:lang w:val="en-US" w:eastAsia="zh-CN"/>
        </w:rPr>
        <w:t>电袋除尘</w:t>
      </w:r>
      <w:r>
        <w:rPr>
          <w:rFonts w:hint="default" w:ascii="Times New Roman" w:hAnsi="Times New Roman" w:eastAsia="宋体" w:cs="Times New Roman"/>
          <w:b w:val="0"/>
          <w:bCs w:val="0"/>
          <w:color w:val="FF0000"/>
          <w:spacing w:val="0"/>
          <w:highlight w:val="none"/>
          <w:lang w:val="en-US" w:eastAsia="zh-CN"/>
        </w:rPr>
        <w:t>技术</w:t>
      </w:r>
    </w:p>
    <w:p w14:paraId="4511A87C">
      <w:pPr>
        <w:pStyle w:val="108"/>
        <w:keepNext w:val="0"/>
        <w:keepLines w:val="0"/>
        <w:pageBreakBefore w:val="0"/>
        <w:widowControl w:val="0"/>
        <w:kinsoku/>
        <w:wordWrap/>
        <w:overflowPunct/>
        <w:topLinePunct w:val="0"/>
        <w:autoSpaceDE/>
        <w:autoSpaceDN/>
        <w:bidi w:val="0"/>
        <w:adjustRightInd/>
        <w:snapToGrid/>
        <w:spacing w:line="480" w:lineRule="exact"/>
        <w:ind w:leftChars="0" w:firstLine="480" w:firstLineChars="200"/>
        <w:textAlignment w:val="auto"/>
        <w:rPr>
          <w:rFonts w:hint="default" w:ascii="Times New Roman" w:hAnsi="Times New Roman" w:eastAsia="宋体" w:cs="Times New Roman"/>
          <w:color w:val="FF0000"/>
          <w:spacing w:val="0"/>
          <w:highlight w:val="none"/>
        </w:rPr>
      </w:pPr>
      <w:r>
        <w:rPr>
          <w:rFonts w:hint="default" w:ascii="Times New Roman" w:hAnsi="Times New Roman" w:eastAsia="宋体" w:cs="Times New Roman"/>
          <w:color w:val="FF0000"/>
          <w:spacing w:val="0"/>
          <w:highlight w:val="none"/>
        </w:rPr>
        <w:t>通过合理设计烟气流速、比集尘面积等参数，实现除尘效率96%～99.9%。烟气流速宜取0.8～1.2m/s，当比集尘面积不小于100m</w:t>
      </w:r>
      <w:r>
        <w:rPr>
          <w:rFonts w:hint="default" w:ascii="Times New Roman" w:hAnsi="Times New Roman" w:eastAsia="宋体" w:cs="Times New Roman"/>
          <w:color w:val="FF0000"/>
          <w:spacing w:val="0"/>
          <w:highlight w:val="none"/>
          <w:vertAlign w:val="superscript"/>
        </w:rPr>
        <w:t>2</w:t>
      </w:r>
      <w:r>
        <w:rPr>
          <w:rFonts w:hint="default" w:ascii="Times New Roman" w:hAnsi="Times New Roman" w:eastAsia="宋体" w:cs="Times New Roman"/>
          <w:color w:val="FF0000"/>
          <w:spacing w:val="0"/>
          <w:highlight w:val="none"/>
        </w:rPr>
        <w:t>/（m</w:t>
      </w:r>
      <w:r>
        <w:rPr>
          <w:rFonts w:hint="default" w:ascii="Times New Roman" w:hAnsi="Times New Roman" w:eastAsia="宋体" w:cs="Times New Roman"/>
          <w:color w:val="FF0000"/>
          <w:spacing w:val="0"/>
          <w:highlight w:val="none"/>
          <w:vertAlign w:val="superscript"/>
        </w:rPr>
        <w:t>3</w:t>
      </w:r>
      <w:r>
        <w:rPr>
          <w:rFonts w:hint="default" w:ascii="Times New Roman" w:hAnsi="Times New Roman" w:eastAsia="宋体" w:cs="Times New Roman"/>
          <w:color w:val="FF0000"/>
          <w:spacing w:val="0"/>
          <w:highlight w:val="none"/>
        </w:rPr>
        <w:t>/s）时，干式</w:t>
      </w:r>
      <w:r>
        <w:rPr>
          <w:rFonts w:hint="eastAsia" w:eastAsia="宋体" w:cs="Times New Roman"/>
          <w:color w:val="FF0000"/>
          <w:spacing w:val="0"/>
          <w:highlight w:val="none"/>
          <w:lang w:eastAsia="zh-CN"/>
        </w:rPr>
        <w:t>电袋复合式除尘器</w:t>
      </w:r>
      <w:r>
        <w:rPr>
          <w:rFonts w:hint="default" w:ascii="Times New Roman" w:hAnsi="Times New Roman" w:eastAsia="宋体" w:cs="Times New Roman"/>
          <w:color w:val="FF0000"/>
          <w:spacing w:val="0"/>
          <w:highlight w:val="none"/>
        </w:rPr>
        <w:t>出口颗粒物浓度可达50mg/m</w:t>
      </w:r>
      <w:r>
        <w:rPr>
          <w:rFonts w:hint="default" w:ascii="Times New Roman" w:hAnsi="Times New Roman" w:eastAsia="宋体" w:cs="Times New Roman"/>
          <w:color w:val="FF0000"/>
          <w:spacing w:val="0"/>
          <w:highlight w:val="none"/>
          <w:vertAlign w:val="superscript"/>
          <w:lang w:val="en-US" w:eastAsia="zh-CN"/>
        </w:rPr>
        <w:t>3</w:t>
      </w:r>
      <w:r>
        <w:rPr>
          <w:rFonts w:hint="default" w:ascii="Times New Roman" w:hAnsi="Times New Roman" w:eastAsia="宋体" w:cs="Times New Roman"/>
          <w:color w:val="FF0000"/>
          <w:spacing w:val="0"/>
          <w:highlight w:val="none"/>
        </w:rPr>
        <w:t>以下；当比集尘面积不小于110m</w:t>
      </w:r>
      <w:r>
        <w:rPr>
          <w:rFonts w:hint="default" w:ascii="Times New Roman" w:hAnsi="Times New Roman" w:eastAsia="宋体" w:cs="Times New Roman"/>
          <w:color w:val="FF0000"/>
          <w:spacing w:val="0"/>
          <w:highlight w:val="none"/>
          <w:vertAlign w:val="superscript"/>
        </w:rPr>
        <w:t>2</w:t>
      </w:r>
      <w:r>
        <w:rPr>
          <w:rFonts w:hint="default" w:ascii="Times New Roman" w:hAnsi="Times New Roman" w:eastAsia="宋体" w:cs="Times New Roman"/>
          <w:color w:val="FF0000"/>
          <w:spacing w:val="0"/>
          <w:highlight w:val="none"/>
        </w:rPr>
        <w:t>/（m</w:t>
      </w:r>
      <w:r>
        <w:rPr>
          <w:rFonts w:hint="default" w:ascii="Times New Roman" w:hAnsi="Times New Roman" w:eastAsia="宋体" w:cs="Times New Roman"/>
          <w:color w:val="FF0000"/>
          <w:spacing w:val="0"/>
          <w:highlight w:val="none"/>
          <w:vertAlign w:val="superscript"/>
        </w:rPr>
        <w:t>3</w:t>
      </w:r>
      <w:r>
        <w:rPr>
          <w:rFonts w:hint="default" w:ascii="Times New Roman" w:hAnsi="Times New Roman" w:eastAsia="宋体" w:cs="Times New Roman"/>
          <w:color w:val="FF0000"/>
          <w:spacing w:val="0"/>
          <w:highlight w:val="none"/>
        </w:rPr>
        <w:t>/s）时，干式</w:t>
      </w:r>
      <w:r>
        <w:rPr>
          <w:rFonts w:hint="eastAsia" w:eastAsia="宋体" w:cs="Times New Roman"/>
          <w:color w:val="FF0000"/>
          <w:spacing w:val="0"/>
          <w:highlight w:val="none"/>
          <w:lang w:eastAsia="zh-CN"/>
        </w:rPr>
        <w:t>电袋复合式除尘器</w:t>
      </w:r>
      <w:r>
        <w:rPr>
          <w:rFonts w:hint="default" w:ascii="Times New Roman" w:hAnsi="Times New Roman" w:eastAsia="宋体" w:cs="Times New Roman"/>
          <w:color w:val="FF0000"/>
          <w:spacing w:val="0"/>
          <w:highlight w:val="none"/>
        </w:rPr>
        <w:t>出口颗粒物浓度可达30mg/m</w:t>
      </w:r>
      <w:r>
        <w:rPr>
          <w:rFonts w:hint="default" w:ascii="Times New Roman" w:hAnsi="Times New Roman" w:eastAsia="宋体" w:cs="Times New Roman"/>
          <w:color w:val="FF0000"/>
          <w:spacing w:val="0"/>
          <w:highlight w:val="none"/>
          <w:vertAlign w:val="superscript"/>
        </w:rPr>
        <w:t>3</w:t>
      </w:r>
      <w:r>
        <w:rPr>
          <w:rFonts w:hint="default" w:ascii="Times New Roman" w:hAnsi="Times New Roman" w:eastAsia="宋体" w:cs="Times New Roman"/>
          <w:color w:val="FF0000"/>
          <w:spacing w:val="0"/>
          <w:highlight w:val="none"/>
        </w:rPr>
        <w:t>以下。该技术适用于工况比电阻在1×10</w:t>
      </w:r>
      <w:r>
        <w:rPr>
          <w:rFonts w:hint="default" w:ascii="Times New Roman" w:hAnsi="Times New Roman" w:eastAsia="宋体" w:cs="Times New Roman"/>
          <w:color w:val="FF0000"/>
          <w:spacing w:val="0"/>
          <w:highlight w:val="none"/>
          <w:vertAlign w:val="superscript"/>
        </w:rPr>
        <w:t>4</w:t>
      </w:r>
      <w:r>
        <w:rPr>
          <w:rFonts w:hint="default" w:ascii="Times New Roman" w:hAnsi="Times New Roman" w:eastAsia="宋体" w:cs="Times New Roman"/>
          <w:color w:val="FF0000"/>
          <w:spacing w:val="0"/>
          <w:highlight w:val="none"/>
        </w:rPr>
        <w:t>～1×10</w:t>
      </w:r>
      <w:r>
        <w:rPr>
          <w:rFonts w:hint="default" w:ascii="Times New Roman" w:hAnsi="Times New Roman" w:eastAsia="宋体" w:cs="Times New Roman"/>
          <w:color w:val="FF0000"/>
          <w:spacing w:val="0"/>
          <w:highlight w:val="none"/>
          <w:vertAlign w:val="superscript"/>
        </w:rPr>
        <w:t>11</w:t>
      </w:r>
      <w:r>
        <w:rPr>
          <w:rFonts w:hint="default" w:ascii="Times New Roman" w:hAnsi="Times New Roman" w:eastAsia="宋体" w:cs="Times New Roman"/>
          <w:color w:val="FF0000"/>
          <w:spacing w:val="0"/>
          <w:highlight w:val="none"/>
        </w:rPr>
        <w:t>Ω·cm之间的燃煤锅炉颗粒物脱除，对高铝、高硅等高比电阻粉尘以及细颗粒物脱除效果较差；系统阻力小、占地面积相对较大、投资成本相对较高。</w:t>
      </w:r>
    </w:p>
    <w:p w14:paraId="70E3526D">
      <w:pPr>
        <w:pStyle w:val="108"/>
        <w:keepNext w:val="0"/>
        <w:keepLines w:val="0"/>
        <w:pageBreakBefore w:val="0"/>
        <w:widowControl w:val="0"/>
        <w:kinsoku/>
        <w:wordWrap/>
        <w:overflowPunct/>
        <w:topLinePunct w:val="0"/>
        <w:autoSpaceDE/>
        <w:autoSpaceDN/>
        <w:bidi w:val="0"/>
        <w:adjustRightInd/>
        <w:snapToGrid/>
        <w:spacing w:line="480" w:lineRule="exact"/>
        <w:ind w:leftChars="0" w:firstLine="480" w:firstLineChars="200"/>
        <w:textAlignment w:val="auto"/>
        <w:rPr>
          <w:rFonts w:hint="default" w:ascii="Times New Roman" w:hAnsi="Times New Roman" w:eastAsia="宋体" w:cs="Times New Roman"/>
          <w:color w:val="FF0000"/>
          <w:spacing w:val="0"/>
          <w:highlight w:val="none"/>
          <w:lang w:eastAsia="zh-CN"/>
        </w:rPr>
      </w:pPr>
      <w:r>
        <w:rPr>
          <w:rFonts w:hint="default" w:ascii="Times New Roman" w:hAnsi="Times New Roman" w:eastAsia="宋体" w:cs="Times New Roman"/>
          <w:color w:val="FF0000"/>
          <w:spacing w:val="0"/>
          <w:highlight w:val="none"/>
          <w:lang w:eastAsia="zh-CN"/>
        </w:rPr>
        <w:t>（</w:t>
      </w:r>
      <w:r>
        <w:rPr>
          <w:rFonts w:hint="default" w:ascii="Times New Roman" w:hAnsi="Times New Roman" w:eastAsia="宋体" w:cs="Times New Roman"/>
          <w:color w:val="FF0000"/>
          <w:spacing w:val="0"/>
          <w:highlight w:val="none"/>
          <w:lang w:val="en-US" w:eastAsia="zh-CN"/>
        </w:rPr>
        <w:t>2</w:t>
      </w:r>
      <w:r>
        <w:rPr>
          <w:rFonts w:hint="default" w:ascii="Times New Roman" w:hAnsi="Times New Roman" w:eastAsia="宋体" w:cs="Times New Roman"/>
          <w:color w:val="FF0000"/>
          <w:spacing w:val="0"/>
          <w:highlight w:val="none"/>
          <w:lang w:eastAsia="zh-CN"/>
        </w:rPr>
        <w:t>）</w:t>
      </w:r>
      <w:r>
        <w:rPr>
          <w:rFonts w:hint="default" w:ascii="Times New Roman" w:hAnsi="Times New Roman" w:eastAsia="宋体" w:cs="Times New Roman"/>
          <w:b w:val="0"/>
          <w:bCs w:val="0"/>
          <w:color w:val="FF0000"/>
          <w:spacing w:val="0"/>
          <w:highlight w:val="none"/>
          <w:lang w:val="en-US" w:eastAsia="zh-CN"/>
        </w:rPr>
        <w:t>袋式除尘技术</w:t>
      </w:r>
    </w:p>
    <w:p w14:paraId="6DB97938">
      <w:pPr>
        <w:pStyle w:val="108"/>
        <w:keepNext w:val="0"/>
        <w:keepLines w:val="0"/>
        <w:pageBreakBefore w:val="0"/>
        <w:widowControl w:val="0"/>
        <w:kinsoku/>
        <w:wordWrap/>
        <w:overflowPunct/>
        <w:topLinePunct w:val="0"/>
        <w:autoSpaceDE/>
        <w:autoSpaceDN/>
        <w:bidi w:val="0"/>
        <w:adjustRightInd/>
        <w:snapToGrid/>
        <w:spacing w:line="480" w:lineRule="exact"/>
        <w:ind w:leftChars="0" w:firstLine="480" w:firstLineChars="200"/>
        <w:textAlignment w:val="auto"/>
        <w:rPr>
          <w:rFonts w:hint="default" w:ascii="Times New Roman" w:hAnsi="Times New Roman" w:eastAsia="宋体" w:cs="Times New Roman"/>
          <w:color w:val="FF0000"/>
          <w:spacing w:val="0"/>
          <w:highlight w:val="none"/>
        </w:rPr>
      </w:pPr>
      <w:r>
        <w:rPr>
          <w:rFonts w:hint="default" w:ascii="Times New Roman" w:hAnsi="Times New Roman" w:eastAsia="宋体" w:cs="Times New Roman"/>
          <w:color w:val="FF0000"/>
          <w:spacing w:val="0"/>
          <w:highlight w:val="none"/>
        </w:rPr>
        <w:t>通过合理选择滤料种类、过滤风速等参数，实现除尘效率99%～99.99%。当采用常规针刺毡滤料，过滤风速不大于1.0m/min时，袋式除尘器出口颗粒物浓度可达30mg/m</w:t>
      </w:r>
      <w:r>
        <w:rPr>
          <w:rFonts w:hint="default" w:ascii="Times New Roman" w:hAnsi="Times New Roman" w:eastAsia="宋体" w:cs="Times New Roman"/>
          <w:color w:val="FF0000"/>
          <w:spacing w:val="0"/>
          <w:highlight w:val="none"/>
          <w:vertAlign w:val="superscript"/>
        </w:rPr>
        <w:t>3</w:t>
      </w:r>
      <w:r>
        <w:rPr>
          <w:rFonts w:hint="default" w:ascii="Times New Roman" w:hAnsi="Times New Roman" w:eastAsia="宋体" w:cs="Times New Roman"/>
          <w:color w:val="FF0000"/>
          <w:spacing w:val="0"/>
          <w:highlight w:val="none"/>
        </w:rPr>
        <w:t>以下；当过滤风速不大于0.9m/min时，袋式除尘器出口颗粒物浓度可达20mg/m</w:t>
      </w:r>
      <w:r>
        <w:rPr>
          <w:rFonts w:hint="default" w:ascii="Times New Roman" w:hAnsi="Times New Roman" w:eastAsia="宋体" w:cs="Times New Roman"/>
          <w:color w:val="FF0000"/>
          <w:spacing w:val="0"/>
          <w:highlight w:val="none"/>
          <w:vertAlign w:val="superscript"/>
        </w:rPr>
        <w:t>3</w:t>
      </w:r>
      <w:r>
        <w:rPr>
          <w:rFonts w:hint="default" w:ascii="Times New Roman" w:hAnsi="Times New Roman" w:eastAsia="宋体" w:cs="Times New Roman"/>
          <w:color w:val="FF0000"/>
          <w:spacing w:val="0"/>
          <w:highlight w:val="none"/>
        </w:rPr>
        <w:t>以下。当采用高精过滤滤料，过滤风速不大于0.8m/min时，袋式除尘器出口颗粒物浓度可达10mg/m</w:t>
      </w:r>
      <w:r>
        <w:rPr>
          <w:rFonts w:hint="default" w:ascii="Times New Roman" w:hAnsi="Times New Roman" w:eastAsia="宋体" w:cs="Times New Roman"/>
          <w:color w:val="FF0000"/>
          <w:spacing w:val="0"/>
          <w:highlight w:val="none"/>
          <w:vertAlign w:val="superscript"/>
        </w:rPr>
        <w:t>3</w:t>
      </w:r>
      <w:r>
        <w:rPr>
          <w:rFonts w:hint="default" w:ascii="Times New Roman" w:hAnsi="Times New Roman" w:eastAsia="宋体" w:cs="Times New Roman"/>
          <w:color w:val="FF0000"/>
          <w:spacing w:val="0"/>
          <w:highlight w:val="none"/>
        </w:rPr>
        <w:t>以下。当处理烟气循环流化床法脱硫后的高粉尘浓度烟气时，过滤风速宜不大于0.7m/min。该技术基本不受燃烧煤种、烟尘比电阻和烟气工况变化等影响，运行温度应高于酸露点15℃以上且≤250℃；燃煤层燃炉和生物质成型燃料锅炉宜设置必要的保护措施，降低滤袋烧毁风险；系统阻力相对较大、占地面积小、投资成本低，滤袋更换成本高。</w:t>
      </w:r>
    </w:p>
    <w:p w14:paraId="3418948A">
      <w:pPr>
        <w:pStyle w:val="108"/>
        <w:keepNext w:val="0"/>
        <w:keepLines w:val="0"/>
        <w:pageBreakBefore w:val="0"/>
        <w:widowControl w:val="0"/>
        <w:kinsoku/>
        <w:wordWrap/>
        <w:overflowPunct/>
        <w:topLinePunct w:val="0"/>
        <w:autoSpaceDE/>
        <w:autoSpaceDN/>
        <w:bidi w:val="0"/>
        <w:adjustRightInd/>
        <w:snapToGrid/>
        <w:spacing w:line="480" w:lineRule="exact"/>
        <w:ind w:leftChars="0" w:firstLine="480" w:firstLineChars="200"/>
        <w:textAlignment w:val="auto"/>
        <w:rPr>
          <w:rFonts w:hint="default" w:ascii="Times New Roman" w:hAnsi="Times New Roman" w:eastAsia="宋体" w:cs="Times New Roman"/>
          <w:b w:val="0"/>
          <w:bCs w:val="0"/>
          <w:color w:val="FF0000"/>
          <w:spacing w:val="0"/>
          <w:highlight w:val="none"/>
          <w:lang w:eastAsia="zh-CN"/>
        </w:rPr>
      </w:pPr>
      <w:r>
        <w:rPr>
          <w:rFonts w:hint="default" w:ascii="Times New Roman" w:hAnsi="Times New Roman" w:eastAsia="宋体" w:cs="Times New Roman"/>
          <w:b w:val="0"/>
          <w:bCs w:val="0"/>
          <w:color w:val="FF0000"/>
          <w:spacing w:val="0"/>
          <w:highlight w:val="none"/>
          <w:lang w:eastAsia="zh-CN"/>
        </w:rPr>
        <w:t>（</w:t>
      </w:r>
      <w:r>
        <w:rPr>
          <w:rFonts w:hint="default" w:ascii="Times New Roman" w:hAnsi="Times New Roman" w:eastAsia="宋体" w:cs="Times New Roman"/>
          <w:b w:val="0"/>
          <w:bCs w:val="0"/>
          <w:color w:val="FF0000"/>
          <w:spacing w:val="0"/>
          <w:highlight w:val="none"/>
          <w:lang w:val="en-US" w:eastAsia="zh-CN"/>
        </w:rPr>
        <w:t>3</w:t>
      </w:r>
      <w:r>
        <w:rPr>
          <w:rFonts w:hint="default" w:ascii="Times New Roman" w:hAnsi="Times New Roman" w:eastAsia="宋体" w:cs="Times New Roman"/>
          <w:b w:val="0"/>
          <w:bCs w:val="0"/>
          <w:color w:val="FF0000"/>
          <w:spacing w:val="0"/>
          <w:highlight w:val="none"/>
          <w:lang w:eastAsia="zh-CN"/>
        </w:rPr>
        <w:t>）</w:t>
      </w:r>
      <w:r>
        <w:rPr>
          <w:rFonts w:hint="default" w:ascii="Times New Roman" w:hAnsi="Times New Roman" w:eastAsia="宋体" w:cs="Times New Roman"/>
          <w:b w:val="0"/>
          <w:bCs w:val="0"/>
          <w:color w:val="FF0000"/>
          <w:spacing w:val="0"/>
          <w:highlight w:val="none"/>
          <w:lang w:val="en-US" w:eastAsia="zh-CN"/>
        </w:rPr>
        <w:t>湿式</w:t>
      </w:r>
      <w:r>
        <w:rPr>
          <w:rFonts w:hint="eastAsia" w:eastAsia="宋体" w:cs="Times New Roman"/>
          <w:b w:val="0"/>
          <w:bCs w:val="0"/>
          <w:color w:val="FF0000"/>
          <w:spacing w:val="0"/>
          <w:highlight w:val="none"/>
          <w:lang w:val="en-US" w:eastAsia="zh-CN"/>
        </w:rPr>
        <w:t>电袋除尘</w:t>
      </w:r>
      <w:r>
        <w:rPr>
          <w:rFonts w:hint="default" w:ascii="Times New Roman" w:hAnsi="Times New Roman" w:eastAsia="宋体" w:cs="Times New Roman"/>
          <w:b w:val="0"/>
          <w:bCs w:val="0"/>
          <w:color w:val="FF0000"/>
          <w:spacing w:val="0"/>
          <w:highlight w:val="none"/>
          <w:lang w:val="en-US" w:eastAsia="zh-CN"/>
        </w:rPr>
        <w:t>技术</w:t>
      </w:r>
    </w:p>
    <w:p w14:paraId="5E847A06">
      <w:pPr>
        <w:pStyle w:val="108"/>
        <w:keepNext w:val="0"/>
        <w:keepLines w:val="0"/>
        <w:pageBreakBefore w:val="0"/>
        <w:widowControl w:val="0"/>
        <w:kinsoku/>
        <w:wordWrap/>
        <w:overflowPunct/>
        <w:topLinePunct w:val="0"/>
        <w:autoSpaceDE/>
        <w:autoSpaceDN/>
        <w:bidi w:val="0"/>
        <w:adjustRightInd/>
        <w:snapToGrid/>
        <w:spacing w:line="480" w:lineRule="exact"/>
        <w:ind w:leftChars="0" w:firstLine="480" w:firstLineChars="200"/>
        <w:textAlignment w:val="auto"/>
        <w:rPr>
          <w:rFonts w:hint="default" w:ascii="Times New Roman" w:hAnsi="Times New Roman" w:eastAsia="宋体" w:cs="Times New Roman"/>
          <w:b w:val="0"/>
          <w:bCs w:val="0"/>
          <w:color w:val="FF0000"/>
          <w:spacing w:val="0"/>
          <w:highlight w:val="none"/>
        </w:rPr>
      </w:pPr>
      <w:r>
        <w:rPr>
          <w:rFonts w:hint="default" w:ascii="Times New Roman" w:hAnsi="Times New Roman" w:eastAsia="宋体" w:cs="Times New Roman"/>
          <w:b w:val="0"/>
          <w:bCs w:val="0"/>
          <w:color w:val="FF0000"/>
          <w:spacing w:val="0"/>
          <w:highlight w:val="none"/>
        </w:rPr>
        <w:t>该技术常用于烟气脱硫后，通过合理设计烟气流速、比集尘面积等参数，实现除尘效率60%～90%，湿式</w:t>
      </w:r>
      <w:r>
        <w:rPr>
          <w:rFonts w:hint="eastAsia" w:eastAsia="宋体" w:cs="Times New Roman"/>
          <w:b w:val="0"/>
          <w:bCs w:val="0"/>
          <w:color w:val="FF0000"/>
          <w:spacing w:val="0"/>
          <w:highlight w:val="none"/>
          <w:lang w:eastAsia="zh-CN"/>
        </w:rPr>
        <w:t>电袋复合式除尘器</w:t>
      </w:r>
      <w:r>
        <w:rPr>
          <w:rFonts w:hint="default" w:ascii="Times New Roman" w:hAnsi="Times New Roman" w:eastAsia="宋体" w:cs="Times New Roman"/>
          <w:b w:val="0"/>
          <w:bCs w:val="0"/>
          <w:color w:val="FF0000"/>
          <w:spacing w:val="0"/>
          <w:highlight w:val="none"/>
        </w:rPr>
        <w:t>出口颗粒物浓度可达10mg/m</w:t>
      </w:r>
      <w:r>
        <w:rPr>
          <w:rFonts w:hint="default" w:ascii="Times New Roman" w:hAnsi="Times New Roman" w:eastAsia="宋体" w:cs="Times New Roman"/>
          <w:b w:val="0"/>
          <w:bCs w:val="0"/>
          <w:color w:val="FF0000"/>
          <w:spacing w:val="0"/>
          <w:highlight w:val="none"/>
          <w:vertAlign w:val="superscript"/>
        </w:rPr>
        <w:t>3</w:t>
      </w:r>
      <w:r>
        <w:rPr>
          <w:rFonts w:hint="default" w:ascii="Times New Roman" w:hAnsi="Times New Roman" w:eastAsia="宋体" w:cs="Times New Roman"/>
          <w:b w:val="0"/>
          <w:bCs w:val="0"/>
          <w:color w:val="FF0000"/>
          <w:spacing w:val="0"/>
          <w:highlight w:val="none"/>
        </w:rPr>
        <w:t>以下。该技术分为板式湿式</w:t>
      </w:r>
      <w:r>
        <w:rPr>
          <w:rFonts w:hint="eastAsia" w:eastAsia="宋体" w:cs="Times New Roman"/>
          <w:b w:val="0"/>
          <w:bCs w:val="0"/>
          <w:color w:val="FF0000"/>
          <w:spacing w:val="0"/>
          <w:highlight w:val="none"/>
          <w:lang w:eastAsia="zh-CN"/>
        </w:rPr>
        <w:t>电袋除尘</w:t>
      </w:r>
      <w:r>
        <w:rPr>
          <w:rFonts w:hint="default" w:ascii="Times New Roman" w:hAnsi="Times New Roman" w:eastAsia="宋体" w:cs="Times New Roman"/>
          <w:b w:val="0"/>
          <w:bCs w:val="0"/>
          <w:color w:val="FF0000"/>
          <w:spacing w:val="0"/>
          <w:highlight w:val="none"/>
        </w:rPr>
        <w:t>技术和蜂窝式湿式</w:t>
      </w:r>
      <w:r>
        <w:rPr>
          <w:rFonts w:hint="eastAsia" w:eastAsia="宋体" w:cs="Times New Roman"/>
          <w:b w:val="0"/>
          <w:bCs w:val="0"/>
          <w:color w:val="FF0000"/>
          <w:spacing w:val="0"/>
          <w:highlight w:val="none"/>
          <w:lang w:eastAsia="zh-CN"/>
        </w:rPr>
        <w:t>电袋除尘</w:t>
      </w:r>
      <w:r>
        <w:rPr>
          <w:rFonts w:hint="default" w:ascii="Times New Roman" w:hAnsi="Times New Roman" w:eastAsia="宋体" w:cs="Times New Roman"/>
          <w:b w:val="0"/>
          <w:bCs w:val="0"/>
          <w:color w:val="FF0000"/>
          <w:spacing w:val="0"/>
          <w:highlight w:val="none"/>
        </w:rPr>
        <w:t>技术，可有效去除细颗粒物及湿法脱硫后烟气中夹带的液滴，并高效协同脱除三氧化硫（SO</w:t>
      </w:r>
      <w:r>
        <w:rPr>
          <w:rFonts w:hint="default" w:ascii="Times New Roman" w:hAnsi="Times New Roman" w:eastAsia="宋体" w:cs="Times New Roman"/>
          <w:b w:val="0"/>
          <w:bCs w:val="0"/>
          <w:color w:val="FF0000"/>
          <w:spacing w:val="0"/>
          <w:highlight w:val="none"/>
          <w:vertAlign w:val="subscript"/>
        </w:rPr>
        <w:t>3</w:t>
      </w:r>
      <w:r>
        <w:rPr>
          <w:rFonts w:hint="default" w:ascii="Times New Roman" w:hAnsi="Times New Roman" w:eastAsia="宋体" w:cs="Times New Roman"/>
          <w:b w:val="0"/>
          <w:bCs w:val="0"/>
          <w:color w:val="FF0000"/>
          <w:spacing w:val="0"/>
          <w:highlight w:val="none"/>
        </w:rPr>
        <w:t>）、汞及其化合物等；系统阻力小、占地面积小、投资成本较高。</w:t>
      </w:r>
    </w:p>
    <w:p w14:paraId="485013D4">
      <w:pPr>
        <w:pStyle w:val="108"/>
        <w:keepNext w:val="0"/>
        <w:keepLines w:val="0"/>
        <w:pageBreakBefore w:val="0"/>
        <w:widowControl w:val="0"/>
        <w:kinsoku/>
        <w:wordWrap/>
        <w:overflowPunct/>
        <w:topLinePunct w:val="0"/>
        <w:autoSpaceDE/>
        <w:autoSpaceDN/>
        <w:bidi w:val="0"/>
        <w:adjustRightInd/>
        <w:snapToGrid/>
        <w:spacing w:line="480" w:lineRule="exact"/>
        <w:ind w:leftChars="0" w:firstLine="480" w:firstLineChars="200"/>
        <w:textAlignment w:val="auto"/>
        <w:rPr>
          <w:rFonts w:hint="default" w:ascii="Times New Roman" w:hAnsi="Times New Roman" w:eastAsia="宋体" w:cs="Times New Roman"/>
          <w:b w:val="0"/>
          <w:bCs w:val="0"/>
          <w:color w:val="FF0000"/>
          <w:spacing w:val="0"/>
          <w:highlight w:val="none"/>
          <w:lang w:val="en-US" w:eastAsia="zh-CN"/>
        </w:rPr>
      </w:pPr>
      <w:r>
        <w:rPr>
          <w:rFonts w:hint="default" w:ascii="Times New Roman" w:hAnsi="Times New Roman" w:eastAsia="宋体" w:cs="Times New Roman"/>
          <w:b w:val="0"/>
          <w:bCs w:val="0"/>
          <w:color w:val="FF0000"/>
          <w:spacing w:val="0"/>
          <w:highlight w:val="none"/>
          <w:lang w:eastAsia="zh-CN"/>
        </w:rPr>
        <w:t>（</w:t>
      </w:r>
      <w:r>
        <w:rPr>
          <w:rFonts w:hint="default" w:ascii="Times New Roman" w:hAnsi="Times New Roman" w:eastAsia="宋体" w:cs="Times New Roman"/>
          <w:b w:val="0"/>
          <w:bCs w:val="0"/>
          <w:color w:val="FF0000"/>
          <w:spacing w:val="0"/>
          <w:highlight w:val="none"/>
          <w:lang w:val="en-US" w:eastAsia="zh-CN"/>
        </w:rPr>
        <w:t>4</w:t>
      </w:r>
      <w:r>
        <w:rPr>
          <w:rFonts w:hint="default" w:ascii="Times New Roman" w:hAnsi="Times New Roman" w:eastAsia="宋体" w:cs="Times New Roman"/>
          <w:b w:val="0"/>
          <w:bCs w:val="0"/>
          <w:color w:val="FF0000"/>
          <w:spacing w:val="0"/>
          <w:highlight w:val="none"/>
          <w:lang w:eastAsia="zh-CN"/>
        </w:rPr>
        <w:t>）</w:t>
      </w:r>
      <w:r>
        <w:rPr>
          <w:rFonts w:hint="eastAsia" w:eastAsia="宋体" w:cs="Times New Roman"/>
          <w:b w:val="0"/>
          <w:bCs w:val="0"/>
          <w:color w:val="FF0000"/>
          <w:spacing w:val="0"/>
          <w:highlight w:val="none"/>
          <w:lang w:val="en-US" w:eastAsia="zh-CN"/>
        </w:rPr>
        <w:t>电</w:t>
      </w:r>
      <w:r>
        <w:rPr>
          <w:rFonts w:hint="default" w:ascii="Times New Roman" w:hAnsi="Times New Roman" w:eastAsia="宋体" w:cs="Times New Roman"/>
          <w:b w:val="0"/>
          <w:bCs w:val="0"/>
          <w:color w:val="FF0000"/>
          <w:spacing w:val="0"/>
          <w:highlight w:val="none"/>
          <w:lang w:val="en-US" w:eastAsia="zh-CN"/>
        </w:rPr>
        <w:t>复合除尘技术</w:t>
      </w:r>
    </w:p>
    <w:p w14:paraId="1D4A3B85">
      <w:pPr>
        <w:pStyle w:val="108"/>
        <w:keepNext w:val="0"/>
        <w:keepLines w:val="0"/>
        <w:pageBreakBefore w:val="0"/>
        <w:widowControl w:val="0"/>
        <w:kinsoku/>
        <w:wordWrap/>
        <w:overflowPunct/>
        <w:topLinePunct w:val="0"/>
        <w:autoSpaceDE/>
        <w:autoSpaceDN/>
        <w:bidi w:val="0"/>
        <w:adjustRightInd/>
        <w:snapToGrid/>
        <w:spacing w:line="480" w:lineRule="exact"/>
        <w:ind w:leftChars="0" w:firstLine="480" w:firstLineChars="200"/>
        <w:textAlignment w:val="auto"/>
        <w:rPr>
          <w:rFonts w:hint="default" w:ascii="Times New Roman" w:hAnsi="Times New Roman" w:eastAsia="宋体" w:cs="Times New Roman"/>
          <w:b w:val="0"/>
          <w:bCs w:val="0"/>
          <w:color w:val="FF0000"/>
          <w:spacing w:val="0"/>
          <w:highlight w:val="none"/>
        </w:rPr>
      </w:pPr>
      <w:r>
        <w:rPr>
          <w:rFonts w:hint="default" w:ascii="Times New Roman" w:hAnsi="Times New Roman" w:eastAsia="宋体" w:cs="Times New Roman"/>
          <w:b w:val="0"/>
          <w:bCs w:val="0"/>
          <w:color w:val="FF0000"/>
          <w:spacing w:val="0"/>
          <w:highlight w:val="none"/>
        </w:rPr>
        <w:t>通过合理选择滤料种类和合理设计过滤风速及电区比集尘面积等参数，实现除尘效率99%～99.99%。当采用常规针刺毡滤料，颗粒物排放浓度可达20mg/m</w:t>
      </w:r>
      <w:r>
        <w:rPr>
          <w:rFonts w:hint="default" w:ascii="Times New Roman" w:hAnsi="Times New Roman" w:eastAsia="宋体" w:cs="Times New Roman"/>
          <w:b w:val="0"/>
          <w:bCs w:val="0"/>
          <w:color w:val="FF0000"/>
          <w:spacing w:val="0"/>
          <w:highlight w:val="none"/>
          <w:vertAlign w:val="superscript"/>
        </w:rPr>
        <w:t>3</w:t>
      </w:r>
      <w:r>
        <w:rPr>
          <w:rFonts w:hint="default" w:ascii="Times New Roman" w:hAnsi="Times New Roman" w:eastAsia="宋体" w:cs="Times New Roman"/>
          <w:b w:val="0"/>
          <w:bCs w:val="0"/>
          <w:color w:val="FF0000"/>
          <w:spacing w:val="0"/>
          <w:highlight w:val="none"/>
        </w:rPr>
        <w:t>以下；当采用高精过滤滤料，颗粒物排放浓度可达10mg/m</w:t>
      </w:r>
      <w:r>
        <w:rPr>
          <w:rFonts w:hint="default" w:ascii="Times New Roman" w:hAnsi="Times New Roman" w:eastAsia="宋体" w:cs="Times New Roman"/>
          <w:b w:val="0"/>
          <w:bCs w:val="0"/>
          <w:color w:val="FF0000"/>
          <w:spacing w:val="0"/>
          <w:highlight w:val="none"/>
          <w:vertAlign w:val="superscript"/>
        </w:rPr>
        <w:t>3</w:t>
      </w:r>
      <w:r>
        <w:rPr>
          <w:rFonts w:hint="default" w:ascii="Times New Roman" w:hAnsi="Times New Roman" w:eastAsia="宋体" w:cs="Times New Roman"/>
          <w:b w:val="0"/>
          <w:bCs w:val="0"/>
          <w:color w:val="FF0000"/>
          <w:spacing w:val="0"/>
          <w:highlight w:val="none"/>
        </w:rPr>
        <w:t>以下。该技术适用于燃煤锅炉烟气颗粒物的脱除，兼具袋式除尘和干式</w:t>
      </w:r>
      <w:r>
        <w:rPr>
          <w:rFonts w:hint="eastAsia" w:eastAsia="宋体" w:cs="Times New Roman"/>
          <w:b w:val="0"/>
          <w:bCs w:val="0"/>
          <w:color w:val="FF0000"/>
          <w:spacing w:val="0"/>
          <w:highlight w:val="none"/>
          <w:lang w:eastAsia="zh-CN"/>
        </w:rPr>
        <w:t>电袋除尘</w:t>
      </w:r>
      <w:r>
        <w:rPr>
          <w:rFonts w:hint="default" w:ascii="Times New Roman" w:hAnsi="Times New Roman" w:eastAsia="宋体" w:cs="Times New Roman"/>
          <w:b w:val="0"/>
          <w:bCs w:val="0"/>
          <w:color w:val="FF0000"/>
          <w:spacing w:val="0"/>
          <w:highlight w:val="none"/>
        </w:rPr>
        <w:t>的优点，滤袋使用寿命长，对难荷电颗粒物、细颗粒物及高比电阻粉尘脱除效果佳；系统阻力大、占地面积大、投资成本高，滤袋更换成本高。</w:t>
      </w:r>
    </w:p>
    <w:p w14:paraId="5FF51DAA">
      <w:pPr>
        <w:keepNext w:val="0"/>
        <w:keepLines w:val="0"/>
        <w:pageBreakBefore w:val="0"/>
        <w:widowControl w:val="0"/>
        <w:kinsoku/>
        <w:wordWrap/>
        <w:overflowPunct/>
        <w:topLinePunct w:val="0"/>
        <w:autoSpaceDE/>
        <w:autoSpaceDN/>
        <w:bidi w:val="0"/>
        <w:adjustRightInd/>
        <w:snapToGrid/>
        <w:spacing w:line="480" w:lineRule="exact"/>
        <w:ind w:leftChars="0" w:firstLine="480" w:firstLineChars="200"/>
        <w:textAlignment w:val="auto"/>
        <w:rPr>
          <w:rFonts w:hint="default" w:ascii="Times New Roman" w:hAnsi="Times New Roman" w:eastAsia="宋体" w:cs="Times New Roman"/>
          <w:b w:val="0"/>
          <w:bCs w:val="0"/>
          <w:color w:val="FF0000"/>
          <w:sz w:val="24"/>
          <w:szCs w:val="24"/>
          <w:highlight w:val="none"/>
          <w:lang w:eastAsia="zh-CN"/>
        </w:rPr>
      </w:pPr>
      <w:r>
        <w:rPr>
          <w:rFonts w:hint="default" w:ascii="Times New Roman" w:hAnsi="Times New Roman" w:eastAsia="宋体" w:cs="Times New Roman"/>
          <w:b w:val="0"/>
          <w:bCs w:val="0"/>
          <w:color w:val="FF0000"/>
          <w:sz w:val="24"/>
          <w:szCs w:val="24"/>
          <w:highlight w:val="none"/>
        </w:rPr>
        <w:t>（</w:t>
      </w:r>
      <w:r>
        <w:rPr>
          <w:rFonts w:hint="default" w:ascii="Times New Roman" w:hAnsi="Times New Roman" w:eastAsia="宋体" w:cs="Times New Roman"/>
          <w:b w:val="0"/>
          <w:bCs w:val="0"/>
          <w:color w:val="FF0000"/>
          <w:sz w:val="24"/>
          <w:szCs w:val="24"/>
          <w:highlight w:val="none"/>
          <w:lang w:val="en-US" w:eastAsia="zh-CN"/>
        </w:rPr>
        <w:t>5</w:t>
      </w:r>
      <w:r>
        <w:rPr>
          <w:rFonts w:hint="default" w:ascii="Times New Roman" w:hAnsi="Times New Roman" w:eastAsia="宋体" w:cs="Times New Roman"/>
          <w:b w:val="0"/>
          <w:bCs w:val="0"/>
          <w:color w:val="FF0000"/>
          <w:sz w:val="24"/>
          <w:szCs w:val="24"/>
          <w:highlight w:val="none"/>
        </w:rPr>
        <w:t>）本项目除尘措施</w:t>
      </w:r>
      <w:r>
        <w:rPr>
          <w:rFonts w:hint="default" w:ascii="Times New Roman" w:hAnsi="Times New Roman" w:eastAsia="宋体" w:cs="Times New Roman"/>
          <w:b w:val="0"/>
          <w:bCs w:val="0"/>
          <w:color w:val="FF0000"/>
          <w:sz w:val="24"/>
          <w:szCs w:val="24"/>
          <w:highlight w:val="none"/>
          <w:lang w:eastAsia="zh-CN"/>
        </w:rPr>
        <w:t>选择</w:t>
      </w:r>
    </w:p>
    <w:p w14:paraId="693A8624">
      <w:pPr>
        <w:pStyle w:val="97"/>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highlight w:val="none"/>
          <w:lang w:val="en-US" w:eastAsia="zh-CN"/>
        </w:rPr>
        <w:t>根据</w:t>
      </w:r>
      <w:r>
        <w:rPr>
          <w:rFonts w:hint="default" w:ascii="Times New Roman" w:hAnsi="Times New Roman" w:eastAsia="宋体" w:cs="Times New Roman"/>
          <w:color w:val="FF0000"/>
          <w:sz w:val="24"/>
          <w:szCs w:val="24"/>
          <w:highlight w:val="none"/>
        </w:rPr>
        <w:t>《排污许可证申请与核发技术规范 锅炉》</w:t>
      </w: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lang w:val="en-US" w:eastAsia="zh-CN"/>
        </w:rPr>
        <w:t>HJ953-2018</w:t>
      </w: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lang w:val="en-US" w:eastAsia="zh-CN"/>
        </w:rPr>
        <w:t>5.2.1可行技术，以及</w:t>
      </w:r>
      <w:r>
        <w:rPr>
          <w:rFonts w:hint="default" w:ascii="Times New Roman" w:hAnsi="Times New Roman" w:eastAsia="宋体" w:cs="Times New Roman"/>
          <w:color w:val="FF0000"/>
          <w:sz w:val="24"/>
          <w:highlight w:val="none"/>
          <w:lang w:val="en-US" w:eastAsia="zh-CN"/>
        </w:rPr>
        <w:t>参照</w:t>
      </w:r>
      <w:r>
        <w:rPr>
          <w:rFonts w:hint="default" w:ascii="Times New Roman" w:hAnsi="Times New Roman" w:eastAsia="宋体" w:cs="Times New Roman"/>
          <w:color w:val="FF0000"/>
          <w:sz w:val="24"/>
          <w:highlight w:val="none"/>
          <w:lang w:eastAsia="zh-CN"/>
        </w:rPr>
        <w:t>《工业锅炉污染防治可行技术指南》（HJ1178</w:t>
      </w:r>
      <w:r>
        <w:rPr>
          <w:rFonts w:hint="default" w:ascii="Times New Roman" w:hAnsi="Times New Roman" w:eastAsia="宋体" w:cs="Times New Roman"/>
          <w:color w:val="FF0000"/>
          <w:sz w:val="24"/>
          <w:highlight w:val="none"/>
          <w:lang w:val="en-US" w:eastAsia="zh-CN"/>
        </w:rPr>
        <w:t>-</w:t>
      </w:r>
      <w:r>
        <w:rPr>
          <w:rFonts w:hint="default" w:ascii="Times New Roman" w:hAnsi="Times New Roman" w:eastAsia="宋体" w:cs="Times New Roman"/>
          <w:color w:val="FF0000"/>
          <w:sz w:val="24"/>
          <w:highlight w:val="none"/>
          <w:lang w:eastAsia="zh-CN"/>
        </w:rPr>
        <w:t>2021）</w:t>
      </w:r>
      <w:r>
        <w:rPr>
          <w:rFonts w:hint="default" w:ascii="Times New Roman" w:hAnsi="Times New Roman" w:eastAsia="宋体" w:cs="Times New Roman"/>
          <w:color w:val="FF0000"/>
          <w:sz w:val="24"/>
          <w:szCs w:val="24"/>
          <w:highlight w:val="none"/>
          <w:lang w:eastAsia="zh-CN"/>
        </w:rPr>
        <w:t>规定的</w:t>
      </w:r>
      <w:r>
        <w:rPr>
          <w:rFonts w:hint="default" w:ascii="Times New Roman" w:hAnsi="Times New Roman" w:eastAsia="宋体" w:cs="Times New Roman"/>
          <w:color w:val="FF0000"/>
          <w:sz w:val="24"/>
          <w:highlight w:val="none"/>
          <w:lang w:eastAsia="zh-CN"/>
        </w:rPr>
        <w:t>工业锅炉污染防治可行技术及最佳可行技术，</w:t>
      </w:r>
      <w:r>
        <w:rPr>
          <w:rFonts w:hint="eastAsia" w:ascii="Times New Roman" w:hAnsi="Times New Roman" w:eastAsia="宋体" w:cs="Times New Roman"/>
          <w:color w:val="FF0000"/>
          <w:sz w:val="24"/>
          <w:szCs w:val="24"/>
          <w:highlight w:val="none"/>
          <w:lang w:val="en-US" w:eastAsia="zh-CN"/>
        </w:rPr>
        <w:t>本项目建设</w:t>
      </w:r>
      <w:r>
        <w:rPr>
          <w:rFonts w:hint="default" w:ascii="Times New Roman" w:hAnsi="Times New Roman" w:eastAsia="宋体" w:cs="Times New Roman"/>
          <w:color w:val="FF0000"/>
          <w:sz w:val="24"/>
          <w:highlight w:val="none"/>
          <w:lang w:val="en-US" w:eastAsia="zh-CN"/>
        </w:rPr>
        <w:t>的</w:t>
      </w:r>
      <w:r>
        <w:rPr>
          <w:rFonts w:hint="eastAsia" w:ascii="Times New Roman" w:hAnsi="Times New Roman" w:eastAsia="宋体" w:cs="Times New Roman"/>
          <w:iCs/>
          <w:color w:val="FF0000"/>
          <w:sz w:val="24"/>
          <w:highlight w:val="none"/>
          <w:lang w:val="en-US" w:eastAsia="zh-CN"/>
        </w:rPr>
        <w:t>5#锅炉</w:t>
      </w:r>
      <w:r>
        <w:rPr>
          <w:rFonts w:hint="default" w:ascii="Times New Roman" w:hAnsi="Times New Roman" w:eastAsia="宋体" w:cs="Times New Roman"/>
          <w:color w:val="FF0000"/>
          <w:sz w:val="24"/>
          <w:szCs w:val="24"/>
          <w:highlight w:val="none"/>
        </w:rPr>
        <w:t>烟气除尘</w:t>
      </w:r>
      <w:r>
        <w:rPr>
          <w:rFonts w:hint="default" w:ascii="Times New Roman" w:hAnsi="Times New Roman" w:eastAsia="宋体" w:cs="Times New Roman"/>
          <w:color w:val="FF0000"/>
          <w:sz w:val="24"/>
          <w:szCs w:val="24"/>
          <w:highlight w:val="none"/>
          <w:lang w:eastAsia="zh-CN"/>
        </w:rPr>
        <w:t>措施</w:t>
      </w:r>
      <w:r>
        <w:rPr>
          <w:rFonts w:hint="default" w:ascii="Times New Roman" w:hAnsi="Times New Roman" w:eastAsia="宋体" w:cs="Times New Roman"/>
          <w:color w:val="FF0000"/>
          <w:sz w:val="24"/>
          <w:szCs w:val="24"/>
          <w:highlight w:val="none"/>
        </w:rPr>
        <w:t>采用</w:t>
      </w:r>
      <w:r>
        <w:rPr>
          <w:rFonts w:hint="eastAsia" w:ascii="Times New Roman" w:hAnsi="Times New Roman" w:eastAsia="宋体" w:cs="Times New Roman"/>
          <w:color w:val="FF0000"/>
          <w:sz w:val="24"/>
          <w:szCs w:val="24"/>
          <w:highlight w:val="none"/>
          <w:lang w:val="en-US" w:eastAsia="zh-CN"/>
        </w:rPr>
        <w:t>布袋除尘器</w:t>
      </w: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rPr>
        <w:t>除尘效率</w:t>
      </w:r>
      <w:r>
        <w:rPr>
          <w:rFonts w:hint="default" w:ascii="Times New Roman" w:hAnsi="Times New Roman" w:eastAsia="宋体" w:cs="Times New Roman"/>
          <w:color w:val="FF0000"/>
          <w:sz w:val="24"/>
          <w:szCs w:val="24"/>
          <w:highlight w:val="none"/>
          <w:lang w:val="en-US" w:eastAsia="zh-CN"/>
        </w:rPr>
        <w:t>能够达到</w:t>
      </w:r>
      <w:r>
        <w:rPr>
          <w:rFonts w:hint="default" w:ascii="Times New Roman" w:hAnsi="Times New Roman" w:eastAsia="宋体" w:cs="Times New Roman"/>
          <w:color w:val="FF0000"/>
          <w:sz w:val="24"/>
          <w:szCs w:val="24"/>
          <w:highlight w:val="none"/>
        </w:rPr>
        <w:t>99.9%</w:t>
      </w: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rPr>
        <w:t>采取</w:t>
      </w:r>
      <w:r>
        <w:rPr>
          <w:rFonts w:hint="default" w:ascii="Times New Roman" w:hAnsi="Times New Roman" w:eastAsia="宋体" w:cs="Times New Roman"/>
          <w:color w:val="FF0000"/>
          <w:sz w:val="24"/>
          <w:szCs w:val="24"/>
          <w:highlight w:val="none"/>
          <w:lang w:val="en-US" w:eastAsia="zh-CN"/>
        </w:rPr>
        <w:t>上述废气污染防治</w:t>
      </w:r>
      <w:r>
        <w:rPr>
          <w:rFonts w:hint="default" w:ascii="Times New Roman" w:hAnsi="Times New Roman" w:eastAsia="宋体" w:cs="Times New Roman"/>
          <w:color w:val="FF0000"/>
          <w:sz w:val="24"/>
          <w:szCs w:val="24"/>
          <w:highlight w:val="none"/>
        </w:rPr>
        <w:t>措施后</w:t>
      </w: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lang w:val="en-US" w:eastAsia="zh-CN"/>
        </w:rPr>
        <w:t>本项目全厂</w:t>
      </w:r>
      <w:r>
        <w:rPr>
          <w:rFonts w:hint="default" w:ascii="Times New Roman" w:hAnsi="Times New Roman" w:eastAsia="宋体" w:cs="Times New Roman"/>
          <w:color w:val="FF0000"/>
          <w:sz w:val="24"/>
          <w:szCs w:val="24"/>
          <w:highlight w:val="none"/>
        </w:rPr>
        <w:t>锅炉</w:t>
      </w:r>
      <w:r>
        <w:rPr>
          <w:rFonts w:hint="default" w:ascii="Times New Roman" w:hAnsi="Times New Roman" w:eastAsia="宋体" w:cs="Times New Roman"/>
          <w:color w:val="FF0000"/>
          <w:sz w:val="24"/>
          <w:szCs w:val="24"/>
          <w:highlight w:val="none"/>
          <w:lang w:eastAsia="zh-CN"/>
        </w:rPr>
        <w:t>烟尘排放浓度</w:t>
      </w:r>
      <w:r>
        <w:rPr>
          <w:rFonts w:hint="default" w:ascii="Times New Roman" w:hAnsi="Times New Roman" w:eastAsia="宋体" w:cs="Times New Roman"/>
          <w:color w:val="FF0000"/>
          <w:sz w:val="24"/>
          <w:szCs w:val="24"/>
          <w:highlight w:val="none"/>
        </w:rPr>
        <w:t>满足《关于印发</w:t>
      </w:r>
      <w:r>
        <w:rPr>
          <w:rFonts w:hint="eastAsia"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rPr>
        <w:t>全面实施燃煤电厂超低排放和节能改造工作方案</w:t>
      </w:r>
      <w:r>
        <w:rPr>
          <w:rFonts w:hint="eastAsia" w:ascii="Times New Roman" w:hAnsi="Times New Roman" w:eastAsia="宋体" w:cs="Times New Roman"/>
          <w:color w:val="FF0000"/>
          <w:sz w:val="24"/>
          <w:szCs w:val="24"/>
          <w:highlight w:val="none"/>
          <w:lang w:eastAsia="zh-CN"/>
        </w:rPr>
        <w:t>〉的通知》</w:t>
      </w:r>
      <w:r>
        <w:rPr>
          <w:rFonts w:hint="default" w:ascii="Times New Roman" w:hAnsi="Times New Roman" w:eastAsia="宋体" w:cs="Times New Roman"/>
          <w:color w:val="FF0000"/>
          <w:sz w:val="24"/>
          <w:szCs w:val="24"/>
          <w:highlight w:val="none"/>
        </w:rPr>
        <w:t>（环发</w:t>
      </w:r>
      <w:r>
        <w:rPr>
          <w:rFonts w:hint="eastAsia"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rPr>
        <w:t>2015</w:t>
      </w:r>
      <w:r>
        <w:rPr>
          <w:rFonts w:hint="eastAsia"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rPr>
        <w:t>164号）要求，达到超低排放要求，烟尘排放浓度不高于10mg/m</w:t>
      </w:r>
      <w:r>
        <w:rPr>
          <w:rFonts w:hint="default" w:ascii="Times New Roman" w:hAnsi="Times New Roman" w:eastAsia="宋体" w:cs="Times New Roman"/>
          <w:color w:val="FF0000"/>
          <w:sz w:val="24"/>
          <w:szCs w:val="24"/>
          <w:highlight w:val="none"/>
          <w:vertAlign w:val="superscript"/>
        </w:rPr>
        <w:t>3</w:t>
      </w:r>
      <w:r>
        <w:rPr>
          <w:rFonts w:hint="default" w:ascii="Times New Roman" w:hAnsi="Times New Roman" w:eastAsia="宋体" w:cs="Times New Roman"/>
          <w:color w:val="FF0000"/>
          <w:sz w:val="24"/>
          <w:szCs w:val="24"/>
          <w:highlight w:val="none"/>
        </w:rPr>
        <w:t>。</w:t>
      </w:r>
    </w:p>
    <w:p w14:paraId="25333232">
      <w:pPr>
        <w:pStyle w:val="7"/>
        <w:bidi w:val="0"/>
        <w:rPr>
          <w:rFonts w:hint="default" w:ascii="Times New Roman" w:hAnsi="Times New Roman" w:eastAsia="宋体" w:cs="Times New Roman"/>
          <w:color w:val="FF0000"/>
          <w:highlight w:val="none"/>
          <w:lang w:eastAsia="zh-CN"/>
        </w:rPr>
      </w:pPr>
      <w:r>
        <w:rPr>
          <w:rFonts w:hint="default" w:ascii="Times New Roman" w:hAnsi="Times New Roman" w:eastAsia="宋体" w:cs="Times New Roman"/>
          <w:color w:val="FF0000"/>
          <w:highlight w:val="none"/>
          <w:lang w:eastAsia="zh-CN"/>
        </w:rPr>
        <w:t>7.2.1.</w:t>
      </w:r>
      <w:r>
        <w:rPr>
          <w:rFonts w:hint="default" w:ascii="Times New Roman" w:hAnsi="Times New Roman" w:eastAsia="宋体" w:cs="Times New Roman"/>
          <w:color w:val="FF0000"/>
          <w:highlight w:val="none"/>
          <w:lang w:val="en-US" w:eastAsia="zh-CN"/>
        </w:rPr>
        <w:t>2</w:t>
      </w:r>
      <w:r>
        <w:rPr>
          <w:rFonts w:hint="default" w:ascii="Times New Roman" w:hAnsi="Times New Roman" w:eastAsia="宋体" w:cs="Times New Roman"/>
          <w:color w:val="FF0000"/>
          <w:highlight w:val="none"/>
          <w:lang w:eastAsia="zh-CN"/>
        </w:rPr>
        <w:t xml:space="preserve"> 本项目SO</w:t>
      </w:r>
      <w:r>
        <w:rPr>
          <w:rFonts w:hint="default" w:ascii="Times New Roman" w:hAnsi="Times New Roman" w:eastAsia="宋体" w:cs="Times New Roman"/>
          <w:color w:val="FF0000"/>
          <w:highlight w:val="none"/>
          <w:vertAlign w:val="subscript"/>
          <w:lang w:eastAsia="zh-CN"/>
        </w:rPr>
        <w:t>2</w:t>
      </w:r>
      <w:r>
        <w:rPr>
          <w:rFonts w:hint="default" w:ascii="Times New Roman" w:hAnsi="Times New Roman" w:eastAsia="宋体" w:cs="Times New Roman"/>
          <w:color w:val="FF0000"/>
          <w:highlight w:val="none"/>
          <w:lang w:eastAsia="zh-CN"/>
        </w:rPr>
        <w:t>污染防治措施</w:t>
      </w:r>
    </w:p>
    <w:p w14:paraId="2209584F">
      <w:pPr>
        <w:pStyle w:val="97"/>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color w:val="FF0000"/>
          <w:sz w:val="24"/>
          <w:szCs w:val="24"/>
          <w:highlight w:val="none"/>
          <w:lang w:val="en-US" w:eastAsia="zh-CN"/>
        </w:rPr>
      </w:pPr>
      <w:r>
        <w:rPr>
          <w:rFonts w:hint="eastAsia" w:ascii="Times New Roman" w:hAnsi="Times New Roman" w:eastAsia="宋体" w:cs="Times New Roman"/>
          <w:color w:val="FF0000"/>
          <w:sz w:val="24"/>
          <w:szCs w:val="24"/>
          <w:highlight w:val="none"/>
          <w:lang w:val="en-US" w:eastAsia="zh-CN"/>
        </w:rPr>
        <w:t>本项目建设的1台58MW往复炉排热水锅炉脱硫采取炉内喷钙+氨法脱硫。</w:t>
      </w:r>
    </w:p>
    <w:p w14:paraId="219B95B1">
      <w:pPr>
        <w:keepNext w:val="0"/>
        <w:keepLines w:val="0"/>
        <w:pageBreakBefore w:val="0"/>
        <w:widowControl w:val="0"/>
        <w:kinsoku/>
        <w:wordWrap/>
        <w:overflowPunct/>
        <w:topLinePunct w:val="0"/>
        <w:bidi w:val="0"/>
        <w:spacing w:line="480" w:lineRule="exact"/>
        <w:ind w:firstLine="480" w:firstLineChars="200"/>
        <w:jc w:val="both"/>
        <w:textAlignment w:val="auto"/>
        <w:rPr>
          <w:rFonts w:hint="default" w:ascii="Times New Roman" w:hAnsi="Times New Roman" w:eastAsia="宋体" w:cs="Times New Roman"/>
          <w:b w:val="0"/>
          <w:bCs/>
          <w:color w:val="FF0000"/>
          <w:sz w:val="24"/>
          <w:szCs w:val="24"/>
          <w:highlight w:val="none"/>
          <w:lang w:val="en-US" w:eastAsia="zh-CN"/>
        </w:rPr>
      </w:pPr>
      <w:r>
        <w:rPr>
          <w:rFonts w:hint="eastAsia" w:ascii="Times New Roman" w:hAnsi="Times New Roman" w:eastAsia="宋体" w:cs="Times New Roman"/>
          <w:b w:val="0"/>
          <w:bCs/>
          <w:color w:val="FF0000"/>
          <w:sz w:val="24"/>
          <w:szCs w:val="24"/>
          <w:highlight w:val="none"/>
          <w:lang w:val="en-US" w:eastAsia="zh-CN"/>
        </w:rPr>
        <w:t>炉内喷钙脱硫：</w:t>
      </w:r>
      <w:r>
        <w:rPr>
          <w:rFonts w:hint="default" w:ascii="Times New Roman" w:hAnsi="Times New Roman" w:eastAsia="宋体" w:cs="Times New Roman"/>
          <w:b w:val="0"/>
          <w:bCs/>
          <w:color w:val="FF0000"/>
          <w:sz w:val="24"/>
          <w:szCs w:val="24"/>
          <w:highlight w:val="none"/>
          <w:lang w:val="en-US" w:eastAsia="zh-CN"/>
        </w:rPr>
        <w:t>粉仓内的</w:t>
      </w:r>
      <w:r>
        <w:rPr>
          <w:rFonts w:hint="eastAsia" w:ascii="Times New Roman" w:hAnsi="Times New Roman" w:eastAsia="宋体" w:cs="Times New Roman"/>
          <w:b w:val="0"/>
          <w:bCs/>
          <w:color w:val="FF0000"/>
          <w:sz w:val="24"/>
          <w:szCs w:val="24"/>
          <w:highlight w:val="none"/>
          <w:lang w:val="en-US" w:eastAsia="zh-CN"/>
        </w:rPr>
        <w:t>生石灰</w:t>
      </w:r>
      <w:r>
        <w:rPr>
          <w:rFonts w:hint="default" w:ascii="Times New Roman" w:hAnsi="Times New Roman" w:eastAsia="宋体" w:cs="Times New Roman"/>
          <w:b w:val="0"/>
          <w:bCs/>
          <w:color w:val="FF0000"/>
          <w:sz w:val="24"/>
          <w:szCs w:val="24"/>
          <w:highlight w:val="none"/>
          <w:lang w:val="en-US" w:eastAsia="zh-CN"/>
        </w:rPr>
        <w:t>粉经</w:t>
      </w:r>
      <w:r>
        <w:rPr>
          <w:rFonts w:hint="eastAsia" w:ascii="Times New Roman" w:hAnsi="Times New Roman" w:eastAsia="宋体" w:cs="Times New Roman"/>
          <w:b w:val="0"/>
          <w:bCs/>
          <w:color w:val="FF0000"/>
          <w:sz w:val="24"/>
          <w:szCs w:val="24"/>
          <w:highlight w:val="none"/>
          <w:lang w:val="en-US" w:eastAsia="zh-CN"/>
        </w:rPr>
        <w:t>粉仓底部螺旋称重</w:t>
      </w:r>
      <w:r>
        <w:rPr>
          <w:rFonts w:hint="default" w:ascii="Times New Roman" w:hAnsi="Times New Roman" w:eastAsia="宋体" w:cs="Times New Roman"/>
          <w:b w:val="0"/>
          <w:bCs/>
          <w:color w:val="FF0000"/>
          <w:sz w:val="24"/>
          <w:szCs w:val="24"/>
          <w:highlight w:val="none"/>
          <w:lang w:val="en-US" w:eastAsia="zh-CN"/>
        </w:rPr>
        <w:t>给料机均匀地送入</w:t>
      </w:r>
      <w:r>
        <w:rPr>
          <w:rFonts w:hint="eastAsia" w:ascii="Times New Roman" w:hAnsi="Times New Roman" w:eastAsia="宋体" w:cs="Times New Roman"/>
          <w:b w:val="0"/>
          <w:bCs/>
          <w:color w:val="FF0000"/>
          <w:sz w:val="24"/>
          <w:szCs w:val="24"/>
          <w:highlight w:val="none"/>
          <w:lang w:val="en-US" w:eastAsia="zh-CN"/>
        </w:rPr>
        <w:t>生石灰</w:t>
      </w:r>
      <w:r>
        <w:rPr>
          <w:rFonts w:hint="default" w:ascii="Times New Roman" w:hAnsi="Times New Roman" w:eastAsia="宋体" w:cs="Times New Roman"/>
          <w:b w:val="0"/>
          <w:bCs/>
          <w:color w:val="FF0000"/>
          <w:sz w:val="24"/>
          <w:szCs w:val="24"/>
          <w:highlight w:val="none"/>
          <w:lang w:val="en-US" w:eastAsia="zh-CN"/>
        </w:rPr>
        <w:t>浆液箱，同时按一定比例加水并搅拌制成一定浓度的吸收浆液，</w:t>
      </w:r>
      <w:r>
        <w:rPr>
          <w:rFonts w:hint="eastAsia" w:ascii="Times New Roman" w:hAnsi="Times New Roman" w:eastAsia="宋体" w:cs="Times New Roman"/>
          <w:b w:val="0"/>
          <w:bCs/>
          <w:color w:val="FF0000"/>
          <w:sz w:val="24"/>
          <w:szCs w:val="24"/>
          <w:highlight w:val="none"/>
          <w:lang w:val="en-US" w:eastAsia="zh-CN"/>
        </w:rPr>
        <w:t>生石灰</w:t>
      </w:r>
      <w:r>
        <w:rPr>
          <w:rFonts w:hint="default" w:ascii="Times New Roman" w:hAnsi="Times New Roman" w:eastAsia="宋体" w:cs="Times New Roman"/>
          <w:b w:val="0"/>
          <w:bCs/>
          <w:color w:val="FF0000"/>
          <w:sz w:val="24"/>
          <w:szCs w:val="24"/>
          <w:highlight w:val="none"/>
          <w:lang w:val="en-US" w:eastAsia="zh-CN"/>
        </w:rPr>
        <w:t>浆液经</w:t>
      </w:r>
      <w:r>
        <w:rPr>
          <w:rFonts w:hint="eastAsia" w:ascii="Times New Roman" w:hAnsi="Times New Roman" w:eastAsia="宋体" w:cs="Times New Roman"/>
          <w:b w:val="0"/>
          <w:bCs/>
          <w:color w:val="FF0000"/>
          <w:sz w:val="24"/>
          <w:szCs w:val="24"/>
          <w:highlight w:val="none"/>
          <w:lang w:val="en-US" w:eastAsia="zh-CN"/>
        </w:rPr>
        <w:t>生石灰</w:t>
      </w:r>
      <w:r>
        <w:rPr>
          <w:rFonts w:hint="default" w:ascii="Times New Roman" w:hAnsi="Times New Roman" w:eastAsia="宋体" w:cs="Times New Roman"/>
          <w:b w:val="0"/>
          <w:bCs/>
          <w:color w:val="FF0000"/>
          <w:sz w:val="24"/>
          <w:szCs w:val="24"/>
          <w:highlight w:val="none"/>
          <w:lang w:val="en-US" w:eastAsia="zh-CN"/>
        </w:rPr>
        <w:t>浆液泵送入脱硫吸收塔内。在吸收塔内，吸收浆液与烟气接触混合，烟气中的二氧化硫与浆液中的碳酸钙以及鼓入的氧化空气进行化学反应从而被脱除。</w:t>
      </w:r>
    </w:p>
    <w:p w14:paraId="03159A5F">
      <w:pPr>
        <w:keepNext w:val="0"/>
        <w:keepLines w:val="0"/>
        <w:pageBreakBefore w:val="0"/>
        <w:widowControl w:val="0"/>
        <w:kinsoku/>
        <w:wordWrap/>
        <w:overflowPunct/>
        <w:topLinePunct w:val="0"/>
        <w:bidi w:val="0"/>
        <w:spacing w:line="480" w:lineRule="exact"/>
        <w:ind w:firstLine="480" w:firstLineChars="200"/>
        <w:jc w:val="both"/>
        <w:textAlignment w:val="auto"/>
        <w:rPr>
          <w:rFonts w:hint="default" w:ascii="Times New Roman" w:hAnsi="Times New Roman" w:eastAsia="宋体" w:cs="Times New Roman"/>
          <w:b w:val="0"/>
          <w:bCs/>
          <w:color w:val="FF0000"/>
          <w:sz w:val="24"/>
          <w:szCs w:val="24"/>
          <w:highlight w:val="none"/>
          <w:lang w:val="en-US" w:eastAsia="zh-CN"/>
        </w:rPr>
      </w:pPr>
      <w:r>
        <w:rPr>
          <w:rFonts w:hint="eastAsia" w:ascii="Times New Roman" w:hAnsi="Times New Roman" w:eastAsia="宋体" w:cs="Times New Roman"/>
          <w:b w:val="0"/>
          <w:bCs/>
          <w:color w:val="FF0000"/>
          <w:sz w:val="24"/>
          <w:szCs w:val="24"/>
          <w:highlight w:val="none"/>
          <w:lang w:val="en-US" w:eastAsia="zh-CN"/>
        </w:rPr>
        <w:t>氨法脱硫：选用固态颗粒碳酸氢铵作为脱硫剂；脱硫效率高达95%以上，本工程脱硫塔选用碳酸氢铵作为脱硫剂，并保证锅炉在30%一110%负荷范围内运行处理100%烟气量条件下，满足脱硫烟气温度在50℃~150℃，锅炉最终SO</w:t>
      </w:r>
      <w:r>
        <w:rPr>
          <w:rFonts w:hint="eastAsia" w:ascii="Times New Roman" w:hAnsi="Times New Roman" w:eastAsia="宋体" w:cs="Times New Roman"/>
          <w:b w:val="0"/>
          <w:bCs/>
          <w:color w:val="FF0000"/>
          <w:sz w:val="24"/>
          <w:szCs w:val="24"/>
          <w:highlight w:val="none"/>
          <w:vertAlign w:val="subscript"/>
          <w:lang w:val="en-US" w:eastAsia="zh-CN"/>
        </w:rPr>
        <w:t>2</w:t>
      </w:r>
      <w:r>
        <w:rPr>
          <w:rFonts w:hint="eastAsia" w:ascii="Times New Roman" w:hAnsi="Times New Roman" w:eastAsia="宋体" w:cs="Times New Roman"/>
          <w:b w:val="0"/>
          <w:bCs/>
          <w:color w:val="FF0000"/>
          <w:sz w:val="24"/>
          <w:szCs w:val="24"/>
          <w:highlight w:val="none"/>
          <w:lang w:val="en-US" w:eastAsia="zh-CN"/>
        </w:rPr>
        <w:t>排放值小于35mg/m</w:t>
      </w:r>
      <w:r>
        <w:rPr>
          <w:rFonts w:hint="eastAsia" w:ascii="Times New Roman" w:hAnsi="Times New Roman" w:eastAsia="宋体" w:cs="Times New Roman"/>
          <w:b w:val="0"/>
          <w:bCs/>
          <w:color w:val="FF0000"/>
          <w:sz w:val="24"/>
          <w:szCs w:val="24"/>
          <w:highlight w:val="none"/>
          <w:vertAlign w:val="superscript"/>
          <w:lang w:val="en-US" w:eastAsia="zh-CN"/>
        </w:rPr>
        <w:t>3</w:t>
      </w:r>
      <w:r>
        <w:rPr>
          <w:rFonts w:hint="eastAsia" w:ascii="Times New Roman" w:hAnsi="Times New Roman" w:eastAsia="宋体" w:cs="Times New Roman"/>
          <w:b w:val="0"/>
          <w:bCs/>
          <w:color w:val="FF0000"/>
          <w:sz w:val="24"/>
          <w:szCs w:val="24"/>
          <w:highlight w:val="none"/>
          <w:lang w:val="en-US" w:eastAsia="zh-CN"/>
        </w:rPr>
        <w:t>。</w:t>
      </w:r>
    </w:p>
    <w:p w14:paraId="0440A84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default" w:ascii="Times New Roman" w:hAnsi="Times New Roman" w:eastAsia="宋体" w:cs="Times New Roman"/>
          <w:b w:val="0"/>
          <w:bCs/>
          <w:color w:val="FF0000"/>
          <w:sz w:val="24"/>
          <w:szCs w:val="24"/>
          <w:highlight w:val="none"/>
          <w:lang w:val="en-US" w:eastAsia="zh-CN"/>
        </w:rPr>
      </w:pPr>
      <w:r>
        <w:rPr>
          <w:rFonts w:hint="default" w:ascii="Times New Roman" w:hAnsi="Times New Roman" w:eastAsia="宋体" w:cs="Times New Roman"/>
          <w:b w:val="0"/>
          <w:bCs/>
          <w:color w:val="FF0000"/>
          <w:sz w:val="24"/>
          <w:szCs w:val="24"/>
          <w:highlight w:val="none"/>
          <w:lang w:val="en-US" w:eastAsia="zh-CN"/>
        </w:rPr>
        <w:t>碳酸氢铵为固态颗粒，将碳酸氢铵加入存储仓中，存储仓下部安装变频自动加药装置，碳酸氢铵颗粒通过变频自动加药装置进入加药池中稀释成碳酸氢铵溶液，加药池中配置</w:t>
      </w:r>
      <w:r>
        <w:rPr>
          <w:rFonts w:hint="eastAsia" w:ascii="Times New Roman" w:hAnsi="Times New Roman" w:eastAsia="宋体" w:cs="Times New Roman"/>
          <w:b w:val="0"/>
          <w:bCs/>
          <w:color w:val="FF0000"/>
          <w:sz w:val="24"/>
          <w:szCs w:val="24"/>
          <w:highlight w:val="none"/>
          <w:lang w:val="en-US" w:eastAsia="zh-CN"/>
        </w:rPr>
        <w:t>pH</w:t>
      </w:r>
      <w:r>
        <w:rPr>
          <w:rFonts w:hint="default" w:ascii="Times New Roman" w:hAnsi="Times New Roman" w:eastAsia="宋体" w:cs="Times New Roman"/>
          <w:b w:val="0"/>
          <w:bCs/>
          <w:color w:val="FF0000"/>
          <w:sz w:val="24"/>
          <w:szCs w:val="24"/>
          <w:highlight w:val="none"/>
          <w:lang w:val="en-US" w:eastAsia="zh-CN"/>
        </w:rPr>
        <w:t>显示仪，溶液浓度控制在8-9之间，通过PLC自动控制系统调节加药装置的频率，保证加药池中溶液浓度在8-9之间。本项目根据现有条件，为应对锅炉不同时期的负荷变化在脱硫塔内部不同的位置布置5支喷枪，同时在脱硫塔入口烟道合适位置布置补喷喷枪，保证喷入溶液完全覆盖整个烟道截面，同时保证溶液在不同负荷下都能完全反应，达到反应后溶液气雾状与烟气充分混合目的，喷枪上的碳酸氢铵溶液进口和压缩空气进口为快速接头连接</w:t>
      </w:r>
      <w:r>
        <w:rPr>
          <w:rFonts w:hint="eastAsia" w:ascii="Times New Roman" w:hAnsi="Times New Roman" w:eastAsia="宋体" w:cs="Times New Roman"/>
          <w:b w:val="0"/>
          <w:bCs/>
          <w:color w:val="FF0000"/>
          <w:sz w:val="24"/>
          <w:szCs w:val="24"/>
          <w:highlight w:val="none"/>
          <w:lang w:val="en-US" w:eastAsia="zh-CN"/>
        </w:rPr>
        <w:t>，</w:t>
      </w:r>
      <w:r>
        <w:rPr>
          <w:rFonts w:hint="default" w:ascii="Times New Roman" w:hAnsi="Times New Roman" w:eastAsia="宋体" w:cs="Times New Roman"/>
          <w:b w:val="0"/>
          <w:bCs/>
          <w:color w:val="FF0000"/>
          <w:sz w:val="24"/>
          <w:szCs w:val="24"/>
          <w:highlight w:val="none"/>
          <w:lang w:val="en-US" w:eastAsia="zh-CN"/>
        </w:rPr>
        <w:t>通过金属软管与尿素溶液管路、压缩空气管路连接。脱硫压缩空气耗量由除尘新建压缩空气系统统一提供。</w:t>
      </w:r>
    </w:p>
    <w:p w14:paraId="10F2443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default" w:ascii="Times New Roman" w:hAnsi="Times New Roman" w:eastAsia="宋体" w:cs="Times New Roman"/>
          <w:b w:val="0"/>
          <w:bCs/>
          <w:color w:val="FF0000"/>
          <w:sz w:val="24"/>
          <w:szCs w:val="24"/>
          <w:highlight w:val="none"/>
          <w:lang w:val="en-US" w:eastAsia="zh-CN"/>
        </w:rPr>
      </w:pPr>
      <w:r>
        <w:rPr>
          <w:rFonts w:hint="default" w:ascii="Times New Roman" w:hAnsi="Times New Roman" w:eastAsia="宋体" w:cs="Times New Roman"/>
          <w:b w:val="0"/>
          <w:bCs/>
          <w:color w:val="FF0000"/>
          <w:sz w:val="24"/>
          <w:szCs w:val="24"/>
          <w:highlight w:val="none"/>
          <w:lang w:val="en-US" w:eastAsia="zh-CN"/>
        </w:rPr>
        <w:t>碳酸氢铵溶液输送泵采用离心泵，PLC系统根据锅炉负荷自动调节泵的频率，根据烟气出口浓度等参数，调节泵的频率从而改变碳酸氢铵加入量，在控制烟气含硫量的同时保证氨逃逸浓度&lt;3ppm。</w:t>
      </w:r>
    </w:p>
    <w:p w14:paraId="4CEC3C9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default" w:ascii="Times New Roman" w:hAnsi="Times New Roman" w:eastAsia="宋体" w:cs="Times New Roman"/>
          <w:b w:val="0"/>
          <w:bCs/>
          <w:color w:val="FF0000"/>
          <w:sz w:val="24"/>
          <w:szCs w:val="24"/>
          <w:highlight w:val="none"/>
          <w:lang w:val="en-US" w:eastAsia="zh-CN"/>
        </w:rPr>
      </w:pPr>
      <w:r>
        <w:rPr>
          <w:rFonts w:hint="default" w:ascii="Times New Roman" w:hAnsi="Times New Roman" w:eastAsia="宋体" w:cs="Times New Roman"/>
          <w:b w:val="0"/>
          <w:bCs/>
          <w:color w:val="FF0000"/>
          <w:sz w:val="24"/>
          <w:szCs w:val="24"/>
          <w:highlight w:val="none"/>
          <w:lang w:val="en-US" w:eastAsia="zh-CN"/>
        </w:rPr>
        <w:t>脱硫塔烟气出口处配置二级除雾装置，除雾后的水滴通过回流管流入脱硫</w:t>
      </w:r>
      <w:r>
        <w:rPr>
          <w:rFonts w:hint="eastAsia" w:ascii="Times New Roman" w:hAnsi="Times New Roman" w:eastAsia="宋体" w:cs="Times New Roman"/>
          <w:b w:val="0"/>
          <w:bCs/>
          <w:color w:val="FF0000"/>
          <w:sz w:val="24"/>
          <w:szCs w:val="24"/>
          <w:highlight w:val="none"/>
          <w:lang w:val="en-US" w:eastAsia="zh-CN"/>
        </w:rPr>
        <w:t>工艺水箱</w:t>
      </w:r>
      <w:r>
        <w:rPr>
          <w:rFonts w:hint="default" w:ascii="Times New Roman" w:hAnsi="Times New Roman" w:eastAsia="宋体" w:cs="Times New Roman"/>
          <w:b w:val="0"/>
          <w:bCs/>
          <w:color w:val="FF0000"/>
          <w:sz w:val="24"/>
          <w:szCs w:val="24"/>
          <w:highlight w:val="none"/>
          <w:lang w:val="en-US" w:eastAsia="zh-CN"/>
        </w:rPr>
        <w:t>重复利用。</w:t>
      </w:r>
    </w:p>
    <w:p w14:paraId="4060AB8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eastAsia="zh-CN"/>
        </w:rPr>
        <w:t>本项目</w:t>
      </w:r>
      <w:r>
        <w:rPr>
          <w:rFonts w:hint="default" w:ascii="Times New Roman" w:hAnsi="Times New Roman" w:eastAsia="宋体" w:cs="Times New Roman"/>
          <w:color w:val="FF0000"/>
          <w:sz w:val="24"/>
          <w:szCs w:val="24"/>
          <w:highlight w:val="none"/>
          <w:lang w:val="en-US" w:eastAsia="zh-CN"/>
        </w:rPr>
        <w:t>采用的</w:t>
      </w:r>
      <w:r>
        <w:rPr>
          <w:rFonts w:hint="default" w:ascii="Times New Roman" w:hAnsi="Times New Roman" w:eastAsia="宋体" w:cs="Times New Roman"/>
          <w:color w:val="FF0000"/>
          <w:sz w:val="24"/>
          <w:szCs w:val="24"/>
          <w:highlight w:val="none"/>
          <w:lang w:eastAsia="zh-CN"/>
        </w:rPr>
        <w:t>脱硫</w:t>
      </w:r>
      <w:r>
        <w:rPr>
          <w:rFonts w:hint="default" w:ascii="Times New Roman" w:hAnsi="Times New Roman" w:eastAsia="宋体" w:cs="Times New Roman"/>
          <w:color w:val="FF0000"/>
          <w:sz w:val="24"/>
          <w:szCs w:val="24"/>
          <w:highlight w:val="none"/>
          <w:lang w:val="en-US" w:eastAsia="zh-CN"/>
        </w:rPr>
        <w:t>措施为</w:t>
      </w:r>
      <w:r>
        <w:rPr>
          <w:rFonts w:hint="default" w:ascii="Times New Roman" w:hAnsi="Times New Roman" w:eastAsia="宋体" w:cs="Times New Roman"/>
          <w:b w:val="0"/>
          <w:bCs w:val="0"/>
          <w:color w:val="FF0000"/>
          <w:spacing w:val="0"/>
          <w:sz w:val="24"/>
          <w:szCs w:val="24"/>
          <w:highlight w:val="none"/>
          <w:lang w:eastAsia="zh-CN"/>
        </w:rPr>
        <w:t>《工业锅炉污染防治可行技术指南》（HJ1178</w:t>
      </w:r>
      <w:r>
        <w:rPr>
          <w:rFonts w:hint="default" w:ascii="Times New Roman" w:hAnsi="Times New Roman" w:eastAsia="宋体" w:cs="Times New Roman"/>
          <w:b w:val="0"/>
          <w:bCs w:val="0"/>
          <w:color w:val="FF0000"/>
          <w:spacing w:val="0"/>
          <w:sz w:val="24"/>
          <w:szCs w:val="24"/>
          <w:highlight w:val="none"/>
          <w:lang w:val="en-US" w:eastAsia="zh-CN"/>
        </w:rPr>
        <w:t>-</w:t>
      </w:r>
      <w:r>
        <w:rPr>
          <w:rFonts w:hint="default" w:ascii="Times New Roman" w:hAnsi="Times New Roman" w:eastAsia="宋体" w:cs="Times New Roman"/>
          <w:b w:val="0"/>
          <w:bCs w:val="0"/>
          <w:color w:val="FF0000"/>
          <w:spacing w:val="0"/>
          <w:sz w:val="24"/>
          <w:szCs w:val="24"/>
          <w:highlight w:val="none"/>
          <w:lang w:eastAsia="zh-CN"/>
        </w:rPr>
        <w:t>2021）</w:t>
      </w:r>
      <w:r>
        <w:rPr>
          <w:rFonts w:hint="default" w:ascii="Times New Roman" w:hAnsi="Times New Roman" w:eastAsia="宋体" w:cs="Times New Roman"/>
          <w:color w:val="FF0000"/>
          <w:sz w:val="24"/>
          <w:szCs w:val="24"/>
          <w:highlight w:val="none"/>
          <w:lang w:val="en-US" w:eastAsia="zh-CN"/>
        </w:rPr>
        <w:t>中推荐的</w:t>
      </w:r>
      <w:r>
        <w:rPr>
          <w:rFonts w:hint="eastAsia" w:ascii="Times New Roman" w:hAnsi="Times New Roman" w:eastAsia="宋体" w:cs="Times New Roman"/>
          <w:color w:val="FF0000"/>
          <w:sz w:val="24"/>
          <w:szCs w:val="24"/>
          <w:highlight w:val="none"/>
          <w:lang w:val="en-US" w:eastAsia="zh-CN"/>
        </w:rPr>
        <w:t>炉内喷钙脱硫</w:t>
      </w:r>
      <w:r>
        <w:rPr>
          <w:rFonts w:hint="default" w:ascii="Times New Roman" w:hAnsi="Times New Roman" w:eastAsia="宋体" w:cs="Times New Roman"/>
          <w:color w:val="FF0000"/>
          <w:sz w:val="24"/>
          <w:szCs w:val="24"/>
          <w:highlight w:val="none"/>
          <w:lang w:val="en-US" w:eastAsia="zh-CN"/>
        </w:rPr>
        <w:t>技术工艺，</w:t>
      </w:r>
      <w:r>
        <w:rPr>
          <w:rFonts w:hint="eastAsia" w:ascii="Times New Roman" w:hAnsi="Times New Roman" w:eastAsia="宋体" w:cs="Times New Roman"/>
          <w:color w:val="FF0000"/>
          <w:sz w:val="24"/>
          <w:szCs w:val="24"/>
          <w:highlight w:val="none"/>
          <w:lang w:val="en-US" w:eastAsia="zh-CN"/>
        </w:rPr>
        <w:t>炉内喷钙脱硫</w:t>
      </w:r>
      <w:r>
        <w:rPr>
          <w:rFonts w:hint="default" w:ascii="Times New Roman" w:hAnsi="Times New Roman" w:eastAsia="宋体" w:cs="Times New Roman"/>
          <w:color w:val="FF0000"/>
          <w:spacing w:val="0"/>
          <w:sz w:val="24"/>
          <w:szCs w:val="24"/>
          <w:highlight w:val="none"/>
        </w:rPr>
        <w:t>效率≥</w:t>
      </w:r>
      <w:r>
        <w:rPr>
          <w:rFonts w:hint="eastAsia" w:ascii="Times New Roman" w:hAnsi="Times New Roman" w:eastAsia="宋体" w:cs="Times New Roman"/>
          <w:color w:val="FF0000"/>
          <w:spacing w:val="0"/>
          <w:sz w:val="24"/>
          <w:szCs w:val="24"/>
          <w:highlight w:val="none"/>
          <w:lang w:val="en-US" w:eastAsia="zh-CN"/>
        </w:rPr>
        <w:t>95</w:t>
      </w:r>
      <w:r>
        <w:rPr>
          <w:rFonts w:hint="default" w:ascii="Times New Roman" w:hAnsi="Times New Roman" w:eastAsia="宋体" w:cs="Times New Roman"/>
          <w:color w:val="FF0000"/>
          <w:spacing w:val="0"/>
          <w:sz w:val="24"/>
          <w:szCs w:val="24"/>
          <w:highlight w:val="none"/>
        </w:rPr>
        <w:t>%</w:t>
      </w:r>
      <w:r>
        <w:rPr>
          <w:rFonts w:hint="default" w:ascii="Times New Roman" w:hAnsi="Times New Roman" w:eastAsia="宋体" w:cs="Times New Roman"/>
          <w:color w:val="FF0000"/>
          <w:spacing w:val="0"/>
          <w:sz w:val="24"/>
          <w:szCs w:val="24"/>
          <w:highlight w:val="none"/>
          <w:lang w:eastAsia="zh-CN"/>
        </w:rPr>
        <w:t>。</w:t>
      </w:r>
      <w:r>
        <w:rPr>
          <w:rFonts w:hint="default" w:ascii="Times New Roman" w:hAnsi="Times New Roman" w:eastAsia="宋体" w:cs="Times New Roman"/>
          <w:color w:val="FF0000"/>
          <w:sz w:val="24"/>
          <w:szCs w:val="24"/>
          <w:highlight w:val="none"/>
        </w:rPr>
        <w:t>采取</w:t>
      </w:r>
      <w:r>
        <w:rPr>
          <w:rFonts w:hint="eastAsia" w:ascii="Times New Roman" w:hAnsi="Times New Roman" w:eastAsia="宋体" w:cs="Times New Roman"/>
          <w:color w:val="FF0000"/>
          <w:sz w:val="24"/>
          <w:szCs w:val="24"/>
          <w:highlight w:val="none"/>
          <w:lang w:val="en-US" w:eastAsia="zh-CN"/>
        </w:rPr>
        <w:t>炉内喷钙脱硫</w:t>
      </w:r>
      <w:r>
        <w:rPr>
          <w:rFonts w:hint="default" w:ascii="Times New Roman" w:hAnsi="Times New Roman" w:eastAsia="宋体" w:cs="Times New Roman"/>
          <w:color w:val="FF0000"/>
          <w:sz w:val="24"/>
          <w:szCs w:val="24"/>
          <w:highlight w:val="none"/>
          <w:lang w:val="en-US" w:eastAsia="zh-CN"/>
        </w:rPr>
        <w:t>技术工艺</w:t>
      </w:r>
      <w:r>
        <w:rPr>
          <w:rFonts w:hint="default" w:ascii="Times New Roman" w:hAnsi="Times New Roman" w:eastAsia="宋体" w:cs="Times New Roman"/>
          <w:color w:val="FF0000"/>
          <w:sz w:val="24"/>
          <w:szCs w:val="24"/>
          <w:highlight w:val="none"/>
        </w:rPr>
        <w:t>后</w:t>
      </w: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lang w:val="en-US" w:eastAsia="zh-CN"/>
        </w:rPr>
        <w:t>锅炉烟气污染物</w:t>
      </w:r>
      <w:r>
        <w:rPr>
          <w:rFonts w:hint="default" w:ascii="Times New Roman" w:hAnsi="Times New Roman" w:eastAsia="宋体" w:cs="Times New Roman"/>
          <w:color w:val="FF0000"/>
          <w:spacing w:val="0"/>
          <w:sz w:val="24"/>
          <w:szCs w:val="24"/>
          <w:highlight w:val="none"/>
        </w:rPr>
        <w:t>SO</w:t>
      </w:r>
      <w:r>
        <w:rPr>
          <w:rFonts w:hint="default" w:ascii="Times New Roman" w:hAnsi="Times New Roman" w:eastAsia="宋体" w:cs="Times New Roman"/>
          <w:color w:val="FF0000"/>
          <w:spacing w:val="0"/>
          <w:sz w:val="24"/>
          <w:szCs w:val="24"/>
          <w:highlight w:val="none"/>
          <w:vertAlign w:val="subscript"/>
        </w:rPr>
        <w:t>2</w:t>
      </w:r>
      <w:r>
        <w:rPr>
          <w:rFonts w:hint="default" w:ascii="Times New Roman" w:hAnsi="Times New Roman" w:eastAsia="宋体" w:cs="Times New Roman"/>
          <w:color w:val="FF0000"/>
          <w:spacing w:val="0"/>
          <w:sz w:val="24"/>
          <w:szCs w:val="24"/>
          <w:highlight w:val="none"/>
        </w:rPr>
        <w:t>排放浓度满足《关于印发</w:t>
      </w:r>
      <w:r>
        <w:rPr>
          <w:rFonts w:hint="eastAsia" w:ascii="Times New Roman" w:hAnsi="Times New Roman" w:eastAsia="宋体" w:cs="Times New Roman"/>
          <w:color w:val="FF0000"/>
          <w:spacing w:val="0"/>
          <w:sz w:val="24"/>
          <w:szCs w:val="24"/>
          <w:highlight w:val="none"/>
          <w:lang w:eastAsia="zh-CN"/>
        </w:rPr>
        <w:t>〈</w:t>
      </w:r>
      <w:r>
        <w:rPr>
          <w:rFonts w:hint="default" w:ascii="Times New Roman" w:hAnsi="Times New Roman" w:eastAsia="宋体" w:cs="Times New Roman"/>
          <w:color w:val="FF0000"/>
          <w:spacing w:val="0"/>
          <w:sz w:val="24"/>
          <w:szCs w:val="24"/>
          <w:highlight w:val="none"/>
        </w:rPr>
        <w:t>全面实施燃煤电厂超低排放和节能改造工作方案</w:t>
      </w:r>
      <w:r>
        <w:rPr>
          <w:rFonts w:hint="eastAsia" w:ascii="Times New Roman" w:hAnsi="Times New Roman" w:eastAsia="宋体" w:cs="Times New Roman"/>
          <w:color w:val="FF0000"/>
          <w:spacing w:val="0"/>
          <w:sz w:val="24"/>
          <w:szCs w:val="24"/>
          <w:highlight w:val="none"/>
          <w:lang w:eastAsia="zh-CN"/>
        </w:rPr>
        <w:t>〉的通知》</w:t>
      </w:r>
      <w:r>
        <w:rPr>
          <w:rFonts w:hint="default" w:ascii="Times New Roman" w:hAnsi="Times New Roman" w:eastAsia="宋体" w:cs="Times New Roman"/>
          <w:color w:val="FF0000"/>
          <w:spacing w:val="0"/>
          <w:sz w:val="24"/>
          <w:szCs w:val="24"/>
          <w:highlight w:val="none"/>
        </w:rPr>
        <w:t>（环发</w:t>
      </w:r>
      <w:r>
        <w:rPr>
          <w:rFonts w:hint="eastAsia" w:ascii="Times New Roman" w:hAnsi="Times New Roman" w:eastAsia="宋体" w:cs="Times New Roman"/>
          <w:color w:val="FF0000"/>
          <w:spacing w:val="0"/>
          <w:sz w:val="24"/>
          <w:szCs w:val="24"/>
          <w:highlight w:val="none"/>
          <w:lang w:eastAsia="zh-CN"/>
        </w:rPr>
        <w:t>〔</w:t>
      </w:r>
      <w:r>
        <w:rPr>
          <w:rFonts w:hint="default" w:ascii="Times New Roman" w:hAnsi="Times New Roman" w:eastAsia="宋体" w:cs="Times New Roman"/>
          <w:color w:val="FF0000"/>
          <w:spacing w:val="0"/>
          <w:sz w:val="24"/>
          <w:szCs w:val="24"/>
          <w:highlight w:val="none"/>
        </w:rPr>
        <w:t>2015</w:t>
      </w:r>
      <w:r>
        <w:rPr>
          <w:rFonts w:hint="eastAsia" w:ascii="Times New Roman" w:hAnsi="Times New Roman" w:eastAsia="宋体" w:cs="Times New Roman"/>
          <w:color w:val="FF0000"/>
          <w:spacing w:val="0"/>
          <w:sz w:val="24"/>
          <w:szCs w:val="24"/>
          <w:highlight w:val="none"/>
          <w:lang w:eastAsia="zh-CN"/>
        </w:rPr>
        <w:t>〕</w:t>
      </w:r>
      <w:r>
        <w:rPr>
          <w:rFonts w:hint="default" w:ascii="Times New Roman" w:hAnsi="Times New Roman" w:eastAsia="宋体" w:cs="Times New Roman"/>
          <w:color w:val="FF0000"/>
          <w:spacing w:val="0"/>
          <w:sz w:val="24"/>
          <w:szCs w:val="24"/>
          <w:highlight w:val="none"/>
        </w:rPr>
        <w:t>164号）要求，达到超低排放要求，SO</w:t>
      </w:r>
      <w:r>
        <w:rPr>
          <w:rFonts w:hint="default" w:ascii="Times New Roman" w:hAnsi="Times New Roman" w:eastAsia="宋体" w:cs="Times New Roman"/>
          <w:color w:val="FF0000"/>
          <w:spacing w:val="0"/>
          <w:sz w:val="24"/>
          <w:szCs w:val="24"/>
          <w:highlight w:val="none"/>
          <w:vertAlign w:val="subscript"/>
        </w:rPr>
        <w:t>2</w:t>
      </w:r>
      <w:r>
        <w:rPr>
          <w:rFonts w:hint="default" w:ascii="Times New Roman" w:hAnsi="Times New Roman" w:eastAsia="宋体" w:cs="Times New Roman"/>
          <w:color w:val="FF0000"/>
          <w:sz w:val="24"/>
          <w:szCs w:val="24"/>
          <w:highlight w:val="none"/>
        </w:rPr>
        <w:t>排放浓度不高于35mg/m</w:t>
      </w:r>
      <w:r>
        <w:rPr>
          <w:rFonts w:hint="default" w:ascii="Times New Roman" w:hAnsi="Times New Roman" w:eastAsia="宋体" w:cs="Times New Roman"/>
          <w:color w:val="FF0000"/>
          <w:sz w:val="24"/>
          <w:szCs w:val="24"/>
          <w:highlight w:val="none"/>
          <w:vertAlign w:val="superscript"/>
        </w:rPr>
        <w:t>3</w:t>
      </w:r>
      <w:r>
        <w:rPr>
          <w:rFonts w:hint="default" w:ascii="Times New Roman" w:hAnsi="Times New Roman" w:eastAsia="宋体" w:cs="Times New Roman"/>
          <w:color w:val="FF0000"/>
          <w:spacing w:val="0"/>
          <w:sz w:val="24"/>
          <w:szCs w:val="24"/>
          <w:highlight w:val="none"/>
        </w:rPr>
        <w:t>。</w:t>
      </w:r>
    </w:p>
    <w:p w14:paraId="275F52DF">
      <w:pPr>
        <w:pStyle w:val="7"/>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7.2.1.</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lang w:eastAsia="zh-CN"/>
        </w:rPr>
        <w:t xml:space="preserve"> 本项目NOx污染防治措施</w:t>
      </w:r>
    </w:p>
    <w:p w14:paraId="2AD36550">
      <w:pPr>
        <w:pStyle w:val="108"/>
        <w:spacing w:line="480" w:lineRule="exact"/>
        <w:ind w:firstLine="482"/>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pacing w:val="0"/>
          <w:sz w:val="24"/>
          <w:szCs w:val="24"/>
          <w:highlight w:val="none"/>
          <w:lang w:val="en-US" w:eastAsia="zh-CN"/>
        </w:rPr>
        <w:t>（1）烟气脱硝工艺的选择</w:t>
      </w:r>
    </w:p>
    <w:p w14:paraId="3BEE6408">
      <w:pPr>
        <w:pStyle w:val="108"/>
        <w:spacing w:line="480" w:lineRule="exact"/>
        <w:ind w:firstLine="482"/>
        <w:rPr>
          <w:rFonts w:hint="default" w:ascii="Times New Roman" w:hAnsi="Times New Roman" w:eastAsia="宋体" w:cs="Times New Roman"/>
          <w:b w:val="0"/>
          <w:bCs w:val="0"/>
          <w:color w:val="FF0000"/>
          <w:spacing w:val="0"/>
          <w:highlight w:val="none"/>
          <w:lang w:val="en-US" w:eastAsia="zh-CN"/>
        </w:rPr>
      </w:pPr>
      <w:r>
        <w:rPr>
          <w:rFonts w:hint="default" w:ascii="Times New Roman" w:hAnsi="Times New Roman" w:eastAsia="宋体" w:cs="Times New Roman"/>
          <w:color w:val="FF0000"/>
          <w:sz w:val="24"/>
          <w:szCs w:val="24"/>
          <w:highlight w:val="none"/>
          <w:lang w:val="en-US" w:eastAsia="zh-CN"/>
        </w:rPr>
        <w:t>根据</w:t>
      </w:r>
      <w:r>
        <w:rPr>
          <w:rFonts w:hint="default" w:ascii="Times New Roman" w:hAnsi="Times New Roman" w:eastAsia="宋体" w:cs="Times New Roman"/>
          <w:b w:val="0"/>
          <w:bCs w:val="0"/>
          <w:color w:val="FF0000"/>
          <w:spacing w:val="0"/>
          <w:highlight w:val="none"/>
          <w:lang w:eastAsia="zh-CN"/>
        </w:rPr>
        <w:t>《工业锅炉污染防治可行技术指南》（HJ1178</w:t>
      </w:r>
      <w:r>
        <w:rPr>
          <w:rFonts w:hint="default" w:ascii="Times New Roman" w:hAnsi="Times New Roman" w:eastAsia="宋体" w:cs="Times New Roman"/>
          <w:b w:val="0"/>
          <w:bCs w:val="0"/>
          <w:color w:val="FF0000"/>
          <w:spacing w:val="0"/>
          <w:highlight w:val="none"/>
          <w:lang w:val="en-US" w:eastAsia="zh-CN"/>
        </w:rPr>
        <w:t>-</w:t>
      </w:r>
      <w:r>
        <w:rPr>
          <w:rFonts w:hint="default" w:ascii="Times New Roman" w:hAnsi="Times New Roman" w:eastAsia="宋体" w:cs="Times New Roman"/>
          <w:b w:val="0"/>
          <w:bCs w:val="0"/>
          <w:color w:val="FF0000"/>
          <w:spacing w:val="0"/>
          <w:highlight w:val="none"/>
          <w:lang w:eastAsia="zh-CN"/>
        </w:rPr>
        <w:t>2021）“</w:t>
      </w:r>
      <w:r>
        <w:rPr>
          <w:rFonts w:hint="default" w:ascii="Times New Roman" w:hAnsi="Times New Roman" w:eastAsia="宋体" w:cs="Times New Roman"/>
          <w:b w:val="0"/>
          <w:bCs w:val="0"/>
          <w:color w:val="FF0000"/>
          <w:spacing w:val="0"/>
          <w:highlight w:val="none"/>
          <w:lang w:val="en-US" w:eastAsia="zh-CN"/>
        </w:rPr>
        <w:t>6.1.4氮氧化物治理技术</w:t>
      </w:r>
      <w:r>
        <w:rPr>
          <w:rFonts w:hint="default" w:ascii="Times New Roman" w:hAnsi="Times New Roman" w:eastAsia="宋体" w:cs="Times New Roman"/>
          <w:b w:val="0"/>
          <w:bCs w:val="0"/>
          <w:color w:val="FF0000"/>
          <w:spacing w:val="0"/>
          <w:highlight w:val="none"/>
          <w:lang w:eastAsia="zh-CN"/>
        </w:rPr>
        <w:t>”中提到工业锅炉烟气脱硝技术主要有</w:t>
      </w:r>
      <w:r>
        <w:rPr>
          <w:rFonts w:hint="default" w:ascii="Times New Roman" w:hAnsi="Times New Roman" w:eastAsia="宋体" w:cs="Times New Roman"/>
          <w:color w:val="FF0000"/>
          <w:spacing w:val="0"/>
          <w:sz w:val="24"/>
          <w:szCs w:val="28"/>
          <w:highlight w:val="none"/>
          <w:lang w:val="zh-CN" w:eastAsia="zh-CN"/>
        </w:rPr>
        <w:t>选择性催化还原技术（</w:t>
      </w:r>
      <w:r>
        <w:rPr>
          <w:rFonts w:hint="default" w:ascii="Times New Roman" w:hAnsi="Times New Roman" w:eastAsia="宋体" w:cs="Times New Roman"/>
          <w:color w:val="FF0000"/>
          <w:spacing w:val="0"/>
          <w:sz w:val="24"/>
          <w:szCs w:val="28"/>
          <w:highlight w:val="none"/>
          <w:lang w:val="en-US" w:eastAsia="zh-CN"/>
        </w:rPr>
        <w:t>SCR</w:t>
      </w:r>
      <w:r>
        <w:rPr>
          <w:rFonts w:hint="default" w:ascii="Times New Roman" w:hAnsi="Times New Roman" w:eastAsia="宋体" w:cs="Times New Roman"/>
          <w:color w:val="FF0000"/>
          <w:spacing w:val="0"/>
          <w:sz w:val="24"/>
          <w:szCs w:val="28"/>
          <w:highlight w:val="none"/>
          <w:lang w:val="zh-CN" w:eastAsia="zh-CN"/>
        </w:rPr>
        <w:t>）、选择性非催化还原技术（</w:t>
      </w:r>
      <w:r>
        <w:rPr>
          <w:rFonts w:hint="default" w:ascii="Times New Roman" w:hAnsi="Times New Roman" w:eastAsia="宋体" w:cs="Times New Roman"/>
          <w:color w:val="FF0000"/>
          <w:spacing w:val="0"/>
          <w:sz w:val="24"/>
          <w:szCs w:val="28"/>
          <w:highlight w:val="none"/>
          <w:lang w:val="en-US" w:eastAsia="zh-CN"/>
        </w:rPr>
        <w:t>SNCR</w:t>
      </w:r>
      <w:r>
        <w:rPr>
          <w:rFonts w:hint="default" w:ascii="Times New Roman" w:hAnsi="Times New Roman" w:eastAsia="宋体" w:cs="Times New Roman"/>
          <w:color w:val="FF0000"/>
          <w:spacing w:val="0"/>
          <w:sz w:val="24"/>
          <w:szCs w:val="28"/>
          <w:highlight w:val="none"/>
          <w:lang w:val="zh-CN" w:eastAsia="zh-CN"/>
        </w:rPr>
        <w:t>）和</w:t>
      </w:r>
      <w:r>
        <w:rPr>
          <w:rFonts w:hint="default" w:ascii="Times New Roman" w:hAnsi="Times New Roman" w:eastAsia="宋体" w:cs="Times New Roman"/>
          <w:color w:val="FF0000"/>
          <w:spacing w:val="0"/>
          <w:sz w:val="24"/>
          <w:szCs w:val="28"/>
          <w:highlight w:val="none"/>
          <w:lang w:val="en-US" w:eastAsia="zh-CN"/>
        </w:rPr>
        <w:t>SNCR-SCR联合脱硝技术</w:t>
      </w:r>
      <w:r>
        <w:rPr>
          <w:rFonts w:hint="default" w:ascii="Times New Roman" w:hAnsi="Times New Roman" w:eastAsia="宋体" w:cs="Times New Roman"/>
          <w:b w:val="0"/>
          <w:bCs w:val="0"/>
          <w:color w:val="FF0000"/>
          <w:spacing w:val="0"/>
          <w:highlight w:val="none"/>
          <w:lang w:eastAsia="zh-CN"/>
        </w:rPr>
        <w:t>。各个脱硝技术比选见表</w:t>
      </w:r>
      <w:r>
        <w:rPr>
          <w:rFonts w:hint="default" w:ascii="Times New Roman" w:hAnsi="Times New Roman" w:eastAsia="宋体" w:cs="Times New Roman"/>
          <w:b w:val="0"/>
          <w:bCs w:val="0"/>
          <w:color w:val="FF0000"/>
          <w:spacing w:val="0"/>
          <w:highlight w:val="none"/>
          <w:lang w:val="en-US" w:eastAsia="zh-CN"/>
        </w:rPr>
        <w:t>7.2-</w:t>
      </w:r>
      <w:r>
        <w:rPr>
          <w:rFonts w:hint="eastAsia" w:eastAsia="宋体" w:cs="Times New Roman"/>
          <w:b w:val="0"/>
          <w:bCs w:val="0"/>
          <w:color w:val="FF0000"/>
          <w:spacing w:val="0"/>
          <w:highlight w:val="none"/>
          <w:lang w:val="en-US" w:eastAsia="zh-CN"/>
        </w:rPr>
        <w:t>1</w:t>
      </w:r>
      <w:r>
        <w:rPr>
          <w:rFonts w:hint="default" w:ascii="Times New Roman" w:hAnsi="Times New Roman" w:eastAsia="宋体" w:cs="Times New Roman"/>
          <w:b w:val="0"/>
          <w:bCs w:val="0"/>
          <w:color w:val="FF0000"/>
          <w:spacing w:val="0"/>
          <w:highlight w:val="none"/>
          <w:lang w:val="en-US" w:eastAsia="zh-CN"/>
        </w:rPr>
        <w:t>。</w:t>
      </w:r>
    </w:p>
    <w:p w14:paraId="6E7BED37">
      <w:pPr>
        <w:adjustRightInd w:val="0"/>
        <w:snapToGrid w:val="0"/>
        <w:spacing w:line="480" w:lineRule="exact"/>
        <w:ind w:firstLine="480" w:firstLineChars="200"/>
        <w:jc w:val="center"/>
        <w:rPr>
          <w:rFonts w:hint="default" w:ascii="Times New Roman" w:hAnsi="Times New Roman" w:eastAsia="宋体" w:cs="Times New Roman"/>
          <w:b w:val="0"/>
          <w:bCs w:val="0"/>
          <w:color w:val="FF0000"/>
          <w:sz w:val="24"/>
          <w:szCs w:val="28"/>
          <w:highlight w:val="none"/>
          <w:lang w:val="en-US" w:eastAsia="zh-CN"/>
        </w:rPr>
      </w:pPr>
      <w:r>
        <w:rPr>
          <w:rFonts w:hint="default" w:ascii="Times New Roman" w:hAnsi="Times New Roman" w:eastAsia="宋体" w:cs="Times New Roman"/>
          <w:b w:val="0"/>
          <w:bCs w:val="0"/>
          <w:color w:val="FF0000"/>
          <w:sz w:val="24"/>
          <w:szCs w:val="28"/>
          <w:highlight w:val="none"/>
          <w:lang w:val="zh-CN"/>
        </w:rPr>
        <w:t>表</w:t>
      </w:r>
      <w:r>
        <w:rPr>
          <w:rFonts w:hint="default" w:ascii="Times New Roman" w:hAnsi="Times New Roman" w:eastAsia="宋体" w:cs="Times New Roman"/>
          <w:b w:val="0"/>
          <w:bCs w:val="0"/>
          <w:color w:val="FF0000"/>
          <w:sz w:val="24"/>
          <w:szCs w:val="28"/>
          <w:highlight w:val="none"/>
          <w:lang w:val="en-US" w:eastAsia="zh-CN"/>
        </w:rPr>
        <w:t>7.2-</w:t>
      </w:r>
      <w:r>
        <w:rPr>
          <w:rFonts w:hint="eastAsia" w:ascii="Times New Roman" w:hAnsi="Times New Roman" w:eastAsia="宋体" w:cs="Times New Roman"/>
          <w:b w:val="0"/>
          <w:bCs w:val="0"/>
          <w:color w:val="FF0000"/>
          <w:sz w:val="24"/>
          <w:szCs w:val="28"/>
          <w:highlight w:val="none"/>
          <w:lang w:val="en-US" w:eastAsia="zh-CN"/>
        </w:rPr>
        <w:t>1</w:t>
      </w:r>
      <w:r>
        <w:rPr>
          <w:rFonts w:hint="default" w:ascii="Times New Roman" w:hAnsi="Times New Roman" w:eastAsia="宋体" w:cs="Times New Roman"/>
          <w:b w:val="0"/>
          <w:bCs w:val="0"/>
          <w:color w:val="FF0000"/>
          <w:sz w:val="24"/>
          <w:szCs w:val="28"/>
          <w:highlight w:val="none"/>
          <w:lang w:val="en-US" w:eastAsia="zh-CN"/>
        </w:rPr>
        <w:t xml:space="preserve">  SCR、SNCR和SNCR+SCR联合技术经济比较</w:t>
      </w:r>
    </w:p>
    <w:tbl>
      <w:tblPr>
        <w:tblStyle w:val="37"/>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68"/>
        <w:gridCol w:w="2462"/>
        <w:gridCol w:w="2066"/>
        <w:gridCol w:w="2919"/>
      </w:tblGrid>
      <w:tr w14:paraId="6D7EAA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27" w:type="pct"/>
            <w:tcBorders>
              <w:top w:val="single" w:color="000000" w:sz="12" w:space="0"/>
              <w:left w:val="nil"/>
            </w:tcBorders>
            <w:noWrap w:val="0"/>
            <w:vAlign w:val="center"/>
          </w:tcPr>
          <w:p w14:paraId="6B926FBD">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项目</w:t>
            </w:r>
          </w:p>
        </w:tc>
        <w:tc>
          <w:tcPr>
            <w:tcW w:w="1445" w:type="pct"/>
            <w:tcBorders>
              <w:top w:val="single" w:color="000000" w:sz="12" w:space="0"/>
            </w:tcBorders>
            <w:noWrap w:val="0"/>
            <w:vAlign w:val="center"/>
          </w:tcPr>
          <w:p w14:paraId="64A5FAB2">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lang w:val="en-US" w:eastAsia="zh-CN"/>
              </w:rPr>
              <w:t>SCR</w:t>
            </w:r>
            <w:r>
              <w:rPr>
                <w:rFonts w:hint="default" w:ascii="Times New Roman" w:hAnsi="Times New Roman" w:eastAsia="宋体" w:cs="Times New Roman"/>
                <w:color w:val="FF0000"/>
                <w:spacing w:val="-1"/>
                <w:sz w:val="21"/>
                <w:szCs w:val="21"/>
                <w:highlight w:val="none"/>
              </w:rPr>
              <w:t>技术</w:t>
            </w:r>
          </w:p>
        </w:tc>
        <w:tc>
          <w:tcPr>
            <w:tcW w:w="1213" w:type="pct"/>
            <w:tcBorders>
              <w:top w:val="single" w:color="000000" w:sz="12" w:space="0"/>
            </w:tcBorders>
            <w:noWrap w:val="0"/>
            <w:vAlign w:val="center"/>
          </w:tcPr>
          <w:p w14:paraId="5C3D2467">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SNCR技术</w:t>
            </w:r>
          </w:p>
        </w:tc>
        <w:tc>
          <w:tcPr>
            <w:tcW w:w="1713" w:type="pct"/>
            <w:tcBorders>
              <w:top w:val="single" w:color="000000" w:sz="12" w:space="0"/>
              <w:right w:val="nil"/>
            </w:tcBorders>
            <w:noWrap w:val="0"/>
            <w:vAlign w:val="center"/>
          </w:tcPr>
          <w:p w14:paraId="7AB9EC6E">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SNCR</w:t>
            </w:r>
            <w:r>
              <w:rPr>
                <w:rFonts w:hint="default" w:ascii="Times New Roman" w:hAnsi="Times New Roman" w:eastAsia="宋体" w:cs="Times New Roman"/>
                <w:color w:val="FF0000"/>
                <w:spacing w:val="-1"/>
                <w:sz w:val="21"/>
                <w:szCs w:val="21"/>
                <w:highlight w:val="none"/>
                <w:lang w:val="en-US" w:eastAsia="zh-CN"/>
              </w:rPr>
              <w:t>-</w:t>
            </w:r>
            <w:r>
              <w:rPr>
                <w:rFonts w:hint="default" w:ascii="Times New Roman" w:hAnsi="Times New Roman" w:eastAsia="宋体" w:cs="Times New Roman"/>
                <w:color w:val="FF0000"/>
                <w:spacing w:val="-1"/>
                <w:sz w:val="21"/>
                <w:szCs w:val="21"/>
                <w:highlight w:val="none"/>
              </w:rPr>
              <w:t>SCR混合技术</w:t>
            </w:r>
          </w:p>
        </w:tc>
      </w:tr>
      <w:tr w14:paraId="7EBCFB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27" w:type="pct"/>
            <w:tcBorders>
              <w:left w:val="nil"/>
            </w:tcBorders>
            <w:noWrap w:val="0"/>
            <w:vAlign w:val="center"/>
          </w:tcPr>
          <w:p w14:paraId="16A11D0C">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反应剂</w:t>
            </w:r>
          </w:p>
        </w:tc>
        <w:tc>
          <w:tcPr>
            <w:tcW w:w="1445" w:type="pct"/>
            <w:noWrap w:val="0"/>
            <w:vAlign w:val="center"/>
          </w:tcPr>
          <w:p w14:paraId="628C0E5B">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可</w:t>
            </w:r>
            <w:r>
              <w:rPr>
                <w:rFonts w:hint="default" w:ascii="Times New Roman" w:hAnsi="Times New Roman" w:eastAsia="宋体" w:cs="Times New Roman"/>
                <w:color w:val="FF0000"/>
                <w:spacing w:val="-1"/>
                <w:sz w:val="21"/>
                <w:szCs w:val="21"/>
                <w:highlight w:val="none"/>
                <w:lang w:eastAsia="zh-CN"/>
              </w:rPr>
              <w:t>使用</w:t>
            </w:r>
            <w:r>
              <w:rPr>
                <w:rFonts w:hint="default" w:ascii="Times New Roman" w:hAnsi="Times New Roman" w:eastAsia="宋体" w:cs="Times New Roman"/>
                <w:color w:val="FF0000"/>
                <w:spacing w:val="-1"/>
                <w:sz w:val="21"/>
                <w:szCs w:val="21"/>
                <w:highlight w:val="none"/>
              </w:rPr>
              <w:t>NH</w:t>
            </w:r>
            <w:r>
              <w:rPr>
                <w:rFonts w:hint="default" w:ascii="Times New Roman" w:hAnsi="Times New Roman" w:eastAsia="宋体" w:cs="Times New Roman"/>
                <w:color w:val="FF0000"/>
                <w:spacing w:val="-1"/>
                <w:sz w:val="21"/>
                <w:szCs w:val="21"/>
                <w:highlight w:val="none"/>
                <w:vertAlign w:val="subscript"/>
              </w:rPr>
              <w:t>3</w:t>
            </w:r>
            <w:r>
              <w:rPr>
                <w:rFonts w:hint="default" w:ascii="Times New Roman" w:hAnsi="Times New Roman" w:eastAsia="宋体" w:cs="Times New Roman"/>
                <w:color w:val="FF0000"/>
                <w:spacing w:val="-1"/>
                <w:sz w:val="21"/>
                <w:szCs w:val="21"/>
                <w:highlight w:val="none"/>
              </w:rPr>
              <w:t>或尿素</w:t>
            </w:r>
          </w:p>
        </w:tc>
        <w:tc>
          <w:tcPr>
            <w:tcW w:w="1213" w:type="pct"/>
            <w:noWrap w:val="0"/>
            <w:vAlign w:val="center"/>
          </w:tcPr>
          <w:p w14:paraId="497C312B">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可使用NH</w:t>
            </w:r>
            <w:r>
              <w:rPr>
                <w:rFonts w:hint="default" w:ascii="Times New Roman" w:hAnsi="Times New Roman" w:eastAsia="宋体" w:cs="Times New Roman"/>
                <w:color w:val="FF0000"/>
                <w:spacing w:val="-1"/>
                <w:sz w:val="21"/>
                <w:szCs w:val="21"/>
                <w:highlight w:val="none"/>
                <w:vertAlign w:val="subscript"/>
              </w:rPr>
              <w:t>3</w:t>
            </w:r>
            <w:r>
              <w:rPr>
                <w:rFonts w:hint="default" w:ascii="Times New Roman" w:hAnsi="Times New Roman" w:eastAsia="宋体" w:cs="Times New Roman"/>
                <w:color w:val="FF0000"/>
                <w:spacing w:val="-1"/>
                <w:sz w:val="21"/>
                <w:szCs w:val="21"/>
                <w:highlight w:val="none"/>
              </w:rPr>
              <w:t>或尿素</w:t>
            </w:r>
          </w:p>
        </w:tc>
        <w:tc>
          <w:tcPr>
            <w:tcW w:w="1713" w:type="pct"/>
            <w:tcBorders>
              <w:right w:val="nil"/>
            </w:tcBorders>
            <w:noWrap w:val="0"/>
            <w:vAlign w:val="center"/>
          </w:tcPr>
          <w:p w14:paraId="3A94E872">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可使用NH</w:t>
            </w:r>
            <w:r>
              <w:rPr>
                <w:rFonts w:hint="default" w:ascii="Times New Roman" w:hAnsi="Times New Roman" w:eastAsia="宋体" w:cs="Times New Roman"/>
                <w:color w:val="FF0000"/>
                <w:spacing w:val="-1"/>
                <w:sz w:val="21"/>
                <w:szCs w:val="21"/>
                <w:highlight w:val="none"/>
                <w:vertAlign w:val="subscript"/>
              </w:rPr>
              <w:t>3</w:t>
            </w:r>
            <w:r>
              <w:rPr>
                <w:rFonts w:hint="default" w:ascii="Times New Roman" w:hAnsi="Times New Roman" w:eastAsia="宋体" w:cs="Times New Roman"/>
                <w:color w:val="FF0000"/>
                <w:spacing w:val="-1"/>
                <w:sz w:val="21"/>
                <w:szCs w:val="21"/>
                <w:highlight w:val="none"/>
              </w:rPr>
              <w:t>或尿素</w:t>
            </w:r>
          </w:p>
        </w:tc>
      </w:tr>
      <w:tr w14:paraId="067CAF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27" w:type="pct"/>
            <w:tcBorders>
              <w:left w:val="nil"/>
            </w:tcBorders>
            <w:noWrap w:val="0"/>
            <w:vAlign w:val="center"/>
          </w:tcPr>
          <w:p w14:paraId="427182DC">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反应温度</w:t>
            </w:r>
          </w:p>
        </w:tc>
        <w:tc>
          <w:tcPr>
            <w:tcW w:w="1445" w:type="pct"/>
            <w:noWrap w:val="0"/>
            <w:vAlign w:val="center"/>
          </w:tcPr>
          <w:p w14:paraId="79585F22">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lang w:val="en-US" w:eastAsia="zh-CN"/>
              </w:rPr>
              <w:t>300</w:t>
            </w:r>
            <w:r>
              <w:rPr>
                <w:rFonts w:hint="eastAsia" w:eastAsia="宋体" w:cs="Times New Roman"/>
                <w:color w:val="FF0000"/>
                <w:spacing w:val="-1"/>
                <w:sz w:val="21"/>
                <w:szCs w:val="21"/>
                <w:highlight w:val="none"/>
                <w:lang w:val="en-US" w:eastAsia="zh-CN"/>
              </w:rPr>
              <w:t>~</w:t>
            </w:r>
            <w:r>
              <w:rPr>
                <w:rFonts w:hint="default" w:ascii="Times New Roman" w:hAnsi="Times New Roman" w:eastAsia="宋体" w:cs="Times New Roman"/>
                <w:color w:val="FF0000"/>
                <w:spacing w:val="-1"/>
                <w:sz w:val="21"/>
                <w:szCs w:val="21"/>
                <w:highlight w:val="none"/>
                <w:lang w:val="en-US" w:eastAsia="zh-CN"/>
              </w:rPr>
              <w:t>400</w:t>
            </w:r>
            <w:r>
              <w:rPr>
                <w:rFonts w:hint="default" w:ascii="Times New Roman" w:hAnsi="Times New Roman" w:eastAsia="宋体" w:cs="Times New Roman"/>
                <w:color w:val="FF0000"/>
                <w:spacing w:val="-1"/>
                <w:sz w:val="21"/>
                <w:szCs w:val="21"/>
                <w:highlight w:val="none"/>
              </w:rPr>
              <w:t>℃</w:t>
            </w:r>
          </w:p>
        </w:tc>
        <w:tc>
          <w:tcPr>
            <w:tcW w:w="1213" w:type="pct"/>
            <w:noWrap w:val="0"/>
            <w:vAlign w:val="center"/>
          </w:tcPr>
          <w:p w14:paraId="03A2E4A6">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800</w:t>
            </w:r>
            <w:r>
              <w:rPr>
                <w:rFonts w:hint="eastAsia" w:eastAsia="宋体" w:cs="Times New Roman"/>
                <w:color w:val="FF0000"/>
                <w:spacing w:val="-1"/>
                <w:sz w:val="21"/>
                <w:szCs w:val="21"/>
                <w:highlight w:val="none"/>
                <w:lang w:eastAsia="zh-CN"/>
              </w:rPr>
              <w:t>~</w:t>
            </w:r>
            <w:r>
              <w:rPr>
                <w:rFonts w:hint="default" w:ascii="Times New Roman" w:hAnsi="Times New Roman" w:eastAsia="宋体" w:cs="Times New Roman"/>
                <w:color w:val="FF0000"/>
                <w:spacing w:val="-1"/>
                <w:sz w:val="21"/>
                <w:szCs w:val="21"/>
                <w:highlight w:val="none"/>
              </w:rPr>
              <w:t>1250℃</w:t>
            </w:r>
          </w:p>
        </w:tc>
        <w:tc>
          <w:tcPr>
            <w:tcW w:w="1713" w:type="pct"/>
            <w:tcBorders>
              <w:right w:val="nil"/>
            </w:tcBorders>
            <w:noWrap w:val="0"/>
            <w:vAlign w:val="center"/>
          </w:tcPr>
          <w:p w14:paraId="30193C46">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前段：800～1250℃，后段300～400℃</w:t>
            </w:r>
          </w:p>
        </w:tc>
      </w:tr>
      <w:tr w14:paraId="1707F7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27" w:type="pct"/>
            <w:tcBorders>
              <w:left w:val="nil"/>
            </w:tcBorders>
            <w:noWrap w:val="0"/>
            <w:vAlign w:val="center"/>
          </w:tcPr>
          <w:p w14:paraId="59EFBEA5">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催化剂</w:t>
            </w:r>
          </w:p>
        </w:tc>
        <w:tc>
          <w:tcPr>
            <w:tcW w:w="1445" w:type="pct"/>
            <w:noWrap w:val="0"/>
            <w:vAlign w:val="center"/>
          </w:tcPr>
          <w:p w14:paraId="15164BE5">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eastAsia" w:eastAsia="宋体" w:cs="Times New Roman"/>
                <w:color w:val="FF0000"/>
                <w:spacing w:val="-1"/>
                <w:sz w:val="21"/>
                <w:szCs w:val="21"/>
                <w:highlight w:val="none"/>
                <w:lang w:eastAsia="zh-CN"/>
              </w:rPr>
              <w:t>成分</w:t>
            </w:r>
            <w:r>
              <w:rPr>
                <w:rFonts w:hint="default" w:ascii="Times New Roman" w:hAnsi="Times New Roman" w:eastAsia="宋体" w:cs="Times New Roman"/>
                <w:color w:val="FF0000"/>
                <w:spacing w:val="-1"/>
                <w:sz w:val="21"/>
                <w:szCs w:val="21"/>
                <w:highlight w:val="none"/>
              </w:rPr>
              <w:t>主要为TiO</w:t>
            </w:r>
            <w:r>
              <w:rPr>
                <w:rFonts w:hint="default" w:ascii="Times New Roman" w:hAnsi="Times New Roman" w:eastAsia="宋体" w:cs="Times New Roman"/>
                <w:color w:val="FF0000"/>
                <w:spacing w:val="-1"/>
                <w:sz w:val="21"/>
                <w:szCs w:val="21"/>
                <w:highlight w:val="none"/>
                <w:vertAlign w:val="subscript"/>
              </w:rPr>
              <w:t>2</w:t>
            </w:r>
            <w:r>
              <w:rPr>
                <w:rFonts w:hint="default" w:ascii="Times New Roman" w:hAnsi="Times New Roman" w:eastAsia="宋体" w:cs="Times New Roman"/>
                <w:color w:val="FF0000"/>
                <w:spacing w:val="-1"/>
                <w:sz w:val="21"/>
                <w:szCs w:val="21"/>
                <w:highlight w:val="none"/>
                <w:lang w:eastAsia="zh-CN"/>
              </w:rPr>
              <w:t>、</w:t>
            </w:r>
            <w:r>
              <w:rPr>
                <w:rFonts w:hint="default" w:ascii="Times New Roman" w:hAnsi="Times New Roman" w:eastAsia="宋体" w:cs="Times New Roman"/>
                <w:color w:val="FF0000"/>
                <w:spacing w:val="-1"/>
                <w:sz w:val="21"/>
                <w:szCs w:val="21"/>
                <w:highlight w:val="none"/>
              </w:rPr>
              <w:t>V</w:t>
            </w:r>
            <w:r>
              <w:rPr>
                <w:rFonts w:hint="default" w:ascii="Times New Roman" w:hAnsi="Times New Roman" w:eastAsia="宋体" w:cs="Times New Roman"/>
                <w:color w:val="FF0000"/>
                <w:spacing w:val="-1"/>
                <w:sz w:val="21"/>
                <w:szCs w:val="21"/>
                <w:highlight w:val="none"/>
                <w:vertAlign w:val="subscript"/>
              </w:rPr>
              <w:t>2</w:t>
            </w:r>
            <w:r>
              <w:rPr>
                <w:rFonts w:hint="default" w:ascii="Times New Roman" w:hAnsi="Times New Roman" w:eastAsia="宋体" w:cs="Times New Roman"/>
                <w:color w:val="FF0000"/>
                <w:spacing w:val="-1"/>
                <w:sz w:val="21"/>
                <w:szCs w:val="21"/>
                <w:highlight w:val="none"/>
              </w:rPr>
              <w:t>O</w:t>
            </w:r>
            <w:r>
              <w:rPr>
                <w:rFonts w:hint="default" w:ascii="Times New Roman" w:hAnsi="Times New Roman" w:eastAsia="宋体" w:cs="Times New Roman"/>
                <w:color w:val="FF0000"/>
                <w:spacing w:val="-1"/>
                <w:sz w:val="21"/>
                <w:szCs w:val="21"/>
                <w:highlight w:val="none"/>
                <w:vertAlign w:val="subscript"/>
              </w:rPr>
              <w:t>5</w:t>
            </w:r>
            <w:r>
              <w:rPr>
                <w:rFonts w:hint="default" w:ascii="Times New Roman" w:hAnsi="Times New Roman" w:eastAsia="宋体" w:cs="Times New Roman"/>
                <w:color w:val="FF0000"/>
                <w:spacing w:val="-1"/>
                <w:sz w:val="21"/>
                <w:szCs w:val="21"/>
                <w:highlight w:val="none"/>
                <w:vertAlign w:val="baseline"/>
                <w:lang w:eastAsia="zh-CN"/>
              </w:rPr>
              <w:t>、</w:t>
            </w:r>
            <w:r>
              <w:rPr>
                <w:rFonts w:hint="default" w:ascii="Times New Roman" w:hAnsi="Times New Roman" w:eastAsia="宋体" w:cs="Times New Roman"/>
                <w:color w:val="FF0000"/>
                <w:spacing w:val="-1"/>
                <w:sz w:val="21"/>
                <w:szCs w:val="21"/>
                <w:highlight w:val="none"/>
              </w:rPr>
              <w:t>WO</w:t>
            </w:r>
            <w:r>
              <w:rPr>
                <w:rFonts w:hint="default" w:ascii="Times New Roman" w:hAnsi="Times New Roman" w:eastAsia="宋体" w:cs="Times New Roman"/>
                <w:color w:val="FF0000"/>
                <w:spacing w:val="-1"/>
                <w:sz w:val="21"/>
                <w:szCs w:val="21"/>
                <w:highlight w:val="none"/>
                <w:vertAlign w:val="subscript"/>
              </w:rPr>
              <w:t>3</w:t>
            </w:r>
            <w:r>
              <w:rPr>
                <w:rFonts w:hint="default" w:ascii="Times New Roman" w:hAnsi="Times New Roman" w:eastAsia="宋体" w:cs="Times New Roman"/>
                <w:color w:val="FF0000"/>
                <w:spacing w:val="-1"/>
                <w:sz w:val="21"/>
                <w:szCs w:val="21"/>
                <w:highlight w:val="none"/>
              </w:rPr>
              <w:t>的全尺寸催化剂</w:t>
            </w:r>
          </w:p>
        </w:tc>
        <w:tc>
          <w:tcPr>
            <w:tcW w:w="1213" w:type="pct"/>
            <w:noWrap w:val="0"/>
            <w:vAlign w:val="center"/>
          </w:tcPr>
          <w:p w14:paraId="617F4496">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不使用催化剂</w:t>
            </w:r>
          </w:p>
        </w:tc>
        <w:tc>
          <w:tcPr>
            <w:tcW w:w="1713" w:type="pct"/>
            <w:tcBorders>
              <w:right w:val="nil"/>
            </w:tcBorders>
            <w:noWrap w:val="0"/>
            <w:vAlign w:val="center"/>
          </w:tcPr>
          <w:p w14:paraId="63101A82">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后段加装少量催化剂</w:t>
            </w:r>
            <w:r>
              <w:rPr>
                <w:rFonts w:hint="eastAsia" w:eastAsia="宋体" w:cs="Times New Roman"/>
                <w:color w:val="FF0000"/>
                <w:spacing w:val="-1"/>
                <w:sz w:val="21"/>
                <w:szCs w:val="21"/>
                <w:highlight w:val="none"/>
                <w:lang w:eastAsia="zh-CN"/>
              </w:rPr>
              <w:t>（成分</w:t>
            </w:r>
            <w:r>
              <w:rPr>
                <w:rFonts w:hint="default" w:ascii="Times New Roman" w:hAnsi="Times New Roman" w:eastAsia="宋体" w:cs="Times New Roman"/>
                <w:color w:val="FF0000"/>
                <w:spacing w:val="-1"/>
                <w:sz w:val="21"/>
                <w:szCs w:val="21"/>
                <w:highlight w:val="none"/>
              </w:rPr>
              <w:t>主要为TiO</w:t>
            </w:r>
            <w:r>
              <w:rPr>
                <w:rFonts w:hint="default" w:ascii="Times New Roman" w:hAnsi="Times New Roman" w:eastAsia="宋体" w:cs="Times New Roman"/>
                <w:color w:val="FF0000"/>
                <w:spacing w:val="-1"/>
                <w:sz w:val="21"/>
                <w:szCs w:val="21"/>
                <w:highlight w:val="none"/>
                <w:vertAlign w:val="subscript"/>
              </w:rPr>
              <w:t>2</w:t>
            </w:r>
            <w:r>
              <w:rPr>
                <w:rFonts w:hint="default" w:ascii="Times New Roman" w:hAnsi="Times New Roman" w:eastAsia="宋体" w:cs="Times New Roman"/>
                <w:color w:val="FF0000"/>
                <w:spacing w:val="-1"/>
                <w:sz w:val="21"/>
                <w:szCs w:val="21"/>
                <w:highlight w:val="none"/>
                <w:lang w:eastAsia="zh-CN"/>
              </w:rPr>
              <w:t>，</w:t>
            </w:r>
            <w:r>
              <w:rPr>
                <w:rFonts w:hint="default" w:ascii="Times New Roman" w:hAnsi="Times New Roman" w:eastAsia="宋体" w:cs="Times New Roman"/>
                <w:color w:val="FF0000"/>
                <w:spacing w:val="-1"/>
                <w:sz w:val="21"/>
                <w:szCs w:val="21"/>
                <w:highlight w:val="none"/>
              </w:rPr>
              <w:t>V</w:t>
            </w:r>
            <w:r>
              <w:rPr>
                <w:rFonts w:hint="default" w:ascii="Times New Roman" w:hAnsi="Times New Roman" w:eastAsia="宋体" w:cs="Times New Roman"/>
                <w:color w:val="FF0000"/>
                <w:spacing w:val="-1"/>
                <w:sz w:val="21"/>
                <w:szCs w:val="21"/>
                <w:highlight w:val="none"/>
                <w:vertAlign w:val="subscript"/>
              </w:rPr>
              <w:t>2</w:t>
            </w:r>
            <w:r>
              <w:rPr>
                <w:rFonts w:hint="default" w:ascii="Times New Roman" w:hAnsi="Times New Roman" w:eastAsia="宋体" w:cs="Times New Roman"/>
                <w:color w:val="FF0000"/>
                <w:spacing w:val="-1"/>
                <w:sz w:val="21"/>
                <w:szCs w:val="21"/>
                <w:highlight w:val="none"/>
              </w:rPr>
              <w:t>O</w:t>
            </w:r>
            <w:r>
              <w:rPr>
                <w:rFonts w:hint="default" w:ascii="Times New Roman" w:hAnsi="Times New Roman" w:eastAsia="宋体" w:cs="Times New Roman"/>
                <w:color w:val="FF0000"/>
                <w:spacing w:val="-1"/>
                <w:sz w:val="21"/>
                <w:szCs w:val="21"/>
                <w:highlight w:val="none"/>
                <w:vertAlign w:val="subscript"/>
              </w:rPr>
              <w:t>5</w:t>
            </w:r>
            <w:r>
              <w:rPr>
                <w:rFonts w:hint="default" w:ascii="Times New Roman" w:hAnsi="Times New Roman" w:eastAsia="宋体" w:cs="Times New Roman"/>
                <w:color w:val="FF0000"/>
                <w:spacing w:val="-1"/>
                <w:sz w:val="21"/>
                <w:szCs w:val="21"/>
                <w:highlight w:val="none"/>
                <w:lang w:eastAsia="zh-CN"/>
              </w:rPr>
              <w:t>，</w:t>
            </w:r>
            <w:r>
              <w:rPr>
                <w:rFonts w:hint="default" w:ascii="Times New Roman" w:hAnsi="Times New Roman" w:eastAsia="宋体" w:cs="Times New Roman"/>
                <w:color w:val="FF0000"/>
                <w:spacing w:val="-1"/>
                <w:sz w:val="21"/>
                <w:szCs w:val="21"/>
                <w:highlight w:val="none"/>
              </w:rPr>
              <w:t>WO</w:t>
            </w:r>
            <w:r>
              <w:rPr>
                <w:rFonts w:hint="default" w:ascii="Times New Roman" w:hAnsi="Times New Roman" w:eastAsia="宋体" w:cs="Times New Roman"/>
                <w:color w:val="FF0000"/>
                <w:spacing w:val="-1"/>
                <w:sz w:val="21"/>
                <w:szCs w:val="21"/>
                <w:highlight w:val="none"/>
                <w:vertAlign w:val="subscript"/>
              </w:rPr>
              <w:t>3</w:t>
            </w:r>
            <w:r>
              <w:rPr>
                <w:rFonts w:hint="eastAsia" w:eastAsia="宋体" w:cs="Times New Roman"/>
                <w:color w:val="FF0000"/>
                <w:spacing w:val="-1"/>
                <w:sz w:val="21"/>
                <w:szCs w:val="21"/>
                <w:highlight w:val="none"/>
                <w:vertAlign w:val="subscript"/>
                <w:lang w:eastAsia="zh-CN"/>
              </w:rPr>
              <w:t>）</w:t>
            </w:r>
          </w:p>
        </w:tc>
      </w:tr>
      <w:tr w14:paraId="2A4D8D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27" w:type="pct"/>
            <w:tcBorders>
              <w:left w:val="nil"/>
            </w:tcBorders>
            <w:noWrap w:val="0"/>
            <w:vAlign w:val="center"/>
          </w:tcPr>
          <w:p w14:paraId="373F4AD6">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脱硝效率</w:t>
            </w:r>
          </w:p>
        </w:tc>
        <w:tc>
          <w:tcPr>
            <w:tcW w:w="1445" w:type="pct"/>
            <w:noWrap w:val="0"/>
            <w:vAlign w:val="center"/>
          </w:tcPr>
          <w:p w14:paraId="2DAADA30">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eastAsia" w:eastAsia="宋体" w:cs="Times New Roman"/>
                <w:color w:val="FF0000"/>
                <w:spacing w:val="-1"/>
                <w:sz w:val="21"/>
                <w:szCs w:val="21"/>
                <w:highlight w:val="none"/>
                <w:lang w:eastAsia="zh-CN"/>
              </w:rPr>
              <w:t>50%～90%</w:t>
            </w:r>
          </w:p>
        </w:tc>
        <w:tc>
          <w:tcPr>
            <w:tcW w:w="1213" w:type="pct"/>
            <w:noWrap w:val="0"/>
            <w:vAlign w:val="center"/>
          </w:tcPr>
          <w:p w14:paraId="47DDB2AD">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eastAsia" w:eastAsia="宋体" w:cs="Times New Roman"/>
                <w:color w:val="FF0000"/>
                <w:spacing w:val="-1"/>
                <w:sz w:val="21"/>
                <w:szCs w:val="21"/>
                <w:highlight w:val="none"/>
                <w:lang w:eastAsia="zh-CN"/>
              </w:rPr>
              <w:t>60%～80%</w:t>
            </w:r>
          </w:p>
        </w:tc>
        <w:tc>
          <w:tcPr>
            <w:tcW w:w="1713" w:type="pct"/>
            <w:tcBorders>
              <w:right w:val="nil"/>
            </w:tcBorders>
            <w:noWrap w:val="0"/>
            <w:vAlign w:val="center"/>
          </w:tcPr>
          <w:p w14:paraId="123B81E6">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eastAsia" w:eastAsia="宋体" w:cs="Times New Roman"/>
                <w:color w:val="FF0000"/>
                <w:spacing w:val="-1"/>
                <w:sz w:val="21"/>
                <w:szCs w:val="21"/>
                <w:highlight w:val="none"/>
                <w:lang w:eastAsia="zh-CN"/>
              </w:rPr>
              <w:t>55%～85%</w:t>
            </w:r>
          </w:p>
        </w:tc>
      </w:tr>
      <w:tr w14:paraId="778784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27" w:type="pct"/>
            <w:tcBorders>
              <w:left w:val="nil"/>
            </w:tcBorders>
            <w:noWrap w:val="0"/>
            <w:vAlign w:val="center"/>
          </w:tcPr>
          <w:p w14:paraId="3D85D912">
            <w:pPr>
              <w:pStyle w:val="86"/>
              <w:keepNext w:val="0"/>
              <w:keepLines w:val="0"/>
              <w:pageBreakBefore w:val="0"/>
              <w:widowControl w:val="0"/>
              <w:kinsoku w:val="0"/>
              <w:wordWrap/>
              <w:overflowPunct w:val="0"/>
              <w:topLinePunct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lang w:eastAsia="zh-CN"/>
              </w:rPr>
            </w:pPr>
            <w:r>
              <w:rPr>
                <w:rFonts w:hint="default" w:ascii="Times New Roman" w:hAnsi="Times New Roman" w:eastAsia="宋体" w:cs="Times New Roman"/>
                <w:color w:val="FF0000"/>
                <w:sz w:val="21"/>
                <w:szCs w:val="21"/>
                <w:highlight w:val="none"/>
                <w:lang w:eastAsia="zh-CN"/>
              </w:rPr>
              <w:t>还原剂喷射位置</w:t>
            </w:r>
          </w:p>
        </w:tc>
        <w:tc>
          <w:tcPr>
            <w:tcW w:w="1445" w:type="pct"/>
            <w:noWrap w:val="0"/>
            <w:vAlign w:val="center"/>
          </w:tcPr>
          <w:p w14:paraId="23F1F1A8">
            <w:pPr>
              <w:pStyle w:val="86"/>
              <w:keepNext w:val="0"/>
              <w:keepLines w:val="0"/>
              <w:pageBreakBefore w:val="0"/>
              <w:widowControl w:val="0"/>
              <w:kinsoku w:val="0"/>
              <w:wordWrap/>
              <w:overflowPunct w:val="0"/>
              <w:topLinePunct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多选择于省煤器与</w:t>
            </w:r>
            <w:r>
              <w:rPr>
                <w:rFonts w:hint="default" w:ascii="Times New Roman" w:hAnsi="Times New Roman" w:eastAsia="宋体" w:cs="Times New Roman"/>
                <w:color w:val="FF0000"/>
                <w:spacing w:val="-63"/>
                <w:sz w:val="21"/>
                <w:szCs w:val="21"/>
                <w:highlight w:val="none"/>
              </w:rPr>
              <w:t xml:space="preserve"> </w:t>
            </w:r>
            <w:r>
              <w:rPr>
                <w:rFonts w:hint="default" w:ascii="Times New Roman" w:hAnsi="Times New Roman" w:eastAsia="宋体" w:cs="Times New Roman"/>
                <w:color w:val="FF0000"/>
                <w:spacing w:val="-1"/>
                <w:sz w:val="21"/>
                <w:szCs w:val="21"/>
                <w:highlight w:val="none"/>
              </w:rPr>
              <w:t>SCR反应</w:t>
            </w:r>
            <w:r>
              <w:rPr>
                <w:rFonts w:hint="default" w:ascii="Times New Roman" w:hAnsi="Times New Roman" w:eastAsia="宋体" w:cs="Times New Roman"/>
                <w:color w:val="FF0000"/>
                <w:sz w:val="21"/>
                <w:szCs w:val="21"/>
                <w:highlight w:val="none"/>
              </w:rPr>
              <w:t>器间烟道内</w:t>
            </w:r>
          </w:p>
        </w:tc>
        <w:tc>
          <w:tcPr>
            <w:tcW w:w="1213" w:type="pct"/>
            <w:noWrap w:val="0"/>
            <w:vAlign w:val="center"/>
          </w:tcPr>
          <w:p w14:paraId="481C51A6">
            <w:pPr>
              <w:pStyle w:val="86"/>
              <w:keepNext w:val="0"/>
              <w:keepLines w:val="0"/>
              <w:pageBreakBefore w:val="0"/>
              <w:widowControl w:val="0"/>
              <w:kinsoku w:val="0"/>
              <w:wordWrap/>
              <w:overflowPunct w:val="0"/>
              <w:topLinePunct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通常在炉膛内喷射</w:t>
            </w:r>
          </w:p>
        </w:tc>
        <w:tc>
          <w:tcPr>
            <w:tcW w:w="1713" w:type="pct"/>
            <w:tcBorders>
              <w:right w:val="nil"/>
            </w:tcBorders>
            <w:noWrap w:val="0"/>
            <w:vAlign w:val="center"/>
          </w:tcPr>
          <w:p w14:paraId="315681F9">
            <w:pPr>
              <w:pStyle w:val="86"/>
              <w:keepNext w:val="0"/>
              <w:keepLines w:val="0"/>
              <w:pageBreakBefore w:val="0"/>
              <w:widowControl w:val="0"/>
              <w:kinsoku w:val="0"/>
              <w:wordWrap/>
              <w:overflowPunct w:val="0"/>
              <w:topLinePunct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锅炉负荷不同喷射位置也</w:t>
            </w:r>
            <w:r>
              <w:rPr>
                <w:rFonts w:hint="default" w:ascii="Times New Roman" w:hAnsi="Times New Roman" w:eastAsia="宋体" w:cs="Times New Roman"/>
                <w:color w:val="FF0000"/>
                <w:spacing w:val="-1"/>
                <w:sz w:val="21"/>
                <w:szCs w:val="21"/>
                <w:highlight w:val="none"/>
              </w:rPr>
              <w:t>不</w:t>
            </w:r>
            <w:r>
              <w:rPr>
                <w:rFonts w:hint="default" w:ascii="Times New Roman" w:hAnsi="Times New Roman" w:eastAsia="宋体" w:cs="Times New Roman"/>
                <w:color w:val="FF0000"/>
                <w:spacing w:val="2"/>
                <w:sz w:val="21"/>
                <w:szCs w:val="21"/>
                <w:highlight w:val="none"/>
              </w:rPr>
              <w:t>同</w:t>
            </w:r>
            <w:r>
              <w:rPr>
                <w:rFonts w:hint="default" w:ascii="Times New Roman" w:hAnsi="Times New Roman" w:eastAsia="宋体" w:cs="Times New Roman"/>
                <w:color w:val="FF0000"/>
                <w:spacing w:val="-95"/>
                <w:sz w:val="21"/>
                <w:szCs w:val="21"/>
                <w:highlight w:val="none"/>
              </w:rPr>
              <w:t>，</w:t>
            </w:r>
            <w:r>
              <w:rPr>
                <w:rFonts w:hint="default" w:ascii="Times New Roman" w:hAnsi="Times New Roman" w:eastAsia="宋体" w:cs="Times New Roman"/>
                <w:color w:val="FF0000"/>
                <w:spacing w:val="-1"/>
                <w:sz w:val="21"/>
                <w:szCs w:val="21"/>
                <w:highlight w:val="none"/>
              </w:rPr>
              <w:t>通</w:t>
            </w:r>
            <w:r>
              <w:rPr>
                <w:rFonts w:hint="default" w:ascii="Times New Roman" w:hAnsi="Times New Roman" w:eastAsia="宋体" w:cs="Times New Roman"/>
                <w:color w:val="FF0000"/>
                <w:spacing w:val="2"/>
                <w:sz w:val="21"/>
                <w:szCs w:val="21"/>
                <w:highlight w:val="none"/>
              </w:rPr>
              <w:t>常</w:t>
            </w:r>
            <w:r>
              <w:rPr>
                <w:rFonts w:hint="default" w:ascii="Times New Roman" w:hAnsi="Times New Roman" w:eastAsia="宋体" w:cs="Times New Roman"/>
                <w:color w:val="FF0000"/>
                <w:spacing w:val="-1"/>
                <w:sz w:val="21"/>
                <w:szCs w:val="21"/>
                <w:highlight w:val="none"/>
              </w:rPr>
              <w:t>位</w:t>
            </w:r>
            <w:r>
              <w:rPr>
                <w:rFonts w:hint="default" w:ascii="Times New Roman" w:hAnsi="Times New Roman" w:eastAsia="宋体" w:cs="Times New Roman"/>
                <w:color w:val="FF0000"/>
                <w:spacing w:val="2"/>
                <w:sz w:val="21"/>
                <w:szCs w:val="21"/>
                <w:highlight w:val="none"/>
              </w:rPr>
              <w:t>于</w:t>
            </w:r>
            <w:r>
              <w:rPr>
                <w:rFonts w:hint="default" w:ascii="Times New Roman" w:hAnsi="Times New Roman" w:eastAsia="宋体" w:cs="Times New Roman"/>
                <w:color w:val="FF0000"/>
                <w:spacing w:val="-1"/>
                <w:sz w:val="21"/>
                <w:szCs w:val="21"/>
                <w:highlight w:val="none"/>
              </w:rPr>
              <w:t>一</w:t>
            </w:r>
            <w:r>
              <w:rPr>
                <w:rFonts w:hint="default" w:ascii="Times New Roman" w:hAnsi="Times New Roman" w:eastAsia="宋体" w:cs="Times New Roman"/>
                <w:color w:val="FF0000"/>
                <w:spacing w:val="2"/>
                <w:sz w:val="21"/>
                <w:szCs w:val="21"/>
                <w:highlight w:val="none"/>
              </w:rPr>
              <w:t>次</w:t>
            </w:r>
            <w:r>
              <w:rPr>
                <w:rFonts w:hint="default" w:ascii="Times New Roman" w:hAnsi="Times New Roman" w:eastAsia="宋体" w:cs="Times New Roman"/>
                <w:color w:val="FF0000"/>
                <w:spacing w:val="-1"/>
                <w:sz w:val="21"/>
                <w:szCs w:val="21"/>
                <w:highlight w:val="none"/>
              </w:rPr>
              <w:t>过</w:t>
            </w:r>
            <w:r>
              <w:rPr>
                <w:rFonts w:hint="default" w:ascii="Times New Roman" w:hAnsi="Times New Roman" w:eastAsia="宋体" w:cs="Times New Roman"/>
                <w:color w:val="FF0000"/>
                <w:spacing w:val="2"/>
                <w:sz w:val="21"/>
                <w:szCs w:val="21"/>
                <w:highlight w:val="none"/>
              </w:rPr>
              <w:t>热</w:t>
            </w:r>
            <w:r>
              <w:rPr>
                <w:rFonts w:hint="default" w:ascii="Times New Roman" w:hAnsi="Times New Roman" w:eastAsia="宋体" w:cs="Times New Roman"/>
                <w:color w:val="FF0000"/>
                <w:sz w:val="21"/>
                <w:szCs w:val="21"/>
                <w:highlight w:val="none"/>
              </w:rPr>
              <w:t>器或二次过热器后端</w:t>
            </w:r>
          </w:p>
        </w:tc>
      </w:tr>
      <w:tr w14:paraId="713C31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27" w:type="pct"/>
            <w:tcBorders>
              <w:left w:val="nil"/>
            </w:tcBorders>
            <w:noWrap w:val="0"/>
            <w:vAlign w:val="center"/>
          </w:tcPr>
          <w:p w14:paraId="4EDC5660">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SO</w:t>
            </w:r>
            <w:r>
              <w:rPr>
                <w:rFonts w:hint="default" w:ascii="Times New Roman" w:hAnsi="Times New Roman" w:eastAsia="宋体" w:cs="Times New Roman"/>
                <w:color w:val="FF0000"/>
                <w:spacing w:val="-1"/>
                <w:sz w:val="21"/>
                <w:szCs w:val="21"/>
                <w:highlight w:val="none"/>
                <w:vertAlign w:val="subscript"/>
              </w:rPr>
              <w:t>2</w:t>
            </w:r>
            <w:r>
              <w:rPr>
                <w:rFonts w:hint="default" w:ascii="Times New Roman" w:hAnsi="Times New Roman" w:eastAsia="宋体" w:cs="Times New Roman"/>
                <w:color w:val="FF0000"/>
                <w:spacing w:val="-1"/>
                <w:sz w:val="21"/>
                <w:szCs w:val="21"/>
                <w:highlight w:val="none"/>
              </w:rPr>
              <w:t>/SO</w:t>
            </w:r>
            <w:r>
              <w:rPr>
                <w:rFonts w:hint="default" w:ascii="Times New Roman" w:hAnsi="Times New Roman" w:eastAsia="宋体" w:cs="Times New Roman"/>
                <w:color w:val="FF0000"/>
                <w:spacing w:val="-1"/>
                <w:sz w:val="21"/>
                <w:szCs w:val="21"/>
                <w:highlight w:val="none"/>
                <w:vertAlign w:val="subscript"/>
              </w:rPr>
              <w:t>3</w:t>
            </w:r>
            <w:r>
              <w:rPr>
                <w:rFonts w:hint="default" w:ascii="Times New Roman" w:hAnsi="Times New Roman" w:eastAsia="宋体" w:cs="Times New Roman"/>
                <w:color w:val="FF0000"/>
                <w:spacing w:val="-1"/>
                <w:sz w:val="21"/>
                <w:szCs w:val="21"/>
                <w:highlight w:val="none"/>
              </w:rPr>
              <w:t>氧化</w:t>
            </w:r>
          </w:p>
        </w:tc>
        <w:tc>
          <w:tcPr>
            <w:tcW w:w="1445" w:type="pct"/>
            <w:noWrap w:val="0"/>
            <w:vAlign w:val="center"/>
          </w:tcPr>
          <w:p w14:paraId="1CAFD3F6">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会导致SO</w:t>
            </w:r>
            <w:r>
              <w:rPr>
                <w:rFonts w:hint="default" w:ascii="Times New Roman" w:hAnsi="Times New Roman" w:eastAsia="宋体" w:cs="Times New Roman"/>
                <w:color w:val="FF0000"/>
                <w:spacing w:val="-1"/>
                <w:sz w:val="21"/>
                <w:szCs w:val="21"/>
                <w:highlight w:val="none"/>
                <w:vertAlign w:val="subscript"/>
              </w:rPr>
              <w:t>2</w:t>
            </w:r>
            <w:r>
              <w:rPr>
                <w:rFonts w:hint="default" w:ascii="Times New Roman" w:hAnsi="Times New Roman" w:eastAsia="宋体" w:cs="Times New Roman"/>
                <w:color w:val="FF0000"/>
                <w:spacing w:val="-1"/>
                <w:sz w:val="21"/>
                <w:szCs w:val="21"/>
                <w:highlight w:val="none"/>
              </w:rPr>
              <w:t>/SO</w:t>
            </w:r>
            <w:r>
              <w:rPr>
                <w:rFonts w:hint="default" w:ascii="Times New Roman" w:hAnsi="Times New Roman" w:eastAsia="宋体" w:cs="Times New Roman"/>
                <w:color w:val="FF0000"/>
                <w:spacing w:val="-1"/>
                <w:sz w:val="21"/>
                <w:szCs w:val="21"/>
                <w:highlight w:val="none"/>
                <w:vertAlign w:val="subscript"/>
              </w:rPr>
              <w:t>3</w:t>
            </w:r>
            <w:r>
              <w:rPr>
                <w:rFonts w:hint="default" w:ascii="Times New Roman" w:hAnsi="Times New Roman" w:eastAsia="宋体" w:cs="Times New Roman"/>
                <w:color w:val="FF0000"/>
                <w:spacing w:val="-1"/>
                <w:sz w:val="21"/>
                <w:szCs w:val="21"/>
                <w:highlight w:val="none"/>
              </w:rPr>
              <w:t>氧化，</w:t>
            </w:r>
            <w:r>
              <w:rPr>
                <w:rFonts w:hint="default" w:ascii="Times New Roman" w:hAnsi="Times New Roman" w:eastAsia="宋体" w:cs="Times New Roman"/>
                <w:color w:val="FF0000"/>
                <w:spacing w:val="-1"/>
                <w:sz w:val="21"/>
                <w:szCs w:val="21"/>
                <w:highlight w:val="none"/>
                <w:lang w:eastAsia="zh-CN"/>
              </w:rPr>
              <w:t>一般</w:t>
            </w:r>
            <w:r>
              <w:rPr>
                <w:rFonts w:hint="default" w:ascii="Times New Roman" w:hAnsi="Times New Roman" w:eastAsia="宋体" w:cs="Times New Roman"/>
                <w:color w:val="FF0000"/>
                <w:spacing w:val="-1"/>
                <w:sz w:val="21"/>
                <w:szCs w:val="21"/>
                <w:highlight w:val="none"/>
              </w:rPr>
              <w:t>要求控制氧化率在1%</w:t>
            </w:r>
          </w:p>
        </w:tc>
        <w:tc>
          <w:tcPr>
            <w:tcW w:w="1213" w:type="pct"/>
            <w:noWrap w:val="0"/>
            <w:vAlign w:val="center"/>
          </w:tcPr>
          <w:p w14:paraId="42A43D4A">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不导致SO</w:t>
            </w:r>
            <w:r>
              <w:rPr>
                <w:rFonts w:hint="default" w:ascii="Times New Roman" w:hAnsi="Times New Roman" w:eastAsia="宋体" w:cs="Times New Roman"/>
                <w:color w:val="FF0000"/>
                <w:spacing w:val="-1"/>
                <w:sz w:val="21"/>
                <w:szCs w:val="21"/>
                <w:highlight w:val="none"/>
                <w:vertAlign w:val="subscript"/>
              </w:rPr>
              <w:t>2</w:t>
            </w:r>
            <w:r>
              <w:rPr>
                <w:rFonts w:hint="default" w:ascii="Times New Roman" w:hAnsi="Times New Roman" w:eastAsia="宋体" w:cs="Times New Roman"/>
                <w:color w:val="FF0000"/>
                <w:spacing w:val="-1"/>
                <w:sz w:val="21"/>
                <w:szCs w:val="21"/>
                <w:highlight w:val="none"/>
              </w:rPr>
              <w:t>/SO</w:t>
            </w:r>
            <w:r>
              <w:rPr>
                <w:rFonts w:hint="default" w:ascii="Times New Roman" w:hAnsi="Times New Roman" w:eastAsia="宋体" w:cs="Times New Roman"/>
                <w:color w:val="FF0000"/>
                <w:spacing w:val="-1"/>
                <w:sz w:val="21"/>
                <w:szCs w:val="21"/>
                <w:highlight w:val="none"/>
                <w:vertAlign w:val="subscript"/>
              </w:rPr>
              <w:t>3</w:t>
            </w:r>
            <w:r>
              <w:rPr>
                <w:rFonts w:hint="default" w:ascii="Times New Roman" w:hAnsi="Times New Roman" w:eastAsia="宋体" w:cs="Times New Roman"/>
                <w:color w:val="FF0000"/>
                <w:spacing w:val="-1"/>
                <w:sz w:val="21"/>
                <w:szCs w:val="21"/>
                <w:highlight w:val="none"/>
              </w:rPr>
              <w:t>氧化，SO</w:t>
            </w:r>
            <w:r>
              <w:rPr>
                <w:rFonts w:hint="default" w:ascii="Times New Roman" w:hAnsi="Times New Roman" w:eastAsia="宋体" w:cs="Times New Roman"/>
                <w:color w:val="FF0000"/>
                <w:spacing w:val="-1"/>
                <w:sz w:val="21"/>
                <w:szCs w:val="21"/>
                <w:highlight w:val="none"/>
                <w:vertAlign w:val="subscript"/>
              </w:rPr>
              <w:t>3</w:t>
            </w:r>
            <w:r>
              <w:rPr>
                <w:rFonts w:hint="default" w:ascii="Times New Roman" w:hAnsi="Times New Roman" w:eastAsia="宋体" w:cs="Times New Roman"/>
                <w:color w:val="FF0000"/>
                <w:spacing w:val="-1"/>
                <w:sz w:val="21"/>
                <w:szCs w:val="21"/>
                <w:highlight w:val="none"/>
              </w:rPr>
              <w:t>浓度不增加</w:t>
            </w:r>
          </w:p>
        </w:tc>
        <w:tc>
          <w:tcPr>
            <w:tcW w:w="1713" w:type="pct"/>
            <w:tcBorders>
              <w:right w:val="nil"/>
            </w:tcBorders>
            <w:noWrap w:val="0"/>
            <w:vAlign w:val="center"/>
          </w:tcPr>
          <w:p w14:paraId="5EAF71B3">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SO</w:t>
            </w:r>
            <w:r>
              <w:rPr>
                <w:rFonts w:hint="default" w:ascii="Times New Roman" w:hAnsi="Times New Roman" w:eastAsia="宋体" w:cs="Times New Roman"/>
                <w:color w:val="FF0000"/>
                <w:spacing w:val="-1"/>
                <w:sz w:val="21"/>
                <w:szCs w:val="21"/>
                <w:highlight w:val="none"/>
                <w:vertAlign w:val="subscript"/>
              </w:rPr>
              <w:t>2</w:t>
            </w:r>
            <w:r>
              <w:rPr>
                <w:rFonts w:hint="default" w:ascii="Times New Roman" w:hAnsi="Times New Roman" w:eastAsia="宋体" w:cs="Times New Roman"/>
                <w:color w:val="FF0000"/>
                <w:spacing w:val="-1"/>
                <w:sz w:val="21"/>
                <w:szCs w:val="21"/>
                <w:highlight w:val="none"/>
              </w:rPr>
              <w:t>/SO</w:t>
            </w:r>
            <w:r>
              <w:rPr>
                <w:rFonts w:hint="default" w:ascii="Times New Roman" w:hAnsi="Times New Roman" w:eastAsia="宋体" w:cs="Times New Roman"/>
                <w:color w:val="FF0000"/>
                <w:spacing w:val="-1"/>
                <w:sz w:val="21"/>
                <w:szCs w:val="21"/>
                <w:highlight w:val="none"/>
                <w:vertAlign w:val="subscript"/>
              </w:rPr>
              <w:t>3</w:t>
            </w:r>
            <w:r>
              <w:rPr>
                <w:rFonts w:hint="default" w:ascii="Times New Roman" w:hAnsi="Times New Roman" w:eastAsia="宋体" w:cs="Times New Roman"/>
                <w:color w:val="FF0000"/>
                <w:spacing w:val="-1"/>
                <w:sz w:val="21"/>
                <w:szCs w:val="21"/>
                <w:highlight w:val="none"/>
              </w:rPr>
              <w:t>氧化较SCR低</w:t>
            </w:r>
            <w:r>
              <w:rPr>
                <w:rFonts w:hint="default" w:ascii="Times New Roman" w:hAnsi="Times New Roman" w:eastAsia="宋体" w:cs="Times New Roman"/>
                <w:color w:val="FF0000"/>
                <w:spacing w:val="-1"/>
                <w:sz w:val="21"/>
                <w:szCs w:val="21"/>
                <w:highlight w:val="none"/>
                <w:lang w:eastAsia="zh-CN"/>
              </w:rPr>
              <w:t>，</w:t>
            </w:r>
            <w:r>
              <w:rPr>
                <w:rFonts w:hint="default" w:ascii="Times New Roman" w:hAnsi="Times New Roman" w:eastAsia="宋体" w:cs="Times New Roman"/>
                <w:color w:val="FF0000"/>
                <w:spacing w:val="-1"/>
                <w:sz w:val="21"/>
                <w:szCs w:val="21"/>
                <w:highlight w:val="none"/>
              </w:rPr>
              <w:t>SO</w:t>
            </w:r>
            <w:r>
              <w:rPr>
                <w:rFonts w:hint="default" w:ascii="Times New Roman" w:hAnsi="Times New Roman" w:eastAsia="宋体" w:cs="Times New Roman"/>
                <w:color w:val="FF0000"/>
                <w:spacing w:val="-1"/>
                <w:sz w:val="21"/>
                <w:szCs w:val="21"/>
                <w:highlight w:val="none"/>
                <w:vertAlign w:val="subscript"/>
              </w:rPr>
              <w:t>3</w:t>
            </w:r>
            <w:r>
              <w:rPr>
                <w:rFonts w:hint="default" w:ascii="Times New Roman" w:hAnsi="Times New Roman" w:eastAsia="宋体" w:cs="Times New Roman"/>
                <w:color w:val="FF0000"/>
                <w:spacing w:val="-1"/>
                <w:sz w:val="21"/>
                <w:szCs w:val="21"/>
                <w:highlight w:val="none"/>
              </w:rPr>
              <w:t>浓度的增加与催化剂体积成正比</w:t>
            </w:r>
          </w:p>
        </w:tc>
      </w:tr>
      <w:tr w14:paraId="0A020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27" w:type="pct"/>
            <w:tcBorders>
              <w:left w:val="nil"/>
            </w:tcBorders>
            <w:noWrap w:val="0"/>
            <w:vAlign w:val="center"/>
          </w:tcPr>
          <w:p w14:paraId="47FA8557">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NH</w:t>
            </w:r>
            <w:r>
              <w:rPr>
                <w:rFonts w:hint="default" w:ascii="Times New Roman" w:hAnsi="Times New Roman" w:eastAsia="宋体" w:cs="Times New Roman"/>
                <w:color w:val="FF0000"/>
                <w:spacing w:val="-1"/>
                <w:sz w:val="21"/>
                <w:szCs w:val="21"/>
                <w:highlight w:val="none"/>
                <w:vertAlign w:val="subscript"/>
              </w:rPr>
              <w:t>3</w:t>
            </w:r>
            <w:r>
              <w:rPr>
                <w:rFonts w:hint="default" w:ascii="Times New Roman" w:hAnsi="Times New Roman" w:eastAsia="宋体" w:cs="Times New Roman"/>
                <w:color w:val="FF0000"/>
                <w:spacing w:val="-1"/>
                <w:sz w:val="21"/>
                <w:szCs w:val="21"/>
                <w:highlight w:val="none"/>
              </w:rPr>
              <w:t>逃逸</w:t>
            </w:r>
          </w:p>
        </w:tc>
        <w:tc>
          <w:tcPr>
            <w:tcW w:w="1445" w:type="pct"/>
            <w:noWrap w:val="0"/>
            <w:vAlign w:val="center"/>
          </w:tcPr>
          <w:p w14:paraId="05DE656C">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一般要求控制＜3ppm</w:t>
            </w:r>
          </w:p>
        </w:tc>
        <w:tc>
          <w:tcPr>
            <w:tcW w:w="1213" w:type="pct"/>
            <w:noWrap w:val="0"/>
            <w:vAlign w:val="center"/>
          </w:tcPr>
          <w:p w14:paraId="5BE85B6D">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10</w:t>
            </w:r>
            <w:r>
              <w:rPr>
                <w:rFonts w:hint="eastAsia" w:eastAsia="宋体" w:cs="Times New Roman"/>
                <w:color w:val="FF0000"/>
                <w:spacing w:val="-1"/>
                <w:sz w:val="21"/>
                <w:szCs w:val="21"/>
                <w:highlight w:val="none"/>
                <w:lang w:eastAsia="zh-CN"/>
              </w:rPr>
              <w:t>~</w:t>
            </w:r>
            <w:r>
              <w:rPr>
                <w:rFonts w:hint="default" w:ascii="Times New Roman" w:hAnsi="Times New Roman" w:eastAsia="宋体" w:cs="Times New Roman"/>
                <w:color w:val="FF0000"/>
                <w:spacing w:val="-1"/>
                <w:sz w:val="21"/>
                <w:szCs w:val="21"/>
                <w:highlight w:val="none"/>
              </w:rPr>
              <w:t>15ppm</w:t>
            </w:r>
          </w:p>
        </w:tc>
        <w:tc>
          <w:tcPr>
            <w:tcW w:w="1713" w:type="pct"/>
            <w:tcBorders>
              <w:right w:val="nil"/>
            </w:tcBorders>
            <w:noWrap w:val="0"/>
            <w:vAlign w:val="center"/>
          </w:tcPr>
          <w:p w14:paraId="75E41E81">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＜3ppm</w:t>
            </w:r>
          </w:p>
        </w:tc>
      </w:tr>
      <w:tr w14:paraId="3D66F9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27" w:type="pct"/>
            <w:tcBorders>
              <w:left w:val="nil"/>
            </w:tcBorders>
            <w:noWrap w:val="0"/>
            <w:vAlign w:val="center"/>
          </w:tcPr>
          <w:p w14:paraId="52EEC9BB">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对空气预热器影响</w:t>
            </w:r>
          </w:p>
        </w:tc>
        <w:tc>
          <w:tcPr>
            <w:tcW w:w="1445" w:type="pct"/>
            <w:noWrap w:val="0"/>
            <w:vAlign w:val="center"/>
          </w:tcPr>
          <w:p w14:paraId="42E83146">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低温时NH</w:t>
            </w:r>
            <w:r>
              <w:rPr>
                <w:rFonts w:hint="default" w:ascii="Times New Roman" w:hAnsi="Times New Roman" w:eastAsia="宋体" w:cs="Times New Roman"/>
                <w:color w:val="FF0000"/>
                <w:spacing w:val="-1"/>
                <w:sz w:val="21"/>
                <w:szCs w:val="21"/>
                <w:highlight w:val="none"/>
                <w:vertAlign w:val="subscript"/>
              </w:rPr>
              <w:t>3</w:t>
            </w:r>
            <w:r>
              <w:rPr>
                <w:rFonts w:hint="default" w:ascii="Times New Roman" w:hAnsi="Times New Roman" w:eastAsia="宋体" w:cs="Times New Roman"/>
                <w:color w:val="FF0000"/>
                <w:spacing w:val="-1"/>
                <w:sz w:val="21"/>
                <w:szCs w:val="21"/>
                <w:highlight w:val="none"/>
              </w:rPr>
              <w:t>与SO</w:t>
            </w:r>
            <w:r>
              <w:rPr>
                <w:rFonts w:hint="default" w:ascii="Times New Roman" w:hAnsi="Times New Roman" w:eastAsia="宋体" w:cs="Times New Roman"/>
                <w:color w:val="FF0000"/>
                <w:spacing w:val="-1"/>
                <w:sz w:val="21"/>
                <w:szCs w:val="21"/>
                <w:highlight w:val="none"/>
                <w:vertAlign w:val="subscript"/>
              </w:rPr>
              <w:t>3</w:t>
            </w:r>
            <w:r>
              <w:rPr>
                <w:rFonts w:hint="default" w:ascii="Times New Roman" w:hAnsi="Times New Roman" w:eastAsia="宋体" w:cs="Times New Roman"/>
                <w:color w:val="FF0000"/>
                <w:spacing w:val="-1"/>
                <w:sz w:val="21"/>
                <w:szCs w:val="21"/>
                <w:highlight w:val="none"/>
              </w:rPr>
              <w:t>易形成NH4HSO</w:t>
            </w:r>
            <w:r>
              <w:rPr>
                <w:rFonts w:hint="default" w:ascii="Times New Roman" w:hAnsi="Times New Roman" w:eastAsia="宋体" w:cs="Times New Roman"/>
                <w:color w:val="FF0000"/>
                <w:spacing w:val="-1"/>
                <w:sz w:val="21"/>
                <w:szCs w:val="21"/>
                <w:highlight w:val="none"/>
                <w:vertAlign w:val="subscript"/>
              </w:rPr>
              <w:t>4</w:t>
            </w:r>
            <w:r>
              <w:rPr>
                <w:rFonts w:hint="default" w:ascii="Times New Roman" w:hAnsi="Times New Roman" w:eastAsia="宋体" w:cs="Times New Roman"/>
                <w:color w:val="FF0000"/>
                <w:spacing w:val="-1"/>
                <w:sz w:val="21"/>
                <w:szCs w:val="21"/>
                <w:highlight w:val="none"/>
              </w:rPr>
              <w:t>造成堵塞或腐蚀</w:t>
            </w:r>
          </w:p>
        </w:tc>
        <w:tc>
          <w:tcPr>
            <w:tcW w:w="1213" w:type="pct"/>
            <w:noWrap w:val="0"/>
            <w:vAlign w:val="center"/>
          </w:tcPr>
          <w:p w14:paraId="3A4EBCF7">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lang w:eastAsia="zh-CN"/>
              </w:rPr>
            </w:pPr>
            <w:r>
              <w:rPr>
                <w:rFonts w:hint="default" w:ascii="Times New Roman" w:hAnsi="Times New Roman" w:eastAsia="宋体" w:cs="Times New Roman"/>
                <w:color w:val="FF0000"/>
                <w:spacing w:val="-1"/>
                <w:sz w:val="21"/>
                <w:szCs w:val="21"/>
                <w:highlight w:val="none"/>
              </w:rPr>
              <w:t>不导致SO</w:t>
            </w:r>
            <w:r>
              <w:rPr>
                <w:rFonts w:hint="default" w:ascii="Times New Roman" w:hAnsi="Times New Roman" w:eastAsia="宋体" w:cs="Times New Roman"/>
                <w:color w:val="FF0000"/>
                <w:spacing w:val="-1"/>
                <w:sz w:val="21"/>
                <w:szCs w:val="21"/>
                <w:highlight w:val="none"/>
                <w:vertAlign w:val="subscript"/>
              </w:rPr>
              <w:t>2</w:t>
            </w:r>
            <w:r>
              <w:rPr>
                <w:rFonts w:hint="default" w:ascii="Times New Roman" w:hAnsi="Times New Roman" w:eastAsia="宋体" w:cs="Times New Roman"/>
                <w:color w:val="FF0000"/>
                <w:spacing w:val="-1"/>
                <w:sz w:val="21"/>
                <w:szCs w:val="21"/>
                <w:highlight w:val="none"/>
              </w:rPr>
              <w:t>/SO</w:t>
            </w:r>
            <w:r>
              <w:rPr>
                <w:rFonts w:hint="default" w:ascii="Times New Roman" w:hAnsi="Times New Roman" w:eastAsia="宋体" w:cs="Times New Roman"/>
                <w:color w:val="FF0000"/>
                <w:spacing w:val="-1"/>
                <w:sz w:val="21"/>
                <w:szCs w:val="21"/>
                <w:highlight w:val="none"/>
                <w:vertAlign w:val="subscript"/>
              </w:rPr>
              <w:t>3</w:t>
            </w:r>
            <w:r>
              <w:rPr>
                <w:rFonts w:hint="default" w:ascii="Times New Roman" w:hAnsi="Times New Roman" w:eastAsia="宋体" w:cs="Times New Roman"/>
                <w:color w:val="FF0000"/>
                <w:spacing w:val="-1"/>
                <w:sz w:val="21"/>
                <w:szCs w:val="21"/>
                <w:highlight w:val="none"/>
              </w:rPr>
              <w:t>的氧化</w:t>
            </w:r>
            <w:r>
              <w:rPr>
                <w:rFonts w:hint="default" w:ascii="Times New Roman" w:hAnsi="Times New Roman" w:eastAsia="宋体" w:cs="Times New Roman"/>
                <w:color w:val="FF0000"/>
                <w:spacing w:val="-1"/>
                <w:sz w:val="21"/>
                <w:szCs w:val="21"/>
                <w:highlight w:val="none"/>
                <w:lang w:eastAsia="zh-CN"/>
              </w:rPr>
              <w:t>，</w:t>
            </w:r>
            <w:r>
              <w:rPr>
                <w:rFonts w:hint="default" w:ascii="Times New Roman" w:hAnsi="Times New Roman" w:eastAsia="宋体" w:cs="Times New Roman"/>
                <w:color w:val="FF0000"/>
                <w:spacing w:val="-1"/>
                <w:sz w:val="21"/>
                <w:szCs w:val="21"/>
                <w:highlight w:val="none"/>
              </w:rPr>
              <w:t>造成堵塞或腐蚀的机会为三者最低</w:t>
            </w:r>
          </w:p>
        </w:tc>
        <w:tc>
          <w:tcPr>
            <w:tcW w:w="1713" w:type="pct"/>
            <w:tcBorders>
              <w:right w:val="nil"/>
            </w:tcBorders>
            <w:noWrap w:val="0"/>
            <w:vAlign w:val="center"/>
          </w:tcPr>
          <w:p w14:paraId="5211343E">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both"/>
              <w:textAlignment w:val="auto"/>
              <w:rPr>
                <w:rFonts w:hint="default" w:ascii="Times New Roman" w:hAnsi="Times New Roman" w:eastAsia="宋体" w:cs="Times New Roman"/>
                <w:color w:val="FF0000"/>
                <w:spacing w:val="-1"/>
                <w:sz w:val="21"/>
                <w:szCs w:val="21"/>
                <w:highlight w:val="none"/>
                <w:lang w:eastAsia="zh-CN"/>
              </w:rPr>
            </w:pPr>
            <w:r>
              <w:rPr>
                <w:rFonts w:hint="default" w:ascii="Times New Roman" w:hAnsi="Times New Roman" w:eastAsia="宋体" w:cs="Times New Roman"/>
                <w:color w:val="FF0000"/>
                <w:spacing w:val="-1"/>
                <w:sz w:val="21"/>
                <w:szCs w:val="21"/>
                <w:highlight w:val="none"/>
              </w:rPr>
              <w:t>SO</w:t>
            </w:r>
            <w:r>
              <w:rPr>
                <w:rFonts w:hint="default" w:ascii="Times New Roman" w:hAnsi="Times New Roman" w:eastAsia="宋体" w:cs="Times New Roman"/>
                <w:color w:val="FF0000"/>
                <w:spacing w:val="-1"/>
                <w:sz w:val="21"/>
                <w:szCs w:val="21"/>
                <w:highlight w:val="none"/>
                <w:vertAlign w:val="subscript"/>
              </w:rPr>
              <w:t>2</w:t>
            </w:r>
            <w:r>
              <w:rPr>
                <w:rFonts w:hint="default" w:ascii="Times New Roman" w:hAnsi="Times New Roman" w:eastAsia="宋体" w:cs="Times New Roman"/>
                <w:color w:val="FF0000"/>
                <w:spacing w:val="-1"/>
                <w:sz w:val="21"/>
                <w:szCs w:val="21"/>
                <w:highlight w:val="none"/>
              </w:rPr>
              <w:t>/SO</w:t>
            </w:r>
            <w:r>
              <w:rPr>
                <w:rFonts w:hint="default" w:ascii="Times New Roman" w:hAnsi="Times New Roman" w:eastAsia="宋体" w:cs="Times New Roman"/>
                <w:color w:val="FF0000"/>
                <w:spacing w:val="-1"/>
                <w:sz w:val="21"/>
                <w:szCs w:val="21"/>
                <w:highlight w:val="none"/>
                <w:vertAlign w:val="subscript"/>
              </w:rPr>
              <w:t>3</w:t>
            </w:r>
            <w:r>
              <w:rPr>
                <w:rFonts w:hint="default" w:ascii="Times New Roman" w:hAnsi="Times New Roman" w:eastAsia="宋体" w:cs="Times New Roman"/>
                <w:color w:val="FF0000"/>
                <w:spacing w:val="-1"/>
                <w:sz w:val="21"/>
                <w:szCs w:val="21"/>
                <w:highlight w:val="none"/>
              </w:rPr>
              <w:t>氧化率较SCR低，造成堵塞或腐蚀的机会较SCR低</w:t>
            </w:r>
            <w:r>
              <w:rPr>
                <w:rFonts w:hint="default" w:ascii="Times New Roman" w:hAnsi="Times New Roman" w:eastAsia="宋体" w:cs="Times New Roman"/>
                <w:color w:val="FF0000"/>
                <w:spacing w:val="-1"/>
                <w:sz w:val="21"/>
                <w:szCs w:val="21"/>
                <w:highlight w:val="none"/>
                <w:lang w:eastAsia="zh-CN"/>
              </w:rPr>
              <w:t>。</w:t>
            </w:r>
          </w:p>
        </w:tc>
      </w:tr>
      <w:tr w14:paraId="7B26C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27" w:type="pct"/>
            <w:tcBorders>
              <w:left w:val="nil"/>
            </w:tcBorders>
            <w:noWrap w:val="0"/>
            <w:vAlign w:val="center"/>
          </w:tcPr>
          <w:p w14:paraId="2B976645">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系统压力损失</w:t>
            </w:r>
          </w:p>
        </w:tc>
        <w:tc>
          <w:tcPr>
            <w:tcW w:w="1445" w:type="pct"/>
            <w:noWrap w:val="0"/>
            <w:vAlign w:val="center"/>
          </w:tcPr>
          <w:p w14:paraId="5FCF95AD">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催化剂会造成压力损失</w:t>
            </w:r>
          </w:p>
        </w:tc>
        <w:tc>
          <w:tcPr>
            <w:tcW w:w="1213" w:type="pct"/>
            <w:noWrap w:val="0"/>
            <w:vAlign w:val="center"/>
          </w:tcPr>
          <w:p w14:paraId="2CF720F1">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没有压力损失</w:t>
            </w:r>
          </w:p>
        </w:tc>
        <w:tc>
          <w:tcPr>
            <w:tcW w:w="1713" w:type="pct"/>
            <w:tcBorders>
              <w:right w:val="nil"/>
            </w:tcBorders>
            <w:noWrap w:val="0"/>
            <w:vAlign w:val="center"/>
          </w:tcPr>
          <w:p w14:paraId="6AAABE1E">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催化剂用量较SCR小，产生的压力损失相对较低</w:t>
            </w:r>
          </w:p>
        </w:tc>
      </w:tr>
      <w:tr w14:paraId="34AF2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27" w:type="pct"/>
            <w:tcBorders>
              <w:left w:val="nil"/>
            </w:tcBorders>
            <w:noWrap w:val="0"/>
            <w:vAlign w:val="center"/>
          </w:tcPr>
          <w:p w14:paraId="54B6D26C">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燃料的影响</w:t>
            </w:r>
          </w:p>
        </w:tc>
        <w:tc>
          <w:tcPr>
            <w:tcW w:w="1445" w:type="pct"/>
            <w:noWrap w:val="0"/>
            <w:vAlign w:val="center"/>
          </w:tcPr>
          <w:p w14:paraId="563267E8">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both"/>
              <w:textAlignment w:val="auto"/>
              <w:rPr>
                <w:rFonts w:hint="default" w:ascii="Times New Roman" w:hAnsi="Times New Roman" w:eastAsia="宋体" w:cs="Times New Roman"/>
                <w:color w:val="FF0000"/>
                <w:spacing w:val="-1"/>
                <w:sz w:val="21"/>
                <w:szCs w:val="21"/>
                <w:highlight w:val="none"/>
                <w:lang w:eastAsia="zh-CN"/>
              </w:rPr>
            </w:pPr>
            <w:r>
              <w:rPr>
                <w:rFonts w:hint="eastAsia" w:eastAsia="宋体" w:cs="Times New Roman"/>
                <w:color w:val="FF0000"/>
                <w:spacing w:val="-1"/>
                <w:sz w:val="21"/>
                <w:szCs w:val="21"/>
                <w:highlight w:val="none"/>
                <w:lang w:eastAsia="zh-CN"/>
              </w:rPr>
              <w:t>灰分</w:t>
            </w:r>
            <w:r>
              <w:rPr>
                <w:rFonts w:hint="default" w:ascii="Times New Roman" w:hAnsi="Times New Roman" w:eastAsia="宋体" w:cs="Times New Roman"/>
                <w:color w:val="FF0000"/>
                <w:spacing w:val="-1"/>
                <w:sz w:val="21"/>
                <w:szCs w:val="21"/>
                <w:highlight w:val="none"/>
              </w:rPr>
              <w:t>会磨耗催化剂，碱金属氧化物会使催化剂钝化。AS</w:t>
            </w:r>
            <w:r>
              <w:rPr>
                <w:rFonts w:hint="default" w:ascii="Times New Roman" w:hAnsi="Times New Roman" w:eastAsia="宋体" w:cs="Times New Roman"/>
                <w:color w:val="FF0000"/>
                <w:spacing w:val="-1"/>
                <w:sz w:val="21"/>
                <w:szCs w:val="21"/>
                <w:highlight w:val="none"/>
                <w:lang w:val="en-US" w:eastAsia="zh-CN"/>
              </w:rPr>
              <w:t>,</w:t>
            </w:r>
            <w:r>
              <w:rPr>
                <w:rFonts w:hint="default" w:ascii="Times New Roman" w:hAnsi="Times New Roman" w:eastAsia="宋体" w:cs="Times New Roman"/>
                <w:color w:val="FF0000"/>
                <w:spacing w:val="-1"/>
                <w:sz w:val="21"/>
                <w:szCs w:val="21"/>
                <w:highlight w:val="none"/>
              </w:rPr>
              <w:t>S等会使催化剂失活。煤的</w:t>
            </w:r>
            <w:r>
              <w:rPr>
                <w:rFonts w:hint="eastAsia" w:eastAsia="宋体" w:cs="Times New Roman"/>
                <w:color w:val="FF0000"/>
                <w:spacing w:val="-1"/>
                <w:sz w:val="21"/>
                <w:szCs w:val="21"/>
                <w:highlight w:val="none"/>
                <w:lang w:eastAsia="zh-CN"/>
              </w:rPr>
              <w:t>灰分</w:t>
            </w:r>
            <w:r>
              <w:rPr>
                <w:rFonts w:hint="default" w:ascii="Times New Roman" w:hAnsi="Times New Roman" w:eastAsia="宋体" w:cs="Times New Roman"/>
                <w:color w:val="FF0000"/>
                <w:spacing w:val="-1"/>
                <w:sz w:val="21"/>
                <w:szCs w:val="21"/>
                <w:highlight w:val="none"/>
              </w:rPr>
              <w:t>越高，催化剂的寿命越短，将显著影响运行费用</w:t>
            </w:r>
          </w:p>
        </w:tc>
        <w:tc>
          <w:tcPr>
            <w:tcW w:w="1213" w:type="pct"/>
            <w:noWrap w:val="0"/>
            <w:vAlign w:val="center"/>
          </w:tcPr>
          <w:p w14:paraId="5F55221E">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lang w:val="en-US" w:eastAsia="zh-CN"/>
              </w:rPr>
            </w:pPr>
            <w:r>
              <w:rPr>
                <w:rFonts w:hint="default" w:ascii="Times New Roman" w:hAnsi="Times New Roman" w:eastAsia="宋体" w:cs="Times New Roman"/>
                <w:color w:val="FF0000"/>
                <w:spacing w:val="-1"/>
                <w:sz w:val="21"/>
                <w:szCs w:val="21"/>
                <w:highlight w:val="none"/>
                <w:lang w:val="en-US" w:eastAsia="zh-CN"/>
              </w:rPr>
              <w:t>无影响</w:t>
            </w:r>
          </w:p>
        </w:tc>
        <w:tc>
          <w:tcPr>
            <w:tcW w:w="1713" w:type="pct"/>
            <w:tcBorders>
              <w:right w:val="nil"/>
            </w:tcBorders>
            <w:noWrap w:val="0"/>
            <w:vAlign w:val="center"/>
          </w:tcPr>
          <w:p w14:paraId="49764F54">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影响与SCR相同。由于催化剂的体积较小，更换催化剂的总成本较全尺寸SCR低</w:t>
            </w:r>
          </w:p>
        </w:tc>
      </w:tr>
      <w:tr w14:paraId="64F64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27" w:type="pct"/>
            <w:tcBorders>
              <w:left w:val="nil"/>
            </w:tcBorders>
            <w:noWrap w:val="0"/>
            <w:vAlign w:val="center"/>
          </w:tcPr>
          <w:p w14:paraId="6D1DFD9C">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锅炉的影响</w:t>
            </w:r>
          </w:p>
        </w:tc>
        <w:tc>
          <w:tcPr>
            <w:tcW w:w="1445" w:type="pct"/>
            <w:noWrap w:val="0"/>
            <w:vAlign w:val="center"/>
          </w:tcPr>
          <w:p w14:paraId="450B3564">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受省煤器出口烟气温度的影响</w:t>
            </w:r>
          </w:p>
        </w:tc>
        <w:tc>
          <w:tcPr>
            <w:tcW w:w="1213" w:type="pct"/>
            <w:noWrap w:val="0"/>
            <w:vAlign w:val="center"/>
          </w:tcPr>
          <w:p w14:paraId="2F6CC345">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受炉膛内烟气流速及温度分布的影响</w:t>
            </w:r>
          </w:p>
        </w:tc>
        <w:tc>
          <w:tcPr>
            <w:tcW w:w="1713" w:type="pct"/>
            <w:tcBorders>
              <w:right w:val="nil"/>
            </w:tcBorders>
            <w:noWrap w:val="0"/>
            <w:vAlign w:val="center"/>
          </w:tcPr>
          <w:p w14:paraId="1F5E3E6F">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受炉膛内烟气流速及温度分布的影响</w:t>
            </w:r>
          </w:p>
        </w:tc>
      </w:tr>
      <w:tr w14:paraId="5A6C33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27" w:type="pct"/>
            <w:tcBorders>
              <w:left w:val="nil"/>
            </w:tcBorders>
            <w:noWrap w:val="0"/>
            <w:vAlign w:val="center"/>
          </w:tcPr>
          <w:p w14:paraId="5F0225C4">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燃料变化的影响</w:t>
            </w:r>
          </w:p>
        </w:tc>
        <w:tc>
          <w:tcPr>
            <w:tcW w:w="1445" w:type="pct"/>
            <w:noWrap w:val="0"/>
            <w:vAlign w:val="center"/>
          </w:tcPr>
          <w:p w14:paraId="11829649">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对</w:t>
            </w:r>
            <w:r>
              <w:rPr>
                <w:rFonts w:hint="eastAsia" w:eastAsia="宋体" w:cs="Times New Roman"/>
                <w:color w:val="FF0000"/>
                <w:spacing w:val="-1"/>
                <w:sz w:val="21"/>
                <w:szCs w:val="21"/>
                <w:highlight w:val="none"/>
                <w:lang w:eastAsia="zh-CN"/>
              </w:rPr>
              <w:t>灰分</w:t>
            </w:r>
            <w:r>
              <w:rPr>
                <w:rFonts w:hint="default" w:ascii="Times New Roman" w:hAnsi="Times New Roman" w:eastAsia="宋体" w:cs="Times New Roman"/>
                <w:color w:val="FF0000"/>
                <w:spacing w:val="-1"/>
                <w:sz w:val="21"/>
                <w:szCs w:val="21"/>
                <w:highlight w:val="none"/>
              </w:rPr>
              <w:t>增加和</w:t>
            </w:r>
            <w:r>
              <w:rPr>
                <w:rFonts w:hint="eastAsia" w:eastAsia="宋体" w:cs="Times New Roman"/>
                <w:color w:val="FF0000"/>
                <w:spacing w:val="-1"/>
                <w:sz w:val="21"/>
                <w:szCs w:val="21"/>
                <w:highlight w:val="none"/>
                <w:lang w:eastAsia="zh-CN"/>
              </w:rPr>
              <w:t>灰分</w:t>
            </w:r>
            <w:r>
              <w:rPr>
                <w:rFonts w:hint="default" w:ascii="Times New Roman" w:hAnsi="Times New Roman" w:eastAsia="宋体" w:cs="Times New Roman"/>
                <w:color w:val="FF0000"/>
                <w:spacing w:val="-1"/>
                <w:sz w:val="21"/>
                <w:szCs w:val="21"/>
                <w:highlight w:val="none"/>
              </w:rPr>
              <w:t>成分变化敏感</w:t>
            </w:r>
          </w:p>
        </w:tc>
        <w:tc>
          <w:tcPr>
            <w:tcW w:w="1213" w:type="pct"/>
            <w:noWrap w:val="0"/>
            <w:vAlign w:val="center"/>
          </w:tcPr>
          <w:p w14:paraId="4F9B218C">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无影响</w:t>
            </w:r>
          </w:p>
        </w:tc>
        <w:tc>
          <w:tcPr>
            <w:tcW w:w="1713" w:type="pct"/>
            <w:tcBorders>
              <w:right w:val="nil"/>
            </w:tcBorders>
            <w:noWrap w:val="0"/>
            <w:vAlign w:val="center"/>
          </w:tcPr>
          <w:p w14:paraId="1BF80A74">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与SCR一样</w:t>
            </w:r>
          </w:p>
        </w:tc>
      </w:tr>
      <w:tr w14:paraId="062749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27" w:type="pct"/>
            <w:tcBorders>
              <w:left w:val="nil"/>
            </w:tcBorders>
            <w:noWrap w:val="0"/>
            <w:vAlign w:val="center"/>
          </w:tcPr>
          <w:p w14:paraId="0F37CD09">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投资费用</w:t>
            </w:r>
          </w:p>
        </w:tc>
        <w:tc>
          <w:tcPr>
            <w:tcW w:w="1445" w:type="pct"/>
            <w:noWrap w:val="0"/>
            <w:vAlign w:val="center"/>
          </w:tcPr>
          <w:p w14:paraId="6880A7FE">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高</w:t>
            </w:r>
          </w:p>
        </w:tc>
        <w:tc>
          <w:tcPr>
            <w:tcW w:w="1213" w:type="pct"/>
            <w:noWrap w:val="0"/>
            <w:vAlign w:val="center"/>
          </w:tcPr>
          <w:p w14:paraId="3BD63498">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低</w:t>
            </w:r>
          </w:p>
        </w:tc>
        <w:tc>
          <w:tcPr>
            <w:tcW w:w="1713" w:type="pct"/>
            <w:tcBorders>
              <w:right w:val="nil"/>
            </w:tcBorders>
            <w:noWrap w:val="0"/>
            <w:vAlign w:val="center"/>
          </w:tcPr>
          <w:p w14:paraId="58D2DB2D">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较高</w:t>
            </w:r>
          </w:p>
        </w:tc>
      </w:tr>
      <w:tr w14:paraId="1EE2A3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27" w:type="pct"/>
            <w:tcBorders>
              <w:left w:val="nil"/>
              <w:bottom w:val="single" w:color="000000" w:sz="12" w:space="0"/>
            </w:tcBorders>
            <w:noWrap w:val="0"/>
            <w:vAlign w:val="center"/>
          </w:tcPr>
          <w:p w14:paraId="5322CA2E">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运行费用</w:t>
            </w:r>
          </w:p>
        </w:tc>
        <w:tc>
          <w:tcPr>
            <w:tcW w:w="1445" w:type="pct"/>
            <w:tcBorders>
              <w:bottom w:val="single" w:color="000000" w:sz="12" w:space="0"/>
            </w:tcBorders>
            <w:noWrap w:val="0"/>
            <w:vAlign w:val="center"/>
          </w:tcPr>
          <w:p w14:paraId="7F48B50C">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高</w:t>
            </w:r>
          </w:p>
        </w:tc>
        <w:tc>
          <w:tcPr>
            <w:tcW w:w="1213" w:type="pct"/>
            <w:tcBorders>
              <w:bottom w:val="single" w:color="000000" w:sz="12" w:space="0"/>
            </w:tcBorders>
            <w:noWrap w:val="0"/>
            <w:vAlign w:val="center"/>
          </w:tcPr>
          <w:p w14:paraId="6CEECBE8">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低</w:t>
            </w:r>
          </w:p>
        </w:tc>
        <w:tc>
          <w:tcPr>
            <w:tcW w:w="1713" w:type="pct"/>
            <w:tcBorders>
              <w:bottom w:val="single" w:color="000000" w:sz="12" w:space="0"/>
              <w:right w:val="nil"/>
            </w:tcBorders>
            <w:noWrap w:val="0"/>
            <w:vAlign w:val="center"/>
          </w:tcPr>
          <w:p w14:paraId="2286A8F1">
            <w:pPr>
              <w:pStyle w:val="86"/>
              <w:keepNext w:val="0"/>
              <w:keepLines w:val="0"/>
              <w:pageBreakBefore w:val="0"/>
              <w:widowControl w:val="0"/>
              <w:kinsoku w:val="0"/>
              <w:wordWrap/>
              <w:overflowPunct w:val="0"/>
              <w:topLinePunct w:val="0"/>
              <w:autoSpaceDE w:val="0"/>
              <w:autoSpaceDN w:val="0"/>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color w:val="FF0000"/>
                <w:spacing w:val="-1"/>
                <w:sz w:val="21"/>
                <w:szCs w:val="21"/>
                <w:highlight w:val="none"/>
              </w:rPr>
            </w:pPr>
            <w:r>
              <w:rPr>
                <w:rFonts w:hint="default" w:ascii="Times New Roman" w:hAnsi="Times New Roman" w:eastAsia="宋体" w:cs="Times New Roman"/>
                <w:color w:val="FF0000"/>
                <w:spacing w:val="-1"/>
                <w:sz w:val="21"/>
                <w:szCs w:val="21"/>
                <w:highlight w:val="none"/>
              </w:rPr>
              <w:t>较高</w:t>
            </w:r>
          </w:p>
        </w:tc>
      </w:tr>
    </w:tbl>
    <w:p w14:paraId="06EE153E">
      <w:pPr>
        <w:bidi w:val="0"/>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highlight w:val="none"/>
          <w:lang w:val="en-US" w:eastAsia="zh-CN"/>
        </w:rPr>
        <w:t>（2）本项目脱硝措施</w:t>
      </w:r>
    </w:p>
    <w:p w14:paraId="3EA8FA9A">
      <w:pPr>
        <w:keepNext w:val="0"/>
        <w:keepLines w:val="0"/>
        <w:pageBreakBefore w:val="0"/>
        <w:widowControl w:val="0"/>
        <w:kinsoku/>
        <w:wordWrap/>
        <w:overflowPunct/>
        <w:topLinePunct w:val="0"/>
        <w:bidi w:val="0"/>
        <w:spacing w:line="480" w:lineRule="exact"/>
        <w:ind w:firstLine="480" w:firstLineChars="200"/>
        <w:jc w:val="both"/>
        <w:textAlignment w:val="auto"/>
        <w:rPr>
          <w:rFonts w:hint="default" w:ascii="Times New Roman" w:hAnsi="Times New Roman" w:eastAsia="宋体" w:cs="Times New Roman"/>
          <w:b w:val="0"/>
          <w:bCs/>
          <w:color w:val="FF0000"/>
          <w:sz w:val="24"/>
          <w:szCs w:val="24"/>
          <w:highlight w:val="none"/>
          <w:lang w:val="en-US" w:eastAsia="zh-CN"/>
        </w:rPr>
      </w:pPr>
      <w:r>
        <w:rPr>
          <w:rFonts w:hint="default" w:ascii="Times New Roman" w:hAnsi="Times New Roman" w:eastAsia="宋体" w:cs="Times New Roman"/>
          <w:b w:val="0"/>
          <w:bCs/>
          <w:color w:val="FF0000"/>
          <w:sz w:val="24"/>
          <w:szCs w:val="24"/>
          <w:highlight w:val="none"/>
          <w:lang w:val="en-US" w:eastAsia="zh-CN"/>
        </w:rPr>
        <w:t>锅炉烟气脱硝采用SNCR</w:t>
      </w:r>
      <w:r>
        <w:rPr>
          <w:rFonts w:hint="eastAsia" w:ascii="Times New Roman" w:hAnsi="Times New Roman" w:eastAsia="宋体" w:cs="Times New Roman"/>
          <w:b w:val="0"/>
          <w:bCs/>
          <w:color w:val="FF0000"/>
          <w:sz w:val="24"/>
          <w:szCs w:val="24"/>
          <w:highlight w:val="none"/>
          <w:lang w:val="en-US" w:eastAsia="zh-CN"/>
        </w:rPr>
        <w:t>+亚氯酸钠脱硝</w:t>
      </w:r>
      <w:r>
        <w:rPr>
          <w:rFonts w:hint="default" w:ascii="Times New Roman" w:hAnsi="Times New Roman" w:eastAsia="宋体" w:cs="Times New Roman"/>
          <w:b w:val="0"/>
          <w:bCs/>
          <w:color w:val="FF0000"/>
          <w:sz w:val="24"/>
          <w:szCs w:val="24"/>
          <w:highlight w:val="none"/>
          <w:lang w:val="en-US" w:eastAsia="zh-CN"/>
        </w:rPr>
        <w:t>技术</w:t>
      </w:r>
      <w:r>
        <w:rPr>
          <w:rFonts w:hint="eastAsia" w:ascii="Times New Roman" w:hAnsi="Times New Roman" w:eastAsia="宋体" w:cs="Times New Roman"/>
          <w:b w:val="0"/>
          <w:bCs/>
          <w:color w:val="FF0000"/>
          <w:sz w:val="24"/>
          <w:szCs w:val="24"/>
          <w:highlight w:val="none"/>
          <w:lang w:val="en-US" w:eastAsia="zh-CN"/>
        </w:rPr>
        <w:t>。</w:t>
      </w:r>
      <w:r>
        <w:rPr>
          <w:rFonts w:hint="default" w:ascii="Times New Roman" w:hAnsi="Times New Roman" w:eastAsia="宋体" w:cs="Times New Roman"/>
          <w:b w:val="0"/>
          <w:bCs/>
          <w:color w:val="FF0000"/>
          <w:sz w:val="24"/>
          <w:szCs w:val="24"/>
          <w:highlight w:val="none"/>
          <w:lang w:val="en-US" w:eastAsia="zh-CN"/>
        </w:rPr>
        <w:t>SNCR脱硝技术是指在无催化剂的作用下，在适合脱硝反应的温度区域内喷入还原剂将烟气中的氮氧化物还原为无害的氮气和水。本工艺采用尿素作为还原剂。尿素为无毒、无挥发性的固体，运输贮存更安全，且尿素溶液的液滴能在炉膛内穿透</w:t>
      </w:r>
      <w:r>
        <w:rPr>
          <w:rFonts w:hint="eastAsia" w:ascii="Times New Roman" w:hAnsi="Times New Roman" w:eastAsia="宋体" w:cs="Times New Roman"/>
          <w:b w:val="0"/>
          <w:bCs/>
          <w:color w:val="FF0000"/>
          <w:sz w:val="24"/>
          <w:szCs w:val="24"/>
          <w:highlight w:val="none"/>
          <w:lang w:val="en-US" w:eastAsia="zh-CN"/>
        </w:rPr>
        <w:t>得</w:t>
      </w:r>
      <w:r>
        <w:rPr>
          <w:rFonts w:hint="default" w:ascii="Times New Roman" w:hAnsi="Times New Roman" w:eastAsia="宋体" w:cs="Times New Roman"/>
          <w:b w:val="0"/>
          <w:bCs/>
          <w:color w:val="FF0000"/>
          <w:sz w:val="24"/>
          <w:szCs w:val="24"/>
          <w:highlight w:val="none"/>
          <w:lang w:val="en-US" w:eastAsia="zh-CN"/>
        </w:rPr>
        <w:t>更远，可与烟气充分混合，更有效地脱除NOx。首先将尿素溶解制备成15%浓度的尿素溶液，制备后的15%浓度尿素溶液经输送泵输送至尿素储罐。储罐中的尿素溶液再被分配至每杆喷枪，喷入炉膛特定窗口（850℃—1050℃）与烟气充分混合，进行化学反应，最终达到脱除NOx的目的。</w:t>
      </w:r>
    </w:p>
    <w:p w14:paraId="73A2C0FB">
      <w:pPr>
        <w:keepNext w:val="0"/>
        <w:keepLines w:val="0"/>
        <w:pageBreakBefore w:val="0"/>
        <w:widowControl w:val="0"/>
        <w:kinsoku/>
        <w:wordWrap/>
        <w:overflowPunct/>
        <w:topLinePunct w:val="0"/>
        <w:bidi w:val="0"/>
        <w:spacing w:line="480" w:lineRule="exact"/>
        <w:ind w:firstLine="480" w:firstLineChars="200"/>
        <w:jc w:val="both"/>
        <w:textAlignment w:val="auto"/>
        <w:rPr>
          <w:rFonts w:hint="default" w:ascii="Times New Roman" w:hAnsi="Times New Roman" w:eastAsia="宋体" w:cs="Times New Roman"/>
          <w:b w:val="0"/>
          <w:bCs/>
          <w:color w:val="FF0000"/>
          <w:sz w:val="24"/>
          <w:szCs w:val="24"/>
          <w:highlight w:val="none"/>
          <w:lang w:val="en-US" w:eastAsia="zh-CN"/>
        </w:rPr>
      </w:pPr>
      <w:r>
        <w:rPr>
          <w:rFonts w:hint="default" w:ascii="Times New Roman" w:hAnsi="Times New Roman" w:eastAsia="宋体" w:cs="Times New Roman"/>
          <w:b w:val="0"/>
          <w:bCs/>
          <w:color w:val="FF0000"/>
          <w:sz w:val="24"/>
          <w:szCs w:val="24"/>
          <w:highlight w:val="none"/>
          <w:lang w:val="en-US" w:eastAsia="zh-CN"/>
        </w:rPr>
        <w:t>SNCR系统目的在于将烟气中NOx降至限制值以下。为实现此目标，通过雾化空气将尿素溶液喷入炉膛的后燃烧（辐射）区域内，尿素与烟气中的氮氧化物之间反应生成氮气和水。</w:t>
      </w:r>
    </w:p>
    <w:p w14:paraId="1583D94C">
      <w:pPr>
        <w:keepNext w:val="0"/>
        <w:keepLines w:val="0"/>
        <w:pageBreakBefore w:val="0"/>
        <w:widowControl w:val="0"/>
        <w:kinsoku/>
        <w:wordWrap/>
        <w:overflowPunct/>
        <w:topLinePunct w:val="0"/>
        <w:bidi w:val="0"/>
        <w:spacing w:line="480" w:lineRule="exact"/>
        <w:ind w:firstLine="480" w:firstLineChars="200"/>
        <w:jc w:val="both"/>
        <w:textAlignment w:val="auto"/>
        <w:rPr>
          <w:rFonts w:hint="default" w:ascii="Times New Roman" w:hAnsi="Times New Roman" w:eastAsia="宋体" w:cs="Times New Roman"/>
          <w:b w:val="0"/>
          <w:bCs/>
          <w:color w:val="FF0000"/>
          <w:sz w:val="24"/>
          <w:szCs w:val="24"/>
          <w:highlight w:val="none"/>
          <w:lang w:val="en-US" w:eastAsia="zh-CN"/>
        </w:rPr>
      </w:pPr>
      <w:bookmarkStart w:id="485" w:name="_Toc16679"/>
      <w:bookmarkStart w:id="486" w:name="_Toc414006147"/>
      <w:bookmarkStart w:id="487" w:name="_Toc414006202"/>
      <w:bookmarkStart w:id="488" w:name="_Toc415132104"/>
      <w:bookmarkStart w:id="489" w:name="_Toc414006173"/>
      <w:bookmarkStart w:id="490" w:name="_Toc416956294"/>
      <w:bookmarkStart w:id="491" w:name="_Toc416186554"/>
      <w:bookmarkStart w:id="492" w:name="_Toc417387914"/>
      <w:bookmarkStart w:id="493" w:name="_Toc415734609"/>
      <w:bookmarkStart w:id="494" w:name="_Toc415046280"/>
      <w:bookmarkStart w:id="495" w:name="_Toc415046488"/>
      <w:r>
        <w:rPr>
          <w:rFonts w:hint="default" w:ascii="Times New Roman" w:hAnsi="Times New Roman" w:eastAsia="宋体" w:cs="Times New Roman"/>
          <w:b w:val="0"/>
          <w:bCs/>
          <w:color w:val="FF0000"/>
          <w:sz w:val="24"/>
          <w:szCs w:val="24"/>
          <w:highlight w:val="none"/>
          <w:lang w:val="en-US" w:eastAsia="zh-CN"/>
        </w:rPr>
        <w:t>主要由</w:t>
      </w:r>
      <w:bookmarkEnd w:id="485"/>
      <w:bookmarkEnd w:id="486"/>
      <w:bookmarkEnd w:id="487"/>
      <w:bookmarkEnd w:id="488"/>
      <w:bookmarkEnd w:id="489"/>
      <w:bookmarkEnd w:id="490"/>
      <w:bookmarkEnd w:id="491"/>
      <w:bookmarkEnd w:id="492"/>
      <w:bookmarkEnd w:id="493"/>
      <w:bookmarkEnd w:id="494"/>
      <w:bookmarkEnd w:id="495"/>
      <w:r>
        <w:rPr>
          <w:rFonts w:hint="default" w:ascii="Times New Roman" w:hAnsi="Times New Roman" w:eastAsia="宋体" w:cs="Times New Roman"/>
          <w:b w:val="0"/>
          <w:bCs/>
          <w:color w:val="FF0000"/>
          <w:sz w:val="24"/>
          <w:szCs w:val="24"/>
          <w:highlight w:val="none"/>
          <w:lang w:val="en-US" w:eastAsia="zh-CN"/>
        </w:rPr>
        <w:t>：尿素溶解系统；尿素溶液存储与输送系统；尿素溶液分配与喷射系统；压缩空气系统及自动控制系统组成并完成初步脱硝的</w:t>
      </w:r>
      <w:r>
        <w:rPr>
          <w:rFonts w:hint="eastAsia" w:ascii="Times New Roman" w:hAnsi="Times New Roman" w:eastAsia="宋体" w:cs="Times New Roman"/>
          <w:b w:val="0"/>
          <w:bCs/>
          <w:color w:val="FF0000"/>
          <w:sz w:val="24"/>
          <w:szCs w:val="24"/>
          <w:highlight w:val="none"/>
          <w:lang w:val="en-US" w:eastAsia="zh-CN"/>
        </w:rPr>
        <w:t>。</w:t>
      </w:r>
    </w:p>
    <w:p w14:paraId="2BD373B9">
      <w:pPr>
        <w:pStyle w:val="15"/>
        <w:keepNext w:val="0"/>
        <w:keepLines w:val="0"/>
        <w:pageBreakBefore w:val="0"/>
        <w:widowControl w:val="0"/>
        <w:kinsoku/>
        <w:wordWrap/>
        <w:overflowPunct/>
        <w:topLinePunct w:val="0"/>
        <w:autoSpaceDE/>
        <w:autoSpaceDN/>
        <w:bidi w:val="0"/>
        <w:adjustRightInd w:val="0"/>
        <w:snapToGrid w:val="0"/>
        <w:spacing w:after="0" w:line="480" w:lineRule="exact"/>
        <w:ind w:left="0" w:firstLine="480" w:firstLineChars="200"/>
        <w:jc w:val="both"/>
        <w:textAlignment w:val="auto"/>
        <w:rPr>
          <w:rFonts w:hint="eastAsia" w:ascii="Times New Roman" w:hAnsi="Times New Roman" w:eastAsia="宋体" w:cs="Times New Roman"/>
          <w:color w:val="FF0000"/>
          <w:sz w:val="24"/>
          <w:highlight w:val="none"/>
          <w:lang w:eastAsia="zh-CN"/>
        </w:rPr>
      </w:pPr>
      <w:r>
        <w:rPr>
          <w:rFonts w:hint="eastAsia" w:ascii="Times New Roman" w:hAnsi="Times New Roman" w:eastAsia="宋体" w:cs="Times New Roman"/>
          <w:color w:val="FF0000"/>
          <w:sz w:val="24"/>
          <w:highlight w:val="none"/>
          <w:lang w:val="en-US" w:eastAsia="zh-CN"/>
        </w:rPr>
        <w:t>低温脱硝塔布置在布袋除尘器和引风机后</w:t>
      </w:r>
      <w:r>
        <w:rPr>
          <w:rFonts w:hint="eastAsia" w:ascii="Times New Roman" w:hAnsi="Times New Roman" w:eastAsia="宋体" w:cs="Times New Roman"/>
          <w:color w:val="FF0000"/>
          <w:sz w:val="24"/>
          <w:highlight w:val="none"/>
          <w:lang w:eastAsia="zh-CN"/>
        </w:rPr>
        <w:t>，对锅炉烟气中的NOx进行净化处理，选用</w:t>
      </w:r>
      <w:r>
        <w:rPr>
          <w:rFonts w:hint="eastAsia" w:ascii="Times New Roman" w:hAnsi="Times New Roman" w:eastAsia="宋体" w:cs="Times New Roman"/>
          <w:color w:val="FF0000"/>
          <w:sz w:val="24"/>
          <w:highlight w:val="none"/>
          <w:lang w:val="en-US" w:eastAsia="zh-CN"/>
        </w:rPr>
        <w:t>亚氯酸钠</w:t>
      </w:r>
      <w:r>
        <w:rPr>
          <w:rFonts w:hint="eastAsia" w:ascii="Times New Roman" w:hAnsi="Times New Roman" w:eastAsia="宋体" w:cs="Times New Roman"/>
          <w:color w:val="FF0000"/>
          <w:sz w:val="24"/>
          <w:highlight w:val="none"/>
          <w:lang w:eastAsia="zh-CN"/>
        </w:rPr>
        <w:t>作为脱硝剂。</w:t>
      </w:r>
    </w:p>
    <w:p w14:paraId="4379D02B">
      <w:pPr>
        <w:pStyle w:val="15"/>
        <w:keepNext w:val="0"/>
        <w:keepLines w:val="0"/>
        <w:pageBreakBefore w:val="0"/>
        <w:widowControl w:val="0"/>
        <w:kinsoku/>
        <w:wordWrap/>
        <w:overflowPunct/>
        <w:topLinePunct w:val="0"/>
        <w:autoSpaceDE/>
        <w:autoSpaceDN/>
        <w:bidi w:val="0"/>
        <w:adjustRightInd w:val="0"/>
        <w:snapToGrid w:val="0"/>
        <w:spacing w:after="0" w:line="480" w:lineRule="exact"/>
        <w:ind w:left="0" w:firstLine="480" w:firstLineChars="200"/>
        <w:jc w:val="both"/>
        <w:textAlignment w:val="auto"/>
        <w:rPr>
          <w:rFonts w:hint="eastAsia" w:ascii="Times New Roman" w:hAnsi="Times New Roman" w:eastAsia="宋体" w:cs="Times New Roman"/>
          <w:color w:val="FF0000"/>
          <w:sz w:val="24"/>
          <w:highlight w:val="none"/>
          <w:lang w:eastAsia="zh-CN"/>
        </w:rPr>
      </w:pPr>
      <w:r>
        <w:rPr>
          <w:rFonts w:hint="eastAsia" w:ascii="Times New Roman" w:hAnsi="Times New Roman" w:eastAsia="宋体" w:cs="Times New Roman"/>
          <w:color w:val="FF0000"/>
          <w:sz w:val="24"/>
          <w:highlight w:val="none"/>
          <w:lang w:eastAsia="zh-CN"/>
        </w:rPr>
        <w:t>脱硝效率90%</w:t>
      </w:r>
      <w:r>
        <w:rPr>
          <w:rFonts w:hint="eastAsia" w:ascii="Times New Roman" w:hAnsi="Times New Roman" w:eastAsia="宋体" w:cs="Times New Roman"/>
          <w:color w:val="FF0000"/>
          <w:sz w:val="24"/>
          <w:highlight w:val="none"/>
          <w:lang w:val="en-US" w:eastAsia="zh-CN"/>
        </w:rPr>
        <w:t>以上</w:t>
      </w:r>
      <w:r>
        <w:rPr>
          <w:rFonts w:hint="eastAsia" w:ascii="Times New Roman" w:hAnsi="Times New Roman" w:eastAsia="宋体" w:cs="Times New Roman"/>
          <w:color w:val="FF0000"/>
          <w:sz w:val="24"/>
          <w:highlight w:val="none"/>
          <w:lang w:eastAsia="zh-CN"/>
        </w:rPr>
        <w:t>，本工程单台炉</w:t>
      </w:r>
      <w:r>
        <w:rPr>
          <w:rFonts w:hint="eastAsia" w:ascii="Times New Roman" w:hAnsi="Times New Roman" w:eastAsia="宋体" w:cs="Times New Roman"/>
          <w:color w:val="FF0000"/>
          <w:sz w:val="24"/>
          <w:highlight w:val="none"/>
          <w:lang w:val="en-US" w:eastAsia="zh-CN"/>
        </w:rPr>
        <w:t>低温脱硝</w:t>
      </w:r>
      <w:r>
        <w:rPr>
          <w:rFonts w:hint="eastAsia" w:ascii="Times New Roman" w:hAnsi="Times New Roman" w:eastAsia="宋体" w:cs="Times New Roman"/>
          <w:color w:val="FF0000"/>
          <w:sz w:val="24"/>
          <w:highlight w:val="none"/>
          <w:lang w:eastAsia="zh-CN"/>
        </w:rPr>
        <w:t>系统选用</w:t>
      </w:r>
      <w:r>
        <w:rPr>
          <w:rFonts w:hint="eastAsia" w:ascii="Times New Roman" w:hAnsi="Times New Roman" w:eastAsia="宋体" w:cs="Times New Roman"/>
          <w:color w:val="FF0000"/>
          <w:sz w:val="24"/>
          <w:highlight w:val="none"/>
          <w:lang w:val="en-US" w:eastAsia="zh-CN"/>
        </w:rPr>
        <w:t>亚氯酸钠作为还原剂</w:t>
      </w:r>
      <w:r>
        <w:rPr>
          <w:rFonts w:hint="eastAsia" w:ascii="Times New Roman" w:hAnsi="Times New Roman" w:eastAsia="宋体" w:cs="Times New Roman"/>
          <w:color w:val="FF0000"/>
          <w:sz w:val="24"/>
          <w:highlight w:val="none"/>
          <w:lang w:eastAsia="zh-CN"/>
        </w:rPr>
        <w:t>，并保证</w:t>
      </w:r>
      <w:r>
        <w:rPr>
          <w:rFonts w:hint="eastAsia" w:ascii="Times New Roman" w:hAnsi="Times New Roman" w:eastAsia="宋体" w:cs="Times New Roman"/>
          <w:color w:val="FF0000"/>
          <w:sz w:val="24"/>
          <w:highlight w:val="none"/>
          <w:lang w:val="en-US" w:eastAsia="zh-CN"/>
        </w:rPr>
        <w:t>锅</w:t>
      </w:r>
      <w:r>
        <w:rPr>
          <w:rFonts w:hint="eastAsia" w:ascii="Times New Roman" w:hAnsi="Times New Roman" w:eastAsia="宋体" w:cs="Times New Roman"/>
          <w:color w:val="FF0000"/>
          <w:sz w:val="24"/>
          <w:highlight w:val="none"/>
          <w:lang w:eastAsia="zh-CN"/>
        </w:rPr>
        <w:t>炉在</w:t>
      </w:r>
      <w:r>
        <w:rPr>
          <w:rFonts w:hint="eastAsia" w:ascii="Times New Roman" w:hAnsi="Times New Roman" w:eastAsia="宋体" w:cs="Times New Roman"/>
          <w:color w:val="FF0000"/>
          <w:sz w:val="24"/>
          <w:highlight w:val="none"/>
          <w:lang w:val="en-US" w:eastAsia="zh-CN"/>
        </w:rPr>
        <w:t>30</w:t>
      </w:r>
      <w:r>
        <w:rPr>
          <w:rFonts w:hint="eastAsia" w:ascii="Times New Roman" w:hAnsi="Times New Roman" w:eastAsia="宋体" w:cs="Times New Roman"/>
          <w:color w:val="FF0000"/>
          <w:sz w:val="24"/>
          <w:highlight w:val="none"/>
          <w:lang w:eastAsia="zh-CN"/>
        </w:rPr>
        <w:t>%一110%负荷范围内运行处理100%烟气量条件下，满足脱硝烟气温度在</w:t>
      </w:r>
      <w:r>
        <w:rPr>
          <w:rFonts w:hint="eastAsia" w:ascii="Times New Roman" w:hAnsi="Times New Roman" w:eastAsia="宋体" w:cs="Times New Roman"/>
          <w:color w:val="FF0000"/>
          <w:sz w:val="24"/>
          <w:highlight w:val="none"/>
          <w:lang w:val="en-US" w:eastAsia="zh-CN"/>
        </w:rPr>
        <w:t>5</w:t>
      </w:r>
      <w:r>
        <w:rPr>
          <w:rFonts w:hint="eastAsia" w:ascii="Times New Roman" w:hAnsi="Times New Roman" w:eastAsia="宋体" w:cs="Times New Roman"/>
          <w:color w:val="FF0000"/>
          <w:sz w:val="24"/>
          <w:highlight w:val="none"/>
          <w:lang w:eastAsia="zh-CN"/>
        </w:rPr>
        <w:t>0C</w:t>
      </w:r>
      <w:r>
        <w:rPr>
          <w:rFonts w:hint="eastAsia" w:eastAsia="宋体" w:cs="Times New Roman"/>
          <w:color w:val="FF0000"/>
          <w:sz w:val="24"/>
          <w:highlight w:val="none"/>
          <w:lang w:eastAsia="zh-CN"/>
        </w:rPr>
        <w:t>～</w:t>
      </w:r>
      <w:r>
        <w:rPr>
          <w:rFonts w:hint="eastAsia" w:ascii="Times New Roman" w:hAnsi="Times New Roman" w:eastAsia="宋体" w:cs="Times New Roman"/>
          <w:color w:val="FF0000"/>
          <w:sz w:val="24"/>
          <w:highlight w:val="none"/>
          <w:lang w:val="en-US" w:eastAsia="zh-CN"/>
        </w:rPr>
        <w:t>150</w:t>
      </w:r>
      <w:r>
        <w:rPr>
          <w:rFonts w:hint="eastAsia" w:ascii="Times New Roman" w:hAnsi="Times New Roman" w:eastAsia="宋体" w:cs="Times New Roman"/>
          <w:color w:val="FF0000"/>
          <w:sz w:val="24"/>
          <w:highlight w:val="none"/>
          <w:lang w:eastAsia="zh-CN"/>
        </w:rPr>
        <w:t>C</w:t>
      </w:r>
      <w:r>
        <w:rPr>
          <w:rFonts w:hint="eastAsia" w:eastAsia="宋体" w:cs="Times New Roman"/>
          <w:color w:val="FF0000"/>
          <w:sz w:val="24"/>
          <w:highlight w:val="none"/>
          <w:lang w:eastAsia="zh-CN"/>
        </w:rPr>
        <w:t>，</w:t>
      </w:r>
      <w:r>
        <w:rPr>
          <w:rFonts w:hint="eastAsia" w:ascii="Times New Roman" w:hAnsi="Times New Roman" w:eastAsia="宋体" w:cs="Times New Roman"/>
          <w:color w:val="FF0000"/>
          <w:sz w:val="24"/>
          <w:highlight w:val="none"/>
          <w:lang w:eastAsia="zh-CN"/>
        </w:rPr>
        <w:t>锅炉最终NOx排放值小于50mg</w:t>
      </w:r>
      <w:r>
        <w:rPr>
          <w:rFonts w:hint="eastAsia" w:ascii="Times New Roman" w:hAnsi="Times New Roman" w:eastAsia="宋体" w:cs="Times New Roman"/>
          <w:color w:val="FF0000"/>
          <w:sz w:val="24"/>
          <w:highlight w:val="none"/>
          <w:lang w:val="en-US" w:eastAsia="zh-CN"/>
        </w:rPr>
        <w:t>/m³</w:t>
      </w:r>
      <w:r>
        <w:rPr>
          <w:rFonts w:hint="eastAsia" w:eastAsia="宋体" w:cs="Times New Roman"/>
          <w:color w:val="FF0000"/>
          <w:sz w:val="24"/>
          <w:highlight w:val="none"/>
          <w:lang w:eastAsia="zh-CN"/>
        </w:rPr>
        <w:t>，</w:t>
      </w:r>
      <w:r>
        <w:rPr>
          <w:rFonts w:hint="eastAsia" w:ascii="Times New Roman" w:hAnsi="Times New Roman" w:eastAsia="宋体" w:cs="Times New Roman"/>
          <w:color w:val="FF0000"/>
          <w:sz w:val="24"/>
          <w:highlight w:val="none"/>
          <w:lang w:eastAsia="zh-CN"/>
        </w:rPr>
        <w:t>生产厂家对</w:t>
      </w:r>
      <w:r>
        <w:rPr>
          <w:rFonts w:hint="eastAsia" w:ascii="Times New Roman" w:hAnsi="Times New Roman" w:eastAsia="宋体" w:cs="Times New Roman"/>
          <w:color w:val="FF0000"/>
          <w:sz w:val="24"/>
          <w:highlight w:val="none"/>
          <w:lang w:val="en-US" w:eastAsia="zh-CN"/>
        </w:rPr>
        <w:t>低温脱硝塔</w:t>
      </w:r>
      <w:r>
        <w:rPr>
          <w:rFonts w:hint="eastAsia" w:ascii="Times New Roman" w:hAnsi="Times New Roman" w:eastAsia="宋体" w:cs="Times New Roman"/>
          <w:color w:val="FF0000"/>
          <w:sz w:val="24"/>
          <w:highlight w:val="none"/>
          <w:lang w:eastAsia="zh-CN"/>
        </w:rPr>
        <w:t>系统的设计、供货、施工、调试及配套设备、系统负责</w:t>
      </w:r>
      <w:r>
        <w:rPr>
          <w:rFonts w:hint="eastAsia" w:eastAsia="宋体" w:cs="Times New Roman"/>
          <w:color w:val="FF0000"/>
          <w:sz w:val="24"/>
          <w:highlight w:val="none"/>
          <w:lang w:eastAsia="zh-CN"/>
        </w:rPr>
        <w:t>，</w:t>
      </w:r>
      <w:r>
        <w:rPr>
          <w:rFonts w:hint="eastAsia" w:ascii="Times New Roman" w:hAnsi="Times New Roman" w:eastAsia="宋体" w:cs="Times New Roman"/>
          <w:color w:val="FF0000"/>
          <w:sz w:val="24"/>
          <w:highlight w:val="none"/>
          <w:lang w:eastAsia="zh-CN"/>
        </w:rPr>
        <w:t>并保证其性能。</w:t>
      </w:r>
      <w:r>
        <w:rPr>
          <w:rFonts w:hint="eastAsia" w:ascii="Times New Roman" w:hAnsi="Times New Roman" w:eastAsia="宋体" w:cs="Times New Roman"/>
          <w:color w:val="FF0000"/>
          <w:sz w:val="24"/>
          <w:highlight w:val="none"/>
          <w:lang w:val="en-US" w:eastAsia="zh-CN"/>
        </w:rPr>
        <w:t>亚氯酸钠</w:t>
      </w:r>
      <w:r>
        <w:rPr>
          <w:rFonts w:hint="eastAsia" w:ascii="Times New Roman" w:hAnsi="Times New Roman" w:eastAsia="宋体" w:cs="Times New Roman"/>
          <w:color w:val="FF0000"/>
          <w:sz w:val="24"/>
          <w:highlight w:val="none"/>
          <w:lang w:eastAsia="zh-CN"/>
        </w:rPr>
        <w:t>溶液储存系统，稀释水用于将</w:t>
      </w:r>
      <w:r>
        <w:rPr>
          <w:rFonts w:hint="eastAsia" w:ascii="Times New Roman" w:hAnsi="Times New Roman" w:eastAsia="宋体" w:cs="Times New Roman"/>
          <w:color w:val="FF0000"/>
          <w:sz w:val="24"/>
          <w:highlight w:val="none"/>
          <w:lang w:val="en-US" w:eastAsia="zh-CN"/>
        </w:rPr>
        <w:t>亚氯酸钠</w:t>
      </w:r>
      <w:r>
        <w:rPr>
          <w:rFonts w:hint="eastAsia" w:ascii="Times New Roman" w:hAnsi="Times New Roman" w:eastAsia="宋体" w:cs="Times New Roman"/>
          <w:color w:val="FF0000"/>
          <w:sz w:val="24"/>
          <w:highlight w:val="none"/>
          <w:lang w:eastAsia="zh-CN"/>
        </w:rPr>
        <w:t>溶液稀释，以满足脱硝剂浓度要求。</w:t>
      </w:r>
    </w:p>
    <w:p w14:paraId="2E44F443">
      <w:pPr>
        <w:pStyle w:val="15"/>
        <w:keepNext w:val="0"/>
        <w:keepLines w:val="0"/>
        <w:pageBreakBefore w:val="0"/>
        <w:widowControl w:val="0"/>
        <w:kinsoku/>
        <w:wordWrap/>
        <w:overflowPunct/>
        <w:topLinePunct w:val="0"/>
        <w:autoSpaceDE/>
        <w:autoSpaceDN/>
        <w:bidi w:val="0"/>
        <w:adjustRightInd w:val="0"/>
        <w:snapToGrid w:val="0"/>
        <w:spacing w:after="0" w:line="480" w:lineRule="exact"/>
        <w:ind w:left="0" w:firstLine="480" w:firstLineChars="200"/>
        <w:jc w:val="both"/>
        <w:textAlignment w:val="auto"/>
        <w:rPr>
          <w:rFonts w:hint="eastAsia" w:ascii="Times New Roman" w:hAnsi="Times New Roman" w:eastAsia="宋体" w:cs="Times New Roman"/>
          <w:color w:val="FF0000"/>
          <w:sz w:val="24"/>
          <w:highlight w:val="none"/>
          <w:lang w:eastAsia="zh-CN"/>
        </w:rPr>
      </w:pPr>
      <w:r>
        <w:rPr>
          <w:rFonts w:hint="eastAsia" w:ascii="Times New Roman" w:hAnsi="Times New Roman" w:eastAsia="宋体" w:cs="Times New Roman"/>
          <w:color w:val="FF0000"/>
          <w:sz w:val="24"/>
          <w:highlight w:val="none"/>
          <w:lang w:eastAsia="zh-CN"/>
        </w:rPr>
        <w:t>稀释水储存在稀释水储罐中，从</w:t>
      </w:r>
      <w:r>
        <w:rPr>
          <w:rFonts w:hint="eastAsia" w:ascii="Times New Roman" w:hAnsi="Times New Roman" w:eastAsia="宋体" w:cs="Times New Roman"/>
          <w:color w:val="FF0000"/>
          <w:sz w:val="24"/>
          <w:highlight w:val="none"/>
          <w:lang w:val="en-US" w:eastAsia="zh-CN"/>
        </w:rPr>
        <w:t>亚氯酸钠</w:t>
      </w:r>
      <w:r>
        <w:rPr>
          <w:rFonts w:hint="eastAsia" w:ascii="Times New Roman" w:hAnsi="Times New Roman" w:eastAsia="宋体" w:cs="Times New Roman"/>
          <w:color w:val="FF0000"/>
          <w:sz w:val="24"/>
          <w:highlight w:val="none"/>
          <w:lang w:eastAsia="zh-CN"/>
        </w:rPr>
        <w:t>溶液储罐中来的溶液与从稀释水罐来的稀释水在</w:t>
      </w:r>
      <w:r>
        <w:rPr>
          <w:rFonts w:hint="eastAsia" w:ascii="Times New Roman" w:hAnsi="Times New Roman" w:eastAsia="宋体" w:cs="Times New Roman"/>
          <w:color w:val="FF0000"/>
          <w:sz w:val="24"/>
          <w:highlight w:val="none"/>
          <w:lang w:val="en-US" w:eastAsia="zh-CN"/>
        </w:rPr>
        <w:t>溶液池</w:t>
      </w:r>
      <w:r>
        <w:rPr>
          <w:rFonts w:hint="eastAsia" w:ascii="Times New Roman" w:hAnsi="Times New Roman" w:eastAsia="宋体" w:cs="Times New Roman"/>
          <w:color w:val="FF0000"/>
          <w:sz w:val="24"/>
          <w:highlight w:val="none"/>
          <w:lang w:eastAsia="zh-CN"/>
        </w:rPr>
        <w:t>混合，为了</w:t>
      </w:r>
      <w:r>
        <w:rPr>
          <w:rFonts w:hint="eastAsia" w:ascii="Times New Roman" w:hAnsi="Times New Roman" w:eastAsia="宋体" w:cs="Times New Roman"/>
          <w:color w:val="FF0000"/>
          <w:sz w:val="24"/>
          <w:highlight w:val="none"/>
          <w:lang w:val="en-US" w:eastAsia="zh-CN"/>
        </w:rPr>
        <w:t>精确</w:t>
      </w:r>
      <w:r>
        <w:rPr>
          <w:rFonts w:hint="eastAsia" w:ascii="Times New Roman" w:hAnsi="Times New Roman" w:eastAsia="宋体" w:cs="Times New Roman"/>
          <w:color w:val="FF0000"/>
          <w:sz w:val="24"/>
          <w:highlight w:val="none"/>
          <w:lang w:eastAsia="zh-CN"/>
        </w:rPr>
        <w:t>混合</w:t>
      </w:r>
      <w:r>
        <w:rPr>
          <w:rFonts w:hint="eastAsia" w:ascii="Times New Roman" w:hAnsi="Times New Roman" w:eastAsia="宋体" w:cs="Times New Roman"/>
          <w:color w:val="FF0000"/>
          <w:sz w:val="24"/>
          <w:highlight w:val="none"/>
          <w:lang w:val="en-US" w:eastAsia="zh-CN"/>
        </w:rPr>
        <w:t>比例</w:t>
      </w:r>
      <w:r>
        <w:rPr>
          <w:rFonts w:hint="eastAsia" w:ascii="Times New Roman" w:hAnsi="Times New Roman" w:eastAsia="宋体" w:cs="Times New Roman"/>
          <w:color w:val="FF0000"/>
          <w:sz w:val="24"/>
          <w:highlight w:val="none"/>
          <w:lang w:eastAsia="zh-CN"/>
        </w:rPr>
        <w:t>，在</w:t>
      </w:r>
      <w:r>
        <w:rPr>
          <w:rFonts w:hint="eastAsia" w:ascii="Times New Roman" w:hAnsi="Times New Roman" w:eastAsia="宋体" w:cs="Times New Roman"/>
          <w:color w:val="FF0000"/>
          <w:sz w:val="24"/>
          <w:highlight w:val="none"/>
          <w:lang w:val="en-US" w:eastAsia="zh-CN"/>
        </w:rPr>
        <w:t>稀释水流入溶液池前的水管处加装流量装置，</w:t>
      </w:r>
      <w:r>
        <w:rPr>
          <w:rFonts w:hint="eastAsia" w:ascii="Times New Roman" w:hAnsi="Times New Roman" w:eastAsia="宋体" w:cs="Times New Roman"/>
          <w:color w:val="FF0000"/>
          <w:sz w:val="24"/>
          <w:highlight w:val="none"/>
          <w:lang w:eastAsia="zh-CN"/>
        </w:rPr>
        <w:t>保证稀释水与</w:t>
      </w:r>
      <w:r>
        <w:rPr>
          <w:rFonts w:hint="eastAsia" w:ascii="Times New Roman" w:hAnsi="Times New Roman" w:eastAsia="宋体" w:cs="Times New Roman"/>
          <w:color w:val="FF0000"/>
          <w:sz w:val="24"/>
          <w:highlight w:val="none"/>
          <w:lang w:val="en-US" w:eastAsia="zh-CN"/>
        </w:rPr>
        <w:t>亚氯酸钠</w:t>
      </w:r>
      <w:r>
        <w:rPr>
          <w:rFonts w:hint="eastAsia" w:ascii="Times New Roman" w:hAnsi="Times New Roman" w:eastAsia="宋体" w:cs="Times New Roman"/>
          <w:color w:val="FF0000"/>
          <w:sz w:val="24"/>
          <w:highlight w:val="none"/>
          <w:lang w:eastAsia="zh-CN"/>
        </w:rPr>
        <w:t>溶液能</w:t>
      </w:r>
      <w:r>
        <w:rPr>
          <w:rFonts w:hint="eastAsia" w:ascii="Times New Roman" w:hAnsi="Times New Roman" w:eastAsia="宋体" w:cs="Times New Roman"/>
          <w:color w:val="FF0000"/>
          <w:sz w:val="24"/>
          <w:highlight w:val="none"/>
          <w:lang w:val="en-US" w:eastAsia="zh-CN"/>
        </w:rPr>
        <w:t>按比例</w:t>
      </w:r>
      <w:r>
        <w:rPr>
          <w:rFonts w:hint="eastAsia" w:ascii="Times New Roman" w:hAnsi="Times New Roman" w:eastAsia="宋体" w:cs="Times New Roman"/>
          <w:color w:val="FF0000"/>
          <w:sz w:val="24"/>
          <w:highlight w:val="none"/>
          <w:lang w:eastAsia="zh-CN"/>
        </w:rPr>
        <w:t>充分、均匀混合。通过流量的数据，来控制混合液达到所需要的</w:t>
      </w:r>
      <w:r>
        <w:rPr>
          <w:rFonts w:hint="eastAsia" w:ascii="Times New Roman" w:hAnsi="Times New Roman" w:eastAsia="宋体" w:cs="Times New Roman"/>
          <w:color w:val="FF0000"/>
          <w:sz w:val="24"/>
          <w:highlight w:val="none"/>
          <w:lang w:val="en-US" w:eastAsia="zh-CN"/>
        </w:rPr>
        <w:t>溶液</w:t>
      </w:r>
      <w:r>
        <w:rPr>
          <w:rFonts w:hint="eastAsia" w:ascii="Times New Roman" w:hAnsi="Times New Roman" w:eastAsia="宋体" w:cs="Times New Roman"/>
          <w:color w:val="FF0000"/>
          <w:sz w:val="24"/>
          <w:highlight w:val="none"/>
          <w:lang w:eastAsia="zh-CN"/>
        </w:rPr>
        <w:t>浓度要求。为了对溶液浓度进行连续可调，当</w:t>
      </w:r>
      <w:r>
        <w:rPr>
          <w:rFonts w:hint="eastAsia" w:ascii="Times New Roman" w:hAnsi="Times New Roman" w:eastAsia="宋体" w:cs="Times New Roman"/>
          <w:color w:val="FF0000"/>
          <w:sz w:val="24"/>
          <w:highlight w:val="none"/>
          <w:lang w:val="en-US" w:eastAsia="zh-CN"/>
        </w:rPr>
        <w:t>亚氯酸钠</w:t>
      </w:r>
      <w:r>
        <w:rPr>
          <w:rFonts w:hint="eastAsia" w:ascii="Times New Roman" w:hAnsi="Times New Roman" w:eastAsia="宋体" w:cs="Times New Roman"/>
          <w:color w:val="FF0000"/>
          <w:sz w:val="24"/>
          <w:highlight w:val="none"/>
          <w:lang w:eastAsia="zh-CN"/>
        </w:rPr>
        <w:t>溶液储罐中</w:t>
      </w:r>
      <w:r>
        <w:rPr>
          <w:rFonts w:hint="eastAsia" w:ascii="Times New Roman" w:hAnsi="Times New Roman" w:eastAsia="宋体" w:cs="Times New Roman"/>
          <w:color w:val="FF0000"/>
          <w:sz w:val="24"/>
          <w:highlight w:val="none"/>
          <w:lang w:val="en-US" w:eastAsia="zh-CN"/>
        </w:rPr>
        <w:t>亚氯酸钠</w:t>
      </w:r>
      <w:r>
        <w:rPr>
          <w:rFonts w:hint="eastAsia" w:ascii="Times New Roman" w:hAnsi="Times New Roman" w:eastAsia="宋体" w:cs="Times New Roman"/>
          <w:color w:val="FF0000"/>
          <w:sz w:val="24"/>
          <w:highlight w:val="none"/>
          <w:lang w:eastAsia="zh-CN"/>
        </w:rPr>
        <w:t>溶液的浓度变化时</w:t>
      </w:r>
      <w:r>
        <w:rPr>
          <w:rFonts w:hint="eastAsia" w:eastAsia="宋体" w:cs="Times New Roman"/>
          <w:color w:val="FF0000"/>
          <w:sz w:val="24"/>
          <w:highlight w:val="none"/>
          <w:lang w:eastAsia="zh-CN"/>
        </w:rPr>
        <w:t>，</w:t>
      </w:r>
      <w:r>
        <w:rPr>
          <w:rFonts w:hint="eastAsia" w:ascii="Times New Roman" w:hAnsi="Times New Roman" w:eastAsia="宋体" w:cs="Times New Roman"/>
          <w:color w:val="FF0000"/>
          <w:sz w:val="24"/>
          <w:highlight w:val="none"/>
          <w:lang w:eastAsia="zh-CN"/>
        </w:rPr>
        <w:t>可保证进入</w:t>
      </w:r>
      <w:r>
        <w:rPr>
          <w:rFonts w:hint="eastAsia" w:ascii="Times New Roman" w:hAnsi="Times New Roman" w:eastAsia="宋体" w:cs="Times New Roman"/>
          <w:color w:val="FF0000"/>
          <w:sz w:val="24"/>
          <w:highlight w:val="none"/>
          <w:lang w:val="en-US" w:eastAsia="zh-CN"/>
        </w:rPr>
        <w:t>脱硝塔</w:t>
      </w:r>
      <w:r>
        <w:rPr>
          <w:rFonts w:hint="eastAsia" w:ascii="Times New Roman" w:hAnsi="Times New Roman" w:eastAsia="宋体" w:cs="Times New Roman"/>
          <w:color w:val="FF0000"/>
          <w:sz w:val="24"/>
          <w:highlight w:val="none"/>
          <w:lang w:eastAsia="zh-CN"/>
        </w:rPr>
        <w:t>的</w:t>
      </w:r>
      <w:r>
        <w:rPr>
          <w:rFonts w:hint="eastAsia" w:ascii="Times New Roman" w:hAnsi="Times New Roman" w:eastAsia="宋体" w:cs="Times New Roman"/>
          <w:color w:val="FF0000"/>
          <w:sz w:val="24"/>
          <w:highlight w:val="none"/>
          <w:lang w:val="en-US" w:eastAsia="zh-CN"/>
        </w:rPr>
        <w:t>亚氯酸钠</w:t>
      </w:r>
      <w:r>
        <w:rPr>
          <w:rFonts w:hint="eastAsia" w:ascii="Times New Roman" w:hAnsi="Times New Roman" w:eastAsia="宋体" w:cs="Times New Roman"/>
          <w:color w:val="FF0000"/>
          <w:sz w:val="24"/>
          <w:highlight w:val="none"/>
          <w:lang w:eastAsia="zh-CN"/>
        </w:rPr>
        <w:t>溶液浓度基本不发生变化。</w:t>
      </w:r>
    </w:p>
    <w:p w14:paraId="156CE5CC">
      <w:pPr>
        <w:pStyle w:val="15"/>
        <w:keepNext w:val="0"/>
        <w:keepLines w:val="0"/>
        <w:pageBreakBefore w:val="0"/>
        <w:widowControl w:val="0"/>
        <w:kinsoku/>
        <w:wordWrap/>
        <w:overflowPunct/>
        <w:topLinePunct w:val="0"/>
        <w:autoSpaceDE/>
        <w:autoSpaceDN/>
        <w:bidi w:val="0"/>
        <w:adjustRightInd w:val="0"/>
        <w:snapToGrid w:val="0"/>
        <w:spacing w:after="0" w:line="480" w:lineRule="exact"/>
        <w:ind w:left="0" w:firstLine="480" w:firstLineChars="200"/>
        <w:jc w:val="both"/>
        <w:textAlignment w:val="auto"/>
        <w:rPr>
          <w:rFonts w:hint="eastAsia" w:ascii="Times New Roman" w:hAnsi="Times New Roman" w:eastAsia="宋体" w:cs="Times New Roman"/>
          <w:color w:val="FF0000"/>
          <w:sz w:val="24"/>
          <w:highlight w:val="none"/>
          <w:lang w:eastAsia="zh-CN"/>
        </w:rPr>
      </w:pPr>
      <w:r>
        <w:rPr>
          <w:rFonts w:hint="eastAsia" w:ascii="Times New Roman" w:hAnsi="Times New Roman" w:eastAsia="宋体" w:cs="Times New Roman"/>
          <w:color w:val="FF0000"/>
          <w:sz w:val="24"/>
          <w:highlight w:val="none"/>
          <w:lang w:eastAsia="zh-CN"/>
        </w:rPr>
        <w:t>本项目根据现有条件，为应对锅炉</w:t>
      </w:r>
      <w:r>
        <w:rPr>
          <w:rFonts w:hint="eastAsia" w:ascii="Times New Roman" w:hAnsi="Times New Roman" w:eastAsia="宋体" w:cs="Times New Roman"/>
          <w:color w:val="FF0000"/>
          <w:sz w:val="24"/>
          <w:highlight w:val="none"/>
          <w:lang w:val="en-US" w:eastAsia="zh-CN"/>
        </w:rPr>
        <w:t>不同时期的</w:t>
      </w:r>
      <w:r>
        <w:rPr>
          <w:rFonts w:hint="eastAsia" w:ascii="Times New Roman" w:hAnsi="Times New Roman" w:eastAsia="宋体" w:cs="Times New Roman"/>
          <w:color w:val="FF0000"/>
          <w:sz w:val="24"/>
          <w:highlight w:val="none"/>
          <w:lang w:eastAsia="zh-CN"/>
        </w:rPr>
        <w:t>负荷</w:t>
      </w:r>
      <w:r>
        <w:rPr>
          <w:rFonts w:hint="eastAsia" w:ascii="Times New Roman" w:hAnsi="Times New Roman" w:eastAsia="宋体" w:cs="Times New Roman"/>
          <w:color w:val="FF0000"/>
          <w:sz w:val="24"/>
          <w:highlight w:val="none"/>
          <w:lang w:val="en-US" w:eastAsia="zh-CN"/>
        </w:rPr>
        <w:t>变化</w:t>
      </w:r>
      <w:r>
        <w:rPr>
          <w:rFonts w:hint="eastAsia" w:ascii="Times New Roman" w:hAnsi="Times New Roman" w:eastAsia="宋体" w:cs="Times New Roman"/>
          <w:color w:val="FF0000"/>
          <w:sz w:val="24"/>
          <w:highlight w:val="none"/>
          <w:lang w:eastAsia="zh-CN"/>
        </w:rPr>
        <w:t>在</w:t>
      </w:r>
      <w:r>
        <w:rPr>
          <w:rFonts w:hint="eastAsia" w:ascii="Times New Roman" w:hAnsi="Times New Roman" w:eastAsia="宋体" w:cs="Times New Roman"/>
          <w:color w:val="FF0000"/>
          <w:sz w:val="24"/>
          <w:highlight w:val="none"/>
          <w:lang w:val="en-US" w:eastAsia="zh-CN"/>
        </w:rPr>
        <w:t>脱硝塔内部</w:t>
      </w:r>
      <w:r>
        <w:rPr>
          <w:rFonts w:hint="eastAsia" w:ascii="Times New Roman" w:hAnsi="Times New Roman" w:eastAsia="宋体" w:cs="Times New Roman"/>
          <w:color w:val="FF0000"/>
          <w:sz w:val="24"/>
          <w:highlight w:val="none"/>
          <w:lang w:eastAsia="zh-CN"/>
        </w:rPr>
        <w:t>不同的位置布置喷枪</w:t>
      </w:r>
      <w:r>
        <w:rPr>
          <w:rFonts w:hint="eastAsia" w:ascii="Times New Roman" w:hAnsi="Times New Roman" w:eastAsia="宋体" w:cs="Times New Roman"/>
          <w:color w:val="FF0000"/>
          <w:sz w:val="24"/>
          <w:highlight w:val="none"/>
          <w:lang w:val="en-US" w:eastAsia="zh-CN"/>
        </w:rPr>
        <w:t>共8支</w:t>
      </w:r>
      <w:r>
        <w:rPr>
          <w:rFonts w:hint="eastAsia" w:ascii="Times New Roman" w:hAnsi="Times New Roman" w:eastAsia="宋体" w:cs="Times New Roman"/>
          <w:color w:val="FF0000"/>
          <w:sz w:val="24"/>
          <w:highlight w:val="none"/>
          <w:lang w:eastAsia="zh-CN"/>
        </w:rPr>
        <w:t>，保证喷</w:t>
      </w:r>
      <w:r>
        <w:rPr>
          <w:rFonts w:hint="eastAsia" w:ascii="Times New Roman" w:hAnsi="Times New Roman" w:eastAsia="宋体" w:cs="Times New Roman"/>
          <w:color w:val="FF0000"/>
          <w:sz w:val="24"/>
          <w:highlight w:val="none"/>
          <w:lang w:val="en-US" w:eastAsia="zh-CN"/>
        </w:rPr>
        <w:t>入溶液</w:t>
      </w:r>
      <w:r>
        <w:rPr>
          <w:rFonts w:hint="eastAsia" w:ascii="Times New Roman" w:hAnsi="Times New Roman" w:eastAsia="宋体" w:cs="Times New Roman"/>
          <w:color w:val="FF0000"/>
          <w:sz w:val="24"/>
          <w:highlight w:val="none"/>
          <w:lang w:eastAsia="zh-CN"/>
        </w:rPr>
        <w:t>完全覆盖整个</w:t>
      </w:r>
      <w:r>
        <w:rPr>
          <w:rFonts w:hint="eastAsia" w:ascii="Times New Roman" w:hAnsi="Times New Roman" w:eastAsia="宋体" w:cs="Times New Roman"/>
          <w:color w:val="FF0000"/>
          <w:sz w:val="24"/>
          <w:highlight w:val="none"/>
          <w:lang w:val="en-US" w:eastAsia="zh-CN"/>
        </w:rPr>
        <w:t>脱硝塔</w:t>
      </w:r>
      <w:r>
        <w:rPr>
          <w:rFonts w:hint="eastAsia" w:ascii="Times New Roman" w:hAnsi="Times New Roman" w:eastAsia="宋体" w:cs="Times New Roman"/>
          <w:color w:val="FF0000"/>
          <w:sz w:val="24"/>
          <w:highlight w:val="none"/>
          <w:lang w:eastAsia="zh-CN"/>
        </w:rPr>
        <w:t>截面，同时保证</w:t>
      </w:r>
      <w:r>
        <w:rPr>
          <w:rFonts w:hint="eastAsia" w:ascii="Times New Roman" w:hAnsi="Times New Roman" w:eastAsia="宋体" w:cs="Times New Roman"/>
          <w:color w:val="FF0000"/>
          <w:sz w:val="24"/>
          <w:highlight w:val="none"/>
          <w:lang w:val="en-US" w:eastAsia="zh-CN"/>
        </w:rPr>
        <w:t>溶液</w:t>
      </w:r>
      <w:r>
        <w:rPr>
          <w:rFonts w:hint="eastAsia" w:ascii="Times New Roman" w:hAnsi="Times New Roman" w:eastAsia="宋体" w:cs="Times New Roman"/>
          <w:color w:val="FF0000"/>
          <w:sz w:val="24"/>
          <w:highlight w:val="none"/>
          <w:lang w:eastAsia="zh-CN"/>
        </w:rPr>
        <w:t>在不同负荷下都能完全</w:t>
      </w:r>
      <w:r>
        <w:rPr>
          <w:rFonts w:hint="eastAsia" w:ascii="Times New Roman" w:hAnsi="Times New Roman" w:eastAsia="宋体" w:cs="Times New Roman"/>
          <w:color w:val="FF0000"/>
          <w:sz w:val="24"/>
          <w:highlight w:val="none"/>
          <w:lang w:val="en-US" w:eastAsia="zh-CN"/>
        </w:rPr>
        <w:t>反应</w:t>
      </w:r>
      <w:r>
        <w:rPr>
          <w:rFonts w:hint="eastAsia" w:ascii="Times New Roman" w:hAnsi="Times New Roman" w:eastAsia="宋体" w:cs="Times New Roman"/>
          <w:color w:val="FF0000"/>
          <w:sz w:val="24"/>
          <w:highlight w:val="none"/>
          <w:lang w:eastAsia="zh-CN"/>
        </w:rPr>
        <w:t>，达到</w:t>
      </w:r>
      <w:r>
        <w:rPr>
          <w:rFonts w:hint="eastAsia" w:ascii="Times New Roman" w:hAnsi="Times New Roman" w:eastAsia="宋体" w:cs="Times New Roman"/>
          <w:color w:val="FF0000"/>
          <w:sz w:val="24"/>
          <w:highlight w:val="none"/>
          <w:lang w:val="en-US" w:eastAsia="zh-CN"/>
        </w:rPr>
        <w:t>反应</w:t>
      </w:r>
      <w:r>
        <w:rPr>
          <w:rFonts w:hint="eastAsia" w:ascii="Times New Roman" w:hAnsi="Times New Roman" w:eastAsia="宋体" w:cs="Times New Roman"/>
          <w:color w:val="FF0000"/>
          <w:sz w:val="24"/>
          <w:highlight w:val="none"/>
          <w:lang w:eastAsia="zh-CN"/>
        </w:rPr>
        <w:t>后</w:t>
      </w:r>
      <w:r>
        <w:rPr>
          <w:rFonts w:hint="eastAsia" w:ascii="Times New Roman" w:hAnsi="Times New Roman" w:eastAsia="宋体" w:cs="Times New Roman"/>
          <w:color w:val="FF0000"/>
          <w:sz w:val="24"/>
          <w:highlight w:val="none"/>
          <w:lang w:val="en-US" w:eastAsia="zh-CN"/>
        </w:rPr>
        <w:t>溶液气雾状</w:t>
      </w:r>
      <w:r>
        <w:rPr>
          <w:rFonts w:hint="eastAsia" w:ascii="Times New Roman" w:hAnsi="Times New Roman" w:eastAsia="宋体" w:cs="Times New Roman"/>
          <w:color w:val="FF0000"/>
          <w:sz w:val="24"/>
          <w:highlight w:val="none"/>
          <w:lang w:eastAsia="zh-CN"/>
        </w:rPr>
        <w:t>与烟气充分混合目的，喷枪上的溶液进口和压缩空气进口为快速接头连接</w:t>
      </w:r>
      <w:r>
        <w:rPr>
          <w:rFonts w:hint="eastAsia" w:eastAsia="宋体" w:cs="Times New Roman"/>
          <w:color w:val="FF0000"/>
          <w:sz w:val="24"/>
          <w:highlight w:val="none"/>
          <w:lang w:eastAsia="zh-CN"/>
        </w:rPr>
        <w:t>，</w:t>
      </w:r>
      <w:r>
        <w:rPr>
          <w:rFonts w:hint="eastAsia" w:ascii="Times New Roman" w:hAnsi="Times New Roman" w:eastAsia="宋体" w:cs="Times New Roman"/>
          <w:color w:val="FF0000"/>
          <w:sz w:val="24"/>
          <w:highlight w:val="none"/>
          <w:lang w:eastAsia="zh-CN"/>
        </w:rPr>
        <w:t>通过金属软管与尿素溶液管路、压缩空气管路连接。脱硝压缩空气耗量由除尘新建压缩空气系统统一提供。</w:t>
      </w:r>
    </w:p>
    <w:p w14:paraId="6EF9E04F">
      <w:pPr>
        <w:pStyle w:val="15"/>
        <w:keepNext w:val="0"/>
        <w:keepLines w:val="0"/>
        <w:pageBreakBefore w:val="0"/>
        <w:widowControl w:val="0"/>
        <w:kinsoku/>
        <w:wordWrap/>
        <w:overflowPunct/>
        <w:topLinePunct w:val="0"/>
        <w:autoSpaceDE/>
        <w:autoSpaceDN/>
        <w:bidi w:val="0"/>
        <w:adjustRightInd w:val="0"/>
        <w:snapToGrid w:val="0"/>
        <w:spacing w:after="0" w:line="480" w:lineRule="exact"/>
        <w:ind w:left="0" w:firstLine="480" w:firstLineChars="200"/>
        <w:jc w:val="both"/>
        <w:textAlignment w:val="auto"/>
        <w:rPr>
          <w:rFonts w:hint="default" w:ascii="Times New Roman" w:hAnsi="Times New Roman" w:eastAsia="宋体" w:cs="Times New Roman"/>
          <w:b w:val="0"/>
          <w:bCs/>
          <w:color w:val="FF0000"/>
          <w:sz w:val="24"/>
          <w:szCs w:val="24"/>
          <w:highlight w:val="none"/>
          <w:lang w:val="en-US" w:eastAsia="zh-CN"/>
        </w:rPr>
      </w:pPr>
      <w:r>
        <w:rPr>
          <w:rFonts w:hint="eastAsia" w:ascii="Times New Roman" w:hAnsi="Times New Roman" w:eastAsia="宋体" w:cs="Times New Roman"/>
          <w:color w:val="FF0000"/>
          <w:sz w:val="24"/>
          <w:highlight w:val="none"/>
          <w:lang w:val="en-US" w:eastAsia="zh-CN"/>
        </w:rPr>
        <w:t>亚氯酸钠</w:t>
      </w:r>
      <w:r>
        <w:rPr>
          <w:rFonts w:hint="eastAsia" w:ascii="Times New Roman" w:hAnsi="Times New Roman" w:eastAsia="宋体" w:cs="Times New Roman"/>
          <w:color w:val="FF0000"/>
          <w:sz w:val="24"/>
          <w:highlight w:val="none"/>
          <w:lang w:eastAsia="zh-CN"/>
        </w:rPr>
        <w:t>溶液输送泵采用离心泵，</w:t>
      </w:r>
      <w:r>
        <w:rPr>
          <w:rFonts w:hint="eastAsia" w:ascii="Times New Roman" w:hAnsi="Times New Roman" w:eastAsia="宋体" w:cs="Times New Roman"/>
          <w:color w:val="FF0000"/>
          <w:sz w:val="24"/>
          <w:highlight w:val="none"/>
          <w:lang w:val="en-US" w:eastAsia="zh-CN"/>
        </w:rPr>
        <w:t>PLC系统</w:t>
      </w:r>
      <w:r>
        <w:rPr>
          <w:rFonts w:hint="eastAsia" w:ascii="Times New Roman" w:hAnsi="Times New Roman" w:eastAsia="宋体" w:cs="Times New Roman"/>
          <w:color w:val="FF0000"/>
          <w:sz w:val="24"/>
          <w:highlight w:val="none"/>
          <w:lang w:eastAsia="zh-CN"/>
        </w:rPr>
        <w:t>根据</w:t>
      </w:r>
      <w:r>
        <w:rPr>
          <w:rFonts w:hint="eastAsia" w:ascii="Times New Roman" w:hAnsi="Times New Roman" w:eastAsia="宋体" w:cs="Times New Roman"/>
          <w:color w:val="FF0000"/>
          <w:sz w:val="24"/>
          <w:highlight w:val="none"/>
          <w:lang w:val="en-US" w:eastAsia="zh-CN"/>
        </w:rPr>
        <w:t>锅</w:t>
      </w:r>
      <w:r>
        <w:rPr>
          <w:rFonts w:hint="eastAsia" w:ascii="Times New Roman" w:hAnsi="Times New Roman" w:eastAsia="宋体" w:cs="Times New Roman"/>
          <w:color w:val="FF0000"/>
          <w:sz w:val="24"/>
          <w:highlight w:val="none"/>
          <w:lang w:eastAsia="zh-CN"/>
        </w:rPr>
        <w:t>炉负荷</w:t>
      </w:r>
      <w:r>
        <w:rPr>
          <w:rFonts w:hint="eastAsia" w:ascii="Times New Roman" w:hAnsi="Times New Roman" w:eastAsia="宋体" w:cs="Times New Roman"/>
          <w:color w:val="FF0000"/>
          <w:sz w:val="24"/>
          <w:highlight w:val="none"/>
          <w:lang w:val="en-US" w:eastAsia="zh-CN"/>
        </w:rPr>
        <w:t>自动调节泵的频率</w:t>
      </w:r>
      <w:r>
        <w:rPr>
          <w:rFonts w:hint="eastAsia" w:ascii="Times New Roman" w:hAnsi="Times New Roman" w:eastAsia="宋体" w:cs="Times New Roman"/>
          <w:color w:val="FF0000"/>
          <w:sz w:val="24"/>
          <w:highlight w:val="none"/>
          <w:lang w:eastAsia="zh-CN"/>
        </w:rPr>
        <w:t>，NOx的出口浓度等参数，调节</w:t>
      </w:r>
      <w:r>
        <w:rPr>
          <w:rFonts w:hint="eastAsia" w:ascii="Times New Roman" w:hAnsi="Times New Roman" w:eastAsia="宋体" w:cs="Times New Roman"/>
          <w:color w:val="FF0000"/>
          <w:sz w:val="24"/>
          <w:highlight w:val="none"/>
          <w:lang w:val="en-US" w:eastAsia="zh-CN"/>
        </w:rPr>
        <w:t>泵的频率</w:t>
      </w:r>
      <w:r>
        <w:rPr>
          <w:rFonts w:hint="eastAsia" w:ascii="Times New Roman" w:hAnsi="Times New Roman" w:eastAsia="宋体" w:cs="Times New Roman"/>
          <w:color w:val="FF0000"/>
          <w:sz w:val="24"/>
          <w:highlight w:val="none"/>
          <w:lang w:eastAsia="zh-CN"/>
        </w:rPr>
        <w:t>改变</w:t>
      </w:r>
      <w:r>
        <w:rPr>
          <w:rFonts w:hint="eastAsia" w:ascii="Times New Roman" w:hAnsi="Times New Roman" w:eastAsia="宋体" w:cs="Times New Roman"/>
          <w:color w:val="FF0000"/>
          <w:sz w:val="24"/>
          <w:highlight w:val="none"/>
          <w:lang w:val="en-US" w:eastAsia="zh-CN"/>
        </w:rPr>
        <w:t>亚氯酸钠</w:t>
      </w:r>
      <w:r>
        <w:rPr>
          <w:rFonts w:hint="eastAsia" w:ascii="Times New Roman" w:hAnsi="Times New Roman" w:eastAsia="宋体" w:cs="Times New Roman"/>
          <w:color w:val="FF0000"/>
          <w:sz w:val="24"/>
          <w:highlight w:val="none"/>
          <w:lang w:eastAsia="zh-CN"/>
        </w:rPr>
        <w:t>溶液及稀释水输送流量，</w:t>
      </w:r>
      <w:r>
        <w:rPr>
          <w:rFonts w:hint="eastAsia" w:ascii="Times New Roman" w:hAnsi="Times New Roman" w:eastAsia="宋体" w:cs="Times New Roman"/>
          <w:color w:val="FF0000"/>
          <w:sz w:val="24"/>
          <w:highlight w:val="none"/>
          <w:lang w:val="en-US" w:eastAsia="zh-CN"/>
        </w:rPr>
        <w:t>使得在经济运行情况下</w:t>
      </w:r>
      <w:r>
        <w:rPr>
          <w:rFonts w:hint="eastAsia" w:ascii="Times New Roman" w:hAnsi="Times New Roman" w:eastAsia="宋体" w:cs="Times New Roman"/>
          <w:color w:val="FF0000"/>
          <w:sz w:val="24"/>
          <w:highlight w:val="none"/>
          <w:lang w:eastAsia="zh-CN"/>
        </w:rPr>
        <w:t>，NOx浓度大幅降低</w:t>
      </w:r>
      <w:r>
        <w:rPr>
          <w:rFonts w:hint="eastAsia" w:ascii="Times New Roman" w:hAnsi="Times New Roman" w:eastAsia="宋体" w:cs="Times New Roman"/>
          <w:color w:val="FF0000"/>
          <w:sz w:val="24"/>
          <w:highlight w:val="none"/>
        </w:rPr>
        <w:t>。</w:t>
      </w:r>
    </w:p>
    <w:p w14:paraId="0F48816A">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FF0000"/>
          <w:spacing w:val="0"/>
          <w:sz w:val="24"/>
          <w:szCs w:val="24"/>
          <w:highlight w:val="none"/>
          <w:lang w:eastAsia="zh-CN"/>
        </w:rPr>
      </w:pPr>
      <w:r>
        <w:rPr>
          <w:rFonts w:hint="default" w:ascii="Times New Roman" w:hAnsi="Times New Roman" w:eastAsia="宋体" w:cs="Times New Roman"/>
          <w:color w:val="FF0000"/>
          <w:sz w:val="24"/>
          <w:szCs w:val="24"/>
          <w:highlight w:val="none"/>
          <w:lang w:val="en-US" w:eastAsia="zh-CN"/>
        </w:rPr>
        <w:t>本工程采用</w:t>
      </w:r>
      <w:r>
        <w:rPr>
          <w:rFonts w:hint="eastAsia" w:eastAsia="宋体" w:cs="Times New Roman"/>
          <w:color w:val="FF0000"/>
          <w:sz w:val="24"/>
          <w:szCs w:val="24"/>
          <w:highlight w:val="none"/>
          <w:lang w:val="en-US" w:eastAsia="zh-CN"/>
        </w:rPr>
        <w:t>SNCR+亚氯酸钠脱硝</w:t>
      </w:r>
      <w:r>
        <w:rPr>
          <w:rFonts w:hint="default" w:ascii="Times New Roman" w:hAnsi="Times New Roman" w:eastAsia="宋体" w:cs="Times New Roman"/>
          <w:color w:val="FF0000"/>
          <w:sz w:val="24"/>
          <w:szCs w:val="24"/>
          <w:highlight w:val="none"/>
          <w:lang w:val="en-US" w:eastAsia="zh-CN"/>
        </w:rPr>
        <w:t>工艺，氮氧化物脱除系统的效率为</w:t>
      </w:r>
      <w:r>
        <w:rPr>
          <w:rFonts w:hint="eastAsia" w:eastAsia="宋体" w:cs="Times New Roman"/>
          <w:color w:val="FF0000"/>
          <w:sz w:val="24"/>
          <w:szCs w:val="24"/>
          <w:highlight w:val="none"/>
          <w:lang w:val="en-US" w:eastAsia="zh-CN"/>
        </w:rPr>
        <w:t>88</w:t>
      </w:r>
      <w:r>
        <w:rPr>
          <w:rFonts w:hint="default" w:ascii="Times New Roman" w:hAnsi="Times New Roman" w:eastAsia="宋体" w:cs="Times New Roman"/>
          <w:color w:val="FF0000"/>
          <w:sz w:val="24"/>
          <w:szCs w:val="24"/>
          <w:highlight w:val="none"/>
          <w:lang w:val="en-US" w:eastAsia="zh-CN"/>
        </w:rPr>
        <w:t>%，脱硝还原剂</w:t>
      </w:r>
      <w:r>
        <w:rPr>
          <w:rFonts w:hint="eastAsia" w:eastAsia="宋体" w:cs="Times New Roman"/>
          <w:color w:val="FF0000"/>
          <w:sz w:val="24"/>
          <w:szCs w:val="24"/>
          <w:highlight w:val="none"/>
          <w:lang w:val="en-US" w:eastAsia="zh-CN"/>
        </w:rPr>
        <w:t>分别</w:t>
      </w:r>
      <w:r>
        <w:rPr>
          <w:rFonts w:hint="default" w:ascii="Times New Roman" w:hAnsi="Times New Roman" w:eastAsia="宋体" w:cs="Times New Roman"/>
          <w:color w:val="FF0000"/>
          <w:sz w:val="24"/>
          <w:szCs w:val="24"/>
          <w:highlight w:val="none"/>
          <w:lang w:val="en-US" w:eastAsia="zh-CN"/>
        </w:rPr>
        <w:t>采用尿素</w:t>
      </w:r>
      <w:r>
        <w:rPr>
          <w:rFonts w:hint="eastAsia" w:eastAsia="宋体" w:cs="Times New Roman"/>
          <w:color w:val="FF0000"/>
          <w:sz w:val="24"/>
          <w:szCs w:val="24"/>
          <w:highlight w:val="none"/>
          <w:lang w:val="en-US" w:eastAsia="zh-CN"/>
        </w:rPr>
        <w:t>和亚氯酸钠</w:t>
      </w:r>
      <w:r>
        <w:rPr>
          <w:rFonts w:hint="default" w:ascii="Times New Roman" w:hAnsi="Times New Roman" w:eastAsia="宋体" w:cs="Times New Roman"/>
          <w:color w:val="FF0000"/>
          <w:sz w:val="24"/>
          <w:szCs w:val="24"/>
          <w:highlight w:val="none"/>
          <w:lang w:val="en-US" w:eastAsia="zh-CN"/>
        </w:rPr>
        <w:t>。采用上述脱硝措施后，NOx排放浓度满足《关于印发</w:t>
      </w:r>
      <w:r>
        <w:rPr>
          <w:rFonts w:hint="eastAsia" w:eastAsia="宋体" w:cs="Times New Roman"/>
          <w:color w:val="FF0000"/>
          <w:sz w:val="24"/>
          <w:szCs w:val="24"/>
          <w:highlight w:val="none"/>
          <w:lang w:val="en-US" w:eastAsia="zh-CN"/>
        </w:rPr>
        <w:t>〈</w:t>
      </w:r>
      <w:r>
        <w:rPr>
          <w:rFonts w:hint="default" w:ascii="Times New Roman" w:hAnsi="Times New Roman" w:eastAsia="宋体" w:cs="Times New Roman"/>
          <w:color w:val="FF0000"/>
          <w:sz w:val="24"/>
          <w:szCs w:val="24"/>
          <w:highlight w:val="none"/>
          <w:lang w:val="en-US" w:eastAsia="zh-CN"/>
        </w:rPr>
        <w:t>全面实施燃煤电厂超低排放和节能改造工作方案</w:t>
      </w:r>
      <w:r>
        <w:rPr>
          <w:rFonts w:hint="eastAsia" w:eastAsia="宋体" w:cs="Times New Roman"/>
          <w:color w:val="FF0000"/>
          <w:sz w:val="24"/>
          <w:szCs w:val="24"/>
          <w:highlight w:val="none"/>
          <w:lang w:val="en-US" w:eastAsia="zh-CN"/>
        </w:rPr>
        <w:t>〉的通知》（</w:t>
      </w:r>
      <w:r>
        <w:rPr>
          <w:rFonts w:hint="default" w:ascii="Times New Roman" w:hAnsi="Times New Roman" w:eastAsia="宋体" w:cs="Times New Roman"/>
          <w:color w:val="FF0000"/>
          <w:sz w:val="24"/>
          <w:szCs w:val="24"/>
          <w:highlight w:val="none"/>
          <w:lang w:val="en-US" w:eastAsia="zh-CN"/>
        </w:rPr>
        <w:t>环发</w:t>
      </w:r>
      <w:r>
        <w:rPr>
          <w:rFonts w:hint="eastAsia" w:eastAsia="宋体" w:cs="Times New Roman"/>
          <w:color w:val="FF0000"/>
          <w:sz w:val="24"/>
          <w:szCs w:val="24"/>
          <w:highlight w:val="none"/>
          <w:lang w:val="en-US" w:eastAsia="zh-CN"/>
        </w:rPr>
        <w:t>〔</w:t>
      </w:r>
      <w:r>
        <w:rPr>
          <w:rFonts w:hint="default" w:ascii="Times New Roman" w:hAnsi="Times New Roman" w:eastAsia="宋体" w:cs="Times New Roman"/>
          <w:color w:val="FF0000"/>
          <w:sz w:val="24"/>
          <w:szCs w:val="24"/>
          <w:highlight w:val="none"/>
          <w:lang w:val="en-US" w:eastAsia="zh-CN"/>
        </w:rPr>
        <w:t>2015</w:t>
      </w:r>
      <w:r>
        <w:rPr>
          <w:rFonts w:hint="eastAsia" w:eastAsia="宋体" w:cs="Times New Roman"/>
          <w:color w:val="FF0000"/>
          <w:sz w:val="24"/>
          <w:szCs w:val="24"/>
          <w:highlight w:val="none"/>
          <w:lang w:val="en-US" w:eastAsia="zh-CN"/>
        </w:rPr>
        <w:t>〕</w:t>
      </w:r>
      <w:r>
        <w:rPr>
          <w:rFonts w:hint="default" w:ascii="Times New Roman" w:hAnsi="Times New Roman" w:eastAsia="宋体" w:cs="Times New Roman"/>
          <w:color w:val="FF0000"/>
          <w:sz w:val="24"/>
          <w:szCs w:val="24"/>
          <w:highlight w:val="none"/>
          <w:lang w:val="en-US" w:eastAsia="zh-CN"/>
        </w:rPr>
        <w:t>164号</w:t>
      </w:r>
      <w:r>
        <w:rPr>
          <w:rFonts w:hint="eastAsia" w:eastAsia="宋体" w:cs="Times New Roman"/>
          <w:color w:val="FF0000"/>
          <w:sz w:val="24"/>
          <w:szCs w:val="24"/>
          <w:highlight w:val="none"/>
          <w:lang w:val="en-US" w:eastAsia="zh-CN"/>
        </w:rPr>
        <w:t>）</w:t>
      </w:r>
      <w:r>
        <w:rPr>
          <w:rFonts w:hint="default" w:ascii="Times New Roman" w:hAnsi="Times New Roman" w:eastAsia="宋体" w:cs="Times New Roman"/>
          <w:color w:val="FF0000"/>
          <w:sz w:val="24"/>
          <w:szCs w:val="24"/>
          <w:highlight w:val="none"/>
          <w:lang w:val="en-US" w:eastAsia="zh-CN"/>
        </w:rPr>
        <w:t>要求，NOx排放浓度不高于50mg/m</w:t>
      </w:r>
      <w:r>
        <w:rPr>
          <w:rFonts w:hint="default" w:ascii="Times New Roman" w:hAnsi="Times New Roman" w:eastAsia="宋体" w:cs="Times New Roman"/>
          <w:color w:val="FF0000"/>
          <w:sz w:val="24"/>
          <w:szCs w:val="24"/>
          <w:highlight w:val="none"/>
          <w:vertAlign w:val="superscript"/>
          <w:lang w:val="en-US" w:eastAsia="zh-CN"/>
        </w:rPr>
        <w:t>3</w:t>
      </w:r>
      <w:r>
        <w:rPr>
          <w:rFonts w:hint="default" w:ascii="Times New Roman" w:hAnsi="Times New Roman" w:eastAsia="宋体" w:cs="Times New Roman"/>
          <w:color w:val="FF0000"/>
          <w:sz w:val="24"/>
          <w:szCs w:val="24"/>
          <w:highlight w:val="none"/>
          <w:lang w:val="en-US" w:eastAsia="zh-CN"/>
        </w:rPr>
        <w:t>。</w:t>
      </w:r>
    </w:p>
    <w:p w14:paraId="1C10EEAA">
      <w:pPr>
        <w:pStyle w:val="7"/>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7.2.1.</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 xml:space="preserve"> 本项目</w:t>
      </w:r>
      <w:r>
        <w:rPr>
          <w:rFonts w:hint="default" w:ascii="Times New Roman" w:hAnsi="Times New Roman" w:eastAsia="宋体" w:cs="Times New Roman"/>
          <w:color w:val="auto"/>
          <w:highlight w:val="none"/>
          <w:lang w:val="en-US" w:eastAsia="zh-CN"/>
        </w:rPr>
        <w:t>汞及其化合物</w:t>
      </w:r>
      <w:r>
        <w:rPr>
          <w:rFonts w:hint="default" w:ascii="Times New Roman" w:hAnsi="Times New Roman" w:eastAsia="宋体" w:cs="Times New Roman"/>
          <w:color w:val="auto"/>
          <w:highlight w:val="none"/>
          <w:lang w:eastAsia="zh-CN"/>
        </w:rPr>
        <w:t>污染</w:t>
      </w:r>
      <w:r>
        <w:rPr>
          <w:rFonts w:hint="default" w:ascii="Times New Roman" w:hAnsi="Times New Roman" w:eastAsia="宋体" w:cs="Times New Roman"/>
          <w:color w:val="auto"/>
          <w:highlight w:val="none"/>
        </w:rPr>
        <w:t>防治措施</w:t>
      </w:r>
    </w:p>
    <w:p w14:paraId="4E9B18CB">
      <w:pPr>
        <w:pStyle w:val="15"/>
        <w:keepNext w:val="0"/>
        <w:keepLines w:val="0"/>
        <w:pageBreakBefore w:val="0"/>
        <w:widowControl w:val="0"/>
        <w:kinsoku/>
        <w:wordWrap/>
        <w:overflowPunct/>
        <w:topLinePunct w:val="0"/>
        <w:autoSpaceDE/>
        <w:autoSpaceDN/>
        <w:bidi w:val="0"/>
        <w:adjustRightInd w:val="0"/>
        <w:snapToGrid w:val="0"/>
        <w:spacing w:after="0" w:line="480" w:lineRule="exact"/>
        <w:ind w:left="0" w:firstLine="480" w:firstLineChars="200"/>
        <w:jc w:val="both"/>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燃煤烟气中Hg主要有三种形态：气态单质Hg（为主要形式，占85%以上）、气态二价Hg、固态颗粒Hg。固态颗粒Hg极易被除尘器去除；气态二价Hg极易溶于水，可在脱硫过</w:t>
      </w:r>
      <w:r>
        <w:rPr>
          <w:rFonts w:hint="eastAsia" w:eastAsia="宋体" w:cs="Times New Roman"/>
          <w:color w:val="auto"/>
          <w:sz w:val="24"/>
          <w:highlight w:val="none"/>
          <w:lang w:eastAsia="zh-CN"/>
        </w:rPr>
        <w:t>程中</w:t>
      </w:r>
      <w:r>
        <w:rPr>
          <w:rFonts w:hint="default" w:ascii="Times New Roman" w:hAnsi="Times New Roman" w:eastAsia="宋体" w:cs="Times New Roman"/>
          <w:color w:val="auto"/>
          <w:sz w:val="24"/>
          <w:highlight w:val="none"/>
        </w:rPr>
        <w:t>协同去除。因此，本项目采取的烟气除尘、脱硫和脱</w:t>
      </w:r>
      <w:r>
        <w:rPr>
          <w:rFonts w:hint="default" w:ascii="Times New Roman" w:hAnsi="Times New Roman" w:eastAsia="宋体" w:cs="Times New Roman"/>
          <w:color w:val="auto"/>
          <w:sz w:val="24"/>
          <w:highlight w:val="none"/>
          <w:lang w:val="en-US" w:eastAsia="zh-CN"/>
        </w:rPr>
        <w:t>硝</w:t>
      </w:r>
      <w:r>
        <w:rPr>
          <w:rFonts w:hint="default" w:ascii="Times New Roman" w:hAnsi="Times New Roman" w:eastAsia="宋体" w:cs="Times New Roman"/>
          <w:color w:val="auto"/>
          <w:sz w:val="24"/>
          <w:highlight w:val="none"/>
        </w:rPr>
        <w:t>系统对汞及其化合物产生协同脱除效率可达</w:t>
      </w:r>
      <w:r>
        <w:rPr>
          <w:rFonts w:hint="eastAsia" w:eastAsia="宋体" w:cs="Times New Roman"/>
          <w:color w:val="auto"/>
          <w:sz w:val="24"/>
          <w:highlight w:val="none"/>
          <w:lang w:val="en-US" w:eastAsia="zh-CN"/>
        </w:rPr>
        <w:t>7</w:t>
      </w:r>
      <w:r>
        <w:rPr>
          <w:rFonts w:hint="default" w:ascii="Times New Roman" w:hAnsi="Times New Roman" w:eastAsia="宋体" w:cs="Times New Roman"/>
          <w:color w:val="auto"/>
          <w:sz w:val="24"/>
          <w:highlight w:val="none"/>
          <w:lang w:val="en-US" w:eastAsia="zh-CN"/>
        </w:rPr>
        <w:t>0</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pacing w:val="0"/>
          <w:sz w:val="24"/>
          <w:szCs w:val="24"/>
          <w:highlight w:val="none"/>
          <w:lang w:val="en-US" w:eastAsia="zh-CN"/>
        </w:rPr>
        <w:t>汞及其化合物</w:t>
      </w:r>
      <w:r>
        <w:rPr>
          <w:rFonts w:hint="default" w:ascii="Times New Roman" w:hAnsi="Times New Roman" w:eastAsia="宋体" w:cs="Times New Roman"/>
          <w:color w:val="auto"/>
          <w:sz w:val="24"/>
          <w:szCs w:val="24"/>
          <w:highlight w:val="none"/>
        </w:rPr>
        <w:t>排放浓度满足</w:t>
      </w:r>
      <w:r>
        <w:rPr>
          <w:rFonts w:hint="default" w:ascii="Times New Roman" w:hAnsi="Times New Roman" w:eastAsia="宋体" w:cs="Times New Roman"/>
          <w:color w:val="auto"/>
          <w:sz w:val="24"/>
          <w:highlight w:val="none"/>
        </w:rPr>
        <w:t>《锅炉大气污染物排放标准》（GB13271-2014）</w:t>
      </w:r>
      <w:r>
        <w:rPr>
          <w:rFonts w:hint="eastAsia" w:eastAsia="宋体" w:cs="Times New Roman"/>
          <w:color w:val="auto"/>
          <w:sz w:val="24"/>
          <w:highlight w:val="none"/>
          <w:lang w:eastAsia="zh-CN"/>
        </w:rPr>
        <w:t>表2新建锅炉大气污染物排放浓度限值</w:t>
      </w:r>
      <w:r>
        <w:rPr>
          <w:rFonts w:hint="default" w:ascii="Times New Roman" w:hAnsi="Times New Roman" w:eastAsia="宋体" w:cs="Times New Roman"/>
          <w:color w:val="auto"/>
          <w:sz w:val="24"/>
          <w:highlight w:val="none"/>
          <w:lang w:val="en-US" w:eastAsia="zh-CN"/>
        </w:rPr>
        <w:t>中</w:t>
      </w:r>
      <w:r>
        <w:rPr>
          <w:rFonts w:hint="default" w:ascii="Times New Roman" w:hAnsi="Times New Roman" w:eastAsia="宋体" w:cs="Times New Roman"/>
          <w:color w:val="auto"/>
          <w:sz w:val="24"/>
          <w:highlight w:val="none"/>
        </w:rPr>
        <w:t>汞及其化合物排放标准要求</w:t>
      </w:r>
      <w:r>
        <w:rPr>
          <w:rFonts w:hint="default" w:ascii="Times New Roman" w:hAnsi="Times New Roman" w:eastAsia="宋体" w:cs="Times New Roman"/>
          <w:color w:val="auto"/>
          <w:sz w:val="24"/>
          <w:szCs w:val="24"/>
          <w:highlight w:val="none"/>
          <w:lang w:eastAsia="zh-CN"/>
        </w:rPr>
        <w:t>。</w:t>
      </w:r>
    </w:p>
    <w:p w14:paraId="412A6B5D">
      <w:pPr>
        <w:pStyle w:val="7"/>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7.2.1.</w:t>
      </w:r>
      <w:r>
        <w:rPr>
          <w:rFonts w:hint="default"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rPr>
        <w:t xml:space="preserve"> 本项目</w:t>
      </w:r>
      <w:r>
        <w:rPr>
          <w:rFonts w:hint="default" w:ascii="Times New Roman" w:hAnsi="Times New Roman" w:eastAsia="宋体" w:cs="Times New Roman"/>
          <w:color w:val="auto"/>
          <w:highlight w:val="none"/>
          <w:lang w:val="en-US" w:eastAsia="zh-CN"/>
        </w:rPr>
        <w:t>氨逃逸</w:t>
      </w:r>
      <w:r>
        <w:rPr>
          <w:rFonts w:hint="default" w:ascii="Times New Roman" w:hAnsi="Times New Roman" w:eastAsia="宋体" w:cs="Times New Roman"/>
          <w:color w:val="auto"/>
          <w:highlight w:val="none"/>
          <w:lang w:eastAsia="zh-CN"/>
        </w:rPr>
        <w:t>污染</w:t>
      </w:r>
      <w:r>
        <w:rPr>
          <w:rFonts w:hint="default" w:ascii="Times New Roman" w:hAnsi="Times New Roman" w:eastAsia="宋体" w:cs="Times New Roman"/>
          <w:color w:val="auto"/>
          <w:highlight w:val="none"/>
        </w:rPr>
        <w:t>防治措施</w:t>
      </w:r>
    </w:p>
    <w:p w14:paraId="525FF6C6">
      <w:pPr>
        <w:pStyle w:val="15"/>
        <w:keepNext w:val="0"/>
        <w:keepLines w:val="0"/>
        <w:pageBreakBefore w:val="0"/>
        <w:widowControl w:val="0"/>
        <w:kinsoku/>
        <w:wordWrap/>
        <w:overflowPunct/>
        <w:topLinePunct w:val="0"/>
        <w:autoSpaceDE/>
        <w:autoSpaceDN/>
        <w:bidi w:val="0"/>
        <w:adjustRightInd w:val="0"/>
        <w:snapToGrid w:val="0"/>
        <w:spacing w:after="0" w:line="480" w:lineRule="exact"/>
        <w:ind w:lef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w:t>
      </w:r>
      <w:r>
        <w:rPr>
          <w:rFonts w:hint="default" w:ascii="Times New Roman" w:hAnsi="Times New Roman" w:eastAsia="宋体" w:cs="Times New Roman"/>
          <w:color w:val="auto"/>
          <w:sz w:val="24"/>
          <w:highlight w:val="none"/>
          <w:lang w:val="en-US" w:eastAsia="zh-CN"/>
        </w:rPr>
        <w:t>项目脱硝</w:t>
      </w:r>
      <w:r>
        <w:rPr>
          <w:rFonts w:hint="default" w:ascii="Times New Roman" w:hAnsi="Times New Roman" w:eastAsia="宋体" w:cs="Times New Roman"/>
          <w:color w:val="auto"/>
          <w:sz w:val="24"/>
          <w:highlight w:val="none"/>
        </w:rPr>
        <w:t>采用</w:t>
      </w:r>
      <w:r>
        <w:rPr>
          <w:rFonts w:hint="default" w:ascii="Times New Roman" w:hAnsi="Times New Roman" w:eastAsia="宋体" w:cs="Times New Roman"/>
          <w:color w:val="auto"/>
          <w:sz w:val="24"/>
          <w:highlight w:val="none"/>
          <w:lang w:val="en-US" w:eastAsia="zh-CN"/>
        </w:rPr>
        <w:t>尿素</w:t>
      </w:r>
      <w:r>
        <w:rPr>
          <w:rFonts w:hint="default" w:ascii="Times New Roman" w:hAnsi="Times New Roman" w:eastAsia="宋体" w:cs="Times New Roman"/>
          <w:color w:val="auto"/>
          <w:sz w:val="24"/>
          <w:highlight w:val="none"/>
        </w:rPr>
        <w:t>脱硝，与NOx反应过程中将产生无组织排放的NH</w:t>
      </w:r>
      <w:r>
        <w:rPr>
          <w:rFonts w:hint="default" w:ascii="Times New Roman" w:hAnsi="Times New Roman" w:eastAsia="宋体" w:cs="Times New Roman"/>
          <w:color w:val="auto"/>
          <w:sz w:val="24"/>
          <w:highlight w:val="none"/>
          <w:vertAlign w:val="subscript"/>
        </w:rPr>
        <w:t>3</w:t>
      </w:r>
      <w:r>
        <w:rPr>
          <w:rFonts w:hint="default" w:ascii="Times New Roman" w:hAnsi="Times New Roman" w:eastAsia="宋体" w:cs="Times New Roman"/>
          <w:color w:val="auto"/>
          <w:sz w:val="24"/>
          <w:highlight w:val="none"/>
        </w:rPr>
        <w:t>，产生逃逸现象。本项目的脱硝方法为炉内喷淋</w:t>
      </w:r>
      <w:r>
        <w:rPr>
          <w:rFonts w:hint="default" w:ascii="Times New Roman" w:hAnsi="Times New Roman" w:eastAsia="宋体" w:cs="Times New Roman"/>
          <w:color w:val="auto"/>
          <w:sz w:val="24"/>
          <w:highlight w:val="none"/>
          <w:lang w:val="en-US" w:eastAsia="zh-CN"/>
        </w:rPr>
        <w:t>尿素</w:t>
      </w:r>
      <w:r>
        <w:rPr>
          <w:rFonts w:hint="default" w:ascii="Times New Roman" w:hAnsi="Times New Roman" w:eastAsia="宋体" w:cs="Times New Roman"/>
          <w:color w:val="auto"/>
          <w:sz w:val="24"/>
          <w:highlight w:val="none"/>
        </w:rPr>
        <w:t>，合理控制</w:t>
      </w:r>
      <w:r>
        <w:rPr>
          <w:rFonts w:hint="default" w:ascii="Times New Roman" w:hAnsi="Times New Roman" w:eastAsia="宋体" w:cs="Times New Roman"/>
          <w:color w:val="auto"/>
          <w:sz w:val="24"/>
          <w:highlight w:val="none"/>
          <w:lang w:val="en-US" w:eastAsia="zh-CN"/>
        </w:rPr>
        <w:t>尿素</w:t>
      </w:r>
      <w:r>
        <w:rPr>
          <w:rFonts w:hint="default" w:ascii="Times New Roman" w:hAnsi="Times New Roman" w:eastAsia="宋体" w:cs="Times New Roman"/>
          <w:color w:val="auto"/>
          <w:sz w:val="24"/>
          <w:highlight w:val="none"/>
        </w:rPr>
        <w:t>的喷淋量以及其分布的均匀性，同时采用控制反应区内温度及足够的停留时间等措施，确保氨与烟气中氮氧化物具备良好的接触，降低氨的逃逸量。采取上述</w:t>
      </w:r>
      <w:r>
        <w:rPr>
          <w:rFonts w:hint="default" w:ascii="Times New Roman" w:hAnsi="Times New Roman" w:eastAsia="宋体" w:cs="Times New Roman"/>
          <w:color w:val="auto"/>
          <w:sz w:val="24"/>
          <w:highlight w:val="none"/>
          <w:lang w:val="en-US" w:eastAsia="zh-CN"/>
        </w:rPr>
        <w:t>废气污染防治</w:t>
      </w:r>
      <w:r>
        <w:rPr>
          <w:rFonts w:hint="default" w:ascii="Times New Roman" w:hAnsi="Times New Roman" w:eastAsia="宋体" w:cs="Times New Roman"/>
          <w:color w:val="auto"/>
          <w:sz w:val="24"/>
          <w:highlight w:val="none"/>
        </w:rPr>
        <w:t>措施后，氨厂界浓度满足《恶臭污染物排放标准》（GB14554-93）表1</w:t>
      </w:r>
      <w:r>
        <w:rPr>
          <w:rFonts w:hint="default" w:ascii="Times New Roman" w:hAnsi="Times New Roman" w:eastAsia="宋体" w:cs="Times New Roman"/>
          <w:color w:val="auto"/>
          <w:sz w:val="24"/>
          <w:highlight w:val="none"/>
          <w:lang w:val="en-US" w:eastAsia="zh-CN"/>
        </w:rPr>
        <w:t>恶臭污染物厂界标准值中</w:t>
      </w:r>
      <w:r>
        <w:rPr>
          <w:rFonts w:hint="default" w:ascii="Times New Roman" w:hAnsi="Times New Roman" w:eastAsia="宋体" w:cs="Times New Roman"/>
          <w:color w:val="auto"/>
          <w:sz w:val="24"/>
          <w:highlight w:val="none"/>
        </w:rPr>
        <w:t>二级标准要求</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氨的有组织排放速率满足</w:t>
      </w:r>
      <w:r>
        <w:rPr>
          <w:rFonts w:hint="default" w:ascii="Times New Roman" w:hAnsi="Times New Roman" w:eastAsia="宋体" w:cs="Times New Roman"/>
          <w:color w:val="auto"/>
          <w:sz w:val="24"/>
          <w:highlight w:val="none"/>
        </w:rPr>
        <w:t>《恶臭污染物排放标准</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eastAsia="zh-CN"/>
        </w:rPr>
        <w:t>GB14554-93</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eastAsia="zh-CN"/>
        </w:rPr>
        <w:t>表</w:t>
      </w:r>
      <w:r>
        <w:rPr>
          <w:rFonts w:hint="default" w:ascii="Times New Roman" w:hAnsi="Times New Roman" w:eastAsia="宋体" w:cs="Times New Roman"/>
          <w:color w:val="auto"/>
          <w:sz w:val="24"/>
          <w:highlight w:val="none"/>
          <w:lang w:val="en-US" w:eastAsia="zh-CN"/>
        </w:rPr>
        <w:t>2恶臭污染物排放标准值</w:t>
      </w:r>
      <w:r>
        <w:rPr>
          <w:rFonts w:hint="default" w:ascii="Times New Roman" w:hAnsi="Times New Roman" w:eastAsia="宋体" w:cs="Times New Roman"/>
          <w:color w:val="auto"/>
          <w:sz w:val="24"/>
          <w:highlight w:val="none"/>
        </w:rPr>
        <w:t>。</w:t>
      </w:r>
    </w:p>
    <w:p w14:paraId="4D890D9A">
      <w:pPr>
        <w:pStyle w:val="7"/>
        <w:bidi w:val="0"/>
        <w:rPr>
          <w:rFonts w:hint="default" w:ascii="Times New Roman" w:hAnsi="Times New Roman" w:eastAsia="宋体" w:cs="Times New Roman"/>
          <w:color w:val="auto"/>
          <w:highlight w:val="none"/>
          <w:lang w:val="en-US"/>
        </w:rPr>
      </w:pPr>
      <w:r>
        <w:rPr>
          <w:rFonts w:hint="default" w:ascii="Times New Roman" w:hAnsi="Times New Roman" w:eastAsia="宋体" w:cs="Times New Roman"/>
          <w:color w:val="auto"/>
          <w:highlight w:val="none"/>
        </w:rPr>
        <w:t>7.2.1.</w:t>
      </w:r>
      <w:r>
        <w:rPr>
          <w:rFonts w:hint="default" w:ascii="Times New Roman" w:hAnsi="Times New Roman" w:eastAsia="宋体" w:cs="Times New Roman"/>
          <w:color w:val="auto"/>
          <w:highlight w:val="none"/>
          <w:lang w:val="en-US" w:eastAsia="zh-CN"/>
        </w:rPr>
        <w:t>6</w:t>
      </w:r>
      <w:r>
        <w:rPr>
          <w:rFonts w:hint="default" w:ascii="Times New Roman" w:hAnsi="Times New Roman" w:eastAsia="宋体" w:cs="Times New Roman"/>
          <w:color w:val="auto"/>
          <w:highlight w:val="none"/>
        </w:rPr>
        <w:t xml:space="preserve"> </w:t>
      </w:r>
      <w:r>
        <w:rPr>
          <w:rFonts w:hint="eastAsia" w:ascii="Times New Roman" w:hAnsi="Times New Roman" w:cs="Times New Roman"/>
          <w:color w:val="auto"/>
          <w:highlight w:val="none"/>
          <w:lang w:eastAsia="zh-CN"/>
        </w:rPr>
        <w:t>灰库</w:t>
      </w:r>
      <w:r>
        <w:rPr>
          <w:rFonts w:hint="default" w:ascii="Times New Roman" w:hAnsi="Times New Roman" w:eastAsia="宋体" w:cs="Times New Roman"/>
          <w:color w:val="auto"/>
          <w:highlight w:val="none"/>
          <w:lang w:eastAsia="zh-CN"/>
        </w:rPr>
        <w:t>、</w:t>
      </w:r>
      <w:r>
        <w:rPr>
          <w:rFonts w:hint="eastAsia" w:ascii="Times New Roman" w:hAnsi="Times New Roman" w:cs="Times New Roman"/>
          <w:color w:val="auto"/>
          <w:highlight w:val="none"/>
          <w:lang w:val="en-US" w:eastAsia="zh-CN"/>
        </w:rPr>
        <w:t>生石灰</w:t>
      </w:r>
      <w:r>
        <w:rPr>
          <w:rFonts w:hint="default" w:ascii="Times New Roman" w:hAnsi="Times New Roman" w:eastAsia="宋体" w:cs="Times New Roman"/>
          <w:color w:val="auto"/>
          <w:highlight w:val="none"/>
          <w:lang w:val="en-US" w:eastAsia="zh-CN"/>
        </w:rPr>
        <w:t>粉仓</w:t>
      </w:r>
      <w:r>
        <w:rPr>
          <w:rFonts w:hint="eastAsia" w:ascii="Times New Roman" w:hAnsi="Times New Roman" w:cs="Times New Roman"/>
          <w:color w:val="auto"/>
          <w:highlight w:val="none"/>
          <w:lang w:val="en-US" w:eastAsia="zh-CN"/>
        </w:rPr>
        <w:t>废气污染防治措施</w:t>
      </w:r>
    </w:p>
    <w:p w14:paraId="02D5A46A">
      <w:pPr>
        <w:rPr>
          <w:rFonts w:hint="default"/>
          <w:highlight w:val="none"/>
          <w:lang w:val="en-US"/>
        </w:rPr>
      </w:pPr>
      <w:r>
        <w:rPr>
          <w:rFonts w:hint="eastAsia"/>
          <w:highlight w:val="none"/>
          <w:lang w:eastAsia="zh-CN"/>
        </w:rPr>
        <w:t>灰库</w:t>
      </w:r>
      <w:r>
        <w:rPr>
          <w:rFonts w:hint="default"/>
          <w:highlight w:val="none"/>
          <w:lang w:eastAsia="zh-CN"/>
        </w:rPr>
        <w:t>、</w:t>
      </w:r>
      <w:r>
        <w:rPr>
          <w:rFonts w:hint="eastAsia"/>
          <w:highlight w:val="none"/>
          <w:lang w:val="en-US" w:eastAsia="zh-CN"/>
        </w:rPr>
        <w:t>生石灰</w:t>
      </w:r>
      <w:r>
        <w:rPr>
          <w:rFonts w:hint="default"/>
          <w:highlight w:val="none"/>
          <w:lang w:val="en-US" w:eastAsia="zh-CN"/>
        </w:rPr>
        <w:t>粉仓、产尘</w:t>
      </w:r>
      <w:r>
        <w:rPr>
          <w:rFonts w:hint="default"/>
          <w:highlight w:val="none"/>
        </w:rPr>
        <w:t>点密闭，</w:t>
      </w:r>
      <w:r>
        <w:rPr>
          <w:rFonts w:hint="eastAsia"/>
          <w:highlight w:val="none"/>
          <w:lang w:eastAsia="zh-CN"/>
        </w:rPr>
        <w:t>灰库</w:t>
      </w:r>
      <w:r>
        <w:rPr>
          <w:rFonts w:hint="default"/>
          <w:highlight w:val="none"/>
          <w:lang w:eastAsia="zh-CN"/>
        </w:rPr>
        <w:t>、</w:t>
      </w:r>
      <w:r>
        <w:rPr>
          <w:rFonts w:hint="eastAsia"/>
          <w:highlight w:val="none"/>
          <w:lang w:eastAsia="zh-CN"/>
        </w:rPr>
        <w:t>生石灰</w:t>
      </w:r>
      <w:r>
        <w:rPr>
          <w:rFonts w:hint="default"/>
          <w:highlight w:val="none"/>
          <w:lang w:eastAsia="zh-CN"/>
        </w:rPr>
        <w:t>粉分别设置</w:t>
      </w:r>
      <w:r>
        <w:rPr>
          <w:rFonts w:hint="default"/>
          <w:highlight w:val="none"/>
        </w:rPr>
        <w:t>布袋除尘器</w:t>
      </w:r>
      <w:r>
        <w:rPr>
          <w:rFonts w:hint="default"/>
          <w:highlight w:val="none"/>
          <w:lang w:eastAsia="zh-CN"/>
        </w:rPr>
        <w:t>，</w:t>
      </w:r>
      <w:r>
        <w:rPr>
          <w:rFonts w:hint="eastAsia"/>
          <w:highlight w:val="none"/>
          <w:lang w:val="en-US" w:eastAsia="zh-CN"/>
        </w:rPr>
        <w:t>处理后的废气经顶部排放口排放。通过采取上述措施，颗粒物有组织排放浓度和排放速率均能满足《大气污染物综合排放标准》（GB16297-1996）表2新污染源大气污染物排放限值。</w:t>
      </w:r>
    </w:p>
    <w:p w14:paraId="6830A3D3">
      <w:pPr>
        <w:pStyle w:val="7"/>
        <w:bidi w:val="0"/>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7.2.1.7</w:t>
      </w:r>
      <w:r>
        <w:rPr>
          <w:rFonts w:hint="default" w:ascii="Times New Roman" w:hAnsi="Times New Roman" w:eastAsia="宋体" w:cs="Times New Roman"/>
          <w:color w:val="auto"/>
          <w:highlight w:val="none"/>
        </w:rPr>
        <w:t>无组织废气</w:t>
      </w:r>
      <w:r>
        <w:rPr>
          <w:rFonts w:hint="default" w:ascii="Times New Roman" w:hAnsi="Times New Roman" w:eastAsia="宋体" w:cs="Times New Roman"/>
          <w:color w:val="auto"/>
          <w:highlight w:val="none"/>
          <w:lang w:val="en-US" w:eastAsia="zh-CN"/>
        </w:rPr>
        <w:t>污染防治措施</w:t>
      </w:r>
    </w:p>
    <w:p w14:paraId="1220BB66">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rPr>
        <w:t>本项目运营期无组织废气主要来自</w:t>
      </w:r>
      <w:r>
        <w:rPr>
          <w:rFonts w:hint="default" w:ascii="Times New Roman" w:hAnsi="Times New Roman" w:eastAsia="宋体" w:cs="Times New Roman"/>
          <w:color w:val="FF0000"/>
          <w:sz w:val="24"/>
          <w:szCs w:val="24"/>
          <w:highlight w:val="none"/>
          <w:lang w:val="en-US" w:eastAsia="zh-CN"/>
        </w:rPr>
        <w:t>储煤</w:t>
      </w:r>
      <w:r>
        <w:rPr>
          <w:rFonts w:hint="eastAsia" w:ascii="Times New Roman" w:hAnsi="Times New Roman" w:eastAsia="宋体" w:cs="Times New Roman"/>
          <w:color w:val="FF0000"/>
          <w:sz w:val="24"/>
          <w:szCs w:val="24"/>
          <w:highlight w:val="none"/>
          <w:lang w:val="en-US" w:eastAsia="zh-CN"/>
        </w:rPr>
        <w:t>场</w:t>
      </w:r>
      <w:r>
        <w:rPr>
          <w:rFonts w:hint="default" w:ascii="Times New Roman" w:hAnsi="Times New Roman" w:eastAsia="宋体" w:cs="Times New Roman"/>
          <w:color w:val="FF0000"/>
          <w:sz w:val="24"/>
          <w:szCs w:val="24"/>
          <w:highlight w:val="none"/>
        </w:rPr>
        <w:t>、输煤系统、碎煤机室、</w:t>
      </w:r>
      <w:r>
        <w:rPr>
          <w:rFonts w:hint="default" w:ascii="Times New Roman" w:hAnsi="Times New Roman" w:eastAsia="宋体" w:cs="Times New Roman"/>
          <w:color w:val="FF0000"/>
          <w:sz w:val="24"/>
          <w:szCs w:val="24"/>
          <w:highlight w:val="none"/>
          <w:lang w:val="en-US" w:eastAsia="zh-CN"/>
        </w:rPr>
        <w:t>渣库等</w:t>
      </w:r>
      <w:r>
        <w:rPr>
          <w:rFonts w:hint="default" w:ascii="Times New Roman" w:hAnsi="Times New Roman" w:eastAsia="宋体" w:cs="Times New Roman"/>
          <w:color w:val="FF0000"/>
          <w:sz w:val="24"/>
          <w:szCs w:val="24"/>
          <w:highlight w:val="none"/>
        </w:rPr>
        <w:t>。</w:t>
      </w:r>
    </w:p>
    <w:p w14:paraId="49F9BA5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FF0000"/>
          <w:sz w:val="24"/>
          <w:szCs w:val="24"/>
          <w:highlight w:val="none"/>
          <w:lang w:val="en-US"/>
        </w:rPr>
      </w:pPr>
      <w:r>
        <w:rPr>
          <w:rFonts w:hint="eastAsia" w:ascii="Times New Roman" w:hAnsi="Times New Roman" w:eastAsia="宋体" w:cs="Times New Roman"/>
          <w:color w:val="FF0000"/>
          <w:sz w:val="24"/>
          <w:szCs w:val="24"/>
          <w:highlight w:val="none"/>
          <w:lang w:val="en-US" w:eastAsia="zh-CN"/>
        </w:rPr>
        <w:t>本项目煤炭储存依托现有工程已建的储煤场，储煤场周围设置2.5米高实体围墙，围墙上设置高11米的防风抑尘网，定时洒水降尘，不装卸时用篷布覆盖，定期洒水降尘，有效减少煤尘污染。防风抑尘网型式为单层，储料场每隔6m建有一个隔断墩，隔断墩为水泥基础，基础上面是用镀锌管焊接的连接架，利用连接架将防风抑尘网连接成网片。挡风板组合成防风抑尘墙，外侧的空气（强风）从外通过墙体时，在墙体内侧形成上下干扰的气流，降低了来流的风速，达到外侧大风，内侧弱风：外侧小风，内侧无风的效果，从而绝止粉尘的飞扬，单层挡风防尘墙抑尘效果可达60%～85%。厂区采取分阶段采购生物质燃料储存在储料场内，不进行集中采购。本项目投产后现有储料场储存能力能够满足全厂燃料储存需求。本项目储煤场堆高为10m，围墙和防风抑尘网高度共计13.5m，高于煤堆3.5m，可有效减少储煤场扬尘，防风抑尘网高度设置合理。</w:t>
      </w:r>
    </w:p>
    <w:p w14:paraId="180FAE44">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rPr>
        <w:t>输</w:t>
      </w:r>
      <w:r>
        <w:rPr>
          <w:rFonts w:hint="default" w:ascii="Times New Roman" w:hAnsi="Times New Roman" w:eastAsia="宋体" w:cs="Times New Roman"/>
          <w:color w:val="FF0000"/>
          <w:sz w:val="24"/>
          <w:szCs w:val="24"/>
          <w:highlight w:val="none"/>
          <w:lang w:val="en-US" w:eastAsia="zh-CN"/>
        </w:rPr>
        <w:t>料</w:t>
      </w:r>
      <w:r>
        <w:rPr>
          <w:rFonts w:hint="eastAsia" w:ascii="Times New Roman" w:hAnsi="Times New Roman" w:eastAsia="宋体" w:cs="Times New Roman"/>
          <w:color w:val="FF0000"/>
          <w:sz w:val="24"/>
          <w:szCs w:val="24"/>
          <w:highlight w:val="none"/>
          <w:lang w:val="en-US" w:eastAsia="zh-CN"/>
        </w:rPr>
        <w:t>栈桥</w:t>
      </w:r>
      <w:r>
        <w:rPr>
          <w:rFonts w:hint="default" w:ascii="Times New Roman" w:hAnsi="Times New Roman" w:eastAsia="宋体" w:cs="Times New Roman"/>
          <w:color w:val="FF0000"/>
          <w:sz w:val="24"/>
          <w:szCs w:val="24"/>
          <w:highlight w:val="none"/>
        </w:rPr>
        <w:t>采用钢栈桥，密闭形式，皮带上方设有喷淋水管用于燃料干燥时的加湿</w:t>
      </w:r>
      <w:r>
        <w:rPr>
          <w:rFonts w:hint="eastAsia" w:ascii="Times New Roman" w:hAnsi="Times New Roman" w:eastAsia="宋体" w:cs="Times New Roman"/>
          <w:color w:val="FF0000"/>
          <w:sz w:val="24"/>
          <w:szCs w:val="24"/>
          <w:highlight w:val="none"/>
          <w:lang w:eastAsia="zh-CN"/>
        </w:rPr>
        <w:t>。碎煤机</w:t>
      </w:r>
      <w:r>
        <w:rPr>
          <w:rFonts w:hint="eastAsia" w:ascii="Times New Roman" w:hAnsi="Times New Roman" w:eastAsia="宋体" w:cs="Times New Roman"/>
          <w:color w:val="FF0000"/>
          <w:sz w:val="24"/>
          <w:szCs w:val="24"/>
          <w:highlight w:val="none"/>
          <w:lang w:val="en-US" w:eastAsia="zh-CN"/>
        </w:rPr>
        <w:t>为密闭形式，配置布袋除尘器</w:t>
      </w:r>
      <w:r>
        <w:rPr>
          <w:rFonts w:hint="default" w:ascii="Times New Roman" w:hAnsi="Times New Roman" w:eastAsia="宋体" w:cs="Times New Roman"/>
          <w:color w:val="FF0000"/>
          <w:sz w:val="24"/>
          <w:szCs w:val="24"/>
          <w:highlight w:val="none"/>
          <w:lang w:val="en-US" w:eastAsia="zh-CN"/>
        </w:rPr>
        <w:t>。本项目</w:t>
      </w:r>
      <w:r>
        <w:rPr>
          <w:rFonts w:hint="eastAsia" w:ascii="Times New Roman" w:hAnsi="Times New Roman" w:eastAsia="宋体" w:cs="Times New Roman"/>
          <w:color w:val="FF0000"/>
          <w:sz w:val="24"/>
          <w:szCs w:val="24"/>
          <w:highlight w:val="none"/>
          <w:lang w:val="en-US" w:eastAsia="zh-CN"/>
        </w:rPr>
        <w:t>炉渣储存依托现有工程建设的全封闭渣库，洒水降尘</w:t>
      </w:r>
      <w:r>
        <w:rPr>
          <w:rFonts w:hint="default" w:ascii="Times New Roman" w:hAnsi="Times New Roman" w:eastAsia="宋体" w:cs="Times New Roman"/>
          <w:color w:val="FF0000"/>
          <w:sz w:val="24"/>
          <w:szCs w:val="24"/>
          <w:highlight w:val="none"/>
          <w:lang w:val="en-US" w:eastAsia="zh-CN"/>
        </w:rPr>
        <w:t>。</w:t>
      </w:r>
    </w:p>
    <w:p w14:paraId="013F685D">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FF0000"/>
          <w:sz w:val="24"/>
          <w:szCs w:val="24"/>
          <w:highlight w:val="none"/>
          <w:lang w:eastAsia="zh-CN"/>
        </w:rPr>
      </w:pPr>
      <w:r>
        <w:rPr>
          <w:rFonts w:hint="default" w:ascii="Times New Roman" w:hAnsi="Times New Roman" w:eastAsia="宋体" w:cs="Times New Roman"/>
          <w:color w:val="FF0000"/>
          <w:sz w:val="24"/>
          <w:szCs w:val="24"/>
          <w:highlight w:val="none"/>
        </w:rPr>
        <w:t>采取上述措施，可保证厂界无组织颗粒物的浓度满足《大气污染物综合排放标准》</w:t>
      </w:r>
      <w:r>
        <w:rPr>
          <w:rFonts w:hint="eastAsia"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rPr>
        <w:t>GB16297-1996</w:t>
      </w:r>
      <w:r>
        <w:rPr>
          <w:rFonts w:hint="eastAsia"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rPr>
        <w:t>中无组织排放监控浓度限值（1.0mg/m</w:t>
      </w:r>
      <w:r>
        <w:rPr>
          <w:rFonts w:hint="default" w:ascii="Times New Roman" w:hAnsi="Times New Roman" w:eastAsia="宋体" w:cs="Times New Roman"/>
          <w:color w:val="FF0000"/>
          <w:sz w:val="24"/>
          <w:szCs w:val="24"/>
          <w:highlight w:val="none"/>
          <w:vertAlign w:val="superscript"/>
        </w:rPr>
        <w:t>3</w:t>
      </w:r>
      <w:r>
        <w:rPr>
          <w:rFonts w:hint="default" w:ascii="Times New Roman" w:hAnsi="Times New Roman" w:eastAsia="宋体" w:cs="Times New Roman"/>
          <w:color w:val="FF0000"/>
          <w:sz w:val="24"/>
          <w:szCs w:val="24"/>
          <w:highlight w:val="none"/>
        </w:rPr>
        <w:t>）要求</w:t>
      </w:r>
      <w:r>
        <w:rPr>
          <w:rFonts w:hint="default" w:ascii="Times New Roman" w:hAnsi="Times New Roman" w:eastAsia="宋体" w:cs="Times New Roman"/>
          <w:color w:val="FF0000"/>
          <w:sz w:val="24"/>
          <w:szCs w:val="24"/>
          <w:highlight w:val="none"/>
          <w:lang w:eastAsia="zh-CN"/>
        </w:rPr>
        <w:t>。</w:t>
      </w:r>
    </w:p>
    <w:p w14:paraId="379F59D7">
      <w:pPr>
        <w:pStyle w:val="7"/>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7.2.1.</w:t>
      </w:r>
      <w:r>
        <w:rPr>
          <w:rFonts w:hint="default" w:ascii="Times New Roman" w:hAnsi="Times New Roman" w:eastAsia="宋体" w:cs="Times New Roman"/>
          <w:color w:val="auto"/>
          <w:highlight w:val="none"/>
          <w:lang w:val="en-US" w:eastAsia="zh-CN"/>
        </w:rPr>
        <w:t>7</w:t>
      </w:r>
      <w:r>
        <w:rPr>
          <w:rFonts w:hint="default" w:ascii="Times New Roman" w:hAnsi="Times New Roman" w:eastAsia="宋体" w:cs="Times New Roman"/>
          <w:color w:val="auto"/>
          <w:highlight w:val="none"/>
        </w:rPr>
        <w:t xml:space="preserve"> </w:t>
      </w:r>
      <w:r>
        <w:rPr>
          <w:rFonts w:hint="default" w:ascii="Times New Roman" w:hAnsi="Times New Roman" w:eastAsia="宋体" w:cs="Times New Roman"/>
          <w:color w:val="auto"/>
          <w:highlight w:val="none"/>
          <w:lang w:val="en-US" w:eastAsia="zh-CN"/>
        </w:rPr>
        <w:t>烟气在线监测设备</w:t>
      </w:r>
    </w:p>
    <w:p w14:paraId="6F383CF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为及时了解和监测</w:t>
      </w:r>
      <w:r>
        <w:rPr>
          <w:rFonts w:hint="default" w:ascii="Times New Roman" w:hAnsi="Times New Roman" w:eastAsia="宋体" w:cs="Times New Roman"/>
          <w:color w:val="auto"/>
          <w:sz w:val="24"/>
          <w:szCs w:val="24"/>
          <w:highlight w:val="none"/>
          <w:lang w:val="en-US" w:eastAsia="zh-CN"/>
        </w:rPr>
        <w:t>热源</w:t>
      </w:r>
      <w:r>
        <w:rPr>
          <w:rFonts w:hint="default" w:ascii="Times New Roman" w:hAnsi="Times New Roman" w:eastAsia="宋体" w:cs="Times New Roman"/>
          <w:color w:val="auto"/>
          <w:sz w:val="24"/>
          <w:szCs w:val="24"/>
          <w:highlight w:val="none"/>
        </w:rPr>
        <w:t>厂烟气污染防治措施运行效果和</w:t>
      </w:r>
      <w:r>
        <w:rPr>
          <w:rFonts w:hint="default" w:ascii="Times New Roman" w:hAnsi="Times New Roman" w:eastAsia="宋体" w:cs="Times New Roman"/>
          <w:color w:val="auto"/>
          <w:sz w:val="24"/>
          <w:szCs w:val="24"/>
          <w:highlight w:val="none"/>
          <w:lang w:eastAsia="zh-CN"/>
        </w:rPr>
        <w:t>烟气</w:t>
      </w:r>
      <w:r>
        <w:rPr>
          <w:rFonts w:hint="default" w:ascii="Times New Roman" w:hAnsi="Times New Roman" w:eastAsia="宋体" w:cs="Times New Roman"/>
          <w:color w:val="auto"/>
          <w:sz w:val="24"/>
          <w:szCs w:val="24"/>
          <w:highlight w:val="none"/>
        </w:rPr>
        <w:t>排放情况，</w:t>
      </w:r>
      <w:r>
        <w:rPr>
          <w:rFonts w:hint="default" w:ascii="Times New Roman" w:hAnsi="Times New Roman" w:eastAsia="宋体" w:cs="Times New Roman"/>
          <w:b w:val="0"/>
          <w:bCs/>
          <w:color w:val="auto"/>
          <w:sz w:val="24"/>
          <w:szCs w:val="24"/>
          <w:highlight w:val="none"/>
          <w:lang w:val="en-US" w:eastAsia="zh-CN"/>
        </w:rPr>
        <w:t>本项目与厂区现有的锅炉</w:t>
      </w:r>
      <w:r>
        <w:rPr>
          <w:rFonts w:hint="eastAsia" w:ascii="Times New Roman" w:hAnsi="Times New Roman" w:eastAsia="宋体" w:cs="Times New Roman"/>
          <w:b w:val="0"/>
          <w:bCs/>
          <w:color w:val="auto"/>
          <w:sz w:val="24"/>
          <w:szCs w:val="24"/>
          <w:highlight w:val="none"/>
          <w:lang w:val="en-US" w:eastAsia="zh-CN"/>
        </w:rPr>
        <w:t>均设置</w:t>
      </w:r>
      <w:r>
        <w:rPr>
          <w:rFonts w:hint="default" w:ascii="Times New Roman" w:hAnsi="Times New Roman" w:eastAsia="宋体" w:cs="Times New Roman"/>
          <w:b w:val="0"/>
          <w:bCs/>
          <w:color w:val="auto"/>
          <w:sz w:val="24"/>
          <w:szCs w:val="24"/>
          <w:highlight w:val="none"/>
        </w:rPr>
        <w:t>烟气在线监测系统</w:t>
      </w:r>
      <w:r>
        <w:rPr>
          <w:rFonts w:hint="default" w:ascii="Times New Roman" w:hAnsi="Times New Roman" w:eastAsia="宋体" w:cs="Times New Roman"/>
          <w:b w:val="0"/>
          <w:bCs/>
          <w:color w:val="auto"/>
          <w:sz w:val="24"/>
          <w:szCs w:val="24"/>
          <w:highlight w:val="none"/>
          <w:lang w:eastAsia="zh-CN"/>
        </w:rPr>
        <w:t>，</w:t>
      </w:r>
      <w:r>
        <w:rPr>
          <w:rFonts w:hint="eastAsia" w:ascii="Times New Roman" w:hAnsi="Times New Roman" w:eastAsia="宋体" w:cs="Times New Roman"/>
          <w:b w:val="0"/>
          <w:bCs/>
          <w:color w:val="auto"/>
          <w:sz w:val="24"/>
          <w:szCs w:val="24"/>
          <w:highlight w:val="none"/>
          <w:lang w:val="en-US" w:eastAsia="zh-CN"/>
        </w:rPr>
        <w:t>厂区内现有的4台锅炉分别安装了在线监测系统</w:t>
      </w:r>
      <w:r>
        <w:rPr>
          <w:rFonts w:hint="default" w:ascii="Times New Roman" w:hAnsi="Times New Roman" w:eastAsia="宋体" w:cs="Times New Roman"/>
          <w:b w:val="0"/>
          <w:bCs/>
          <w:color w:val="auto"/>
          <w:sz w:val="24"/>
          <w:szCs w:val="24"/>
          <w:highlight w:val="none"/>
          <w:lang w:eastAsia="zh-CN"/>
        </w:rPr>
        <w:t>。</w:t>
      </w:r>
      <w:r>
        <w:rPr>
          <w:rFonts w:hint="eastAsia" w:ascii="Times New Roman" w:hAnsi="Times New Roman" w:eastAsia="宋体" w:cs="Times New Roman"/>
          <w:b w:val="0"/>
          <w:bCs/>
          <w:color w:val="auto"/>
          <w:sz w:val="24"/>
          <w:szCs w:val="24"/>
          <w:highlight w:val="none"/>
          <w:lang w:val="en-US" w:eastAsia="zh-CN"/>
        </w:rPr>
        <w:t>本项目建设的5#锅炉在线监测设备</w:t>
      </w:r>
      <w:r>
        <w:rPr>
          <w:rFonts w:hint="default" w:ascii="Times New Roman" w:hAnsi="Times New Roman" w:eastAsia="宋体" w:cs="Times New Roman"/>
          <w:b w:val="0"/>
          <w:bCs/>
          <w:color w:val="auto"/>
          <w:sz w:val="24"/>
          <w:szCs w:val="24"/>
          <w:highlight w:val="none"/>
          <w:lang w:eastAsia="zh-CN"/>
        </w:rPr>
        <w:t>安装在厂区</w:t>
      </w:r>
      <w:r>
        <w:rPr>
          <w:rFonts w:hint="eastAsia" w:ascii="Times New Roman" w:hAnsi="Times New Roman" w:eastAsia="宋体" w:cs="Times New Roman"/>
          <w:b w:val="0"/>
          <w:bCs/>
          <w:color w:val="auto"/>
          <w:sz w:val="24"/>
          <w:szCs w:val="24"/>
          <w:highlight w:val="none"/>
          <w:lang w:val="en-US" w:eastAsia="zh-CN"/>
        </w:rPr>
        <w:t>7</w:t>
      </w:r>
      <w:r>
        <w:rPr>
          <w:rFonts w:hint="default" w:ascii="Times New Roman" w:hAnsi="Times New Roman" w:eastAsia="宋体" w:cs="Times New Roman"/>
          <w:b w:val="0"/>
          <w:bCs/>
          <w:color w:val="auto"/>
          <w:sz w:val="24"/>
          <w:szCs w:val="24"/>
          <w:highlight w:val="none"/>
          <w:lang w:eastAsia="zh-CN"/>
        </w:rPr>
        <w:t>0m烟囱（DA00</w:t>
      </w:r>
      <w:r>
        <w:rPr>
          <w:rFonts w:hint="eastAsia" w:ascii="Times New Roman" w:hAnsi="Times New Roman" w:eastAsia="宋体" w:cs="Times New Roman"/>
          <w:b w:val="0"/>
          <w:bCs/>
          <w:color w:val="auto"/>
          <w:sz w:val="24"/>
          <w:szCs w:val="24"/>
          <w:highlight w:val="none"/>
          <w:lang w:val="en-US" w:eastAsia="zh-CN"/>
        </w:rPr>
        <w:t>6</w:t>
      </w:r>
      <w:r>
        <w:rPr>
          <w:rFonts w:hint="default" w:ascii="Times New Roman" w:hAnsi="Times New Roman" w:eastAsia="宋体" w:cs="Times New Roman"/>
          <w:b w:val="0"/>
          <w:bCs/>
          <w:color w:val="auto"/>
          <w:sz w:val="24"/>
          <w:szCs w:val="24"/>
          <w:highlight w:val="none"/>
          <w:lang w:eastAsia="zh-CN"/>
        </w:rPr>
        <w:t>）。</w:t>
      </w:r>
      <w:r>
        <w:rPr>
          <w:rFonts w:hint="default" w:ascii="Times New Roman" w:hAnsi="Times New Roman" w:eastAsia="宋体" w:cs="Times New Roman"/>
          <w:color w:val="auto"/>
          <w:sz w:val="24"/>
          <w:szCs w:val="24"/>
          <w:highlight w:val="none"/>
          <w:lang w:eastAsia="zh-CN"/>
        </w:rPr>
        <w:t>监测烟气中的</w:t>
      </w:r>
      <w:r>
        <w:rPr>
          <w:rFonts w:hint="default" w:ascii="Times New Roman" w:hAnsi="Times New Roman" w:eastAsia="宋体" w:cs="Times New Roman"/>
          <w:color w:val="auto"/>
          <w:sz w:val="24"/>
          <w:szCs w:val="24"/>
          <w:highlight w:val="none"/>
        </w:rPr>
        <w:t>烟尘、SO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和NOx排放浓度</w:t>
      </w:r>
      <w:r>
        <w:rPr>
          <w:rFonts w:hint="default" w:ascii="Times New Roman" w:hAnsi="Times New Roman" w:eastAsia="宋体" w:cs="Times New Roman"/>
          <w:color w:val="auto"/>
          <w:sz w:val="24"/>
          <w:szCs w:val="24"/>
          <w:highlight w:val="none"/>
          <w:lang w:eastAsia="zh-CN"/>
        </w:rPr>
        <w:t>以及</w:t>
      </w:r>
      <w:r>
        <w:rPr>
          <w:rFonts w:hint="default" w:ascii="Times New Roman" w:hAnsi="Times New Roman" w:eastAsia="宋体" w:cs="Times New Roman"/>
          <w:color w:val="auto"/>
          <w:sz w:val="24"/>
          <w:szCs w:val="24"/>
          <w:highlight w:val="none"/>
        </w:rPr>
        <w:t>温度、含氧量、流量、</w:t>
      </w:r>
      <w:r>
        <w:rPr>
          <w:rFonts w:hint="default" w:ascii="Times New Roman" w:hAnsi="Times New Roman" w:eastAsia="宋体" w:cs="Times New Roman"/>
          <w:color w:val="auto"/>
          <w:sz w:val="24"/>
          <w:szCs w:val="24"/>
          <w:highlight w:val="none"/>
          <w:lang w:eastAsia="zh-CN"/>
        </w:rPr>
        <w:t>压力</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湿度等参数，</w:t>
      </w:r>
      <w:r>
        <w:rPr>
          <w:rFonts w:hint="default" w:ascii="Times New Roman" w:hAnsi="Times New Roman" w:eastAsia="宋体" w:cs="Times New Roman"/>
          <w:color w:val="auto"/>
          <w:sz w:val="24"/>
          <w:szCs w:val="24"/>
          <w:highlight w:val="none"/>
        </w:rPr>
        <w:t>对</w:t>
      </w:r>
      <w:r>
        <w:rPr>
          <w:rFonts w:hint="default" w:ascii="Times New Roman" w:hAnsi="Times New Roman" w:eastAsia="宋体" w:cs="Times New Roman"/>
          <w:color w:val="auto"/>
          <w:sz w:val="24"/>
          <w:szCs w:val="24"/>
          <w:highlight w:val="none"/>
          <w:lang w:val="en-US" w:eastAsia="zh-CN"/>
        </w:rPr>
        <w:t>处理</w:t>
      </w:r>
      <w:r>
        <w:rPr>
          <w:rFonts w:hint="default" w:ascii="Times New Roman" w:hAnsi="Times New Roman" w:eastAsia="宋体" w:cs="Times New Roman"/>
          <w:color w:val="auto"/>
          <w:sz w:val="24"/>
          <w:szCs w:val="24"/>
          <w:highlight w:val="none"/>
        </w:rPr>
        <w:t>后的烟气参数进行连续实时监控</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烟气</w:t>
      </w:r>
      <w:r>
        <w:rPr>
          <w:rFonts w:hint="default" w:ascii="Times New Roman" w:hAnsi="Times New Roman" w:eastAsia="宋体" w:cs="Times New Roman"/>
          <w:color w:val="auto"/>
          <w:sz w:val="24"/>
          <w:szCs w:val="24"/>
          <w:highlight w:val="none"/>
          <w:lang w:eastAsia="zh-CN"/>
        </w:rPr>
        <w:t>在线</w:t>
      </w:r>
      <w:r>
        <w:rPr>
          <w:rFonts w:hint="default" w:ascii="Times New Roman" w:hAnsi="Times New Roman" w:eastAsia="宋体" w:cs="Times New Roman"/>
          <w:color w:val="auto"/>
          <w:sz w:val="24"/>
          <w:szCs w:val="24"/>
          <w:highlight w:val="none"/>
        </w:rPr>
        <w:t>监测装置留有与当地环境保护主管部门的接口</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与</w:t>
      </w:r>
      <w:r>
        <w:rPr>
          <w:rFonts w:hint="eastAsia" w:ascii="Times New Roman" w:hAnsi="Times New Roman" w:eastAsia="宋体" w:cs="Times New Roman"/>
          <w:color w:val="auto"/>
          <w:sz w:val="24"/>
          <w:szCs w:val="24"/>
          <w:highlight w:val="none"/>
          <w:lang w:val="en-US" w:eastAsia="zh-CN"/>
        </w:rPr>
        <w:t>佳木斯</w:t>
      </w:r>
      <w:r>
        <w:rPr>
          <w:rFonts w:hint="default" w:ascii="Times New Roman" w:hAnsi="Times New Roman" w:eastAsia="宋体" w:cs="Times New Roman"/>
          <w:color w:val="auto"/>
          <w:sz w:val="24"/>
          <w:szCs w:val="24"/>
          <w:highlight w:val="none"/>
          <w:lang w:eastAsia="zh-CN"/>
        </w:rPr>
        <w:t>生态环境局</w:t>
      </w:r>
      <w:r>
        <w:rPr>
          <w:rFonts w:hint="default" w:ascii="Times New Roman" w:hAnsi="Times New Roman" w:eastAsia="宋体" w:cs="Times New Roman"/>
          <w:color w:val="auto"/>
          <w:sz w:val="24"/>
          <w:szCs w:val="24"/>
          <w:highlight w:val="none"/>
        </w:rPr>
        <w:t>监控中心联网</w:t>
      </w:r>
      <w:r>
        <w:rPr>
          <w:rFonts w:hint="default" w:ascii="Times New Roman" w:hAnsi="Times New Roman" w:eastAsia="宋体" w:cs="Times New Roman"/>
          <w:color w:val="auto"/>
          <w:sz w:val="24"/>
          <w:szCs w:val="24"/>
          <w:highlight w:val="none"/>
          <w:lang w:eastAsia="zh-CN"/>
        </w:rPr>
        <w:t>。</w:t>
      </w:r>
    </w:p>
    <w:p w14:paraId="6E999C88">
      <w:pPr>
        <w:pStyle w:val="7"/>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7.2.1.</w:t>
      </w:r>
      <w:r>
        <w:rPr>
          <w:rFonts w:hint="default" w:ascii="Times New Roman" w:hAnsi="Times New Roman" w:eastAsia="宋体" w:cs="Times New Roman"/>
          <w:color w:val="auto"/>
          <w:highlight w:val="none"/>
          <w:lang w:val="en-US" w:eastAsia="zh-CN"/>
        </w:rPr>
        <w:t>8</w:t>
      </w:r>
      <w:r>
        <w:rPr>
          <w:rFonts w:hint="default" w:ascii="Times New Roman" w:hAnsi="Times New Roman" w:eastAsia="宋体" w:cs="Times New Roman"/>
          <w:color w:val="auto"/>
          <w:highlight w:val="none"/>
        </w:rPr>
        <w:t xml:space="preserve"> </w:t>
      </w:r>
      <w:r>
        <w:rPr>
          <w:rFonts w:hint="default" w:ascii="Times New Roman" w:hAnsi="Times New Roman" w:eastAsia="宋体" w:cs="Times New Roman"/>
          <w:color w:val="auto"/>
          <w:highlight w:val="none"/>
          <w:lang w:val="en-US" w:eastAsia="zh-CN"/>
        </w:rPr>
        <w:t>烟囱</w:t>
      </w:r>
      <w:r>
        <w:rPr>
          <w:rFonts w:hint="eastAsia" w:ascii="Times New Roman" w:hAnsi="Times New Roman" w:cs="Times New Roman"/>
          <w:color w:val="auto"/>
          <w:highlight w:val="none"/>
          <w:lang w:val="en-US" w:eastAsia="zh-CN"/>
        </w:rPr>
        <w:t>和排气筒</w:t>
      </w:r>
      <w:r>
        <w:rPr>
          <w:rFonts w:hint="default" w:ascii="Times New Roman" w:hAnsi="Times New Roman" w:eastAsia="宋体" w:cs="Times New Roman"/>
          <w:color w:val="auto"/>
          <w:highlight w:val="none"/>
          <w:lang w:val="en-US" w:eastAsia="zh-CN"/>
        </w:rPr>
        <w:t>设置合理性分析</w:t>
      </w:r>
    </w:p>
    <w:p w14:paraId="0A40CDF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本项目</w:t>
      </w:r>
      <w:r>
        <w:rPr>
          <w:rFonts w:hint="eastAsia" w:ascii="Times New Roman" w:hAnsi="Times New Roman" w:eastAsia="宋体" w:cs="Times New Roman"/>
          <w:b w:val="0"/>
          <w:bCs/>
          <w:color w:val="auto"/>
          <w:sz w:val="24"/>
          <w:szCs w:val="24"/>
          <w:highlight w:val="none"/>
          <w:lang w:val="en-US" w:eastAsia="zh-CN"/>
        </w:rPr>
        <w:t>58MW</w:t>
      </w:r>
      <w:r>
        <w:rPr>
          <w:rFonts w:hint="default" w:ascii="Times New Roman" w:hAnsi="Times New Roman" w:eastAsia="宋体" w:cs="Times New Roman"/>
          <w:b w:val="0"/>
          <w:bCs/>
          <w:color w:val="auto"/>
          <w:sz w:val="24"/>
          <w:szCs w:val="24"/>
          <w:highlight w:val="none"/>
          <w:lang w:val="en-US" w:eastAsia="zh-CN"/>
        </w:rPr>
        <w:t>锅炉</w:t>
      </w:r>
      <w:r>
        <w:rPr>
          <w:rFonts w:hint="eastAsia" w:ascii="Times New Roman" w:hAnsi="Times New Roman" w:eastAsia="宋体" w:cs="Times New Roman"/>
          <w:b w:val="0"/>
          <w:bCs/>
          <w:color w:val="auto"/>
          <w:sz w:val="24"/>
          <w:szCs w:val="24"/>
          <w:highlight w:val="none"/>
          <w:lang w:val="en-US" w:eastAsia="zh-CN"/>
        </w:rPr>
        <w:t>烟囱高度为70m</w:t>
      </w:r>
      <w:r>
        <w:rPr>
          <w:rFonts w:hint="default" w:ascii="Times New Roman" w:hAnsi="Times New Roman" w:eastAsia="宋体" w:cs="Times New Roman"/>
          <w:b w:val="0"/>
          <w:bCs/>
          <w:color w:val="auto"/>
          <w:sz w:val="24"/>
          <w:szCs w:val="24"/>
          <w:highlight w:val="none"/>
          <w:lang w:val="en-US" w:eastAsia="zh-CN"/>
        </w:rPr>
        <w:t>，</w:t>
      </w:r>
      <w:r>
        <w:rPr>
          <w:rFonts w:hint="eastAsia" w:ascii="Times New Roman" w:hAnsi="Times New Roman" w:eastAsia="宋体" w:cs="Times New Roman"/>
          <w:b w:val="0"/>
          <w:bCs/>
          <w:color w:val="auto"/>
          <w:sz w:val="24"/>
          <w:szCs w:val="24"/>
          <w:highlight w:val="none"/>
          <w:lang w:val="en-US" w:eastAsia="zh-CN"/>
        </w:rPr>
        <w:t>烟囱高度符合《锅炉大气污染物排放标准》（GB13271-2001）中4.6.1.2“新建锅炉房烟囱周围半径200m距离内有建筑物时，其烟囱高度应高出最高建筑物的3m”，锅炉房装机总容量大于14MW时，其烟囱高度不应低于45m。本工程烟囱高出周围200m范围内的建筑物且高于45m，符合该规定要求。</w:t>
      </w:r>
      <w:bookmarkStart w:id="496" w:name="_Toc14849"/>
      <w:bookmarkStart w:id="497" w:name="_Toc25349"/>
      <w:bookmarkStart w:id="498" w:name="_Toc26932"/>
    </w:p>
    <w:p w14:paraId="1356FBE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根据《大气污染物综合排放标准》（GB16297-1996）“7其他规定，排气筒高度应高于周围200米半径范围的建筑5米以上，不能达到该要求的排气筒应按其高度表列排放速率标准值严格50%执行”，本项目生石灰粉仓排放高度为10m，灰库排放高度为10m，未高于周围200m半径范围的建筑5m以上，排放速率严格50%执行。</w:t>
      </w:r>
    </w:p>
    <w:p w14:paraId="1062684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sz w:val="24"/>
          <w:szCs w:val="24"/>
          <w:highlight w:val="none"/>
          <w:lang w:val="en-US" w:eastAsia="zh-CN"/>
        </w:rPr>
        <w:t>综上所述，</w:t>
      </w:r>
      <w:r>
        <w:rPr>
          <w:rFonts w:hint="default" w:ascii="Times New Roman" w:hAnsi="Times New Roman" w:eastAsia="宋体" w:cs="Times New Roman"/>
          <w:b w:val="0"/>
          <w:bCs/>
          <w:color w:val="auto"/>
          <w:sz w:val="24"/>
          <w:szCs w:val="24"/>
          <w:highlight w:val="none"/>
          <w:lang w:val="en-US" w:eastAsia="zh-CN"/>
        </w:rPr>
        <w:t>本项目</w:t>
      </w:r>
      <w:r>
        <w:rPr>
          <w:rFonts w:hint="eastAsia" w:ascii="Times New Roman" w:hAnsi="Times New Roman" w:eastAsia="宋体" w:cs="Times New Roman"/>
          <w:b w:val="0"/>
          <w:bCs/>
          <w:color w:val="auto"/>
          <w:sz w:val="24"/>
          <w:szCs w:val="24"/>
          <w:highlight w:val="none"/>
          <w:lang w:val="en-US" w:eastAsia="zh-CN"/>
        </w:rPr>
        <w:t>采取</w:t>
      </w:r>
      <w:r>
        <w:rPr>
          <w:rFonts w:hint="default" w:ascii="Times New Roman" w:hAnsi="Times New Roman" w:eastAsia="宋体" w:cs="Times New Roman"/>
          <w:b w:val="0"/>
          <w:bCs/>
          <w:color w:val="auto"/>
          <w:sz w:val="24"/>
          <w:szCs w:val="24"/>
          <w:highlight w:val="none"/>
          <w:lang w:val="en-US" w:eastAsia="zh-CN"/>
        </w:rPr>
        <w:t>锅炉烟囱</w:t>
      </w:r>
      <w:r>
        <w:rPr>
          <w:rFonts w:hint="eastAsia" w:ascii="Times New Roman" w:hAnsi="Times New Roman" w:eastAsia="宋体" w:cs="Times New Roman"/>
          <w:b w:val="0"/>
          <w:bCs/>
          <w:color w:val="auto"/>
          <w:sz w:val="24"/>
          <w:szCs w:val="24"/>
          <w:highlight w:val="none"/>
          <w:lang w:val="en-US" w:eastAsia="zh-CN"/>
        </w:rPr>
        <w:t>、</w:t>
      </w:r>
      <w:r>
        <w:rPr>
          <w:rFonts w:hint="eastAsia" w:ascii="Times New Roman" w:hAnsi="Times New Roman" w:cs="Times New Roman"/>
          <w:b w:val="0"/>
          <w:bCs/>
          <w:color w:val="auto"/>
          <w:sz w:val="24"/>
          <w:szCs w:val="24"/>
          <w:highlight w:val="none"/>
          <w:lang w:val="en-US" w:eastAsia="zh-CN"/>
        </w:rPr>
        <w:t>生石灰</w:t>
      </w:r>
      <w:r>
        <w:rPr>
          <w:rFonts w:hint="eastAsia" w:ascii="Times New Roman" w:hAnsi="Times New Roman" w:eastAsia="宋体" w:cs="Times New Roman"/>
          <w:b w:val="0"/>
          <w:bCs/>
          <w:color w:val="auto"/>
          <w:sz w:val="24"/>
          <w:szCs w:val="24"/>
          <w:highlight w:val="none"/>
          <w:lang w:val="en-US" w:eastAsia="zh-CN"/>
        </w:rPr>
        <w:t>粉仓排气筒和</w:t>
      </w:r>
      <w:r>
        <w:rPr>
          <w:rFonts w:hint="eastAsia" w:ascii="Times New Roman" w:hAnsi="Times New Roman" w:cs="Times New Roman"/>
          <w:b w:val="0"/>
          <w:bCs/>
          <w:color w:val="auto"/>
          <w:sz w:val="24"/>
          <w:szCs w:val="24"/>
          <w:highlight w:val="none"/>
          <w:lang w:val="en-US" w:eastAsia="zh-CN"/>
        </w:rPr>
        <w:t>灰库排放口</w:t>
      </w:r>
      <w:r>
        <w:rPr>
          <w:rFonts w:hint="eastAsia" w:ascii="Times New Roman" w:hAnsi="Times New Roman" w:eastAsia="宋体" w:cs="Times New Roman"/>
          <w:b w:val="0"/>
          <w:bCs/>
          <w:color w:val="auto"/>
          <w:sz w:val="24"/>
          <w:szCs w:val="24"/>
          <w:highlight w:val="none"/>
          <w:lang w:val="en-US" w:eastAsia="zh-CN"/>
        </w:rPr>
        <w:t>高度设置合理</w:t>
      </w:r>
      <w:r>
        <w:rPr>
          <w:rFonts w:hint="default" w:ascii="Times New Roman" w:hAnsi="Times New Roman" w:eastAsia="宋体" w:cs="Times New Roman"/>
          <w:b w:val="0"/>
          <w:bCs/>
          <w:color w:val="auto"/>
          <w:sz w:val="24"/>
          <w:szCs w:val="24"/>
          <w:highlight w:val="none"/>
          <w:lang w:val="en-US" w:eastAsia="zh-CN"/>
        </w:rPr>
        <w:t>。</w:t>
      </w:r>
    </w:p>
    <w:p w14:paraId="28BFF85F">
      <w:pPr>
        <w:pStyle w:val="6"/>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7.2.2 废水</w:t>
      </w:r>
      <w:r>
        <w:rPr>
          <w:rFonts w:hint="default" w:ascii="Times New Roman" w:hAnsi="Times New Roman" w:eastAsia="宋体" w:cs="Times New Roman"/>
          <w:color w:val="auto"/>
          <w:highlight w:val="none"/>
          <w:lang w:eastAsia="zh-CN"/>
        </w:rPr>
        <w:t>污染防治措施</w:t>
      </w:r>
      <w:bookmarkEnd w:id="496"/>
      <w:bookmarkEnd w:id="497"/>
      <w:bookmarkEnd w:id="498"/>
    </w:p>
    <w:p w14:paraId="1E926A88">
      <w:pPr>
        <w:pStyle w:val="93"/>
        <w:keepNext w:val="0"/>
        <w:keepLines w:val="0"/>
        <w:pageBreakBefore w:val="0"/>
        <w:widowControl w:val="0"/>
        <w:kinsoku/>
        <w:wordWrap/>
        <w:overflowPunct/>
        <w:topLinePunct w:val="0"/>
        <w:bidi w:val="0"/>
        <w:snapToGrid/>
        <w:ind w:firstLine="482"/>
        <w:textAlignment w:val="auto"/>
        <w:rPr>
          <w:rFonts w:hint="default" w:ascii="Times New Roman" w:hAnsi="Times New Roman" w:eastAsia="宋体" w:cs="Times New Roman"/>
          <w:b w:val="0"/>
          <w:bCs/>
          <w:color w:val="auto"/>
          <w:spacing w:val="0"/>
          <w:sz w:val="24"/>
          <w:szCs w:val="24"/>
          <w:highlight w:val="none"/>
        </w:rPr>
      </w:pPr>
      <w:r>
        <w:rPr>
          <w:rFonts w:hint="default" w:ascii="Times New Roman" w:hAnsi="Times New Roman" w:eastAsia="宋体" w:cs="Times New Roman"/>
          <w:b w:val="0"/>
          <w:bCs/>
          <w:color w:val="auto"/>
          <w:spacing w:val="0"/>
          <w:sz w:val="24"/>
          <w:szCs w:val="24"/>
          <w:highlight w:val="none"/>
        </w:rPr>
        <w:t>（1）</w:t>
      </w:r>
      <w:r>
        <w:rPr>
          <w:rFonts w:hint="default" w:ascii="Times New Roman" w:hAnsi="Times New Roman" w:eastAsia="宋体" w:cs="Times New Roman"/>
          <w:b w:val="0"/>
          <w:bCs/>
          <w:color w:val="auto"/>
          <w:spacing w:val="0"/>
          <w:sz w:val="24"/>
          <w:szCs w:val="24"/>
          <w:highlight w:val="none"/>
          <w:lang w:val="en-US" w:eastAsia="zh-CN"/>
        </w:rPr>
        <w:t>生产</w:t>
      </w:r>
      <w:r>
        <w:rPr>
          <w:rFonts w:hint="default" w:ascii="Times New Roman" w:hAnsi="Times New Roman" w:eastAsia="宋体" w:cs="Times New Roman"/>
          <w:b w:val="0"/>
          <w:bCs/>
          <w:color w:val="auto"/>
          <w:spacing w:val="0"/>
          <w:sz w:val="24"/>
          <w:szCs w:val="24"/>
          <w:highlight w:val="none"/>
        </w:rPr>
        <w:t>废水、生活污水防治措施</w:t>
      </w:r>
    </w:p>
    <w:p w14:paraId="62060204">
      <w:pPr>
        <w:pStyle w:val="47"/>
        <w:keepNext w:val="0"/>
        <w:keepLines w:val="0"/>
        <w:pageBreakBefore w:val="0"/>
        <w:widowControl w:val="0"/>
        <w:numPr>
          <w:ilvl w:val="0"/>
          <w:numId w:val="0"/>
        </w:numPr>
        <w:kinsoku/>
        <w:wordWrap/>
        <w:overflowPunct/>
        <w:topLinePunct w:val="0"/>
        <w:autoSpaceDE w:val="0"/>
        <w:autoSpaceDN w:val="0"/>
        <w:bidi w:val="0"/>
        <w:adjustRightInd/>
        <w:snapToGrid/>
        <w:spacing w:line="480" w:lineRule="exact"/>
        <w:ind w:firstLine="480" w:firstLineChars="200"/>
        <w:jc w:val="both"/>
        <w:textAlignment w:val="auto"/>
        <w:outlineLvl w:val="9"/>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4"/>
          <w:szCs w:val="24"/>
          <w:highlight w:val="none"/>
          <w:lang w:val="en-US" w:eastAsia="zh-CN"/>
        </w:rPr>
        <w:t>锅炉用水来自</w:t>
      </w:r>
      <w:r>
        <w:rPr>
          <w:rFonts w:hint="eastAsia" w:ascii="Times New Roman" w:hAnsi="Times New Roman" w:cs="Times New Roman"/>
          <w:color w:val="auto"/>
          <w:sz w:val="24"/>
          <w:szCs w:val="24"/>
          <w:highlight w:val="none"/>
          <w:lang w:val="en-US" w:eastAsia="zh-CN"/>
        </w:rPr>
        <w:t>佳木斯中恒热电有限公司</w:t>
      </w:r>
      <w:r>
        <w:rPr>
          <w:rFonts w:hint="default" w:ascii="Times New Roman" w:hAnsi="Times New Roman" w:eastAsia="宋体" w:cs="Times New Roman"/>
          <w:color w:val="auto"/>
          <w:sz w:val="24"/>
          <w:szCs w:val="24"/>
          <w:highlight w:val="none"/>
          <w:lang w:val="en-US" w:eastAsia="zh-CN"/>
        </w:rPr>
        <w:t>主热源</w:t>
      </w:r>
      <w:r>
        <w:rPr>
          <w:rFonts w:hint="eastAsia" w:ascii="Times New Roman" w:hAnsi="Times New Roman" w:eastAsia="宋体" w:cs="Times New Roman"/>
          <w:color w:val="auto"/>
          <w:sz w:val="24"/>
          <w:szCs w:val="24"/>
          <w:highlight w:val="none"/>
          <w:lang w:val="en-US" w:eastAsia="zh-CN"/>
        </w:rPr>
        <w:t>现有制</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补水系统</w:t>
      </w:r>
      <w:r>
        <w:rPr>
          <w:rFonts w:hint="eastAsia"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本项目产生的生产废水全部回用，不外排。脱硫废水经曝气、沉淀后用于脱硝补水和输煤系统除尘、除渣用水。含煤废水经厂区内现有污水处理间处理，处理工艺为过滤+沉淀+气浮，处理后的废水进入地下水池回用。锅炉排污水、软化水处理废水、处理后的含煤废水用于输煤栈桥冲洗、输煤系统除尘水、</w:t>
      </w:r>
      <w:r>
        <w:rPr>
          <w:rFonts w:hint="eastAsia" w:ascii="Times New Roman" w:hAnsi="Times New Roman" w:cs="Times New Roman"/>
          <w:color w:val="auto"/>
          <w:sz w:val="24"/>
          <w:szCs w:val="24"/>
          <w:highlight w:val="none"/>
          <w:lang w:val="en-US" w:eastAsia="zh-CN"/>
        </w:rPr>
        <w:t>渣库降尘等工序</w:t>
      </w:r>
      <w:r>
        <w:rPr>
          <w:rFonts w:hint="default" w:ascii="Times New Roman" w:hAnsi="Times New Roman" w:eastAsia="宋体" w:cs="Times New Roman"/>
          <w:color w:val="auto"/>
          <w:sz w:val="24"/>
          <w:szCs w:val="24"/>
          <w:highlight w:val="none"/>
          <w:lang w:val="en-US" w:eastAsia="zh-CN"/>
        </w:rPr>
        <w:t>，不外排</w:t>
      </w:r>
      <w:r>
        <w:rPr>
          <w:rFonts w:hint="default" w:ascii="Times New Roman" w:hAnsi="Times New Roman" w:eastAsia="宋体" w:cs="Times New Roman"/>
          <w:color w:val="auto"/>
          <w:highlight w:val="none"/>
          <w:lang w:val="en-US" w:eastAsia="zh-CN"/>
        </w:rPr>
        <w:t>。</w:t>
      </w:r>
    </w:p>
    <w:p w14:paraId="164A2A77">
      <w:pPr>
        <w:pStyle w:val="47"/>
        <w:keepNext w:val="0"/>
        <w:keepLines w:val="0"/>
        <w:pageBreakBefore w:val="0"/>
        <w:widowControl w:val="0"/>
        <w:numPr>
          <w:ilvl w:val="0"/>
          <w:numId w:val="0"/>
        </w:numPr>
        <w:kinsoku/>
        <w:wordWrap/>
        <w:overflowPunct/>
        <w:topLinePunct w:val="0"/>
        <w:autoSpaceDE w:val="0"/>
        <w:autoSpaceDN w:val="0"/>
        <w:bidi w:val="0"/>
        <w:adjustRightInd/>
        <w:snapToGrid/>
        <w:spacing w:line="480" w:lineRule="exact"/>
        <w:ind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本项目</w:t>
      </w:r>
      <w:r>
        <w:rPr>
          <w:rFonts w:hint="default" w:ascii="Times New Roman" w:hAnsi="Times New Roman" w:eastAsia="宋体" w:cs="Times New Roman"/>
          <w:color w:val="auto"/>
          <w:sz w:val="24"/>
          <w:szCs w:val="24"/>
          <w:highlight w:val="none"/>
          <w:lang w:val="en-US" w:eastAsia="zh-CN"/>
        </w:rPr>
        <w:t>无新增员工，厂区不新增生活污水排放量，厂区现有生活污水污染物浓度</w:t>
      </w:r>
      <w:r>
        <w:rPr>
          <w:rFonts w:hint="default" w:ascii="Times New Roman" w:hAnsi="Times New Roman" w:eastAsia="宋体" w:cs="Times New Roman"/>
          <w:color w:val="auto"/>
          <w:sz w:val="24"/>
          <w:szCs w:val="24"/>
          <w:highlight w:val="none"/>
        </w:rPr>
        <w:t>满足</w:t>
      </w:r>
      <w:r>
        <w:rPr>
          <w:rFonts w:hint="eastAsia" w:ascii="Times New Roman" w:hAnsi="Times New Roman" w:cs="Times New Roman"/>
          <w:color w:val="auto"/>
          <w:sz w:val="24"/>
          <w:szCs w:val="24"/>
          <w:highlight w:val="none"/>
          <w:lang w:val="en-US" w:eastAsia="zh-CN"/>
        </w:rPr>
        <w:t>佳木斯西区污水处理厂</w:t>
      </w:r>
      <w:r>
        <w:rPr>
          <w:rFonts w:hint="default" w:ascii="Times New Roman" w:hAnsi="Times New Roman" w:eastAsia="宋体" w:cs="Times New Roman"/>
          <w:color w:val="auto"/>
          <w:sz w:val="24"/>
          <w:szCs w:val="24"/>
          <w:highlight w:val="none"/>
          <w:lang w:val="en-US" w:eastAsia="zh-CN"/>
        </w:rPr>
        <w:t>进水水质指标后，经市政污水管网，排入</w:t>
      </w:r>
      <w:r>
        <w:rPr>
          <w:rFonts w:hint="eastAsia" w:ascii="Times New Roman" w:hAnsi="Times New Roman" w:cs="Times New Roman"/>
          <w:color w:val="auto"/>
          <w:sz w:val="24"/>
          <w:szCs w:val="24"/>
          <w:highlight w:val="none"/>
          <w:lang w:val="en-US" w:eastAsia="zh-CN"/>
        </w:rPr>
        <w:t>佳木斯西区污水处理厂</w:t>
      </w:r>
      <w:r>
        <w:rPr>
          <w:rFonts w:hint="default" w:ascii="Times New Roman" w:hAnsi="Times New Roman" w:eastAsia="宋体" w:cs="Times New Roman"/>
          <w:color w:val="auto"/>
          <w:sz w:val="24"/>
          <w:szCs w:val="24"/>
          <w:highlight w:val="none"/>
        </w:rPr>
        <w:t>，经处理后污水排放浓度达到《城镇污水处理厂污染物排放标准》（GB18918-2002）一级</w:t>
      </w:r>
      <w:r>
        <w:rPr>
          <w:rFonts w:hint="default" w:ascii="Times New Roman" w:hAnsi="Times New Roman" w:eastAsia="宋体" w:cs="Times New Roman"/>
          <w:color w:val="auto"/>
          <w:sz w:val="24"/>
          <w:szCs w:val="24"/>
          <w:highlight w:val="none"/>
          <w:lang w:val="en-US" w:eastAsia="zh-CN"/>
        </w:rPr>
        <w:t>A</w:t>
      </w:r>
      <w:r>
        <w:rPr>
          <w:rFonts w:hint="default" w:ascii="Times New Roman" w:hAnsi="Times New Roman" w:eastAsia="宋体" w:cs="Times New Roman"/>
          <w:color w:val="auto"/>
          <w:sz w:val="24"/>
          <w:szCs w:val="24"/>
          <w:highlight w:val="none"/>
        </w:rPr>
        <w:t>标准后排入</w:t>
      </w:r>
      <w:r>
        <w:rPr>
          <w:rFonts w:hint="eastAsia" w:ascii="Times New Roman" w:hAnsi="Times New Roman" w:cs="Times New Roman"/>
          <w:color w:val="auto"/>
          <w:sz w:val="24"/>
          <w:szCs w:val="24"/>
          <w:highlight w:val="none"/>
          <w:lang w:val="en-US" w:eastAsia="zh-CN"/>
        </w:rPr>
        <w:t>松花江</w:t>
      </w:r>
      <w:r>
        <w:rPr>
          <w:rFonts w:hint="default" w:ascii="Times New Roman" w:hAnsi="Times New Roman" w:eastAsia="宋体" w:cs="Times New Roman"/>
          <w:color w:val="auto"/>
          <w:sz w:val="24"/>
          <w:szCs w:val="24"/>
          <w:highlight w:val="none"/>
        </w:rPr>
        <w:t>。</w:t>
      </w:r>
    </w:p>
    <w:p w14:paraId="03926F40">
      <w:pPr>
        <w:pStyle w:val="47"/>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80" w:firstLineChars="200"/>
        <w:jc w:val="both"/>
        <w:textAlignment w:val="auto"/>
        <w:outlineLvl w:val="9"/>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lang w:val="en-US" w:eastAsia="zh-CN"/>
        </w:rPr>
        <w:t>2</w:t>
      </w: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rPr>
        <w:t>依托污水处理设施的环境可行性评价</w:t>
      </w:r>
    </w:p>
    <w:p w14:paraId="381AD62C">
      <w:pPr>
        <w:keepNext w:val="0"/>
        <w:keepLines w:val="0"/>
        <w:pageBreakBefore w:val="0"/>
        <w:widowControl w:val="0"/>
        <w:kinsoku/>
        <w:wordWrap/>
        <w:overflowPunct/>
        <w:topLinePunct w:val="0"/>
        <w:bidi w:val="0"/>
        <w:adjustRightInd/>
        <w:snapToGrid/>
        <w:spacing w:after="0" w:line="360" w:lineRule="auto"/>
        <w:ind w:firstLine="480" w:firstLineChars="200"/>
        <w:jc w:val="both"/>
        <w:textAlignment w:val="auto"/>
        <w:rPr>
          <w:rFonts w:hint="default" w:ascii="Times New Roman" w:hAnsi="Times New Roman" w:eastAsia="宋体" w:cs="Times New Roman"/>
          <w:color w:val="FF0000"/>
          <w:kern w:val="0"/>
          <w:sz w:val="24"/>
          <w:szCs w:val="24"/>
          <w:highlight w:val="none"/>
          <w:lang w:val="en-US" w:eastAsia="zh-CN"/>
        </w:rPr>
      </w:pPr>
      <w:r>
        <w:rPr>
          <w:rFonts w:hint="default" w:ascii="Times New Roman" w:hAnsi="Times New Roman" w:eastAsia="宋体" w:cs="Times New Roman"/>
          <w:color w:val="FF0000"/>
          <w:kern w:val="0"/>
          <w:sz w:val="24"/>
          <w:szCs w:val="24"/>
          <w:highlight w:val="none"/>
        </w:rPr>
        <w:t>①</w:t>
      </w:r>
      <w:r>
        <w:rPr>
          <w:rFonts w:hint="eastAsia" w:ascii="Times New Roman" w:hAnsi="Times New Roman" w:eastAsia="宋体" w:cs="Times New Roman"/>
          <w:color w:val="FF0000"/>
          <w:kern w:val="0"/>
          <w:sz w:val="24"/>
          <w:szCs w:val="24"/>
          <w:highlight w:val="none"/>
          <w:lang w:val="en-US" w:eastAsia="zh-CN"/>
        </w:rPr>
        <w:t>依托厂区内现有污水处理间可行性</w:t>
      </w:r>
    </w:p>
    <w:p w14:paraId="59CF051C">
      <w:pPr>
        <w:keepNext w:val="0"/>
        <w:keepLines w:val="0"/>
        <w:pageBreakBefore w:val="0"/>
        <w:widowControl w:val="0"/>
        <w:kinsoku/>
        <w:wordWrap/>
        <w:overflowPunct/>
        <w:topLinePunct w:val="0"/>
        <w:bidi w:val="0"/>
        <w:adjustRightInd/>
        <w:snapToGrid/>
        <w:spacing w:after="0" w:line="360" w:lineRule="auto"/>
        <w:ind w:firstLine="480" w:firstLineChars="200"/>
        <w:jc w:val="both"/>
        <w:textAlignment w:val="auto"/>
        <w:rPr>
          <w:rFonts w:hint="default" w:ascii="Times New Roman" w:hAnsi="Times New Roman" w:eastAsia="宋体" w:cs="Times New Roman"/>
          <w:color w:val="FF0000"/>
          <w:kern w:val="0"/>
          <w:sz w:val="24"/>
          <w:szCs w:val="24"/>
          <w:highlight w:val="none"/>
          <w:lang w:val="en-US" w:eastAsia="zh-CN"/>
        </w:rPr>
      </w:pPr>
      <w:r>
        <w:rPr>
          <w:rFonts w:hint="eastAsia" w:ascii="Times New Roman" w:hAnsi="Times New Roman" w:eastAsia="宋体" w:cs="Times New Roman"/>
          <w:color w:val="FF0000"/>
          <w:kern w:val="0"/>
          <w:sz w:val="24"/>
          <w:szCs w:val="24"/>
          <w:highlight w:val="none"/>
          <w:lang w:val="en-US" w:eastAsia="zh-CN"/>
        </w:rPr>
        <w:t>厂区内现有一座污水处理间，处理工艺为过滤+沉淀+气浮，用于厂区内含煤废水处理，处理能力为4m</w:t>
      </w:r>
      <w:r>
        <w:rPr>
          <w:rFonts w:hint="eastAsia" w:ascii="Times New Roman" w:hAnsi="Times New Roman" w:eastAsia="宋体" w:cs="Times New Roman"/>
          <w:color w:val="FF0000"/>
          <w:kern w:val="0"/>
          <w:sz w:val="24"/>
          <w:szCs w:val="24"/>
          <w:highlight w:val="none"/>
          <w:vertAlign w:val="superscript"/>
          <w:lang w:val="en-US" w:eastAsia="zh-CN"/>
        </w:rPr>
        <w:t>3</w:t>
      </w:r>
      <w:r>
        <w:rPr>
          <w:rFonts w:hint="eastAsia" w:ascii="Times New Roman" w:hAnsi="Times New Roman" w:eastAsia="宋体" w:cs="Times New Roman"/>
          <w:color w:val="FF0000"/>
          <w:kern w:val="0"/>
          <w:sz w:val="24"/>
          <w:szCs w:val="24"/>
          <w:highlight w:val="none"/>
          <w:lang w:val="en-US" w:eastAsia="zh-CN"/>
        </w:rPr>
        <w:t>/h。厂区内现有工程含煤废水处理量为2m</w:t>
      </w:r>
      <w:r>
        <w:rPr>
          <w:rFonts w:hint="eastAsia" w:ascii="Times New Roman" w:hAnsi="Times New Roman" w:eastAsia="宋体" w:cs="Times New Roman"/>
          <w:color w:val="FF0000"/>
          <w:kern w:val="0"/>
          <w:sz w:val="24"/>
          <w:szCs w:val="24"/>
          <w:highlight w:val="none"/>
          <w:vertAlign w:val="superscript"/>
          <w:lang w:val="en-US" w:eastAsia="zh-CN"/>
        </w:rPr>
        <w:t>3</w:t>
      </w:r>
      <w:r>
        <w:rPr>
          <w:rFonts w:hint="eastAsia" w:ascii="Times New Roman" w:hAnsi="Times New Roman" w:eastAsia="宋体" w:cs="Times New Roman"/>
          <w:color w:val="FF0000"/>
          <w:kern w:val="0"/>
          <w:sz w:val="24"/>
          <w:szCs w:val="24"/>
          <w:highlight w:val="none"/>
          <w:lang w:val="en-US" w:eastAsia="zh-CN"/>
        </w:rPr>
        <w:t>/h，本项目含煤废水处理量为0.4m</w:t>
      </w:r>
      <w:r>
        <w:rPr>
          <w:rFonts w:hint="eastAsia" w:ascii="Times New Roman" w:hAnsi="Times New Roman" w:eastAsia="宋体" w:cs="Times New Roman"/>
          <w:color w:val="FF0000"/>
          <w:kern w:val="0"/>
          <w:sz w:val="24"/>
          <w:szCs w:val="24"/>
          <w:highlight w:val="none"/>
          <w:vertAlign w:val="superscript"/>
          <w:lang w:val="en-US" w:eastAsia="zh-CN"/>
        </w:rPr>
        <w:t>3</w:t>
      </w:r>
      <w:r>
        <w:rPr>
          <w:rFonts w:hint="eastAsia" w:ascii="Times New Roman" w:hAnsi="Times New Roman" w:eastAsia="宋体" w:cs="Times New Roman"/>
          <w:color w:val="FF0000"/>
          <w:kern w:val="0"/>
          <w:sz w:val="24"/>
          <w:szCs w:val="24"/>
          <w:highlight w:val="none"/>
          <w:lang w:val="en-US" w:eastAsia="zh-CN"/>
        </w:rPr>
        <w:t>/h。全厂含煤废水处理量为2.4m</w:t>
      </w:r>
      <w:r>
        <w:rPr>
          <w:rFonts w:hint="eastAsia" w:ascii="Times New Roman" w:hAnsi="Times New Roman" w:eastAsia="宋体" w:cs="Times New Roman"/>
          <w:color w:val="FF0000"/>
          <w:kern w:val="0"/>
          <w:sz w:val="24"/>
          <w:szCs w:val="24"/>
          <w:highlight w:val="none"/>
          <w:vertAlign w:val="superscript"/>
          <w:lang w:val="en-US" w:eastAsia="zh-CN"/>
        </w:rPr>
        <w:t>3</w:t>
      </w:r>
      <w:r>
        <w:rPr>
          <w:rFonts w:hint="eastAsia" w:ascii="Times New Roman" w:hAnsi="Times New Roman" w:eastAsia="宋体" w:cs="Times New Roman"/>
          <w:color w:val="FF0000"/>
          <w:kern w:val="0"/>
          <w:sz w:val="24"/>
          <w:szCs w:val="24"/>
          <w:highlight w:val="none"/>
          <w:lang w:val="en-US" w:eastAsia="zh-CN"/>
        </w:rPr>
        <w:t>/h，小于污水处理站的处理能力，因此本项目含煤废水依托厂区内现有污水处理间可行。</w:t>
      </w:r>
    </w:p>
    <w:p w14:paraId="38434B0F">
      <w:pPr>
        <w:widowControl w:val="0"/>
        <w:adjustRightInd/>
        <w:snapToGrid/>
        <w:spacing w:after="0" w:line="360" w:lineRule="auto"/>
        <w:ind w:firstLine="480" w:firstLineChars="200"/>
        <w:jc w:val="both"/>
        <w:rPr>
          <w:rFonts w:hint="default" w:ascii="Times New Roman" w:hAnsi="Times New Roman" w:eastAsia="宋体" w:cs="Times New Roman"/>
          <w:color w:val="auto"/>
          <w:kern w:val="0"/>
          <w:sz w:val="24"/>
          <w:szCs w:val="24"/>
          <w:highlight w:val="none"/>
          <w:lang w:val="en-US"/>
        </w:rPr>
      </w:pPr>
      <w:r>
        <w:rPr>
          <w:rFonts w:hint="default" w:ascii="Times New Roman" w:hAnsi="Times New Roman" w:eastAsia="宋体" w:cs="Times New Roman"/>
          <w:color w:val="auto"/>
          <w:kern w:val="0"/>
          <w:sz w:val="24"/>
          <w:szCs w:val="24"/>
          <w:highlight w:val="none"/>
        </w:rPr>
        <w:t>②依托</w:t>
      </w:r>
      <w:r>
        <w:rPr>
          <w:rFonts w:hint="default" w:ascii="Times New Roman" w:hAnsi="Times New Roman" w:eastAsia="宋体" w:cs="Times New Roman"/>
          <w:color w:val="auto"/>
          <w:kern w:val="0"/>
          <w:sz w:val="24"/>
          <w:szCs w:val="24"/>
          <w:highlight w:val="none"/>
          <w:lang w:val="en-US" w:eastAsia="zh-CN"/>
        </w:rPr>
        <w:t>佳木斯西区污水处理厂</w:t>
      </w:r>
      <w:r>
        <w:rPr>
          <w:rFonts w:hint="eastAsia" w:ascii="Times New Roman" w:hAnsi="Times New Roman" w:eastAsia="宋体" w:cs="Times New Roman"/>
          <w:color w:val="auto"/>
          <w:kern w:val="0"/>
          <w:sz w:val="24"/>
          <w:szCs w:val="24"/>
          <w:highlight w:val="none"/>
          <w:lang w:val="en-US" w:eastAsia="zh-CN"/>
        </w:rPr>
        <w:t>可行性</w:t>
      </w:r>
    </w:p>
    <w:p w14:paraId="0CC292BA">
      <w:pPr>
        <w:pStyle w:val="35"/>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佳木斯西区污水处理厂</w:t>
      </w:r>
      <w:r>
        <w:rPr>
          <w:rFonts w:hint="default" w:ascii="Times New Roman" w:hAnsi="Times New Roman" w:eastAsia="宋体" w:cs="Times New Roman"/>
          <w:color w:val="auto"/>
          <w:sz w:val="24"/>
          <w:szCs w:val="24"/>
          <w:highlight w:val="none"/>
          <w:lang w:val="en-US" w:eastAsia="zh-CN"/>
        </w:rPr>
        <w:t>位于</w:t>
      </w:r>
      <w:r>
        <w:rPr>
          <w:rFonts w:hint="eastAsia" w:cs="Times New Roman"/>
          <w:color w:val="auto"/>
          <w:sz w:val="24"/>
          <w:szCs w:val="24"/>
          <w:highlight w:val="none"/>
          <w:lang w:val="en-US" w:eastAsia="zh-CN"/>
        </w:rPr>
        <w:t>佳木斯</w:t>
      </w:r>
      <w:r>
        <w:rPr>
          <w:rFonts w:hint="default" w:ascii="Times New Roman" w:hAnsi="Times New Roman" w:eastAsia="宋体" w:cs="Times New Roman"/>
          <w:color w:val="auto"/>
          <w:sz w:val="24"/>
          <w:szCs w:val="24"/>
          <w:highlight w:val="none"/>
          <w:lang w:val="en-US" w:eastAsia="zh-CN"/>
        </w:rPr>
        <w:t>市</w:t>
      </w:r>
      <w:r>
        <w:rPr>
          <w:rFonts w:hint="eastAsia" w:cs="Times New Roman"/>
          <w:color w:val="auto"/>
          <w:sz w:val="24"/>
          <w:szCs w:val="24"/>
          <w:highlight w:val="none"/>
          <w:lang w:val="en-US" w:eastAsia="zh-CN"/>
        </w:rPr>
        <w:t>西</w:t>
      </w:r>
      <w:r>
        <w:rPr>
          <w:rFonts w:hint="default" w:ascii="Times New Roman" w:hAnsi="Times New Roman" w:eastAsia="宋体" w:cs="Times New Roman"/>
          <w:color w:val="auto"/>
          <w:sz w:val="24"/>
          <w:szCs w:val="24"/>
          <w:highlight w:val="none"/>
          <w:lang w:val="en-US" w:eastAsia="zh-CN"/>
        </w:rPr>
        <w:t>北侧，该污水处理厂运营商名称为</w:t>
      </w:r>
      <w:r>
        <w:rPr>
          <w:rFonts w:hint="eastAsia" w:cs="Times New Roman"/>
          <w:color w:val="auto"/>
          <w:sz w:val="24"/>
          <w:szCs w:val="24"/>
          <w:highlight w:val="none"/>
          <w:lang w:val="en-US" w:eastAsia="zh-CN"/>
        </w:rPr>
        <w:t>佳木斯龙江环保水务有限公司</w:t>
      </w:r>
      <w:r>
        <w:rPr>
          <w:rFonts w:hint="default" w:ascii="Times New Roman" w:hAnsi="Times New Roman" w:eastAsia="宋体" w:cs="Times New Roman"/>
          <w:color w:val="auto"/>
          <w:sz w:val="24"/>
          <w:szCs w:val="24"/>
          <w:highlight w:val="none"/>
          <w:lang w:val="en-US" w:eastAsia="zh-CN"/>
        </w:rPr>
        <w:t>。该污水处理厂日处理污水能力为</w:t>
      </w:r>
      <w:r>
        <w:rPr>
          <w:rFonts w:hint="eastAsia"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lang w:val="en-US" w:eastAsia="zh-CN"/>
        </w:rPr>
        <w:t>万m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/d，</w:t>
      </w:r>
      <w:r>
        <w:rPr>
          <w:rFonts w:hint="eastAsia" w:cs="Times New Roman"/>
          <w:color w:val="auto"/>
          <w:sz w:val="24"/>
          <w:szCs w:val="24"/>
          <w:highlight w:val="none"/>
          <w:lang w:val="en-US" w:eastAsia="zh-CN"/>
        </w:rPr>
        <w:t>现</w:t>
      </w:r>
      <w:r>
        <w:rPr>
          <w:rFonts w:hint="default" w:ascii="Times New Roman" w:hAnsi="Times New Roman" w:eastAsia="宋体" w:cs="Times New Roman"/>
          <w:color w:val="auto"/>
          <w:sz w:val="24"/>
          <w:szCs w:val="24"/>
          <w:highlight w:val="none"/>
          <w:lang w:val="en-US" w:eastAsia="zh-CN"/>
        </w:rPr>
        <w:t>污水处理工艺</w:t>
      </w:r>
      <w:r>
        <w:rPr>
          <w:rFonts w:hint="default" w:ascii="Times New Roman" w:hAnsi="Times New Roman" w:eastAsia="宋体" w:cs="Times New Roman"/>
          <w:color w:val="auto"/>
          <w:kern w:val="0"/>
          <w:sz w:val="24"/>
          <w:szCs w:val="24"/>
          <w:highlight w:val="none"/>
        </w:rPr>
        <w:t>采用周期循环曝气活性污泥法</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CASS</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污水处理工艺</w:t>
      </w:r>
      <w:r>
        <w:rPr>
          <w:rFonts w:hint="default" w:ascii="Times New Roman" w:hAnsi="Times New Roman" w:eastAsia="宋体" w:cs="Times New Roman"/>
          <w:color w:val="auto"/>
          <w:sz w:val="24"/>
          <w:szCs w:val="24"/>
          <w:highlight w:val="none"/>
          <w:lang w:val="en-US" w:eastAsia="zh-CN"/>
        </w:rPr>
        <w:t>，出水水质达到《城镇污水处理厂污染物排放标准》（GB18918-2002）表1基本控制项目最高允许排放浓度（日均值）一级A标准后排入</w:t>
      </w:r>
      <w:r>
        <w:rPr>
          <w:rFonts w:hint="eastAsia" w:ascii="Times New Roman" w:hAnsi="Times New Roman" w:eastAsia="宋体" w:cs="Times New Roman"/>
          <w:color w:val="auto"/>
          <w:sz w:val="24"/>
          <w:szCs w:val="24"/>
          <w:highlight w:val="none"/>
          <w:lang w:val="en-US" w:eastAsia="zh-CN"/>
        </w:rPr>
        <w:t>松花江。</w:t>
      </w:r>
    </w:p>
    <w:p w14:paraId="0FEEB0C7">
      <w:pPr>
        <w:pStyle w:val="35"/>
        <w:keepNext w:val="0"/>
        <w:keepLines w:val="0"/>
        <w:pageBreakBefore w:val="0"/>
        <w:widowControl w:val="0"/>
        <w:kinsoku/>
        <w:wordWrap/>
        <w:overflowPunct/>
        <w:topLinePunct w:val="0"/>
        <w:autoSpaceDE/>
        <w:autoSpaceDN/>
        <w:bidi w:val="0"/>
        <w:adjustRightInd/>
        <w:snapToGrid/>
        <w:spacing w:after="0" w:line="48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佳木斯西区污水处理厂</w:t>
      </w:r>
      <w:r>
        <w:rPr>
          <w:rFonts w:hint="default" w:ascii="Times New Roman" w:hAnsi="Times New Roman" w:eastAsia="宋体" w:cs="Times New Roman"/>
          <w:color w:val="auto"/>
          <w:sz w:val="24"/>
          <w:szCs w:val="24"/>
          <w:highlight w:val="none"/>
          <w:lang w:val="en-US" w:eastAsia="zh-CN"/>
        </w:rPr>
        <w:t>的处理能力能够满足本项目废水处理的需求，因此本项目</w:t>
      </w:r>
      <w:r>
        <w:rPr>
          <w:rFonts w:hint="eastAsia" w:cs="Times New Roman"/>
          <w:color w:val="auto"/>
          <w:sz w:val="24"/>
          <w:szCs w:val="24"/>
          <w:highlight w:val="none"/>
          <w:lang w:val="en-US" w:eastAsia="zh-CN"/>
        </w:rPr>
        <w:t>生活污水</w:t>
      </w:r>
      <w:r>
        <w:rPr>
          <w:rFonts w:hint="default" w:ascii="Times New Roman" w:hAnsi="Times New Roman" w:eastAsia="宋体" w:cs="Times New Roman"/>
          <w:color w:val="auto"/>
          <w:sz w:val="24"/>
          <w:szCs w:val="24"/>
          <w:highlight w:val="none"/>
          <w:lang w:val="en-US" w:eastAsia="zh-CN"/>
        </w:rPr>
        <w:t>依托</w:t>
      </w:r>
      <w:r>
        <w:rPr>
          <w:rFonts w:hint="eastAsia" w:cs="Times New Roman"/>
          <w:color w:val="auto"/>
          <w:sz w:val="24"/>
          <w:szCs w:val="24"/>
          <w:highlight w:val="none"/>
          <w:lang w:val="en-US" w:eastAsia="zh-CN"/>
        </w:rPr>
        <w:t>佳木斯西区污水处理厂</w:t>
      </w:r>
      <w:r>
        <w:rPr>
          <w:rFonts w:hint="default" w:ascii="Times New Roman" w:hAnsi="Times New Roman" w:eastAsia="宋体" w:cs="Times New Roman"/>
          <w:color w:val="auto"/>
          <w:sz w:val="24"/>
          <w:szCs w:val="24"/>
          <w:highlight w:val="none"/>
          <w:lang w:val="en-US" w:eastAsia="zh-CN"/>
        </w:rPr>
        <w:t>处理废水是可行的。</w:t>
      </w:r>
    </w:p>
    <w:p w14:paraId="0D7E384A">
      <w:pPr>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（3）地下水污染防治措施</w:t>
      </w:r>
    </w:p>
    <w:p w14:paraId="4A37679F">
      <w:pPr>
        <w:bidi w:val="0"/>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highlight w:val="none"/>
          <w:lang w:val="en-US" w:eastAsia="zh-CN"/>
        </w:rPr>
        <w:t>根据《环境影响评价技术导则 地下水环境》（HJ610-2016）附录A，本项目属于其中第142条“热力生产和供应工程”报告书类项目，属于地下水环境影响评价项目分类中的Ⅳ类项目，Ⅳ类建设项目不开展地下水环境影响评价。烟气治理设施底部、储煤场、污水处理间、化学水处理间、锅炉房、汽机间、升压站、冷却塔、初期雨水收集池为一般防渗，地面采用抗渗混凝土进行防渗；厂区道路、碎煤机室等其他区域为简单防渗区，采取水泥地面硬化的防渗措施。</w:t>
      </w:r>
    </w:p>
    <w:p w14:paraId="556B6131">
      <w:pPr>
        <w:bidi w:val="0"/>
        <w:rPr>
          <w:rFonts w:hint="default" w:ascii="Times New Roman" w:hAnsi="Times New Roman" w:eastAsia="宋体" w:cs="Times New Roman"/>
          <w:color w:val="FF0000"/>
          <w:highlight w:val="none"/>
          <w:lang w:val="en-US" w:eastAsia="zh-CN"/>
        </w:rPr>
      </w:pPr>
      <w:r>
        <w:rPr>
          <w:rFonts w:hint="default" w:ascii="Times New Roman" w:hAnsi="Times New Roman" w:eastAsia="宋体" w:cs="Times New Roman"/>
          <w:color w:val="FF0000"/>
          <w:highlight w:val="none"/>
          <w:lang w:val="en-US" w:eastAsia="zh-CN"/>
        </w:rPr>
        <w:t>在确保各项防渗措施得以落实，并加强维护和厂区环境管理的前提下，不会对区域地下水环境产生明显影响</w:t>
      </w:r>
      <w:r>
        <w:rPr>
          <w:rFonts w:hint="eastAsia" w:ascii="Times New Roman" w:hAnsi="Times New Roman" w:eastAsia="宋体" w:cs="Times New Roman"/>
          <w:color w:val="FF0000"/>
          <w:highlight w:val="none"/>
          <w:lang w:val="en-US" w:eastAsia="zh-CN"/>
        </w:rPr>
        <w:t>。</w:t>
      </w:r>
      <w:r>
        <w:rPr>
          <w:rFonts w:hint="default" w:ascii="Times New Roman" w:hAnsi="Times New Roman" w:eastAsia="宋体" w:cs="Times New Roman"/>
          <w:color w:val="FF0000"/>
          <w:highlight w:val="none"/>
          <w:lang w:val="en-US" w:eastAsia="zh-CN"/>
        </w:rPr>
        <w:t>满足《环境影响评价技术导则 地下水环境》</w:t>
      </w:r>
      <w:r>
        <w:rPr>
          <w:rFonts w:hint="eastAsia" w:ascii="Times New Roman" w:hAnsi="Times New Roman" w:eastAsia="宋体" w:cs="Times New Roman"/>
          <w:color w:val="FF0000"/>
          <w:highlight w:val="none"/>
          <w:lang w:val="en-US" w:eastAsia="zh-CN"/>
        </w:rPr>
        <w:t>（</w:t>
      </w:r>
      <w:r>
        <w:rPr>
          <w:rFonts w:hint="default" w:ascii="Times New Roman" w:hAnsi="Times New Roman" w:eastAsia="宋体" w:cs="Times New Roman"/>
          <w:color w:val="FF0000"/>
          <w:highlight w:val="none"/>
          <w:lang w:val="en-US" w:eastAsia="zh-CN"/>
        </w:rPr>
        <w:t>HJ610-2016</w:t>
      </w:r>
      <w:r>
        <w:rPr>
          <w:rFonts w:hint="eastAsia" w:ascii="Times New Roman" w:hAnsi="Times New Roman" w:eastAsia="宋体" w:cs="Times New Roman"/>
          <w:color w:val="FF0000"/>
          <w:highlight w:val="none"/>
          <w:lang w:val="en-US" w:eastAsia="zh-CN"/>
        </w:rPr>
        <w:t>）</w:t>
      </w:r>
      <w:r>
        <w:rPr>
          <w:rFonts w:hint="default" w:ascii="Times New Roman" w:hAnsi="Times New Roman" w:eastAsia="宋体" w:cs="Times New Roman"/>
          <w:color w:val="FF0000"/>
          <w:highlight w:val="none"/>
          <w:lang w:val="en-US" w:eastAsia="zh-CN"/>
        </w:rPr>
        <w:t>表7地下水污染防渗分区参照表中防渗技术要求。</w:t>
      </w:r>
    </w:p>
    <w:p w14:paraId="58376A2A">
      <w:pPr>
        <w:bidi w:val="0"/>
        <w:rPr>
          <w:rFonts w:hint="default" w:ascii="Times New Roman" w:hAnsi="Times New Roman" w:eastAsia="宋体" w:cs="Times New Roman"/>
          <w:color w:val="FF0000"/>
          <w:highlight w:val="none"/>
          <w:lang w:val="en-US" w:eastAsia="zh-CN"/>
        </w:rPr>
      </w:pPr>
      <w:r>
        <w:rPr>
          <w:rFonts w:hint="eastAsia" w:ascii="Times New Roman" w:hAnsi="Times New Roman" w:eastAsia="宋体" w:cs="Times New Roman"/>
          <w:color w:val="FF0000"/>
          <w:highlight w:val="none"/>
          <w:lang w:val="en-US" w:eastAsia="zh-CN"/>
        </w:rPr>
        <w:t>本项目属于地下水Ⅳ类项目，不需要进行地下水监测。现有厂区已设置地下水监测井，用于现有工程地下水跟踪监测。</w:t>
      </w:r>
    </w:p>
    <w:p w14:paraId="4428380C">
      <w:pPr>
        <w:pStyle w:val="6"/>
        <w:bidi w:val="0"/>
        <w:rPr>
          <w:rFonts w:hint="default" w:ascii="Times New Roman" w:hAnsi="Times New Roman" w:eastAsia="宋体" w:cs="Times New Roman"/>
          <w:color w:val="auto"/>
          <w:sz w:val="30"/>
          <w:szCs w:val="30"/>
          <w:highlight w:val="none"/>
        </w:rPr>
      </w:pPr>
      <w:bookmarkStart w:id="499" w:name="_Toc16173"/>
      <w:bookmarkStart w:id="500" w:name="_Toc8813"/>
      <w:bookmarkStart w:id="501" w:name="_Toc19365"/>
      <w:r>
        <w:rPr>
          <w:rFonts w:hint="default" w:ascii="Times New Roman" w:hAnsi="Times New Roman" w:eastAsia="宋体" w:cs="Times New Roman"/>
          <w:color w:val="auto"/>
          <w:sz w:val="30"/>
          <w:szCs w:val="30"/>
          <w:highlight w:val="none"/>
        </w:rPr>
        <w:t>7.2.</w:t>
      </w:r>
      <w:r>
        <w:rPr>
          <w:rFonts w:hint="default" w:ascii="Times New Roman" w:hAnsi="Times New Roman" w:eastAsia="宋体" w:cs="Times New Roman"/>
          <w:color w:val="auto"/>
          <w:sz w:val="30"/>
          <w:szCs w:val="30"/>
          <w:highlight w:val="none"/>
          <w:lang w:val="en-US" w:eastAsia="zh-CN"/>
        </w:rPr>
        <w:t>3</w:t>
      </w:r>
      <w:r>
        <w:rPr>
          <w:rFonts w:hint="default" w:ascii="Times New Roman" w:hAnsi="Times New Roman" w:eastAsia="宋体" w:cs="Times New Roman"/>
          <w:color w:val="auto"/>
          <w:sz w:val="30"/>
          <w:szCs w:val="30"/>
          <w:highlight w:val="none"/>
        </w:rPr>
        <w:t xml:space="preserve"> 噪声污染防治措施</w:t>
      </w:r>
      <w:bookmarkEnd w:id="499"/>
      <w:bookmarkEnd w:id="500"/>
      <w:bookmarkEnd w:id="501"/>
    </w:p>
    <w:p w14:paraId="024D5B5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本工程的噪声设备主要是锅炉、碎煤机、风机、水泵等设备，其噪声防治对策主要考虑从声源上和传播途径上降低噪声。</w:t>
      </w:r>
    </w:p>
    <w:p w14:paraId="36C8601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（1）声源降噪</w:t>
      </w:r>
    </w:p>
    <w:p w14:paraId="0AFBDC1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控制声源是降低噪声的最根本和最有效的方法，其主要方法是通过减少或避免运动部件的冲击和碰撞，提高运动部件的平衡精度，防止流体的压力突变等来降低激振力；通过防止系统共振等来降低机械系统中噪声辐射部件对激振力的响应。</w:t>
      </w:r>
    </w:p>
    <w:p w14:paraId="33DC4B3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①设备订货时向设备制造厂家提出噪声值具体要求，或根据厂家提供的设备噪声值进行选择，选用低噪声、低振动、高质量的风机、水泵等低噪声设备。</w:t>
      </w:r>
    </w:p>
    <w:p w14:paraId="1B09249E">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②噪声设备基础必须采取隔振措施，碎煤机、风机、水泵应安装在牢固的基座上，基座下设隔振垫，可降低噪声1～3dB</w:t>
      </w:r>
      <w:r>
        <w:rPr>
          <w:rFonts w:hint="eastAsia" w:ascii="Times New Roman" w:hAnsi="Times New Roman" w:eastAsia="宋体" w:cs="Times New Roman"/>
          <w:b w:val="0"/>
          <w:bCs/>
          <w:color w:val="auto"/>
          <w:sz w:val="24"/>
          <w:szCs w:val="24"/>
          <w:highlight w:val="none"/>
          <w:lang w:val="en-US" w:eastAsia="zh-CN"/>
        </w:rPr>
        <w:t>（</w:t>
      </w:r>
      <w:r>
        <w:rPr>
          <w:rFonts w:hint="default" w:ascii="Times New Roman" w:hAnsi="Times New Roman" w:eastAsia="宋体" w:cs="Times New Roman"/>
          <w:b w:val="0"/>
          <w:bCs/>
          <w:color w:val="auto"/>
          <w:sz w:val="24"/>
          <w:szCs w:val="24"/>
          <w:highlight w:val="none"/>
          <w:lang w:val="en-US" w:eastAsia="zh-CN"/>
        </w:rPr>
        <w:t>A</w:t>
      </w:r>
      <w:r>
        <w:rPr>
          <w:rFonts w:hint="eastAsia" w:ascii="Times New Roman" w:hAnsi="Times New Roman" w:eastAsia="宋体" w:cs="Times New Roman"/>
          <w:b w:val="0"/>
          <w:bCs/>
          <w:color w:val="auto"/>
          <w:sz w:val="24"/>
          <w:szCs w:val="24"/>
          <w:highlight w:val="none"/>
          <w:lang w:val="en-US" w:eastAsia="zh-CN"/>
        </w:rPr>
        <w:t>）</w:t>
      </w:r>
      <w:r>
        <w:rPr>
          <w:rFonts w:hint="default" w:ascii="Times New Roman" w:hAnsi="Times New Roman" w:eastAsia="宋体" w:cs="Times New Roman"/>
          <w:b w:val="0"/>
          <w:bCs/>
          <w:color w:val="auto"/>
          <w:sz w:val="24"/>
          <w:szCs w:val="24"/>
          <w:highlight w:val="none"/>
          <w:lang w:val="en-US" w:eastAsia="zh-CN"/>
        </w:rPr>
        <w:t>。</w:t>
      </w:r>
    </w:p>
    <w:p w14:paraId="53CDFE5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③风机的进出口加装消声器，风机消声应考虑烟道中有尘粒的特点，同时还要考虑烟气结露和含湿量的问题。吸声材料应便于更换。</w:t>
      </w:r>
    </w:p>
    <w:p w14:paraId="473C947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④管道与风机口采用软连接，可降低噪声14～15dB</w:t>
      </w:r>
      <w:r>
        <w:rPr>
          <w:rFonts w:hint="eastAsia" w:ascii="Times New Roman" w:hAnsi="Times New Roman" w:eastAsia="宋体" w:cs="Times New Roman"/>
          <w:b w:val="0"/>
          <w:bCs/>
          <w:color w:val="auto"/>
          <w:sz w:val="24"/>
          <w:szCs w:val="24"/>
          <w:highlight w:val="none"/>
          <w:lang w:val="en-US" w:eastAsia="zh-CN"/>
        </w:rPr>
        <w:t>（</w:t>
      </w:r>
      <w:r>
        <w:rPr>
          <w:rFonts w:hint="default" w:ascii="Times New Roman" w:hAnsi="Times New Roman" w:eastAsia="宋体" w:cs="Times New Roman"/>
          <w:b w:val="0"/>
          <w:bCs/>
          <w:color w:val="auto"/>
          <w:sz w:val="24"/>
          <w:szCs w:val="24"/>
          <w:highlight w:val="none"/>
          <w:lang w:val="en-US" w:eastAsia="zh-CN"/>
        </w:rPr>
        <w:t>A</w:t>
      </w:r>
      <w:r>
        <w:rPr>
          <w:rFonts w:hint="eastAsia" w:ascii="Times New Roman" w:hAnsi="Times New Roman" w:eastAsia="宋体" w:cs="Times New Roman"/>
          <w:b w:val="0"/>
          <w:bCs/>
          <w:color w:val="auto"/>
          <w:sz w:val="24"/>
          <w:szCs w:val="24"/>
          <w:highlight w:val="none"/>
          <w:lang w:val="en-US" w:eastAsia="zh-CN"/>
        </w:rPr>
        <w:t>）</w:t>
      </w:r>
      <w:r>
        <w:rPr>
          <w:rFonts w:hint="default" w:ascii="Times New Roman" w:hAnsi="Times New Roman" w:eastAsia="宋体" w:cs="Times New Roman"/>
          <w:b w:val="0"/>
          <w:bCs/>
          <w:color w:val="auto"/>
          <w:sz w:val="24"/>
          <w:szCs w:val="24"/>
          <w:highlight w:val="none"/>
          <w:lang w:val="en-US" w:eastAsia="zh-CN"/>
        </w:rPr>
        <w:t>。</w:t>
      </w:r>
    </w:p>
    <w:p w14:paraId="4E9D585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（2）传播途径降噪</w:t>
      </w:r>
    </w:p>
    <w:p w14:paraId="2D63181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①在锅炉间、泵房内设置隔声控制室，控制室内噪声在65dB</w:t>
      </w:r>
      <w:r>
        <w:rPr>
          <w:rFonts w:hint="eastAsia" w:ascii="Times New Roman" w:hAnsi="Times New Roman" w:eastAsia="宋体" w:cs="Times New Roman"/>
          <w:b w:val="0"/>
          <w:bCs/>
          <w:color w:val="auto"/>
          <w:sz w:val="24"/>
          <w:szCs w:val="24"/>
          <w:highlight w:val="none"/>
          <w:lang w:val="en-US" w:eastAsia="zh-CN"/>
        </w:rPr>
        <w:t>（</w:t>
      </w:r>
      <w:r>
        <w:rPr>
          <w:rFonts w:hint="default" w:ascii="Times New Roman" w:hAnsi="Times New Roman" w:eastAsia="宋体" w:cs="Times New Roman"/>
          <w:b w:val="0"/>
          <w:bCs/>
          <w:color w:val="auto"/>
          <w:sz w:val="24"/>
          <w:szCs w:val="24"/>
          <w:highlight w:val="none"/>
          <w:lang w:val="en-US" w:eastAsia="zh-CN"/>
        </w:rPr>
        <w:t>A</w:t>
      </w:r>
      <w:r>
        <w:rPr>
          <w:rFonts w:hint="eastAsia" w:ascii="Times New Roman" w:hAnsi="Times New Roman" w:eastAsia="宋体" w:cs="Times New Roman"/>
          <w:b w:val="0"/>
          <w:bCs/>
          <w:color w:val="auto"/>
          <w:sz w:val="24"/>
          <w:szCs w:val="24"/>
          <w:highlight w:val="none"/>
          <w:lang w:val="en-US" w:eastAsia="zh-CN"/>
        </w:rPr>
        <w:t>）</w:t>
      </w:r>
      <w:r>
        <w:rPr>
          <w:rFonts w:hint="default" w:ascii="Times New Roman" w:hAnsi="Times New Roman" w:eastAsia="宋体" w:cs="Times New Roman"/>
          <w:b w:val="0"/>
          <w:bCs/>
          <w:color w:val="auto"/>
          <w:sz w:val="24"/>
          <w:szCs w:val="24"/>
          <w:highlight w:val="none"/>
          <w:lang w:val="en-US" w:eastAsia="zh-CN"/>
        </w:rPr>
        <w:t>以下。</w:t>
      </w:r>
    </w:p>
    <w:p w14:paraId="3562473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②锅炉房、风机室设隔声门和隔声窗，室内墙应采用吸声材料，减弱室内噪声向外传播。</w:t>
      </w:r>
    </w:p>
    <w:p w14:paraId="52D4866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③输煤采用密闭式输送廊道。</w:t>
      </w:r>
    </w:p>
    <w:p w14:paraId="37EC344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w:t>
      </w:r>
      <w:r>
        <w:rPr>
          <w:rFonts w:hint="eastAsia" w:ascii="Times New Roman" w:hAnsi="Times New Roman" w:eastAsia="宋体" w:cs="Times New Roman"/>
          <w:b w:val="0"/>
          <w:bCs/>
          <w:color w:val="auto"/>
          <w:sz w:val="24"/>
          <w:szCs w:val="24"/>
          <w:highlight w:val="none"/>
          <w:lang w:val="en-US" w:eastAsia="zh-CN"/>
        </w:rPr>
        <w:t>3</w:t>
      </w:r>
      <w:r>
        <w:rPr>
          <w:rFonts w:hint="default" w:ascii="Times New Roman" w:hAnsi="Times New Roman" w:eastAsia="宋体" w:cs="Times New Roman"/>
          <w:b w:val="0"/>
          <w:bCs/>
          <w:color w:val="auto"/>
          <w:sz w:val="24"/>
          <w:szCs w:val="24"/>
          <w:highlight w:val="none"/>
          <w:lang w:val="en-US" w:eastAsia="zh-CN"/>
        </w:rPr>
        <w:t>）本项目距敏感目标较近，为确保厂界噪声达标，企业做了专门的设计，选用小功率风机，根据实际运行情况进行变频控制，且均布置在除尘间内侧，经厂房隔声和距离衰减可确保厂界达标。</w:t>
      </w:r>
    </w:p>
    <w:p w14:paraId="5AF4879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采取了上述措施后，本项目噪声预测值昼间、夜间均满足《工业企业厂界环境噪声排放标准》（GB12348－2008）中</w:t>
      </w:r>
      <w:r>
        <w:rPr>
          <w:rFonts w:hint="eastAsia" w:ascii="Times New Roman" w:hAnsi="Times New Roman" w:eastAsia="宋体" w:cs="Times New Roman"/>
          <w:b w:val="0"/>
          <w:bCs/>
          <w:color w:val="auto"/>
          <w:sz w:val="24"/>
          <w:szCs w:val="24"/>
          <w:highlight w:val="none"/>
          <w:lang w:val="en-US" w:eastAsia="zh-CN"/>
        </w:rPr>
        <w:t>3类</w:t>
      </w:r>
      <w:r>
        <w:rPr>
          <w:rFonts w:hint="default" w:ascii="Times New Roman" w:hAnsi="Times New Roman" w:eastAsia="宋体" w:cs="Times New Roman"/>
          <w:b w:val="0"/>
          <w:bCs/>
          <w:color w:val="auto"/>
          <w:sz w:val="24"/>
          <w:szCs w:val="24"/>
          <w:highlight w:val="none"/>
          <w:lang w:val="en-US" w:eastAsia="zh-CN"/>
        </w:rPr>
        <w:t>标准限值。</w:t>
      </w:r>
    </w:p>
    <w:p w14:paraId="19103B21">
      <w:pPr>
        <w:pStyle w:val="6"/>
        <w:bidi w:val="0"/>
        <w:rPr>
          <w:rFonts w:hint="default" w:ascii="Times New Roman" w:hAnsi="Times New Roman" w:eastAsia="宋体" w:cs="Times New Roman"/>
          <w:color w:val="auto"/>
          <w:highlight w:val="none"/>
        </w:rPr>
      </w:pPr>
      <w:bookmarkStart w:id="502" w:name="_Toc13106"/>
      <w:bookmarkStart w:id="503" w:name="_Toc17597"/>
      <w:bookmarkStart w:id="504" w:name="_Toc27650"/>
      <w:r>
        <w:rPr>
          <w:rFonts w:hint="default" w:ascii="Times New Roman" w:hAnsi="Times New Roman" w:eastAsia="宋体" w:cs="Times New Roman"/>
          <w:color w:val="auto"/>
          <w:highlight w:val="none"/>
        </w:rPr>
        <w:t>7.2.</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 xml:space="preserve"> 固体废物污染防治措施</w:t>
      </w:r>
      <w:bookmarkEnd w:id="502"/>
      <w:bookmarkEnd w:id="503"/>
      <w:bookmarkEnd w:id="504"/>
    </w:p>
    <w:p w14:paraId="695742A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（1）一般固体废物</w:t>
      </w:r>
    </w:p>
    <w:p w14:paraId="0746F1C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de-DE"/>
        </w:rPr>
        <w:t>①</w:t>
      </w:r>
      <w:r>
        <w:rPr>
          <w:rFonts w:hint="default" w:ascii="Times New Roman" w:hAnsi="Times New Roman" w:eastAsia="宋体" w:cs="Times New Roman"/>
          <w:color w:val="auto"/>
          <w:sz w:val="24"/>
          <w:szCs w:val="24"/>
          <w:highlight w:val="none"/>
          <w:lang w:val="en-US" w:eastAsia="zh-CN"/>
        </w:rPr>
        <w:t>锅炉灰渣</w:t>
      </w:r>
    </w:p>
    <w:p w14:paraId="50FA3BF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cs="Times New Roman"/>
          <w:color w:val="auto"/>
          <w:sz w:val="24"/>
          <w:highlight w:val="none"/>
          <w:lang w:val="en-US" w:eastAsia="zh-CN"/>
        </w:rPr>
      </w:pPr>
      <w:r>
        <w:rPr>
          <w:color w:val="auto"/>
          <w:sz w:val="24"/>
          <w:highlight w:val="none"/>
        </w:rPr>
        <w:t>除渣系统采用</w:t>
      </w:r>
      <w:r>
        <w:rPr>
          <w:rFonts w:hint="eastAsia"/>
          <w:color w:val="auto"/>
          <w:sz w:val="24"/>
          <w:highlight w:val="none"/>
          <w:lang w:val="en-US" w:eastAsia="zh-CN"/>
        </w:rPr>
        <w:t>干</w:t>
      </w:r>
      <w:r>
        <w:rPr>
          <w:rFonts w:hint="default" w:ascii="Times New Roman" w:hAnsi="Times New Roman" w:cs="Times New Roman"/>
          <w:color w:val="auto"/>
          <w:sz w:val="24"/>
          <w:highlight w:val="none"/>
          <w:lang w:val="en-US" w:eastAsia="zh-CN"/>
        </w:rPr>
        <w:t>式</w:t>
      </w:r>
      <w:r>
        <w:rPr>
          <w:rFonts w:hint="default" w:ascii="Times New Roman" w:hAnsi="Times New Roman" w:cs="Times New Roman"/>
          <w:color w:val="auto"/>
          <w:sz w:val="24"/>
          <w:highlight w:val="none"/>
        </w:rPr>
        <w:t>机械除渣方式，锅炉底部设置一台重板链除渣机，由锅炉排出的炉渣统一排入炉底的重板链除渣机，然后送入除渣栈桥内的重板链除渣机，再将炉渣排入渣库内，</w:t>
      </w:r>
      <w:r>
        <w:rPr>
          <w:rFonts w:hint="default" w:ascii="Times New Roman" w:hAnsi="Times New Roman" w:cs="Times New Roman"/>
          <w:color w:val="auto"/>
          <w:sz w:val="24"/>
          <w:highlight w:val="none"/>
          <w:lang w:val="en-US" w:eastAsia="zh-CN"/>
        </w:rPr>
        <w:t>厂区内已建成一座35000m</w:t>
      </w:r>
      <w:r>
        <w:rPr>
          <w:rFonts w:hint="default" w:ascii="Times New Roman" w:hAnsi="Times New Roman" w:cs="Times New Roman"/>
          <w:color w:val="auto"/>
          <w:sz w:val="24"/>
          <w:highlight w:val="none"/>
          <w:vertAlign w:val="superscript"/>
          <w:lang w:val="en-US" w:eastAsia="zh-CN"/>
        </w:rPr>
        <w:t>3</w:t>
      </w:r>
      <w:r>
        <w:rPr>
          <w:rFonts w:hint="default" w:ascii="Times New Roman" w:hAnsi="Times New Roman" w:cs="Times New Roman"/>
          <w:color w:val="auto"/>
          <w:sz w:val="24"/>
          <w:highlight w:val="none"/>
          <w:lang w:val="en-US" w:eastAsia="zh-CN"/>
        </w:rPr>
        <w:t>的灰库和10000m</w:t>
      </w:r>
      <w:r>
        <w:rPr>
          <w:rFonts w:hint="default" w:ascii="Times New Roman" w:hAnsi="Times New Roman" w:cs="Times New Roman"/>
          <w:color w:val="auto"/>
          <w:sz w:val="24"/>
          <w:highlight w:val="none"/>
          <w:vertAlign w:val="superscript"/>
          <w:lang w:val="en-US" w:eastAsia="zh-CN"/>
        </w:rPr>
        <w:t>3</w:t>
      </w:r>
      <w:r>
        <w:rPr>
          <w:rFonts w:hint="default" w:ascii="Times New Roman" w:hAnsi="Times New Roman" w:cs="Times New Roman"/>
          <w:color w:val="auto"/>
          <w:sz w:val="24"/>
          <w:highlight w:val="none"/>
          <w:lang w:val="en-US" w:eastAsia="zh-CN"/>
        </w:rPr>
        <w:t>的渣库。渣库能够储存本项目及现有工程约25天的炉渣量，灰库能储存本项目及现有工程约60天的炉渣量。</w:t>
      </w:r>
    </w:p>
    <w:p w14:paraId="651A86D1">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Times New Roman" w:hAnsi="Times New Roman" w:eastAsia="宋体" w:cs="Times New Roman"/>
          <w:color w:val="FF0000"/>
          <w:sz w:val="24"/>
          <w:szCs w:val="24"/>
          <w:highlight w:val="none"/>
          <w:lang w:val="en-US" w:eastAsia="zh-CN"/>
        </w:rPr>
      </w:pPr>
      <w:r>
        <w:rPr>
          <w:rFonts w:hint="eastAsia" w:ascii="Times New Roman" w:hAnsi="Times New Roman" w:eastAsia="宋体" w:cs="Times New Roman"/>
          <w:color w:val="FF0000"/>
          <w:sz w:val="24"/>
          <w:szCs w:val="24"/>
          <w:highlight w:val="none"/>
          <w:lang w:val="en-US" w:eastAsia="zh-CN"/>
        </w:rPr>
        <w:t>表7.2-1  灰渣处置单位基本信息</w:t>
      </w:r>
    </w:p>
    <w:tbl>
      <w:tblPr>
        <w:tblStyle w:val="38"/>
        <w:tblW w:w="4998"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25"/>
        <w:gridCol w:w="2333"/>
        <w:gridCol w:w="2500"/>
        <w:gridCol w:w="2461"/>
      </w:tblGrid>
      <w:tr w14:paraId="21CDE0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8" w:type="pct"/>
            <w:tcBorders>
              <w:tl2br w:val="nil"/>
              <w:tr2bl w:val="nil"/>
            </w:tcBorders>
            <w:vAlign w:val="center"/>
          </w:tcPr>
          <w:p w14:paraId="0030251D">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单位名称</w:t>
            </w:r>
          </w:p>
        </w:tc>
        <w:tc>
          <w:tcPr>
            <w:tcW w:w="1369" w:type="pct"/>
            <w:tcBorders>
              <w:tl2br w:val="nil"/>
              <w:tr2bl w:val="nil"/>
            </w:tcBorders>
            <w:vAlign w:val="center"/>
          </w:tcPr>
          <w:p w14:paraId="28CEC59C">
            <w:pPr>
              <w:spacing w:line="240" w:lineRule="auto"/>
              <w:ind w:firstLine="0" w:firstLineChars="0"/>
              <w:jc w:val="center"/>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lang w:val="en-US" w:eastAsia="zh-CN"/>
              </w:rPr>
              <w:t>佳木斯北方奥特建材有限公司</w:t>
            </w:r>
          </w:p>
        </w:tc>
        <w:tc>
          <w:tcPr>
            <w:tcW w:w="1467" w:type="pct"/>
            <w:tcBorders>
              <w:tl2br w:val="nil"/>
              <w:tr2bl w:val="nil"/>
            </w:tcBorders>
            <w:vAlign w:val="center"/>
          </w:tcPr>
          <w:p w14:paraId="193EDA5E">
            <w:pPr>
              <w:spacing w:line="240" w:lineRule="auto"/>
              <w:ind w:firstLine="0" w:firstLineChars="0"/>
              <w:jc w:val="center"/>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佳木斯市丰奇水泥有限公司</w:t>
            </w:r>
          </w:p>
        </w:tc>
        <w:tc>
          <w:tcPr>
            <w:tcW w:w="1444" w:type="pct"/>
            <w:tcBorders>
              <w:tl2br w:val="nil"/>
              <w:tr2bl w:val="nil"/>
            </w:tcBorders>
            <w:vAlign w:val="center"/>
          </w:tcPr>
          <w:p w14:paraId="22CCE79D">
            <w:pPr>
              <w:spacing w:line="240" w:lineRule="auto"/>
              <w:ind w:firstLine="0" w:firstLineChars="0"/>
              <w:jc w:val="center"/>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佳木斯北方水泥有限公司东风分公司</w:t>
            </w:r>
          </w:p>
        </w:tc>
      </w:tr>
      <w:tr w14:paraId="1B4BCC0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8" w:type="pct"/>
            <w:tcBorders>
              <w:tl2br w:val="nil"/>
              <w:tr2bl w:val="nil"/>
            </w:tcBorders>
            <w:vAlign w:val="center"/>
          </w:tcPr>
          <w:p w14:paraId="44B4A1D0">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环评批复</w:t>
            </w:r>
          </w:p>
        </w:tc>
        <w:tc>
          <w:tcPr>
            <w:tcW w:w="1369" w:type="pct"/>
            <w:tcBorders>
              <w:tl2br w:val="nil"/>
              <w:tr2bl w:val="nil"/>
            </w:tcBorders>
            <w:vAlign w:val="center"/>
          </w:tcPr>
          <w:p w14:paraId="465875F8">
            <w:pPr>
              <w:spacing w:line="240" w:lineRule="auto"/>
              <w:ind w:firstLine="0" w:firstLineChars="0"/>
              <w:jc w:val="center"/>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lang w:val="en-US" w:eastAsia="zh-CN"/>
              </w:rPr>
              <w:t>佳环建审〔2016〕88号</w:t>
            </w:r>
          </w:p>
        </w:tc>
        <w:tc>
          <w:tcPr>
            <w:tcW w:w="1467" w:type="pct"/>
            <w:tcBorders>
              <w:tl2br w:val="nil"/>
              <w:tr2bl w:val="nil"/>
            </w:tcBorders>
            <w:vAlign w:val="center"/>
          </w:tcPr>
          <w:p w14:paraId="2C2C4311">
            <w:pPr>
              <w:spacing w:line="240" w:lineRule="auto"/>
              <w:ind w:firstLine="0" w:firstLineChars="0"/>
              <w:jc w:val="center"/>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rPr>
              <w:t>黑环审</w:t>
            </w:r>
            <w:r>
              <w:rPr>
                <w:rFonts w:hint="default" w:ascii="Times New Roman" w:hAnsi="Times New Roman" w:eastAsia="宋体" w:cs="Times New Roman"/>
                <w:color w:val="FF0000"/>
                <w:sz w:val="21"/>
                <w:szCs w:val="21"/>
                <w:highlight w:val="none"/>
                <w:lang w:val="en-US" w:eastAsia="zh-CN"/>
              </w:rPr>
              <w:t>〔</w:t>
            </w:r>
            <w:r>
              <w:rPr>
                <w:rFonts w:hint="default" w:ascii="Times New Roman" w:hAnsi="Times New Roman" w:eastAsia="宋体" w:cs="Times New Roman"/>
                <w:color w:val="FF0000"/>
                <w:sz w:val="21"/>
                <w:szCs w:val="21"/>
                <w:highlight w:val="none"/>
              </w:rPr>
              <w:t>2014</w:t>
            </w:r>
            <w:r>
              <w:rPr>
                <w:rFonts w:hint="default" w:ascii="Times New Roman" w:hAnsi="Times New Roman" w:eastAsia="宋体" w:cs="Times New Roman"/>
                <w:color w:val="FF0000"/>
                <w:sz w:val="21"/>
                <w:szCs w:val="21"/>
                <w:highlight w:val="none"/>
                <w:lang w:val="en-US" w:eastAsia="zh-CN"/>
              </w:rPr>
              <w:t>〕</w:t>
            </w:r>
            <w:r>
              <w:rPr>
                <w:rFonts w:hint="default" w:ascii="Times New Roman" w:hAnsi="Times New Roman" w:eastAsia="宋体" w:cs="Times New Roman"/>
                <w:color w:val="FF0000"/>
                <w:sz w:val="21"/>
                <w:szCs w:val="21"/>
                <w:highlight w:val="none"/>
              </w:rPr>
              <w:t>131号</w:t>
            </w:r>
          </w:p>
        </w:tc>
        <w:tc>
          <w:tcPr>
            <w:tcW w:w="1444" w:type="pct"/>
            <w:tcBorders>
              <w:tl2br w:val="nil"/>
              <w:tr2bl w:val="nil"/>
            </w:tcBorders>
            <w:vAlign w:val="center"/>
          </w:tcPr>
          <w:p w14:paraId="125243B3">
            <w:pPr>
              <w:spacing w:line="240" w:lineRule="auto"/>
              <w:ind w:firstLine="0" w:firstLineChars="0"/>
              <w:jc w:val="center"/>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佳环建审</w:t>
            </w:r>
            <w:r>
              <w:rPr>
                <w:rFonts w:hint="default"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rPr>
              <w:t>20</w:t>
            </w:r>
            <w:r>
              <w:rPr>
                <w:rFonts w:hint="default" w:ascii="Times New Roman" w:hAnsi="Times New Roman" w:eastAsia="宋体" w:cs="Times New Roman"/>
                <w:color w:val="FF0000"/>
                <w:sz w:val="21"/>
                <w:szCs w:val="21"/>
                <w:highlight w:val="none"/>
                <w:vertAlign w:val="baseline"/>
                <w:lang w:val="en-US" w:eastAsia="zh-CN"/>
              </w:rPr>
              <w:t>08〕047</w:t>
            </w:r>
            <w:r>
              <w:rPr>
                <w:rFonts w:hint="default" w:ascii="Times New Roman" w:hAnsi="Times New Roman" w:eastAsia="宋体" w:cs="Times New Roman"/>
                <w:color w:val="FF0000"/>
                <w:sz w:val="21"/>
                <w:szCs w:val="21"/>
                <w:highlight w:val="none"/>
                <w:vertAlign w:val="baseline"/>
              </w:rPr>
              <w:t>号</w:t>
            </w:r>
          </w:p>
        </w:tc>
      </w:tr>
      <w:tr w14:paraId="1BED68E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8" w:type="pct"/>
            <w:tcBorders>
              <w:tl2br w:val="nil"/>
              <w:tr2bl w:val="nil"/>
            </w:tcBorders>
            <w:vAlign w:val="center"/>
          </w:tcPr>
          <w:p w14:paraId="7B06A273">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竣工环境保护验收</w:t>
            </w:r>
          </w:p>
        </w:tc>
        <w:tc>
          <w:tcPr>
            <w:tcW w:w="1369" w:type="pct"/>
            <w:tcBorders>
              <w:tl2br w:val="nil"/>
              <w:tr2bl w:val="nil"/>
            </w:tcBorders>
            <w:vAlign w:val="center"/>
          </w:tcPr>
          <w:p w14:paraId="4669826B">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rPr>
            </w:pPr>
            <w:r>
              <w:rPr>
                <w:rFonts w:hint="default" w:ascii="Times New Roman" w:hAnsi="Times New Roman" w:eastAsia="宋体" w:cs="Times New Roman"/>
                <w:color w:val="FF0000"/>
                <w:sz w:val="21"/>
                <w:szCs w:val="21"/>
                <w:highlight w:val="none"/>
                <w:vertAlign w:val="baseline"/>
                <w:lang w:val="en-US" w:eastAsia="zh-CN"/>
              </w:rPr>
              <w:t>2023年1月自主验收</w:t>
            </w:r>
          </w:p>
        </w:tc>
        <w:tc>
          <w:tcPr>
            <w:tcW w:w="1467" w:type="pct"/>
            <w:tcBorders>
              <w:tl2br w:val="nil"/>
              <w:tr2bl w:val="nil"/>
            </w:tcBorders>
            <w:vAlign w:val="center"/>
          </w:tcPr>
          <w:p w14:paraId="21490C7D">
            <w:pPr>
              <w:spacing w:line="240" w:lineRule="auto"/>
              <w:ind w:firstLine="0" w:firstLineChars="0"/>
              <w:jc w:val="center"/>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佳环专验</w:t>
            </w:r>
            <w:r>
              <w:rPr>
                <w:rFonts w:hint="default"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rPr>
              <w:t>2016</w:t>
            </w:r>
            <w:r>
              <w:rPr>
                <w:rFonts w:hint="default"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rPr>
              <w:t>18号</w:t>
            </w:r>
          </w:p>
        </w:tc>
        <w:tc>
          <w:tcPr>
            <w:tcW w:w="1444" w:type="pct"/>
            <w:tcBorders>
              <w:tl2br w:val="nil"/>
              <w:tr2bl w:val="nil"/>
            </w:tcBorders>
            <w:vAlign w:val="center"/>
          </w:tcPr>
          <w:p w14:paraId="69575891">
            <w:pPr>
              <w:spacing w:line="240" w:lineRule="auto"/>
              <w:ind w:firstLine="0" w:firstLineChars="0"/>
              <w:jc w:val="center"/>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佳环专验</w:t>
            </w:r>
            <w:r>
              <w:rPr>
                <w:rFonts w:hint="default" w:ascii="Times New Roman" w:hAnsi="Times New Roman" w:eastAsia="宋体" w:cs="Times New Roman"/>
                <w:color w:val="FF0000"/>
                <w:sz w:val="21"/>
                <w:szCs w:val="21"/>
                <w:highlight w:val="none"/>
                <w:vertAlign w:val="baseline"/>
                <w:lang w:val="en-US" w:eastAsia="zh-CN"/>
              </w:rPr>
              <w:t>〔</w:t>
            </w:r>
            <w:r>
              <w:rPr>
                <w:rFonts w:hint="default" w:ascii="Times New Roman" w:hAnsi="Times New Roman" w:eastAsia="宋体" w:cs="Times New Roman"/>
                <w:color w:val="FF0000"/>
                <w:sz w:val="21"/>
                <w:szCs w:val="21"/>
                <w:highlight w:val="none"/>
                <w:vertAlign w:val="baseline"/>
              </w:rPr>
              <w:t>201</w:t>
            </w:r>
            <w:r>
              <w:rPr>
                <w:rFonts w:hint="default" w:ascii="Times New Roman" w:hAnsi="Times New Roman" w:eastAsia="宋体" w:cs="Times New Roman"/>
                <w:color w:val="FF0000"/>
                <w:sz w:val="21"/>
                <w:szCs w:val="21"/>
                <w:highlight w:val="none"/>
                <w:vertAlign w:val="baseline"/>
                <w:lang w:val="en-US" w:eastAsia="zh-CN"/>
              </w:rPr>
              <w:t>0〕29</w:t>
            </w:r>
            <w:r>
              <w:rPr>
                <w:rFonts w:hint="default" w:ascii="Times New Roman" w:hAnsi="Times New Roman" w:eastAsia="宋体" w:cs="Times New Roman"/>
                <w:color w:val="FF0000"/>
                <w:sz w:val="21"/>
                <w:szCs w:val="21"/>
                <w:highlight w:val="none"/>
                <w:vertAlign w:val="baseline"/>
              </w:rPr>
              <w:t>号</w:t>
            </w:r>
          </w:p>
        </w:tc>
      </w:tr>
      <w:tr w14:paraId="4532276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8" w:type="pct"/>
            <w:tcBorders>
              <w:tl2br w:val="nil"/>
              <w:tr2bl w:val="nil"/>
            </w:tcBorders>
            <w:vAlign w:val="center"/>
          </w:tcPr>
          <w:p w14:paraId="2EC88759">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排污许可</w:t>
            </w:r>
          </w:p>
        </w:tc>
        <w:tc>
          <w:tcPr>
            <w:tcW w:w="1369" w:type="pct"/>
            <w:tcBorders>
              <w:tl2br w:val="nil"/>
              <w:tr2bl w:val="nil"/>
            </w:tcBorders>
            <w:vAlign w:val="center"/>
          </w:tcPr>
          <w:p w14:paraId="2CE27DD4">
            <w:pPr>
              <w:spacing w:line="240" w:lineRule="auto"/>
              <w:ind w:firstLine="0" w:firstLineChars="0"/>
              <w:jc w:val="center"/>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lang w:val="en-US" w:eastAsia="zh-CN"/>
              </w:rPr>
              <w:t>912308265927333973001P</w:t>
            </w:r>
          </w:p>
        </w:tc>
        <w:tc>
          <w:tcPr>
            <w:tcW w:w="1467" w:type="pct"/>
            <w:tcBorders>
              <w:tl2br w:val="nil"/>
              <w:tr2bl w:val="nil"/>
            </w:tcBorders>
            <w:vAlign w:val="center"/>
          </w:tcPr>
          <w:p w14:paraId="6EC7A6E9">
            <w:pPr>
              <w:spacing w:line="240" w:lineRule="auto"/>
              <w:ind w:firstLine="0" w:firstLineChars="0"/>
              <w:jc w:val="center"/>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912308000617548261001P</w:t>
            </w:r>
          </w:p>
        </w:tc>
        <w:tc>
          <w:tcPr>
            <w:tcW w:w="1444" w:type="pct"/>
            <w:tcBorders>
              <w:tl2br w:val="nil"/>
              <w:tr2bl w:val="nil"/>
            </w:tcBorders>
            <w:vAlign w:val="center"/>
          </w:tcPr>
          <w:p w14:paraId="2E824591">
            <w:pPr>
              <w:spacing w:line="240" w:lineRule="auto"/>
              <w:ind w:firstLine="0" w:firstLineChars="0"/>
              <w:jc w:val="center"/>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rPr>
              <w:t>912308006926257722001P</w:t>
            </w:r>
          </w:p>
        </w:tc>
      </w:tr>
      <w:tr w14:paraId="36DE62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8" w:type="pct"/>
            <w:tcBorders>
              <w:tl2br w:val="nil"/>
              <w:tr2bl w:val="nil"/>
            </w:tcBorders>
            <w:vAlign w:val="center"/>
          </w:tcPr>
          <w:p w14:paraId="79BE9A3C">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产品产能</w:t>
            </w:r>
          </w:p>
        </w:tc>
        <w:tc>
          <w:tcPr>
            <w:tcW w:w="1369" w:type="pct"/>
            <w:tcBorders>
              <w:tl2br w:val="nil"/>
              <w:tr2bl w:val="nil"/>
            </w:tcBorders>
            <w:vAlign w:val="center"/>
          </w:tcPr>
          <w:p w14:paraId="0984410E">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水泥60万t/a</w:t>
            </w:r>
          </w:p>
        </w:tc>
        <w:tc>
          <w:tcPr>
            <w:tcW w:w="1467" w:type="pct"/>
            <w:tcBorders>
              <w:tl2br w:val="nil"/>
              <w:tr2bl w:val="nil"/>
            </w:tcBorders>
            <w:vAlign w:val="center"/>
          </w:tcPr>
          <w:p w14:paraId="5A46BF43">
            <w:pPr>
              <w:spacing w:line="240" w:lineRule="auto"/>
              <w:ind w:firstLine="0" w:firstLineChars="0"/>
              <w:jc w:val="center"/>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lang w:val="en-US" w:eastAsia="zh-CN"/>
              </w:rPr>
              <w:t>水泥60万t/a</w:t>
            </w:r>
          </w:p>
        </w:tc>
        <w:tc>
          <w:tcPr>
            <w:tcW w:w="1444" w:type="pct"/>
            <w:tcBorders>
              <w:tl2br w:val="nil"/>
              <w:tr2bl w:val="nil"/>
            </w:tcBorders>
            <w:vAlign w:val="center"/>
          </w:tcPr>
          <w:p w14:paraId="0F9D892F">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水泥100万t/a</w:t>
            </w:r>
          </w:p>
        </w:tc>
      </w:tr>
      <w:tr w14:paraId="373FA92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18" w:type="pct"/>
            <w:tcBorders>
              <w:tl2br w:val="nil"/>
              <w:tr2bl w:val="nil"/>
            </w:tcBorders>
            <w:vAlign w:val="center"/>
          </w:tcPr>
          <w:p w14:paraId="7EF8CEE3">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原材料消耗</w:t>
            </w:r>
          </w:p>
        </w:tc>
        <w:tc>
          <w:tcPr>
            <w:tcW w:w="1369" w:type="pct"/>
            <w:tcBorders>
              <w:tl2br w:val="nil"/>
              <w:tr2bl w:val="nil"/>
            </w:tcBorders>
            <w:vAlign w:val="center"/>
          </w:tcPr>
          <w:p w14:paraId="66460416">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粉煤灰7.5万t/a</w:t>
            </w:r>
          </w:p>
          <w:p w14:paraId="12F8739A">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脱硫石膏2.7万t/a</w:t>
            </w:r>
          </w:p>
          <w:p w14:paraId="02E362B4">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炉渣4万t/a</w:t>
            </w:r>
          </w:p>
          <w:p w14:paraId="18374979">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石灰石7.2万t/a</w:t>
            </w:r>
          </w:p>
          <w:p w14:paraId="3B1A3587">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熟料45万t/a</w:t>
            </w:r>
          </w:p>
        </w:tc>
        <w:tc>
          <w:tcPr>
            <w:tcW w:w="1467" w:type="pct"/>
            <w:tcBorders>
              <w:tl2br w:val="nil"/>
              <w:tr2bl w:val="nil"/>
            </w:tcBorders>
            <w:vAlign w:val="center"/>
          </w:tcPr>
          <w:p w14:paraId="7EDBB6D5">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粉煤灰9.6万t/a</w:t>
            </w:r>
          </w:p>
          <w:p w14:paraId="2753E32F">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脱硫石膏2.4万t/a</w:t>
            </w:r>
          </w:p>
          <w:p w14:paraId="382DCC47">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炉渣12万t/a</w:t>
            </w:r>
          </w:p>
          <w:p w14:paraId="62CD38C9">
            <w:pPr>
              <w:spacing w:line="240" w:lineRule="auto"/>
              <w:ind w:firstLine="0" w:firstLineChars="0"/>
              <w:jc w:val="center"/>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lang w:val="en-US" w:eastAsia="zh-CN"/>
              </w:rPr>
              <w:t>熟料36万t/a</w:t>
            </w:r>
          </w:p>
        </w:tc>
        <w:tc>
          <w:tcPr>
            <w:tcW w:w="1444" w:type="pct"/>
            <w:tcBorders>
              <w:tl2br w:val="nil"/>
              <w:tr2bl w:val="nil"/>
            </w:tcBorders>
            <w:vAlign w:val="center"/>
          </w:tcPr>
          <w:p w14:paraId="409A75F1">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粉煤灰9.9万t/a</w:t>
            </w:r>
          </w:p>
          <w:p w14:paraId="1E636AD0">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石膏4.2万t/a</w:t>
            </w:r>
          </w:p>
          <w:p w14:paraId="18EB67B8">
            <w:pPr>
              <w:spacing w:line="240" w:lineRule="auto"/>
              <w:ind w:firstLine="0" w:firstLineChars="0"/>
              <w:jc w:val="center"/>
              <w:rPr>
                <w:rFonts w:hint="default" w:ascii="Times New Roman" w:hAnsi="Times New Roman" w:eastAsia="宋体" w:cs="Times New Roman"/>
                <w:color w:val="FF0000"/>
                <w:sz w:val="21"/>
                <w:szCs w:val="21"/>
                <w:highlight w:val="none"/>
                <w:vertAlign w:val="baseline"/>
                <w:lang w:val="en-US" w:eastAsia="zh-CN"/>
              </w:rPr>
            </w:pPr>
            <w:r>
              <w:rPr>
                <w:rFonts w:hint="default" w:ascii="Times New Roman" w:hAnsi="Times New Roman" w:eastAsia="宋体" w:cs="Times New Roman"/>
                <w:color w:val="FF0000"/>
                <w:sz w:val="21"/>
                <w:szCs w:val="21"/>
                <w:highlight w:val="none"/>
                <w:vertAlign w:val="baseline"/>
                <w:lang w:val="en-US" w:eastAsia="zh-CN"/>
              </w:rPr>
              <w:t>炉渣6.2万t/a</w:t>
            </w:r>
          </w:p>
          <w:p w14:paraId="48A5367A">
            <w:pPr>
              <w:spacing w:line="240" w:lineRule="auto"/>
              <w:ind w:firstLine="0" w:firstLineChars="0"/>
              <w:jc w:val="center"/>
              <w:rPr>
                <w:rFonts w:hint="default" w:ascii="Times New Roman" w:hAnsi="Times New Roman" w:eastAsia="宋体" w:cs="Times New Roman"/>
                <w:color w:val="FF0000"/>
                <w:sz w:val="21"/>
                <w:szCs w:val="21"/>
                <w:highlight w:val="none"/>
                <w:vertAlign w:val="baseline"/>
              </w:rPr>
            </w:pPr>
            <w:r>
              <w:rPr>
                <w:rFonts w:hint="default" w:ascii="Times New Roman" w:hAnsi="Times New Roman" w:eastAsia="宋体" w:cs="Times New Roman"/>
                <w:color w:val="FF0000"/>
                <w:sz w:val="21"/>
                <w:szCs w:val="21"/>
                <w:highlight w:val="none"/>
                <w:vertAlign w:val="baseline"/>
                <w:lang w:val="en-US" w:eastAsia="zh-CN"/>
              </w:rPr>
              <w:t>熟料79.万t/a</w:t>
            </w:r>
          </w:p>
        </w:tc>
      </w:tr>
    </w:tbl>
    <w:p w14:paraId="650BD29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val="en-US" w:eastAsia="zh-CN"/>
        </w:rPr>
        <w:t>本项目锅炉除灰渣系统产生的锅炉灰渣在厂区的灰库、渣库分别暂存后综合利用。</w:t>
      </w:r>
    </w:p>
    <w:p w14:paraId="04DFAA2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eastAsia="宋体" w:cs="Times New Roman"/>
          <w:color w:val="FF0000"/>
          <w:sz w:val="24"/>
          <w:szCs w:val="24"/>
          <w:highlight w:val="none"/>
          <w:lang w:val="en-US" w:eastAsia="zh-CN"/>
        </w:rPr>
      </w:pPr>
      <w:r>
        <w:rPr>
          <w:rFonts w:hint="default" w:ascii="Times New Roman" w:hAnsi="Times New Roman" w:eastAsia="宋体" w:cs="Times New Roman"/>
          <w:color w:val="FF0000"/>
          <w:sz w:val="24"/>
          <w:szCs w:val="24"/>
          <w:highlight w:val="none"/>
          <w:lang w:val="en-US" w:eastAsia="zh-CN"/>
        </w:rPr>
        <w:t>本项目产生飞灰1227.19t/a，炉渣4908.76t/a。本项目产生的飞灰、炉渣量小于</w:t>
      </w:r>
      <w:r>
        <w:rPr>
          <w:rFonts w:hint="eastAsia" w:ascii="Times New Roman" w:hAnsi="Times New Roman" w:eastAsia="宋体" w:cs="Times New Roman"/>
          <w:color w:val="FF0000"/>
          <w:sz w:val="24"/>
          <w:szCs w:val="24"/>
          <w:highlight w:val="none"/>
          <w:lang w:val="en-US" w:eastAsia="zh-CN"/>
        </w:rPr>
        <w:t>表7.2-1中三家公司的</w:t>
      </w:r>
      <w:r>
        <w:rPr>
          <w:rFonts w:hint="default" w:ascii="Times New Roman" w:hAnsi="Times New Roman" w:eastAsia="宋体" w:cs="Times New Roman"/>
          <w:color w:val="FF0000"/>
          <w:sz w:val="24"/>
          <w:szCs w:val="24"/>
          <w:highlight w:val="none"/>
          <w:lang w:val="en-US" w:eastAsia="zh-CN"/>
        </w:rPr>
        <w:t>原辅材料使用量</w:t>
      </w:r>
      <w:r>
        <w:rPr>
          <w:rFonts w:hint="eastAsia" w:ascii="Times New Roman" w:hAnsi="Times New Roman" w:eastAsia="宋体" w:cs="Times New Roman"/>
          <w:color w:val="FF0000"/>
          <w:sz w:val="24"/>
          <w:szCs w:val="24"/>
          <w:highlight w:val="none"/>
          <w:lang w:val="en-US" w:eastAsia="zh-CN"/>
        </w:rPr>
        <w:t>。本项目建设单位已与佳木斯北方奥特建材有限公司、佳木斯市丰奇水泥有限公司、佳木斯北方水泥有限公司东风分公司签订灰渣综合利用处置协议。</w:t>
      </w:r>
      <w:r>
        <w:rPr>
          <w:rFonts w:hint="default" w:ascii="Times New Roman" w:hAnsi="Times New Roman" w:eastAsia="宋体" w:cs="Times New Roman"/>
          <w:color w:val="FF0000"/>
          <w:sz w:val="24"/>
          <w:szCs w:val="24"/>
          <w:highlight w:val="none"/>
          <w:lang w:val="en-US" w:eastAsia="zh-CN"/>
        </w:rPr>
        <w:t>本项目产生的飞灰、炉渣</w:t>
      </w:r>
      <w:r>
        <w:rPr>
          <w:rFonts w:hint="eastAsia" w:ascii="Times New Roman" w:hAnsi="Times New Roman" w:eastAsia="宋体" w:cs="Times New Roman"/>
          <w:color w:val="FF0000"/>
          <w:sz w:val="24"/>
          <w:szCs w:val="24"/>
          <w:highlight w:val="none"/>
          <w:lang w:val="en-US" w:eastAsia="zh-CN"/>
        </w:rPr>
        <w:t>可根据企业运行情况外售给上述三家企业。因此本项目产生的飞灰、炉渣</w:t>
      </w:r>
      <w:r>
        <w:rPr>
          <w:rFonts w:hint="default" w:ascii="Times New Roman" w:hAnsi="Times New Roman" w:eastAsia="宋体" w:cs="Times New Roman"/>
          <w:color w:val="FF0000"/>
          <w:sz w:val="24"/>
          <w:szCs w:val="24"/>
          <w:highlight w:val="none"/>
          <w:lang w:val="en-US" w:eastAsia="zh-CN"/>
        </w:rPr>
        <w:t>外售</w:t>
      </w:r>
      <w:r>
        <w:rPr>
          <w:rFonts w:hint="eastAsia" w:ascii="Times New Roman" w:hAnsi="Times New Roman" w:eastAsia="宋体" w:cs="Times New Roman"/>
          <w:color w:val="FF0000"/>
          <w:sz w:val="24"/>
          <w:szCs w:val="24"/>
          <w:highlight w:val="none"/>
          <w:lang w:val="en-US" w:eastAsia="zh-CN"/>
        </w:rPr>
        <w:t>综合利用</w:t>
      </w:r>
      <w:r>
        <w:rPr>
          <w:rFonts w:hint="default" w:ascii="Times New Roman" w:hAnsi="Times New Roman" w:eastAsia="宋体" w:cs="Times New Roman"/>
          <w:color w:val="FF0000"/>
          <w:sz w:val="24"/>
          <w:szCs w:val="24"/>
          <w:highlight w:val="none"/>
          <w:lang w:val="en-US" w:eastAsia="zh-CN"/>
        </w:rPr>
        <w:t>可行。</w:t>
      </w:r>
    </w:p>
    <w:p w14:paraId="6870BDE9">
      <w:pPr>
        <w:pStyle w:val="23"/>
        <w:keepNext w:val="0"/>
        <w:keepLines w:val="0"/>
        <w:pageBreakBefore w:val="0"/>
        <w:widowControl w:val="0"/>
        <w:kinsoku/>
        <w:wordWrap/>
        <w:overflowPunct/>
        <w:topLinePunct w:val="0"/>
        <w:autoSpaceDE/>
        <w:autoSpaceDN/>
        <w:bidi w:val="0"/>
        <w:adjustRightInd/>
        <w:snapToGrid/>
        <w:spacing w:after="0" w:line="480" w:lineRule="exact"/>
        <w:ind w:left="0" w:leftChars="0" w:firstLine="480" w:firstLineChars="200"/>
        <w:jc w:val="both"/>
        <w:textAlignment w:val="auto"/>
        <w:outlineLvl w:val="9"/>
        <w:rPr>
          <w:rFonts w:hint="default" w:ascii="Times New Roman" w:hAnsi="Times New Roman" w:eastAsia="宋体" w:cs="Times New Roman"/>
          <w:color w:val="auto"/>
          <w:spacing w:val="0"/>
          <w:kern w:val="2"/>
          <w:sz w:val="24"/>
          <w:szCs w:val="24"/>
          <w:highlight w:val="none"/>
          <w:lang w:val="en-US" w:eastAsia="zh-CN" w:bidi="ar-SA"/>
        </w:rPr>
      </w:pPr>
      <w:r>
        <w:rPr>
          <w:rFonts w:hint="default" w:ascii="Times New Roman" w:hAnsi="Times New Roman" w:eastAsia="宋体" w:cs="Times New Roman"/>
          <w:b w:val="0"/>
          <w:bCs w:val="0"/>
          <w:color w:val="auto"/>
          <w:sz w:val="24"/>
          <w:szCs w:val="24"/>
          <w:highlight w:val="none"/>
        </w:rPr>
        <w:t>②</w:t>
      </w:r>
      <w:r>
        <w:rPr>
          <w:rFonts w:hint="default" w:ascii="Times New Roman" w:hAnsi="Times New Roman" w:eastAsia="宋体" w:cs="Times New Roman"/>
          <w:color w:val="auto"/>
          <w:spacing w:val="0"/>
          <w:kern w:val="2"/>
          <w:sz w:val="24"/>
          <w:szCs w:val="24"/>
          <w:highlight w:val="none"/>
          <w:lang w:val="en-US" w:eastAsia="zh-CN" w:bidi="ar-SA"/>
        </w:rPr>
        <w:t>废布袋</w:t>
      </w:r>
    </w:p>
    <w:p w14:paraId="6CA742D3">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根据厂家提供的资料可知，锅炉、</w:t>
      </w:r>
      <w:r>
        <w:rPr>
          <w:rFonts w:hint="eastAsia" w:ascii="Times New Roman" w:hAnsi="Times New Roman" w:eastAsia="宋体" w:cs="Times New Roman"/>
          <w:color w:val="auto"/>
          <w:spacing w:val="0"/>
          <w:sz w:val="24"/>
          <w:szCs w:val="24"/>
          <w:highlight w:val="none"/>
          <w:lang w:val="en-US" w:eastAsia="zh-CN"/>
        </w:rPr>
        <w:t>灰库</w:t>
      </w:r>
      <w:r>
        <w:rPr>
          <w:rFonts w:hint="default" w:ascii="Times New Roman" w:hAnsi="Times New Roman" w:eastAsia="宋体" w:cs="Times New Roman"/>
          <w:color w:val="auto"/>
          <w:spacing w:val="0"/>
          <w:sz w:val="24"/>
          <w:szCs w:val="24"/>
          <w:highlight w:val="none"/>
          <w:lang w:val="en-US" w:eastAsia="zh-CN"/>
        </w:rPr>
        <w:t>、</w:t>
      </w:r>
      <w:r>
        <w:rPr>
          <w:rFonts w:hint="eastAsia" w:ascii="Times New Roman" w:hAnsi="Times New Roman" w:eastAsia="宋体" w:cs="Times New Roman"/>
          <w:color w:val="auto"/>
          <w:spacing w:val="0"/>
          <w:sz w:val="24"/>
          <w:szCs w:val="24"/>
          <w:highlight w:val="none"/>
          <w:lang w:val="en-US" w:eastAsia="zh-CN"/>
        </w:rPr>
        <w:t>生石灰</w:t>
      </w:r>
      <w:r>
        <w:rPr>
          <w:rFonts w:hint="default" w:ascii="Times New Roman" w:hAnsi="Times New Roman" w:eastAsia="宋体" w:cs="Times New Roman"/>
          <w:color w:val="auto"/>
          <w:spacing w:val="0"/>
          <w:sz w:val="24"/>
          <w:szCs w:val="24"/>
          <w:highlight w:val="none"/>
          <w:lang w:val="en-US" w:eastAsia="zh-CN"/>
        </w:rPr>
        <w:t>粉仓、碎煤机布袋除尘器滤袋2年更换一次，废滤袋产生量为2.8t/2a，由厂家回收。</w:t>
      </w:r>
    </w:p>
    <w:p w14:paraId="0D3C9A8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z w:val="24"/>
          <w:szCs w:val="24"/>
          <w:highlight w:val="none"/>
          <w:lang w:eastAsia="zh-CN"/>
        </w:rPr>
        <w:t>③</w:t>
      </w:r>
      <w:r>
        <w:rPr>
          <w:rFonts w:hint="default" w:ascii="Times New Roman" w:hAnsi="Times New Roman" w:eastAsia="宋体" w:cs="Times New Roman"/>
          <w:color w:val="auto"/>
          <w:spacing w:val="0"/>
          <w:sz w:val="24"/>
          <w:szCs w:val="24"/>
          <w:highlight w:val="none"/>
          <w:lang w:val="en-US" w:eastAsia="zh-CN"/>
        </w:rPr>
        <w:t>布袋除尘器收尘</w:t>
      </w:r>
    </w:p>
    <w:p w14:paraId="4E82104A">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根据物料平衡可知，</w:t>
      </w:r>
      <w:r>
        <w:rPr>
          <w:rFonts w:hint="eastAsia" w:ascii="Times New Roman" w:hAnsi="Times New Roman" w:eastAsia="宋体" w:cs="Times New Roman"/>
          <w:color w:val="auto"/>
          <w:spacing w:val="0"/>
          <w:sz w:val="24"/>
          <w:szCs w:val="24"/>
          <w:highlight w:val="none"/>
          <w:lang w:val="en-US" w:eastAsia="zh-CN"/>
        </w:rPr>
        <w:t>灰库</w:t>
      </w:r>
      <w:r>
        <w:rPr>
          <w:rFonts w:hint="default" w:ascii="Times New Roman" w:hAnsi="Times New Roman" w:eastAsia="宋体" w:cs="Times New Roman"/>
          <w:color w:val="auto"/>
          <w:spacing w:val="0"/>
          <w:sz w:val="24"/>
          <w:szCs w:val="24"/>
          <w:highlight w:val="none"/>
          <w:lang w:val="en-US" w:eastAsia="zh-CN"/>
        </w:rPr>
        <w:t>、</w:t>
      </w:r>
      <w:r>
        <w:rPr>
          <w:rFonts w:hint="eastAsia" w:ascii="Times New Roman" w:hAnsi="Times New Roman" w:eastAsia="宋体" w:cs="Times New Roman"/>
          <w:color w:val="auto"/>
          <w:spacing w:val="0"/>
          <w:sz w:val="24"/>
          <w:szCs w:val="24"/>
          <w:highlight w:val="none"/>
          <w:lang w:val="en-US" w:eastAsia="zh-CN"/>
        </w:rPr>
        <w:t>生石灰</w:t>
      </w:r>
      <w:r>
        <w:rPr>
          <w:rFonts w:hint="default" w:ascii="Times New Roman" w:hAnsi="Times New Roman" w:eastAsia="宋体" w:cs="Times New Roman"/>
          <w:color w:val="auto"/>
          <w:spacing w:val="0"/>
          <w:sz w:val="24"/>
          <w:szCs w:val="24"/>
          <w:highlight w:val="none"/>
          <w:lang w:val="en-US" w:eastAsia="zh-CN"/>
        </w:rPr>
        <w:t>粉仓、碎煤机布袋除尘器收尘产生量分别为0.45t/a、0.11t/a、3.1t/a，</w:t>
      </w:r>
      <w:r>
        <w:rPr>
          <w:rFonts w:hint="eastAsia" w:ascii="Times New Roman" w:hAnsi="Times New Roman" w:eastAsia="宋体" w:cs="Times New Roman"/>
          <w:color w:val="auto"/>
          <w:spacing w:val="0"/>
          <w:sz w:val="24"/>
          <w:szCs w:val="24"/>
          <w:highlight w:val="none"/>
          <w:lang w:val="en-US" w:eastAsia="zh-CN"/>
        </w:rPr>
        <w:t>灰库</w:t>
      </w:r>
      <w:r>
        <w:rPr>
          <w:rFonts w:hint="default" w:ascii="Times New Roman" w:hAnsi="Times New Roman" w:eastAsia="宋体" w:cs="Times New Roman"/>
          <w:color w:val="auto"/>
          <w:spacing w:val="0"/>
          <w:sz w:val="24"/>
          <w:szCs w:val="24"/>
          <w:highlight w:val="none"/>
          <w:lang w:val="en-US" w:eastAsia="zh-CN"/>
        </w:rPr>
        <w:t>除尘器收尘外售佳木斯北方奥特建材有限公司综合利用，</w:t>
      </w:r>
      <w:r>
        <w:rPr>
          <w:rFonts w:hint="eastAsia" w:ascii="Times New Roman" w:hAnsi="Times New Roman" w:eastAsia="宋体" w:cs="Times New Roman"/>
          <w:color w:val="auto"/>
          <w:spacing w:val="0"/>
          <w:sz w:val="24"/>
          <w:szCs w:val="24"/>
          <w:highlight w:val="none"/>
          <w:lang w:val="en-US" w:eastAsia="zh-CN"/>
        </w:rPr>
        <w:t>生石灰</w:t>
      </w:r>
      <w:r>
        <w:rPr>
          <w:rFonts w:hint="default" w:ascii="Times New Roman" w:hAnsi="Times New Roman" w:eastAsia="宋体" w:cs="Times New Roman"/>
          <w:color w:val="auto"/>
          <w:spacing w:val="0"/>
          <w:sz w:val="24"/>
          <w:szCs w:val="24"/>
          <w:highlight w:val="none"/>
          <w:lang w:val="en-US" w:eastAsia="zh-CN"/>
        </w:rPr>
        <w:t>粉仓除尘器收尘回用于脱硫工序，碎煤机除尘器收尘作为燃料入炉燃烧。</w:t>
      </w:r>
    </w:p>
    <w:p w14:paraId="5BB44972">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④沉渣</w:t>
      </w:r>
    </w:p>
    <w:p w14:paraId="7470F432">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地下水池、初期雨水收集池沉渣定期清掏作为燃料入炉燃烧。产生量为0.1t/a，作为燃料入炉燃烧。</w:t>
      </w:r>
    </w:p>
    <w:p w14:paraId="566DAD9F">
      <w:pPr>
        <w:adjustRightInd w:val="0"/>
        <w:snapToGrid w:val="0"/>
        <w:spacing w:line="480" w:lineRule="exact"/>
        <w:ind w:firstLine="468" w:firstLineChars="195"/>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（2）危险废物</w:t>
      </w:r>
    </w:p>
    <w:p w14:paraId="3D5C6DF8">
      <w:pPr>
        <w:adjustRightInd w:val="0"/>
        <w:snapToGrid w:val="0"/>
        <w:spacing w:line="480" w:lineRule="exact"/>
        <w:ind w:firstLine="480" w:firstLineChars="200"/>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本项目机械维修及拆解过程中产生的废矿物油属于危险废物（HW08废矿物油与含矿物油废物中非特定行业900-</w:t>
      </w:r>
      <w:r>
        <w:rPr>
          <w:rFonts w:hint="eastAsia" w:ascii="Times New Roman" w:hAnsi="Times New Roman" w:eastAsia="宋体" w:cs="Times New Roman"/>
          <w:color w:val="auto"/>
          <w:sz w:val="24"/>
          <w:szCs w:val="24"/>
          <w:highlight w:val="none"/>
          <w:lang w:val="en-US" w:eastAsia="zh-CN"/>
        </w:rPr>
        <w:t>214</w:t>
      </w:r>
      <w:r>
        <w:rPr>
          <w:rFonts w:hint="default" w:ascii="Times New Roman" w:hAnsi="Times New Roman" w:eastAsia="宋体" w:cs="Times New Roman"/>
          <w:color w:val="auto"/>
          <w:sz w:val="24"/>
          <w:szCs w:val="24"/>
          <w:highlight w:val="none"/>
          <w:lang w:val="en-US" w:eastAsia="zh-CN"/>
        </w:rPr>
        <w:t>-08</w:t>
      </w:r>
      <w:r>
        <w:rPr>
          <w:rFonts w:hint="default" w:ascii="Times New Roman" w:hAnsi="Times New Roman" w:eastAsia="宋体" w:cs="Times New Roman"/>
          <w:color w:val="auto"/>
          <w:kern w:val="2"/>
          <w:sz w:val="24"/>
          <w:szCs w:val="24"/>
          <w:highlight w:val="none"/>
          <w:lang w:val="en-US" w:eastAsia="zh-CN" w:bidi="ar-SA"/>
        </w:rPr>
        <w:t>车辆、轮船及其它机械维修过程中产生的废发动机油、制动器油、自动变速器油、齿轮油等废润滑油</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，产生后暂存于危废贮存库，定期交由有资质单位处置。</w:t>
      </w:r>
    </w:p>
    <w:p w14:paraId="5FBDC374">
      <w:pPr>
        <w:adjustRightInd w:val="0"/>
        <w:snapToGrid w:val="0"/>
        <w:spacing w:line="480" w:lineRule="exact"/>
        <w:ind w:firstLine="480" w:firstLineChars="200"/>
        <w:rPr>
          <w:rFonts w:hint="default" w:ascii="Times New Roman" w:hAnsi="Times New Roman" w:eastAsia="宋体" w:cs="Times New Roman"/>
          <w:color w:val="FF0000"/>
          <w:sz w:val="24"/>
          <w:szCs w:val="24"/>
          <w:highlight w:val="none"/>
          <w:lang w:val="en-US" w:eastAsia="zh-CN"/>
        </w:rPr>
      </w:pPr>
      <w:r>
        <w:rPr>
          <w:rFonts w:hint="eastAsia" w:ascii="Times New Roman" w:hAnsi="Times New Roman" w:eastAsia="宋体" w:cs="Times New Roman"/>
          <w:color w:val="FF0000"/>
          <w:sz w:val="24"/>
          <w:szCs w:val="24"/>
          <w:highlight w:val="none"/>
          <w:lang w:val="en-US" w:eastAsia="zh-CN"/>
        </w:rPr>
        <w:t>本项目建设已与佳木斯大江环境治理有限公司签订了处置协议。佳木斯大江环境治理有限公司已取得危险废物经营许可证，许可证编号为2308002201，核准经营类别为HW08 900-214-08。</w:t>
      </w:r>
    </w:p>
    <w:p w14:paraId="765B72F2">
      <w:pPr>
        <w:keepNext w:val="0"/>
        <w:keepLines w:val="0"/>
        <w:pageBreakBefore w:val="0"/>
        <w:widowControl w:val="0"/>
        <w:kinsoku/>
        <w:wordWrap/>
        <w:overflowPunct/>
        <w:topLinePunct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（3）生活垃圾</w:t>
      </w:r>
    </w:p>
    <w:p w14:paraId="10892F9A">
      <w:pPr>
        <w:adjustRightInd w:val="0"/>
        <w:snapToGrid w:val="0"/>
        <w:spacing w:line="480" w:lineRule="exact"/>
        <w:ind w:firstLine="480" w:firstLineChars="200"/>
        <w:rPr>
          <w:rFonts w:hint="default" w:ascii="Times New Roman" w:hAnsi="Times New Roman" w:eastAsia="宋体" w:cs="Times New Roman"/>
          <w:color w:val="auto"/>
          <w:spacing w:val="16"/>
          <w:sz w:val="24"/>
          <w:szCs w:val="24"/>
          <w:highlight w:val="none"/>
          <w:lang w:val="en-US" w:eastAsia="zh-CN"/>
        </w:rPr>
      </w:pPr>
      <w:r>
        <w:rPr>
          <w:rFonts w:hint="default" w:ascii="Times New Roman" w:hAnsi="Times New Roman" w:eastAsia="宋体" w:cs="Times New Roman"/>
          <w:color w:val="auto"/>
          <w:sz w:val="24"/>
          <w:szCs w:val="24"/>
          <w:highlight w:val="none"/>
        </w:rPr>
        <w:t>本项目</w:t>
      </w:r>
      <w:r>
        <w:rPr>
          <w:rFonts w:hint="default" w:ascii="Times New Roman" w:hAnsi="Times New Roman" w:eastAsia="宋体" w:cs="Times New Roman"/>
          <w:color w:val="auto"/>
          <w:sz w:val="24"/>
          <w:szCs w:val="24"/>
          <w:highlight w:val="none"/>
          <w:lang w:val="en-US" w:eastAsia="zh-CN"/>
        </w:rPr>
        <w:t>不新增工作人员，所需工作人员内部调配，不新增生活垃圾。厂区原有</w:t>
      </w:r>
      <w:r>
        <w:rPr>
          <w:rFonts w:hint="default" w:ascii="Times New Roman" w:hAnsi="Times New Roman" w:eastAsia="宋体" w:cs="Times New Roman"/>
          <w:color w:val="auto"/>
          <w:sz w:val="24"/>
          <w:szCs w:val="24"/>
          <w:highlight w:val="none"/>
          <w:lang w:eastAsia="zh-CN"/>
        </w:rPr>
        <w:t>生活垃圾由市政环卫部门统一处理。</w:t>
      </w:r>
    </w:p>
    <w:p w14:paraId="4D45F0C4">
      <w:pPr>
        <w:pStyle w:val="47"/>
        <w:keepNext w:val="0"/>
        <w:keepLines w:val="0"/>
        <w:pageBreakBefore w:val="0"/>
        <w:widowControl w:val="0"/>
        <w:kinsoku/>
        <w:wordWrap/>
        <w:overflowPunct/>
        <w:topLinePunct w:val="0"/>
        <w:bidi w:val="0"/>
        <w:adjustRightInd w:val="0"/>
        <w:spacing w:line="480" w:lineRule="exact"/>
        <w:ind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综上所述，在正常情况下，本项目运营期固体废物可实现全部合理处置。</w:t>
      </w:r>
    </w:p>
    <w:p w14:paraId="5BAC7BA1">
      <w:pPr>
        <w:pStyle w:val="6"/>
        <w:bidi w:val="0"/>
        <w:rPr>
          <w:rFonts w:hint="default" w:ascii="Times New Roman" w:hAnsi="Times New Roman" w:eastAsia="宋体" w:cs="Times New Roman"/>
          <w:color w:val="auto"/>
          <w:highlight w:val="none"/>
        </w:rPr>
      </w:pPr>
      <w:bookmarkStart w:id="505" w:name="_Toc1698"/>
      <w:bookmarkStart w:id="506" w:name="_Toc18251"/>
      <w:bookmarkStart w:id="507" w:name="_Toc29637"/>
      <w:r>
        <w:rPr>
          <w:rFonts w:hint="default" w:ascii="Times New Roman" w:hAnsi="Times New Roman" w:eastAsia="宋体" w:cs="Times New Roman"/>
          <w:color w:val="auto"/>
          <w:highlight w:val="none"/>
        </w:rPr>
        <w:t>7.2.</w:t>
      </w:r>
      <w:r>
        <w:rPr>
          <w:rFonts w:hint="default"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rPr>
        <w:t xml:space="preserve"> 燃料及灰渣运输环节污染防治措施</w:t>
      </w:r>
      <w:bookmarkEnd w:id="505"/>
      <w:bookmarkEnd w:id="506"/>
      <w:bookmarkEnd w:id="507"/>
    </w:p>
    <w:p w14:paraId="7571B8C3">
      <w:pPr>
        <w:pStyle w:val="93"/>
        <w:keepNext w:val="0"/>
        <w:keepLines w:val="0"/>
        <w:pageBreakBefore w:val="0"/>
        <w:widowControl w:val="0"/>
        <w:kinsoku/>
        <w:wordWrap/>
        <w:overflowPunct/>
        <w:topLinePunct w:val="0"/>
        <w:autoSpaceDE/>
        <w:autoSpaceDN/>
        <w:bidi w:val="0"/>
        <w:ind w:firstLine="480"/>
        <w:textAlignment w:val="auto"/>
        <w:rPr>
          <w:rFonts w:hint="default" w:ascii="Times New Roman" w:hAnsi="Times New Roman" w:eastAsia="宋体" w:cs="Times New Roman"/>
          <w:color w:val="auto"/>
          <w:spacing w:val="0"/>
          <w:szCs w:val="24"/>
          <w:highlight w:val="none"/>
        </w:rPr>
      </w:pPr>
      <w:r>
        <w:rPr>
          <w:rFonts w:hint="default" w:ascii="Times New Roman" w:hAnsi="Times New Roman" w:eastAsia="宋体" w:cs="Times New Roman"/>
          <w:color w:val="auto"/>
          <w:spacing w:val="0"/>
          <w:szCs w:val="24"/>
          <w:highlight w:val="none"/>
        </w:rPr>
        <w:t>（1）扬尘污染防治措施</w:t>
      </w:r>
    </w:p>
    <w:p w14:paraId="42C7CCE3">
      <w:pPr>
        <w:pStyle w:val="93"/>
        <w:keepNext w:val="0"/>
        <w:keepLines w:val="0"/>
        <w:pageBreakBefore w:val="0"/>
        <w:widowControl w:val="0"/>
        <w:kinsoku/>
        <w:wordWrap/>
        <w:overflowPunct/>
        <w:topLinePunct w:val="0"/>
        <w:autoSpaceDE/>
        <w:autoSpaceDN/>
        <w:bidi w:val="0"/>
        <w:ind w:firstLine="48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0"/>
          <w:szCs w:val="24"/>
          <w:highlight w:val="none"/>
        </w:rPr>
        <w:t>本项目</w:t>
      </w:r>
      <w:r>
        <w:rPr>
          <w:rFonts w:hint="eastAsia" w:eastAsia="宋体" w:cs="Times New Roman"/>
          <w:color w:val="auto"/>
          <w:spacing w:val="0"/>
          <w:szCs w:val="24"/>
          <w:highlight w:val="none"/>
          <w:lang w:val="en-US" w:eastAsia="zh-CN"/>
        </w:rPr>
        <w:t>燃料及</w:t>
      </w:r>
      <w:r>
        <w:rPr>
          <w:rFonts w:hint="default" w:ascii="Times New Roman" w:hAnsi="Times New Roman" w:eastAsia="宋体" w:cs="Times New Roman"/>
          <w:color w:val="auto"/>
          <w:spacing w:val="0"/>
          <w:szCs w:val="24"/>
          <w:highlight w:val="none"/>
        </w:rPr>
        <w:t>灰渣运输车辆采用密闭措施，避免运输过</w:t>
      </w:r>
      <w:r>
        <w:rPr>
          <w:rFonts w:hint="eastAsia" w:eastAsia="宋体" w:cs="Times New Roman"/>
          <w:color w:val="auto"/>
          <w:spacing w:val="0"/>
          <w:szCs w:val="24"/>
          <w:highlight w:val="none"/>
          <w:lang w:eastAsia="zh-CN"/>
        </w:rPr>
        <w:t>程中</w:t>
      </w:r>
      <w:r>
        <w:rPr>
          <w:rFonts w:hint="default" w:ascii="Times New Roman" w:hAnsi="Times New Roman" w:eastAsia="宋体" w:cs="Times New Roman"/>
          <w:color w:val="auto"/>
          <w:spacing w:val="0"/>
          <w:szCs w:val="24"/>
          <w:highlight w:val="none"/>
        </w:rPr>
        <w:t>产生物料遗撒，并且要求驾驶员在运输过程中做到文明驾驶，途经村庄时要减速慢行，以减少扬尘的产生量。同时在进厂运输道路上设专人定期清扫，配置洒水车洒水降尘，将物料运输过程中产生的扬</w:t>
      </w:r>
      <w:r>
        <w:rPr>
          <w:rFonts w:hint="default" w:ascii="Times New Roman" w:hAnsi="Times New Roman" w:eastAsia="宋体" w:cs="Times New Roman"/>
          <w:color w:val="auto"/>
          <w:spacing w:val="0"/>
          <w:kern w:val="2"/>
          <w:sz w:val="24"/>
          <w:szCs w:val="24"/>
          <w:highlight w:val="none"/>
          <w:lang w:val="en-US" w:eastAsia="zh-CN" w:bidi="ar-SA"/>
        </w:rPr>
        <w:t>尘降低到最低程度</w:t>
      </w:r>
      <w:bookmarkStart w:id="508" w:name="_Toc376875158"/>
      <w:r>
        <w:rPr>
          <w:rFonts w:hint="default" w:ascii="Times New Roman" w:hAnsi="Times New Roman" w:eastAsia="宋体" w:cs="Times New Roman"/>
          <w:color w:val="auto"/>
          <w:spacing w:val="0"/>
          <w:kern w:val="2"/>
          <w:sz w:val="24"/>
          <w:szCs w:val="24"/>
          <w:highlight w:val="none"/>
          <w:lang w:val="en-US" w:eastAsia="zh-CN" w:bidi="ar-SA"/>
        </w:rPr>
        <w:t>。</w:t>
      </w:r>
    </w:p>
    <w:p w14:paraId="5E442B79">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（2）交通运输噪声</w:t>
      </w:r>
      <w:bookmarkEnd w:id="508"/>
      <w:r>
        <w:rPr>
          <w:rFonts w:hint="default" w:ascii="Times New Roman" w:hAnsi="Times New Roman" w:eastAsia="宋体" w:cs="Times New Roman"/>
          <w:color w:val="auto"/>
          <w:sz w:val="24"/>
          <w:szCs w:val="24"/>
          <w:highlight w:val="none"/>
        </w:rPr>
        <w:t>污染防治措施</w:t>
      </w:r>
    </w:p>
    <w:p w14:paraId="4969633B">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szCs w:val="24"/>
          <w:highlight w:val="none"/>
        </w:rPr>
        <w:t>本项目</w:t>
      </w:r>
      <w:r>
        <w:rPr>
          <w:rFonts w:hint="eastAsia" w:ascii="Times New Roman" w:hAnsi="Times New Roman" w:eastAsia="宋体" w:cs="Times New Roman"/>
          <w:color w:val="auto"/>
          <w:sz w:val="24"/>
          <w:szCs w:val="24"/>
          <w:highlight w:val="none"/>
          <w:lang w:val="en-US" w:eastAsia="zh-CN"/>
        </w:rPr>
        <w:t>燃料及</w:t>
      </w:r>
      <w:r>
        <w:rPr>
          <w:rFonts w:hint="default" w:ascii="Times New Roman" w:hAnsi="Times New Roman" w:eastAsia="宋体" w:cs="Times New Roman"/>
          <w:color w:val="auto"/>
          <w:sz w:val="24"/>
          <w:szCs w:val="24"/>
          <w:highlight w:val="none"/>
        </w:rPr>
        <w:t>灰渣运输过程中对道路两侧居民将产生噪声影响，为减轻交通噪声对两侧居民的影响，汽车运输过程中，行驶到有村庄路段时，距村庄200m时减速慢行、禁鸣，行车速度控制在20km/h以内，以减轻交通噪声对居民的影响，待驶出居民区200m以后再恢复车速行驶，夜间禁止运输，运输时间宜在早8</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00～晚10</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00之间。</w:t>
      </w:r>
    </w:p>
    <w:p w14:paraId="5A3AC0BF">
      <w:pPr>
        <w:pStyle w:val="6"/>
        <w:bidi w:val="0"/>
        <w:rPr>
          <w:rFonts w:hint="default" w:ascii="Times New Roman" w:hAnsi="Times New Roman" w:eastAsia="宋体" w:cs="Times New Roman"/>
          <w:color w:val="auto"/>
          <w:highlight w:val="none"/>
        </w:rPr>
      </w:pPr>
      <w:bookmarkStart w:id="509" w:name="_Toc27319"/>
      <w:bookmarkStart w:id="510" w:name="_Toc2559"/>
      <w:bookmarkStart w:id="511" w:name="_Toc24326"/>
      <w:r>
        <w:rPr>
          <w:rFonts w:hint="default" w:ascii="Times New Roman" w:hAnsi="Times New Roman" w:eastAsia="宋体" w:cs="Times New Roman"/>
          <w:color w:val="auto"/>
          <w:highlight w:val="none"/>
        </w:rPr>
        <w:t>7.2.</w:t>
      </w:r>
      <w:r>
        <w:rPr>
          <w:rFonts w:hint="default" w:ascii="Times New Roman" w:hAnsi="Times New Roman" w:eastAsia="宋体" w:cs="Times New Roman"/>
          <w:color w:val="auto"/>
          <w:highlight w:val="none"/>
          <w:lang w:val="en-US" w:eastAsia="zh-CN"/>
        </w:rPr>
        <w:t>6</w:t>
      </w:r>
      <w:r>
        <w:rPr>
          <w:rFonts w:hint="default" w:ascii="Times New Roman" w:hAnsi="Times New Roman" w:eastAsia="宋体" w:cs="Times New Roman"/>
          <w:color w:val="auto"/>
          <w:highlight w:val="none"/>
        </w:rPr>
        <w:t xml:space="preserve"> </w:t>
      </w:r>
      <w:r>
        <w:rPr>
          <w:rFonts w:hint="default" w:ascii="Times New Roman" w:hAnsi="Times New Roman" w:eastAsia="宋体" w:cs="Times New Roman"/>
          <w:color w:val="auto"/>
          <w:highlight w:val="none"/>
          <w:lang w:eastAsia="zh-CN"/>
        </w:rPr>
        <w:t>环境风险</w:t>
      </w:r>
      <w:r>
        <w:rPr>
          <w:rFonts w:hint="default" w:ascii="Times New Roman" w:hAnsi="Times New Roman" w:eastAsia="宋体" w:cs="Times New Roman"/>
          <w:color w:val="auto"/>
          <w:highlight w:val="none"/>
        </w:rPr>
        <w:t>防治措施</w:t>
      </w:r>
      <w:bookmarkEnd w:id="509"/>
      <w:bookmarkEnd w:id="510"/>
      <w:bookmarkEnd w:id="511"/>
    </w:p>
    <w:p w14:paraId="6B8A355E">
      <w:pPr>
        <w:pStyle w:val="7"/>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7.2.6.1</w:t>
      </w:r>
      <w:r>
        <w:rPr>
          <w:rFonts w:hint="default" w:ascii="Times New Roman" w:hAnsi="Times New Roman" w:eastAsia="宋体" w:cs="Times New Roman"/>
          <w:color w:val="auto"/>
          <w:highlight w:val="none"/>
        </w:rPr>
        <w:t>总图布置和建筑安全防范措施</w:t>
      </w:r>
    </w:p>
    <w:p w14:paraId="2F0A3EC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项目各装置总图布置中在满足工艺要求前提下，应采用流程式布置，兼顾同类设备相对集中，装置及设备间距均应满足《建筑设计防火规范》（GB50016-2006）、</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《工业企业总平面设计规范》（GB50187-93）的要求。</w:t>
      </w:r>
    </w:p>
    <w:p w14:paraId="2990258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建筑物、构筑物的平、立面布置应有利于结构抗震，抗震设计应贯彻“小震不坏，中震可修，大震不倒”的原则。各类建、构筑物的抗震设防等级划分应执行《建筑抗震设计规范》（GB50011-2001）的相关规定。</w:t>
      </w:r>
    </w:p>
    <w:p w14:paraId="26B5ECB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施工建设中严格执行国家有关部门现行的设计规范、规定及标准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各生产装置之间严格按防火防爆间距布置，厂房及建筑物按规定等级设计，高温明火的设备尽可能远离散发可燃气体的场所。</w:t>
      </w:r>
    </w:p>
    <w:p w14:paraId="3699724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根据车间（工序）生产过程中火灾、爆炸危险等级及毒物危害程度分级进行分类、分区布置，合理划分管理区、工艺生产区、辅助生产区及储运设施区，各区按其危害程度采取相应的安全防范措施进行管理</w:t>
      </w:r>
      <w:r>
        <w:rPr>
          <w:rFonts w:hint="default" w:ascii="Times New Roman" w:hAnsi="Times New Roman" w:eastAsia="宋体" w:cs="Times New Roman"/>
          <w:color w:val="auto"/>
          <w:sz w:val="24"/>
          <w:szCs w:val="24"/>
          <w:highlight w:val="none"/>
          <w:lang w:val="en-US" w:eastAsia="zh-CN"/>
        </w:rPr>
        <w:t>。</w:t>
      </w:r>
    </w:p>
    <w:p w14:paraId="4AAD5E33">
      <w:pPr>
        <w:pStyle w:val="7"/>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7.2.6.2贮存</w:t>
      </w:r>
      <w:r>
        <w:rPr>
          <w:rFonts w:hint="default" w:ascii="Times New Roman" w:hAnsi="Times New Roman" w:eastAsia="宋体" w:cs="Times New Roman"/>
          <w:color w:val="auto"/>
          <w:highlight w:val="none"/>
        </w:rPr>
        <w:t>区风险防范措施</w:t>
      </w:r>
    </w:p>
    <w:p w14:paraId="56FB53DE">
      <w:pPr>
        <w:spacing w:line="480" w:lineRule="exact"/>
        <w:ind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物料贮运安全防范措施</w:t>
      </w:r>
    </w:p>
    <w:p w14:paraId="7E09005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color w:val="auto"/>
          <w:sz w:val="24"/>
          <w:szCs w:val="24"/>
          <w:highlight w:val="none"/>
        </w:rPr>
        <w:t>物料在运输过程中，各个路口应当保证有足够的视距；设置明显的厂内道路交通安全标志；加强厂外运输车辆的安全管理。厂内道路经常保持路面平整、路基稳固、边坡整齐、排水良好，并应有完好的照明设施。制定合理的物料运输方案，定期对运输设备进行检查，保证设备无损坏。制定严格的风险、安全管理制度，严禁违章操作。物料堆场应注意防火，禁止违章动火</w:t>
      </w:r>
      <w:r>
        <w:rPr>
          <w:rFonts w:hint="eastAsia" w:ascii="Times New Roman" w:hAnsi="Times New Roman" w:eastAsia="宋体" w:cs="Times New Roman"/>
          <w:color w:val="auto"/>
          <w:sz w:val="24"/>
          <w:szCs w:val="24"/>
          <w:highlight w:val="none"/>
          <w:lang w:eastAsia="zh-CN"/>
        </w:rPr>
        <w:t>。</w:t>
      </w:r>
    </w:p>
    <w:p w14:paraId="7584D729">
      <w:pPr>
        <w:spacing w:line="480" w:lineRule="exact"/>
        <w:ind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加强安全管理和人员培训措施</w:t>
      </w:r>
    </w:p>
    <w:p w14:paraId="45E53C63">
      <w:pPr>
        <w:spacing w:line="48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企业应针对本项目实际情况，设立相应的安全管理机构，建立有效的安全管理条例、制度和规定，并且要不断改进和提高管理水平，严防操作事故的发生。加强全厂干部、职工的风险意识和环境意识教育，增强安全、环境意识。</w:t>
      </w:r>
    </w:p>
    <w:p w14:paraId="5E1FB425">
      <w:pPr>
        <w:spacing w:line="48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②加强企业相关人员的安全环境保护相关知识的培训工作，定期、定向、定点</w:t>
      </w:r>
      <w:r>
        <w:rPr>
          <w:rFonts w:hint="eastAsia" w:ascii="Times New Roman" w:hAnsi="Times New Roman" w:eastAsia="宋体" w:cs="Times New Roman"/>
          <w:color w:val="auto"/>
          <w:sz w:val="24"/>
          <w:szCs w:val="24"/>
          <w:highlight w:val="none"/>
          <w:lang w:eastAsia="zh-CN"/>
        </w:rPr>
        <w:t>地</w:t>
      </w:r>
      <w:r>
        <w:rPr>
          <w:rFonts w:hint="default" w:ascii="Times New Roman" w:hAnsi="Times New Roman" w:eastAsia="宋体" w:cs="Times New Roman"/>
          <w:color w:val="auto"/>
          <w:sz w:val="24"/>
          <w:szCs w:val="24"/>
          <w:highlight w:val="none"/>
        </w:rPr>
        <w:t>对企业各工作岗位和安全管理人员开展安全和环境保护防护的相关知识培训工作。使得员工掌握相关的安全和环境防护技能。</w:t>
      </w:r>
    </w:p>
    <w:p w14:paraId="42D5154E">
      <w:pPr>
        <w:pStyle w:val="47"/>
        <w:keepNext w:val="0"/>
        <w:keepLines w:val="0"/>
        <w:pageBreakBefore w:val="0"/>
        <w:widowControl w:val="0"/>
        <w:kinsoku/>
        <w:wordWrap/>
        <w:overflowPunct/>
        <w:topLinePunct w:val="0"/>
        <w:bidi w:val="0"/>
        <w:snapToGrid/>
        <w:spacing w:line="480" w:lineRule="exact"/>
        <w:ind w:firstLine="480" w:firstLineChars="200"/>
        <w:textAlignment w:val="auto"/>
        <w:outlineLvl w:val="9"/>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4"/>
          <w:szCs w:val="24"/>
          <w:highlight w:val="none"/>
          <w:lang w:val="en-US" w:eastAsia="zh-CN"/>
        </w:rPr>
        <w:t>（3）环境风险</w:t>
      </w:r>
      <w:r>
        <w:rPr>
          <w:rFonts w:hint="default" w:ascii="Times New Roman" w:hAnsi="Times New Roman" w:eastAsia="宋体" w:cs="Times New Roman"/>
          <w:color w:val="auto"/>
          <w:sz w:val="24"/>
          <w:szCs w:val="24"/>
          <w:highlight w:val="none"/>
          <w:lang w:eastAsia="zh-CN"/>
        </w:rPr>
        <w:t>应急措施</w:t>
      </w:r>
    </w:p>
    <w:p w14:paraId="3A91A0D0">
      <w:pPr>
        <w:pStyle w:val="15"/>
        <w:keepNext w:val="0"/>
        <w:keepLines w:val="0"/>
        <w:pageBreakBefore w:val="0"/>
        <w:widowControl w:val="0"/>
        <w:kinsoku/>
        <w:wordWrap/>
        <w:overflowPunct/>
        <w:topLinePunct w:val="0"/>
        <w:bidi w:val="0"/>
        <w:snapToGrid/>
        <w:spacing w:after="0" w:line="480" w:lineRule="exact"/>
        <w:ind w:left="0" w:firstLine="480" w:firstLineChars="200"/>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highlight w:val="none"/>
        </w:rPr>
        <w:t>应急预案是在贯彻预防为主的前提下，对建设项目可能出现的事故，为及时控制危害源，抢救受害人员，指导居民防护和组织撤离，消除危害后果而组织的救援活动的预想方案。按不同情况预定事故处理负责人，一旦发生事故，就能快速有领导地按计划处理，执行预案所规定的各项措施，将风险损失降低到最低程度。企业制定了突发环境事件应急机制，</w:t>
      </w:r>
      <w:r>
        <w:rPr>
          <w:rFonts w:hint="eastAsia" w:eastAsia="宋体" w:cs="Times New Roman"/>
          <w:color w:val="auto"/>
          <w:sz w:val="24"/>
          <w:highlight w:val="none"/>
          <w:lang w:eastAsia="zh-CN"/>
        </w:rPr>
        <w:t>编制</w:t>
      </w:r>
      <w:r>
        <w:rPr>
          <w:rFonts w:hint="default" w:ascii="Times New Roman" w:hAnsi="Times New Roman" w:eastAsia="宋体" w:cs="Times New Roman"/>
          <w:color w:val="auto"/>
          <w:sz w:val="24"/>
          <w:highlight w:val="none"/>
        </w:rPr>
        <w:t>有突发环境事件应急预案（含重污染天气应急预案），已在</w:t>
      </w:r>
      <w:r>
        <w:rPr>
          <w:rFonts w:hint="eastAsia" w:ascii="Times New Roman" w:hAnsi="Times New Roman" w:eastAsia="宋体" w:cs="Times New Roman"/>
          <w:color w:val="auto"/>
          <w:sz w:val="24"/>
          <w:highlight w:val="none"/>
          <w:lang w:val="en-US" w:eastAsia="zh-CN"/>
        </w:rPr>
        <w:t>佳木斯</w:t>
      </w:r>
      <w:r>
        <w:rPr>
          <w:rFonts w:hint="default" w:ascii="Times New Roman" w:hAnsi="Times New Roman" w:eastAsia="宋体" w:cs="Times New Roman"/>
          <w:color w:val="auto"/>
          <w:sz w:val="24"/>
          <w:highlight w:val="none"/>
        </w:rPr>
        <w:t>市生态环境局备案，备案编号为：</w:t>
      </w:r>
      <w:r>
        <w:rPr>
          <w:rFonts w:hint="default" w:ascii="Times New Roman" w:hAnsi="Times New Roman" w:eastAsia="宋体" w:cs="Times New Roman"/>
          <w:color w:val="auto"/>
          <w:sz w:val="24"/>
          <w:highlight w:val="none"/>
          <w:lang w:val="en-US" w:eastAsia="zh-CN"/>
        </w:rPr>
        <w:t>230800-2024-006-L</w:t>
      </w:r>
      <w:r>
        <w:rPr>
          <w:rFonts w:hint="default" w:ascii="Times New Roman" w:hAnsi="Times New Roman" w:eastAsia="宋体" w:cs="Times New Roman"/>
          <w:color w:val="auto"/>
          <w:sz w:val="24"/>
          <w:highlight w:val="none"/>
        </w:rPr>
        <w:t>。</w:t>
      </w:r>
    </w:p>
    <w:p w14:paraId="0B4D8701">
      <w:pPr>
        <w:pStyle w:val="15"/>
        <w:keepNext w:val="0"/>
        <w:keepLines w:val="0"/>
        <w:pageBreakBefore w:val="0"/>
        <w:widowControl w:val="0"/>
        <w:kinsoku/>
        <w:wordWrap/>
        <w:overflowPunct/>
        <w:topLinePunct w:val="0"/>
        <w:bidi w:val="0"/>
        <w:snapToGrid/>
        <w:spacing w:after="0" w:line="480" w:lineRule="exact"/>
        <w:ind w:left="0" w:leftChars="0" w:firstLine="480" w:firstLineChars="200"/>
        <w:textAlignment w:val="auto"/>
        <w:outlineLvl w:val="9"/>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lang w:eastAsia="zh-CN"/>
        </w:rPr>
        <w:t>①</w:t>
      </w:r>
      <w:r>
        <w:rPr>
          <w:rFonts w:hint="default" w:ascii="Times New Roman" w:hAnsi="Times New Roman" w:eastAsia="宋体" w:cs="Times New Roman"/>
          <w:bCs/>
          <w:color w:val="auto"/>
          <w:sz w:val="24"/>
          <w:szCs w:val="24"/>
          <w:highlight w:val="none"/>
        </w:rPr>
        <w:t>重大危险源监控</w:t>
      </w:r>
    </w:p>
    <w:p w14:paraId="380394ED">
      <w:pPr>
        <w:spacing w:line="48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Cs/>
          <w:color w:val="auto"/>
          <w:sz w:val="24"/>
          <w:szCs w:val="24"/>
          <w:highlight w:val="none"/>
        </w:rPr>
        <w:t>监控重大</w:t>
      </w:r>
      <w:r>
        <w:rPr>
          <w:rFonts w:hint="default" w:ascii="Times New Roman" w:hAnsi="Times New Roman" w:eastAsia="宋体" w:cs="Times New Roman"/>
          <w:color w:val="auto"/>
          <w:sz w:val="24"/>
          <w:szCs w:val="24"/>
          <w:highlight w:val="none"/>
        </w:rPr>
        <w:t>危险源的分布情况，了解发生事故的可能性及其严重度，负责现场安全管理；在重大危险源现场设置明显的安全警示标志，并对重大危险源的工艺参数、危险物质进行定期检测，对重要设备、设施进行经常性的检测，并做好检测记录。</w:t>
      </w:r>
    </w:p>
    <w:p w14:paraId="57192F6D">
      <w:pPr>
        <w:spacing w:line="48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②</w:t>
      </w:r>
      <w:r>
        <w:rPr>
          <w:rFonts w:hint="default" w:ascii="Times New Roman" w:hAnsi="Times New Roman" w:eastAsia="宋体" w:cs="Times New Roman"/>
          <w:color w:val="auto"/>
          <w:sz w:val="24"/>
          <w:szCs w:val="24"/>
          <w:highlight w:val="none"/>
        </w:rPr>
        <w:t>应急组织机构</w:t>
      </w:r>
    </w:p>
    <w:p w14:paraId="6DF4593C">
      <w:pPr>
        <w:spacing w:line="480" w:lineRule="exact"/>
        <w:ind w:firstLine="436" w:firstLineChars="182"/>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根据需求设立应急响应小组，各专业应急响应小组应在应急指挥部的统一领导下，根据突发事故的类别、严重程度、应急响应与处置需要，履行相应的职责</w:t>
      </w:r>
      <w:r>
        <w:rPr>
          <w:rFonts w:hint="default" w:ascii="Times New Roman" w:hAnsi="Times New Roman" w:eastAsia="宋体" w:cs="Times New Roman"/>
          <w:color w:val="auto"/>
          <w:sz w:val="24"/>
          <w:szCs w:val="24"/>
          <w:highlight w:val="none"/>
          <w:lang w:eastAsia="zh-CN"/>
        </w:rPr>
        <w:t>。</w:t>
      </w:r>
    </w:p>
    <w:p w14:paraId="4104B7D3">
      <w:pPr>
        <w:spacing w:line="48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③</w:t>
      </w:r>
      <w:r>
        <w:rPr>
          <w:rFonts w:hint="default" w:ascii="Times New Roman" w:hAnsi="Times New Roman" w:eastAsia="宋体" w:cs="Times New Roman"/>
          <w:color w:val="auto"/>
          <w:sz w:val="24"/>
          <w:szCs w:val="24"/>
          <w:highlight w:val="none"/>
        </w:rPr>
        <w:t>预警分级</w:t>
      </w:r>
    </w:p>
    <w:p w14:paraId="23A7688A">
      <w:pPr>
        <w:snapToGrid w:val="0"/>
        <w:spacing w:line="48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Ⅰ级：环境污染事件引起大面积污染，跨区域污染，并有迅速扩大或发展趋势的。</w:t>
      </w:r>
    </w:p>
    <w:p w14:paraId="0ABCB521">
      <w:pPr>
        <w:snapToGrid w:val="0"/>
        <w:spacing w:line="48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Ⅱ级：环境污染事件危害影响到周围地区、经自救或一般救援不能迅速予以控制，并有进一步扩大或发展趋势的。</w:t>
      </w:r>
    </w:p>
    <w:p w14:paraId="560941F8">
      <w:pPr>
        <w:snapToGrid w:val="0"/>
        <w:spacing w:line="48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Ⅲ级：环境污染事件危害在一定范围内，经自救或组织救援能予以控制，并无进一步扩大或发展趋势的。</w:t>
      </w:r>
    </w:p>
    <w:p w14:paraId="375BC373">
      <w:pPr>
        <w:snapToGrid w:val="0"/>
        <w:spacing w:line="48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Ⅳ级：由于环境污染或破坏行为造成直接经济损失在千元以上、万元以下（不含万元）的环境污染事件。</w:t>
      </w:r>
    </w:p>
    <w:p w14:paraId="2CD60F57">
      <w:pPr>
        <w:snapToGrid w:val="0"/>
        <w:spacing w:line="48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④</w:t>
      </w:r>
      <w:r>
        <w:rPr>
          <w:rFonts w:hint="default" w:ascii="Times New Roman" w:hAnsi="Times New Roman" w:eastAsia="宋体" w:cs="Times New Roman"/>
          <w:color w:val="auto"/>
          <w:sz w:val="24"/>
          <w:szCs w:val="24"/>
          <w:highlight w:val="none"/>
        </w:rPr>
        <w:t>预警发布与预警行动</w:t>
      </w:r>
    </w:p>
    <w:p w14:paraId="28924297">
      <w:pPr>
        <w:snapToGrid w:val="0"/>
        <w:spacing w:line="48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在预警状态下，各应急处置工作组要做好设备事故的应急准备工作，按照应急领导小组的要求，落实各项预警控制措施。</w:t>
      </w:r>
    </w:p>
    <w:p w14:paraId="23562DA6">
      <w:pPr>
        <w:spacing w:line="48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⑤</w:t>
      </w:r>
      <w:r>
        <w:rPr>
          <w:rFonts w:hint="default" w:ascii="Times New Roman" w:hAnsi="Times New Roman" w:eastAsia="宋体" w:cs="Times New Roman"/>
          <w:color w:val="auto"/>
          <w:sz w:val="24"/>
          <w:szCs w:val="24"/>
          <w:highlight w:val="none"/>
        </w:rPr>
        <w:t>预警结束</w:t>
      </w:r>
    </w:p>
    <w:p w14:paraId="36A3E916">
      <w:pPr>
        <w:numPr>
          <w:ilvl w:val="0"/>
          <w:numId w:val="0"/>
        </w:numPr>
        <w:adjustRightInd w:val="0"/>
        <w:snapToGrid w:val="0"/>
        <w:spacing w:line="48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事故现场得到控制，事件条件已经消除；采取了必要的防护措施以保护公众免受再次危害。</w:t>
      </w:r>
    </w:p>
    <w:p w14:paraId="32520FF1">
      <w:pPr>
        <w:pStyle w:val="7"/>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7.2.6.3环境风险评价结论</w:t>
      </w:r>
    </w:p>
    <w:p w14:paraId="3457B640">
      <w:pPr>
        <w:spacing w:line="48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本项目涉及的危险化学品主要是</w:t>
      </w:r>
      <w:r>
        <w:rPr>
          <w:rFonts w:hint="eastAsia" w:ascii="Times New Roman" w:hAnsi="Times New Roman" w:eastAsia="宋体" w:cs="Times New Roman"/>
          <w:color w:val="auto"/>
          <w:sz w:val="24"/>
          <w:szCs w:val="24"/>
          <w:highlight w:val="none"/>
          <w:lang w:val="en-US" w:eastAsia="zh-CN"/>
        </w:rPr>
        <w:t>废矿物油</w:t>
      </w:r>
      <w:r>
        <w:rPr>
          <w:rFonts w:hint="default" w:ascii="Times New Roman" w:hAnsi="Times New Roman" w:eastAsia="宋体" w:cs="Times New Roman"/>
          <w:color w:val="auto"/>
          <w:sz w:val="24"/>
          <w:szCs w:val="24"/>
          <w:highlight w:val="none"/>
        </w:rPr>
        <w:t>，具有较大的潜在风险性。同时锅炉产生的烟气中含有烟尘、SO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、NOx、</w:t>
      </w:r>
      <w:r>
        <w:rPr>
          <w:rFonts w:hint="default" w:ascii="Times New Roman" w:hAnsi="Times New Roman" w:eastAsia="宋体" w:cs="Times New Roman"/>
          <w:color w:val="auto"/>
          <w:sz w:val="24"/>
          <w:szCs w:val="24"/>
          <w:highlight w:val="none"/>
          <w:lang w:val="en-US" w:eastAsia="zh-CN"/>
        </w:rPr>
        <w:t>汞及其化合物</w:t>
      </w:r>
      <w:r>
        <w:rPr>
          <w:rFonts w:hint="default" w:ascii="Times New Roman" w:hAnsi="Times New Roman" w:eastAsia="宋体" w:cs="Times New Roman"/>
          <w:color w:val="auto"/>
          <w:sz w:val="24"/>
          <w:szCs w:val="24"/>
          <w:highlight w:val="none"/>
        </w:rPr>
        <w:t>等多种污染物。事故状况下，大气污染物直接外排会对周围环境空气造成较大影响。</w:t>
      </w:r>
    </w:p>
    <w:p w14:paraId="7595C7E9">
      <w:pPr>
        <w:numPr>
          <w:ilvl w:val="0"/>
          <w:numId w:val="0"/>
        </w:numPr>
        <w:adjustRightInd w:val="0"/>
        <w:snapToGrid w:val="0"/>
        <w:spacing w:line="48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针对各类危险物料的性质和可能发生的事故类型，本评价提出相应的风险防范措施，严格执行风险管理制度和操作规程，</w:t>
      </w:r>
      <w:r>
        <w:rPr>
          <w:rFonts w:hint="eastAsia" w:ascii="Times New Roman" w:hAnsi="Times New Roman" w:eastAsia="宋体" w:cs="Times New Roman"/>
          <w:color w:val="auto"/>
          <w:sz w:val="24"/>
          <w:szCs w:val="24"/>
          <w:highlight w:val="none"/>
          <w:lang w:eastAsia="zh-CN"/>
        </w:rPr>
        <w:t>一</w:t>
      </w:r>
      <w:r>
        <w:rPr>
          <w:rFonts w:hint="default" w:ascii="Times New Roman" w:hAnsi="Times New Roman" w:eastAsia="宋体" w:cs="Times New Roman"/>
          <w:color w:val="auto"/>
          <w:sz w:val="24"/>
          <w:szCs w:val="24"/>
          <w:highlight w:val="none"/>
        </w:rPr>
        <w:t>旦突发环境风险事故，立即按应急预案提到的紧急处理、救援、监测方案等进行紧急救援，能保证本项目生产区及贮存区的环境风险防范水平，满足国家有关环境保护和安全法规、标准的要求，使本项目的环境风险达到可接受的水平，本项目环境风险事故为可接受水平。</w:t>
      </w:r>
      <w:r>
        <w:rPr>
          <w:rFonts w:hint="default" w:ascii="Times New Roman" w:hAnsi="Times New Roman" w:eastAsia="宋体" w:cs="Times New Roman"/>
          <w:color w:val="auto"/>
          <w:sz w:val="24"/>
          <w:szCs w:val="24"/>
          <w:highlight w:val="none"/>
          <w:lang w:val="en-US" w:eastAsia="zh-CN"/>
        </w:rPr>
        <w:t>本</w:t>
      </w:r>
      <w:r>
        <w:rPr>
          <w:rFonts w:hint="eastAsia" w:ascii="Times New Roman" w:hAnsi="Times New Roman" w:eastAsia="宋体" w:cs="Times New Roman"/>
          <w:color w:val="auto"/>
          <w:sz w:val="24"/>
          <w:szCs w:val="24"/>
          <w:highlight w:val="none"/>
          <w:lang w:val="en-US" w:eastAsia="zh-CN"/>
        </w:rPr>
        <w:t>项目</w:t>
      </w:r>
      <w:r>
        <w:rPr>
          <w:rFonts w:hint="default" w:ascii="Times New Roman" w:hAnsi="Times New Roman" w:eastAsia="宋体" w:cs="Times New Roman"/>
          <w:color w:val="auto"/>
          <w:sz w:val="24"/>
          <w:szCs w:val="24"/>
          <w:highlight w:val="none"/>
          <w:lang w:eastAsia="zh-CN"/>
        </w:rPr>
        <w:t>环境风险自查表见附表</w:t>
      </w:r>
      <w:r>
        <w:rPr>
          <w:rFonts w:hint="default" w:ascii="Times New Roman" w:hAnsi="Times New Roman" w:eastAsia="宋体" w:cs="Times New Roman"/>
          <w:color w:val="auto"/>
          <w:sz w:val="24"/>
          <w:szCs w:val="24"/>
          <w:highlight w:val="none"/>
          <w:lang w:val="en-US" w:eastAsia="zh-CN"/>
        </w:rPr>
        <w:t>5。</w:t>
      </w:r>
    </w:p>
    <w:p w14:paraId="454B23BE">
      <w:pPr>
        <w:pStyle w:val="6"/>
        <w:bidi w:val="0"/>
        <w:rPr>
          <w:rFonts w:hint="default" w:ascii="Times New Roman" w:hAnsi="Times New Roman" w:eastAsia="宋体" w:cs="Times New Roman"/>
          <w:color w:val="auto"/>
          <w:highlight w:val="none"/>
        </w:rPr>
      </w:pPr>
      <w:bookmarkStart w:id="512" w:name="_Toc28721"/>
      <w:bookmarkStart w:id="513" w:name="_Toc29456"/>
      <w:bookmarkStart w:id="514" w:name="_Toc26115"/>
      <w:r>
        <w:rPr>
          <w:rFonts w:hint="default" w:ascii="Times New Roman" w:hAnsi="Times New Roman" w:eastAsia="宋体" w:cs="Times New Roman"/>
          <w:color w:val="auto"/>
          <w:highlight w:val="none"/>
        </w:rPr>
        <w:t>7.2.</w:t>
      </w:r>
      <w:r>
        <w:rPr>
          <w:rFonts w:hint="default" w:ascii="Times New Roman" w:hAnsi="Times New Roman" w:eastAsia="宋体" w:cs="Times New Roman"/>
          <w:color w:val="auto"/>
          <w:highlight w:val="none"/>
          <w:lang w:val="en-US" w:eastAsia="zh-CN"/>
        </w:rPr>
        <w:t>7</w:t>
      </w:r>
      <w:r>
        <w:rPr>
          <w:rFonts w:hint="default" w:ascii="Times New Roman" w:hAnsi="Times New Roman" w:eastAsia="宋体" w:cs="Times New Roman"/>
          <w:color w:val="auto"/>
          <w:highlight w:val="none"/>
        </w:rPr>
        <w:t xml:space="preserve"> </w:t>
      </w:r>
      <w:r>
        <w:rPr>
          <w:rFonts w:hint="default" w:ascii="Times New Roman" w:hAnsi="Times New Roman" w:eastAsia="宋体" w:cs="Times New Roman"/>
          <w:color w:val="auto"/>
          <w:highlight w:val="none"/>
          <w:lang w:eastAsia="zh-CN"/>
        </w:rPr>
        <w:t>土壤环境污染防治措施</w:t>
      </w:r>
      <w:bookmarkEnd w:id="512"/>
      <w:bookmarkEnd w:id="513"/>
      <w:bookmarkEnd w:id="514"/>
    </w:p>
    <w:p w14:paraId="6AD4785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本项目锅炉废气采用高效除尘脱硫协同除汞，除汞效率</w:t>
      </w:r>
      <w:r>
        <w:rPr>
          <w:rFonts w:hint="eastAsia"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rPr>
        <w:t>0%，锅炉废气经治理措施后烟气中汞</w:t>
      </w:r>
      <w:r>
        <w:rPr>
          <w:rFonts w:hint="default" w:ascii="Times New Roman" w:hAnsi="Times New Roman" w:eastAsia="宋体" w:cs="Times New Roman"/>
          <w:color w:val="auto"/>
          <w:sz w:val="24"/>
          <w:szCs w:val="24"/>
          <w:highlight w:val="none"/>
          <w:lang w:val="en-US" w:eastAsia="zh-CN"/>
        </w:rPr>
        <w:t>及其化合物</w:t>
      </w:r>
      <w:r>
        <w:rPr>
          <w:rFonts w:hint="default" w:ascii="Times New Roman" w:hAnsi="Times New Roman" w:eastAsia="宋体" w:cs="Times New Roman"/>
          <w:color w:val="auto"/>
          <w:sz w:val="24"/>
          <w:szCs w:val="24"/>
          <w:highlight w:val="none"/>
        </w:rPr>
        <w:t>的排放速率为</w:t>
      </w:r>
      <w:r>
        <w:rPr>
          <w:rFonts w:hint="eastAsia" w:ascii="Times New Roman" w:hAnsi="Times New Roman" w:eastAsia="宋体" w:cs="Times New Roman"/>
          <w:color w:val="auto"/>
          <w:sz w:val="24"/>
          <w:szCs w:val="24"/>
          <w:highlight w:val="none"/>
          <w:lang w:val="en-US" w:eastAsia="zh-CN"/>
        </w:rPr>
        <w:t>0.0008</w:t>
      </w:r>
      <w:r>
        <w:rPr>
          <w:rFonts w:hint="default" w:ascii="Times New Roman" w:hAnsi="Times New Roman" w:eastAsia="宋体" w:cs="Times New Roman"/>
          <w:color w:val="auto"/>
          <w:sz w:val="24"/>
          <w:szCs w:val="24"/>
          <w:highlight w:val="none"/>
        </w:rPr>
        <w:t>kg/h</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在大气沉降过程中对土壤环境影响可以忽略。</w:t>
      </w:r>
    </w:p>
    <w:p w14:paraId="1B4517B8">
      <w:pPr>
        <w:pStyle w:val="6"/>
        <w:bidi w:val="0"/>
        <w:rPr>
          <w:rFonts w:hint="default" w:ascii="Times New Roman" w:hAnsi="Times New Roman" w:eastAsia="宋体" w:cs="Times New Roman"/>
          <w:color w:val="auto"/>
          <w:highlight w:val="none"/>
          <w:lang w:eastAsia="zh-CN"/>
        </w:rPr>
      </w:pPr>
      <w:bookmarkStart w:id="515" w:name="_Toc32131"/>
      <w:bookmarkStart w:id="516" w:name="_Toc17840"/>
      <w:bookmarkStart w:id="517" w:name="_Toc22997"/>
      <w:r>
        <w:rPr>
          <w:rFonts w:hint="default" w:ascii="Times New Roman" w:hAnsi="Times New Roman" w:eastAsia="宋体" w:cs="Times New Roman"/>
          <w:color w:val="auto"/>
          <w:highlight w:val="none"/>
        </w:rPr>
        <w:t>7.2.</w:t>
      </w:r>
      <w:r>
        <w:rPr>
          <w:rFonts w:hint="default" w:ascii="Times New Roman" w:hAnsi="Times New Roman" w:eastAsia="宋体" w:cs="Times New Roman"/>
          <w:color w:val="auto"/>
          <w:highlight w:val="none"/>
          <w:lang w:val="en-US" w:eastAsia="zh-CN"/>
        </w:rPr>
        <w:t>8</w:t>
      </w:r>
      <w:r>
        <w:rPr>
          <w:rFonts w:hint="default" w:ascii="Times New Roman" w:hAnsi="Times New Roman" w:eastAsia="宋体" w:cs="Times New Roman"/>
          <w:color w:val="auto"/>
          <w:highlight w:val="none"/>
        </w:rPr>
        <w:t xml:space="preserve"> 环境保护投资</w:t>
      </w:r>
      <w:r>
        <w:rPr>
          <w:rFonts w:hint="default" w:ascii="Times New Roman" w:hAnsi="Times New Roman" w:eastAsia="宋体" w:cs="Times New Roman"/>
          <w:color w:val="auto"/>
          <w:highlight w:val="none"/>
          <w:lang w:eastAsia="zh-CN"/>
        </w:rPr>
        <w:t>分析</w:t>
      </w:r>
      <w:bookmarkEnd w:id="515"/>
      <w:bookmarkEnd w:id="516"/>
      <w:bookmarkEnd w:id="517"/>
    </w:p>
    <w:p w14:paraId="46688EF4">
      <w:pPr>
        <w:adjustRightInd w:val="0"/>
        <w:snapToGrid w:val="0"/>
        <w:spacing w:line="480" w:lineRule="exact"/>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本工程总</w:t>
      </w:r>
      <w:r>
        <w:rPr>
          <w:rFonts w:hint="eastAsia" w:ascii="Times New Roman" w:hAnsi="Times New Roman" w:eastAsia="宋体" w:cs="Times New Roman"/>
          <w:color w:val="auto"/>
          <w:sz w:val="24"/>
          <w:szCs w:val="24"/>
          <w:highlight w:val="none"/>
          <w:lang w:eastAsia="zh-CN"/>
        </w:rPr>
        <w:t>投资</w:t>
      </w:r>
      <w:r>
        <w:rPr>
          <w:rFonts w:hint="eastAsia" w:ascii="Times New Roman" w:hAnsi="Times New Roman" w:eastAsia="宋体" w:cs="Times New Roman"/>
          <w:color w:val="auto"/>
          <w:sz w:val="24"/>
          <w:szCs w:val="24"/>
          <w:highlight w:val="none"/>
          <w:lang w:val="en-US" w:eastAsia="zh-CN"/>
        </w:rPr>
        <w:t>2100</w:t>
      </w:r>
      <w:r>
        <w:rPr>
          <w:rFonts w:hint="default" w:ascii="Times New Roman" w:hAnsi="Times New Roman" w:eastAsia="宋体" w:cs="Times New Roman"/>
          <w:color w:val="auto"/>
          <w:sz w:val="24"/>
          <w:szCs w:val="24"/>
          <w:highlight w:val="none"/>
        </w:rPr>
        <w:t>万元，其中环保投资为</w:t>
      </w:r>
      <w:r>
        <w:rPr>
          <w:rFonts w:hint="eastAsia" w:ascii="Times New Roman" w:hAnsi="Times New Roman" w:eastAsia="宋体" w:cs="Times New Roman"/>
          <w:color w:val="auto"/>
          <w:sz w:val="24"/>
          <w:szCs w:val="24"/>
          <w:highlight w:val="none"/>
          <w:lang w:eastAsia="zh-CN"/>
        </w:rPr>
        <w:t>1014.3</w:t>
      </w:r>
      <w:r>
        <w:rPr>
          <w:rFonts w:hint="default" w:ascii="Times New Roman" w:hAnsi="Times New Roman" w:eastAsia="宋体" w:cs="Times New Roman"/>
          <w:color w:val="auto"/>
          <w:sz w:val="24"/>
          <w:szCs w:val="24"/>
          <w:highlight w:val="none"/>
        </w:rPr>
        <w:t>万元，比例为</w:t>
      </w:r>
      <w:r>
        <w:rPr>
          <w:rFonts w:hint="eastAsia" w:ascii="Times New Roman" w:hAnsi="Times New Roman" w:eastAsia="宋体" w:cs="Times New Roman"/>
          <w:color w:val="auto"/>
          <w:sz w:val="24"/>
          <w:szCs w:val="24"/>
          <w:highlight w:val="none"/>
          <w:lang w:val="en-US" w:eastAsia="zh-CN"/>
        </w:rPr>
        <w:t>48.3</w:t>
      </w:r>
      <w:r>
        <w:rPr>
          <w:rFonts w:hint="default" w:ascii="Times New Roman" w:hAnsi="Times New Roman" w:eastAsia="宋体" w:cs="Times New Roman"/>
          <w:color w:val="auto"/>
          <w:sz w:val="24"/>
          <w:szCs w:val="24"/>
          <w:highlight w:val="none"/>
        </w:rPr>
        <w:t>%。本项目环保投资一览表见表7</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2-</w:t>
      </w:r>
      <w:r>
        <w:rPr>
          <w:rFonts w:hint="eastAsia"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w:t>
      </w:r>
    </w:p>
    <w:p w14:paraId="6DA44F1B">
      <w:pPr>
        <w:spacing w:line="480" w:lineRule="exact"/>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表7</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2-</w:t>
      </w:r>
      <w:r>
        <w:rPr>
          <w:rFonts w:hint="eastAsia"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 xml:space="preserve">  本项目</w:t>
      </w:r>
      <w:r>
        <w:rPr>
          <w:rFonts w:hint="eastAsia" w:ascii="Times New Roman" w:hAnsi="Times New Roman" w:eastAsia="宋体" w:cs="Times New Roman"/>
          <w:color w:val="auto"/>
          <w:sz w:val="24"/>
          <w:szCs w:val="24"/>
          <w:highlight w:val="none"/>
          <w:lang w:eastAsia="zh-CN"/>
        </w:rPr>
        <w:t>环保投资</w:t>
      </w:r>
      <w:r>
        <w:rPr>
          <w:rFonts w:hint="default" w:ascii="Times New Roman" w:hAnsi="Times New Roman" w:eastAsia="宋体" w:cs="Times New Roman"/>
          <w:color w:val="auto"/>
          <w:sz w:val="24"/>
          <w:szCs w:val="24"/>
          <w:highlight w:val="none"/>
        </w:rPr>
        <w:t>一览表</w:t>
      </w:r>
      <w:r>
        <w:rPr>
          <w:rFonts w:hint="default" w:ascii="Times New Roman" w:hAnsi="Times New Roman" w:eastAsia="宋体" w:cs="Times New Roman"/>
          <w:color w:val="auto"/>
          <w:sz w:val="24"/>
          <w:szCs w:val="24"/>
          <w:highlight w:val="none"/>
          <w:lang w:val="en-US" w:eastAsia="zh-CN"/>
        </w:rPr>
        <w:t xml:space="preserve">  单元：万元</w:t>
      </w:r>
    </w:p>
    <w:tbl>
      <w:tblPr>
        <w:tblStyle w:val="37"/>
        <w:tblW w:w="499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229"/>
        <w:gridCol w:w="1632"/>
        <w:gridCol w:w="3920"/>
        <w:gridCol w:w="1024"/>
      </w:tblGrid>
      <w:tr w14:paraId="6DC559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5" w:type="pct"/>
            <w:tcBorders>
              <w:tl2br w:val="nil"/>
              <w:tr2bl w:val="nil"/>
            </w:tcBorders>
            <w:noWrap w:val="0"/>
            <w:vAlign w:val="center"/>
          </w:tcPr>
          <w:p w14:paraId="05F7CF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时段</w:t>
            </w:r>
          </w:p>
        </w:tc>
        <w:tc>
          <w:tcPr>
            <w:tcW w:w="721" w:type="pct"/>
            <w:tcBorders>
              <w:tl2br w:val="nil"/>
              <w:tr2bl w:val="nil"/>
            </w:tcBorders>
            <w:noWrap w:val="0"/>
            <w:vAlign w:val="center"/>
          </w:tcPr>
          <w:p w14:paraId="6A7CC9F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环境要素</w:t>
            </w:r>
          </w:p>
        </w:tc>
        <w:tc>
          <w:tcPr>
            <w:tcW w:w="958" w:type="pct"/>
            <w:tcBorders>
              <w:tl2br w:val="nil"/>
              <w:tr2bl w:val="nil"/>
            </w:tcBorders>
            <w:noWrap w:val="0"/>
            <w:vAlign w:val="center"/>
          </w:tcPr>
          <w:p w14:paraId="1654B6E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治理对象</w:t>
            </w:r>
          </w:p>
        </w:tc>
        <w:tc>
          <w:tcPr>
            <w:tcW w:w="2302" w:type="pct"/>
            <w:tcBorders>
              <w:tl2br w:val="nil"/>
              <w:tr2bl w:val="nil"/>
            </w:tcBorders>
            <w:noWrap w:val="0"/>
            <w:vAlign w:val="center"/>
          </w:tcPr>
          <w:p w14:paraId="797EB1C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环保措施</w:t>
            </w:r>
          </w:p>
        </w:tc>
        <w:tc>
          <w:tcPr>
            <w:tcW w:w="601" w:type="pct"/>
            <w:tcBorders>
              <w:tl2br w:val="nil"/>
              <w:tr2bl w:val="nil"/>
            </w:tcBorders>
            <w:noWrap w:val="0"/>
            <w:vAlign w:val="center"/>
          </w:tcPr>
          <w:p w14:paraId="49A1144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eastAsia" w:ascii="Times New Roman" w:hAnsi="Times New Roman" w:eastAsia="宋体" w:cs="Times New Roman"/>
                <w:bCs/>
                <w:color w:val="auto"/>
                <w:sz w:val="21"/>
                <w:szCs w:val="21"/>
                <w:highlight w:val="none"/>
                <w:lang w:eastAsia="zh-CN"/>
              </w:rPr>
            </w:pPr>
            <w:r>
              <w:rPr>
                <w:rFonts w:hint="default" w:ascii="Times New Roman" w:hAnsi="Times New Roman" w:eastAsia="宋体" w:cs="Times New Roman"/>
                <w:bCs/>
                <w:color w:val="auto"/>
                <w:sz w:val="21"/>
                <w:szCs w:val="21"/>
                <w:highlight w:val="none"/>
              </w:rPr>
              <w:t>投资</w:t>
            </w:r>
            <w:r>
              <w:rPr>
                <w:rFonts w:hint="eastAsia" w:ascii="Times New Roman" w:hAnsi="Times New Roman" w:eastAsia="宋体" w:cs="Times New Roman"/>
                <w:bCs/>
                <w:color w:val="auto"/>
                <w:sz w:val="21"/>
                <w:szCs w:val="21"/>
                <w:highlight w:val="none"/>
                <w:lang w:eastAsia="zh-CN"/>
              </w:rPr>
              <w:t>（万元）</w:t>
            </w:r>
          </w:p>
        </w:tc>
      </w:tr>
      <w:tr w14:paraId="1CBF14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5" w:type="pct"/>
            <w:vMerge w:val="restart"/>
            <w:tcBorders>
              <w:tl2br w:val="nil"/>
              <w:tr2bl w:val="nil"/>
            </w:tcBorders>
            <w:noWrap w:val="0"/>
            <w:vAlign w:val="center"/>
          </w:tcPr>
          <w:p w14:paraId="3CCACAF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施</w:t>
            </w:r>
          </w:p>
          <w:p w14:paraId="099D413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工</w:t>
            </w:r>
          </w:p>
          <w:p w14:paraId="2885016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期</w:t>
            </w:r>
          </w:p>
        </w:tc>
        <w:tc>
          <w:tcPr>
            <w:tcW w:w="721" w:type="pct"/>
            <w:tcBorders>
              <w:tl2br w:val="nil"/>
              <w:tr2bl w:val="nil"/>
            </w:tcBorders>
            <w:noWrap w:val="0"/>
            <w:vAlign w:val="center"/>
          </w:tcPr>
          <w:p w14:paraId="53CF43E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环境空气</w:t>
            </w:r>
          </w:p>
        </w:tc>
        <w:tc>
          <w:tcPr>
            <w:tcW w:w="958" w:type="pct"/>
            <w:tcBorders>
              <w:tl2br w:val="nil"/>
              <w:tr2bl w:val="nil"/>
            </w:tcBorders>
            <w:noWrap w:val="0"/>
            <w:vAlign w:val="center"/>
          </w:tcPr>
          <w:p w14:paraId="259FFB0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施工扬尘</w:t>
            </w:r>
          </w:p>
        </w:tc>
        <w:tc>
          <w:tcPr>
            <w:tcW w:w="2302" w:type="pct"/>
            <w:tcBorders>
              <w:tl2br w:val="nil"/>
              <w:tr2bl w:val="nil"/>
            </w:tcBorders>
            <w:noWrap w:val="0"/>
            <w:vAlign w:val="center"/>
          </w:tcPr>
          <w:p w14:paraId="6D0790F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加盖苫布、洒水</w:t>
            </w:r>
          </w:p>
        </w:tc>
        <w:tc>
          <w:tcPr>
            <w:tcW w:w="601" w:type="pct"/>
            <w:tcBorders>
              <w:tl2br w:val="nil"/>
              <w:tr2bl w:val="nil"/>
            </w:tcBorders>
            <w:noWrap w:val="0"/>
            <w:vAlign w:val="center"/>
          </w:tcPr>
          <w:p w14:paraId="7E17ECF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5</w:t>
            </w:r>
          </w:p>
        </w:tc>
      </w:tr>
      <w:tr w14:paraId="58430B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5" w:type="pct"/>
            <w:vMerge w:val="continue"/>
            <w:tcBorders>
              <w:tl2br w:val="nil"/>
              <w:tr2bl w:val="nil"/>
            </w:tcBorders>
            <w:noWrap w:val="0"/>
            <w:vAlign w:val="center"/>
          </w:tcPr>
          <w:p w14:paraId="4765E52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721" w:type="pct"/>
            <w:tcBorders>
              <w:tl2br w:val="nil"/>
              <w:tr2bl w:val="nil"/>
            </w:tcBorders>
            <w:noWrap w:val="0"/>
            <w:vAlign w:val="center"/>
          </w:tcPr>
          <w:p w14:paraId="7FB1C53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地表水环境</w:t>
            </w:r>
          </w:p>
        </w:tc>
        <w:tc>
          <w:tcPr>
            <w:tcW w:w="958" w:type="pct"/>
            <w:tcBorders>
              <w:tl2br w:val="nil"/>
              <w:tr2bl w:val="nil"/>
            </w:tcBorders>
            <w:noWrap w:val="0"/>
            <w:vAlign w:val="center"/>
          </w:tcPr>
          <w:p w14:paraId="2F1B525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施工废水</w:t>
            </w:r>
          </w:p>
        </w:tc>
        <w:tc>
          <w:tcPr>
            <w:tcW w:w="2302" w:type="pct"/>
            <w:tcBorders>
              <w:tl2br w:val="nil"/>
              <w:tr2bl w:val="nil"/>
            </w:tcBorders>
            <w:noWrap w:val="0"/>
            <w:vAlign w:val="center"/>
          </w:tcPr>
          <w:p w14:paraId="58BBE85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沉淀、隔油池</w:t>
            </w:r>
          </w:p>
        </w:tc>
        <w:tc>
          <w:tcPr>
            <w:tcW w:w="601" w:type="pct"/>
            <w:tcBorders>
              <w:tl2br w:val="nil"/>
              <w:tr2bl w:val="nil"/>
            </w:tcBorders>
            <w:noWrap w:val="0"/>
            <w:vAlign w:val="center"/>
          </w:tcPr>
          <w:p w14:paraId="44E47D3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3</w:t>
            </w:r>
          </w:p>
        </w:tc>
      </w:tr>
      <w:tr w14:paraId="6526F8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5" w:type="pct"/>
            <w:vMerge w:val="continue"/>
            <w:tcBorders>
              <w:tl2br w:val="nil"/>
              <w:tr2bl w:val="nil"/>
            </w:tcBorders>
            <w:noWrap w:val="0"/>
            <w:vAlign w:val="center"/>
          </w:tcPr>
          <w:p w14:paraId="04BDC9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721" w:type="pct"/>
            <w:tcBorders>
              <w:tl2br w:val="nil"/>
              <w:tr2bl w:val="nil"/>
            </w:tcBorders>
            <w:noWrap w:val="0"/>
            <w:vAlign w:val="center"/>
          </w:tcPr>
          <w:p w14:paraId="0441DA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声环境</w:t>
            </w:r>
          </w:p>
        </w:tc>
        <w:tc>
          <w:tcPr>
            <w:tcW w:w="958" w:type="pct"/>
            <w:tcBorders>
              <w:tl2br w:val="nil"/>
              <w:tr2bl w:val="nil"/>
            </w:tcBorders>
            <w:noWrap w:val="0"/>
            <w:vAlign w:val="center"/>
          </w:tcPr>
          <w:p w14:paraId="05DB5FA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施工噪声</w:t>
            </w:r>
          </w:p>
        </w:tc>
        <w:tc>
          <w:tcPr>
            <w:tcW w:w="2302" w:type="pct"/>
            <w:tcBorders>
              <w:tl2br w:val="nil"/>
              <w:tr2bl w:val="nil"/>
            </w:tcBorders>
            <w:noWrap w:val="0"/>
            <w:vAlign w:val="center"/>
          </w:tcPr>
          <w:p w14:paraId="277C00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低噪声设备</w:t>
            </w:r>
          </w:p>
        </w:tc>
        <w:tc>
          <w:tcPr>
            <w:tcW w:w="601" w:type="pct"/>
            <w:tcBorders>
              <w:tl2br w:val="nil"/>
              <w:tr2bl w:val="nil"/>
            </w:tcBorders>
            <w:noWrap w:val="0"/>
            <w:vAlign w:val="center"/>
          </w:tcPr>
          <w:p w14:paraId="660F56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val="en-US" w:eastAsia="zh-CN"/>
              </w:rPr>
              <w:t>5</w:t>
            </w:r>
          </w:p>
        </w:tc>
      </w:tr>
      <w:tr w14:paraId="3358BD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5" w:type="pct"/>
            <w:vMerge w:val="continue"/>
            <w:tcBorders>
              <w:tl2br w:val="nil"/>
              <w:tr2bl w:val="nil"/>
            </w:tcBorders>
            <w:noWrap w:val="0"/>
            <w:vAlign w:val="center"/>
          </w:tcPr>
          <w:p w14:paraId="71674E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721" w:type="pct"/>
            <w:vMerge w:val="restart"/>
            <w:tcBorders>
              <w:tl2br w:val="nil"/>
              <w:tr2bl w:val="nil"/>
            </w:tcBorders>
            <w:noWrap w:val="0"/>
            <w:vAlign w:val="center"/>
          </w:tcPr>
          <w:p w14:paraId="40A273B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固体废物</w:t>
            </w:r>
          </w:p>
        </w:tc>
        <w:tc>
          <w:tcPr>
            <w:tcW w:w="958" w:type="pct"/>
            <w:tcBorders>
              <w:tl2br w:val="nil"/>
              <w:tr2bl w:val="nil"/>
            </w:tcBorders>
            <w:noWrap w:val="0"/>
            <w:vAlign w:val="center"/>
          </w:tcPr>
          <w:p w14:paraId="00D1D0C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建筑垃圾</w:t>
            </w:r>
          </w:p>
        </w:tc>
        <w:tc>
          <w:tcPr>
            <w:tcW w:w="2302" w:type="pct"/>
            <w:tcBorders>
              <w:tl2br w:val="nil"/>
              <w:tr2bl w:val="nil"/>
            </w:tcBorders>
            <w:noWrap w:val="0"/>
            <w:vAlign w:val="center"/>
          </w:tcPr>
          <w:p w14:paraId="153B26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运至填埋场统一处理</w:t>
            </w:r>
          </w:p>
        </w:tc>
        <w:tc>
          <w:tcPr>
            <w:tcW w:w="601" w:type="pct"/>
            <w:tcBorders>
              <w:tl2br w:val="nil"/>
              <w:tr2bl w:val="nil"/>
            </w:tcBorders>
            <w:noWrap w:val="0"/>
            <w:vAlign w:val="center"/>
          </w:tcPr>
          <w:p w14:paraId="2441744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1</w:t>
            </w:r>
          </w:p>
        </w:tc>
      </w:tr>
      <w:tr w14:paraId="22ED29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5" w:type="pct"/>
            <w:vMerge w:val="continue"/>
            <w:tcBorders>
              <w:tl2br w:val="nil"/>
              <w:tr2bl w:val="nil"/>
            </w:tcBorders>
            <w:noWrap w:val="0"/>
            <w:vAlign w:val="center"/>
          </w:tcPr>
          <w:p w14:paraId="0AB108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721" w:type="pct"/>
            <w:vMerge w:val="continue"/>
            <w:tcBorders>
              <w:tl2br w:val="nil"/>
              <w:tr2bl w:val="nil"/>
            </w:tcBorders>
            <w:noWrap w:val="0"/>
            <w:vAlign w:val="center"/>
          </w:tcPr>
          <w:p w14:paraId="37CA0F3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958" w:type="pct"/>
            <w:tcBorders>
              <w:tl2br w:val="nil"/>
              <w:tr2bl w:val="nil"/>
            </w:tcBorders>
            <w:noWrap w:val="0"/>
            <w:vAlign w:val="center"/>
          </w:tcPr>
          <w:p w14:paraId="4B9926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生活垃圾</w:t>
            </w:r>
          </w:p>
        </w:tc>
        <w:tc>
          <w:tcPr>
            <w:tcW w:w="2302" w:type="pct"/>
            <w:tcBorders>
              <w:tl2br w:val="nil"/>
              <w:tr2bl w:val="nil"/>
            </w:tcBorders>
            <w:noWrap w:val="0"/>
            <w:vAlign w:val="center"/>
          </w:tcPr>
          <w:p w14:paraId="43B161A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市政环卫部门统一处理</w:t>
            </w:r>
          </w:p>
        </w:tc>
        <w:tc>
          <w:tcPr>
            <w:tcW w:w="601" w:type="pct"/>
            <w:tcBorders>
              <w:tl2br w:val="nil"/>
              <w:tr2bl w:val="nil"/>
            </w:tcBorders>
            <w:noWrap w:val="0"/>
            <w:vAlign w:val="center"/>
          </w:tcPr>
          <w:p w14:paraId="07CAA8D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1</w:t>
            </w:r>
          </w:p>
        </w:tc>
      </w:tr>
      <w:tr w14:paraId="3BA13C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5" w:type="pct"/>
            <w:vMerge w:val="restart"/>
            <w:tcBorders>
              <w:tl2br w:val="nil"/>
              <w:tr2bl w:val="nil"/>
            </w:tcBorders>
            <w:noWrap w:val="0"/>
            <w:vAlign w:val="center"/>
          </w:tcPr>
          <w:p w14:paraId="45D265D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运</w:t>
            </w:r>
          </w:p>
          <w:p w14:paraId="6FAB977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营</w:t>
            </w:r>
          </w:p>
          <w:p w14:paraId="0303CA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期</w:t>
            </w:r>
          </w:p>
        </w:tc>
        <w:tc>
          <w:tcPr>
            <w:tcW w:w="721" w:type="pct"/>
            <w:vMerge w:val="restart"/>
            <w:tcBorders>
              <w:tl2br w:val="nil"/>
              <w:tr2bl w:val="nil"/>
            </w:tcBorders>
            <w:noWrap w:val="0"/>
            <w:vAlign w:val="center"/>
          </w:tcPr>
          <w:p w14:paraId="2E3DF39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环境空气</w:t>
            </w:r>
          </w:p>
        </w:tc>
        <w:tc>
          <w:tcPr>
            <w:tcW w:w="958" w:type="pct"/>
            <w:vMerge w:val="restart"/>
            <w:tcBorders>
              <w:tl2br w:val="nil"/>
              <w:tr2bl w:val="nil"/>
            </w:tcBorders>
            <w:noWrap w:val="0"/>
            <w:vAlign w:val="center"/>
          </w:tcPr>
          <w:p w14:paraId="2E7BED5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锅炉烟气</w:t>
            </w:r>
          </w:p>
        </w:tc>
        <w:tc>
          <w:tcPr>
            <w:tcW w:w="2302" w:type="pct"/>
            <w:tcBorders>
              <w:tl2br w:val="nil"/>
              <w:tr2bl w:val="nil"/>
            </w:tcBorders>
            <w:noWrap w:val="0"/>
            <w:vAlign w:val="center"/>
          </w:tcPr>
          <w:p w14:paraId="2552B67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布袋</w:t>
            </w:r>
            <w:r>
              <w:rPr>
                <w:rFonts w:hint="eastAsia" w:ascii="Times New Roman" w:hAnsi="Times New Roman" w:eastAsia="宋体" w:cs="Times New Roman"/>
                <w:color w:val="auto"/>
                <w:sz w:val="21"/>
                <w:szCs w:val="21"/>
                <w:highlight w:val="none"/>
                <w:lang w:eastAsia="zh-CN"/>
              </w:rPr>
              <w:t>除尘器</w:t>
            </w:r>
          </w:p>
        </w:tc>
        <w:tc>
          <w:tcPr>
            <w:tcW w:w="601" w:type="pct"/>
            <w:tcBorders>
              <w:tl2br w:val="nil"/>
              <w:tr2bl w:val="nil"/>
            </w:tcBorders>
            <w:noWrap w:val="0"/>
            <w:vAlign w:val="center"/>
          </w:tcPr>
          <w:p w14:paraId="08CB5B1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sz w:val="21"/>
                <w:szCs w:val="21"/>
                <w:highlight w:val="none"/>
                <w:lang w:val="en-US"/>
              </w:rPr>
            </w:pPr>
            <w:r>
              <w:rPr>
                <w:rFonts w:hint="eastAsia" w:ascii="Times New Roman" w:hAnsi="Times New Roman" w:eastAsia="宋体" w:cs="Times New Roman"/>
                <w:color w:val="auto"/>
                <w:sz w:val="21"/>
                <w:szCs w:val="21"/>
                <w:highlight w:val="none"/>
                <w:lang w:val="en-US" w:eastAsia="zh-CN"/>
              </w:rPr>
              <w:t>201</w:t>
            </w:r>
          </w:p>
        </w:tc>
      </w:tr>
      <w:tr w14:paraId="4FB641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5" w:type="pct"/>
            <w:vMerge w:val="continue"/>
            <w:tcBorders>
              <w:tl2br w:val="nil"/>
              <w:tr2bl w:val="nil"/>
            </w:tcBorders>
            <w:noWrap w:val="0"/>
            <w:vAlign w:val="center"/>
          </w:tcPr>
          <w:p w14:paraId="322BF43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721" w:type="pct"/>
            <w:vMerge w:val="continue"/>
            <w:tcBorders>
              <w:tl2br w:val="nil"/>
              <w:tr2bl w:val="nil"/>
            </w:tcBorders>
            <w:noWrap w:val="0"/>
            <w:vAlign w:val="center"/>
          </w:tcPr>
          <w:p w14:paraId="1E29903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958" w:type="pct"/>
            <w:vMerge w:val="continue"/>
            <w:tcBorders>
              <w:tl2br w:val="nil"/>
              <w:tr2bl w:val="nil"/>
            </w:tcBorders>
            <w:noWrap w:val="0"/>
            <w:vAlign w:val="center"/>
          </w:tcPr>
          <w:p w14:paraId="1784FBF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2302" w:type="pct"/>
            <w:tcBorders>
              <w:tl2br w:val="nil"/>
              <w:tr2bl w:val="nil"/>
            </w:tcBorders>
            <w:noWrap w:val="0"/>
            <w:vAlign w:val="center"/>
          </w:tcPr>
          <w:p w14:paraId="63E64E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脱</w:t>
            </w:r>
            <w:r>
              <w:rPr>
                <w:rFonts w:hint="default" w:ascii="Times New Roman" w:hAnsi="Times New Roman" w:eastAsia="宋体" w:cs="Times New Roman"/>
                <w:color w:val="auto"/>
                <w:sz w:val="21"/>
                <w:szCs w:val="21"/>
                <w:highlight w:val="none"/>
              </w:rPr>
              <w:t>硫</w:t>
            </w:r>
            <w:r>
              <w:rPr>
                <w:rFonts w:hint="default" w:ascii="Times New Roman" w:hAnsi="Times New Roman" w:eastAsia="宋体" w:cs="Times New Roman"/>
                <w:color w:val="auto"/>
                <w:sz w:val="21"/>
                <w:szCs w:val="21"/>
                <w:highlight w:val="none"/>
                <w:lang w:val="en-US" w:eastAsia="zh-CN"/>
              </w:rPr>
              <w:t>系统</w:t>
            </w:r>
          </w:p>
        </w:tc>
        <w:tc>
          <w:tcPr>
            <w:tcW w:w="601" w:type="pct"/>
            <w:tcBorders>
              <w:tl2br w:val="nil"/>
              <w:tr2bl w:val="nil"/>
            </w:tcBorders>
            <w:noWrap w:val="0"/>
            <w:vAlign w:val="center"/>
          </w:tcPr>
          <w:p w14:paraId="321FDF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236.3</w:t>
            </w:r>
          </w:p>
        </w:tc>
      </w:tr>
      <w:tr w14:paraId="141043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5" w:type="pct"/>
            <w:vMerge w:val="continue"/>
            <w:tcBorders>
              <w:tl2br w:val="nil"/>
              <w:tr2bl w:val="nil"/>
            </w:tcBorders>
            <w:noWrap w:val="0"/>
            <w:vAlign w:val="center"/>
          </w:tcPr>
          <w:p w14:paraId="3B028F2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721" w:type="pct"/>
            <w:vMerge w:val="continue"/>
            <w:tcBorders>
              <w:tl2br w:val="nil"/>
              <w:tr2bl w:val="nil"/>
            </w:tcBorders>
            <w:noWrap w:val="0"/>
            <w:vAlign w:val="center"/>
          </w:tcPr>
          <w:p w14:paraId="4639726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958" w:type="pct"/>
            <w:vMerge w:val="continue"/>
            <w:tcBorders>
              <w:tl2br w:val="nil"/>
              <w:tr2bl w:val="nil"/>
            </w:tcBorders>
            <w:noWrap w:val="0"/>
            <w:vAlign w:val="center"/>
          </w:tcPr>
          <w:p w14:paraId="0A562C7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2302" w:type="pct"/>
            <w:tcBorders>
              <w:tl2br w:val="nil"/>
              <w:tr2bl w:val="nil"/>
            </w:tcBorders>
            <w:noWrap w:val="0"/>
            <w:vAlign w:val="center"/>
          </w:tcPr>
          <w:p w14:paraId="797ACF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烟气</w:t>
            </w:r>
            <w:r>
              <w:rPr>
                <w:rFonts w:hint="default" w:ascii="Times New Roman" w:hAnsi="Times New Roman" w:eastAsia="宋体" w:cs="Times New Roman"/>
                <w:color w:val="auto"/>
                <w:sz w:val="21"/>
                <w:szCs w:val="21"/>
                <w:highlight w:val="none"/>
                <w:lang w:val="en-US" w:eastAsia="zh-CN"/>
              </w:rPr>
              <w:t>脱硝装置</w:t>
            </w:r>
          </w:p>
        </w:tc>
        <w:tc>
          <w:tcPr>
            <w:tcW w:w="601" w:type="pct"/>
            <w:tcBorders>
              <w:tl2br w:val="nil"/>
              <w:tr2bl w:val="nil"/>
            </w:tcBorders>
            <w:noWrap w:val="0"/>
            <w:vAlign w:val="center"/>
          </w:tcPr>
          <w:p w14:paraId="4CC5A5D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142</w:t>
            </w:r>
          </w:p>
        </w:tc>
      </w:tr>
      <w:tr w14:paraId="185886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5" w:type="pct"/>
            <w:vMerge w:val="continue"/>
            <w:tcBorders>
              <w:tl2br w:val="nil"/>
              <w:tr2bl w:val="nil"/>
            </w:tcBorders>
            <w:noWrap w:val="0"/>
            <w:vAlign w:val="center"/>
          </w:tcPr>
          <w:p w14:paraId="7B0C1C5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721" w:type="pct"/>
            <w:vMerge w:val="continue"/>
            <w:tcBorders>
              <w:tl2br w:val="nil"/>
              <w:tr2bl w:val="nil"/>
            </w:tcBorders>
            <w:noWrap w:val="0"/>
            <w:vAlign w:val="center"/>
          </w:tcPr>
          <w:p w14:paraId="65188B9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958" w:type="pct"/>
            <w:tcBorders>
              <w:tl2br w:val="nil"/>
              <w:tr2bl w:val="nil"/>
            </w:tcBorders>
            <w:noWrap w:val="0"/>
            <w:vAlign w:val="center"/>
          </w:tcPr>
          <w:p w14:paraId="6180B4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输煤栈桥</w:t>
            </w:r>
            <w:r>
              <w:rPr>
                <w:rFonts w:hint="default" w:ascii="Times New Roman" w:hAnsi="Times New Roman" w:eastAsia="宋体" w:cs="Times New Roman"/>
                <w:bCs/>
                <w:color w:val="auto"/>
                <w:sz w:val="21"/>
                <w:szCs w:val="21"/>
                <w:highlight w:val="none"/>
                <w:lang w:eastAsia="zh-CN"/>
              </w:rPr>
              <w:t>、</w:t>
            </w:r>
            <w:r>
              <w:rPr>
                <w:rFonts w:hint="default" w:ascii="Times New Roman" w:hAnsi="Times New Roman" w:eastAsia="宋体" w:cs="Times New Roman"/>
                <w:bCs/>
                <w:color w:val="auto"/>
                <w:sz w:val="21"/>
                <w:szCs w:val="21"/>
                <w:highlight w:val="none"/>
                <w:lang w:val="en-US" w:eastAsia="zh-CN"/>
              </w:rPr>
              <w:t>渣库</w:t>
            </w:r>
          </w:p>
        </w:tc>
        <w:tc>
          <w:tcPr>
            <w:tcW w:w="2302" w:type="pct"/>
            <w:tcBorders>
              <w:tl2br w:val="nil"/>
              <w:tr2bl w:val="nil"/>
            </w:tcBorders>
            <w:noWrap w:val="0"/>
            <w:vAlign w:val="center"/>
          </w:tcPr>
          <w:p w14:paraId="6146E6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密闭、喷淋装置</w:t>
            </w:r>
          </w:p>
        </w:tc>
        <w:tc>
          <w:tcPr>
            <w:tcW w:w="601" w:type="pct"/>
            <w:tcBorders>
              <w:tl2br w:val="nil"/>
              <w:tr2bl w:val="nil"/>
            </w:tcBorders>
            <w:noWrap w:val="0"/>
            <w:vAlign w:val="center"/>
          </w:tcPr>
          <w:p w14:paraId="09E1D3F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sz w:val="21"/>
                <w:szCs w:val="21"/>
                <w:highlight w:val="none"/>
                <w:lang w:val="en-US"/>
              </w:rPr>
            </w:pPr>
            <w:r>
              <w:rPr>
                <w:rFonts w:hint="eastAsia" w:ascii="Times New Roman" w:hAnsi="Times New Roman" w:eastAsia="宋体" w:cs="Times New Roman"/>
                <w:color w:val="auto"/>
                <w:sz w:val="21"/>
                <w:szCs w:val="21"/>
                <w:highlight w:val="none"/>
                <w:lang w:val="en-US" w:eastAsia="zh-CN"/>
              </w:rPr>
              <w:t>80</w:t>
            </w:r>
          </w:p>
        </w:tc>
      </w:tr>
      <w:tr w14:paraId="7AE851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5" w:type="pct"/>
            <w:vMerge w:val="continue"/>
            <w:tcBorders>
              <w:tl2br w:val="nil"/>
              <w:tr2bl w:val="nil"/>
            </w:tcBorders>
            <w:noWrap w:val="0"/>
            <w:vAlign w:val="center"/>
          </w:tcPr>
          <w:p w14:paraId="0DAE741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721" w:type="pct"/>
            <w:vMerge w:val="continue"/>
            <w:tcBorders>
              <w:tl2br w:val="nil"/>
              <w:tr2bl w:val="nil"/>
            </w:tcBorders>
            <w:noWrap w:val="0"/>
            <w:vAlign w:val="center"/>
          </w:tcPr>
          <w:p w14:paraId="24F32DD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958" w:type="pct"/>
            <w:tcBorders>
              <w:tl2br w:val="nil"/>
              <w:tr2bl w:val="nil"/>
            </w:tcBorders>
            <w:noWrap w:val="0"/>
            <w:vAlign w:val="center"/>
          </w:tcPr>
          <w:p w14:paraId="0633A18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lang w:val="en-US"/>
              </w:rPr>
            </w:pPr>
            <w:r>
              <w:rPr>
                <w:rFonts w:hint="eastAsia" w:ascii="Times New Roman" w:hAnsi="Times New Roman" w:eastAsia="宋体" w:cs="Times New Roman"/>
                <w:bCs/>
                <w:color w:val="auto"/>
                <w:sz w:val="21"/>
                <w:szCs w:val="21"/>
                <w:highlight w:val="none"/>
                <w:lang w:val="en-US" w:eastAsia="zh-CN"/>
              </w:rPr>
              <w:t>储煤场（利旧）</w:t>
            </w:r>
          </w:p>
        </w:tc>
        <w:tc>
          <w:tcPr>
            <w:tcW w:w="2302" w:type="pct"/>
            <w:tcBorders>
              <w:tl2br w:val="nil"/>
              <w:tr2bl w:val="nil"/>
            </w:tcBorders>
            <w:noWrap w:val="0"/>
            <w:vAlign w:val="center"/>
          </w:tcPr>
          <w:p w14:paraId="32E28C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防风抑尘网</w:t>
            </w:r>
          </w:p>
        </w:tc>
        <w:tc>
          <w:tcPr>
            <w:tcW w:w="601" w:type="pct"/>
            <w:tcBorders>
              <w:tl2br w:val="nil"/>
              <w:tr2bl w:val="nil"/>
            </w:tcBorders>
            <w:noWrap w:val="0"/>
            <w:vAlign w:val="center"/>
          </w:tcPr>
          <w:p w14:paraId="445DD04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w:t>
            </w:r>
          </w:p>
        </w:tc>
      </w:tr>
      <w:tr w14:paraId="7E270F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5" w:type="pct"/>
            <w:vMerge w:val="continue"/>
            <w:tcBorders>
              <w:tl2br w:val="nil"/>
              <w:tr2bl w:val="nil"/>
            </w:tcBorders>
            <w:noWrap w:val="0"/>
            <w:vAlign w:val="center"/>
          </w:tcPr>
          <w:p w14:paraId="207A1D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721" w:type="pct"/>
            <w:vMerge w:val="continue"/>
            <w:tcBorders>
              <w:tl2br w:val="nil"/>
              <w:tr2bl w:val="nil"/>
            </w:tcBorders>
            <w:noWrap w:val="0"/>
            <w:vAlign w:val="center"/>
          </w:tcPr>
          <w:p w14:paraId="066B8C5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958" w:type="pct"/>
            <w:tcBorders>
              <w:tl2br w:val="nil"/>
              <w:tr2bl w:val="nil"/>
            </w:tcBorders>
            <w:noWrap w:val="0"/>
            <w:vAlign w:val="center"/>
          </w:tcPr>
          <w:p w14:paraId="607155C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生石灰粉</w:t>
            </w:r>
            <w:r>
              <w:rPr>
                <w:rFonts w:hint="default" w:ascii="Times New Roman" w:hAnsi="Times New Roman" w:eastAsia="宋体" w:cs="Times New Roman"/>
                <w:bCs/>
                <w:color w:val="auto"/>
                <w:sz w:val="21"/>
                <w:szCs w:val="21"/>
                <w:highlight w:val="none"/>
                <w:lang w:val="en-US" w:eastAsia="zh-CN"/>
              </w:rPr>
              <w:t>仓</w:t>
            </w:r>
          </w:p>
        </w:tc>
        <w:tc>
          <w:tcPr>
            <w:tcW w:w="2302" w:type="pct"/>
            <w:tcBorders>
              <w:tl2br w:val="nil"/>
              <w:tr2bl w:val="nil"/>
            </w:tcBorders>
            <w:noWrap w:val="0"/>
            <w:vAlign w:val="center"/>
          </w:tcPr>
          <w:p w14:paraId="1977C8D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密闭、</w:t>
            </w:r>
            <w:r>
              <w:rPr>
                <w:rFonts w:hint="default" w:ascii="Times New Roman" w:hAnsi="Times New Roman" w:eastAsia="宋体" w:cs="Times New Roman"/>
                <w:color w:val="auto"/>
                <w:sz w:val="21"/>
                <w:szCs w:val="21"/>
                <w:highlight w:val="none"/>
                <w:lang w:val="en-US" w:eastAsia="zh-CN"/>
              </w:rPr>
              <w:t>布袋除尘器</w:t>
            </w:r>
          </w:p>
        </w:tc>
        <w:tc>
          <w:tcPr>
            <w:tcW w:w="601" w:type="pct"/>
            <w:tcBorders>
              <w:tl2br w:val="nil"/>
              <w:tr2bl w:val="nil"/>
            </w:tcBorders>
            <w:noWrap w:val="0"/>
            <w:vAlign w:val="center"/>
          </w:tcPr>
          <w:p w14:paraId="01E61B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75</w:t>
            </w:r>
          </w:p>
        </w:tc>
      </w:tr>
      <w:tr w14:paraId="006DCA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5" w:type="pct"/>
            <w:vMerge w:val="continue"/>
            <w:tcBorders>
              <w:tl2br w:val="nil"/>
              <w:tr2bl w:val="nil"/>
            </w:tcBorders>
            <w:noWrap w:val="0"/>
            <w:vAlign w:val="center"/>
          </w:tcPr>
          <w:p w14:paraId="0D4011F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721" w:type="pct"/>
            <w:vMerge w:val="continue"/>
            <w:tcBorders>
              <w:tl2br w:val="nil"/>
              <w:tr2bl w:val="nil"/>
            </w:tcBorders>
            <w:noWrap w:val="0"/>
            <w:vAlign w:val="center"/>
          </w:tcPr>
          <w:p w14:paraId="1A14660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958" w:type="pct"/>
            <w:tcBorders>
              <w:tl2br w:val="nil"/>
              <w:tr2bl w:val="nil"/>
            </w:tcBorders>
            <w:noWrap w:val="0"/>
            <w:vAlign w:val="center"/>
          </w:tcPr>
          <w:p w14:paraId="6CD6B4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灰库（利旧）</w:t>
            </w:r>
          </w:p>
        </w:tc>
        <w:tc>
          <w:tcPr>
            <w:tcW w:w="2302" w:type="pct"/>
            <w:tcBorders>
              <w:tl2br w:val="nil"/>
              <w:tr2bl w:val="nil"/>
            </w:tcBorders>
            <w:noWrap w:val="0"/>
            <w:vAlign w:val="center"/>
          </w:tcPr>
          <w:p w14:paraId="20AA787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设置布袋除尘器</w:t>
            </w:r>
          </w:p>
        </w:tc>
        <w:tc>
          <w:tcPr>
            <w:tcW w:w="601" w:type="pct"/>
            <w:tcBorders>
              <w:tl2br w:val="nil"/>
              <w:tr2bl w:val="nil"/>
            </w:tcBorders>
            <w:noWrap w:val="0"/>
            <w:vAlign w:val="center"/>
          </w:tcPr>
          <w:p w14:paraId="560F0C0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w:t>
            </w:r>
          </w:p>
        </w:tc>
      </w:tr>
      <w:tr w14:paraId="42706E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5" w:type="pct"/>
            <w:vMerge w:val="continue"/>
            <w:tcBorders>
              <w:tl2br w:val="nil"/>
              <w:tr2bl w:val="nil"/>
            </w:tcBorders>
            <w:noWrap w:val="0"/>
            <w:vAlign w:val="center"/>
          </w:tcPr>
          <w:p w14:paraId="505CA61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721" w:type="pct"/>
            <w:vMerge w:val="restart"/>
            <w:tcBorders>
              <w:tl2br w:val="nil"/>
              <w:tr2bl w:val="nil"/>
            </w:tcBorders>
            <w:noWrap w:val="0"/>
            <w:vAlign w:val="center"/>
          </w:tcPr>
          <w:p w14:paraId="204DAAA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水环境</w:t>
            </w:r>
          </w:p>
        </w:tc>
        <w:tc>
          <w:tcPr>
            <w:tcW w:w="958" w:type="pct"/>
            <w:vMerge w:val="restart"/>
            <w:tcBorders>
              <w:tl2br w:val="nil"/>
              <w:tr2bl w:val="nil"/>
            </w:tcBorders>
            <w:noWrap w:val="0"/>
            <w:vAlign w:val="center"/>
          </w:tcPr>
          <w:p w14:paraId="35D9D3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rPr>
              <w:t>工业</w:t>
            </w:r>
            <w:r>
              <w:rPr>
                <w:rFonts w:hint="default" w:ascii="Times New Roman" w:hAnsi="Times New Roman" w:eastAsia="宋体" w:cs="Times New Roman"/>
                <w:bCs/>
                <w:color w:val="auto"/>
                <w:sz w:val="21"/>
                <w:szCs w:val="21"/>
                <w:highlight w:val="none"/>
              </w:rPr>
              <w:t>废水</w:t>
            </w:r>
          </w:p>
        </w:tc>
        <w:tc>
          <w:tcPr>
            <w:tcW w:w="2302" w:type="pct"/>
            <w:tcBorders>
              <w:tl2br w:val="nil"/>
              <w:tr2bl w:val="nil"/>
            </w:tcBorders>
            <w:noWrap w:val="0"/>
            <w:vAlign w:val="center"/>
          </w:tcPr>
          <w:p w14:paraId="682CD07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val="en-US"/>
              </w:rPr>
            </w:pPr>
            <w:r>
              <w:rPr>
                <w:rFonts w:hint="eastAsia" w:ascii="Times New Roman" w:hAnsi="Times New Roman" w:eastAsia="宋体" w:cs="Times New Roman"/>
                <w:color w:val="auto"/>
                <w:sz w:val="21"/>
                <w:szCs w:val="21"/>
                <w:highlight w:val="none"/>
                <w:lang w:val="en-US" w:eastAsia="zh-CN"/>
              </w:rPr>
              <w:t>水处理系统（利旧）</w:t>
            </w:r>
          </w:p>
        </w:tc>
        <w:tc>
          <w:tcPr>
            <w:tcW w:w="601" w:type="pct"/>
            <w:tcBorders>
              <w:tl2br w:val="nil"/>
              <w:tr2bl w:val="nil"/>
            </w:tcBorders>
            <w:noWrap w:val="0"/>
            <w:vAlign w:val="center"/>
          </w:tcPr>
          <w:p w14:paraId="7AB41CB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lang w:val="en-US"/>
              </w:rPr>
            </w:pPr>
            <w:r>
              <w:rPr>
                <w:rFonts w:hint="eastAsia" w:ascii="Times New Roman" w:hAnsi="Times New Roman" w:eastAsia="宋体" w:cs="Times New Roman"/>
                <w:bCs/>
                <w:color w:val="auto"/>
                <w:sz w:val="21"/>
                <w:szCs w:val="21"/>
                <w:highlight w:val="none"/>
                <w:lang w:val="en-US" w:eastAsia="zh-CN"/>
              </w:rPr>
              <w:t>0</w:t>
            </w:r>
          </w:p>
        </w:tc>
      </w:tr>
      <w:tr w14:paraId="256DF4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5" w:type="pct"/>
            <w:vMerge w:val="continue"/>
            <w:tcBorders>
              <w:tl2br w:val="nil"/>
              <w:tr2bl w:val="nil"/>
            </w:tcBorders>
            <w:noWrap w:val="0"/>
            <w:vAlign w:val="center"/>
          </w:tcPr>
          <w:p w14:paraId="288A37A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721" w:type="pct"/>
            <w:vMerge w:val="continue"/>
            <w:tcBorders>
              <w:tl2br w:val="nil"/>
              <w:tr2bl w:val="nil"/>
            </w:tcBorders>
            <w:noWrap w:val="0"/>
            <w:vAlign w:val="center"/>
          </w:tcPr>
          <w:p w14:paraId="2D4CA4D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958" w:type="pct"/>
            <w:vMerge w:val="continue"/>
            <w:tcBorders>
              <w:tl2br w:val="nil"/>
              <w:tr2bl w:val="nil"/>
            </w:tcBorders>
            <w:noWrap w:val="0"/>
            <w:vAlign w:val="center"/>
          </w:tcPr>
          <w:p w14:paraId="192220C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p>
        </w:tc>
        <w:tc>
          <w:tcPr>
            <w:tcW w:w="2302" w:type="pct"/>
            <w:tcBorders>
              <w:tl2br w:val="nil"/>
              <w:tr2bl w:val="nil"/>
            </w:tcBorders>
            <w:noWrap w:val="0"/>
            <w:vAlign w:val="center"/>
          </w:tcPr>
          <w:p w14:paraId="728FCCF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初期雨水池</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利旧</w:t>
            </w:r>
            <w:r>
              <w:rPr>
                <w:rFonts w:hint="eastAsia" w:ascii="Times New Roman" w:hAnsi="Times New Roman" w:eastAsia="宋体" w:cs="Times New Roman"/>
                <w:color w:val="auto"/>
                <w:sz w:val="21"/>
                <w:szCs w:val="21"/>
                <w:highlight w:val="none"/>
                <w:lang w:eastAsia="zh-CN"/>
              </w:rPr>
              <w:t>）</w:t>
            </w:r>
          </w:p>
        </w:tc>
        <w:tc>
          <w:tcPr>
            <w:tcW w:w="601" w:type="pct"/>
            <w:tcBorders>
              <w:tl2br w:val="nil"/>
              <w:tr2bl w:val="nil"/>
            </w:tcBorders>
            <w:noWrap w:val="0"/>
            <w:vAlign w:val="center"/>
          </w:tcPr>
          <w:p w14:paraId="2145560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0</w:t>
            </w:r>
          </w:p>
        </w:tc>
      </w:tr>
      <w:tr w14:paraId="537BD6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5" w:type="pct"/>
            <w:vMerge w:val="continue"/>
            <w:tcBorders>
              <w:tl2br w:val="nil"/>
              <w:tr2bl w:val="nil"/>
            </w:tcBorders>
            <w:noWrap w:val="0"/>
            <w:vAlign w:val="center"/>
          </w:tcPr>
          <w:p w14:paraId="3A1CA8D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721" w:type="pct"/>
            <w:vMerge w:val="continue"/>
            <w:tcBorders>
              <w:tl2br w:val="nil"/>
              <w:tr2bl w:val="nil"/>
            </w:tcBorders>
            <w:noWrap w:val="0"/>
            <w:vAlign w:val="center"/>
          </w:tcPr>
          <w:p w14:paraId="10923E7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958" w:type="pct"/>
            <w:vMerge w:val="continue"/>
            <w:tcBorders>
              <w:tl2br w:val="nil"/>
              <w:tr2bl w:val="nil"/>
            </w:tcBorders>
            <w:noWrap w:val="0"/>
            <w:vAlign w:val="center"/>
          </w:tcPr>
          <w:p w14:paraId="3BCE7BA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p>
        </w:tc>
        <w:tc>
          <w:tcPr>
            <w:tcW w:w="2302" w:type="pct"/>
            <w:tcBorders>
              <w:tl2br w:val="nil"/>
              <w:tr2bl w:val="nil"/>
            </w:tcBorders>
            <w:noWrap w:val="0"/>
            <w:vAlign w:val="center"/>
          </w:tcPr>
          <w:p w14:paraId="5FCD6C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地下水分区防渗措施</w:t>
            </w:r>
          </w:p>
        </w:tc>
        <w:tc>
          <w:tcPr>
            <w:tcW w:w="601" w:type="pct"/>
            <w:tcBorders>
              <w:tl2br w:val="nil"/>
              <w:tr2bl w:val="nil"/>
            </w:tcBorders>
            <w:noWrap w:val="0"/>
            <w:vAlign w:val="center"/>
          </w:tcPr>
          <w:p w14:paraId="2E7A587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10</w:t>
            </w:r>
          </w:p>
        </w:tc>
      </w:tr>
      <w:tr w14:paraId="15945D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5" w:type="pct"/>
            <w:vMerge w:val="continue"/>
            <w:tcBorders>
              <w:tl2br w:val="nil"/>
              <w:tr2bl w:val="nil"/>
            </w:tcBorders>
            <w:noWrap w:val="0"/>
            <w:vAlign w:val="center"/>
          </w:tcPr>
          <w:p w14:paraId="2F0E180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721" w:type="pct"/>
            <w:tcBorders>
              <w:tl2br w:val="nil"/>
              <w:tr2bl w:val="nil"/>
            </w:tcBorders>
            <w:noWrap w:val="0"/>
            <w:vAlign w:val="center"/>
          </w:tcPr>
          <w:p w14:paraId="460BB3A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声环境</w:t>
            </w:r>
          </w:p>
        </w:tc>
        <w:tc>
          <w:tcPr>
            <w:tcW w:w="958" w:type="pct"/>
            <w:tcBorders>
              <w:tl2br w:val="nil"/>
              <w:tr2bl w:val="nil"/>
            </w:tcBorders>
            <w:noWrap w:val="0"/>
            <w:vAlign w:val="center"/>
          </w:tcPr>
          <w:p w14:paraId="10D2854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设备噪声</w:t>
            </w:r>
          </w:p>
        </w:tc>
        <w:tc>
          <w:tcPr>
            <w:tcW w:w="2302" w:type="pct"/>
            <w:tcBorders>
              <w:tl2br w:val="nil"/>
              <w:tr2bl w:val="nil"/>
            </w:tcBorders>
            <w:noWrap w:val="0"/>
            <w:vAlign w:val="center"/>
          </w:tcPr>
          <w:p w14:paraId="766DE76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隔振、隔声、消声</w:t>
            </w:r>
          </w:p>
        </w:tc>
        <w:tc>
          <w:tcPr>
            <w:tcW w:w="601" w:type="pct"/>
            <w:tcBorders>
              <w:tl2br w:val="nil"/>
              <w:tr2bl w:val="nil"/>
            </w:tcBorders>
            <w:noWrap w:val="0"/>
            <w:vAlign w:val="center"/>
          </w:tcPr>
          <w:p w14:paraId="00C6D25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50</w:t>
            </w:r>
          </w:p>
        </w:tc>
      </w:tr>
      <w:tr w14:paraId="73D0C8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5" w:type="pct"/>
            <w:vMerge w:val="continue"/>
            <w:tcBorders>
              <w:tl2br w:val="nil"/>
              <w:tr2bl w:val="nil"/>
            </w:tcBorders>
            <w:noWrap w:val="0"/>
            <w:vAlign w:val="center"/>
          </w:tcPr>
          <w:p w14:paraId="24A0B5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721" w:type="pct"/>
            <w:vMerge w:val="restart"/>
            <w:tcBorders>
              <w:tl2br w:val="nil"/>
              <w:tr2bl w:val="nil"/>
            </w:tcBorders>
            <w:noWrap w:val="0"/>
            <w:vAlign w:val="center"/>
          </w:tcPr>
          <w:p w14:paraId="48DFF6D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固体废物</w:t>
            </w:r>
          </w:p>
        </w:tc>
        <w:tc>
          <w:tcPr>
            <w:tcW w:w="958" w:type="pct"/>
            <w:tcBorders>
              <w:tl2br w:val="nil"/>
              <w:tr2bl w:val="nil"/>
            </w:tcBorders>
            <w:noWrap w:val="0"/>
            <w:vAlign w:val="center"/>
          </w:tcPr>
          <w:p w14:paraId="6D4BFF4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锅炉灰渣</w:t>
            </w:r>
          </w:p>
        </w:tc>
        <w:tc>
          <w:tcPr>
            <w:tcW w:w="2302" w:type="pct"/>
            <w:tcBorders>
              <w:tl2br w:val="nil"/>
              <w:tr2bl w:val="nil"/>
            </w:tcBorders>
            <w:noWrap w:val="0"/>
            <w:vAlign w:val="center"/>
          </w:tcPr>
          <w:p w14:paraId="40232E1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渣库</w:t>
            </w:r>
          </w:p>
        </w:tc>
        <w:tc>
          <w:tcPr>
            <w:tcW w:w="601" w:type="pct"/>
            <w:tcBorders>
              <w:tl2br w:val="nil"/>
              <w:tr2bl w:val="nil"/>
            </w:tcBorders>
            <w:noWrap w:val="0"/>
            <w:vAlign w:val="center"/>
          </w:tcPr>
          <w:p w14:paraId="206DA7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150</w:t>
            </w:r>
          </w:p>
        </w:tc>
      </w:tr>
      <w:tr w14:paraId="2593AA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5" w:type="pct"/>
            <w:vMerge w:val="continue"/>
            <w:tcBorders>
              <w:tl2br w:val="nil"/>
              <w:tr2bl w:val="nil"/>
            </w:tcBorders>
            <w:noWrap w:val="0"/>
            <w:vAlign w:val="center"/>
          </w:tcPr>
          <w:p w14:paraId="6DA0EB8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721" w:type="pct"/>
            <w:vMerge w:val="continue"/>
            <w:tcBorders>
              <w:tl2br w:val="nil"/>
              <w:tr2bl w:val="nil"/>
            </w:tcBorders>
            <w:noWrap w:val="0"/>
            <w:vAlign w:val="center"/>
          </w:tcPr>
          <w:p w14:paraId="4A9AE93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958" w:type="pct"/>
            <w:tcBorders>
              <w:tl2br w:val="nil"/>
              <w:tr2bl w:val="nil"/>
            </w:tcBorders>
            <w:noWrap w:val="0"/>
            <w:vAlign w:val="center"/>
          </w:tcPr>
          <w:p w14:paraId="3BD5E8F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lang w:val="en-US"/>
              </w:rPr>
            </w:pPr>
            <w:r>
              <w:rPr>
                <w:rFonts w:hint="default" w:ascii="Times New Roman" w:hAnsi="Times New Roman" w:eastAsia="宋体" w:cs="Times New Roman"/>
                <w:bCs/>
                <w:color w:val="auto"/>
                <w:sz w:val="21"/>
                <w:szCs w:val="21"/>
                <w:highlight w:val="none"/>
                <w:lang w:val="en-US" w:eastAsia="zh-CN"/>
              </w:rPr>
              <w:t>废布袋</w:t>
            </w:r>
            <w:r>
              <w:rPr>
                <w:rFonts w:hint="eastAsia" w:ascii="Times New Roman" w:hAnsi="Times New Roman" w:eastAsia="宋体" w:cs="Times New Roman"/>
                <w:bCs/>
                <w:color w:val="auto"/>
                <w:sz w:val="21"/>
                <w:szCs w:val="21"/>
                <w:highlight w:val="none"/>
                <w:lang w:val="en-US" w:eastAsia="zh-CN"/>
              </w:rPr>
              <w:t>、废离子交换树脂</w:t>
            </w:r>
          </w:p>
        </w:tc>
        <w:tc>
          <w:tcPr>
            <w:tcW w:w="2302" w:type="pct"/>
            <w:tcBorders>
              <w:tl2br w:val="nil"/>
              <w:tr2bl w:val="nil"/>
            </w:tcBorders>
            <w:noWrap w:val="0"/>
            <w:vAlign w:val="center"/>
          </w:tcPr>
          <w:p w14:paraId="00E3CC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厂家回收</w:t>
            </w:r>
          </w:p>
        </w:tc>
        <w:tc>
          <w:tcPr>
            <w:tcW w:w="601" w:type="pct"/>
            <w:tcBorders>
              <w:tl2br w:val="nil"/>
              <w:tr2bl w:val="nil"/>
            </w:tcBorders>
            <w:noWrap w:val="0"/>
            <w:vAlign w:val="center"/>
          </w:tcPr>
          <w:p w14:paraId="7760089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5</w:t>
            </w:r>
          </w:p>
        </w:tc>
      </w:tr>
      <w:tr w14:paraId="5A430C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5" w:type="pct"/>
            <w:vMerge w:val="continue"/>
            <w:tcBorders>
              <w:tl2br w:val="nil"/>
              <w:tr2bl w:val="nil"/>
            </w:tcBorders>
            <w:noWrap w:val="0"/>
            <w:vAlign w:val="center"/>
          </w:tcPr>
          <w:p w14:paraId="3AAC9F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721" w:type="pct"/>
            <w:vMerge w:val="continue"/>
            <w:tcBorders>
              <w:tl2br w:val="nil"/>
              <w:tr2bl w:val="nil"/>
            </w:tcBorders>
            <w:noWrap w:val="0"/>
            <w:vAlign w:val="center"/>
          </w:tcPr>
          <w:p w14:paraId="5AE16F9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958" w:type="pct"/>
            <w:tcBorders>
              <w:tl2br w:val="nil"/>
              <w:tr2bl w:val="nil"/>
            </w:tcBorders>
            <w:noWrap w:val="0"/>
            <w:vAlign w:val="center"/>
          </w:tcPr>
          <w:p w14:paraId="303EE85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废矿物油</w:t>
            </w:r>
          </w:p>
        </w:tc>
        <w:tc>
          <w:tcPr>
            <w:tcW w:w="2302" w:type="pct"/>
            <w:tcBorders>
              <w:tl2br w:val="nil"/>
              <w:tr2bl w:val="nil"/>
            </w:tcBorders>
            <w:noWrap w:val="0"/>
            <w:vAlign w:val="center"/>
          </w:tcPr>
          <w:p w14:paraId="0BEA996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暂存于危废贮存库（利旧），委托有危险废物处理资质的单位处理</w:t>
            </w:r>
          </w:p>
        </w:tc>
        <w:tc>
          <w:tcPr>
            <w:tcW w:w="601" w:type="pct"/>
            <w:tcBorders>
              <w:tl2br w:val="nil"/>
              <w:tr2bl w:val="nil"/>
            </w:tcBorders>
            <w:noWrap w:val="0"/>
            <w:vAlign w:val="center"/>
          </w:tcPr>
          <w:p w14:paraId="27BAC25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5</w:t>
            </w:r>
          </w:p>
        </w:tc>
      </w:tr>
      <w:tr w14:paraId="2D83BE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5" w:type="pct"/>
            <w:vMerge w:val="continue"/>
            <w:tcBorders>
              <w:tl2br w:val="nil"/>
              <w:tr2bl w:val="nil"/>
            </w:tcBorders>
            <w:noWrap w:val="0"/>
            <w:vAlign w:val="center"/>
          </w:tcPr>
          <w:p w14:paraId="600AE85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1680" w:type="pct"/>
            <w:gridSpan w:val="2"/>
            <w:tcBorders>
              <w:tl2br w:val="nil"/>
              <w:tr2bl w:val="nil"/>
            </w:tcBorders>
            <w:noWrap w:val="0"/>
            <w:vAlign w:val="center"/>
          </w:tcPr>
          <w:p w14:paraId="0362D9D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污染源监测</w:t>
            </w:r>
          </w:p>
        </w:tc>
        <w:tc>
          <w:tcPr>
            <w:tcW w:w="2302" w:type="pct"/>
            <w:tcBorders>
              <w:tl2br w:val="nil"/>
              <w:tr2bl w:val="nil"/>
            </w:tcBorders>
            <w:noWrap w:val="0"/>
            <w:vAlign w:val="center"/>
          </w:tcPr>
          <w:p w14:paraId="10512D6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 w:val="0"/>
                <w:bCs/>
                <w:color w:val="auto"/>
                <w:sz w:val="21"/>
                <w:szCs w:val="21"/>
                <w:highlight w:val="none"/>
              </w:rPr>
              <w:t>烟气在线监测系统</w:t>
            </w:r>
            <w:r>
              <w:rPr>
                <w:rFonts w:hint="default" w:ascii="Times New Roman" w:hAnsi="Times New Roman" w:eastAsia="宋体" w:cs="Times New Roman"/>
                <w:b w:val="0"/>
                <w:bCs/>
                <w:color w:val="auto"/>
                <w:sz w:val="21"/>
                <w:szCs w:val="21"/>
                <w:highlight w:val="none"/>
                <w:lang w:eastAsia="zh-CN"/>
              </w:rPr>
              <w:t>，</w:t>
            </w:r>
            <w:r>
              <w:rPr>
                <w:rFonts w:hint="default" w:ascii="Times New Roman" w:hAnsi="Times New Roman" w:eastAsia="宋体" w:cs="Times New Roman"/>
                <w:color w:val="auto"/>
                <w:sz w:val="21"/>
                <w:szCs w:val="21"/>
                <w:highlight w:val="none"/>
              </w:rPr>
              <w:t>与</w:t>
            </w:r>
            <w:r>
              <w:rPr>
                <w:rFonts w:hint="eastAsia" w:ascii="Times New Roman" w:hAnsi="Times New Roman" w:eastAsia="宋体" w:cs="Times New Roman"/>
                <w:color w:val="auto"/>
                <w:sz w:val="21"/>
                <w:szCs w:val="21"/>
                <w:highlight w:val="none"/>
                <w:lang w:val="en-US" w:eastAsia="zh-CN"/>
              </w:rPr>
              <w:t>佳木斯</w:t>
            </w:r>
            <w:r>
              <w:rPr>
                <w:rFonts w:hint="default" w:ascii="Times New Roman" w:hAnsi="Times New Roman" w:eastAsia="宋体" w:cs="Times New Roman"/>
                <w:color w:val="auto"/>
                <w:sz w:val="21"/>
                <w:szCs w:val="21"/>
                <w:highlight w:val="none"/>
              </w:rPr>
              <w:t>市</w:t>
            </w:r>
            <w:r>
              <w:rPr>
                <w:rFonts w:hint="default" w:ascii="Times New Roman" w:hAnsi="Times New Roman" w:eastAsia="宋体" w:cs="Times New Roman"/>
                <w:color w:val="auto"/>
                <w:sz w:val="21"/>
                <w:szCs w:val="21"/>
                <w:highlight w:val="none"/>
                <w:lang w:eastAsia="zh-CN"/>
              </w:rPr>
              <w:t>生态环境局</w:t>
            </w:r>
            <w:r>
              <w:rPr>
                <w:rFonts w:hint="default" w:ascii="Times New Roman" w:hAnsi="Times New Roman" w:eastAsia="宋体" w:cs="Times New Roman"/>
                <w:color w:val="auto"/>
                <w:sz w:val="21"/>
                <w:szCs w:val="21"/>
                <w:highlight w:val="none"/>
              </w:rPr>
              <w:t>监控中心联网。</w:t>
            </w:r>
          </w:p>
        </w:tc>
        <w:tc>
          <w:tcPr>
            <w:tcW w:w="601" w:type="pct"/>
            <w:tcBorders>
              <w:tl2br w:val="nil"/>
              <w:tr2bl w:val="nil"/>
            </w:tcBorders>
            <w:noWrap w:val="0"/>
            <w:vAlign w:val="center"/>
          </w:tcPr>
          <w:p w14:paraId="3CEB6F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25</w:t>
            </w:r>
          </w:p>
        </w:tc>
      </w:tr>
      <w:tr w14:paraId="5D86C0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415" w:type="pct"/>
            <w:vMerge w:val="continue"/>
            <w:tcBorders>
              <w:tl2br w:val="nil"/>
              <w:tr2bl w:val="nil"/>
            </w:tcBorders>
            <w:noWrap w:val="0"/>
            <w:vAlign w:val="center"/>
          </w:tcPr>
          <w:p w14:paraId="7EEC665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3983" w:type="pct"/>
            <w:gridSpan w:val="3"/>
            <w:tcBorders>
              <w:tl2br w:val="nil"/>
              <w:tr2bl w:val="nil"/>
            </w:tcBorders>
            <w:noWrap w:val="0"/>
            <w:vAlign w:val="center"/>
          </w:tcPr>
          <w:p w14:paraId="47E93C8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环保设备维护费用</w:t>
            </w:r>
          </w:p>
        </w:tc>
        <w:tc>
          <w:tcPr>
            <w:tcW w:w="601" w:type="pct"/>
            <w:tcBorders>
              <w:tl2br w:val="nil"/>
              <w:tr2bl w:val="nil"/>
            </w:tcBorders>
            <w:noWrap w:val="0"/>
            <w:vAlign w:val="center"/>
          </w:tcPr>
          <w:p w14:paraId="0AFCE1D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10</w:t>
            </w:r>
          </w:p>
        </w:tc>
      </w:tr>
      <w:tr w14:paraId="0DD743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5" w:type="pct"/>
            <w:vMerge w:val="continue"/>
            <w:tcBorders>
              <w:tl2br w:val="nil"/>
              <w:tr2bl w:val="nil"/>
            </w:tcBorders>
            <w:noWrap w:val="0"/>
            <w:vAlign w:val="center"/>
          </w:tcPr>
          <w:p w14:paraId="5BC26B0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3983" w:type="pct"/>
            <w:gridSpan w:val="3"/>
            <w:tcBorders>
              <w:tl2br w:val="nil"/>
              <w:tr2bl w:val="nil"/>
            </w:tcBorders>
            <w:noWrap w:val="0"/>
            <w:vAlign w:val="center"/>
          </w:tcPr>
          <w:p w14:paraId="544AE1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环境管理监测</w:t>
            </w:r>
          </w:p>
        </w:tc>
        <w:tc>
          <w:tcPr>
            <w:tcW w:w="601" w:type="pct"/>
            <w:tcBorders>
              <w:tl2br w:val="nil"/>
              <w:tr2bl w:val="nil"/>
            </w:tcBorders>
            <w:noWrap w:val="0"/>
            <w:vAlign w:val="center"/>
          </w:tcPr>
          <w:p w14:paraId="09858CF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lang w:val="en-US" w:eastAsia="zh-CN"/>
              </w:rPr>
              <w:t>1</w:t>
            </w:r>
            <w:r>
              <w:rPr>
                <w:rFonts w:hint="default" w:ascii="Times New Roman" w:hAnsi="Times New Roman" w:eastAsia="宋体" w:cs="Times New Roman"/>
                <w:bCs/>
                <w:color w:val="auto"/>
                <w:sz w:val="21"/>
                <w:szCs w:val="21"/>
                <w:highlight w:val="none"/>
              </w:rPr>
              <w:t>0</w:t>
            </w:r>
          </w:p>
        </w:tc>
      </w:tr>
      <w:tr w14:paraId="30B9AA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5" w:type="pct"/>
            <w:vMerge w:val="continue"/>
            <w:tcBorders>
              <w:tl2br w:val="nil"/>
              <w:tr2bl w:val="nil"/>
            </w:tcBorders>
            <w:noWrap w:val="0"/>
            <w:vAlign w:val="center"/>
          </w:tcPr>
          <w:p w14:paraId="40AC8B4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3983" w:type="pct"/>
            <w:gridSpan w:val="3"/>
            <w:tcBorders>
              <w:tl2br w:val="nil"/>
              <w:tr2bl w:val="nil"/>
            </w:tcBorders>
            <w:noWrap w:val="0"/>
            <w:vAlign w:val="center"/>
          </w:tcPr>
          <w:p w14:paraId="425F721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lang w:eastAsia="zh-CN"/>
              </w:rPr>
            </w:pPr>
            <w:r>
              <w:rPr>
                <w:rFonts w:hint="default" w:ascii="Times New Roman" w:hAnsi="Times New Roman" w:eastAsia="宋体" w:cs="Times New Roman"/>
                <w:bCs/>
                <w:color w:val="auto"/>
                <w:sz w:val="21"/>
                <w:szCs w:val="21"/>
                <w:highlight w:val="none"/>
                <w:lang w:val="en-US" w:eastAsia="zh-CN"/>
              </w:rPr>
              <w:t>环保投资总计</w:t>
            </w:r>
          </w:p>
        </w:tc>
        <w:tc>
          <w:tcPr>
            <w:tcW w:w="601" w:type="pct"/>
            <w:tcBorders>
              <w:tl2br w:val="nil"/>
              <w:tr2bl w:val="nil"/>
            </w:tcBorders>
            <w:noWrap w:val="0"/>
            <w:vAlign w:val="center"/>
          </w:tcPr>
          <w:p w14:paraId="4A8BE7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1014.3</w:t>
            </w:r>
          </w:p>
        </w:tc>
      </w:tr>
      <w:tr w14:paraId="69BE92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5" w:type="pct"/>
            <w:vMerge w:val="continue"/>
            <w:tcBorders>
              <w:tl2br w:val="nil"/>
              <w:tr2bl w:val="nil"/>
            </w:tcBorders>
            <w:noWrap w:val="0"/>
            <w:vAlign w:val="center"/>
          </w:tcPr>
          <w:p w14:paraId="4B52050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3983" w:type="pct"/>
            <w:gridSpan w:val="3"/>
            <w:tcBorders>
              <w:tl2br w:val="nil"/>
              <w:tr2bl w:val="nil"/>
            </w:tcBorders>
            <w:noWrap w:val="0"/>
            <w:vAlign w:val="center"/>
          </w:tcPr>
          <w:p w14:paraId="4C1C71E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项目总投资</w:t>
            </w:r>
          </w:p>
        </w:tc>
        <w:tc>
          <w:tcPr>
            <w:tcW w:w="601" w:type="pct"/>
            <w:tcBorders>
              <w:tl2br w:val="nil"/>
              <w:tr2bl w:val="nil"/>
            </w:tcBorders>
            <w:noWrap w:val="0"/>
            <w:vAlign w:val="center"/>
          </w:tcPr>
          <w:p w14:paraId="13BA2B2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sz w:val="21"/>
                <w:szCs w:val="21"/>
                <w:highlight w:val="none"/>
                <w:lang w:val="en-US" w:eastAsia="zh-CN"/>
              </w:rPr>
              <w:t>2100</w:t>
            </w:r>
          </w:p>
        </w:tc>
      </w:tr>
      <w:tr w14:paraId="5A7DA4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5" w:type="pct"/>
            <w:vMerge w:val="continue"/>
            <w:tcBorders>
              <w:tl2br w:val="nil"/>
              <w:tr2bl w:val="nil"/>
            </w:tcBorders>
            <w:noWrap w:val="0"/>
            <w:vAlign w:val="center"/>
          </w:tcPr>
          <w:p w14:paraId="1D1DB46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p>
        </w:tc>
        <w:tc>
          <w:tcPr>
            <w:tcW w:w="3983" w:type="pct"/>
            <w:gridSpan w:val="3"/>
            <w:tcBorders>
              <w:tl2br w:val="nil"/>
              <w:tr2bl w:val="nil"/>
            </w:tcBorders>
            <w:noWrap w:val="0"/>
            <w:vAlign w:val="center"/>
          </w:tcPr>
          <w:p w14:paraId="483C3F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环保投资占总投资比例%</w:t>
            </w:r>
          </w:p>
        </w:tc>
        <w:tc>
          <w:tcPr>
            <w:tcW w:w="601" w:type="pct"/>
            <w:tcBorders>
              <w:tl2br w:val="nil"/>
              <w:tr2bl w:val="nil"/>
            </w:tcBorders>
            <w:noWrap w:val="0"/>
            <w:vAlign w:val="center"/>
          </w:tcPr>
          <w:p w14:paraId="7186E76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48.3</w:t>
            </w:r>
          </w:p>
        </w:tc>
      </w:tr>
    </w:tbl>
    <w:p w14:paraId="34046C52">
      <w:pP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br w:type="page"/>
      </w:r>
    </w:p>
    <w:p w14:paraId="1A0AA47A">
      <w:pPr>
        <w:pStyle w:val="3"/>
        <w:numPr>
          <w:ilvl w:val="0"/>
          <w:numId w:val="0"/>
        </w:numPr>
        <w:ind w:leftChars="0"/>
        <w:rPr>
          <w:rFonts w:hint="default" w:ascii="Times New Roman" w:hAnsi="Times New Roman" w:eastAsia="宋体" w:cs="Times New Roman"/>
          <w:color w:val="auto"/>
          <w:highlight w:val="none"/>
        </w:rPr>
      </w:pPr>
      <w:bookmarkStart w:id="518" w:name="_Toc26201"/>
      <w:bookmarkStart w:id="519" w:name="_Toc9785"/>
      <w:r>
        <w:rPr>
          <w:rFonts w:hint="default" w:ascii="Times New Roman" w:hAnsi="Times New Roman" w:eastAsia="宋体" w:cs="Times New Roman"/>
          <w:color w:val="auto"/>
          <w:highlight w:val="none"/>
          <w:lang w:val="en-US" w:eastAsia="zh-CN"/>
        </w:rPr>
        <w:t>8</w:t>
      </w:r>
      <w:r>
        <w:rPr>
          <w:rFonts w:hint="default" w:ascii="Times New Roman" w:hAnsi="Times New Roman" w:eastAsia="宋体" w:cs="Times New Roman"/>
          <w:color w:val="auto"/>
          <w:highlight w:val="none"/>
        </w:rPr>
        <w:t>环境影响经济损益分析</w:t>
      </w:r>
      <w:bookmarkEnd w:id="518"/>
      <w:bookmarkEnd w:id="519"/>
    </w:p>
    <w:p w14:paraId="0FF34D94">
      <w:pPr>
        <w:spacing w:line="480" w:lineRule="exact"/>
        <w:ind w:firstLine="480" w:firstLineChars="200"/>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环境经济损益分析包括项目的环境保护措施投资估算、环境影响损失和环境收益，以及项目的经济效益和社会效益。</w:t>
      </w:r>
    </w:p>
    <w:p w14:paraId="5AFDE8CD">
      <w:pPr>
        <w:spacing w:line="480" w:lineRule="exact"/>
        <w:ind w:firstLine="480" w:firstLineChars="200"/>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以资料分析为主，在详细了解项目的工程概况及各污染物影响程度和范围的基础上进行经济损益估算，建立经济指标进行分析评价。</w:t>
      </w:r>
    </w:p>
    <w:p w14:paraId="3B103D73">
      <w:pPr>
        <w:pStyle w:val="4"/>
        <w:bidi w:val="0"/>
        <w:rPr>
          <w:rFonts w:hint="eastAsia" w:ascii="Times New Roman" w:hAnsi="Times New Roman" w:eastAsia="宋体" w:cs="Times New Roman"/>
          <w:b/>
          <w:bCs/>
          <w:color w:val="auto"/>
          <w:highlight w:val="none"/>
          <w:lang w:eastAsia="zh-CN"/>
        </w:rPr>
      </w:pPr>
      <w:bookmarkStart w:id="520" w:name="_Toc31815"/>
      <w:bookmarkStart w:id="521" w:name="_Toc10406"/>
      <w:r>
        <w:rPr>
          <w:rFonts w:hint="default" w:ascii="Times New Roman" w:hAnsi="Times New Roman" w:eastAsia="宋体" w:cs="Times New Roman"/>
          <w:b/>
          <w:bCs/>
          <w:color w:val="auto"/>
          <w:highlight w:val="none"/>
        </w:rPr>
        <w:t xml:space="preserve">8.1 </w:t>
      </w:r>
      <w:bookmarkEnd w:id="520"/>
      <w:r>
        <w:rPr>
          <w:rFonts w:hint="eastAsia" w:ascii="Times New Roman" w:hAnsi="Times New Roman" w:cs="Times New Roman"/>
          <w:b/>
          <w:bCs/>
          <w:color w:val="auto"/>
          <w:highlight w:val="none"/>
          <w:lang w:eastAsia="zh-CN"/>
        </w:rPr>
        <w:t>经济效益</w:t>
      </w:r>
      <w:bookmarkEnd w:id="521"/>
    </w:p>
    <w:p w14:paraId="29062878">
      <w:pPr>
        <w:spacing w:line="480" w:lineRule="exact"/>
        <w:ind w:firstLine="480" w:firstLineChars="200"/>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本项目建成后污染物主要有大气污染物、水污染物、噪声污染、固体废物等。</w:t>
      </w:r>
    </w:p>
    <w:p w14:paraId="75EF81B3">
      <w:pPr>
        <w:spacing w:line="480" w:lineRule="exact"/>
        <w:ind w:firstLine="480" w:firstLineChars="200"/>
        <w:rPr>
          <w:rFonts w:hint="default" w:ascii="Times New Roman" w:hAnsi="Times New Roman" w:eastAsia="宋体" w:cs="Times New Roman"/>
          <w:color w:val="auto"/>
          <w:kern w:val="0"/>
          <w:sz w:val="24"/>
          <w:szCs w:val="24"/>
          <w:highlight w:val="none"/>
        </w:rPr>
      </w:pPr>
      <w:r>
        <w:rPr>
          <w:rFonts w:hint="default" w:ascii="Times New Roman" w:hAnsi="Times New Roman" w:cs="Times New Roman"/>
          <w:color w:val="auto"/>
          <w:sz w:val="24"/>
          <w:highlight w:val="none"/>
        </w:rPr>
        <w:t>本工程燃煤集中供热，满足集中供热的需要，生产原料充足而方便，成本低，经济效益高，</w:t>
      </w:r>
      <w:r>
        <w:rPr>
          <w:rFonts w:hint="default" w:ascii="Times New Roman" w:hAnsi="Times New Roman" w:eastAsia="宋体" w:cs="Times New Roman"/>
          <w:color w:val="auto"/>
          <w:kern w:val="0"/>
          <w:sz w:val="24"/>
          <w:szCs w:val="24"/>
          <w:highlight w:val="none"/>
        </w:rPr>
        <w:t>工程项目具有较强的盈利和清偿能力，具有较好的经济效益和抗风险能力。因此本期工程从经济分析的角度看是合理的、可行的。</w:t>
      </w:r>
    </w:p>
    <w:p w14:paraId="7A72E522">
      <w:pPr>
        <w:spacing w:line="480" w:lineRule="exac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highlight w:val="none"/>
        </w:rPr>
        <w:t>另外，本工程投产后，产生</w:t>
      </w:r>
      <w:r>
        <w:rPr>
          <w:rFonts w:hint="eastAsia" w:ascii="Times New Roman" w:hAnsi="Times New Roman" w:eastAsia="宋体" w:cs="Times New Roman"/>
          <w:color w:val="auto"/>
          <w:kern w:val="0"/>
          <w:sz w:val="24"/>
          <w:szCs w:val="24"/>
          <w:highlight w:val="none"/>
          <w:lang w:eastAsia="zh-CN"/>
        </w:rPr>
        <w:t>的</w:t>
      </w:r>
      <w:r>
        <w:rPr>
          <w:rFonts w:hint="default" w:ascii="Times New Roman" w:hAnsi="Times New Roman" w:eastAsia="宋体" w:cs="Times New Roman"/>
          <w:color w:val="auto"/>
          <w:kern w:val="0"/>
          <w:sz w:val="24"/>
          <w:szCs w:val="24"/>
          <w:highlight w:val="none"/>
        </w:rPr>
        <w:t>灰渣全部外</w:t>
      </w:r>
      <w:r>
        <w:rPr>
          <w:rFonts w:hint="eastAsia" w:ascii="Times New Roman" w:hAnsi="Times New Roman" w:eastAsia="宋体" w:cs="Times New Roman"/>
          <w:color w:val="auto"/>
          <w:kern w:val="0"/>
          <w:sz w:val="24"/>
          <w:szCs w:val="24"/>
          <w:highlight w:val="none"/>
          <w:lang w:eastAsia="zh-CN"/>
        </w:rPr>
        <w:t>售</w:t>
      </w:r>
      <w:r>
        <w:rPr>
          <w:rFonts w:hint="default" w:ascii="Times New Roman" w:hAnsi="Times New Roman" w:eastAsia="宋体" w:cs="Times New Roman"/>
          <w:color w:val="auto"/>
          <w:kern w:val="0"/>
          <w:sz w:val="24"/>
          <w:szCs w:val="24"/>
          <w:highlight w:val="none"/>
        </w:rPr>
        <w:t>综合利用，按单价20元/t计，每年可回收费用</w:t>
      </w:r>
      <w:r>
        <w:rPr>
          <w:rFonts w:hint="eastAsia" w:ascii="Times New Roman" w:hAnsi="Times New Roman" w:eastAsia="宋体" w:cs="Times New Roman"/>
          <w:color w:val="auto"/>
          <w:kern w:val="0"/>
          <w:sz w:val="24"/>
          <w:szCs w:val="24"/>
          <w:highlight w:val="none"/>
          <w:lang w:eastAsia="zh-CN"/>
        </w:rPr>
        <w:t>约</w:t>
      </w:r>
      <w:r>
        <w:rPr>
          <w:rFonts w:hint="default" w:ascii="Times New Roman" w:hAnsi="Times New Roman" w:eastAsia="宋体" w:cs="Times New Roman"/>
          <w:color w:val="auto"/>
          <w:kern w:val="0"/>
          <w:sz w:val="24"/>
          <w:szCs w:val="24"/>
          <w:highlight w:val="none"/>
        </w:rPr>
        <w:t>1</w:t>
      </w:r>
      <w:r>
        <w:rPr>
          <w:rFonts w:hint="eastAsia" w:ascii="Times New Roman" w:hAnsi="Times New Roman" w:eastAsia="宋体" w:cs="Times New Roman"/>
          <w:color w:val="auto"/>
          <w:kern w:val="0"/>
          <w:sz w:val="24"/>
          <w:szCs w:val="24"/>
          <w:highlight w:val="none"/>
          <w:lang w:val="en-US" w:eastAsia="zh-CN"/>
        </w:rPr>
        <w:t>00</w:t>
      </w:r>
      <w:r>
        <w:rPr>
          <w:rFonts w:hint="default" w:ascii="Times New Roman" w:hAnsi="Times New Roman" w:eastAsia="宋体" w:cs="Times New Roman"/>
          <w:color w:val="auto"/>
          <w:kern w:val="0"/>
          <w:sz w:val="24"/>
          <w:szCs w:val="24"/>
          <w:highlight w:val="none"/>
        </w:rPr>
        <w:t>万元。</w:t>
      </w:r>
    </w:p>
    <w:p w14:paraId="08EE4681">
      <w:pPr>
        <w:pStyle w:val="4"/>
        <w:bidi w:val="0"/>
        <w:rPr>
          <w:rFonts w:hint="eastAsia" w:ascii="Times New Roman" w:hAnsi="Times New Roman" w:eastAsia="宋体" w:cs="Times New Roman"/>
          <w:b/>
          <w:bCs/>
          <w:color w:val="auto"/>
          <w:highlight w:val="none"/>
          <w:lang w:eastAsia="zh-CN"/>
        </w:rPr>
      </w:pPr>
      <w:bookmarkStart w:id="522" w:name="_Toc3551"/>
      <w:bookmarkStart w:id="523" w:name="_Toc765"/>
      <w:bookmarkStart w:id="524" w:name="_Toc6389"/>
      <w:r>
        <w:rPr>
          <w:rFonts w:hint="default" w:ascii="Times New Roman" w:hAnsi="Times New Roman" w:eastAsia="宋体" w:cs="Times New Roman"/>
          <w:b/>
          <w:bCs/>
          <w:color w:val="auto"/>
          <w:highlight w:val="none"/>
          <w:lang w:eastAsia="zh-CN"/>
        </w:rPr>
        <w:t>8.</w:t>
      </w:r>
      <w:r>
        <w:rPr>
          <w:rFonts w:hint="eastAsia" w:ascii="Times New Roman" w:hAnsi="Times New Roman" w:eastAsia="宋体" w:cs="Times New Roman"/>
          <w:b/>
          <w:bCs/>
          <w:color w:val="auto"/>
          <w:highlight w:val="none"/>
          <w:lang w:val="en-US" w:eastAsia="zh-CN"/>
        </w:rPr>
        <w:t>2</w:t>
      </w:r>
      <w:r>
        <w:rPr>
          <w:rFonts w:hint="default" w:ascii="Times New Roman" w:hAnsi="Times New Roman" w:eastAsia="宋体" w:cs="Times New Roman"/>
          <w:b/>
          <w:bCs/>
          <w:color w:val="auto"/>
          <w:highlight w:val="none"/>
          <w:lang w:eastAsia="zh-CN"/>
        </w:rPr>
        <w:t xml:space="preserve"> </w:t>
      </w:r>
      <w:r>
        <w:rPr>
          <w:rFonts w:hint="eastAsia" w:ascii="Times New Roman" w:hAnsi="Times New Roman" w:eastAsia="宋体" w:cs="Times New Roman"/>
          <w:b/>
          <w:bCs/>
          <w:color w:val="auto"/>
          <w:highlight w:val="none"/>
          <w:lang w:eastAsia="zh-CN"/>
        </w:rPr>
        <w:t>环境效益</w:t>
      </w:r>
      <w:bookmarkEnd w:id="522"/>
    </w:p>
    <w:p w14:paraId="4808D493">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highlight w:val="none"/>
        </w:rPr>
        <w:t>环保投资，即直接用于污染治理，减轻环境危害的投资。</w:t>
      </w:r>
      <w:r>
        <w:rPr>
          <w:rFonts w:hint="default" w:ascii="Times New Roman" w:hAnsi="Times New Roman" w:eastAsia="宋体" w:cs="Times New Roman"/>
          <w:color w:val="auto"/>
          <w:highlight w:val="none"/>
        </w:rPr>
        <w:t>本工程总</w:t>
      </w:r>
      <w:r>
        <w:rPr>
          <w:rFonts w:hint="eastAsia" w:ascii="Times New Roman" w:hAnsi="Times New Roman" w:eastAsia="宋体" w:cs="Times New Roman"/>
          <w:color w:val="auto"/>
          <w:highlight w:val="none"/>
          <w:lang w:eastAsia="zh-CN"/>
        </w:rPr>
        <w:t>投资</w:t>
      </w:r>
      <w:r>
        <w:rPr>
          <w:rFonts w:hint="eastAsia" w:ascii="Times New Roman" w:hAnsi="Times New Roman" w:eastAsia="宋体" w:cs="Times New Roman"/>
          <w:color w:val="auto"/>
          <w:highlight w:val="none"/>
          <w:lang w:val="en-US" w:eastAsia="zh-CN"/>
        </w:rPr>
        <w:t>2100</w:t>
      </w:r>
      <w:r>
        <w:rPr>
          <w:rFonts w:hint="default" w:ascii="Times New Roman" w:hAnsi="Times New Roman" w:eastAsia="宋体" w:cs="Times New Roman"/>
          <w:color w:val="auto"/>
          <w:highlight w:val="none"/>
        </w:rPr>
        <w:t>万元，其中环保投资为</w:t>
      </w:r>
      <w:r>
        <w:rPr>
          <w:rFonts w:hint="eastAsia" w:ascii="Times New Roman" w:hAnsi="Times New Roman" w:eastAsia="宋体" w:cs="Times New Roman"/>
          <w:color w:val="auto"/>
          <w:highlight w:val="none"/>
          <w:lang w:eastAsia="zh-CN"/>
        </w:rPr>
        <w:t>1014.3</w:t>
      </w:r>
      <w:r>
        <w:rPr>
          <w:rFonts w:hint="default" w:ascii="Times New Roman" w:hAnsi="Times New Roman" w:eastAsia="宋体" w:cs="Times New Roman"/>
          <w:color w:val="auto"/>
          <w:highlight w:val="none"/>
        </w:rPr>
        <w:t>万元，比例为</w:t>
      </w:r>
      <w:r>
        <w:rPr>
          <w:rFonts w:hint="eastAsia" w:ascii="Times New Roman" w:hAnsi="Times New Roman" w:eastAsia="宋体" w:cs="Times New Roman"/>
          <w:color w:val="auto"/>
          <w:highlight w:val="none"/>
          <w:lang w:val="en-US" w:eastAsia="zh-CN"/>
        </w:rPr>
        <w:t>48.3</w:t>
      </w: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本工程在设计中充分考虑了环境保护的要求，严格执行各项环境保护标准。遵循清洁生产的原则和循环经济理念，针对在生产过程中产生的污染物，从实际出发采取多种相应的治理措施，确保达标排放和总量控制要求。</w:t>
      </w:r>
    </w:p>
    <w:p w14:paraId="4E9F765A">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（1）采取集中供热，大大节约资源。</w:t>
      </w:r>
    </w:p>
    <w:p w14:paraId="34CA1B81">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）生产废水处理后回用，最大限度地节约水资源并把对地表水体的影响降低到最小程度。</w:t>
      </w:r>
    </w:p>
    <w:p w14:paraId="4491F73A">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）在设备选型时，选用低噪声设备，并采取消声措施，减少噪声对环境的影响。</w:t>
      </w:r>
    </w:p>
    <w:p w14:paraId="29D238E9">
      <w:pPr>
        <w:bidi w:val="0"/>
        <w:rPr>
          <w:rFonts w:hint="eastAsia"/>
          <w:color w:val="auto"/>
          <w:highlight w:val="none"/>
          <w:lang w:eastAsia="zh-CN"/>
        </w:rPr>
      </w:pPr>
      <w:r>
        <w:rPr>
          <w:rFonts w:hint="default" w:ascii="Times New Roman" w:hAnsi="Times New Roman" w:eastAsia="宋体" w:cs="Times New Roman"/>
          <w:color w:val="auto"/>
          <w:highlight w:val="none"/>
        </w:rPr>
        <w:t>环保设施减少了三废排放对环境的污染，具有良好的环境效益。</w:t>
      </w:r>
    </w:p>
    <w:p w14:paraId="41F0FB26">
      <w:pPr>
        <w:pStyle w:val="4"/>
        <w:bidi w:val="0"/>
        <w:rPr>
          <w:rFonts w:hint="eastAsia" w:ascii="Times New Roman" w:hAnsi="Times New Roman" w:eastAsia="宋体" w:cs="Times New Roman"/>
          <w:b/>
          <w:bCs/>
          <w:color w:val="auto"/>
          <w:highlight w:val="none"/>
          <w:lang w:eastAsia="zh-CN"/>
        </w:rPr>
      </w:pPr>
      <w:bookmarkStart w:id="525" w:name="_Toc21640"/>
      <w:r>
        <w:rPr>
          <w:rFonts w:hint="default" w:ascii="Times New Roman" w:hAnsi="Times New Roman" w:eastAsia="宋体" w:cs="Times New Roman"/>
          <w:b/>
          <w:bCs/>
          <w:color w:val="auto"/>
          <w:highlight w:val="none"/>
          <w:lang w:eastAsia="zh-CN"/>
        </w:rPr>
        <w:t>8.</w:t>
      </w:r>
      <w:r>
        <w:rPr>
          <w:rFonts w:hint="eastAsia" w:ascii="Times New Roman" w:hAnsi="Times New Roman" w:eastAsia="宋体" w:cs="Times New Roman"/>
          <w:b/>
          <w:bCs/>
          <w:color w:val="auto"/>
          <w:highlight w:val="none"/>
          <w:lang w:val="en-US" w:eastAsia="zh-CN"/>
        </w:rPr>
        <w:t>3</w:t>
      </w:r>
      <w:r>
        <w:rPr>
          <w:rFonts w:hint="default" w:ascii="Times New Roman" w:hAnsi="Times New Roman" w:eastAsia="宋体" w:cs="Times New Roman"/>
          <w:b/>
          <w:bCs/>
          <w:color w:val="auto"/>
          <w:highlight w:val="none"/>
          <w:lang w:eastAsia="zh-CN"/>
        </w:rPr>
        <w:t xml:space="preserve"> </w:t>
      </w:r>
      <w:bookmarkEnd w:id="523"/>
      <w:bookmarkEnd w:id="524"/>
      <w:r>
        <w:rPr>
          <w:rFonts w:hint="eastAsia" w:ascii="Times New Roman" w:hAnsi="Times New Roman" w:eastAsia="宋体" w:cs="Times New Roman"/>
          <w:b/>
          <w:bCs/>
          <w:color w:val="auto"/>
          <w:highlight w:val="none"/>
          <w:lang w:eastAsia="zh-CN"/>
        </w:rPr>
        <w:t>社会效益</w:t>
      </w:r>
      <w:bookmarkEnd w:id="525"/>
    </w:p>
    <w:p w14:paraId="50EA80B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（1）采用集中供热大型锅炉房代替原有分散小锅炉，并新增除尘脱硫脱</w:t>
      </w:r>
      <w:r>
        <w:rPr>
          <w:rFonts w:hint="eastAsia" w:ascii="Times New Roman" w:hAnsi="Times New Roman" w:eastAsia="宋体" w:cs="Times New Roman"/>
          <w:color w:val="auto"/>
          <w:sz w:val="24"/>
          <w:szCs w:val="24"/>
          <w:highlight w:val="none"/>
          <w:lang w:eastAsia="zh-CN"/>
        </w:rPr>
        <w:t>硝</w:t>
      </w:r>
      <w:r>
        <w:rPr>
          <w:rFonts w:hint="default" w:ascii="Times New Roman" w:hAnsi="Times New Roman" w:eastAsia="宋体" w:cs="Times New Roman"/>
          <w:color w:val="auto"/>
          <w:sz w:val="24"/>
          <w:szCs w:val="24"/>
          <w:highlight w:val="none"/>
        </w:rPr>
        <w:t>装置，改善了供热质量，提高了居民生活水平和生活质量，同时改</w:t>
      </w:r>
      <w:r>
        <w:rPr>
          <w:rFonts w:hint="eastAsia" w:ascii="Times New Roman" w:hAnsi="Times New Roman" w:eastAsia="宋体" w:cs="Times New Roman"/>
          <w:color w:val="auto"/>
          <w:sz w:val="24"/>
          <w:szCs w:val="24"/>
          <w:highlight w:val="none"/>
          <w:lang w:eastAsia="zh-CN"/>
        </w:rPr>
        <w:t>善和</w:t>
      </w:r>
      <w:r>
        <w:rPr>
          <w:rFonts w:hint="default" w:ascii="Times New Roman" w:hAnsi="Times New Roman" w:eastAsia="宋体" w:cs="Times New Roman"/>
          <w:color w:val="auto"/>
          <w:sz w:val="24"/>
          <w:szCs w:val="24"/>
          <w:highlight w:val="none"/>
        </w:rPr>
        <w:t>净化了城市环境，对建设生态城镇的目标将产生积极而深远的影响。</w:t>
      </w:r>
    </w:p>
    <w:p w14:paraId="3B4E0CD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kern w:val="0"/>
          <w:sz w:val="24"/>
          <w:szCs w:val="24"/>
          <w:highlight w:val="none"/>
          <w:lang w:val="en-US"/>
        </w:rPr>
      </w:pPr>
      <w:r>
        <w:rPr>
          <w:rFonts w:hint="default" w:ascii="Times New Roman" w:hAnsi="Times New Roman" w:eastAsia="宋体" w:cs="Times New Roman"/>
          <w:color w:val="auto"/>
          <w:sz w:val="24"/>
          <w:szCs w:val="24"/>
          <w:highlight w:val="none"/>
        </w:rPr>
        <w:t>（2）采用集中供热，生产废水全部回用，将使城区河流水质有所改善。</w:t>
      </w:r>
    </w:p>
    <w:p w14:paraId="0F036D20">
      <w:pPr>
        <w:pStyle w:val="4"/>
        <w:bidi w:val="0"/>
        <w:rPr>
          <w:rFonts w:hint="default" w:ascii="Times New Roman" w:hAnsi="Times New Roman" w:eastAsia="宋体" w:cs="Times New Roman"/>
          <w:b/>
          <w:bCs/>
          <w:color w:val="auto"/>
          <w:highlight w:val="none"/>
          <w:lang w:eastAsia="zh-CN"/>
        </w:rPr>
      </w:pPr>
      <w:bookmarkStart w:id="526" w:name="_Toc10390"/>
      <w:bookmarkStart w:id="527" w:name="_Toc28034"/>
      <w:bookmarkStart w:id="528" w:name="_Toc10217"/>
      <w:r>
        <w:rPr>
          <w:rFonts w:hint="default" w:ascii="Times New Roman" w:hAnsi="Times New Roman" w:eastAsia="宋体" w:cs="Times New Roman"/>
          <w:b/>
          <w:bCs/>
          <w:color w:val="auto"/>
          <w:highlight w:val="none"/>
          <w:lang w:eastAsia="zh-CN"/>
        </w:rPr>
        <w:t>8.</w:t>
      </w:r>
      <w:r>
        <w:rPr>
          <w:rFonts w:hint="eastAsia" w:ascii="Times New Roman" w:hAnsi="Times New Roman" w:eastAsia="宋体" w:cs="Times New Roman"/>
          <w:b/>
          <w:bCs/>
          <w:color w:val="auto"/>
          <w:highlight w:val="none"/>
          <w:lang w:val="en-US" w:eastAsia="zh-CN"/>
        </w:rPr>
        <w:t>4</w:t>
      </w:r>
      <w:r>
        <w:rPr>
          <w:rFonts w:hint="default" w:ascii="Times New Roman" w:hAnsi="Times New Roman" w:eastAsia="宋体" w:cs="Times New Roman"/>
          <w:b/>
          <w:bCs/>
          <w:color w:val="auto"/>
          <w:highlight w:val="none"/>
          <w:lang w:eastAsia="zh-CN"/>
        </w:rPr>
        <w:t xml:space="preserve"> 结论</w:t>
      </w:r>
      <w:bookmarkEnd w:id="526"/>
      <w:bookmarkEnd w:id="527"/>
      <w:bookmarkEnd w:id="528"/>
    </w:p>
    <w:p w14:paraId="77EC69D2">
      <w:pPr>
        <w:ind w:firstLine="480"/>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（1）本期工程从经济分析的角度看是合理的、可行的，具有较强的盈利和清偿能力，具有较好的经济效益和抗风险能力。</w:t>
      </w:r>
    </w:p>
    <w:p w14:paraId="12F4A273">
      <w:pPr>
        <w:ind w:firstLine="480"/>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（2）本工程对进一步促进废弃物的综合利用，</w:t>
      </w:r>
      <w:r>
        <w:rPr>
          <w:rFonts w:hint="eastAsia" w:ascii="Times New Roman" w:hAnsi="Times New Roman" w:eastAsia="宋体" w:cs="Times New Roman"/>
          <w:color w:val="auto"/>
          <w:kern w:val="0"/>
          <w:sz w:val="24"/>
          <w:szCs w:val="24"/>
          <w:highlight w:val="none"/>
          <w:lang w:eastAsia="zh-CN"/>
        </w:rPr>
        <w:t>变废为宝</w:t>
      </w:r>
      <w:r>
        <w:rPr>
          <w:rFonts w:hint="default" w:ascii="Times New Roman" w:hAnsi="Times New Roman" w:eastAsia="宋体" w:cs="Times New Roman"/>
          <w:color w:val="auto"/>
          <w:kern w:val="0"/>
          <w:sz w:val="24"/>
          <w:szCs w:val="24"/>
          <w:highlight w:val="none"/>
        </w:rPr>
        <w:t>，减轻环境污染，促进循环经济和清洁生产，增强地区经济实力具有明显作用，有利于环境保护，社会安定和区域经济发展。</w:t>
      </w:r>
    </w:p>
    <w:p w14:paraId="6E85BAF7">
      <w:pPr>
        <w:ind w:firstLine="480"/>
        <w:rPr>
          <w:rFonts w:hint="default" w:ascii="Times New Roman" w:hAnsi="Times New Roman" w:eastAsia="宋体" w:cs="Times New Roman"/>
          <w:color w:val="auto"/>
          <w:kern w:val="0"/>
          <w:sz w:val="24"/>
          <w:szCs w:val="24"/>
          <w:highlight w:val="none"/>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Times New Roman" w:hAnsi="Times New Roman" w:eastAsia="宋体" w:cs="Times New Roman"/>
          <w:color w:val="auto"/>
          <w:kern w:val="0"/>
          <w:sz w:val="24"/>
          <w:szCs w:val="24"/>
          <w:highlight w:val="none"/>
          <w:lang w:eastAsia="zh-CN"/>
        </w:rPr>
        <w:t>通过以上对本项目的环境效益分析可知，在落实本评价所提出的各项污染防治措施的前提下，</w:t>
      </w:r>
      <w:r>
        <w:rPr>
          <w:rFonts w:hint="default" w:ascii="Times New Roman" w:hAnsi="Times New Roman" w:eastAsia="宋体" w:cs="Times New Roman"/>
          <w:color w:val="auto"/>
          <w:kern w:val="0"/>
          <w:sz w:val="24"/>
          <w:szCs w:val="24"/>
          <w:highlight w:val="none"/>
        </w:rPr>
        <w:t>本工程经济指标均好于行业标准，环保投资</w:t>
      </w:r>
      <w:r>
        <w:rPr>
          <w:rFonts w:hint="eastAsia" w:ascii="Times New Roman" w:hAnsi="Times New Roman" w:eastAsia="宋体" w:cs="Times New Roman"/>
          <w:color w:val="auto"/>
          <w:kern w:val="0"/>
          <w:sz w:val="24"/>
          <w:szCs w:val="24"/>
          <w:highlight w:val="none"/>
          <w:lang w:eastAsia="zh-CN"/>
        </w:rPr>
        <w:t>比较</w:t>
      </w:r>
      <w:r>
        <w:rPr>
          <w:rFonts w:hint="default" w:ascii="Times New Roman" w:hAnsi="Times New Roman" w:eastAsia="宋体" w:cs="Times New Roman"/>
          <w:color w:val="auto"/>
          <w:kern w:val="0"/>
          <w:sz w:val="24"/>
          <w:szCs w:val="24"/>
          <w:highlight w:val="none"/>
        </w:rPr>
        <w:t>适宜，具有较好的经济效益、环境效益、环境经济效益和社会效益。</w:t>
      </w:r>
    </w:p>
    <w:p w14:paraId="6F65994B">
      <w:pPr>
        <w:pStyle w:val="3"/>
        <w:bidi w:val="0"/>
        <w:rPr>
          <w:rFonts w:hint="default" w:ascii="Times New Roman" w:hAnsi="Times New Roman" w:eastAsia="宋体" w:cs="Times New Roman"/>
          <w:color w:val="auto"/>
          <w:highlight w:val="none"/>
        </w:rPr>
      </w:pPr>
      <w:bookmarkStart w:id="529" w:name="_Toc355942114"/>
      <w:bookmarkStart w:id="530" w:name="_Toc337734528"/>
      <w:bookmarkStart w:id="531" w:name="_Toc11232"/>
      <w:bookmarkStart w:id="532" w:name="_Toc21231"/>
      <w:bookmarkStart w:id="533" w:name="_Toc17524"/>
      <w:bookmarkStart w:id="534" w:name="_Toc355942115"/>
      <w:bookmarkStart w:id="535" w:name="_Toc21642"/>
      <w:bookmarkStart w:id="536" w:name="_Toc337734529"/>
      <w:r>
        <w:rPr>
          <w:rFonts w:hint="default" w:ascii="Times New Roman" w:hAnsi="Times New Roman" w:eastAsia="宋体" w:cs="Times New Roman"/>
          <w:color w:val="auto"/>
          <w:highlight w:val="none"/>
        </w:rPr>
        <w:t>9 环境管理及监测</w:t>
      </w:r>
      <w:bookmarkEnd w:id="529"/>
      <w:bookmarkEnd w:id="530"/>
      <w:r>
        <w:rPr>
          <w:rFonts w:hint="default" w:ascii="Times New Roman" w:hAnsi="Times New Roman" w:eastAsia="宋体" w:cs="Times New Roman"/>
          <w:color w:val="auto"/>
          <w:highlight w:val="none"/>
        </w:rPr>
        <w:t>计划</w:t>
      </w:r>
      <w:bookmarkEnd w:id="531"/>
      <w:bookmarkEnd w:id="532"/>
      <w:bookmarkEnd w:id="533"/>
    </w:p>
    <w:p w14:paraId="03BF08BA">
      <w:pPr>
        <w:pStyle w:val="4"/>
        <w:bidi w:val="0"/>
        <w:rPr>
          <w:rFonts w:hint="default" w:ascii="Times New Roman" w:hAnsi="Times New Roman" w:eastAsia="宋体" w:cs="Times New Roman"/>
          <w:b/>
          <w:bCs/>
          <w:color w:val="auto"/>
          <w:highlight w:val="none"/>
        </w:rPr>
      </w:pPr>
      <w:bookmarkStart w:id="537" w:name="_Toc9295"/>
      <w:bookmarkStart w:id="538" w:name="_Toc30124"/>
      <w:r>
        <w:rPr>
          <w:rFonts w:hint="default" w:ascii="Times New Roman" w:hAnsi="Times New Roman" w:eastAsia="宋体" w:cs="Times New Roman"/>
          <w:b/>
          <w:bCs/>
          <w:color w:val="auto"/>
          <w:highlight w:val="none"/>
        </w:rPr>
        <w:t>9.1 环境管理</w:t>
      </w:r>
      <w:bookmarkEnd w:id="534"/>
      <w:bookmarkEnd w:id="535"/>
      <w:bookmarkEnd w:id="536"/>
      <w:bookmarkEnd w:id="537"/>
      <w:bookmarkEnd w:id="538"/>
    </w:p>
    <w:p w14:paraId="563DFB8C">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管理是指运用经济、法律、技术、行政、教育等手段，限制人类损害环境质量的活动，通过全面规划使经济发展与环境相协调，达到既要发展经济，满足人类的基本需要，又不超出环境的容许极限，这些内容概括起来就是环境管理。</w:t>
      </w:r>
    </w:p>
    <w:p w14:paraId="6A278E90">
      <w:pPr>
        <w:pStyle w:val="6"/>
        <w:bidi w:val="0"/>
        <w:rPr>
          <w:rFonts w:hint="default" w:ascii="Times New Roman" w:hAnsi="Times New Roman" w:eastAsia="宋体" w:cs="Times New Roman"/>
          <w:color w:val="auto"/>
          <w:highlight w:val="none"/>
        </w:rPr>
      </w:pPr>
      <w:bookmarkStart w:id="539" w:name="_Toc3701"/>
      <w:bookmarkStart w:id="540" w:name="_Toc2197"/>
      <w:bookmarkStart w:id="541" w:name="_Toc12799"/>
      <w:r>
        <w:rPr>
          <w:rFonts w:hint="default" w:ascii="Times New Roman" w:hAnsi="Times New Roman" w:eastAsia="宋体" w:cs="Times New Roman"/>
          <w:color w:val="auto"/>
          <w:highlight w:val="none"/>
        </w:rPr>
        <w:t>9.1.1 环境管理的意义</w:t>
      </w:r>
      <w:bookmarkEnd w:id="539"/>
      <w:bookmarkEnd w:id="540"/>
      <w:bookmarkEnd w:id="541"/>
    </w:p>
    <w:p w14:paraId="3EE1BA85">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通过加强环境管理，建立相应的环境管理计划与监测计划，可以促进污染治理，确保环保设施正常运行、排污达标；可以避免许多因管理不善而产生的环境风险和对人群健康造成的危害，使建设项目对环境的危害控制在最小范围内。</w:t>
      </w:r>
    </w:p>
    <w:p w14:paraId="686FB811">
      <w:pPr>
        <w:pStyle w:val="6"/>
        <w:bidi w:val="0"/>
        <w:rPr>
          <w:rFonts w:hint="default" w:ascii="Times New Roman" w:hAnsi="Times New Roman" w:eastAsia="宋体" w:cs="Times New Roman"/>
          <w:color w:val="auto"/>
          <w:highlight w:val="none"/>
        </w:rPr>
      </w:pPr>
      <w:bookmarkStart w:id="542" w:name="_Toc355942116"/>
      <w:bookmarkStart w:id="543" w:name="_Toc337734530"/>
      <w:bookmarkStart w:id="544" w:name="_Toc15308"/>
      <w:bookmarkStart w:id="545" w:name="_Toc27065"/>
      <w:bookmarkStart w:id="546" w:name="_Toc22870"/>
      <w:r>
        <w:rPr>
          <w:rFonts w:hint="default" w:ascii="Times New Roman" w:hAnsi="Times New Roman" w:eastAsia="宋体" w:cs="Times New Roman"/>
          <w:color w:val="auto"/>
          <w:highlight w:val="none"/>
        </w:rPr>
        <w:t>9.1.2 环境管理</w:t>
      </w:r>
      <w:bookmarkEnd w:id="542"/>
      <w:bookmarkEnd w:id="543"/>
      <w:r>
        <w:rPr>
          <w:rFonts w:hint="default" w:ascii="Times New Roman" w:hAnsi="Times New Roman" w:eastAsia="宋体" w:cs="Times New Roman"/>
          <w:color w:val="auto"/>
          <w:highlight w:val="none"/>
        </w:rPr>
        <w:t>体系</w:t>
      </w:r>
      <w:bookmarkEnd w:id="544"/>
      <w:bookmarkEnd w:id="545"/>
      <w:bookmarkEnd w:id="546"/>
    </w:p>
    <w:p w14:paraId="3D0CD4E0">
      <w:pPr>
        <w:bidi w:val="0"/>
        <w:rPr>
          <w:rFonts w:hint="default" w:ascii="Times New Roman" w:hAnsi="Times New Roman" w:eastAsia="宋体" w:cs="Times New Roman"/>
          <w:color w:val="auto"/>
          <w:highlight w:val="none"/>
        </w:rPr>
      </w:pPr>
      <w:bookmarkStart w:id="547" w:name="_Toc337734531"/>
      <w:bookmarkStart w:id="548" w:name="_Toc355942117"/>
      <w:r>
        <w:rPr>
          <w:rFonts w:hint="default" w:ascii="Times New Roman" w:hAnsi="Times New Roman" w:eastAsia="宋体" w:cs="Times New Roman"/>
          <w:color w:val="auto"/>
          <w:highlight w:val="none"/>
        </w:rPr>
        <w:t>为确保建设项目环境管理工作真正得到落实，其环境管理体系由施工期的环境管理和运行期的环境管理组成。</w:t>
      </w:r>
    </w:p>
    <w:p w14:paraId="77EA934C">
      <w:pPr>
        <w:bidi w:val="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1.</w:t>
      </w:r>
      <w:r>
        <w:rPr>
          <w:rFonts w:hint="default" w:ascii="Times New Roman" w:hAnsi="Times New Roman" w:eastAsia="宋体" w:cs="Times New Roman"/>
          <w:color w:val="auto"/>
          <w:highlight w:val="none"/>
        </w:rPr>
        <w:t>环境管理机构</w:t>
      </w:r>
    </w:p>
    <w:p w14:paraId="02CDC37F">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管理体系作为本项目企业管理体系的一部分，应与之相协调统一。企业应加强环境管理及监测，实行经理（厂长）领导下的“一人主管，分工负责；职能部门，各负其责；落实基层，监督考核”的原则，建立以经理（厂长）领导为核心，环保职能部门为基础的全员责任制的环境管理体系，并配备1-2名专职环境管理人员，使环境管理很好</w:t>
      </w:r>
      <w:r>
        <w:rPr>
          <w:rFonts w:hint="eastAsia" w:ascii="Times New Roman" w:hAnsi="Times New Roman" w:eastAsia="宋体" w:cs="Times New Roman"/>
          <w:color w:val="auto"/>
          <w:highlight w:val="none"/>
          <w:lang w:eastAsia="zh-CN"/>
        </w:rPr>
        <w:t>地</w:t>
      </w:r>
      <w:r>
        <w:rPr>
          <w:rFonts w:hint="default" w:ascii="Times New Roman" w:hAnsi="Times New Roman" w:eastAsia="宋体" w:cs="Times New Roman"/>
          <w:color w:val="auto"/>
          <w:highlight w:val="none"/>
        </w:rPr>
        <w:t>贯穿于企业管理的整个过程，并落实到企业的各个层次，分解到生产的各个环节，把企业管理与环境管理紧密</w:t>
      </w:r>
      <w:r>
        <w:rPr>
          <w:rFonts w:hint="eastAsia" w:ascii="Times New Roman" w:hAnsi="Times New Roman" w:eastAsia="宋体" w:cs="Times New Roman"/>
          <w:color w:val="auto"/>
          <w:highlight w:val="none"/>
          <w:lang w:eastAsia="zh-CN"/>
        </w:rPr>
        <w:t>地</w:t>
      </w:r>
      <w:r>
        <w:rPr>
          <w:rFonts w:hint="default" w:ascii="Times New Roman" w:hAnsi="Times New Roman" w:eastAsia="宋体" w:cs="Times New Roman"/>
          <w:color w:val="auto"/>
          <w:highlight w:val="none"/>
        </w:rPr>
        <w:t>结合起来。不但要建立完善的企业管理体系和各种规章制度，也要建立完善的环境管理体系，使企业的环境管理工作真正落到实处。</w:t>
      </w:r>
    </w:p>
    <w:p w14:paraId="7A7CB432">
      <w:pPr>
        <w:bidi w:val="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2.</w:t>
      </w:r>
      <w:r>
        <w:rPr>
          <w:rFonts w:hint="default" w:ascii="Times New Roman" w:hAnsi="Times New Roman" w:eastAsia="宋体" w:cs="Times New Roman"/>
          <w:color w:val="auto"/>
          <w:highlight w:val="none"/>
        </w:rPr>
        <w:t>环境管理职责</w:t>
      </w:r>
    </w:p>
    <w:p w14:paraId="77DC800C">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加大宣传力度，</w:t>
      </w:r>
      <w:r>
        <w:rPr>
          <w:rFonts w:hint="eastAsia" w:ascii="Times New Roman" w:hAnsi="Times New Roman" w:eastAsia="宋体" w:cs="Times New Roman"/>
          <w:color w:val="auto"/>
          <w:highlight w:val="none"/>
          <w:lang w:eastAsia="zh-CN"/>
        </w:rPr>
        <w:t>增强</w:t>
      </w:r>
      <w:r>
        <w:rPr>
          <w:rFonts w:hint="default" w:ascii="Times New Roman" w:hAnsi="Times New Roman" w:eastAsia="宋体" w:cs="Times New Roman"/>
          <w:color w:val="auto"/>
          <w:highlight w:val="none"/>
        </w:rPr>
        <w:t>企业人员的环保意识；对本项目产生的固体废物按要求储存处理，避免垃圾污染环境；负责制定和实施事故应急计划，一旦火灾或跑、冒、漏事故发生，能够及时而且有条不紊</w:t>
      </w:r>
      <w:r>
        <w:rPr>
          <w:rFonts w:hint="eastAsia" w:ascii="Times New Roman" w:hAnsi="Times New Roman" w:eastAsia="宋体" w:cs="Times New Roman"/>
          <w:color w:val="auto"/>
          <w:highlight w:val="none"/>
          <w:lang w:eastAsia="zh-CN"/>
        </w:rPr>
        <w:t>地</w:t>
      </w:r>
      <w:r>
        <w:rPr>
          <w:rFonts w:hint="default" w:ascii="Times New Roman" w:hAnsi="Times New Roman" w:eastAsia="宋体" w:cs="Times New Roman"/>
          <w:color w:val="auto"/>
          <w:highlight w:val="none"/>
        </w:rPr>
        <w:t>开展救灾活动，使人、财损失降到最低限度。</w:t>
      </w:r>
    </w:p>
    <w:bookmarkEnd w:id="547"/>
    <w:bookmarkEnd w:id="548"/>
    <w:p w14:paraId="3B887287">
      <w:pPr>
        <w:pStyle w:val="6"/>
        <w:bidi w:val="0"/>
        <w:rPr>
          <w:rFonts w:hint="default" w:ascii="Times New Roman" w:hAnsi="Times New Roman" w:eastAsia="宋体" w:cs="Times New Roman"/>
          <w:color w:val="auto"/>
          <w:highlight w:val="none"/>
        </w:rPr>
      </w:pPr>
      <w:bookmarkStart w:id="549" w:name="_Toc337734532"/>
      <w:bookmarkStart w:id="550" w:name="_Toc355942118"/>
      <w:bookmarkStart w:id="551" w:name="_Toc5794"/>
      <w:bookmarkStart w:id="552" w:name="_Toc1550"/>
      <w:bookmarkStart w:id="553" w:name="_Toc7326"/>
      <w:r>
        <w:rPr>
          <w:rFonts w:hint="default" w:ascii="Times New Roman" w:hAnsi="Times New Roman" w:eastAsia="宋体" w:cs="Times New Roman"/>
          <w:color w:val="auto"/>
          <w:highlight w:val="none"/>
        </w:rPr>
        <w:t>9.1.</w:t>
      </w:r>
      <w:r>
        <w:rPr>
          <w:rFonts w:hint="default" w:ascii="Times New Roman" w:hAnsi="Times New Roman" w:eastAsia="宋体" w:cs="Times New Roman"/>
          <w:color w:val="auto"/>
          <w:highlight w:val="none"/>
          <w:lang w:val="en-US" w:eastAsia="zh-CN"/>
        </w:rPr>
        <w:t xml:space="preserve">3 </w:t>
      </w:r>
      <w:r>
        <w:rPr>
          <w:rFonts w:hint="default" w:ascii="Times New Roman" w:hAnsi="Times New Roman" w:eastAsia="宋体" w:cs="Times New Roman"/>
          <w:color w:val="auto"/>
          <w:highlight w:val="none"/>
        </w:rPr>
        <w:t>施工期环境管理</w:t>
      </w:r>
      <w:bookmarkEnd w:id="549"/>
      <w:bookmarkEnd w:id="550"/>
      <w:r>
        <w:rPr>
          <w:rFonts w:hint="default" w:ascii="Times New Roman" w:hAnsi="Times New Roman" w:eastAsia="宋体" w:cs="Times New Roman"/>
          <w:color w:val="auto"/>
          <w:highlight w:val="none"/>
        </w:rPr>
        <w:t>计划</w:t>
      </w:r>
      <w:bookmarkEnd w:id="551"/>
      <w:bookmarkEnd w:id="552"/>
      <w:bookmarkEnd w:id="553"/>
    </w:p>
    <w:p w14:paraId="58BB7114">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1.环境管理机构对施工期环境保护工作全面负责，履行施工期各阶段环境管理职责。</w:t>
      </w:r>
    </w:p>
    <w:p w14:paraId="3CEF68FE">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2.对施工队伍实行职责管理，要求施工队伍按要求文明施工，并做好监督、检查和教育工作。</w:t>
      </w:r>
    </w:p>
    <w:p w14:paraId="749C2405">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3.按照环保主管部门的要求和本环评中有关环境保护措施对施工程序和场地布置实施统一安排。</w:t>
      </w:r>
    </w:p>
    <w:p w14:paraId="2062580B">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4.对产生的扬尘应及时洒水，及时清除弃土，避免二次扬尘。</w:t>
      </w:r>
    </w:p>
    <w:p w14:paraId="450F4071">
      <w:pPr>
        <w:bidi w:val="0"/>
        <w:rPr>
          <w:rFonts w:hint="default" w:ascii="Times New Roman" w:hAnsi="Times New Roman" w:eastAsia="宋体" w:cs="Times New Roman"/>
          <w:color w:val="auto"/>
          <w:kern w:val="0"/>
          <w:szCs w:val="24"/>
          <w:highlight w:val="none"/>
        </w:rPr>
      </w:pPr>
      <w:r>
        <w:rPr>
          <w:rFonts w:hint="default" w:ascii="Times New Roman" w:hAnsi="Times New Roman" w:eastAsia="宋体" w:cs="Times New Roman"/>
          <w:color w:val="auto"/>
          <w:highlight w:val="none"/>
        </w:rPr>
        <w:t>5.合理布置施工场</w:t>
      </w:r>
      <w:r>
        <w:rPr>
          <w:rFonts w:hint="default" w:ascii="Times New Roman" w:hAnsi="Times New Roman" w:eastAsia="宋体" w:cs="Times New Roman"/>
          <w:color w:val="auto"/>
          <w:highlight w:val="none"/>
          <w:lang w:val="en-US" w:eastAsia="zh-CN"/>
        </w:rPr>
        <w:t>地</w:t>
      </w:r>
      <w:r>
        <w:rPr>
          <w:rFonts w:hint="default" w:ascii="Times New Roman" w:hAnsi="Times New Roman" w:eastAsia="宋体" w:cs="Times New Roman"/>
          <w:color w:val="auto"/>
          <w:kern w:val="0"/>
          <w:szCs w:val="24"/>
          <w:highlight w:val="none"/>
        </w:rPr>
        <w:t>内的机械设备，把噪声较大的机械设备布置到远离居民地点。</w:t>
      </w:r>
    </w:p>
    <w:p w14:paraId="42DDE87D">
      <w:pPr>
        <w:keepNext w:val="0"/>
        <w:keepLines w:val="0"/>
        <w:pageBreakBefore w:val="0"/>
        <w:widowControl w:val="0"/>
        <w:kinsoku/>
        <w:wordWrap/>
        <w:overflowPunct/>
        <w:topLinePunct w:val="0"/>
        <w:autoSpaceDE w:val="0"/>
        <w:autoSpaceDN w:val="0"/>
        <w:bidi w:val="0"/>
        <w:adjustRightInd w:val="0"/>
        <w:snapToGrid/>
        <w:spacing w:line="480" w:lineRule="exact"/>
        <w:ind w:firstLine="0" w:firstLineChars="0"/>
        <w:jc w:val="center"/>
        <w:textAlignment w:val="auto"/>
        <w:rPr>
          <w:rFonts w:hint="default" w:ascii="Times New Roman" w:hAnsi="Times New Roman" w:eastAsia="宋体" w:cs="Times New Roman"/>
          <w:snapToGrid w:val="0"/>
          <w:color w:val="auto"/>
          <w:kern w:val="0"/>
          <w:sz w:val="24"/>
          <w:szCs w:val="24"/>
          <w:highlight w:val="none"/>
        </w:rPr>
      </w:pPr>
      <w:r>
        <w:rPr>
          <w:rFonts w:hint="default" w:ascii="Times New Roman" w:hAnsi="Times New Roman" w:eastAsia="宋体" w:cs="Times New Roman"/>
          <w:snapToGrid w:val="0"/>
          <w:color w:val="auto"/>
          <w:kern w:val="0"/>
          <w:sz w:val="24"/>
          <w:szCs w:val="24"/>
          <w:highlight w:val="none"/>
        </w:rPr>
        <w:t>表9</w:t>
      </w:r>
      <w:r>
        <w:rPr>
          <w:rFonts w:hint="default" w:ascii="Times New Roman" w:hAnsi="Times New Roman" w:eastAsia="宋体" w:cs="Times New Roman"/>
          <w:snapToGrid w:val="0"/>
          <w:color w:val="auto"/>
          <w:kern w:val="0"/>
          <w:sz w:val="24"/>
          <w:szCs w:val="24"/>
          <w:highlight w:val="none"/>
          <w:lang w:val="en-US" w:eastAsia="zh-CN"/>
        </w:rPr>
        <w:t>.</w:t>
      </w:r>
      <w:r>
        <w:rPr>
          <w:rFonts w:hint="default" w:ascii="Times New Roman" w:hAnsi="Times New Roman" w:eastAsia="宋体" w:cs="Times New Roman"/>
          <w:snapToGrid w:val="0"/>
          <w:color w:val="auto"/>
          <w:kern w:val="0"/>
          <w:sz w:val="24"/>
          <w:szCs w:val="24"/>
          <w:highlight w:val="none"/>
        </w:rPr>
        <w:t>1-1  施工期环境管理计划</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46"/>
        <w:gridCol w:w="6006"/>
        <w:gridCol w:w="866"/>
        <w:gridCol w:w="598"/>
      </w:tblGrid>
      <w:tr w14:paraId="41F777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97" w:hRule="atLeast"/>
          <w:jc w:val="center"/>
        </w:trPr>
        <w:tc>
          <w:tcPr>
            <w:tcW w:w="614" w:type="pct"/>
            <w:tcBorders>
              <w:tl2br w:val="nil"/>
              <w:tr2bl w:val="nil"/>
            </w:tcBorders>
            <w:noWrap w:val="0"/>
            <w:vAlign w:val="center"/>
          </w:tcPr>
          <w:p w14:paraId="39D260B9">
            <w:pPr>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监理项目</w:t>
            </w:r>
          </w:p>
        </w:tc>
        <w:tc>
          <w:tcPr>
            <w:tcW w:w="3525" w:type="pct"/>
            <w:tcBorders>
              <w:tl2br w:val="nil"/>
              <w:tr2bl w:val="nil"/>
            </w:tcBorders>
            <w:noWrap w:val="0"/>
            <w:vAlign w:val="center"/>
          </w:tcPr>
          <w:p w14:paraId="60ADCD3C">
            <w:pPr>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技术要求</w:t>
            </w:r>
          </w:p>
        </w:tc>
        <w:tc>
          <w:tcPr>
            <w:tcW w:w="508" w:type="pct"/>
            <w:tcBorders>
              <w:tl2br w:val="nil"/>
              <w:tr2bl w:val="nil"/>
            </w:tcBorders>
            <w:noWrap w:val="0"/>
            <w:vAlign w:val="center"/>
          </w:tcPr>
          <w:p w14:paraId="1E3A37AE">
            <w:pPr>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实施</w:t>
            </w:r>
          </w:p>
          <w:p w14:paraId="77ED9D9A">
            <w:pPr>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机构</w:t>
            </w:r>
          </w:p>
        </w:tc>
        <w:tc>
          <w:tcPr>
            <w:tcW w:w="351" w:type="pct"/>
            <w:tcBorders>
              <w:tl2br w:val="nil"/>
              <w:tr2bl w:val="nil"/>
            </w:tcBorders>
            <w:noWrap w:val="0"/>
            <w:vAlign w:val="center"/>
          </w:tcPr>
          <w:p w14:paraId="4AA6C229">
            <w:pPr>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监控</w:t>
            </w:r>
          </w:p>
          <w:p w14:paraId="2DE0B59C">
            <w:pPr>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机构</w:t>
            </w:r>
          </w:p>
        </w:tc>
      </w:tr>
      <w:tr w14:paraId="45B4DC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4" w:type="pct"/>
            <w:tcBorders>
              <w:tl2br w:val="nil"/>
              <w:tr2bl w:val="nil"/>
            </w:tcBorders>
            <w:noWrap w:val="0"/>
            <w:vAlign w:val="center"/>
          </w:tcPr>
          <w:p w14:paraId="7D7D9EF3">
            <w:pPr>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环境空气污染</w:t>
            </w:r>
          </w:p>
        </w:tc>
        <w:tc>
          <w:tcPr>
            <w:tcW w:w="3525" w:type="pct"/>
            <w:tcBorders>
              <w:tl2br w:val="nil"/>
              <w:tr2bl w:val="nil"/>
            </w:tcBorders>
            <w:noWrap w:val="0"/>
            <w:vAlign w:val="center"/>
          </w:tcPr>
          <w:p w14:paraId="2378DCCF">
            <w:pPr>
              <w:keepNext w:val="0"/>
              <w:keepLines w:val="0"/>
              <w:pageBreakBefore w:val="0"/>
              <w:widowControl w:val="0"/>
              <w:kinsoku/>
              <w:wordWrap/>
              <w:overflowPunct/>
              <w:topLinePunct w:val="0"/>
              <w:bidi w:val="0"/>
              <w:snapToGrid/>
              <w:spacing w:line="240" w:lineRule="auto"/>
              <w:ind w:firstLine="0" w:firstLineChars="0"/>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（1）施工作业场地应采取定时洒水降尘措施</w:t>
            </w:r>
          </w:p>
          <w:p w14:paraId="6421CB44">
            <w:pPr>
              <w:keepNext w:val="0"/>
              <w:keepLines w:val="0"/>
              <w:pageBreakBefore w:val="0"/>
              <w:widowControl w:val="0"/>
              <w:kinsoku/>
              <w:wordWrap/>
              <w:overflowPunct/>
              <w:topLinePunct w:val="0"/>
              <w:bidi w:val="0"/>
              <w:snapToGrid/>
              <w:spacing w:line="240" w:lineRule="auto"/>
              <w:ind w:firstLine="0" w:firstLineChars="0"/>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（2）料场和贮料场采用遮盖或洒水以防止扬尘污染，运送建筑材料的卡车加盖苫布，以减少</w:t>
            </w:r>
            <w:r>
              <w:rPr>
                <w:rFonts w:hint="eastAsia" w:ascii="Times New Roman" w:hAnsi="Times New Roman" w:eastAsia="宋体" w:cs="Times New Roman"/>
                <w:color w:val="auto"/>
                <w:sz w:val="21"/>
                <w:szCs w:val="21"/>
                <w:highlight w:val="none"/>
                <w:lang w:eastAsia="zh-CN"/>
              </w:rPr>
              <w:t>抛撒</w:t>
            </w:r>
            <w:r>
              <w:rPr>
                <w:rFonts w:hint="default" w:ascii="Times New Roman" w:hAnsi="Times New Roman" w:eastAsia="宋体" w:cs="Times New Roman"/>
                <w:color w:val="auto"/>
                <w:sz w:val="21"/>
                <w:szCs w:val="21"/>
                <w:highlight w:val="none"/>
              </w:rPr>
              <w:t>。</w:t>
            </w:r>
          </w:p>
        </w:tc>
        <w:tc>
          <w:tcPr>
            <w:tcW w:w="508" w:type="pct"/>
            <w:tcBorders>
              <w:tl2br w:val="nil"/>
              <w:tr2bl w:val="nil"/>
            </w:tcBorders>
            <w:noWrap w:val="0"/>
            <w:vAlign w:val="center"/>
          </w:tcPr>
          <w:p w14:paraId="5F24241D">
            <w:pPr>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承包商</w:t>
            </w:r>
          </w:p>
        </w:tc>
        <w:tc>
          <w:tcPr>
            <w:tcW w:w="351" w:type="pct"/>
            <w:vMerge w:val="restart"/>
            <w:tcBorders>
              <w:tl2br w:val="nil"/>
              <w:tr2bl w:val="nil"/>
            </w:tcBorders>
            <w:noWrap w:val="0"/>
            <w:vAlign w:val="center"/>
          </w:tcPr>
          <w:p w14:paraId="782BC85C">
            <w:pPr>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委托有资质单位进行</w:t>
            </w:r>
            <w:r>
              <w:rPr>
                <w:rFonts w:hint="default" w:ascii="Times New Roman" w:hAnsi="Times New Roman" w:eastAsia="宋体" w:cs="Times New Roman"/>
                <w:color w:val="auto"/>
                <w:sz w:val="21"/>
                <w:szCs w:val="21"/>
                <w:highlight w:val="none"/>
                <w:lang w:val="en-US" w:eastAsia="zh-CN"/>
              </w:rPr>
              <w:t>监控</w:t>
            </w:r>
          </w:p>
        </w:tc>
      </w:tr>
      <w:tr w14:paraId="5C475C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4" w:type="pct"/>
            <w:tcBorders>
              <w:tl2br w:val="nil"/>
              <w:tr2bl w:val="nil"/>
            </w:tcBorders>
            <w:noWrap w:val="0"/>
            <w:vAlign w:val="center"/>
          </w:tcPr>
          <w:p w14:paraId="454E7CCF">
            <w:pPr>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地表水污染</w:t>
            </w:r>
          </w:p>
        </w:tc>
        <w:tc>
          <w:tcPr>
            <w:tcW w:w="3525" w:type="pct"/>
            <w:tcBorders>
              <w:tl2br w:val="nil"/>
              <w:tr2bl w:val="nil"/>
            </w:tcBorders>
            <w:noWrap w:val="0"/>
            <w:vAlign w:val="center"/>
          </w:tcPr>
          <w:p w14:paraId="2719FB8C">
            <w:pPr>
              <w:keepNext w:val="0"/>
              <w:keepLines w:val="0"/>
              <w:pageBreakBefore w:val="0"/>
              <w:widowControl w:val="0"/>
              <w:kinsoku/>
              <w:wordWrap/>
              <w:overflowPunct/>
              <w:topLinePunct w:val="0"/>
              <w:bidi w:val="0"/>
              <w:snapToGrid/>
              <w:spacing w:line="240" w:lineRule="auto"/>
              <w:ind w:firstLine="0" w:firstLineChars="0"/>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（1）施工营地及施工管理区需设置隔油池及生活垃圾集中堆放场地，以使生活污水、生活垃圾集中处理，</w:t>
            </w:r>
            <w:r>
              <w:rPr>
                <w:rFonts w:hint="default" w:ascii="Times New Roman" w:hAnsi="Times New Roman" w:eastAsia="宋体" w:cs="Times New Roman"/>
                <w:snapToGrid w:val="0"/>
                <w:color w:val="auto"/>
                <w:kern w:val="0"/>
                <w:sz w:val="21"/>
                <w:szCs w:val="21"/>
                <w:highlight w:val="none"/>
              </w:rPr>
              <w:t>不得以渗坑、渗井或漫流方式排放。</w:t>
            </w:r>
          </w:p>
          <w:p w14:paraId="145B7897">
            <w:pPr>
              <w:keepNext w:val="0"/>
              <w:keepLines w:val="0"/>
              <w:pageBreakBefore w:val="0"/>
              <w:widowControl w:val="0"/>
              <w:kinsoku/>
              <w:wordWrap/>
              <w:overflowPunct/>
              <w:topLinePunct w:val="0"/>
              <w:bidi w:val="0"/>
              <w:snapToGrid/>
              <w:spacing w:line="240" w:lineRule="auto"/>
              <w:ind w:firstLine="0" w:firstLineChars="0"/>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（2）加强施工人员环境意识教育，严禁将废油、施工垃圾抛入地表水体</w:t>
            </w:r>
          </w:p>
        </w:tc>
        <w:tc>
          <w:tcPr>
            <w:tcW w:w="508" w:type="pct"/>
            <w:tcBorders>
              <w:tl2br w:val="nil"/>
              <w:tr2bl w:val="nil"/>
            </w:tcBorders>
            <w:noWrap w:val="0"/>
            <w:vAlign w:val="center"/>
          </w:tcPr>
          <w:p w14:paraId="0A563389">
            <w:pPr>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承包商</w:t>
            </w:r>
          </w:p>
        </w:tc>
        <w:tc>
          <w:tcPr>
            <w:tcW w:w="351" w:type="pct"/>
            <w:vMerge w:val="continue"/>
            <w:tcBorders>
              <w:tl2br w:val="nil"/>
              <w:tr2bl w:val="nil"/>
            </w:tcBorders>
            <w:noWrap w:val="0"/>
            <w:vAlign w:val="center"/>
          </w:tcPr>
          <w:p w14:paraId="0E59D8D6">
            <w:pPr>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p>
        </w:tc>
      </w:tr>
      <w:tr w14:paraId="7B68E2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4" w:type="pct"/>
            <w:tcBorders>
              <w:tl2br w:val="nil"/>
              <w:tr2bl w:val="nil"/>
            </w:tcBorders>
            <w:noWrap w:val="0"/>
            <w:vAlign w:val="center"/>
          </w:tcPr>
          <w:p w14:paraId="0BE371A0">
            <w:pPr>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施工噪声</w:t>
            </w:r>
          </w:p>
        </w:tc>
        <w:tc>
          <w:tcPr>
            <w:tcW w:w="3525" w:type="pct"/>
            <w:tcBorders>
              <w:tl2br w:val="nil"/>
              <w:tr2bl w:val="nil"/>
            </w:tcBorders>
            <w:noWrap w:val="0"/>
            <w:vAlign w:val="center"/>
          </w:tcPr>
          <w:p w14:paraId="05E4806E">
            <w:pPr>
              <w:keepNext w:val="0"/>
              <w:keepLines w:val="0"/>
              <w:pageBreakBefore w:val="0"/>
              <w:widowControl w:val="0"/>
              <w:kinsoku/>
              <w:wordWrap/>
              <w:overflowPunct/>
              <w:topLinePunct w:val="0"/>
              <w:bidi w:val="0"/>
              <w:snapToGrid/>
              <w:spacing w:line="240" w:lineRule="auto"/>
              <w:ind w:firstLine="0" w:firstLineChars="0"/>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（1）尽量</w:t>
            </w:r>
            <w:r>
              <w:rPr>
                <w:rFonts w:hint="default" w:ascii="Times New Roman" w:hAnsi="Times New Roman" w:eastAsia="宋体" w:cs="Times New Roman"/>
                <w:color w:val="auto"/>
                <w:sz w:val="21"/>
                <w:szCs w:val="21"/>
                <w:highlight w:val="none"/>
                <w:lang w:eastAsia="zh-CN"/>
              </w:rPr>
              <w:t>采用</w:t>
            </w:r>
            <w:r>
              <w:rPr>
                <w:rFonts w:hint="default" w:ascii="Times New Roman" w:hAnsi="Times New Roman" w:eastAsia="宋体" w:cs="Times New Roman"/>
                <w:color w:val="auto"/>
                <w:sz w:val="21"/>
                <w:szCs w:val="21"/>
                <w:highlight w:val="none"/>
              </w:rPr>
              <w:t>低噪声机械</w:t>
            </w:r>
          </w:p>
          <w:p w14:paraId="13396F0E">
            <w:pPr>
              <w:keepNext w:val="0"/>
              <w:keepLines w:val="0"/>
              <w:pageBreakBefore w:val="0"/>
              <w:widowControl w:val="0"/>
              <w:kinsoku/>
              <w:wordWrap/>
              <w:overflowPunct/>
              <w:topLinePunct w:val="0"/>
              <w:bidi w:val="0"/>
              <w:snapToGrid/>
              <w:spacing w:line="240" w:lineRule="auto"/>
              <w:ind w:firstLine="0" w:firstLineChars="0"/>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（2）强噪声机械夜间严禁施工</w:t>
            </w:r>
          </w:p>
        </w:tc>
        <w:tc>
          <w:tcPr>
            <w:tcW w:w="508" w:type="pct"/>
            <w:tcBorders>
              <w:tl2br w:val="nil"/>
              <w:tr2bl w:val="nil"/>
            </w:tcBorders>
            <w:noWrap w:val="0"/>
            <w:vAlign w:val="center"/>
          </w:tcPr>
          <w:p w14:paraId="478627BD">
            <w:pPr>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承包商</w:t>
            </w:r>
          </w:p>
        </w:tc>
        <w:tc>
          <w:tcPr>
            <w:tcW w:w="351" w:type="pct"/>
            <w:vMerge w:val="continue"/>
            <w:tcBorders>
              <w:tl2br w:val="nil"/>
              <w:tr2bl w:val="nil"/>
            </w:tcBorders>
            <w:noWrap w:val="0"/>
            <w:vAlign w:val="center"/>
          </w:tcPr>
          <w:p w14:paraId="6DF3D12F">
            <w:pPr>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p>
        </w:tc>
      </w:tr>
      <w:tr w14:paraId="1ECE28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4" w:type="pct"/>
            <w:tcBorders>
              <w:tl2br w:val="nil"/>
              <w:tr2bl w:val="nil"/>
            </w:tcBorders>
            <w:noWrap w:val="0"/>
            <w:vAlign w:val="center"/>
          </w:tcPr>
          <w:p w14:paraId="5794D23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固体废物</w:t>
            </w:r>
          </w:p>
        </w:tc>
        <w:tc>
          <w:tcPr>
            <w:tcW w:w="3525" w:type="pct"/>
            <w:tcBorders>
              <w:tl2br w:val="nil"/>
              <w:tr2bl w:val="nil"/>
            </w:tcBorders>
            <w:noWrap w:val="0"/>
            <w:vAlign w:val="center"/>
          </w:tcPr>
          <w:p w14:paraId="6608BBC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outlineLvl w:val="9"/>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建筑垃圾及时清运，不能长期堆存，做到日产日清，车辆用苫布遮盖，</w:t>
            </w:r>
            <w:r>
              <w:rPr>
                <w:rFonts w:hint="eastAsia" w:ascii="Times New Roman" w:hAnsi="Times New Roman" w:eastAsia="宋体" w:cs="Times New Roman"/>
                <w:snapToGrid w:val="0"/>
                <w:color w:val="auto"/>
                <w:kern w:val="0"/>
                <w:sz w:val="21"/>
                <w:szCs w:val="21"/>
                <w:highlight w:val="none"/>
                <w:lang w:eastAsia="zh-CN"/>
              </w:rPr>
              <w:t>防止</w:t>
            </w:r>
            <w:r>
              <w:rPr>
                <w:rFonts w:hint="default" w:ascii="Times New Roman" w:hAnsi="Times New Roman" w:eastAsia="宋体" w:cs="Times New Roman"/>
                <w:snapToGrid w:val="0"/>
                <w:color w:val="auto"/>
                <w:kern w:val="0"/>
                <w:sz w:val="21"/>
                <w:szCs w:val="21"/>
                <w:highlight w:val="none"/>
              </w:rPr>
              <w:t>沿途洒落。生活垃圾由环卫部门统一清运。</w:t>
            </w:r>
          </w:p>
        </w:tc>
        <w:tc>
          <w:tcPr>
            <w:tcW w:w="508" w:type="pct"/>
            <w:tcBorders>
              <w:tl2br w:val="nil"/>
              <w:tr2bl w:val="nil"/>
            </w:tcBorders>
            <w:noWrap w:val="0"/>
            <w:vAlign w:val="center"/>
          </w:tcPr>
          <w:p w14:paraId="2A3665D3">
            <w:pPr>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承包商</w:t>
            </w:r>
          </w:p>
        </w:tc>
        <w:tc>
          <w:tcPr>
            <w:tcW w:w="351" w:type="pct"/>
            <w:vMerge w:val="continue"/>
            <w:tcBorders>
              <w:tl2br w:val="nil"/>
              <w:tr2bl w:val="nil"/>
            </w:tcBorders>
            <w:noWrap w:val="0"/>
            <w:vAlign w:val="center"/>
          </w:tcPr>
          <w:p w14:paraId="538F67F5">
            <w:pPr>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p>
        </w:tc>
      </w:tr>
      <w:tr w14:paraId="1B1874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4" w:type="pct"/>
            <w:tcBorders>
              <w:tl2br w:val="nil"/>
              <w:tr2bl w:val="nil"/>
            </w:tcBorders>
            <w:noWrap w:val="0"/>
            <w:vAlign w:val="center"/>
          </w:tcPr>
          <w:p w14:paraId="6F14C3D0">
            <w:pPr>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生态保护与</w:t>
            </w:r>
            <w:r>
              <w:rPr>
                <w:rFonts w:hint="eastAsia" w:ascii="Times New Roman" w:hAnsi="Times New Roman" w:eastAsia="宋体" w:cs="Times New Roman"/>
                <w:color w:val="auto"/>
                <w:sz w:val="21"/>
                <w:szCs w:val="21"/>
                <w:highlight w:val="none"/>
                <w:lang w:eastAsia="zh-CN"/>
              </w:rPr>
              <w:t>防治</w:t>
            </w:r>
            <w:r>
              <w:rPr>
                <w:rFonts w:hint="default" w:ascii="Times New Roman" w:hAnsi="Times New Roman" w:eastAsia="宋体" w:cs="Times New Roman"/>
                <w:color w:val="auto"/>
                <w:sz w:val="21"/>
                <w:szCs w:val="21"/>
                <w:highlight w:val="none"/>
              </w:rPr>
              <w:t>水土流失</w:t>
            </w:r>
          </w:p>
        </w:tc>
        <w:tc>
          <w:tcPr>
            <w:tcW w:w="3525" w:type="pct"/>
            <w:tcBorders>
              <w:tl2br w:val="nil"/>
              <w:tr2bl w:val="nil"/>
            </w:tcBorders>
            <w:noWrap w:val="0"/>
            <w:vAlign w:val="center"/>
          </w:tcPr>
          <w:p w14:paraId="36E061B1">
            <w:pPr>
              <w:keepNext w:val="0"/>
              <w:keepLines w:val="0"/>
              <w:pageBreakBefore w:val="0"/>
              <w:widowControl w:val="0"/>
              <w:kinsoku/>
              <w:wordWrap/>
              <w:overflowPunct/>
              <w:topLinePunct w:val="0"/>
              <w:bidi w:val="0"/>
              <w:snapToGrid/>
              <w:spacing w:line="240" w:lineRule="auto"/>
              <w:ind w:firstLine="0" w:firstLineChars="0"/>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（1）对施工期临时占地，应将原有土地表层堆在一旁，待施工完毕，将这些熟土再推平，恢复到土地表层，以利于还耕或绿化</w:t>
            </w:r>
          </w:p>
          <w:p w14:paraId="4F104636">
            <w:pPr>
              <w:keepNext w:val="0"/>
              <w:keepLines w:val="0"/>
              <w:pageBreakBefore w:val="0"/>
              <w:widowControl w:val="0"/>
              <w:kinsoku/>
              <w:wordWrap/>
              <w:overflowPunct/>
              <w:topLinePunct w:val="0"/>
              <w:bidi w:val="0"/>
              <w:snapToGrid/>
              <w:spacing w:line="240" w:lineRule="auto"/>
              <w:ind w:firstLine="0" w:firstLineChars="0"/>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（2）施工营地应尽量选择设置在非耕地上，以减少耕地损失</w:t>
            </w:r>
          </w:p>
          <w:p w14:paraId="591EDC5C">
            <w:pPr>
              <w:keepNext w:val="0"/>
              <w:keepLines w:val="0"/>
              <w:pageBreakBefore w:val="0"/>
              <w:widowControl w:val="0"/>
              <w:kinsoku/>
              <w:wordWrap/>
              <w:overflowPunct/>
              <w:topLinePunct w:val="0"/>
              <w:bidi w:val="0"/>
              <w:snapToGrid/>
              <w:spacing w:line="240" w:lineRule="auto"/>
              <w:ind w:firstLine="0" w:firstLineChars="0"/>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（3）在场区平整过程中做到边取土边平整，有计划取土，及时平整</w:t>
            </w:r>
          </w:p>
          <w:p w14:paraId="5EEC6556">
            <w:pPr>
              <w:keepNext w:val="0"/>
              <w:keepLines w:val="0"/>
              <w:pageBreakBefore w:val="0"/>
              <w:widowControl w:val="0"/>
              <w:kinsoku/>
              <w:wordWrap/>
              <w:overflowPunct/>
              <w:topLinePunct w:val="0"/>
              <w:bidi w:val="0"/>
              <w:snapToGrid/>
              <w:spacing w:line="240" w:lineRule="auto"/>
              <w:ind w:firstLine="0" w:firstLineChars="0"/>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（4）在主体工程完成后及时对厂区进行绿化</w:t>
            </w:r>
          </w:p>
          <w:p w14:paraId="5D74A5A4">
            <w:pPr>
              <w:keepNext w:val="0"/>
              <w:keepLines w:val="0"/>
              <w:pageBreakBefore w:val="0"/>
              <w:widowControl w:val="0"/>
              <w:kinsoku/>
              <w:wordWrap/>
              <w:overflowPunct/>
              <w:topLinePunct w:val="0"/>
              <w:bidi w:val="0"/>
              <w:snapToGrid/>
              <w:spacing w:line="240" w:lineRule="auto"/>
              <w:ind w:firstLine="0" w:firstLineChars="0"/>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（5）教育施工人员爱护附近农田，保护施工场地周围的生态环境</w:t>
            </w:r>
          </w:p>
        </w:tc>
        <w:tc>
          <w:tcPr>
            <w:tcW w:w="508" w:type="pct"/>
            <w:tcBorders>
              <w:tl2br w:val="nil"/>
              <w:tr2bl w:val="nil"/>
            </w:tcBorders>
            <w:noWrap w:val="0"/>
            <w:vAlign w:val="center"/>
          </w:tcPr>
          <w:p w14:paraId="2F00C707">
            <w:pPr>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承包商</w:t>
            </w:r>
          </w:p>
        </w:tc>
        <w:tc>
          <w:tcPr>
            <w:tcW w:w="351" w:type="pct"/>
            <w:vMerge w:val="continue"/>
            <w:tcBorders>
              <w:tl2br w:val="nil"/>
              <w:tr2bl w:val="nil"/>
            </w:tcBorders>
            <w:noWrap w:val="0"/>
            <w:vAlign w:val="center"/>
          </w:tcPr>
          <w:p w14:paraId="2BF185F7">
            <w:pPr>
              <w:keepNext w:val="0"/>
              <w:keepLines w:val="0"/>
              <w:pageBreakBefore w:val="0"/>
              <w:widowControl w:val="0"/>
              <w:kinsoku/>
              <w:wordWrap/>
              <w:overflowPunct/>
              <w:topLinePunct w:val="0"/>
              <w:bidi w:val="0"/>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p>
        </w:tc>
      </w:tr>
    </w:tbl>
    <w:p w14:paraId="7C2FCA75">
      <w:pPr>
        <w:pStyle w:val="6"/>
        <w:bidi w:val="0"/>
        <w:rPr>
          <w:rFonts w:hint="default" w:ascii="Times New Roman" w:hAnsi="Times New Roman" w:eastAsia="宋体" w:cs="Times New Roman"/>
          <w:color w:val="auto"/>
          <w:highlight w:val="none"/>
        </w:rPr>
      </w:pPr>
      <w:bookmarkStart w:id="554" w:name="_Toc18118"/>
      <w:bookmarkStart w:id="555" w:name="_Toc886"/>
      <w:bookmarkStart w:id="556" w:name="_Toc4053"/>
      <w:r>
        <w:rPr>
          <w:rFonts w:hint="default" w:ascii="Times New Roman" w:hAnsi="Times New Roman" w:eastAsia="宋体" w:cs="Times New Roman"/>
          <w:color w:val="auto"/>
          <w:highlight w:val="none"/>
        </w:rPr>
        <w:t>9.1.4 运营期环境管理计划</w:t>
      </w:r>
      <w:bookmarkEnd w:id="554"/>
      <w:bookmarkEnd w:id="555"/>
      <w:bookmarkEnd w:id="556"/>
    </w:p>
    <w:p w14:paraId="2E8E5137">
      <w:pPr>
        <w:bidi w:val="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1.</w:t>
      </w:r>
      <w:r>
        <w:rPr>
          <w:rFonts w:hint="default" w:ascii="Times New Roman" w:hAnsi="Times New Roman" w:eastAsia="宋体" w:cs="Times New Roman"/>
          <w:color w:val="auto"/>
          <w:highlight w:val="none"/>
        </w:rPr>
        <w:t>根据国家环保政策、标准及环境监测要求，制定该项目运行期环境管理规章制度、各种污染物排放指标。</w:t>
      </w:r>
    </w:p>
    <w:p w14:paraId="36157B1C">
      <w:pPr>
        <w:bidi w:val="0"/>
        <w:rPr>
          <w:rFonts w:hint="default" w:ascii="Times New Roman" w:hAnsi="Times New Roman" w:eastAsia="宋体" w:cs="Times New Roman"/>
          <w:color w:val="auto"/>
          <w:highlight w:val="none"/>
        </w:rPr>
      </w:pPr>
      <w:r>
        <w:rPr>
          <w:rFonts w:hint="eastAsia" w:ascii="Times New Roman" w:hAnsi="Times New Roman" w:eastAsia="宋体" w:cs="Times New Roman"/>
          <w:color w:val="auto"/>
          <w:kern w:val="0"/>
          <w:szCs w:val="24"/>
          <w:highlight w:val="none"/>
          <w:lang w:eastAsia="zh-CN"/>
        </w:rPr>
        <w:t>2.</w:t>
      </w:r>
      <w:r>
        <w:rPr>
          <w:rFonts w:hint="default" w:ascii="Times New Roman" w:hAnsi="Times New Roman" w:eastAsia="宋体" w:cs="Times New Roman"/>
          <w:color w:val="auto"/>
          <w:kern w:val="0"/>
          <w:szCs w:val="24"/>
          <w:highlight w:val="none"/>
        </w:rPr>
        <w:t>对本项</w:t>
      </w:r>
      <w:r>
        <w:rPr>
          <w:rFonts w:hint="default" w:ascii="Times New Roman" w:hAnsi="Times New Roman" w:eastAsia="宋体" w:cs="Times New Roman"/>
          <w:color w:val="auto"/>
          <w:highlight w:val="none"/>
        </w:rPr>
        <w:t>目厂区内的公建设施进行定期维护和检修，确保公建设施的正常运行及管网畅通。</w:t>
      </w:r>
    </w:p>
    <w:p w14:paraId="06A74D83">
      <w:pPr>
        <w:bidi w:val="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eastAsia="zh-CN"/>
        </w:rPr>
        <w:t>3.</w:t>
      </w:r>
      <w:r>
        <w:rPr>
          <w:rFonts w:hint="default" w:ascii="Times New Roman" w:hAnsi="Times New Roman" w:eastAsia="宋体" w:cs="Times New Roman"/>
          <w:color w:val="auto"/>
          <w:highlight w:val="none"/>
        </w:rPr>
        <w:t>生活垃圾收集管理应由专人负责，分类收集，对分散布置的垃圾桶应定期清洗和消毒，生活垃圾定期由环卫部门清运，危险废物</w:t>
      </w:r>
      <w:r>
        <w:rPr>
          <w:rFonts w:hint="default" w:ascii="Times New Roman" w:hAnsi="Times New Roman" w:eastAsia="宋体" w:cs="Times New Roman"/>
          <w:color w:val="auto"/>
          <w:highlight w:val="none"/>
          <w:lang w:val="en-US" w:eastAsia="zh-CN"/>
        </w:rPr>
        <w:t>委托有危废处理资质单位处理。</w:t>
      </w:r>
    </w:p>
    <w:p w14:paraId="79CDB051">
      <w:pPr>
        <w:bidi w:val="0"/>
        <w:rPr>
          <w:rFonts w:hint="default" w:ascii="Times New Roman" w:hAnsi="Times New Roman" w:eastAsia="宋体" w:cs="Times New Roman"/>
          <w:color w:val="auto"/>
          <w:kern w:val="0"/>
          <w:szCs w:val="24"/>
          <w:highlight w:val="none"/>
        </w:rPr>
      </w:pPr>
      <w:r>
        <w:rPr>
          <w:rFonts w:hint="eastAsia" w:ascii="Times New Roman" w:hAnsi="Times New Roman" w:eastAsia="宋体" w:cs="Times New Roman"/>
          <w:color w:val="auto"/>
          <w:highlight w:val="none"/>
          <w:lang w:eastAsia="zh-CN"/>
        </w:rPr>
        <w:t>4.</w:t>
      </w:r>
      <w:r>
        <w:rPr>
          <w:rFonts w:hint="default" w:ascii="Times New Roman" w:hAnsi="Times New Roman" w:eastAsia="宋体" w:cs="Times New Roman"/>
          <w:color w:val="auto"/>
          <w:highlight w:val="none"/>
        </w:rPr>
        <w:t>应将环保设施运行</w:t>
      </w:r>
      <w:r>
        <w:rPr>
          <w:rFonts w:hint="default" w:ascii="Times New Roman" w:hAnsi="Times New Roman" w:eastAsia="宋体" w:cs="Times New Roman"/>
          <w:color w:val="auto"/>
          <w:kern w:val="0"/>
          <w:szCs w:val="24"/>
          <w:highlight w:val="none"/>
        </w:rPr>
        <w:t>维护费用计划列入环保投资计划中，确保环保设施运行。</w:t>
      </w:r>
    </w:p>
    <w:p w14:paraId="4CF3FD27">
      <w:pPr>
        <w:pStyle w:val="6"/>
        <w:bidi w:val="0"/>
        <w:rPr>
          <w:rFonts w:hint="default" w:ascii="Times New Roman" w:hAnsi="Times New Roman" w:eastAsia="宋体" w:cs="Times New Roman"/>
          <w:color w:val="auto"/>
          <w:highlight w:val="none"/>
          <w:lang w:val="en-US" w:eastAsia="zh-CN"/>
        </w:rPr>
      </w:pPr>
      <w:bookmarkStart w:id="557" w:name="_Toc32053"/>
      <w:bookmarkStart w:id="558" w:name="_Toc17560"/>
      <w:bookmarkStart w:id="559" w:name="_Toc23095"/>
      <w:r>
        <w:rPr>
          <w:rFonts w:hint="default" w:ascii="Times New Roman" w:hAnsi="Times New Roman" w:eastAsia="宋体" w:cs="Times New Roman"/>
          <w:color w:val="auto"/>
          <w:highlight w:val="none"/>
        </w:rPr>
        <w:t>9.1.5 排污</w:t>
      </w:r>
      <w:r>
        <w:rPr>
          <w:rFonts w:hint="default" w:ascii="Times New Roman" w:hAnsi="Times New Roman" w:eastAsia="宋体" w:cs="Times New Roman"/>
          <w:color w:val="auto"/>
          <w:highlight w:val="none"/>
          <w:lang w:val="en-US" w:eastAsia="zh-CN"/>
        </w:rPr>
        <w:t>许可规范管理</w:t>
      </w:r>
      <w:bookmarkEnd w:id="557"/>
      <w:bookmarkEnd w:id="558"/>
      <w:bookmarkEnd w:id="559"/>
    </w:p>
    <w:p w14:paraId="4B500F30">
      <w:pPr>
        <w:pStyle w:val="7"/>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9.1.5.1 排污口规范管理</w:t>
      </w:r>
    </w:p>
    <w:p w14:paraId="2DC2EF9A">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排污口是企业污染物进入环境或污染环境的通道，强化排污口的管理是实施污染物总量控制的基础工作，也是区域环境管理逐步实现污染物排放科学化、定量化的重要手段。</w:t>
      </w:r>
    </w:p>
    <w:p w14:paraId="0C664F05">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4"/>
          <w:highlight w:val="none"/>
        </w:rPr>
        <w:t>（1）排污</w:t>
      </w:r>
      <w:r>
        <w:rPr>
          <w:rFonts w:hint="default" w:ascii="Times New Roman" w:hAnsi="Times New Roman" w:eastAsia="宋体" w:cs="Times New Roman"/>
          <w:color w:val="auto"/>
          <w:highlight w:val="none"/>
        </w:rPr>
        <w:t>口规范化管理的基本原则</w:t>
      </w:r>
    </w:p>
    <w:p w14:paraId="52A36A4A">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向环境排放污染物的排污口必须规范化；排污口应便于采样与计量监测，便于日常现场监督检查。</w:t>
      </w:r>
    </w:p>
    <w:p w14:paraId="2D8868D0">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（2）排污口技术要求</w:t>
      </w:r>
    </w:p>
    <w:p w14:paraId="39E30EB0">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排污口的位置必须合理，按</w:t>
      </w:r>
      <w:r>
        <w:rPr>
          <w:rFonts w:hint="default" w:ascii="Times New Roman" w:hAnsi="Times New Roman" w:eastAsia="宋体" w:cs="Times New Roman"/>
          <w:color w:val="auto"/>
          <w:highlight w:val="none"/>
          <w:lang w:val="en-US" w:eastAsia="zh-CN"/>
        </w:rPr>
        <w:t>《排污口规范化整治技术要求（试行）》（</w:t>
      </w:r>
      <w:r>
        <w:rPr>
          <w:rFonts w:hint="default" w:ascii="Times New Roman" w:hAnsi="Times New Roman" w:eastAsia="宋体" w:cs="Times New Roman"/>
          <w:color w:val="auto"/>
          <w:highlight w:val="none"/>
        </w:rPr>
        <w:t>环监</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1996</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470号</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要求进行规范化管理；排放污染物的采样点设置应按《污染源监测技术规范》要求布设。</w:t>
      </w:r>
    </w:p>
    <w:p w14:paraId="35E8B81C">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（3）排污口立标管理</w:t>
      </w:r>
    </w:p>
    <w:p w14:paraId="0FC4F588">
      <w:pPr>
        <w:bidi w:val="0"/>
        <w:rPr>
          <w:rFonts w:hint="default" w:ascii="Times New Roman" w:hAnsi="Times New Roman" w:eastAsia="宋体" w:cs="Times New Roman"/>
          <w:color w:val="auto"/>
          <w:kern w:val="0"/>
          <w:szCs w:val="24"/>
          <w:highlight w:val="none"/>
        </w:rPr>
      </w:pPr>
      <w:r>
        <w:rPr>
          <w:rFonts w:hint="default" w:ascii="Times New Roman" w:hAnsi="Times New Roman" w:eastAsia="宋体" w:cs="Times New Roman"/>
          <w:color w:val="auto"/>
          <w:highlight w:val="none"/>
        </w:rPr>
        <w:t>企业污染物排放口的标志，应按国家《环境保护图形标志排放口》（15562.1-1995）及《环境保护图形标志 固体废物贮存（处置）场》（15562.2-1995）的规定，设置规范的环境保护图形标志牌。</w:t>
      </w:r>
      <w:r>
        <w:rPr>
          <w:rFonts w:hint="default" w:ascii="Times New Roman" w:hAnsi="Times New Roman" w:eastAsia="宋体" w:cs="Times New Roman"/>
          <w:color w:val="auto"/>
          <w:kern w:val="0"/>
          <w:szCs w:val="24"/>
          <w:highlight w:val="none"/>
        </w:rPr>
        <w:t>见</w:t>
      </w:r>
      <w:r>
        <w:rPr>
          <w:rFonts w:hint="default" w:ascii="Times New Roman" w:hAnsi="Times New Roman" w:eastAsia="宋体" w:cs="Times New Roman"/>
          <w:color w:val="auto"/>
          <w:kern w:val="0"/>
          <w:szCs w:val="24"/>
          <w:highlight w:val="none"/>
          <w:lang w:val="en-US" w:eastAsia="zh-CN"/>
        </w:rPr>
        <w:t>表</w:t>
      </w:r>
      <w:r>
        <w:rPr>
          <w:rFonts w:hint="default" w:ascii="Times New Roman" w:hAnsi="Times New Roman" w:eastAsia="宋体" w:cs="Times New Roman"/>
          <w:color w:val="auto"/>
          <w:kern w:val="0"/>
          <w:szCs w:val="24"/>
          <w:highlight w:val="none"/>
        </w:rPr>
        <w:t>9</w:t>
      </w:r>
      <w:r>
        <w:rPr>
          <w:rFonts w:hint="default" w:ascii="Times New Roman" w:hAnsi="Times New Roman" w:eastAsia="宋体" w:cs="Times New Roman"/>
          <w:color w:val="auto"/>
          <w:kern w:val="0"/>
          <w:szCs w:val="24"/>
          <w:highlight w:val="none"/>
          <w:lang w:val="en-US" w:eastAsia="zh-CN"/>
        </w:rPr>
        <w:t>.</w:t>
      </w:r>
      <w:r>
        <w:rPr>
          <w:rFonts w:hint="default" w:ascii="Times New Roman" w:hAnsi="Times New Roman" w:eastAsia="宋体" w:cs="Times New Roman"/>
          <w:color w:val="auto"/>
          <w:kern w:val="0"/>
          <w:szCs w:val="24"/>
          <w:highlight w:val="none"/>
        </w:rPr>
        <w:t>1-</w:t>
      </w:r>
      <w:r>
        <w:rPr>
          <w:rFonts w:hint="default" w:ascii="Times New Roman" w:hAnsi="Times New Roman" w:eastAsia="宋体" w:cs="Times New Roman"/>
          <w:color w:val="auto"/>
          <w:kern w:val="0"/>
          <w:szCs w:val="24"/>
          <w:highlight w:val="none"/>
          <w:lang w:val="en-US" w:eastAsia="zh-CN"/>
        </w:rPr>
        <w:t>2</w:t>
      </w:r>
      <w:r>
        <w:rPr>
          <w:rFonts w:hint="default" w:ascii="Times New Roman" w:hAnsi="Times New Roman" w:eastAsia="宋体" w:cs="Times New Roman"/>
          <w:color w:val="auto"/>
          <w:kern w:val="0"/>
          <w:szCs w:val="24"/>
          <w:highlight w:val="none"/>
        </w:rPr>
        <w:t>。</w:t>
      </w:r>
    </w:p>
    <w:p w14:paraId="6238B53D">
      <w:pPr>
        <w:pStyle w:val="131"/>
        <w:keepNext w:val="0"/>
        <w:keepLines w:val="0"/>
        <w:pageBreakBefore w:val="0"/>
        <w:widowControl w:val="0"/>
        <w:kinsoku/>
        <w:wordWrap/>
        <w:overflowPunct/>
        <w:topLinePunct w:val="0"/>
        <w:autoSpaceDE/>
        <w:autoSpaceDN/>
        <w:bidi w:val="0"/>
        <w:spacing w:beforeLines="0" w:line="300" w:lineRule="exact"/>
        <w:textAlignment w:val="auto"/>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sz w:val="24"/>
          <w:szCs w:val="24"/>
          <w:highlight w:val="none"/>
        </w:rPr>
        <w:t>表</w:t>
      </w:r>
      <w:r>
        <w:rPr>
          <w:rFonts w:hint="default" w:ascii="Times New Roman" w:hAnsi="Times New Roman" w:eastAsia="宋体" w:cs="Times New Roman"/>
          <w:b w:val="0"/>
          <w:bCs w:val="0"/>
          <w:color w:val="auto"/>
          <w:sz w:val="24"/>
          <w:szCs w:val="24"/>
          <w:highlight w:val="none"/>
          <w:lang w:val="en-US" w:eastAsia="zh-CN"/>
        </w:rPr>
        <w:t xml:space="preserve">9.1-2  </w:t>
      </w:r>
      <w:r>
        <w:rPr>
          <w:rFonts w:hint="default" w:ascii="Times New Roman" w:hAnsi="Times New Roman" w:eastAsia="宋体" w:cs="Times New Roman"/>
          <w:b w:val="0"/>
          <w:bCs w:val="0"/>
          <w:color w:val="auto"/>
          <w:sz w:val="24"/>
          <w:szCs w:val="24"/>
          <w:highlight w:val="none"/>
        </w:rPr>
        <w:t>环境保护图形符号</w:t>
      </w:r>
    </w:p>
    <w:tbl>
      <w:tblPr>
        <w:tblStyle w:val="38"/>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00"/>
        <w:gridCol w:w="1770"/>
        <w:gridCol w:w="2028"/>
        <w:gridCol w:w="958"/>
        <w:gridCol w:w="2960"/>
      </w:tblGrid>
      <w:tr w14:paraId="7518854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87" w:type="dxa"/>
            <w:tcBorders>
              <w:tl2br w:val="nil"/>
              <w:tr2bl w:val="nil"/>
            </w:tcBorders>
            <w:noWrap w:val="0"/>
            <w:vAlign w:val="center"/>
          </w:tcPr>
          <w:p w14:paraId="65AC0809">
            <w:pPr>
              <w:pStyle w:val="112"/>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lang w:eastAsia="zh-CN"/>
              </w:rPr>
              <w:t>序号</w:t>
            </w:r>
          </w:p>
        </w:tc>
        <w:tc>
          <w:tcPr>
            <w:tcW w:w="1521" w:type="dxa"/>
            <w:tcBorders>
              <w:tl2br w:val="nil"/>
              <w:tr2bl w:val="nil"/>
            </w:tcBorders>
            <w:noWrap w:val="0"/>
            <w:vAlign w:val="center"/>
          </w:tcPr>
          <w:p w14:paraId="2362BE7E">
            <w:pPr>
              <w:pStyle w:val="112"/>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lang w:eastAsia="zh-CN"/>
              </w:rPr>
              <w:t>提示图形符号</w:t>
            </w:r>
          </w:p>
        </w:tc>
        <w:tc>
          <w:tcPr>
            <w:tcW w:w="1743" w:type="dxa"/>
            <w:tcBorders>
              <w:tl2br w:val="nil"/>
              <w:tr2bl w:val="nil"/>
            </w:tcBorders>
            <w:noWrap w:val="0"/>
            <w:vAlign w:val="center"/>
          </w:tcPr>
          <w:p w14:paraId="6BABDE3B">
            <w:pPr>
              <w:pStyle w:val="112"/>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lang w:eastAsia="zh-CN"/>
              </w:rPr>
              <w:t>警告图形符号</w:t>
            </w:r>
          </w:p>
        </w:tc>
        <w:tc>
          <w:tcPr>
            <w:tcW w:w="823" w:type="dxa"/>
            <w:tcBorders>
              <w:tl2br w:val="nil"/>
              <w:tr2bl w:val="nil"/>
            </w:tcBorders>
            <w:noWrap w:val="0"/>
            <w:vAlign w:val="center"/>
          </w:tcPr>
          <w:p w14:paraId="2258D0F8">
            <w:pPr>
              <w:pStyle w:val="112"/>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lang w:eastAsia="zh-CN"/>
              </w:rPr>
              <w:t>名称</w:t>
            </w:r>
          </w:p>
        </w:tc>
        <w:tc>
          <w:tcPr>
            <w:tcW w:w="2544" w:type="dxa"/>
            <w:tcBorders>
              <w:tl2br w:val="nil"/>
              <w:tr2bl w:val="nil"/>
            </w:tcBorders>
            <w:noWrap w:val="0"/>
            <w:vAlign w:val="center"/>
          </w:tcPr>
          <w:p w14:paraId="3063AAA2">
            <w:pPr>
              <w:pStyle w:val="112"/>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lang w:eastAsia="zh-CN"/>
              </w:rPr>
              <w:t>功能</w:t>
            </w:r>
          </w:p>
        </w:tc>
      </w:tr>
      <w:tr w14:paraId="354A7BE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687" w:type="dxa"/>
            <w:tcBorders>
              <w:tl2br w:val="nil"/>
              <w:tr2bl w:val="nil"/>
            </w:tcBorders>
            <w:noWrap w:val="0"/>
            <w:vAlign w:val="center"/>
          </w:tcPr>
          <w:p w14:paraId="1E55F12C">
            <w:pPr>
              <w:pStyle w:val="112"/>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w:t>
            </w:r>
          </w:p>
        </w:tc>
        <w:tc>
          <w:tcPr>
            <w:tcW w:w="1521" w:type="dxa"/>
            <w:tcBorders>
              <w:tl2br w:val="nil"/>
              <w:tr2bl w:val="nil"/>
            </w:tcBorders>
            <w:noWrap w:val="0"/>
            <w:vAlign w:val="center"/>
          </w:tcPr>
          <w:p w14:paraId="598710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drawing>
                <wp:inline distT="0" distB="0" distL="114300" distR="114300">
                  <wp:extent cx="854075" cy="837565"/>
                  <wp:effectExtent l="0" t="0" r="3175" b="635"/>
                  <wp:docPr id="18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2"/>
                          <pic:cNvPicPr>
                            <a:picLocks noChangeAspect="1"/>
                          </pic:cNvPicPr>
                        </pic:nvPicPr>
                        <pic:blipFill>
                          <a:blip r:embed="rId127"/>
                          <a:stretch>
                            <a:fillRect/>
                          </a:stretch>
                        </pic:blipFill>
                        <pic:spPr>
                          <a:xfrm>
                            <a:off x="0" y="0"/>
                            <a:ext cx="854075" cy="837565"/>
                          </a:xfrm>
                          <a:prstGeom prst="rect">
                            <a:avLst/>
                          </a:prstGeom>
                          <a:noFill/>
                          <a:ln>
                            <a:noFill/>
                          </a:ln>
                        </pic:spPr>
                      </pic:pic>
                    </a:graphicData>
                  </a:graphic>
                </wp:inline>
              </w:drawing>
            </w:r>
          </w:p>
        </w:tc>
        <w:tc>
          <w:tcPr>
            <w:tcW w:w="1743" w:type="dxa"/>
            <w:tcBorders>
              <w:tl2br w:val="nil"/>
              <w:tr2bl w:val="nil"/>
            </w:tcBorders>
            <w:noWrap w:val="0"/>
            <w:vAlign w:val="center"/>
          </w:tcPr>
          <w:p w14:paraId="4843B1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drawing>
                <wp:inline distT="0" distB="0" distL="114300" distR="114300">
                  <wp:extent cx="920750" cy="815340"/>
                  <wp:effectExtent l="0" t="0" r="12700" b="3810"/>
                  <wp:docPr id="19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3"/>
                          <pic:cNvPicPr>
                            <a:picLocks noChangeAspect="1"/>
                          </pic:cNvPicPr>
                        </pic:nvPicPr>
                        <pic:blipFill>
                          <a:blip r:embed="rId128"/>
                          <a:stretch>
                            <a:fillRect/>
                          </a:stretch>
                        </pic:blipFill>
                        <pic:spPr>
                          <a:xfrm>
                            <a:off x="0" y="0"/>
                            <a:ext cx="920750" cy="815340"/>
                          </a:xfrm>
                          <a:prstGeom prst="rect">
                            <a:avLst/>
                          </a:prstGeom>
                          <a:noFill/>
                          <a:ln>
                            <a:noFill/>
                          </a:ln>
                        </pic:spPr>
                      </pic:pic>
                    </a:graphicData>
                  </a:graphic>
                </wp:inline>
              </w:drawing>
            </w:r>
          </w:p>
        </w:tc>
        <w:tc>
          <w:tcPr>
            <w:tcW w:w="823" w:type="dxa"/>
            <w:tcBorders>
              <w:tl2br w:val="nil"/>
              <w:tr2bl w:val="nil"/>
            </w:tcBorders>
            <w:noWrap w:val="0"/>
            <w:vAlign w:val="center"/>
          </w:tcPr>
          <w:p w14:paraId="1D68DE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废水排放口</w:t>
            </w:r>
          </w:p>
        </w:tc>
        <w:tc>
          <w:tcPr>
            <w:tcW w:w="2544" w:type="dxa"/>
            <w:tcBorders>
              <w:tl2br w:val="nil"/>
              <w:tr2bl w:val="nil"/>
            </w:tcBorders>
            <w:noWrap w:val="0"/>
            <w:vAlign w:val="center"/>
          </w:tcPr>
          <w:p w14:paraId="43E5D8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表示废水向水体排放</w:t>
            </w:r>
          </w:p>
        </w:tc>
      </w:tr>
      <w:tr w14:paraId="3BD8BE1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23" w:hRule="atLeast"/>
          <w:jc w:val="center"/>
        </w:trPr>
        <w:tc>
          <w:tcPr>
            <w:tcW w:w="687" w:type="dxa"/>
            <w:tcBorders>
              <w:tl2br w:val="nil"/>
              <w:tr2bl w:val="nil"/>
            </w:tcBorders>
            <w:noWrap w:val="0"/>
            <w:vAlign w:val="center"/>
          </w:tcPr>
          <w:p w14:paraId="0E5F3A41">
            <w:pPr>
              <w:pStyle w:val="112"/>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2</w:t>
            </w:r>
          </w:p>
        </w:tc>
        <w:tc>
          <w:tcPr>
            <w:tcW w:w="1521" w:type="dxa"/>
            <w:tcBorders>
              <w:tl2br w:val="nil"/>
              <w:tr2bl w:val="nil"/>
            </w:tcBorders>
            <w:noWrap w:val="0"/>
            <w:vAlign w:val="center"/>
          </w:tcPr>
          <w:p w14:paraId="04455F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drawing>
                <wp:inline distT="0" distB="0" distL="114300" distR="114300">
                  <wp:extent cx="852170" cy="843915"/>
                  <wp:effectExtent l="0" t="0" r="5080" b="13335"/>
                  <wp:docPr id="19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4"/>
                          <pic:cNvPicPr>
                            <a:picLocks noChangeAspect="1"/>
                          </pic:cNvPicPr>
                        </pic:nvPicPr>
                        <pic:blipFill>
                          <a:blip r:embed="rId129"/>
                          <a:stretch>
                            <a:fillRect/>
                          </a:stretch>
                        </pic:blipFill>
                        <pic:spPr>
                          <a:xfrm>
                            <a:off x="0" y="0"/>
                            <a:ext cx="852170" cy="843915"/>
                          </a:xfrm>
                          <a:prstGeom prst="rect">
                            <a:avLst/>
                          </a:prstGeom>
                          <a:noFill/>
                          <a:ln>
                            <a:noFill/>
                          </a:ln>
                        </pic:spPr>
                      </pic:pic>
                    </a:graphicData>
                  </a:graphic>
                </wp:inline>
              </w:drawing>
            </w:r>
          </w:p>
        </w:tc>
        <w:tc>
          <w:tcPr>
            <w:tcW w:w="1743" w:type="dxa"/>
            <w:tcBorders>
              <w:tl2br w:val="nil"/>
              <w:tr2bl w:val="nil"/>
            </w:tcBorders>
            <w:noWrap w:val="0"/>
            <w:vAlign w:val="center"/>
          </w:tcPr>
          <w:p w14:paraId="6EB5B4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drawing>
                <wp:inline distT="0" distB="0" distL="114300" distR="114300">
                  <wp:extent cx="899795" cy="814705"/>
                  <wp:effectExtent l="0" t="0" r="14605" b="4445"/>
                  <wp:docPr id="19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5"/>
                          <pic:cNvPicPr>
                            <a:picLocks noChangeAspect="1"/>
                          </pic:cNvPicPr>
                        </pic:nvPicPr>
                        <pic:blipFill>
                          <a:blip r:embed="rId130"/>
                          <a:stretch>
                            <a:fillRect/>
                          </a:stretch>
                        </pic:blipFill>
                        <pic:spPr>
                          <a:xfrm>
                            <a:off x="0" y="0"/>
                            <a:ext cx="899795" cy="814705"/>
                          </a:xfrm>
                          <a:prstGeom prst="rect">
                            <a:avLst/>
                          </a:prstGeom>
                          <a:noFill/>
                          <a:ln>
                            <a:noFill/>
                          </a:ln>
                        </pic:spPr>
                      </pic:pic>
                    </a:graphicData>
                  </a:graphic>
                </wp:inline>
              </w:drawing>
            </w:r>
          </w:p>
        </w:tc>
        <w:tc>
          <w:tcPr>
            <w:tcW w:w="823" w:type="dxa"/>
            <w:tcBorders>
              <w:tl2br w:val="nil"/>
              <w:tr2bl w:val="nil"/>
            </w:tcBorders>
            <w:noWrap w:val="0"/>
            <w:vAlign w:val="center"/>
          </w:tcPr>
          <w:p w14:paraId="627A86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废气排放口</w:t>
            </w:r>
          </w:p>
        </w:tc>
        <w:tc>
          <w:tcPr>
            <w:tcW w:w="2544" w:type="dxa"/>
            <w:tcBorders>
              <w:tl2br w:val="nil"/>
              <w:tr2bl w:val="nil"/>
            </w:tcBorders>
            <w:noWrap w:val="0"/>
            <w:vAlign w:val="center"/>
          </w:tcPr>
          <w:p w14:paraId="1F174F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表示废气向大气环境排放</w:t>
            </w:r>
          </w:p>
        </w:tc>
      </w:tr>
      <w:tr w14:paraId="134450F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51" w:hRule="atLeast"/>
          <w:jc w:val="center"/>
        </w:trPr>
        <w:tc>
          <w:tcPr>
            <w:tcW w:w="687" w:type="dxa"/>
            <w:tcBorders>
              <w:tl2br w:val="nil"/>
              <w:tr2bl w:val="nil"/>
            </w:tcBorders>
            <w:noWrap w:val="0"/>
            <w:vAlign w:val="center"/>
          </w:tcPr>
          <w:p w14:paraId="6833946D">
            <w:pPr>
              <w:pStyle w:val="112"/>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3</w:t>
            </w:r>
          </w:p>
        </w:tc>
        <w:tc>
          <w:tcPr>
            <w:tcW w:w="1521" w:type="dxa"/>
            <w:tcBorders>
              <w:tl2br w:val="nil"/>
              <w:tr2bl w:val="nil"/>
            </w:tcBorders>
            <w:noWrap w:val="0"/>
            <w:vAlign w:val="center"/>
          </w:tcPr>
          <w:p w14:paraId="1F7F12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drawing>
                <wp:inline distT="0" distB="0" distL="114300" distR="114300">
                  <wp:extent cx="874395" cy="866775"/>
                  <wp:effectExtent l="0" t="0" r="1905" b="9525"/>
                  <wp:docPr id="19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6"/>
                          <pic:cNvPicPr>
                            <a:picLocks noChangeAspect="1"/>
                          </pic:cNvPicPr>
                        </pic:nvPicPr>
                        <pic:blipFill>
                          <a:blip r:embed="rId131"/>
                          <a:stretch>
                            <a:fillRect/>
                          </a:stretch>
                        </pic:blipFill>
                        <pic:spPr>
                          <a:xfrm>
                            <a:off x="0" y="0"/>
                            <a:ext cx="874395" cy="866775"/>
                          </a:xfrm>
                          <a:prstGeom prst="rect">
                            <a:avLst/>
                          </a:prstGeom>
                          <a:noFill/>
                          <a:ln>
                            <a:noFill/>
                          </a:ln>
                        </pic:spPr>
                      </pic:pic>
                    </a:graphicData>
                  </a:graphic>
                </wp:inline>
              </w:drawing>
            </w:r>
          </w:p>
        </w:tc>
        <w:tc>
          <w:tcPr>
            <w:tcW w:w="1743" w:type="dxa"/>
            <w:tcBorders>
              <w:tl2br w:val="nil"/>
              <w:tr2bl w:val="nil"/>
            </w:tcBorders>
            <w:noWrap w:val="0"/>
            <w:vAlign w:val="center"/>
          </w:tcPr>
          <w:p w14:paraId="58362A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drawing>
                <wp:inline distT="0" distB="0" distL="114300" distR="114300">
                  <wp:extent cx="946150" cy="898525"/>
                  <wp:effectExtent l="0" t="0" r="6350" b="15875"/>
                  <wp:docPr id="19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7"/>
                          <pic:cNvPicPr>
                            <a:picLocks noChangeAspect="1"/>
                          </pic:cNvPicPr>
                        </pic:nvPicPr>
                        <pic:blipFill>
                          <a:blip r:embed="rId132"/>
                          <a:stretch>
                            <a:fillRect/>
                          </a:stretch>
                        </pic:blipFill>
                        <pic:spPr>
                          <a:xfrm>
                            <a:off x="0" y="0"/>
                            <a:ext cx="946150" cy="898525"/>
                          </a:xfrm>
                          <a:prstGeom prst="rect">
                            <a:avLst/>
                          </a:prstGeom>
                          <a:noFill/>
                          <a:ln>
                            <a:noFill/>
                          </a:ln>
                        </pic:spPr>
                      </pic:pic>
                    </a:graphicData>
                  </a:graphic>
                </wp:inline>
              </w:drawing>
            </w:r>
          </w:p>
        </w:tc>
        <w:tc>
          <w:tcPr>
            <w:tcW w:w="823" w:type="dxa"/>
            <w:tcBorders>
              <w:tl2br w:val="nil"/>
              <w:tr2bl w:val="nil"/>
            </w:tcBorders>
            <w:noWrap w:val="0"/>
            <w:vAlign w:val="center"/>
          </w:tcPr>
          <w:p w14:paraId="4EF562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噪声排放源</w:t>
            </w:r>
          </w:p>
        </w:tc>
        <w:tc>
          <w:tcPr>
            <w:tcW w:w="2544" w:type="dxa"/>
            <w:tcBorders>
              <w:tl2br w:val="nil"/>
              <w:tr2bl w:val="nil"/>
            </w:tcBorders>
            <w:noWrap w:val="0"/>
            <w:vAlign w:val="center"/>
          </w:tcPr>
          <w:p w14:paraId="378CC7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表示噪声向外环境排放</w:t>
            </w:r>
          </w:p>
        </w:tc>
      </w:tr>
      <w:tr w14:paraId="7CD92D0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70" w:hRule="atLeast"/>
          <w:jc w:val="center"/>
        </w:trPr>
        <w:tc>
          <w:tcPr>
            <w:tcW w:w="687" w:type="dxa"/>
            <w:tcBorders>
              <w:tl2br w:val="nil"/>
              <w:tr2bl w:val="nil"/>
            </w:tcBorders>
            <w:noWrap w:val="0"/>
            <w:vAlign w:val="center"/>
          </w:tcPr>
          <w:p w14:paraId="6F566F21">
            <w:pPr>
              <w:pStyle w:val="112"/>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4</w:t>
            </w:r>
          </w:p>
        </w:tc>
        <w:tc>
          <w:tcPr>
            <w:tcW w:w="1521" w:type="dxa"/>
            <w:tcBorders>
              <w:tl2br w:val="nil"/>
              <w:tr2bl w:val="nil"/>
            </w:tcBorders>
            <w:noWrap w:val="0"/>
            <w:vAlign w:val="center"/>
          </w:tcPr>
          <w:p w14:paraId="1EBDA8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drawing>
                <wp:inline distT="0" distB="0" distL="114300" distR="114300">
                  <wp:extent cx="852170" cy="860425"/>
                  <wp:effectExtent l="0" t="0" r="5080" b="15875"/>
                  <wp:docPr id="19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8"/>
                          <pic:cNvPicPr>
                            <a:picLocks noChangeAspect="1"/>
                          </pic:cNvPicPr>
                        </pic:nvPicPr>
                        <pic:blipFill>
                          <a:blip r:embed="rId133"/>
                          <a:stretch>
                            <a:fillRect/>
                          </a:stretch>
                        </pic:blipFill>
                        <pic:spPr>
                          <a:xfrm>
                            <a:off x="0" y="0"/>
                            <a:ext cx="852170" cy="860425"/>
                          </a:xfrm>
                          <a:prstGeom prst="rect">
                            <a:avLst/>
                          </a:prstGeom>
                          <a:noFill/>
                          <a:ln>
                            <a:noFill/>
                          </a:ln>
                        </pic:spPr>
                      </pic:pic>
                    </a:graphicData>
                  </a:graphic>
                </wp:inline>
              </w:drawing>
            </w:r>
          </w:p>
        </w:tc>
        <w:tc>
          <w:tcPr>
            <w:tcW w:w="1743" w:type="dxa"/>
            <w:tcBorders>
              <w:tl2br w:val="nil"/>
              <w:tr2bl w:val="nil"/>
            </w:tcBorders>
            <w:noWrap w:val="0"/>
            <w:vAlign w:val="center"/>
          </w:tcPr>
          <w:p w14:paraId="63B63D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drawing>
                <wp:inline distT="0" distB="0" distL="114300" distR="114300">
                  <wp:extent cx="982980" cy="837565"/>
                  <wp:effectExtent l="0" t="0" r="7620" b="635"/>
                  <wp:docPr id="19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9"/>
                          <pic:cNvPicPr>
                            <a:picLocks noChangeAspect="1"/>
                          </pic:cNvPicPr>
                        </pic:nvPicPr>
                        <pic:blipFill>
                          <a:blip r:embed="rId134"/>
                          <a:stretch>
                            <a:fillRect/>
                          </a:stretch>
                        </pic:blipFill>
                        <pic:spPr>
                          <a:xfrm>
                            <a:off x="0" y="0"/>
                            <a:ext cx="982980" cy="837565"/>
                          </a:xfrm>
                          <a:prstGeom prst="rect">
                            <a:avLst/>
                          </a:prstGeom>
                          <a:noFill/>
                          <a:ln>
                            <a:noFill/>
                          </a:ln>
                        </pic:spPr>
                      </pic:pic>
                    </a:graphicData>
                  </a:graphic>
                </wp:inline>
              </w:drawing>
            </w:r>
          </w:p>
        </w:tc>
        <w:tc>
          <w:tcPr>
            <w:tcW w:w="823" w:type="dxa"/>
            <w:tcBorders>
              <w:tl2br w:val="nil"/>
              <w:tr2bl w:val="nil"/>
            </w:tcBorders>
            <w:noWrap w:val="0"/>
            <w:vAlign w:val="center"/>
          </w:tcPr>
          <w:p w14:paraId="1A21D6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一般固体废物</w:t>
            </w:r>
          </w:p>
        </w:tc>
        <w:tc>
          <w:tcPr>
            <w:tcW w:w="2544" w:type="dxa"/>
            <w:tcBorders>
              <w:tl2br w:val="nil"/>
              <w:tr2bl w:val="nil"/>
            </w:tcBorders>
            <w:noWrap w:val="0"/>
            <w:vAlign w:val="center"/>
          </w:tcPr>
          <w:p w14:paraId="5D000A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表示一般固体废物贮存、处置场</w:t>
            </w:r>
          </w:p>
        </w:tc>
      </w:tr>
      <w:tr w14:paraId="2590112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15" w:hRule="atLeast"/>
          <w:jc w:val="center"/>
        </w:trPr>
        <w:tc>
          <w:tcPr>
            <w:tcW w:w="687" w:type="dxa"/>
            <w:tcBorders>
              <w:tl2br w:val="nil"/>
              <w:tr2bl w:val="nil"/>
            </w:tcBorders>
            <w:noWrap w:val="0"/>
            <w:vAlign w:val="center"/>
          </w:tcPr>
          <w:p w14:paraId="1A2A33AD">
            <w:pPr>
              <w:pStyle w:val="112"/>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5</w:t>
            </w:r>
          </w:p>
        </w:tc>
        <w:tc>
          <w:tcPr>
            <w:tcW w:w="1521" w:type="dxa"/>
            <w:tcBorders>
              <w:tl2br w:val="nil"/>
              <w:tr2bl w:val="nil"/>
            </w:tcBorders>
            <w:noWrap w:val="0"/>
            <w:vAlign w:val="center"/>
          </w:tcPr>
          <w:p w14:paraId="236517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1743" w:type="dxa"/>
            <w:tcBorders>
              <w:tl2br w:val="nil"/>
              <w:tr2bl w:val="nil"/>
            </w:tcBorders>
            <w:noWrap w:val="0"/>
            <w:vAlign w:val="center"/>
          </w:tcPr>
          <w:p w14:paraId="31D0E8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drawing>
                <wp:inline distT="0" distB="0" distL="114300" distR="114300">
                  <wp:extent cx="1021715" cy="641985"/>
                  <wp:effectExtent l="0" t="0" r="6985" b="5715"/>
                  <wp:docPr id="197" name="图片 6" descr="2c3ada9ac3b8ebef67ee0332a6a310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6" descr="2c3ada9ac3b8ebef67ee0332a6a310c7"/>
                          <pic:cNvPicPr>
                            <a:picLocks noChangeAspect="1"/>
                          </pic:cNvPicPr>
                        </pic:nvPicPr>
                        <pic:blipFill>
                          <a:blip r:embed="rId135"/>
                          <a:stretch>
                            <a:fillRect/>
                          </a:stretch>
                        </pic:blipFill>
                        <pic:spPr>
                          <a:xfrm>
                            <a:off x="0" y="0"/>
                            <a:ext cx="1021715" cy="641985"/>
                          </a:xfrm>
                          <a:prstGeom prst="rect">
                            <a:avLst/>
                          </a:prstGeom>
                          <a:noFill/>
                          <a:ln>
                            <a:noFill/>
                          </a:ln>
                        </pic:spPr>
                      </pic:pic>
                    </a:graphicData>
                  </a:graphic>
                </wp:inline>
              </w:drawing>
            </w:r>
          </w:p>
        </w:tc>
        <w:tc>
          <w:tcPr>
            <w:tcW w:w="823" w:type="dxa"/>
            <w:tcBorders>
              <w:tl2br w:val="nil"/>
              <w:tr2bl w:val="nil"/>
            </w:tcBorders>
            <w:noWrap w:val="0"/>
            <w:vAlign w:val="center"/>
          </w:tcPr>
          <w:p w14:paraId="781A1D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vertAlign w:val="baseline"/>
                <w:lang w:val="en-US" w:eastAsia="zh-CN"/>
              </w:rPr>
              <w:t>危险废物</w:t>
            </w:r>
          </w:p>
        </w:tc>
        <w:tc>
          <w:tcPr>
            <w:tcW w:w="2544" w:type="dxa"/>
            <w:tcBorders>
              <w:tl2br w:val="nil"/>
              <w:tr2bl w:val="nil"/>
            </w:tcBorders>
            <w:noWrap w:val="0"/>
            <w:vAlign w:val="center"/>
          </w:tcPr>
          <w:p w14:paraId="10360C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vertAlign w:val="baseline"/>
                <w:lang w:val="en-US" w:eastAsia="zh-CN"/>
              </w:rPr>
              <w:t>危险废物贮存、处置场</w:t>
            </w:r>
          </w:p>
        </w:tc>
      </w:tr>
    </w:tbl>
    <w:p w14:paraId="7BB71E79">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（4）排污口建档管理</w:t>
      </w:r>
    </w:p>
    <w:p w14:paraId="0EE532EF">
      <w:pPr>
        <w:bidi w:val="0"/>
        <w:rPr>
          <w:rFonts w:hint="default" w:ascii="Times New Roman" w:hAnsi="Times New Roman" w:eastAsia="宋体" w:cs="Times New Roman"/>
          <w:color w:val="auto"/>
          <w:kern w:val="0"/>
          <w:szCs w:val="24"/>
          <w:highlight w:val="none"/>
          <w:lang w:eastAsia="zh-CN"/>
        </w:rPr>
      </w:pPr>
      <w:r>
        <w:rPr>
          <w:rFonts w:hint="default" w:ascii="Times New Roman" w:hAnsi="Times New Roman" w:eastAsia="宋体" w:cs="Times New Roman"/>
          <w:color w:val="auto"/>
          <w:highlight w:val="none"/>
        </w:rPr>
        <w:t>要求使用国家环境保护行政主管部门统一印制的《中华人民共和国规范化排污口标志登记证》的要求填写项目有关内容；根据排污口管理档案内容要求，本项目建成后，应建立各主要污染物种类、数量、浓度、排放方式、排放去向、达标情况的台账，并按</w:t>
      </w:r>
      <w:r>
        <w:rPr>
          <w:rFonts w:hint="default" w:ascii="Times New Roman" w:hAnsi="Times New Roman" w:eastAsia="宋体" w:cs="Times New Roman"/>
          <w:color w:val="auto"/>
          <w:highlight w:val="none"/>
          <w:lang w:val="en-US" w:eastAsia="zh-CN"/>
        </w:rPr>
        <w:t>生态环境部门</w:t>
      </w:r>
      <w:r>
        <w:rPr>
          <w:rFonts w:hint="default" w:ascii="Times New Roman" w:hAnsi="Times New Roman" w:eastAsia="宋体" w:cs="Times New Roman"/>
          <w:color w:val="auto"/>
          <w:highlight w:val="none"/>
        </w:rPr>
        <w:t>要求及时上报</w:t>
      </w:r>
      <w:r>
        <w:rPr>
          <w:rFonts w:hint="default" w:ascii="Times New Roman" w:hAnsi="Times New Roman" w:eastAsia="宋体" w:cs="Times New Roman"/>
          <w:color w:val="auto"/>
          <w:highlight w:val="none"/>
          <w:lang w:eastAsia="zh-CN"/>
        </w:rPr>
        <w:t>。</w:t>
      </w:r>
    </w:p>
    <w:p w14:paraId="42A8782C">
      <w:pPr>
        <w:pStyle w:val="7"/>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9.1.5.2 排污许可管理</w:t>
      </w:r>
    </w:p>
    <w:p w14:paraId="57B5DC6D">
      <w:pPr>
        <w:bidi w:val="0"/>
        <w:rPr>
          <w:rFonts w:hint="default" w:ascii="Times New Roman" w:hAnsi="Times New Roman" w:eastAsia="宋体" w:cs="Times New Roman"/>
          <w:color w:val="FF0000"/>
          <w:kern w:val="0"/>
          <w:sz w:val="24"/>
          <w:szCs w:val="24"/>
          <w:highlight w:val="none"/>
        </w:rPr>
      </w:pPr>
      <w:r>
        <w:rPr>
          <w:rFonts w:hint="default" w:ascii="Times New Roman" w:hAnsi="Times New Roman" w:eastAsia="宋体" w:cs="Times New Roman"/>
          <w:b w:val="0"/>
          <w:bCs w:val="0"/>
          <w:color w:val="FF0000"/>
          <w:spacing w:val="0"/>
          <w:kern w:val="0"/>
          <w:sz w:val="24"/>
          <w:szCs w:val="24"/>
          <w:highlight w:val="none"/>
          <w:lang w:val="en-US" w:eastAsia="zh-CN"/>
        </w:rPr>
        <w:t>根据中华人民共和国生态环境部</w:t>
      </w:r>
      <w:r>
        <w:rPr>
          <w:rFonts w:hint="default" w:ascii="Times New Roman" w:hAnsi="Times New Roman" w:eastAsia="宋体" w:cs="Times New Roman"/>
          <w:b w:val="0"/>
          <w:bCs w:val="0"/>
          <w:color w:val="FF0000"/>
          <w:spacing w:val="0"/>
          <w:sz w:val="24"/>
          <w:szCs w:val="24"/>
          <w:highlight w:val="none"/>
        </w:rPr>
        <w:t>《关于做好环境影响评价制度与排污许可制衔接相关工作的通知</w:t>
      </w:r>
      <w:r>
        <w:rPr>
          <w:rFonts w:hint="default" w:ascii="Times New Roman" w:hAnsi="Times New Roman" w:eastAsia="宋体" w:cs="Times New Roman"/>
          <w:b w:val="0"/>
          <w:bCs w:val="0"/>
          <w:color w:val="FF0000"/>
          <w:spacing w:val="0"/>
          <w:sz w:val="24"/>
          <w:szCs w:val="24"/>
          <w:highlight w:val="none"/>
          <w:lang w:eastAsia="zh-CN"/>
        </w:rPr>
        <w:t>》（</w:t>
      </w:r>
      <w:r>
        <w:rPr>
          <w:rFonts w:hint="default" w:ascii="Times New Roman" w:hAnsi="Times New Roman" w:eastAsia="宋体" w:cs="Times New Roman"/>
          <w:b w:val="0"/>
          <w:bCs w:val="0"/>
          <w:color w:val="FF0000"/>
          <w:spacing w:val="0"/>
          <w:sz w:val="24"/>
          <w:szCs w:val="24"/>
          <w:highlight w:val="none"/>
          <w:lang w:val="en-US" w:eastAsia="zh-CN"/>
        </w:rPr>
        <w:t>环办环评</w:t>
      </w:r>
      <w:r>
        <w:rPr>
          <w:rFonts w:hint="eastAsia" w:ascii="Times New Roman" w:hAnsi="Times New Roman" w:eastAsia="宋体" w:cs="Times New Roman"/>
          <w:b w:val="0"/>
          <w:bCs w:val="0"/>
          <w:color w:val="FF0000"/>
          <w:spacing w:val="0"/>
          <w:sz w:val="24"/>
          <w:szCs w:val="24"/>
          <w:highlight w:val="none"/>
          <w:lang w:val="en-US" w:eastAsia="zh-CN"/>
        </w:rPr>
        <w:t>〔</w:t>
      </w:r>
      <w:r>
        <w:rPr>
          <w:rFonts w:hint="default" w:ascii="Times New Roman" w:hAnsi="Times New Roman" w:eastAsia="宋体" w:cs="Times New Roman"/>
          <w:b w:val="0"/>
          <w:bCs w:val="0"/>
          <w:color w:val="FF0000"/>
          <w:spacing w:val="0"/>
          <w:sz w:val="24"/>
          <w:szCs w:val="24"/>
          <w:highlight w:val="none"/>
          <w:lang w:val="en-US" w:eastAsia="zh-CN"/>
        </w:rPr>
        <w:t>2017</w:t>
      </w:r>
      <w:r>
        <w:rPr>
          <w:rFonts w:hint="eastAsia" w:ascii="Times New Roman" w:hAnsi="Times New Roman" w:eastAsia="宋体" w:cs="Times New Roman"/>
          <w:b w:val="0"/>
          <w:bCs w:val="0"/>
          <w:color w:val="FF0000"/>
          <w:spacing w:val="0"/>
          <w:sz w:val="24"/>
          <w:szCs w:val="24"/>
          <w:highlight w:val="none"/>
          <w:lang w:val="en-US" w:eastAsia="zh-CN"/>
        </w:rPr>
        <w:t>〕</w:t>
      </w:r>
      <w:r>
        <w:rPr>
          <w:rFonts w:hint="default" w:ascii="Times New Roman" w:hAnsi="Times New Roman" w:eastAsia="宋体" w:cs="Times New Roman"/>
          <w:b w:val="0"/>
          <w:bCs w:val="0"/>
          <w:color w:val="FF0000"/>
          <w:spacing w:val="0"/>
          <w:sz w:val="24"/>
          <w:szCs w:val="24"/>
          <w:highlight w:val="none"/>
          <w:lang w:val="en-US" w:eastAsia="zh-CN"/>
        </w:rPr>
        <w:t>84号</w:t>
      </w:r>
      <w:r>
        <w:rPr>
          <w:rFonts w:hint="default" w:ascii="Times New Roman" w:hAnsi="Times New Roman" w:eastAsia="宋体" w:cs="Times New Roman"/>
          <w:b w:val="0"/>
          <w:bCs w:val="0"/>
          <w:color w:val="FF0000"/>
          <w:spacing w:val="0"/>
          <w:sz w:val="24"/>
          <w:szCs w:val="24"/>
          <w:highlight w:val="none"/>
          <w:lang w:eastAsia="zh-CN"/>
        </w:rPr>
        <w:t>）</w:t>
      </w:r>
      <w:r>
        <w:rPr>
          <w:rFonts w:hint="default" w:ascii="Times New Roman" w:hAnsi="Times New Roman" w:eastAsia="宋体" w:cs="Times New Roman"/>
          <w:b w:val="0"/>
          <w:bCs w:val="0"/>
          <w:color w:val="FF0000"/>
          <w:spacing w:val="0"/>
          <w:kern w:val="0"/>
          <w:sz w:val="24"/>
          <w:szCs w:val="24"/>
          <w:highlight w:val="none"/>
          <w:lang w:eastAsia="zh-CN"/>
        </w:rPr>
        <w:t>，</w:t>
      </w:r>
      <w:r>
        <w:rPr>
          <w:rFonts w:hint="default" w:ascii="Times New Roman" w:hAnsi="Times New Roman" w:eastAsia="宋体" w:cs="Times New Roman"/>
          <w:color w:val="FF0000"/>
          <w:spacing w:val="0"/>
          <w:kern w:val="0"/>
          <w:sz w:val="24"/>
          <w:szCs w:val="24"/>
          <w:highlight w:val="none"/>
        </w:rPr>
        <w:t>本项目属于纳入排污许可管理的建设项目</w:t>
      </w:r>
      <w:r>
        <w:rPr>
          <w:rFonts w:hint="default" w:ascii="Times New Roman" w:hAnsi="Times New Roman" w:eastAsia="宋体" w:cs="Times New Roman"/>
          <w:color w:val="FF0000"/>
          <w:spacing w:val="0"/>
          <w:kern w:val="0"/>
          <w:sz w:val="24"/>
          <w:szCs w:val="24"/>
          <w:highlight w:val="none"/>
          <w:lang w:eastAsia="zh-CN"/>
        </w:rPr>
        <w:t>，</w:t>
      </w:r>
      <w:r>
        <w:rPr>
          <w:rFonts w:hint="default" w:ascii="Times New Roman" w:hAnsi="Times New Roman" w:eastAsia="宋体" w:cs="Times New Roman"/>
          <w:color w:val="FF0000"/>
          <w:spacing w:val="0"/>
          <w:kern w:val="0"/>
          <w:sz w:val="24"/>
          <w:szCs w:val="24"/>
          <w:highlight w:val="none"/>
        </w:rPr>
        <w:t>在本环境影响报告书中，</w:t>
      </w:r>
      <w:r>
        <w:rPr>
          <w:rFonts w:hint="default" w:ascii="Times New Roman" w:hAnsi="Times New Roman" w:eastAsia="宋体" w:cs="Times New Roman"/>
          <w:color w:val="FF0000"/>
          <w:spacing w:val="0"/>
          <w:kern w:val="0"/>
          <w:sz w:val="24"/>
          <w:szCs w:val="24"/>
          <w:highlight w:val="none"/>
          <w:lang w:val="en-US" w:eastAsia="zh-CN"/>
        </w:rPr>
        <w:t>已</w:t>
      </w:r>
      <w:r>
        <w:rPr>
          <w:rFonts w:hint="default" w:ascii="Times New Roman" w:hAnsi="Times New Roman" w:eastAsia="宋体" w:cs="Times New Roman"/>
          <w:color w:val="FF0000"/>
          <w:spacing w:val="0"/>
          <w:kern w:val="0"/>
          <w:sz w:val="24"/>
          <w:szCs w:val="24"/>
          <w:highlight w:val="none"/>
        </w:rPr>
        <w:t xml:space="preserve">按照《污染物源强核算技术指南 </w:t>
      </w:r>
      <w:r>
        <w:rPr>
          <w:rFonts w:hint="default" w:ascii="Times New Roman" w:hAnsi="Times New Roman" w:eastAsia="宋体" w:cs="Times New Roman"/>
          <w:color w:val="FF0000"/>
          <w:spacing w:val="0"/>
          <w:kern w:val="0"/>
          <w:sz w:val="24"/>
          <w:szCs w:val="24"/>
          <w:highlight w:val="none"/>
          <w:lang w:val="en-US" w:eastAsia="zh-CN"/>
        </w:rPr>
        <w:t>锅炉</w:t>
      </w:r>
      <w:r>
        <w:rPr>
          <w:rFonts w:hint="default" w:ascii="Times New Roman" w:hAnsi="Times New Roman" w:eastAsia="宋体" w:cs="Times New Roman"/>
          <w:color w:val="FF0000"/>
          <w:spacing w:val="0"/>
          <w:kern w:val="0"/>
          <w:sz w:val="24"/>
          <w:szCs w:val="24"/>
          <w:highlight w:val="none"/>
        </w:rPr>
        <w:t>》</w:t>
      </w:r>
      <w:r>
        <w:rPr>
          <w:rFonts w:hint="default" w:ascii="Times New Roman" w:hAnsi="Times New Roman" w:eastAsia="宋体" w:cs="Times New Roman"/>
          <w:color w:val="FF0000"/>
          <w:spacing w:val="0"/>
          <w:kern w:val="0"/>
          <w:sz w:val="24"/>
          <w:szCs w:val="24"/>
          <w:highlight w:val="none"/>
          <w:lang w:eastAsia="zh-CN"/>
        </w:rPr>
        <w:t>（HJ</w:t>
      </w:r>
      <w:r>
        <w:rPr>
          <w:rFonts w:hint="default" w:ascii="Times New Roman" w:hAnsi="Times New Roman" w:eastAsia="宋体" w:cs="Times New Roman"/>
          <w:color w:val="FF0000"/>
          <w:spacing w:val="0"/>
          <w:kern w:val="0"/>
          <w:sz w:val="24"/>
          <w:szCs w:val="24"/>
          <w:highlight w:val="none"/>
          <w:lang w:val="en-US" w:eastAsia="zh-CN"/>
        </w:rPr>
        <w:t>991-2018</w:t>
      </w:r>
      <w:r>
        <w:rPr>
          <w:rFonts w:hint="default" w:ascii="Times New Roman" w:hAnsi="Times New Roman" w:eastAsia="宋体" w:cs="Times New Roman"/>
          <w:color w:val="FF0000"/>
          <w:spacing w:val="0"/>
          <w:kern w:val="0"/>
          <w:sz w:val="24"/>
          <w:szCs w:val="24"/>
          <w:highlight w:val="none"/>
          <w:lang w:eastAsia="zh-CN"/>
        </w:rPr>
        <w:t>）</w:t>
      </w:r>
      <w:r>
        <w:rPr>
          <w:rFonts w:hint="default" w:ascii="Times New Roman" w:hAnsi="Times New Roman" w:eastAsia="宋体" w:cs="Times New Roman"/>
          <w:color w:val="FF0000"/>
          <w:spacing w:val="0"/>
          <w:kern w:val="0"/>
          <w:sz w:val="24"/>
          <w:szCs w:val="24"/>
          <w:highlight w:val="none"/>
        </w:rPr>
        <w:t>、《排污许可证申请与核发技术规范</w:t>
      </w:r>
      <w:r>
        <w:rPr>
          <w:rFonts w:hint="default" w:ascii="Times New Roman" w:hAnsi="Times New Roman" w:eastAsia="宋体" w:cs="Times New Roman"/>
          <w:color w:val="FF0000"/>
          <w:spacing w:val="0"/>
          <w:kern w:val="0"/>
          <w:sz w:val="24"/>
          <w:szCs w:val="24"/>
          <w:highlight w:val="none"/>
          <w:lang w:val="en-US" w:eastAsia="zh-CN"/>
        </w:rPr>
        <w:t xml:space="preserve"> 锅炉</w:t>
      </w:r>
      <w:r>
        <w:rPr>
          <w:rFonts w:hint="default" w:ascii="Times New Roman" w:hAnsi="Times New Roman" w:eastAsia="宋体" w:cs="Times New Roman"/>
          <w:color w:val="FF0000"/>
          <w:spacing w:val="0"/>
          <w:kern w:val="0"/>
          <w:sz w:val="24"/>
          <w:szCs w:val="24"/>
          <w:highlight w:val="none"/>
        </w:rPr>
        <w:t>》</w:t>
      </w:r>
      <w:r>
        <w:rPr>
          <w:rFonts w:hint="default" w:ascii="Times New Roman" w:hAnsi="Times New Roman" w:eastAsia="宋体" w:cs="Times New Roman"/>
          <w:color w:val="FF0000"/>
          <w:spacing w:val="0"/>
          <w:kern w:val="0"/>
          <w:sz w:val="24"/>
          <w:szCs w:val="24"/>
          <w:highlight w:val="none"/>
          <w:lang w:val="en-US" w:eastAsia="zh-CN"/>
        </w:rPr>
        <w:t>及</w:t>
      </w:r>
      <w:r>
        <w:rPr>
          <w:rFonts w:hint="default" w:ascii="Times New Roman" w:hAnsi="Times New Roman" w:eastAsia="宋体" w:cs="Times New Roman"/>
          <w:color w:val="FF0000"/>
          <w:spacing w:val="0"/>
          <w:kern w:val="0"/>
          <w:sz w:val="24"/>
          <w:szCs w:val="24"/>
          <w:highlight w:val="none"/>
        </w:rPr>
        <w:t>环境影响评价要素导则等技术文件，核定</w:t>
      </w:r>
      <w:r>
        <w:rPr>
          <w:rFonts w:hint="default" w:ascii="Times New Roman" w:hAnsi="Times New Roman" w:eastAsia="宋体" w:cs="Times New Roman"/>
          <w:color w:val="FF0000"/>
          <w:spacing w:val="0"/>
          <w:kern w:val="0"/>
          <w:sz w:val="24"/>
          <w:szCs w:val="24"/>
          <w:highlight w:val="none"/>
          <w:lang w:val="en-US" w:eastAsia="zh-CN"/>
        </w:rPr>
        <w:t>了</w:t>
      </w:r>
      <w:r>
        <w:rPr>
          <w:rFonts w:hint="default" w:ascii="Times New Roman" w:hAnsi="Times New Roman" w:eastAsia="宋体" w:cs="Times New Roman"/>
          <w:color w:val="FF0000"/>
          <w:spacing w:val="0"/>
          <w:kern w:val="0"/>
          <w:sz w:val="24"/>
          <w:szCs w:val="24"/>
          <w:highlight w:val="none"/>
        </w:rPr>
        <w:t>本项目的产排污环节、污染物种类及污染防治措施，并根据《排污单位自行监测技术指南 火力发电及锅炉》</w:t>
      </w:r>
      <w:r>
        <w:rPr>
          <w:rFonts w:hint="default" w:ascii="Times New Roman" w:hAnsi="Times New Roman" w:eastAsia="宋体" w:cs="Times New Roman"/>
          <w:color w:val="FF0000"/>
          <w:spacing w:val="0"/>
          <w:kern w:val="0"/>
          <w:sz w:val="24"/>
          <w:szCs w:val="24"/>
          <w:highlight w:val="none"/>
          <w:lang w:eastAsia="zh-CN"/>
        </w:rPr>
        <w:t>（</w:t>
      </w:r>
      <w:r>
        <w:rPr>
          <w:rFonts w:hint="default" w:ascii="Times New Roman" w:hAnsi="Times New Roman" w:eastAsia="宋体" w:cs="Times New Roman"/>
          <w:color w:val="FF0000"/>
          <w:spacing w:val="0"/>
          <w:kern w:val="0"/>
          <w:sz w:val="24"/>
          <w:szCs w:val="24"/>
          <w:highlight w:val="none"/>
          <w:lang w:val="en-US" w:eastAsia="zh-CN"/>
        </w:rPr>
        <w:t>HJ820-2017</w:t>
      </w:r>
      <w:r>
        <w:rPr>
          <w:rFonts w:hint="default" w:ascii="Times New Roman" w:hAnsi="Times New Roman" w:eastAsia="宋体" w:cs="Times New Roman"/>
          <w:color w:val="FF0000"/>
          <w:spacing w:val="0"/>
          <w:kern w:val="0"/>
          <w:sz w:val="24"/>
          <w:szCs w:val="24"/>
          <w:highlight w:val="none"/>
          <w:lang w:eastAsia="zh-CN"/>
        </w:rPr>
        <w:t>）</w:t>
      </w:r>
      <w:r>
        <w:rPr>
          <w:rFonts w:hint="default" w:ascii="Times New Roman" w:hAnsi="Times New Roman" w:eastAsia="宋体" w:cs="Times New Roman"/>
          <w:color w:val="FF0000"/>
          <w:spacing w:val="0"/>
          <w:kern w:val="0"/>
          <w:sz w:val="24"/>
          <w:szCs w:val="24"/>
          <w:highlight w:val="none"/>
        </w:rPr>
        <w:t>制定了自行监测计划等相关内容。本项目</w:t>
      </w:r>
      <w:r>
        <w:rPr>
          <w:rFonts w:hint="default" w:ascii="Times New Roman" w:hAnsi="Times New Roman" w:eastAsia="宋体" w:cs="Times New Roman"/>
          <w:color w:val="FF0000"/>
          <w:spacing w:val="0"/>
          <w:kern w:val="0"/>
          <w:sz w:val="24"/>
          <w:szCs w:val="24"/>
          <w:highlight w:val="none"/>
          <w:lang w:val="en-US" w:eastAsia="zh-CN"/>
        </w:rPr>
        <w:t>所在厂区已核发排污许可证</w:t>
      </w:r>
      <w:r>
        <w:rPr>
          <w:rFonts w:hint="default" w:ascii="Times New Roman" w:hAnsi="Times New Roman" w:eastAsia="宋体" w:cs="Times New Roman"/>
          <w:color w:val="FF0000"/>
          <w:spacing w:val="0"/>
          <w:kern w:val="0"/>
          <w:sz w:val="24"/>
          <w:szCs w:val="24"/>
          <w:highlight w:val="none"/>
        </w:rPr>
        <w:t>，</w:t>
      </w:r>
      <w:r>
        <w:rPr>
          <w:rFonts w:hint="default" w:ascii="Times New Roman" w:hAnsi="Times New Roman" w:eastAsia="宋体" w:cs="Times New Roman"/>
          <w:color w:val="FF0000"/>
          <w:spacing w:val="0"/>
          <w:kern w:val="0"/>
          <w:sz w:val="24"/>
          <w:szCs w:val="24"/>
          <w:highlight w:val="none"/>
          <w:lang w:val="en-US" w:eastAsia="zh-CN"/>
        </w:rPr>
        <w:t>待本项目投产运行前建设单位须变更排污许可证</w:t>
      </w:r>
      <w:r>
        <w:rPr>
          <w:rFonts w:hint="default" w:ascii="Times New Roman" w:hAnsi="Times New Roman" w:eastAsia="宋体" w:cs="Times New Roman"/>
          <w:color w:val="FF0000"/>
          <w:spacing w:val="0"/>
          <w:kern w:val="0"/>
          <w:sz w:val="24"/>
          <w:szCs w:val="24"/>
          <w:highlight w:val="none"/>
        </w:rPr>
        <w:t>。</w:t>
      </w:r>
    </w:p>
    <w:p w14:paraId="52ECACEE">
      <w:pPr>
        <w:pStyle w:val="6"/>
        <w:bidi w:val="0"/>
        <w:rPr>
          <w:rFonts w:hint="default" w:ascii="Times New Roman" w:hAnsi="Times New Roman" w:eastAsia="宋体" w:cs="Times New Roman"/>
          <w:color w:val="auto"/>
          <w:highlight w:val="none"/>
        </w:rPr>
      </w:pPr>
      <w:bookmarkStart w:id="560" w:name="_Toc19654"/>
      <w:bookmarkStart w:id="561" w:name="_Toc16006"/>
      <w:bookmarkStart w:id="562" w:name="_Toc24698"/>
      <w:r>
        <w:rPr>
          <w:rFonts w:hint="default" w:ascii="Times New Roman" w:hAnsi="Times New Roman" w:eastAsia="宋体" w:cs="Times New Roman"/>
          <w:color w:val="auto"/>
          <w:highlight w:val="none"/>
        </w:rPr>
        <w:t>9.1.6 信息公开</w:t>
      </w:r>
      <w:bookmarkEnd w:id="560"/>
      <w:bookmarkEnd w:id="561"/>
      <w:bookmarkEnd w:id="562"/>
    </w:p>
    <w:p w14:paraId="7C4D1B39">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（1）公开建设项目开工前的信息。</w:t>
      </w:r>
    </w:p>
    <w:p w14:paraId="3DEEC98F">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建设项目开工建设前，建设单位应当向社会公开建设项目开工日期、设计单位、施工单位和环境监理单位、工程基本情况、实际选址选线、拟采取的环境保护措施清单和实施计划、由地方政府或相关部门负责配套的环境保护措施清单和实施计划等，并确保上述信息在整个施工期内均处于公开状态。</w:t>
      </w:r>
    </w:p>
    <w:p w14:paraId="23E8896E">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（2）公开建设项目施工过程中的信息。</w:t>
      </w:r>
    </w:p>
    <w:p w14:paraId="6D8C9CA6">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项目建设过程中，建设单位应当在施工中期向社会公开建设项目环境保护措施进展情况、施工期的环境保护措施落实情况、施工期环境监理情况、环境监测结果等。</w:t>
      </w:r>
    </w:p>
    <w:p w14:paraId="407F1B6F">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（3）公开建设项目建成后的信息。</w:t>
      </w:r>
    </w:p>
    <w:p w14:paraId="24A84036">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建设项目建成后，建设单位应当向社会公开建设项目环评提出的各项环境保护设施和措施执行情况、竣工环境保护验收监测和调查结果。针对主要排放的污染物对环境产生影响的建设项目，投入生产或使用后，应当定期向社会特别是周边社区公开主要污染物排放情况。</w:t>
      </w:r>
    </w:p>
    <w:p w14:paraId="690FD4EC">
      <w:pPr>
        <w:pStyle w:val="4"/>
        <w:bidi w:val="0"/>
        <w:rPr>
          <w:rFonts w:hint="default" w:ascii="Times New Roman" w:hAnsi="Times New Roman" w:eastAsia="宋体" w:cs="Times New Roman"/>
          <w:b/>
          <w:bCs/>
          <w:color w:val="auto"/>
          <w:highlight w:val="none"/>
          <w:lang w:val="en-US" w:eastAsia="zh-CN"/>
        </w:rPr>
      </w:pPr>
      <w:bookmarkStart w:id="563" w:name="_Toc29210"/>
      <w:bookmarkStart w:id="564" w:name="_Toc28009"/>
      <w:bookmarkStart w:id="565" w:name="_Toc3019"/>
      <w:r>
        <w:rPr>
          <w:rFonts w:hint="default" w:ascii="Times New Roman" w:hAnsi="Times New Roman" w:eastAsia="宋体" w:cs="Times New Roman"/>
          <w:b/>
          <w:bCs/>
          <w:color w:val="auto"/>
          <w:highlight w:val="none"/>
        </w:rPr>
        <w:t>9.</w:t>
      </w:r>
      <w:r>
        <w:rPr>
          <w:rFonts w:hint="default" w:ascii="Times New Roman" w:hAnsi="Times New Roman" w:eastAsia="宋体" w:cs="Times New Roman"/>
          <w:b/>
          <w:bCs/>
          <w:color w:val="auto"/>
          <w:highlight w:val="none"/>
          <w:lang w:val="en-US" w:eastAsia="zh-CN"/>
        </w:rPr>
        <w:t>2</w:t>
      </w:r>
      <w:r>
        <w:rPr>
          <w:rFonts w:hint="default" w:ascii="Times New Roman" w:hAnsi="Times New Roman" w:eastAsia="宋体" w:cs="Times New Roman"/>
          <w:b/>
          <w:bCs/>
          <w:color w:val="auto"/>
          <w:highlight w:val="none"/>
        </w:rPr>
        <w:t xml:space="preserve"> 环境</w:t>
      </w:r>
      <w:r>
        <w:rPr>
          <w:rFonts w:hint="default" w:ascii="Times New Roman" w:hAnsi="Times New Roman" w:eastAsia="宋体" w:cs="Times New Roman"/>
          <w:b/>
          <w:bCs/>
          <w:color w:val="auto"/>
          <w:highlight w:val="none"/>
          <w:lang w:val="en-US" w:eastAsia="zh-CN"/>
        </w:rPr>
        <w:t>监测计划</w:t>
      </w:r>
      <w:bookmarkEnd w:id="563"/>
      <w:bookmarkEnd w:id="564"/>
      <w:bookmarkEnd w:id="565"/>
    </w:p>
    <w:p w14:paraId="78A21221">
      <w:pPr>
        <w:pStyle w:val="6"/>
        <w:bidi w:val="0"/>
        <w:rPr>
          <w:rFonts w:hint="default" w:ascii="Times New Roman" w:hAnsi="Times New Roman" w:eastAsia="宋体" w:cs="Times New Roman"/>
          <w:color w:val="auto"/>
          <w:highlight w:val="none"/>
        </w:rPr>
      </w:pPr>
      <w:bookmarkStart w:id="566" w:name="_Toc11056"/>
      <w:bookmarkStart w:id="567" w:name="_Toc13174"/>
      <w:bookmarkStart w:id="568" w:name="_Toc10049"/>
      <w:r>
        <w:rPr>
          <w:rFonts w:hint="default" w:ascii="Times New Roman" w:hAnsi="Times New Roman" w:eastAsia="宋体" w:cs="Times New Roman"/>
          <w:color w:val="auto"/>
          <w:highlight w:val="none"/>
        </w:rPr>
        <w:t>9.2.1环境监测的意义</w:t>
      </w:r>
      <w:bookmarkEnd w:id="566"/>
      <w:bookmarkEnd w:id="567"/>
      <w:bookmarkEnd w:id="568"/>
    </w:p>
    <w:p w14:paraId="1B798696">
      <w:pPr>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环境监测是企业环境保护的重要组成部分，也是企业的一项规范化制度。通</w:t>
      </w:r>
      <w:r>
        <w:rPr>
          <w:rFonts w:hint="default" w:ascii="Times New Roman" w:hAnsi="Times New Roman" w:eastAsia="宋体" w:cs="Times New Roman"/>
          <w:color w:val="auto"/>
          <w:highlight w:val="none"/>
          <w:lang w:val="en-US" w:eastAsia="zh-CN"/>
        </w:rPr>
        <w:t>过环境</w:t>
      </w:r>
      <w:r>
        <w:rPr>
          <w:rFonts w:hint="default" w:ascii="Times New Roman" w:hAnsi="Times New Roman" w:eastAsia="宋体" w:cs="Times New Roman"/>
          <w:color w:val="auto"/>
          <w:highlight w:val="none"/>
        </w:rPr>
        <w:t>监测，进行数据整理分析，建立监测档案，可为污染源治理，掌握污染物排放变化规律提供依据，为上级环保部门进行区域环境规划、管理执法提供依据。同时，环境监测也是企业实现污染物总量控制，做到清洁生产的重要保证手段之一。</w:t>
      </w:r>
    </w:p>
    <w:p w14:paraId="152B58FC">
      <w:pPr>
        <w:pStyle w:val="6"/>
        <w:bidi w:val="0"/>
        <w:rPr>
          <w:rFonts w:hint="default" w:ascii="Times New Roman" w:hAnsi="Times New Roman" w:eastAsia="宋体" w:cs="Times New Roman"/>
          <w:color w:val="auto"/>
          <w:highlight w:val="none"/>
        </w:rPr>
      </w:pPr>
      <w:bookmarkStart w:id="569" w:name="_Toc15909"/>
      <w:bookmarkStart w:id="570" w:name="_Toc9187"/>
      <w:bookmarkStart w:id="571" w:name="_Toc28094"/>
      <w:r>
        <w:rPr>
          <w:rFonts w:hint="default" w:ascii="Times New Roman" w:hAnsi="Times New Roman" w:eastAsia="宋体" w:cs="Times New Roman"/>
          <w:color w:val="auto"/>
          <w:highlight w:val="none"/>
        </w:rPr>
        <w:t>9.2.2环境监测计划</w:t>
      </w:r>
      <w:bookmarkEnd w:id="569"/>
      <w:bookmarkEnd w:id="570"/>
      <w:bookmarkEnd w:id="571"/>
    </w:p>
    <w:p w14:paraId="32069C86">
      <w:pPr>
        <w:autoSpaceDE w:val="0"/>
        <w:autoSpaceDN w:val="0"/>
        <w:adjustRightInd w:val="0"/>
        <w:spacing w:line="480" w:lineRule="exact"/>
        <w:ind w:firstLine="480" w:firstLineChars="200"/>
        <w:rPr>
          <w:rFonts w:hint="default" w:ascii="Times New Roman" w:hAnsi="Times New Roman" w:eastAsia="宋体" w:cs="Times New Roman"/>
          <w:snapToGrid w:val="0"/>
          <w:color w:val="auto"/>
          <w:sz w:val="24"/>
          <w:szCs w:val="24"/>
          <w:highlight w:val="none"/>
        </w:rPr>
      </w:pPr>
      <w:r>
        <w:rPr>
          <w:rFonts w:hint="default" w:ascii="Times New Roman" w:hAnsi="Times New Roman" w:eastAsia="宋体" w:cs="Times New Roman"/>
          <w:snapToGrid w:val="0"/>
          <w:color w:val="auto"/>
          <w:sz w:val="24"/>
          <w:szCs w:val="24"/>
          <w:highlight w:val="none"/>
          <w:lang w:val="en-US" w:eastAsia="zh-CN"/>
        </w:rPr>
        <w:t>（1）污染源监测计划</w:t>
      </w:r>
    </w:p>
    <w:p w14:paraId="74C434E1">
      <w:pPr>
        <w:pStyle w:val="35"/>
        <w:keepNext w:val="0"/>
        <w:keepLines w:val="0"/>
        <w:pageBreakBefore w:val="0"/>
        <w:widowControl w:val="0"/>
        <w:kinsoku/>
        <w:wordWrap/>
        <w:overflowPunct/>
        <w:topLinePunct w:val="0"/>
        <w:autoSpaceDE/>
        <w:autoSpaceDN/>
        <w:bidi w:val="0"/>
        <w:adjustRightInd/>
        <w:snapToGrid/>
        <w:spacing w:after="0" w:line="480" w:lineRule="exact"/>
        <w:ind w:firstLine="480" w:firstLineChars="200"/>
        <w:jc w:val="both"/>
        <w:textAlignment w:val="auto"/>
        <w:rPr>
          <w:rFonts w:hint="default" w:ascii="Times New Roman" w:hAnsi="Times New Roman" w:eastAsia="宋体" w:cs="Times New Roman"/>
          <w:snapToGrid w:val="0"/>
          <w:color w:val="auto"/>
          <w:sz w:val="24"/>
          <w:szCs w:val="24"/>
          <w:highlight w:val="none"/>
        </w:rPr>
      </w:pPr>
      <w:r>
        <w:rPr>
          <w:rFonts w:hint="default" w:ascii="Times New Roman" w:hAnsi="Times New Roman" w:eastAsia="宋体" w:cs="Times New Roman"/>
          <w:snapToGrid w:val="0"/>
          <w:color w:val="auto"/>
          <w:sz w:val="24"/>
          <w:szCs w:val="24"/>
          <w:highlight w:val="none"/>
        </w:rPr>
        <w:t>本项目运</w:t>
      </w:r>
      <w:r>
        <w:rPr>
          <w:rFonts w:hint="default" w:ascii="Times New Roman" w:hAnsi="Times New Roman" w:eastAsia="宋体" w:cs="Times New Roman"/>
          <w:snapToGrid w:val="0"/>
          <w:color w:val="auto"/>
          <w:sz w:val="24"/>
          <w:szCs w:val="24"/>
          <w:highlight w:val="none"/>
          <w:lang w:val="en-US" w:eastAsia="zh-CN"/>
        </w:rPr>
        <w:t>营</w:t>
      </w:r>
      <w:r>
        <w:rPr>
          <w:rFonts w:hint="default" w:ascii="Times New Roman" w:hAnsi="Times New Roman" w:eastAsia="宋体" w:cs="Times New Roman"/>
          <w:snapToGrid w:val="0"/>
          <w:color w:val="auto"/>
          <w:sz w:val="24"/>
          <w:szCs w:val="24"/>
          <w:highlight w:val="none"/>
        </w:rPr>
        <w:t>期污染源监测计划</w:t>
      </w:r>
      <w:r>
        <w:rPr>
          <w:rFonts w:hint="default" w:ascii="Times New Roman" w:hAnsi="Times New Roman" w:eastAsia="宋体" w:cs="Times New Roman"/>
          <w:color w:val="auto"/>
          <w:sz w:val="24"/>
          <w:szCs w:val="24"/>
          <w:highlight w:val="none"/>
        </w:rPr>
        <w:t>按照</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排污许可证申请与核发技术规范 锅炉</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HJ 953-2018</w:t>
      </w:r>
      <w:r>
        <w:rPr>
          <w:rFonts w:hint="eastAsia" w:cs="Times New Roman"/>
          <w:color w:val="auto"/>
          <w:sz w:val="24"/>
          <w:szCs w:val="24"/>
          <w:highlight w:val="none"/>
          <w:lang w:eastAsia="zh-CN"/>
        </w:rPr>
        <w:t>）和</w:t>
      </w:r>
      <w:r>
        <w:rPr>
          <w:rFonts w:hint="default" w:ascii="Times New Roman" w:hAnsi="Times New Roman" w:eastAsia="宋体" w:cs="Times New Roman"/>
          <w:color w:val="auto"/>
          <w:sz w:val="24"/>
          <w:szCs w:val="24"/>
          <w:highlight w:val="none"/>
        </w:rPr>
        <w:t>《排污单位自行监测技术指南 火力发电及锅炉》（HJ820-2017）中监测要求制定，若企业不具备监测条件进行上述污染源及环境质量监测，可委托有资质的环境监测单位进行监测。</w:t>
      </w:r>
      <w:r>
        <w:rPr>
          <w:rFonts w:hint="default" w:ascii="Times New Roman" w:hAnsi="Times New Roman" w:eastAsia="宋体" w:cs="Times New Roman"/>
          <w:color w:val="auto"/>
          <w:sz w:val="24"/>
          <w:szCs w:val="24"/>
          <w:highlight w:val="none"/>
          <w:lang w:eastAsia="zh-CN"/>
        </w:rPr>
        <w:t>污染源</w:t>
      </w:r>
      <w:r>
        <w:rPr>
          <w:rFonts w:hint="default" w:ascii="Times New Roman" w:hAnsi="Times New Roman" w:eastAsia="宋体" w:cs="Times New Roman"/>
          <w:color w:val="auto"/>
          <w:sz w:val="24"/>
          <w:szCs w:val="24"/>
          <w:highlight w:val="none"/>
        </w:rPr>
        <w:t>监测计划</w:t>
      </w:r>
      <w:r>
        <w:rPr>
          <w:rFonts w:hint="default" w:ascii="Times New Roman" w:hAnsi="Times New Roman" w:eastAsia="宋体" w:cs="Times New Roman"/>
          <w:color w:val="auto"/>
          <w:sz w:val="24"/>
          <w:szCs w:val="24"/>
          <w:highlight w:val="none"/>
          <w:lang w:eastAsia="zh-CN"/>
        </w:rPr>
        <w:t>内容</w:t>
      </w:r>
      <w:r>
        <w:rPr>
          <w:rFonts w:hint="default" w:ascii="Times New Roman" w:hAnsi="Times New Roman" w:eastAsia="宋体" w:cs="Times New Roman"/>
          <w:snapToGrid w:val="0"/>
          <w:color w:val="auto"/>
          <w:sz w:val="24"/>
          <w:szCs w:val="24"/>
          <w:highlight w:val="none"/>
        </w:rPr>
        <w:t>见表9-2-1。</w:t>
      </w:r>
    </w:p>
    <w:p w14:paraId="506BE13A">
      <w:pPr>
        <w:autoSpaceDE w:val="0"/>
        <w:autoSpaceDN w:val="0"/>
        <w:adjustRightInd w:val="0"/>
        <w:spacing w:line="480" w:lineRule="exact"/>
        <w:ind w:firstLine="480" w:firstLineChars="200"/>
        <w:rPr>
          <w:rFonts w:hint="default" w:ascii="Times New Roman" w:hAnsi="Times New Roman" w:eastAsia="宋体" w:cs="Times New Roman"/>
          <w:snapToGrid w:val="0"/>
          <w:color w:val="auto"/>
          <w:sz w:val="24"/>
          <w:szCs w:val="24"/>
          <w:highlight w:val="none"/>
          <w:lang w:val="en-US" w:eastAsia="zh-CN"/>
        </w:rPr>
      </w:pPr>
      <w:r>
        <w:rPr>
          <w:rFonts w:hint="default" w:ascii="Times New Roman" w:hAnsi="Times New Roman" w:eastAsia="宋体" w:cs="Times New Roman"/>
          <w:snapToGrid w:val="0"/>
          <w:color w:val="auto"/>
          <w:sz w:val="24"/>
          <w:szCs w:val="24"/>
          <w:highlight w:val="none"/>
          <w:lang w:val="en-US" w:eastAsia="zh-CN"/>
        </w:rPr>
        <w:t>（2）环境质量监测计划</w:t>
      </w:r>
    </w:p>
    <w:p w14:paraId="47D8EAC0">
      <w:pPr>
        <w:autoSpaceDE w:val="0"/>
        <w:autoSpaceDN w:val="0"/>
        <w:adjustRightInd w:val="0"/>
        <w:spacing w:line="480" w:lineRule="exact"/>
        <w:ind w:firstLine="480" w:firstLineChars="200"/>
        <w:jc w:val="left"/>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根据《环境影响评价技术导则 大气环境》（HJ2.2-2018）中“9.3环境质量监测计划”要求，项目排放污染物Pi≥1%的其他污染物作为环境质量监测因子，本项目以</w:t>
      </w:r>
      <w:r>
        <w:rPr>
          <w:rFonts w:hint="eastAsia" w:ascii="Times New Roman" w:hAnsi="Times New Roman" w:eastAsia="宋体" w:cs="Times New Roman"/>
          <w:color w:val="auto"/>
          <w:sz w:val="24"/>
          <w:highlight w:val="none"/>
          <w:lang w:val="en-US" w:eastAsia="zh-CN"/>
        </w:rPr>
        <w:t>TSP</w:t>
      </w:r>
      <w:r>
        <w:rPr>
          <w:rFonts w:hint="default" w:ascii="Times New Roman" w:hAnsi="Times New Roman" w:eastAsia="宋体" w:cs="Times New Roman"/>
          <w:color w:val="auto"/>
          <w:sz w:val="24"/>
          <w:highlight w:val="none"/>
          <w:lang w:val="en-US" w:eastAsia="zh-CN"/>
        </w:rPr>
        <w:t>、</w:t>
      </w:r>
      <w:r>
        <w:rPr>
          <w:rFonts w:hint="eastAsia" w:ascii="Times New Roman" w:hAnsi="Times New Roman" w:cs="Times New Roman"/>
          <w:color w:val="auto"/>
          <w:sz w:val="21"/>
          <w:szCs w:val="21"/>
          <w:highlight w:val="none"/>
          <w:lang w:val="en-US" w:eastAsia="zh-CN"/>
        </w:rPr>
        <w:t>SO</w:t>
      </w:r>
      <w:r>
        <w:rPr>
          <w:rFonts w:hint="eastAsia" w:ascii="Times New Roman" w:hAnsi="Times New Roman" w:cs="Times New Roman"/>
          <w:color w:val="auto"/>
          <w:sz w:val="21"/>
          <w:szCs w:val="21"/>
          <w:highlight w:val="none"/>
          <w:vertAlign w:val="subscript"/>
          <w:lang w:val="en-US" w:eastAsia="zh-CN"/>
        </w:rPr>
        <w:t>2、</w:t>
      </w:r>
      <w:r>
        <w:rPr>
          <w:rFonts w:hint="default" w:ascii="Times New Roman" w:hAnsi="Times New Roman" w:eastAsia="宋体" w:cs="Times New Roman"/>
          <w:b w:val="0"/>
          <w:bCs w:val="0"/>
          <w:i w:val="0"/>
          <w:color w:val="auto"/>
          <w:kern w:val="0"/>
          <w:sz w:val="21"/>
          <w:szCs w:val="21"/>
          <w:highlight w:val="none"/>
          <w:u w:val="none"/>
          <w:lang w:val="en-US" w:eastAsia="zh-CN" w:bidi="ar"/>
        </w:rPr>
        <w:t>NO</w:t>
      </w:r>
      <w:r>
        <w:rPr>
          <w:rFonts w:hint="default" w:ascii="Times New Roman" w:hAnsi="Times New Roman" w:eastAsia="宋体" w:cs="Times New Roman"/>
          <w:b w:val="0"/>
          <w:bCs w:val="0"/>
          <w:i w:val="0"/>
          <w:color w:val="auto"/>
          <w:kern w:val="0"/>
          <w:sz w:val="21"/>
          <w:szCs w:val="21"/>
          <w:highlight w:val="none"/>
          <w:u w:val="none"/>
          <w:vertAlign w:val="subscript"/>
          <w:lang w:val="en-US" w:eastAsia="zh-CN" w:bidi="ar"/>
        </w:rPr>
        <w:t>2</w:t>
      </w:r>
      <w:r>
        <w:rPr>
          <w:rFonts w:hint="default" w:ascii="Times New Roman" w:hAnsi="Times New Roman" w:eastAsia="宋体" w:cs="Times New Roman"/>
          <w:color w:val="auto"/>
          <w:sz w:val="24"/>
          <w:highlight w:val="none"/>
          <w:lang w:val="en-US" w:eastAsia="zh-CN"/>
        </w:rPr>
        <w:t>作为环境质量监测因子，环境质量监测计划见表9.2-1。</w:t>
      </w:r>
    </w:p>
    <w:p w14:paraId="0ABA3261">
      <w:pPr>
        <w:autoSpaceDE w:val="0"/>
        <w:autoSpaceDN w:val="0"/>
        <w:adjustRightInd w:val="0"/>
        <w:spacing w:line="480" w:lineRule="exact"/>
        <w:ind w:firstLine="480" w:firstLineChars="20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表9</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 xml:space="preserve">  本项目</w:t>
      </w:r>
      <w:r>
        <w:rPr>
          <w:rFonts w:hint="default" w:ascii="Times New Roman" w:hAnsi="Times New Roman" w:eastAsia="宋体" w:cs="Times New Roman"/>
          <w:color w:val="auto"/>
          <w:sz w:val="24"/>
          <w:szCs w:val="24"/>
          <w:highlight w:val="none"/>
          <w:lang w:eastAsia="zh-CN"/>
        </w:rPr>
        <w:t>环境质量</w:t>
      </w:r>
      <w:r>
        <w:rPr>
          <w:rFonts w:hint="default" w:ascii="Times New Roman" w:hAnsi="Times New Roman" w:eastAsia="宋体" w:cs="Times New Roman"/>
          <w:color w:val="auto"/>
          <w:sz w:val="24"/>
          <w:szCs w:val="24"/>
          <w:highlight w:val="none"/>
        </w:rPr>
        <w:t>监测计划一览表</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9"/>
        <w:gridCol w:w="1055"/>
        <w:gridCol w:w="1750"/>
        <w:gridCol w:w="3362"/>
      </w:tblGrid>
      <w:tr w14:paraId="079FD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79" w:type="pct"/>
            <w:tcBorders>
              <w:top w:val="single" w:color="auto" w:sz="12" w:space="0"/>
              <w:left w:val="nil"/>
              <w:bottom w:val="single" w:color="auto" w:sz="4" w:space="0"/>
            </w:tcBorders>
            <w:noWrap w:val="0"/>
            <w:vAlign w:val="center"/>
          </w:tcPr>
          <w:p w14:paraId="703E97B6">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监测点位</w:t>
            </w:r>
          </w:p>
        </w:tc>
        <w:tc>
          <w:tcPr>
            <w:tcW w:w="619" w:type="pct"/>
            <w:tcBorders>
              <w:top w:val="single" w:color="auto" w:sz="12" w:space="0"/>
              <w:bottom w:val="single" w:color="auto" w:sz="4" w:space="0"/>
            </w:tcBorders>
            <w:noWrap w:val="0"/>
            <w:vAlign w:val="center"/>
          </w:tcPr>
          <w:p w14:paraId="7A36A2E4">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监测指标</w:t>
            </w:r>
          </w:p>
        </w:tc>
        <w:tc>
          <w:tcPr>
            <w:tcW w:w="1027" w:type="pct"/>
            <w:tcBorders>
              <w:top w:val="single" w:color="auto" w:sz="12" w:space="0"/>
              <w:bottom w:val="single" w:color="auto" w:sz="4" w:space="0"/>
            </w:tcBorders>
            <w:noWrap w:val="0"/>
            <w:vAlign w:val="center"/>
          </w:tcPr>
          <w:p w14:paraId="664548B9">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监测频次</w:t>
            </w:r>
          </w:p>
        </w:tc>
        <w:tc>
          <w:tcPr>
            <w:tcW w:w="1973" w:type="pct"/>
            <w:tcBorders>
              <w:top w:val="single" w:color="auto" w:sz="12" w:space="0"/>
              <w:bottom w:val="single" w:color="auto" w:sz="4" w:space="0"/>
              <w:right w:val="nil"/>
            </w:tcBorders>
            <w:noWrap w:val="0"/>
            <w:vAlign w:val="center"/>
          </w:tcPr>
          <w:p w14:paraId="36B62EB0">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执行环境质量标准</w:t>
            </w:r>
          </w:p>
        </w:tc>
      </w:tr>
      <w:tr w14:paraId="2F39A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79" w:type="pct"/>
            <w:vMerge w:val="restart"/>
            <w:tcBorders>
              <w:top w:val="single" w:color="auto" w:sz="4" w:space="0"/>
              <w:left w:val="nil"/>
            </w:tcBorders>
            <w:noWrap w:val="0"/>
            <w:vAlign w:val="center"/>
          </w:tcPr>
          <w:p w14:paraId="27CFC9CF">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项目厂界外</w:t>
            </w:r>
            <w:r>
              <w:rPr>
                <w:rFonts w:hint="eastAsia" w:ascii="Times New Roman" w:hAnsi="Times New Roman" w:cs="Times New Roman"/>
                <w:color w:val="auto"/>
                <w:sz w:val="21"/>
                <w:szCs w:val="21"/>
                <w:highlight w:val="none"/>
                <w:vertAlign w:val="baseline"/>
                <w:lang w:val="en-US" w:eastAsia="zh-CN"/>
              </w:rPr>
              <w:t>东侧城区</w:t>
            </w:r>
            <w:r>
              <w:rPr>
                <w:rFonts w:hint="default" w:ascii="Times New Roman" w:hAnsi="Times New Roman" w:eastAsia="宋体" w:cs="Times New Roman"/>
                <w:color w:val="auto"/>
                <w:sz w:val="21"/>
                <w:szCs w:val="21"/>
                <w:highlight w:val="none"/>
                <w:vertAlign w:val="baseline"/>
                <w:lang w:val="en-US" w:eastAsia="zh-CN"/>
              </w:rPr>
              <w:t>设1个监测点</w:t>
            </w:r>
          </w:p>
        </w:tc>
        <w:tc>
          <w:tcPr>
            <w:tcW w:w="619" w:type="pct"/>
            <w:tcBorders>
              <w:top w:val="single" w:color="auto" w:sz="4" w:space="0"/>
              <w:bottom w:val="single" w:color="auto" w:sz="4" w:space="0"/>
            </w:tcBorders>
            <w:noWrap w:val="0"/>
            <w:vAlign w:val="center"/>
          </w:tcPr>
          <w:p w14:paraId="6C15C6CB">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rPr>
                <w:rFonts w:hint="default" w:ascii="Times New Roman" w:hAnsi="Times New Roman" w:eastAsia="宋体" w:cs="Times New Roman"/>
                <w:color w:val="auto"/>
                <w:sz w:val="21"/>
                <w:szCs w:val="21"/>
                <w:highlight w:val="none"/>
                <w:lang w:eastAsia="zh-CN"/>
              </w:rPr>
            </w:pPr>
            <w:r>
              <w:rPr>
                <w:rFonts w:hint="eastAsia" w:ascii="Times New Roman" w:hAnsi="Times New Roman" w:cs="Times New Roman"/>
                <w:color w:val="auto"/>
                <w:sz w:val="21"/>
                <w:szCs w:val="21"/>
                <w:highlight w:val="none"/>
                <w:lang w:val="en-US" w:eastAsia="zh-CN"/>
              </w:rPr>
              <w:t>SO</w:t>
            </w:r>
            <w:r>
              <w:rPr>
                <w:rFonts w:hint="eastAsia" w:ascii="Times New Roman" w:hAnsi="Times New Roman" w:cs="Times New Roman"/>
                <w:color w:val="auto"/>
                <w:sz w:val="21"/>
                <w:szCs w:val="21"/>
                <w:highlight w:val="none"/>
                <w:vertAlign w:val="subscript"/>
                <w:lang w:val="en-US" w:eastAsia="zh-CN"/>
              </w:rPr>
              <w:t>2</w:t>
            </w:r>
          </w:p>
        </w:tc>
        <w:tc>
          <w:tcPr>
            <w:tcW w:w="1027" w:type="pct"/>
            <w:tcBorders>
              <w:top w:val="single" w:color="auto" w:sz="4" w:space="0"/>
              <w:bottom w:val="single" w:color="auto" w:sz="4" w:space="0"/>
            </w:tcBorders>
            <w:noWrap w:val="0"/>
            <w:vAlign w:val="center"/>
          </w:tcPr>
          <w:p w14:paraId="6471F5E3">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每年至少监测一次</w:t>
            </w:r>
          </w:p>
        </w:tc>
        <w:tc>
          <w:tcPr>
            <w:tcW w:w="1973" w:type="pct"/>
            <w:vMerge w:val="restart"/>
            <w:tcBorders>
              <w:top w:val="single" w:color="auto" w:sz="4" w:space="0"/>
              <w:right w:val="nil"/>
            </w:tcBorders>
            <w:noWrap w:val="0"/>
            <w:vAlign w:val="center"/>
          </w:tcPr>
          <w:p w14:paraId="1CBEB508">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《环境影响评价技术导则</w:t>
            </w:r>
            <w:r>
              <w:rPr>
                <w:rFonts w:hint="default" w:ascii="Times New Roman" w:hAnsi="Times New Roman" w:eastAsia="宋体" w:cs="Times New Roman"/>
                <w:color w:val="auto"/>
                <w:sz w:val="21"/>
                <w:szCs w:val="21"/>
                <w:highlight w:val="none"/>
                <w:lang w:val="en-US" w:eastAsia="zh-CN"/>
              </w:rPr>
              <w:t xml:space="preserve"> 大气环境</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HJ2.2-2018</w:t>
            </w:r>
            <w:r>
              <w:rPr>
                <w:rFonts w:hint="default" w:ascii="Times New Roman" w:hAnsi="Times New Roman" w:eastAsia="宋体" w:cs="Times New Roman"/>
                <w:color w:val="auto"/>
                <w:sz w:val="21"/>
                <w:szCs w:val="21"/>
                <w:highlight w:val="none"/>
                <w:lang w:eastAsia="zh-CN"/>
              </w:rPr>
              <w:t>）附录</w:t>
            </w:r>
            <w:r>
              <w:rPr>
                <w:rFonts w:hint="default" w:ascii="Times New Roman" w:hAnsi="Times New Roman" w:eastAsia="宋体" w:cs="Times New Roman"/>
                <w:color w:val="auto"/>
                <w:sz w:val="21"/>
                <w:szCs w:val="21"/>
                <w:highlight w:val="none"/>
                <w:lang w:val="en-US" w:eastAsia="zh-CN"/>
              </w:rPr>
              <w:t>D</w:t>
            </w:r>
          </w:p>
        </w:tc>
      </w:tr>
      <w:tr w14:paraId="16DC9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79" w:type="pct"/>
            <w:vMerge w:val="continue"/>
            <w:tcBorders>
              <w:left w:val="nil"/>
            </w:tcBorders>
            <w:noWrap w:val="0"/>
            <w:vAlign w:val="center"/>
          </w:tcPr>
          <w:p w14:paraId="16C91CC9">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rPr>
                <w:rFonts w:hint="default" w:ascii="Times New Roman" w:hAnsi="Times New Roman" w:eastAsia="宋体" w:cs="Times New Roman"/>
                <w:color w:val="auto"/>
                <w:sz w:val="21"/>
                <w:szCs w:val="21"/>
                <w:highlight w:val="none"/>
                <w:vertAlign w:val="baseline"/>
                <w:lang w:val="en-US" w:eastAsia="zh-CN"/>
              </w:rPr>
            </w:pPr>
          </w:p>
        </w:tc>
        <w:tc>
          <w:tcPr>
            <w:tcW w:w="619" w:type="pct"/>
            <w:tcBorders>
              <w:top w:val="single" w:color="auto" w:sz="4" w:space="0"/>
              <w:bottom w:val="single" w:color="auto" w:sz="4" w:space="0"/>
            </w:tcBorders>
            <w:noWrap w:val="0"/>
            <w:vAlign w:val="center"/>
          </w:tcPr>
          <w:p w14:paraId="68402237">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val="0"/>
                <w:i w:val="0"/>
                <w:color w:val="auto"/>
                <w:kern w:val="0"/>
                <w:sz w:val="21"/>
                <w:szCs w:val="21"/>
                <w:highlight w:val="none"/>
                <w:u w:val="none"/>
                <w:lang w:val="en-US" w:eastAsia="zh-CN" w:bidi="ar"/>
              </w:rPr>
              <w:t>NO</w:t>
            </w:r>
            <w:r>
              <w:rPr>
                <w:rFonts w:hint="default" w:ascii="Times New Roman" w:hAnsi="Times New Roman" w:eastAsia="宋体" w:cs="Times New Roman"/>
                <w:b w:val="0"/>
                <w:bCs w:val="0"/>
                <w:i w:val="0"/>
                <w:color w:val="auto"/>
                <w:kern w:val="0"/>
                <w:sz w:val="21"/>
                <w:szCs w:val="21"/>
                <w:highlight w:val="none"/>
                <w:u w:val="none"/>
                <w:vertAlign w:val="subscript"/>
                <w:lang w:val="en-US" w:eastAsia="zh-CN" w:bidi="ar"/>
              </w:rPr>
              <w:t>2</w:t>
            </w:r>
          </w:p>
        </w:tc>
        <w:tc>
          <w:tcPr>
            <w:tcW w:w="1027" w:type="pct"/>
            <w:tcBorders>
              <w:top w:val="single" w:color="auto" w:sz="4" w:space="0"/>
              <w:bottom w:val="single" w:color="auto" w:sz="4" w:space="0"/>
            </w:tcBorders>
            <w:noWrap w:val="0"/>
            <w:vAlign w:val="center"/>
          </w:tcPr>
          <w:p w14:paraId="0773BB3E">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每年至少监测一次</w:t>
            </w:r>
          </w:p>
        </w:tc>
        <w:tc>
          <w:tcPr>
            <w:tcW w:w="1973" w:type="pct"/>
            <w:vMerge w:val="continue"/>
            <w:tcBorders>
              <w:right w:val="nil"/>
            </w:tcBorders>
            <w:noWrap w:val="0"/>
            <w:vAlign w:val="center"/>
          </w:tcPr>
          <w:p w14:paraId="04983806">
            <w:pPr>
              <w:pStyle w:val="88"/>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rPr>
                <w:rFonts w:hint="default" w:ascii="Times New Roman" w:hAnsi="Times New Roman" w:eastAsia="宋体" w:cs="Times New Roman"/>
                <w:color w:val="auto"/>
                <w:sz w:val="21"/>
                <w:szCs w:val="21"/>
                <w:highlight w:val="none"/>
                <w:lang w:eastAsia="zh-CN"/>
              </w:rPr>
            </w:pPr>
          </w:p>
        </w:tc>
      </w:tr>
      <w:tr w14:paraId="7068A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79" w:type="pct"/>
            <w:vMerge w:val="continue"/>
            <w:tcBorders>
              <w:left w:val="nil"/>
              <w:bottom w:val="single" w:color="auto" w:sz="12" w:space="0"/>
            </w:tcBorders>
            <w:noWrap w:val="0"/>
            <w:vAlign w:val="center"/>
          </w:tcPr>
          <w:p w14:paraId="486FFBE2">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rPr>
                <w:rFonts w:hint="default" w:ascii="Times New Roman" w:hAnsi="Times New Roman" w:eastAsia="宋体" w:cs="Times New Roman"/>
                <w:color w:val="auto"/>
                <w:sz w:val="21"/>
                <w:szCs w:val="21"/>
                <w:highlight w:val="none"/>
                <w:vertAlign w:val="baseline"/>
                <w:lang w:val="en-US" w:eastAsia="zh-CN"/>
              </w:rPr>
            </w:pPr>
          </w:p>
        </w:tc>
        <w:tc>
          <w:tcPr>
            <w:tcW w:w="619" w:type="pct"/>
            <w:tcBorders>
              <w:top w:val="single" w:color="auto" w:sz="4" w:space="0"/>
              <w:bottom w:val="single" w:color="auto" w:sz="12" w:space="0"/>
            </w:tcBorders>
            <w:noWrap w:val="0"/>
            <w:vAlign w:val="center"/>
          </w:tcPr>
          <w:p w14:paraId="2B5D3D6B">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rPr>
                <w:rFonts w:hint="default" w:ascii="Times New Roman" w:hAnsi="Times New Roman" w:eastAsia="宋体" w:cs="Times New Roman"/>
                <w:b w:val="0"/>
                <w:bCs w:val="0"/>
                <w:i w:val="0"/>
                <w:color w:val="auto"/>
                <w:kern w:val="0"/>
                <w:sz w:val="21"/>
                <w:szCs w:val="21"/>
                <w:highlight w:val="none"/>
                <w:u w:val="none"/>
                <w:lang w:val="en-US" w:eastAsia="zh-CN" w:bidi="ar"/>
              </w:rPr>
            </w:pPr>
            <w:r>
              <w:rPr>
                <w:rFonts w:hint="eastAsia" w:ascii="Times New Roman" w:hAnsi="Times New Roman" w:eastAsia="宋体" w:cs="Times New Roman"/>
                <w:b w:val="0"/>
                <w:bCs w:val="0"/>
                <w:i w:val="0"/>
                <w:color w:val="auto"/>
                <w:kern w:val="0"/>
                <w:sz w:val="21"/>
                <w:szCs w:val="21"/>
                <w:highlight w:val="none"/>
                <w:u w:val="none"/>
                <w:lang w:val="en-US" w:eastAsia="zh-CN" w:bidi="ar"/>
              </w:rPr>
              <w:t>TSP</w:t>
            </w:r>
          </w:p>
        </w:tc>
        <w:tc>
          <w:tcPr>
            <w:tcW w:w="1027" w:type="pct"/>
            <w:tcBorders>
              <w:top w:val="single" w:color="auto" w:sz="4" w:space="0"/>
              <w:bottom w:val="single" w:color="auto" w:sz="12" w:space="0"/>
            </w:tcBorders>
            <w:noWrap w:val="0"/>
            <w:vAlign w:val="center"/>
          </w:tcPr>
          <w:p w14:paraId="7177561D">
            <w:pPr>
              <w:pStyle w:val="47"/>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每年至少监测一次</w:t>
            </w:r>
          </w:p>
        </w:tc>
        <w:tc>
          <w:tcPr>
            <w:tcW w:w="1973" w:type="pct"/>
            <w:vMerge w:val="continue"/>
            <w:tcBorders>
              <w:bottom w:val="single" w:color="auto" w:sz="12" w:space="0"/>
              <w:right w:val="nil"/>
            </w:tcBorders>
            <w:noWrap w:val="0"/>
            <w:vAlign w:val="center"/>
          </w:tcPr>
          <w:p w14:paraId="3F747443">
            <w:pPr>
              <w:pStyle w:val="88"/>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bottom"/>
              <w:rPr>
                <w:rFonts w:hint="default" w:ascii="Times New Roman" w:hAnsi="Times New Roman" w:eastAsia="宋体" w:cs="Times New Roman"/>
                <w:color w:val="auto"/>
                <w:sz w:val="21"/>
                <w:szCs w:val="21"/>
                <w:highlight w:val="none"/>
                <w:lang w:eastAsia="zh-CN"/>
              </w:rPr>
            </w:pPr>
          </w:p>
        </w:tc>
      </w:tr>
    </w:tbl>
    <w:p w14:paraId="25FE669C">
      <w:pPr>
        <w:autoSpaceDE w:val="0"/>
        <w:autoSpaceDN w:val="0"/>
        <w:adjustRightInd w:val="0"/>
        <w:spacing w:line="480" w:lineRule="exact"/>
        <w:rPr>
          <w:rFonts w:hint="default" w:ascii="Times New Roman" w:hAnsi="Times New Roman" w:eastAsia="宋体" w:cs="Times New Roman"/>
          <w:color w:val="auto"/>
          <w:kern w:val="0"/>
          <w:sz w:val="24"/>
          <w:szCs w:val="24"/>
          <w:highlight w:val="none"/>
        </w:rPr>
        <w:sectPr>
          <w:pgSz w:w="11906" w:h="16838"/>
          <w:pgMar w:top="1440" w:right="1803" w:bottom="1440" w:left="1803" w:header="1191" w:footer="1191" w:gutter="0"/>
          <w:pgBorders>
            <w:top w:val="none" w:sz="0" w:space="0"/>
            <w:left w:val="none" w:sz="0" w:space="0"/>
            <w:bottom w:val="none" w:sz="0" w:space="0"/>
            <w:right w:val="none" w:sz="0" w:space="0"/>
          </w:pgBorders>
          <w:pgNumType w:fmt="decimal"/>
          <w:cols w:space="720" w:num="1"/>
          <w:docGrid w:linePitch="286" w:charSpace="0"/>
        </w:sectPr>
      </w:pPr>
    </w:p>
    <w:p w14:paraId="2AEFB340">
      <w:pPr>
        <w:pStyle w:val="35"/>
        <w:spacing w:after="0" w:line="480" w:lineRule="exact"/>
        <w:ind w:firstLine="480" w:firstLineChars="20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表9</w:t>
      </w:r>
      <w:r>
        <w:rPr>
          <w:rFonts w:hint="default"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rPr>
        <w:t>2-</w:t>
      </w:r>
      <w:r>
        <w:rPr>
          <w:rFonts w:hint="default" w:ascii="Times New Roman" w:hAnsi="Times New Roman" w:eastAsia="宋体" w:cs="Times New Roman"/>
          <w:color w:val="auto"/>
          <w:sz w:val="24"/>
          <w:highlight w:val="none"/>
          <w:lang w:val="en-US" w:eastAsia="zh-CN"/>
        </w:rPr>
        <w:t>2</w:t>
      </w:r>
      <w:r>
        <w:rPr>
          <w:rFonts w:hint="default" w:ascii="Times New Roman" w:hAnsi="Times New Roman" w:eastAsia="宋体" w:cs="Times New Roman"/>
          <w:color w:val="auto"/>
          <w:sz w:val="24"/>
          <w:highlight w:val="none"/>
        </w:rPr>
        <w:t xml:space="preserve">  本项目污染源监测计划一览表</w:t>
      </w:r>
    </w:p>
    <w:tbl>
      <w:tblPr>
        <w:tblStyle w:val="37"/>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90"/>
        <w:gridCol w:w="2241"/>
        <w:gridCol w:w="1385"/>
        <w:gridCol w:w="2036"/>
        <w:gridCol w:w="1100"/>
        <w:gridCol w:w="2019"/>
        <w:gridCol w:w="4538"/>
      </w:tblGrid>
      <w:tr w14:paraId="5F7053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3" w:type="pct"/>
            <w:tcBorders>
              <w:tl2br w:val="nil"/>
              <w:tr2bl w:val="nil"/>
            </w:tcBorders>
            <w:noWrap w:val="0"/>
            <w:vAlign w:val="center"/>
          </w:tcPr>
          <w:p w14:paraId="2AC5F2A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要素</w:t>
            </w:r>
          </w:p>
        </w:tc>
        <w:tc>
          <w:tcPr>
            <w:tcW w:w="788" w:type="pct"/>
            <w:tcBorders>
              <w:tl2br w:val="nil"/>
              <w:tr2bl w:val="nil"/>
            </w:tcBorders>
            <w:noWrap w:val="0"/>
            <w:vAlign w:val="center"/>
          </w:tcPr>
          <w:p w14:paraId="786478B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lang w:eastAsia="zh-CN"/>
              </w:rPr>
            </w:pPr>
            <w:r>
              <w:rPr>
                <w:rFonts w:hint="default" w:ascii="Times New Roman" w:hAnsi="Times New Roman" w:eastAsia="宋体" w:cs="Times New Roman"/>
                <w:color w:val="FF0000"/>
                <w:sz w:val="21"/>
                <w:szCs w:val="21"/>
                <w:highlight w:val="none"/>
              </w:rPr>
              <w:t>监测</w:t>
            </w:r>
            <w:r>
              <w:rPr>
                <w:rFonts w:hint="default" w:ascii="Times New Roman" w:hAnsi="Times New Roman" w:eastAsia="宋体" w:cs="Times New Roman"/>
                <w:color w:val="FF0000"/>
                <w:sz w:val="21"/>
                <w:szCs w:val="21"/>
                <w:highlight w:val="none"/>
                <w:lang w:eastAsia="zh-CN"/>
              </w:rPr>
              <w:t>指标</w:t>
            </w:r>
          </w:p>
        </w:tc>
        <w:tc>
          <w:tcPr>
            <w:tcW w:w="487" w:type="pct"/>
            <w:tcBorders>
              <w:tl2br w:val="nil"/>
              <w:tr2bl w:val="nil"/>
            </w:tcBorders>
            <w:noWrap w:val="0"/>
            <w:vAlign w:val="center"/>
          </w:tcPr>
          <w:p w14:paraId="3E4602D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lang w:eastAsia="zh-CN"/>
              </w:rPr>
            </w:pPr>
            <w:r>
              <w:rPr>
                <w:rFonts w:hint="default" w:ascii="Times New Roman" w:hAnsi="Times New Roman" w:eastAsia="宋体" w:cs="Times New Roman"/>
                <w:color w:val="FF0000"/>
                <w:sz w:val="21"/>
                <w:szCs w:val="21"/>
                <w:highlight w:val="none"/>
                <w:lang w:eastAsia="zh-CN"/>
              </w:rPr>
              <w:t>排放口</w:t>
            </w:r>
          </w:p>
        </w:tc>
        <w:tc>
          <w:tcPr>
            <w:tcW w:w="716" w:type="pct"/>
            <w:tcBorders>
              <w:tl2br w:val="nil"/>
              <w:tr2bl w:val="nil"/>
            </w:tcBorders>
            <w:noWrap w:val="0"/>
            <w:vAlign w:val="center"/>
          </w:tcPr>
          <w:p w14:paraId="70DFC29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rPr>
              <w:t>监测点</w:t>
            </w:r>
            <w:r>
              <w:rPr>
                <w:rFonts w:hint="default" w:ascii="Times New Roman" w:hAnsi="Times New Roman" w:eastAsia="宋体" w:cs="Times New Roman"/>
                <w:color w:val="FF0000"/>
                <w:sz w:val="21"/>
                <w:szCs w:val="21"/>
                <w:highlight w:val="none"/>
                <w:lang w:eastAsia="zh-CN"/>
              </w:rPr>
              <w:t>位</w:t>
            </w:r>
          </w:p>
        </w:tc>
        <w:tc>
          <w:tcPr>
            <w:tcW w:w="387" w:type="pct"/>
            <w:tcBorders>
              <w:tl2br w:val="nil"/>
              <w:tr2bl w:val="nil"/>
            </w:tcBorders>
            <w:noWrap w:val="0"/>
            <w:vAlign w:val="center"/>
          </w:tcPr>
          <w:p w14:paraId="52E6937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监测频率</w:t>
            </w:r>
          </w:p>
        </w:tc>
        <w:tc>
          <w:tcPr>
            <w:tcW w:w="710" w:type="pct"/>
            <w:tcBorders>
              <w:tl2br w:val="nil"/>
              <w:tr2bl w:val="nil"/>
            </w:tcBorders>
            <w:noWrap w:val="0"/>
            <w:vAlign w:val="center"/>
          </w:tcPr>
          <w:p w14:paraId="0DF83B2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eastAsia="zh-CN"/>
              </w:rPr>
              <w:t>排放</w:t>
            </w:r>
            <w:r>
              <w:rPr>
                <w:rFonts w:hint="default" w:ascii="Times New Roman" w:hAnsi="Times New Roman" w:eastAsia="宋体" w:cs="Times New Roman"/>
                <w:color w:val="FF0000"/>
                <w:sz w:val="21"/>
                <w:szCs w:val="21"/>
                <w:highlight w:val="none"/>
              </w:rPr>
              <w:t>浓度</w:t>
            </w:r>
          </w:p>
        </w:tc>
        <w:tc>
          <w:tcPr>
            <w:tcW w:w="1596" w:type="pct"/>
            <w:tcBorders>
              <w:tl2br w:val="nil"/>
              <w:tr2bl w:val="nil"/>
            </w:tcBorders>
            <w:noWrap w:val="0"/>
            <w:vAlign w:val="center"/>
          </w:tcPr>
          <w:p w14:paraId="108177A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执行</w:t>
            </w:r>
            <w:r>
              <w:rPr>
                <w:rFonts w:hint="default" w:ascii="Times New Roman" w:hAnsi="Times New Roman" w:eastAsia="宋体" w:cs="Times New Roman"/>
                <w:color w:val="FF0000"/>
                <w:sz w:val="21"/>
                <w:szCs w:val="21"/>
                <w:highlight w:val="none"/>
                <w:lang w:eastAsia="zh-CN"/>
              </w:rPr>
              <w:t>排放</w:t>
            </w:r>
            <w:r>
              <w:rPr>
                <w:rFonts w:hint="default" w:ascii="Times New Roman" w:hAnsi="Times New Roman" w:eastAsia="宋体" w:cs="Times New Roman"/>
                <w:color w:val="FF0000"/>
                <w:sz w:val="21"/>
                <w:szCs w:val="21"/>
                <w:highlight w:val="none"/>
              </w:rPr>
              <w:t>标准</w:t>
            </w:r>
          </w:p>
        </w:tc>
      </w:tr>
      <w:tr w14:paraId="1BC02D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3" w:type="pct"/>
            <w:vMerge w:val="restart"/>
            <w:tcBorders>
              <w:tl2br w:val="nil"/>
              <w:tr2bl w:val="nil"/>
            </w:tcBorders>
            <w:noWrap w:val="0"/>
            <w:vAlign w:val="center"/>
          </w:tcPr>
          <w:p w14:paraId="3B1E39E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lang w:eastAsia="zh-CN"/>
              </w:rPr>
            </w:pPr>
            <w:r>
              <w:rPr>
                <w:rFonts w:hint="default" w:ascii="Times New Roman" w:hAnsi="Times New Roman" w:eastAsia="宋体" w:cs="Times New Roman"/>
                <w:color w:val="FF0000"/>
                <w:sz w:val="21"/>
                <w:szCs w:val="21"/>
                <w:highlight w:val="none"/>
                <w:lang w:eastAsia="zh-CN"/>
              </w:rPr>
              <w:t>有组织废气</w:t>
            </w:r>
          </w:p>
        </w:tc>
        <w:tc>
          <w:tcPr>
            <w:tcW w:w="788" w:type="pct"/>
            <w:tcBorders>
              <w:tl2br w:val="nil"/>
              <w:tr2bl w:val="nil"/>
            </w:tcBorders>
            <w:noWrap w:val="0"/>
            <w:vAlign w:val="center"/>
          </w:tcPr>
          <w:p w14:paraId="25ADCB3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vertAlign w:val="subscript"/>
              </w:rPr>
            </w:pPr>
            <w:r>
              <w:rPr>
                <w:rFonts w:hint="default" w:ascii="Times New Roman" w:hAnsi="Times New Roman" w:eastAsia="宋体" w:cs="Times New Roman"/>
                <w:color w:val="FF0000"/>
                <w:sz w:val="21"/>
                <w:szCs w:val="21"/>
                <w:highlight w:val="none"/>
              </w:rPr>
              <w:t>颗粒物</w:t>
            </w:r>
            <w:r>
              <w:rPr>
                <w:rFonts w:hint="default" w:ascii="Times New Roman" w:hAnsi="Times New Roman" w:eastAsia="宋体" w:cs="Times New Roman"/>
                <w:color w:val="FF0000"/>
                <w:sz w:val="21"/>
                <w:szCs w:val="21"/>
                <w:highlight w:val="none"/>
                <w:lang w:eastAsia="zh-CN"/>
              </w:rPr>
              <w:t>、</w:t>
            </w:r>
            <w:r>
              <w:rPr>
                <w:rFonts w:hint="default" w:ascii="Times New Roman" w:hAnsi="Times New Roman" w:eastAsia="宋体" w:cs="Times New Roman"/>
                <w:color w:val="FF0000"/>
                <w:sz w:val="21"/>
                <w:szCs w:val="21"/>
                <w:highlight w:val="none"/>
                <w:lang w:val="en-US" w:eastAsia="zh-CN"/>
              </w:rPr>
              <w:t>二氧化硫</w:t>
            </w:r>
            <w:r>
              <w:rPr>
                <w:rFonts w:hint="default" w:ascii="Times New Roman" w:hAnsi="Times New Roman" w:eastAsia="宋体" w:cs="Times New Roman"/>
                <w:color w:val="FF0000"/>
                <w:sz w:val="21"/>
                <w:szCs w:val="21"/>
                <w:highlight w:val="none"/>
                <w:lang w:eastAsia="zh-CN"/>
              </w:rPr>
              <w:t>、</w:t>
            </w:r>
            <w:r>
              <w:rPr>
                <w:rFonts w:hint="default" w:ascii="Times New Roman" w:hAnsi="Times New Roman" w:eastAsia="宋体" w:cs="Times New Roman"/>
                <w:color w:val="FF0000"/>
                <w:sz w:val="21"/>
                <w:szCs w:val="21"/>
                <w:highlight w:val="none"/>
                <w:lang w:val="en-US" w:eastAsia="zh-CN"/>
              </w:rPr>
              <w:t>氮氧化物</w:t>
            </w:r>
          </w:p>
        </w:tc>
        <w:tc>
          <w:tcPr>
            <w:tcW w:w="487" w:type="pct"/>
            <w:vMerge w:val="restart"/>
            <w:tcBorders>
              <w:tl2br w:val="nil"/>
              <w:tr2bl w:val="nil"/>
            </w:tcBorders>
            <w:noWrap w:val="0"/>
            <w:vAlign w:val="center"/>
          </w:tcPr>
          <w:p w14:paraId="07CE729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eastAsia="zh-CN"/>
              </w:rPr>
              <w:t>主要排放口（</w:t>
            </w:r>
            <w:r>
              <w:rPr>
                <w:rFonts w:hint="default" w:ascii="Times New Roman" w:hAnsi="Times New Roman" w:eastAsia="宋体" w:cs="Times New Roman"/>
                <w:color w:val="FF0000"/>
                <w:sz w:val="21"/>
                <w:szCs w:val="21"/>
                <w:highlight w:val="none"/>
                <w:lang w:val="en-US" w:eastAsia="zh-CN"/>
              </w:rPr>
              <w:t>锅炉烟囱</w:t>
            </w:r>
            <w:r>
              <w:rPr>
                <w:rFonts w:hint="default" w:ascii="Times New Roman" w:hAnsi="Times New Roman" w:eastAsia="宋体" w:cs="Times New Roman"/>
                <w:color w:val="FF0000"/>
                <w:sz w:val="21"/>
                <w:szCs w:val="21"/>
                <w:highlight w:val="none"/>
                <w:lang w:eastAsia="zh-CN"/>
              </w:rPr>
              <w:t>）</w:t>
            </w:r>
          </w:p>
        </w:tc>
        <w:tc>
          <w:tcPr>
            <w:tcW w:w="716" w:type="pct"/>
            <w:tcBorders>
              <w:tl2br w:val="nil"/>
              <w:tr2bl w:val="nil"/>
            </w:tcBorders>
            <w:noWrap w:val="0"/>
            <w:vAlign w:val="center"/>
          </w:tcPr>
          <w:p w14:paraId="760642C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烟道</w:t>
            </w:r>
          </w:p>
        </w:tc>
        <w:tc>
          <w:tcPr>
            <w:tcW w:w="387" w:type="pct"/>
            <w:tcBorders>
              <w:tl2br w:val="nil"/>
              <w:tr2bl w:val="nil"/>
            </w:tcBorders>
            <w:noWrap w:val="0"/>
            <w:vAlign w:val="center"/>
          </w:tcPr>
          <w:p w14:paraId="29F7C16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自动在线</w:t>
            </w:r>
          </w:p>
          <w:p w14:paraId="0301C85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连续监测</w:t>
            </w:r>
          </w:p>
        </w:tc>
        <w:tc>
          <w:tcPr>
            <w:tcW w:w="710" w:type="pct"/>
            <w:tcBorders>
              <w:tl2br w:val="nil"/>
              <w:tr2bl w:val="nil"/>
            </w:tcBorders>
            <w:noWrap w:val="0"/>
            <w:vAlign w:val="center"/>
          </w:tcPr>
          <w:p w14:paraId="7E52D02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vertAlign w:val="superscript"/>
              </w:rPr>
            </w:pPr>
            <w:r>
              <w:rPr>
                <w:rFonts w:hint="default" w:ascii="Times New Roman" w:hAnsi="Times New Roman" w:eastAsia="宋体" w:cs="Times New Roman"/>
                <w:color w:val="FF0000"/>
                <w:sz w:val="21"/>
                <w:szCs w:val="21"/>
                <w:highlight w:val="none"/>
              </w:rPr>
              <w:t>颗粒物≦10mg/m</w:t>
            </w:r>
            <w:r>
              <w:rPr>
                <w:rFonts w:hint="default" w:ascii="Times New Roman" w:hAnsi="Times New Roman" w:eastAsia="宋体" w:cs="Times New Roman"/>
                <w:color w:val="FF0000"/>
                <w:sz w:val="21"/>
                <w:szCs w:val="21"/>
                <w:highlight w:val="none"/>
                <w:vertAlign w:val="superscript"/>
              </w:rPr>
              <w:t>3</w:t>
            </w:r>
          </w:p>
          <w:p w14:paraId="2EDDC94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lang w:val="de-DE"/>
              </w:rPr>
            </w:pPr>
            <w:r>
              <w:rPr>
                <w:rFonts w:hint="default" w:ascii="Times New Roman" w:hAnsi="Times New Roman" w:eastAsia="宋体" w:cs="Times New Roman"/>
                <w:color w:val="FF0000"/>
                <w:sz w:val="21"/>
                <w:szCs w:val="21"/>
                <w:highlight w:val="none"/>
                <w:lang w:val="de-DE"/>
              </w:rPr>
              <w:t>SO</w:t>
            </w:r>
            <w:r>
              <w:rPr>
                <w:rFonts w:hint="default" w:ascii="Times New Roman" w:hAnsi="Times New Roman" w:eastAsia="宋体" w:cs="Times New Roman"/>
                <w:color w:val="FF0000"/>
                <w:sz w:val="21"/>
                <w:szCs w:val="21"/>
                <w:highlight w:val="none"/>
                <w:vertAlign w:val="subscript"/>
                <w:lang w:val="de-DE"/>
              </w:rPr>
              <w:t>2</w:t>
            </w:r>
            <w:r>
              <w:rPr>
                <w:rFonts w:hint="default" w:ascii="Times New Roman" w:hAnsi="Times New Roman" w:eastAsia="宋体" w:cs="Times New Roman"/>
                <w:color w:val="FF0000"/>
                <w:sz w:val="21"/>
                <w:szCs w:val="21"/>
                <w:highlight w:val="none"/>
                <w:lang w:val="de-DE"/>
              </w:rPr>
              <w:t>≦35mg/m</w:t>
            </w:r>
            <w:r>
              <w:rPr>
                <w:rFonts w:hint="default" w:ascii="Times New Roman" w:hAnsi="Times New Roman" w:eastAsia="宋体" w:cs="Times New Roman"/>
                <w:color w:val="FF0000"/>
                <w:sz w:val="21"/>
                <w:szCs w:val="21"/>
                <w:highlight w:val="none"/>
                <w:vertAlign w:val="superscript"/>
                <w:lang w:val="de-DE"/>
              </w:rPr>
              <w:t>3</w:t>
            </w:r>
          </w:p>
          <w:p w14:paraId="32546E0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vertAlign w:val="superscript"/>
                <w:lang w:val="de-DE"/>
              </w:rPr>
            </w:pPr>
            <w:r>
              <w:rPr>
                <w:rFonts w:hint="default" w:ascii="Times New Roman" w:hAnsi="Times New Roman" w:eastAsia="宋体" w:cs="Times New Roman"/>
                <w:color w:val="FF0000"/>
                <w:sz w:val="21"/>
                <w:szCs w:val="21"/>
                <w:highlight w:val="none"/>
                <w:lang w:val="de-DE"/>
              </w:rPr>
              <w:t>NO</w:t>
            </w:r>
            <w:r>
              <w:rPr>
                <w:rFonts w:hint="default" w:ascii="Times New Roman" w:hAnsi="Times New Roman" w:eastAsia="宋体" w:cs="Times New Roman"/>
                <w:color w:val="FF0000"/>
                <w:sz w:val="21"/>
                <w:szCs w:val="21"/>
                <w:highlight w:val="none"/>
                <w:vertAlign w:val="subscript"/>
                <w:lang w:val="de-DE"/>
              </w:rPr>
              <w:t>X</w:t>
            </w:r>
            <w:r>
              <w:rPr>
                <w:rFonts w:hint="default" w:ascii="Times New Roman" w:hAnsi="Times New Roman" w:eastAsia="宋体" w:cs="Times New Roman"/>
                <w:color w:val="FF0000"/>
                <w:sz w:val="21"/>
                <w:szCs w:val="21"/>
                <w:highlight w:val="none"/>
                <w:lang w:val="de-DE"/>
              </w:rPr>
              <w:t>≦50mg/m</w:t>
            </w:r>
            <w:r>
              <w:rPr>
                <w:rFonts w:hint="default" w:ascii="Times New Roman" w:hAnsi="Times New Roman" w:eastAsia="宋体" w:cs="Times New Roman"/>
                <w:color w:val="FF0000"/>
                <w:sz w:val="21"/>
                <w:szCs w:val="21"/>
                <w:highlight w:val="none"/>
                <w:vertAlign w:val="superscript"/>
                <w:lang w:val="de-DE"/>
              </w:rPr>
              <w:t>3</w:t>
            </w:r>
          </w:p>
        </w:tc>
        <w:tc>
          <w:tcPr>
            <w:tcW w:w="1596" w:type="pct"/>
            <w:tcBorders>
              <w:tl2br w:val="nil"/>
              <w:tr2bl w:val="nil"/>
            </w:tcBorders>
            <w:noWrap w:val="0"/>
            <w:vAlign w:val="center"/>
          </w:tcPr>
          <w:p w14:paraId="7A8F0E8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《关于印发</w:t>
            </w:r>
            <w:r>
              <w:rPr>
                <w:rFonts w:hint="eastAsia" w:ascii="Times New Roman" w:hAnsi="Times New Roman" w:eastAsia="宋体" w:cs="Times New Roman"/>
                <w:color w:val="FF0000"/>
                <w:sz w:val="21"/>
                <w:szCs w:val="21"/>
                <w:highlight w:val="none"/>
                <w:lang w:eastAsia="zh-CN"/>
              </w:rPr>
              <w:t>〈</w:t>
            </w:r>
            <w:r>
              <w:rPr>
                <w:rFonts w:hint="default" w:ascii="Times New Roman" w:hAnsi="Times New Roman" w:eastAsia="宋体" w:cs="Times New Roman"/>
                <w:color w:val="FF0000"/>
                <w:sz w:val="21"/>
                <w:szCs w:val="21"/>
                <w:highlight w:val="none"/>
              </w:rPr>
              <w:t>全面实施燃煤电厂超低排放和节能改造工作方案</w:t>
            </w:r>
            <w:r>
              <w:rPr>
                <w:rFonts w:hint="eastAsia" w:ascii="Times New Roman" w:hAnsi="Times New Roman" w:eastAsia="宋体" w:cs="Times New Roman"/>
                <w:color w:val="FF0000"/>
                <w:sz w:val="21"/>
                <w:szCs w:val="21"/>
                <w:highlight w:val="none"/>
                <w:lang w:eastAsia="zh-CN"/>
              </w:rPr>
              <w:t>〉的通知》</w:t>
            </w:r>
            <w:r>
              <w:rPr>
                <w:rFonts w:hint="default" w:ascii="Times New Roman" w:hAnsi="Times New Roman" w:eastAsia="宋体" w:cs="Times New Roman"/>
                <w:color w:val="FF0000"/>
                <w:sz w:val="21"/>
                <w:szCs w:val="21"/>
                <w:highlight w:val="none"/>
              </w:rPr>
              <w:t>（环发</w:t>
            </w:r>
            <w:r>
              <w:rPr>
                <w:rFonts w:hint="eastAsia" w:ascii="Times New Roman" w:hAnsi="Times New Roman" w:eastAsia="宋体" w:cs="Times New Roman"/>
                <w:color w:val="FF0000"/>
                <w:sz w:val="21"/>
                <w:szCs w:val="21"/>
                <w:highlight w:val="none"/>
                <w:lang w:eastAsia="zh-CN"/>
              </w:rPr>
              <w:t>〔</w:t>
            </w:r>
            <w:r>
              <w:rPr>
                <w:rFonts w:hint="default" w:ascii="Times New Roman" w:hAnsi="Times New Roman" w:eastAsia="宋体" w:cs="Times New Roman"/>
                <w:color w:val="FF0000"/>
                <w:sz w:val="21"/>
                <w:szCs w:val="21"/>
                <w:highlight w:val="none"/>
              </w:rPr>
              <w:t>2015</w:t>
            </w:r>
            <w:r>
              <w:rPr>
                <w:rFonts w:hint="eastAsia" w:ascii="Times New Roman" w:hAnsi="Times New Roman" w:eastAsia="宋体" w:cs="Times New Roman"/>
                <w:color w:val="FF0000"/>
                <w:sz w:val="21"/>
                <w:szCs w:val="21"/>
                <w:highlight w:val="none"/>
                <w:lang w:eastAsia="zh-CN"/>
              </w:rPr>
              <w:t>〕</w:t>
            </w:r>
            <w:r>
              <w:rPr>
                <w:rFonts w:hint="default" w:ascii="Times New Roman" w:hAnsi="Times New Roman" w:eastAsia="宋体" w:cs="Times New Roman"/>
                <w:color w:val="FF0000"/>
                <w:sz w:val="21"/>
                <w:szCs w:val="21"/>
                <w:highlight w:val="none"/>
              </w:rPr>
              <w:t>164号）要求，达到超低排放（在基准氧含量6%条件下，烟尘、SO</w:t>
            </w:r>
            <w:r>
              <w:rPr>
                <w:rFonts w:hint="default" w:ascii="Times New Roman" w:hAnsi="Times New Roman" w:eastAsia="宋体" w:cs="Times New Roman"/>
                <w:color w:val="FF0000"/>
                <w:sz w:val="21"/>
                <w:szCs w:val="21"/>
                <w:highlight w:val="none"/>
                <w:vertAlign w:val="subscript"/>
              </w:rPr>
              <w:t>2</w:t>
            </w:r>
            <w:r>
              <w:rPr>
                <w:rFonts w:hint="default" w:ascii="Times New Roman" w:hAnsi="Times New Roman" w:eastAsia="宋体" w:cs="Times New Roman"/>
                <w:color w:val="FF0000"/>
                <w:sz w:val="21"/>
                <w:szCs w:val="21"/>
                <w:highlight w:val="none"/>
              </w:rPr>
              <w:t>、NO</w:t>
            </w:r>
            <w:r>
              <w:rPr>
                <w:rFonts w:hint="default" w:ascii="Times New Roman" w:hAnsi="Times New Roman" w:eastAsia="宋体" w:cs="Times New Roman"/>
                <w:color w:val="FF0000"/>
                <w:sz w:val="21"/>
                <w:szCs w:val="21"/>
                <w:highlight w:val="none"/>
                <w:vertAlign w:val="subscript"/>
              </w:rPr>
              <w:t>X</w:t>
            </w:r>
            <w:r>
              <w:rPr>
                <w:rFonts w:hint="default" w:ascii="Times New Roman" w:hAnsi="Times New Roman" w:eastAsia="宋体" w:cs="Times New Roman"/>
                <w:color w:val="FF0000"/>
                <w:sz w:val="21"/>
                <w:szCs w:val="21"/>
                <w:highlight w:val="none"/>
              </w:rPr>
              <w:t>排放浓度分别不高</w:t>
            </w:r>
            <w:r>
              <w:rPr>
                <w:rFonts w:hint="eastAsia" w:ascii="Times New Roman" w:hAnsi="Times New Roman" w:eastAsia="宋体" w:cs="Times New Roman"/>
                <w:color w:val="FF0000"/>
                <w:sz w:val="21"/>
                <w:szCs w:val="21"/>
                <w:highlight w:val="none"/>
                <w:lang w:eastAsia="zh-CN"/>
              </w:rPr>
              <w:t>于</w:t>
            </w:r>
            <w:r>
              <w:rPr>
                <w:rFonts w:hint="default" w:ascii="Times New Roman" w:hAnsi="Times New Roman" w:eastAsia="宋体" w:cs="Times New Roman"/>
                <w:color w:val="FF0000"/>
                <w:sz w:val="21"/>
                <w:szCs w:val="21"/>
                <w:highlight w:val="none"/>
              </w:rPr>
              <w:t>10mg/m</w:t>
            </w:r>
            <w:r>
              <w:rPr>
                <w:rFonts w:hint="default" w:ascii="Times New Roman" w:hAnsi="Times New Roman" w:eastAsia="宋体" w:cs="Times New Roman"/>
                <w:color w:val="FF0000"/>
                <w:sz w:val="21"/>
                <w:szCs w:val="21"/>
                <w:highlight w:val="none"/>
                <w:vertAlign w:val="superscript"/>
              </w:rPr>
              <w:t>3</w:t>
            </w:r>
            <w:r>
              <w:rPr>
                <w:rFonts w:hint="default" w:ascii="Times New Roman" w:hAnsi="Times New Roman" w:eastAsia="宋体" w:cs="Times New Roman"/>
                <w:color w:val="FF0000"/>
                <w:sz w:val="21"/>
                <w:szCs w:val="21"/>
                <w:highlight w:val="none"/>
              </w:rPr>
              <w:t>、35mg/m</w:t>
            </w:r>
            <w:r>
              <w:rPr>
                <w:rFonts w:hint="default" w:ascii="Times New Roman" w:hAnsi="Times New Roman" w:eastAsia="宋体" w:cs="Times New Roman"/>
                <w:color w:val="FF0000"/>
                <w:sz w:val="21"/>
                <w:szCs w:val="21"/>
                <w:highlight w:val="none"/>
                <w:vertAlign w:val="superscript"/>
              </w:rPr>
              <w:t>3</w:t>
            </w:r>
            <w:r>
              <w:rPr>
                <w:rFonts w:hint="default" w:ascii="Times New Roman" w:hAnsi="Times New Roman" w:eastAsia="宋体" w:cs="Times New Roman"/>
                <w:color w:val="FF0000"/>
                <w:sz w:val="21"/>
                <w:szCs w:val="21"/>
                <w:highlight w:val="none"/>
              </w:rPr>
              <w:t>、50mg/m</w:t>
            </w:r>
            <w:r>
              <w:rPr>
                <w:rFonts w:hint="default" w:ascii="Times New Roman" w:hAnsi="Times New Roman" w:eastAsia="宋体" w:cs="Times New Roman"/>
                <w:color w:val="FF0000"/>
                <w:sz w:val="21"/>
                <w:szCs w:val="21"/>
                <w:highlight w:val="none"/>
                <w:vertAlign w:val="superscript"/>
              </w:rPr>
              <w:t>3</w:t>
            </w:r>
            <w:r>
              <w:rPr>
                <w:rFonts w:hint="default" w:ascii="Times New Roman" w:hAnsi="Times New Roman" w:eastAsia="宋体" w:cs="Times New Roman"/>
                <w:color w:val="FF0000"/>
                <w:sz w:val="21"/>
                <w:szCs w:val="21"/>
                <w:highlight w:val="none"/>
              </w:rPr>
              <w:t>）</w:t>
            </w:r>
          </w:p>
        </w:tc>
      </w:tr>
      <w:tr w14:paraId="3ABFC1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3" w:type="pct"/>
            <w:vMerge w:val="continue"/>
            <w:tcBorders>
              <w:tl2br w:val="nil"/>
              <w:tr2bl w:val="nil"/>
            </w:tcBorders>
            <w:noWrap w:val="0"/>
            <w:vAlign w:val="center"/>
          </w:tcPr>
          <w:p w14:paraId="5717945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p>
        </w:tc>
        <w:tc>
          <w:tcPr>
            <w:tcW w:w="788" w:type="pct"/>
            <w:tcBorders>
              <w:tl2br w:val="nil"/>
              <w:tr2bl w:val="nil"/>
            </w:tcBorders>
            <w:noWrap w:val="0"/>
            <w:vAlign w:val="center"/>
          </w:tcPr>
          <w:p w14:paraId="5177E93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汞及其化合物</w:t>
            </w:r>
          </w:p>
        </w:tc>
        <w:tc>
          <w:tcPr>
            <w:tcW w:w="487" w:type="pct"/>
            <w:vMerge w:val="continue"/>
            <w:tcBorders>
              <w:tl2br w:val="nil"/>
              <w:tr2bl w:val="nil"/>
            </w:tcBorders>
            <w:noWrap w:val="0"/>
            <w:vAlign w:val="center"/>
          </w:tcPr>
          <w:p w14:paraId="37EB716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p>
        </w:tc>
        <w:tc>
          <w:tcPr>
            <w:tcW w:w="716" w:type="pct"/>
            <w:tcBorders>
              <w:tl2br w:val="nil"/>
              <w:tr2bl w:val="nil"/>
            </w:tcBorders>
            <w:noWrap w:val="0"/>
            <w:vAlign w:val="center"/>
          </w:tcPr>
          <w:p w14:paraId="79ACAA1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烟道</w:t>
            </w:r>
          </w:p>
        </w:tc>
        <w:tc>
          <w:tcPr>
            <w:tcW w:w="387" w:type="pct"/>
            <w:tcBorders>
              <w:tl2br w:val="nil"/>
              <w:tr2bl w:val="nil"/>
            </w:tcBorders>
            <w:noWrap w:val="0"/>
            <w:vAlign w:val="center"/>
          </w:tcPr>
          <w:p w14:paraId="65D01EA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1次/季度</w:t>
            </w:r>
          </w:p>
        </w:tc>
        <w:tc>
          <w:tcPr>
            <w:tcW w:w="710" w:type="pct"/>
            <w:tcBorders>
              <w:tl2br w:val="nil"/>
              <w:tr2bl w:val="nil"/>
            </w:tcBorders>
            <w:noWrap w:val="0"/>
            <w:vAlign w:val="center"/>
          </w:tcPr>
          <w:p w14:paraId="28689B4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≦0.0</w:t>
            </w:r>
            <w:r>
              <w:rPr>
                <w:rFonts w:hint="default" w:ascii="Times New Roman" w:hAnsi="Times New Roman" w:eastAsia="宋体" w:cs="Times New Roman"/>
                <w:color w:val="FF0000"/>
                <w:sz w:val="21"/>
                <w:szCs w:val="21"/>
                <w:highlight w:val="none"/>
                <w:lang w:val="en-US" w:eastAsia="zh-CN"/>
              </w:rPr>
              <w:t>5</w:t>
            </w:r>
            <w:r>
              <w:rPr>
                <w:rFonts w:hint="default" w:ascii="Times New Roman" w:hAnsi="Times New Roman" w:eastAsia="宋体" w:cs="Times New Roman"/>
                <w:color w:val="FF0000"/>
                <w:sz w:val="21"/>
                <w:szCs w:val="21"/>
                <w:highlight w:val="none"/>
              </w:rPr>
              <w:t>mg/m</w:t>
            </w:r>
            <w:r>
              <w:rPr>
                <w:rFonts w:hint="default" w:ascii="Times New Roman" w:hAnsi="Times New Roman" w:eastAsia="宋体" w:cs="Times New Roman"/>
                <w:color w:val="FF0000"/>
                <w:sz w:val="21"/>
                <w:szCs w:val="21"/>
                <w:highlight w:val="none"/>
                <w:vertAlign w:val="superscript"/>
              </w:rPr>
              <w:t>3</w:t>
            </w:r>
          </w:p>
        </w:tc>
        <w:tc>
          <w:tcPr>
            <w:tcW w:w="1596" w:type="pct"/>
            <w:tcBorders>
              <w:tl2br w:val="nil"/>
              <w:tr2bl w:val="nil"/>
            </w:tcBorders>
            <w:noWrap w:val="0"/>
            <w:vAlign w:val="center"/>
          </w:tcPr>
          <w:p w14:paraId="39DCC92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eastAsia" w:ascii="Times New Roman" w:hAnsi="Times New Roman" w:eastAsia="宋体" w:cs="Times New Roman"/>
                <w:color w:val="FF0000"/>
                <w:sz w:val="21"/>
                <w:szCs w:val="21"/>
                <w:highlight w:val="none"/>
                <w:lang w:eastAsia="zh-CN"/>
              </w:rPr>
            </w:pPr>
            <w:r>
              <w:rPr>
                <w:rFonts w:hint="eastAsia" w:ascii="Times New Roman" w:hAnsi="Times New Roman" w:eastAsia="宋体" w:cs="Times New Roman"/>
                <w:color w:val="FF0000"/>
                <w:sz w:val="21"/>
                <w:szCs w:val="21"/>
                <w:highlight w:val="none"/>
                <w:lang w:eastAsia="zh-CN"/>
              </w:rPr>
              <w:t>《锅炉大气污染物排放标准》（GB13271-2014）表2的限值要求</w:t>
            </w:r>
          </w:p>
        </w:tc>
      </w:tr>
      <w:tr w14:paraId="5B697B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3" w:type="pct"/>
            <w:vMerge w:val="continue"/>
            <w:tcBorders>
              <w:tl2br w:val="nil"/>
              <w:tr2bl w:val="nil"/>
            </w:tcBorders>
            <w:noWrap w:val="0"/>
            <w:vAlign w:val="center"/>
          </w:tcPr>
          <w:p w14:paraId="2D7DF24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p>
        </w:tc>
        <w:tc>
          <w:tcPr>
            <w:tcW w:w="788" w:type="pct"/>
            <w:tcBorders>
              <w:tl2br w:val="nil"/>
              <w:tr2bl w:val="nil"/>
            </w:tcBorders>
            <w:noWrap w:val="0"/>
            <w:vAlign w:val="center"/>
          </w:tcPr>
          <w:p w14:paraId="531E8A3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NH</w:t>
            </w:r>
            <w:r>
              <w:rPr>
                <w:rFonts w:hint="default" w:ascii="Times New Roman" w:hAnsi="Times New Roman" w:eastAsia="宋体" w:cs="Times New Roman"/>
                <w:color w:val="FF0000"/>
                <w:sz w:val="21"/>
                <w:szCs w:val="21"/>
                <w:highlight w:val="none"/>
                <w:vertAlign w:val="subscript"/>
                <w:lang w:val="en-US" w:eastAsia="zh-CN"/>
              </w:rPr>
              <w:t>3</w:t>
            </w:r>
          </w:p>
        </w:tc>
        <w:tc>
          <w:tcPr>
            <w:tcW w:w="487" w:type="pct"/>
            <w:vMerge w:val="continue"/>
            <w:tcBorders>
              <w:tl2br w:val="nil"/>
              <w:tr2bl w:val="nil"/>
            </w:tcBorders>
            <w:noWrap w:val="0"/>
            <w:vAlign w:val="center"/>
          </w:tcPr>
          <w:p w14:paraId="2BF1DF3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p>
        </w:tc>
        <w:tc>
          <w:tcPr>
            <w:tcW w:w="716" w:type="pct"/>
            <w:tcBorders>
              <w:tl2br w:val="nil"/>
              <w:tr2bl w:val="nil"/>
            </w:tcBorders>
            <w:noWrap w:val="0"/>
            <w:vAlign w:val="center"/>
          </w:tcPr>
          <w:p w14:paraId="7FCDF7D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烟道</w:t>
            </w:r>
          </w:p>
        </w:tc>
        <w:tc>
          <w:tcPr>
            <w:tcW w:w="387" w:type="pct"/>
            <w:tcBorders>
              <w:tl2br w:val="nil"/>
              <w:tr2bl w:val="nil"/>
            </w:tcBorders>
            <w:noWrap w:val="0"/>
            <w:vAlign w:val="center"/>
          </w:tcPr>
          <w:p w14:paraId="0A051D8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1次/</w:t>
            </w:r>
            <w:r>
              <w:rPr>
                <w:rFonts w:hint="default" w:ascii="Times New Roman" w:hAnsi="Times New Roman" w:eastAsia="宋体" w:cs="Times New Roman"/>
                <w:color w:val="FF0000"/>
                <w:sz w:val="21"/>
                <w:szCs w:val="21"/>
                <w:highlight w:val="none"/>
                <w:lang w:val="en-US" w:eastAsia="zh-CN"/>
              </w:rPr>
              <w:t>季度</w:t>
            </w:r>
          </w:p>
        </w:tc>
        <w:tc>
          <w:tcPr>
            <w:tcW w:w="710" w:type="pct"/>
            <w:tcBorders>
              <w:tl2br w:val="nil"/>
              <w:tr2bl w:val="nil"/>
            </w:tcBorders>
            <w:noWrap w:val="0"/>
            <w:vAlign w:val="center"/>
          </w:tcPr>
          <w:p w14:paraId="519ED9D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75kg/h</w:t>
            </w:r>
          </w:p>
        </w:tc>
        <w:tc>
          <w:tcPr>
            <w:tcW w:w="1596" w:type="pct"/>
            <w:tcBorders>
              <w:tl2br w:val="nil"/>
              <w:tr2bl w:val="nil"/>
            </w:tcBorders>
            <w:noWrap w:val="0"/>
            <w:vAlign w:val="center"/>
          </w:tcPr>
          <w:p w14:paraId="498D35E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《恶臭污染物排放标准</w:t>
            </w:r>
            <w:r>
              <w:rPr>
                <w:rFonts w:hint="default" w:ascii="Times New Roman" w:hAnsi="Times New Roman" w:eastAsia="宋体" w:cs="Times New Roman"/>
                <w:color w:val="FF0000"/>
                <w:sz w:val="21"/>
                <w:szCs w:val="21"/>
                <w:highlight w:val="none"/>
                <w:lang w:eastAsia="zh-CN"/>
              </w:rPr>
              <w:t>》</w:t>
            </w:r>
            <w:r>
              <w:rPr>
                <w:rFonts w:hint="default" w:ascii="Times New Roman" w:hAnsi="Times New Roman" w:eastAsia="宋体" w:cs="Times New Roman"/>
                <w:color w:val="FF0000"/>
                <w:sz w:val="21"/>
                <w:szCs w:val="21"/>
                <w:highlight w:val="none"/>
              </w:rPr>
              <w:t>（GB14554-93）</w:t>
            </w:r>
            <w:r>
              <w:rPr>
                <w:rFonts w:hint="default" w:ascii="Times New Roman" w:hAnsi="Times New Roman" w:eastAsia="宋体" w:cs="Times New Roman"/>
                <w:color w:val="FF0000"/>
                <w:sz w:val="21"/>
                <w:szCs w:val="21"/>
                <w:highlight w:val="none"/>
                <w:lang w:eastAsia="zh-CN"/>
              </w:rPr>
              <w:t>表</w:t>
            </w:r>
            <w:r>
              <w:rPr>
                <w:rFonts w:hint="default" w:ascii="Times New Roman" w:hAnsi="Times New Roman" w:eastAsia="宋体" w:cs="Times New Roman"/>
                <w:color w:val="FF0000"/>
                <w:sz w:val="21"/>
                <w:szCs w:val="21"/>
                <w:highlight w:val="none"/>
                <w:lang w:val="en-US" w:eastAsia="zh-CN"/>
              </w:rPr>
              <w:t>2恶臭污染物排放标准值</w:t>
            </w:r>
          </w:p>
        </w:tc>
      </w:tr>
      <w:tr w14:paraId="450B85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13" w:type="pct"/>
            <w:vMerge w:val="continue"/>
            <w:tcBorders>
              <w:tl2br w:val="nil"/>
              <w:tr2bl w:val="nil"/>
            </w:tcBorders>
            <w:noWrap w:val="0"/>
            <w:vAlign w:val="center"/>
          </w:tcPr>
          <w:p w14:paraId="491FF2E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p>
        </w:tc>
        <w:tc>
          <w:tcPr>
            <w:tcW w:w="788" w:type="pct"/>
            <w:tcBorders>
              <w:tl2br w:val="nil"/>
              <w:tr2bl w:val="nil"/>
            </w:tcBorders>
            <w:noWrap w:val="0"/>
            <w:vAlign w:val="center"/>
          </w:tcPr>
          <w:p w14:paraId="0E190B6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rPr>
              <w:t>林格曼黑度</w:t>
            </w:r>
          </w:p>
        </w:tc>
        <w:tc>
          <w:tcPr>
            <w:tcW w:w="487" w:type="pct"/>
            <w:vMerge w:val="continue"/>
            <w:tcBorders>
              <w:tl2br w:val="nil"/>
              <w:tr2bl w:val="nil"/>
            </w:tcBorders>
            <w:noWrap w:val="0"/>
            <w:vAlign w:val="center"/>
          </w:tcPr>
          <w:p w14:paraId="04B33E5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p>
        </w:tc>
        <w:tc>
          <w:tcPr>
            <w:tcW w:w="716" w:type="pct"/>
            <w:tcBorders>
              <w:tl2br w:val="nil"/>
              <w:tr2bl w:val="nil"/>
            </w:tcBorders>
            <w:noWrap w:val="0"/>
            <w:vAlign w:val="center"/>
          </w:tcPr>
          <w:p w14:paraId="5A5EABE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烟道出口</w:t>
            </w:r>
          </w:p>
        </w:tc>
        <w:tc>
          <w:tcPr>
            <w:tcW w:w="387" w:type="pct"/>
            <w:tcBorders>
              <w:tl2br w:val="nil"/>
              <w:tr2bl w:val="nil"/>
            </w:tcBorders>
            <w:noWrap w:val="0"/>
            <w:vAlign w:val="center"/>
          </w:tcPr>
          <w:p w14:paraId="0097A90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1次/季度</w:t>
            </w:r>
          </w:p>
        </w:tc>
        <w:tc>
          <w:tcPr>
            <w:tcW w:w="710" w:type="pct"/>
            <w:tcBorders>
              <w:tl2br w:val="nil"/>
              <w:tr2bl w:val="nil"/>
            </w:tcBorders>
            <w:noWrap w:val="0"/>
            <w:vAlign w:val="center"/>
          </w:tcPr>
          <w:p w14:paraId="57A8C9A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1级</w:t>
            </w:r>
          </w:p>
        </w:tc>
        <w:tc>
          <w:tcPr>
            <w:tcW w:w="1596" w:type="pct"/>
            <w:tcBorders>
              <w:tl2br w:val="nil"/>
              <w:tr2bl w:val="nil"/>
            </w:tcBorders>
            <w:noWrap w:val="0"/>
            <w:vAlign w:val="center"/>
          </w:tcPr>
          <w:p w14:paraId="79BFC64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《锅炉大气污染物排放标准》（GB13271-2014）</w:t>
            </w:r>
            <w:r>
              <w:rPr>
                <w:rFonts w:hint="eastAsia" w:ascii="Times New Roman" w:hAnsi="Times New Roman" w:eastAsia="宋体" w:cs="Times New Roman"/>
                <w:color w:val="FF0000"/>
                <w:sz w:val="21"/>
                <w:szCs w:val="21"/>
                <w:highlight w:val="none"/>
                <w:lang w:eastAsia="zh-CN"/>
              </w:rPr>
              <w:t>表2新建锅炉大气污染物排放浓度限值</w:t>
            </w:r>
            <w:r>
              <w:rPr>
                <w:rFonts w:hint="default" w:ascii="Times New Roman" w:hAnsi="Times New Roman" w:eastAsia="宋体" w:cs="Times New Roman"/>
                <w:color w:val="FF0000"/>
                <w:sz w:val="21"/>
                <w:szCs w:val="21"/>
                <w:highlight w:val="none"/>
              </w:rPr>
              <w:t>要求</w:t>
            </w:r>
          </w:p>
        </w:tc>
      </w:tr>
      <w:tr w14:paraId="599426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13" w:type="pct"/>
            <w:vMerge w:val="continue"/>
            <w:tcBorders>
              <w:tl2br w:val="nil"/>
              <w:tr2bl w:val="nil"/>
            </w:tcBorders>
            <w:noWrap w:val="0"/>
            <w:vAlign w:val="center"/>
          </w:tcPr>
          <w:p w14:paraId="2B6D630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p>
        </w:tc>
        <w:tc>
          <w:tcPr>
            <w:tcW w:w="788" w:type="pct"/>
            <w:tcBorders>
              <w:tl2br w:val="nil"/>
              <w:tr2bl w:val="nil"/>
            </w:tcBorders>
            <w:noWrap w:val="0"/>
            <w:vAlign w:val="center"/>
          </w:tcPr>
          <w:p w14:paraId="18711C3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eastAsia" w:ascii="Times New Roman" w:hAnsi="Times New Roman" w:eastAsia="宋体" w:cs="Times New Roman"/>
                <w:color w:val="FF0000"/>
                <w:sz w:val="21"/>
                <w:szCs w:val="21"/>
                <w:highlight w:val="none"/>
                <w:lang w:val="en-US" w:eastAsia="zh-CN"/>
              </w:rPr>
              <w:t>颗粒物</w:t>
            </w:r>
          </w:p>
        </w:tc>
        <w:tc>
          <w:tcPr>
            <w:tcW w:w="487" w:type="pct"/>
            <w:tcBorders>
              <w:tl2br w:val="nil"/>
              <w:tr2bl w:val="nil"/>
            </w:tcBorders>
            <w:noWrap w:val="0"/>
            <w:vAlign w:val="center"/>
          </w:tcPr>
          <w:p w14:paraId="1FF6002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一般排放口</w:t>
            </w:r>
          </w:p>
        </w:tc>
        <w:tc>
          <w:tcPr>
            <w:tcW w:w="716" w:type="pct"/>
            <w:tcBorders>
              <w:tl2br w:val="nil"/>
              <w:tr2bl w:val="nil"/>
            </w:tcBorders>
            <w:noWrap w:val="0"/>
            <w:vAlign w:val="center"/>
          </w:tcPr>
          <w:p w14:paraId="35E7FC9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灰库、石粉仓排气筒</w:t>
            </w:r>
          </w:p>
        </w:tc>
        <w:tc>
          <w:tcPr>
            <w:tcW w:w="387" w:type="pct"/>
            <w:tcBorders>
              <w:tl2br w:val="nil"/>
              <w:tr2bl w:val="nil"/>
            </w:tcBorders>
            <w:noWrap w:val="0"/>
            <w:vAlign w:val="center"/>
          </w:tcPr>
          <w:p w14:paraId="6A78471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1次/年</w:t>
            </w:r>
          </w:p>
        </w:tc>
        <w:tc>
          <w:tcPr>
            <w:tcW w:w="710" w:type="pct"/>
            <w:tcBorders>
              <w:tl2br w:val="nil"/>
              <w:tr2bl w:val="nil"/>
            </w:tcBorders>
            <w:noWrap w:val="0"/>
            <w:vAlign w:val="center"/>
          </w:tcPr>
          <w:p w14:paraId="4E3523A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w:t>
            </w:r>
            <w:r>
              <w:rPr>
                <w:rFonts w:hint="eastAsia" w:ascii="Times New Roman" w:hAnsi="Times New Roman" w:eastAsia="宋体" w:cs="Times New Roman"/>
                <w:color w:val="FF0000"/>
                <w:sz w:val="21"/>
                <w:szCs w:val="21"/>
                <w:highlight w:val="none"/>
                <w:lang w:val="en-US" w:eastAsia="zh-CN"/>
              </w:rPr>
              <w:t>120</w:t>
            </w:r>
            <w:r>
              <w:rPr>
                <w:rFonts w:hint="default" w:ascii="Times New Roman" w:hAnsi="Times New Roman" w:eastAsia="宋体" w:cs="Times New Roman"/>
                <w:color w:val="FF0000"/>
                <w:sz w:val="21"/>
                <w:szCs w:val="21"/>
                <w:highlight w:val="none"/>
              </w:rPr>
              <w:t>mg/m</w:t>
            </w:r>
            <w:r>
              <w:rPr>
                <w:rFonts w:hint="default" w:ascii="Times New Roman" w:hAnsi="Times New Roman" w:eastAsia="宋体" w:cs="Times New Roman"/>
                <w:color w:val="FF0000"/>
                <w:sz w:val="21"/>
                <w:szCs w:val="21"/>
                <w:highlight w:val="none"/>
                <w:vertAlign w:val="superscript"/>
              </w:rPr>
              <w:t>3</w:t>
            </w:r>
          </w:p>
          <w:p w14:paraId="4034DC5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rPr>
              <w:t>≦</w:t>
            </w:r>
            <w:r>
              <w:rPr>
                <w:rFonts w:hint="eastAsia" w:ascii="Times New Roman" w:hAnsi="Times New Roman" w:eastAsia="宋体" w:cs="Times New Roman"/>
                <w:color w:val="FF0000"/>
                <w:sz w:val="21"/>
                <w:szCs w:val="21"/>
                <w:highlight w:val="none"/>
                <w:lang w:val="en-US" w:eastAsia="zh-CN"/>
              </w:rPr>
              <w:t>0.39kg/h</w:t>
            </w:r>
          </w:p>
        </w:tc>
        <w:tc>
          <w:tcPr>
            <w:tcW w:w="1596" w:type="pct"/>
            <w:tcBorders>
              <w:tl2br w:val="nil"/>
              <w:tr2bl w:val="nil"/>
            </w:tcBorders>
            <w:noWrap w:val="0"/>
            <w:vAlign w:val="center"/>
          </w:tcPr>
          <w:p w14:paraId="7D86F7E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《大气污染物综合排放标准</w:t>
            </w:r>
            <w:r>
              <w:rPr>
                <w:rFonts w:hint="default" w:ascii="Times New Roman" w:hAnsi="Times New Roman" w:eastAsia="宋体" w:cs="Times New Roman"/>
                <w:color w:val="FF0000"/>
                <w:sz w:val="21"/>
                <w:szCs w:val="21"/>
                <w:highlight w:val="none"/>
                <w:lang w:eastAsia="zh-CN"/>
              </w:rPr>
              <w:t>》</w:t>
            </w:r>
            <w:r>
              <w:rPr>
                <w:rFonts w:hint="default" w:ascii="Times New Roman" w:hAnsi="Times New Roman" w:eastAsia="宋体" w:cs="Times New Roman"/>
                <w:color w:val="FF0000"/>
                <w:sz w:val="21"/>
                <w:szCs w:val="21"/>
                <w:highlight w:val="none"/>
              </w:rPr>
              <w:t>（GB16297-1996）表2</w:t>
            </w:r>
            <w:r>
              <w:rPr>
                <w:rFonts w:hint="default" w:ascii="Times New Roman" w:hAnsi="Times New Roman" w:eastAsia="宋体" w:cs="Times New Roman"/>
                <w:color w:val="FF0000"/>
                <w:sz w:val="21"/>
                <w:szCs w:val="21"/>
                <w:highlight w:val="none"/>
                <w:lang w:eastAsia="zh-CN"/>
              </w:rPr>
              <w:t>新污染源大气污染物排放限值</w:t>
            </w:r>
          </w:p>
        </w:tc>
      </w:tr>
      <w:tr w14:paraId="3A7447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3" w:type="pct"/>
            <w:vMerge w:val="restart"/>
            <w:tcBorders>
              <w:tl2br w:val="nil"/>
              <w:tr2bl w:val="nil"/>
            </w:tcBorders>
            <w:noWrap w:val="0"/>
            <w:vAlign w:val="center"/>
          </w:tcPr>
          <w:p w14:paraId="1120818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lang w:eastAsia="zh-CN"/>
              </w:rPr>
            </w:pPr>
            <w:r>
              <w:rPr>
                <w:rFonts w:hint="default" w:ascii="Times New Roman" w:hAnsi="Times New Roman" w:eastAsia="宋体" w:cs="Times New Roman"/>
                <w:color w:val="FF0000"/>
                <w:sz w:val="21"/>
                <w:szCs w:val="21"/>
                <w:highlight w:val="none"/>
                <w:lang w:eastAsia="zh-CN"/>
              </w:rPr>
              <w:t>无组织废气</w:t>
            </w:r>
          </w:p>
        </w:tc>
        <w:tc>
          <w:tcPr>
            <w:tcW w:w="788" w:type="pct"/>
            <w:tcBorders>
              <w:tl2br w:val="nil"/>
              <w:tr2bl w:val="nil"/>
            </w:tcBorders>
            <w:noWrap w:val="0"/>
            <w:vAlign w:val="center"/>
          </w:tcPr>
          <w:p w14:paraId="4277B57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颗粒物</w:t>
            </w:r>
          </w:p>
        </w:tc>
        <w:tc>
          <w:tcPr>
            <w:tcW w:w="487" w:type="pct"/>
            <w:tcBorders>
              <w:tl2br w:val="nil"/>
              <w:tr2bl w:val="nil"/>
            </w:tcBorders>
            <w:noWrap w:val="0"/>
            <w:vAlign w:val="center"/>
          </w:tcPr>
          <w:p w14:paraId="5689B19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w:t>
            </w:r>
          </w:p>
        </w:tc>
        <w:tc>
          <w:tcPr>
            <w:tcW w:w="716" w:type="pct"/>
            <w:tcBorders>
              <w:tl2br w:val="nil"/>
              <w:tr2bl w:val="nil"/>
            </w:tcBorders>
            <w:noWrap w:val="0"/>
            <w:vAlign w:val="center"/>
          </w:tcPr>
          <w:p w14:paraId="1EA84D0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厂界</w:t>
            </w:r>
          </w:p>
        </w:tc>
        <w:tc>
          <w:tcPr>
            <w:tcW w:w="387" w:type="pct"/>
            <w:tcBorders>
              <w:tl2br w:val="nil"/>
              <w:tr2bl w:val="nil"/>
            </w:tcBorders>
            <w:noWrap w:val="0"/>
            <w:vAlign w:val="center"/>
          </w:tcPr>
          <w:p w14:paraId="44E833B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1次/季度</w:t>
            </w:r>
          </w:p>
        </w:tc>
        <w:tc>
          <w:tcPr>
            <w:tcW w:w="710" w:type="pct"/>
            <w:tcBorders>
              <w:tl2br w:val="nil"/>
              <w:tr2bl w:val="nil"/>
            </w:tcBorders>
            <w:noWrap w:val="0"/>
            <w:vAlign w:val="center"/>
          </w:tcPr>
          <w:p w14:paraId="5C8A577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≦1.0mg/m</w:t>
            </w:r>
            <w:r>
              <w:rPr>
                <w:rFonts w:hint="default" w:ascii="Times New Roman" w:hAnsi="Times New Roman" w:eastAsia="宋体" w:cs="Times New Roman"/>
                <w:color w:val="FF0000"/>
                <w:sz w:val="21"/>
                <w:szCs w:val="21"/>
                <w:highlight w:val="none"/>
                <w:vertAlign w:val="superscript"/>
              </w:rPr>
              <w:t>3</w:t>
            </w:r>
          </w:p>
        </w:tc>
        <w:tc>
          <w:tcPr>
            <w:tcW w:w="1596" w:type="pct"/>
            <w:tcBorders>
              <w:tl2br w:val="nil"/>
              <w:tr2bl w:val="nil"/>
            </w:tcBorders>
            <w:noWrap w:val="0"/>
            <w:vAlign w:val="center"/>
          </w:tcPr>
          <w:p w14:paraId="7A8D5D9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《大气污染物综合排放标准</w:t>
            </w:r>
            <w:r>
              <w:rPr>
                <w:rFonts w:hint="default" w:ascii="Times New Roman" w:hAnsi="Times New Roman" w:eastAsia="宋体" w:cs="Times New Roman"/>
                <w:color w:val="FF0000"/>
                <w:sz w:val="21"/>
                <w:szCs w:val="21"/>
                <w:highlight w:val="none"/>
                <w:lang w:eastAsia="zh-CN"/>
              </w:rPr>
              <w:t>》</w:t>
            </w:r>
            <w:r>
              <w:rPr>
                <w:rFonts w:hint="default" w:ascii="Times New Roman" w:hAnsi="Times New Roman" w:eastAsia="宋体" w:cs="Times New Roman"/>
                <w:color w:val="FF0000"/>
                <w:sz w:val="21"/>
                <w:szCs w:val="21"/>
                <w:highlight w:val="none"/>
              </w:rPr>
              <w:t>（GB16297-1996）表2</w:t>
            </w:r>
            <w:r>
              <w:rPr>
                <w:rFonts w:hint="default" w:ascii="Times New Roman" w:hAnsi="Times New Roman" w:eastAsia="宋体" w:cs="Times New Roman"/>
                <w:color w:val="FF0000"/>
                <w:sz w:val="21"/>
                <w:szCs w:val="21"/>
                <w:highlight w:val="none"/>
                <w:lang w:eastAsia="zh-CN"/>
              </w:rPr>
              <w:t>新污染源大气污染物排放限值</w:t>
            </w:r>
            <w:r>
              <w:rPr>
                <w:rFonts w:hint="default" w:ascii="Times New Roman" w:hAnsi="Times New Roman" w:eastAsia="宋体" w:cs="Times New Roman"/>
                <w:color w:val="FF0000"/>
                <w:sz w:val="21"/>
                <w:szCs w:val="21"/>
                <w:highlight w:val="none"/>
              </w:rPr>
              <w:t>无组织排放监控浓度限值</w:t>
            </w:r>
          </w:p>
        </w:tc>
      </w:tr>
      <w:tr w14:paraId="139292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3" w:type="pct"/>
            <w:vMerge w:val="continue"/>
            <w:tcBorders>
              <w:tl2br w:val="nil"/>
              <w:tr2bl w:val="nil"/>
            </w:tcBorders>
            <w:noWrap w:val="0"/>
            <w:vAlign w:val="center"/>
          </w:tcPr>
          <w:p w14:paraId="3C38C42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lang w:eastAsia="zh-CN"/>
              </w:rPr>
            </w:pPr>
          </w:p>
        </w:tc>
        <w:tc>
          <w:tcPr>
            <w:tcW w:w="788" w:type="pct"/>
            <w:tcBorders>
              <w:tl2br w:val="nil"/>
              <w:tr2bl w:val="nil"/>
            </w:tcBorders>
            <w:noWrap w:val="0"/>
            <w:vAlign w:val="center"/>
          </w:tcPr>
          <w:p w14:paraId="4059B01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氨</w:t>
            </w:r>
          </w:p>
        </w:tc>
        <w:tc>
          <w:tcPr>
            <w:tcW w:w="487" w:type="pct"/>
            <w:tcBorders>
              <w:tl2br w:val="nil"/>
              <w:tr2bl w:val="nil"/>
            </w:tcBorders>
            <w:noWrap w:val="0"/>
            <w:vAlign w:val="center"/>
          </w:tcPr>
          <w:p w14:paraId="1E05FB1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w:t>
            </w:r>
          </w:p>
        </w:tc>
        <w:tc>
          <w:tcPr>
            <w:tcW w:w="716" w:type="pct"/>
            <w:tcBorders>
              <w:tl2br w:val="nil"/>
              <w:tr2bl w:val="nil"/>
            </w:tcBorders>
            <w:noWrap w:val="0"/>
            <w:vAlign w:val="center"/>
          </w:tcPr>
          <w:p w14:paraId="74F5115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厂界</w:t>
            </w:r>
          </w:p>
        </w:tc>
        <w:tc>
          <w:tcPr>
            <w:tcW w:w="387" w:type="pct"/>
            <w:tcBorders>
              <w:tl2br w:val="nil"/>
              <w:tr2bl w:val="nil"/>
            </w:tcBorders>
            <w:noWrap w:val="0"/>
            <w:vAlign w:val="center"/>
          </w:tcPr>
          <w:p w14:paraId="67CFD54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1次/季度</w:t>
            </w:r>
          </w:p>
        </w:tc>
        <w:tc>
          <w:tcPr>
            <w:tcW w:w="710" w:type="pct"/>
            <w:tcBorders>
              <w:tl2br w:val="nil"/>
              <w:tr2bl w:val="nil"/>
            </w:tcBorders>
            <w:noWrap w:val="0"/>
            <w:vAlign w:val="center"/>
          </w:tcPr>
          <w:p w14:paraId="1B8A47D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≦1.</w:t>
            </w:r>
            <w:r>
              <w:rPr>
                <w:rFonts w:hint="default" w:ascii="Times New Roman" w:hAnsi="Times New Roman" w:eastAsia="宋体" w:cs="Times New Roman"/>
                <w:color w:val="FF0000"/>
                <w:sz w:val="21"/>
                <w:szCs w:val="21"/>
                <w:highlight w:val="none"/>
                <w:lang w:val="en-US" w:eastAsia="zh-CN"/>
              </w:rPr>
              <w:t>5</w:t>
            </w:r>
            <w:r>
              <w:rPr>
                <w:rFonts w:hint="default" w:ascii="Times New Roman" w:hAnsi="Times New Roman" w:eastAsia="宋体" w:cs="Times New Roman"/>
                <w:color w:val="FF0000"/>
                <w:sz w:val="21"/>
                <w:szCs w:val="21"/>
                <w:highlight w:val="none"/>
              </w:rPr>
              <w:t>mg/m</w:t>
            </w:r>
            <w:r>
              <w:rPr>
                <w:rFonts w:hint="default" w:ascii="Times New Roman" w:hAnsi="Times New Roman" w:eastAsia="宋体" w:cs="Times New Roman"/>
                <w:color w:val="FF0000"/>
                <w:sz w:val="21"/>
                <w:szCs w:val="21"/>
                <w:highlight w:val="none"/>
                <w:vertAlign w:val="superscript"/>
              </w:rPr>
              <w:t>3</w:t>
            </w:r>
          </w:p>
        </w:tc>
        <w:tc>
          <w:tcPr>
            <w:tcW w:w="1596" w:type="pct"/>
            <w:tcBorders>
              <w:tl2br w:val="nil"/>
              <w:tr2bl w:val="nil"/>
            </w:tcBorders>
            <w:noWrap w:val="0"/>
            <w:vAlign w:val="center"/>
          </w:tcPr>
          <w:p w14:paraId="1A0F5A8F">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《恶臭污染物排放标准</w:t>
            </w:r>
            <w:r>
              <w:rPr>
                <w:rFonts w:hint="default" w:ascii="Times New Roman" w:hAnsi="Times New Roman" w:eastAsia="宋体" w:cs="Times New Roman"/>
                <w:color w:val="FF0000"/>
                <w:sz w:val="21"/>
                <w:szCs w:val="21"/>
                <w:highlight w:val="none"/>
                <w:lang w:eastAsia="zh-CN"/>
              </w:rPr>
              <w:t>》</w:t>
            </w:r>
            <w:r>
              <w:rPr>
                <w:rFonts w:hint="default" w:ascii="Times New Roman" w:hAnsi="Times New Roman" w:eastAsia="宋体" w:cs="Times New Roman"/>
                <w:color w:val="FF0000"/>
                <w:sz w:val="21"/>
                <w:szCs w:val="21"/>
                <w:highlight w:val="none"/>
              </w:rPr>
              <w:t>（</w:t>
            </w:r>
            <w:r>
              <w:rPr>
                <w:rFonts w:hint="default" w:ascii="Times New Roman" w:hAnsi="Times New Roman" w:eastAsia="宋体" w:cs="Times New Roman"/>
                <w:color w:val="FF0000"/>
                <w:sz w:val="21"/>
                <w:szCs w:val="21"/>
                <w:highlight w:val="none"/>
                <w:lang w:eastAsia="zh-CN"/>
              </w:rPr>
              <w:t>GB14554-93</w:t>
            </w:r>
            <w:r>
              <w:rPr>
                <w:rFonts w:hint="default" w:ascii="Times New Roman" w:hAnsi="Times New Roman" w:eastAsia="宋体" w:cs="Times New Roman"/>
                <w:color w:val="FF0000"/>
                <w:sz w:val="21"/>
                <w:szCs w:val="21"/>
                <w:highlight w:val="none"/>
              </w:rPr>
              <w:t>）</w:t>
            </w:r>
          </w:p>
          <w:p w14:paraId="15B1EC3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eastAsia="zh-CN"/>
              </w:rPr>
              <w:t>表</w:t>
            </w:r>
            <w:r>
              <w:rPr>
                <w:rFonts w:hint="default" w:ascii="Times New Roman" w:hAnsi="Times New Roman" w:eastAsia="宋体" w:cs="Times New Roman"/>
                <w:color w:val="FF0000"/>
                <w:sz w:val="21"/>
                <w:szCs w:val="21"/>
                <w:highlight w:val="none"/>
                <w:lang w:val="en-US" w:eastAsia="zh-CN"/>
              </w:rPr>
              <w:t>1恶臭污染物厂界标准值</w:t>
            </w:r>
          </w:p>
        </w:tc>
      </w:tr>
      <w:tr w14:paraId="11C116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313" w:type="pct"/>
            <w:tcBorders>
              <w:tl2br w:val="nil"/>
              <w:tr2bl w:val="nil"/>
            </w:tcBorders>
            <w:noWrap w:val="0"/>
            <w:vAlign w:val="center"/>
          </w:tcPr>
          <w:p w14:paraId="219FF59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废水</w:t>
            </w:r>
          </w:p>
        </w:tc>
        <w:tc>
          <w:tcPr>
            <w:tcW w:w="788" w:type="pct"/>
            <w:tcBorders>
              <w:tl2br w:val="nil"/>
              <w:tr2bl w:val="nil"/>
            </w:tcBorders>
            <w:noWrap w:val="0"/>
            <w:vAlign w:val="center"/>
          </w:tcPr>
          <w:p w14:paraId="3DBD15D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pH值</w:t>
            </w:r>
            <w:r>
              <w:rPr>
                <w:rFonts w:hint="default" w:ascii="Times New Roman" w:hAnsi="Times New Roman" w:eastAsia="宋体" w:cs="Times New Roman"/>
                <w:color w:val="FF0000"/>
                <w:sz w:val="21"/>
                <w:szCs w:val="21"/>
                <w:highlight w:val="none"/>
                <w:lang w:eastAsia="zh-CN"/>
              </w:rPr>
              <w:t>、</w:t>
            </w:r>
            <w:r>
              <w:rPr>
                <w:rFonts w:hint="default" w:ascii="Times New Roman" w:hAnsi="Times New Roman" w:eastAsia="宋体" w:cs="Times New Roman"/>
                <w:color w:val="FF0000"/>
                <w:sz w:val="21"/>
                <w:szCs w:val="21"/>
                <w:highlight w:val="none"/>
              </w:rPr>
              <w:t>总砷</w:t>
            </w:r>
            <w:r>
              <w:rPr>
                <w:rFonts w:hint="default" w:ascii="Times New Roman" w:hAnsi="Times New Roman" w:eastAsia="宋体" w:cs="Times New Roman"/>
                <w:color w:val="FF0000"/>
                <w:sz w:val="21"/>
                <w:szCs w:val="21"/>
                <w:highlight w:val="none"/>
                <w:lang w:eastAsia="zh-CN"/>
              </w:rPr>
              <w:t>、</w:t>
            </w:r>
            <w:r>
              <w:rPr>
                <w:rFonts w:hint="default" w:ascii="Times New Roman" w:hAnsi="Times New Roman" w:eastAsia="宋体" w:cs="Times New Roman"/>
                <w:color w:val="FF0000"/>
                <w:sz w:val="21"/>
                <w:szCs w:val="21"/>
                <w:highlight w:val="none"/>
              </w:rPr>
              <w:t>总铅</w:t>
            </w:r>
            <w:r>
              <w:rPr>
                <w:rFonts w:hint="default" w:ascii="Times New Roman" w:hAnsi="Times New Roman" w:eastAsia="宋体" w:cs="Times New Roman"/>
                <w:color w:val="FF0000"/>
                <w:sz w:val="21"/>
                <w:szCs w:val="21"/>
                <w:highlight w:val="none"/>
                <w:lang w:eastAsia="zh-CN"/>
              </w:rPr>
              <w:t>、</w:t>
            </w:r>
            <w:r>
              <w:rPr>
                <w:rFonts w:hint="default" w:ascii="Times New Roman" w:hAnsi="Times New Roman" w:eastAsia="宋体" w:cs="Times New Roman"/>
                <w:color w:val="FF0000"/>
                <w:sz w:val="21"/>
                <w:szCs w:val="21"/>
                <w:highlight w:val="none"/>
              </w:rPr>
              <w:t>总汞</w:t>
            </w:r>
            <w:r>
              <w:rPr>
                <w:rFonts w:hint="default" w:ascii="Times New Roman" w:hAnsi="Times New Roman" w:eastAsia="宋体" w:cs="Times New Roman"/>
                <w:color w:val="FF0000"/>
                <w:sz w:val="21"/>
                <w:szCs w:val="21"/>
                <w:highlight w:val="none"/>
                <w:lang w:eastAsia="zh-CN"/>
              </w:rPr>
              <w:t>、</w:t>
            </w:r>
            <w:r>
              <w:rPr>
                <w:rFonts w:hint="default" w:ascii="Times New Roman" w:hAnsi="Times New Roman" w:eastAsia="宋体" w:cs="Times New Roman"/>
                <w:color w:val="FF0000"/>
                <w:sz w:val="21"/>
                <w:szCs w:val="21"/>
                <w:highlight w:val="none"/>
              </w:rPr>
              <w:t>总镉</w:t>
            </w:r>
            <w:r>
              <w:rPr>
                <w:rFonts w:hint="eastAsia" w:ascii="Times New Roman" w:hAnsi="Times New Roman" w:eastAsia="宋体" w:cs="Times New Roman"/>
                <w:color w:val="FF0000"/>
                <w:sz w:val="21"/>
                <w:szCs w:val="21"/>
                <w:highlight w:val="none"/>
                <w:lang w:eastAsia="zh-CN"/>
              </w:rPr>
              <w:t>、</w:t>
            </w:r>
            <w:r>
              <w:rPr>
                <w:rFonts w:hint="eastAsia" w:ascii="Times New Roman" w:hAnsi="Times New Roman" w:eastAsia="宋体" w:cs="Times New Roman"/>
                <w:color w:val="FF0000"/>
                <w:sz w:val="21"/>
                <w:szCs w:val="21"/>
                <w:highlight w:val="none"/>
                <w:lang w:val="en-US" w:eastAsia="zh-CN"/>
              </w:rPr>
              <w:t>流量</w:t>
            </w:r>
          </w:p>
        </w:tc>
        <w:tc>
          <w:tcPr>
            <w:tcW w:w="487" w:type="pct"/>
            <w:tcBorders>
              <w:tl2br w:val="nil"/>
              <w:tr2bl w:val="nil"/>
            </w:tcBorders>
            <w:noWrap w:val="0"/>
            <w:vAlign w:val="center"/>
          </w:tcPr>
          <w:p w14:paraId="2F8343E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w:t>
            </w:r>
          </w:p>
        </w:tc>
        <w:tc>
          <w:tcPr>
            <w:tcW w:w="716" w:type="pct"/>
            <w:tcBorders>
              <w:tl2br w:val="nil"/>
              <w:tr2bl w:val="nil"/>
            </w:tcBorders>
            <w:noWrap w:val="0"/>
            <w:vAlign w:val="center"/>
          </w:tcPr>
          <w:p w14:paraId="0A5CAFC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eastAsia="zh-CN"/>
              </w:rPr>
              <w:t>脱硫废水</w:t>
            </w:r>
          </w:p>
        </w:tc>
        <w:tc>
          <w:tcPr>
            <w:tcW w:w="387" w:type="pct"/>
            <w:tcBorders>
              <w:tl2br w:val="nil"/>
              <w:tr2bl w:val="nil"/>
            </w:tcBorders>
            <w:noWrap w:val="0"/>
            <w:vAlign w:val="center"/>
          </w:tcPr>
          <w:p w14:paraId="4DB0A22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1次/</w:t>
            </w:r>
            <w:r>
              <w:rPr>
                <w:rFonts w:hint="eastAsia" w:ascii="Times New Roman" w:hAnsi="Times New Roman" w:eastAsia="宋体" w:cs="Times New Roman"/>
                <w:color w:val="FF0000"/>
                <w:sz w:val="21"/>
                <w:szCs w:val="21"/>
                <w:highlight w:val="none"/>
                <w:lang w:val="en-US" w:eastAsia="zh-CN"/>
              </w:rPr>
              <w:t>月</w:t>
            </w:r>
          </w:p>
        </w:tc>
        <w:tc>
          <w:tcPr>
            <w:tcW w:w="2306" w:type="pct"/>
            <w:gridSpan w:val="2"/>
            <w:tcBorders>
              <w:tl2br w:val="nil"/>
              <w:tr2bl w:val="nil"/>
            </w:tcBorders>
            <w:noWrap w:val="0"/>
            <w:vAlign w:val="center"/>
          </w:tcPr>
          <w:p w14:paraId="030C55A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kern w:val="2"/>
                <w:sz w:val="21"/>
                <w:szCs w:val="21"/>
                <w:highlight w:val="none"/>
                <w:lang w:val="en-US" w:eastAsia="zh-CN" w:bidi="ar-SA"/>
              </w:rPr>
              <w:t>脱硫废水经曝气、沉淀后用于脱硝补水和输煤系统除尘、除渣用水，不外排。</w:t>
            </w:r>
            <w:r>
              <w:rPr>
                <w:rFonts w:hint="default" w:ascii="Times New Roman" w:hAnsi="Times New Roman" w:eastAsia="宋体" w:cs="Times New Roman"/>
                <w:color w:val="FF0000"/>
                <w:kern w:val="2"/>
                <w:sz w:val="21"/>
                <w:szCs w:val="21"/>
                <w:highlight w:val="yellow"/>
                <w:lang w:val="en-US" w:eastAsia="zh-CN" w:bidi="ar-SA"/>
              </w:rPr>
              <w:t>《DL/T997-2006 火电厂石灰石-石膏湿法脱硫废水水质控制指标》</w:t>
            </w:r>
          </w:p>
        </w:tc>
      </w:tr>
      <w:tr w14:paraId="6DF439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3" w:type="pct"/>
            <w:tcBorders>
              <w:tl2br w:val="nil"/>
              <w:tr2bl w:val="nil"/>
            </w:tcBorders>
            <w:noWrap w:val="0"/>
            <w:vAlign w:val="center"/>
          </w:tcPr>
          <w:p w14:paraId="138BDB1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雨水</w:t>
            </w:r>
          </w:p>
        </w:tc>
        <w:tc>
          <w:tcPr>
            <w:tcW w:w="788" w:type="pct"/>
            <w:tcBorders>
              <w:tl2br w:val="nil"/>
              <w:tr2bl w:val="nil"/>
            </w:tcBorders>
            <w:noWrap w:val="0"/>
            <w:vAlign w:val="center"/>
          </w:tcPr>
          <w:p w14:paraId="3DF0FDE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化学需氧量</w:t>
            </w:r>
          </w:p>
        </w:tc>
        <w:tc>
          <w:tcPr>
            <w:tcW w:w="487" w:type="pct"/>
            <w:tcBorders>
              <w:tl2br w:val="nil"/>
              <w:tr2bl w:val="nil"/>
            </w:tcBorders>
            <w:noWrap w:val="0"/>
            <w:vAlign w:val="center"/>
          </w:tcPr>
          <w:p w14:paraId="089B10A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w:t>
            </w:r>
          </w:p>
        </w:tc>
        <w:tc>
          <w:tcPr>
            <w:tcW w:w="716" w:type="pct"/>
            <w:tcBorders>
              <w:tl2br w:val="nil"/>
              <w:tr2bl w:val="nil"/>
            </w:tcBorders>
            <w:noWrap w:val="0"/>
            <w:vAlign w:val="center"/>
          </w:tcPr>
          <w:p w14:paraId="53DCD08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雨水排放口</w:t>
            </w:r>
          </w:p>
        </w:tc>
        <w:tc>
          <w:tcPr>
            <w:tcW w:w="387" w:type="pct"/>
            <w:tcBorders>
              <w:tl2br w:val="nil"/>
              <w:tr2bl w:val="nil"/>
            </w:tcBorders>
            <w:noWrap w:val="0"/>
            <w:vAlign w:val="center"/>
          </w:tcPr>
          <w:p w14:paraId="4991E1F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日</w:t>
            </w:r>
          </w:p>
        </w:tc>
        <w:tc>
          <w:tcPr>
            <w:tcW w:w="2306" w:type="pct"/>
            <w:gridSpan w:val="2"/>
            <w:tcBorders>
              <w:tl2br w:val="nil"/>
              <w:tr2bl w:val="nil"/>
            </w:tcBorders>
            <w:noWrap w:val="0"/>
            <w:vAlign w:val="center"/>
          </w:tcPr>
          <w:p w14:paraId="687E829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排放口有流动水排放时开展监测，排放期间按日监测</w:t>
            </w:r>
          </w:p>
        </w:tc>
      </w:tr>
      <w:tr w14:paraId="0709A4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3" w:type="pct"/>
            <w:tcBorders>
              <w:tl2br w:val="nil"/>
              <w:tr2bl w:val="nil"/>
            </w:tcBorders>
            <w:noWrap w:val="0"/>
            <w:vAlign w:val="center"/>
          </w:tcPr>
          <w:p w14:paraId="7B52CCF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噪声</w:t>
            </w:r>
          </w:p>
        </w:tc>
        <w:tc>
          <w:tcPr>
            <w:tcW w:w="788" w:type="pct"/>
            <w:tcBorders>
              <w:tl2br w:val="nil"/>
              <w:tr2bl w:val="nil"/>
            </w:tcBorders>
            <w:noWrap w:val="0"/>
            <w:vAlign w:val="center"/>
          </w:tcPr>
          <w:p w14:paraId="0E00CA5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rPr>
              <w:t>厂界噪声</w:t>
            </w:r>
            <w:r>
              <w:rPr>
                <w:rFonts w:hint="default" w:ascii="Times New Roman" w:hAnsi="Times New Roman" w:eastAsia="宋体" w:cs="Times New Roman"/>
                <w:color w:val="FF0000"/>
                <w:sz w:val="21"/>
                <w:szCs w:val="21"/>
                <w:highlight w:val="none"/>
                <w:lang w:val="en-US" w:eastAsia="zh-CN"/>
              </w:rPr>
              <w:t>等效A声级</w:t>
            </w:r>
          </w:p>
        </w:tc>
        <w:tc>
          <w:tcPr>
            <w:tcW w:w="487" w:type="pct"/>
            <w:tcBorders>
              <w:tl2br w:val="nil"/>
              <w:tr2bl w:val="nil"/>
            </w:tcBorders>
            <w:noWrap w:val="0"/>
            <w:vAlign w:val="center"/>
          </w:tcPr>
          <w:p w14:paraId="029BDE0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w:t>
            </w:r>
          </w:p>
        </w:tc>
        <w:tc>
          <w:tcPr>
            <w:tcW w:w="716" w:type="pct"/>
            <w:tcBorders>
              <w:tl2br w:val="nil"/>
              <w:tr2bl w:val="nil"/>
            </w:tcBorders>
            <w:noWrap w:val="0"/>
            <w:vAlign w:val="center"/>
          </w:tcPr>
          <w:p w14:paraId="2C9BCF4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声源处厂界外</w:t>
            </w:r>
          </w:p>
          <w:p w14:paraId="4BF9AE7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1m处</w:t>
            </w:r>
          </w:p>
        </w:tc>
        <w:tc>
          <w:tcPr>
            <w:tcW w:w="387" w:type="pct"/>
            <w:tcBorders>
              <w:tl2br w:val="nil"/>
              <w:tr2bl w:val="nil"/>
            </w:tcBorders>
            <w:noWrap w:val="0"/>
            <w:vAlign w:val="center"/>
          </w:tcPr>
          <w:p w14:paraId="54EBDF8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eastAsia" w:ascii="Times New Roman" w:hAnsi="Times New Roman" w:eastAsia="宋体" w:cs="Times New Roman"/>
                <w:color w:val="FF0000"/>
                <w:sz w:val="21"/>
                <w:szCs w:val="21"/>
                <w:highlight w:val="none"/>
                <w:lang w:eastAsia="zh-CN"/>
              </w:rPr>
            </w:pPr>
            <w:r>
              <w:rPr>
                <w:rFonts w:hint="default" w:ascii="Times New Roman" w:hAnsi="Times New Roman" w:eastAsia="宋体" w:cs="Times New Roman"/>
                <w:color w:val="FF0000"/>
                <w:sz w:val="21"/>
                <w:szCs w:val="21"/>
                <w:highlight w:val="none"/>
              </w:rPr>
              <w:t>1次/</w:t>
            </w:r>
            <w:r>
              <w:rPr>
                <w:rFonts w:hint="eastAsia" w:ascii="Times New Roman" w:hAnsi="Times New Roman" w:eastAsia="宋体" w:cs="Times New Roman"/>
                <w:color w:val="FF0000"/>
                <w:sz w:val="21"/>
                <w:szCs w:val="21"/>
                <w:highlight w:val="none"/>
                <w:lang w:eastAsia="zh-CN"/>
              </w:rPr>
              <w:t>月</w:t>
            </w:r>
          </w:p>
        </w:tc>
        <w:tc>
          <w:tcPr>
            <w:tcW w:w="710" w:type="pct"/>
            <w:tcBorders>
              <w:tl2br w:val="nil"/>
              <w:tr2bl w:val="nil"/>
            </w:tcBorders>
            <w:noWrap w:val="0"/>
            <w:vAlign w:val="center"/>
          </w:tcPr>
          <w:p w14:paraId="18EF17F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昼间</w:t>
            </w:r>
            <w:r>
              <w:rPr>
                <w:rFonts w:hint="eastAsia" w:ascii="Times New Roman" w:hAnsi="Times New Roman" w:eastAsia="宋体" w:cs="Times New Roman"/>
                <w:color w:val="FF0000"/>
                <w:sz w:val="21"/>
                <w:szCs w:val="21"/>
                <w:highlight w:val="none"/>
                <w:lang w:val="en-US" w:eastAsia="zh-CN"/>
              </w:rPr>
              <w:t>7</w:t>
            </w:r>
            <w:r>
              <w:rPr>
                <w:rFonts w:hint="default" w:ascii="Times New Roman" w:hAnsi="Times New Roman" w:eastAsia="宋体" w:cs="Times New Roman"/>
                <w:color w:val="FF0000"/>
                <w:sz w:val="21"/>
                <w:szCs w:val="21"/>
                <w:highlight w:val="none"/>
                <w:lang w:val="en-US" w:eastAsia="zh-CN"/>
              </w:rPr>
              <w:t>0</w:t>
            </w:r>
            <w:r>
              <w:rPr>
                <w:rFonts w:hint="default" w:ascii="Times New Roman" w:hAnsi="Times New Roman" w:eastAsia="宋体" w:cs="Times New Roman"/>
                <w:color w:val="FF0000"/>
                <w:sz w:val="21"/>
                <w:szCs w:val="21"/>
                <w:highlight w:val="none"/>
              </w:rPr>
              <w:t>dB（A）</w:t>
            </w:r>
          </w:p>
          <w:p w14:paraId="538F40B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夜间</w:t>
            </w:r>
            <w:r>
              <w:rPr>
                <w:rFonts w:hint="default" w:ascii="Times New Roman" w:hAnsi="Times New Roman" w:eastAsia="宋体" w:cs="Times New Roman"/>
                <w:color w:val="FF0000"/>
                <w:sz w:val="21"/>
                <w:szCs w:val="21"/>
                <w:highlight w:val="none"/>
                <w:lang w:val="en-US" w:eastAsia="zh-CN"/>
              </w:rPr>
              <w:t>5</w:t>
            </w:r>
            <w:r>
              <w:rPr>
                <w:rFonts w:hint="eastAsia" w:ascii="Times New Roman" w:hAnsi="Times New Roman" w:eastAsia="宋体" w:cs="Times New Roman"/>
                <w:color w:val="FF0000"/>
                <w:sz w:val="21"/>
                <w:szCs w:val="21"/>
                <w:highlight w:val="none"/>
                <w:lang w:val="en-US" w:eastAsia="zh-CN"/>
              </w:rPr>
              <w:t>5</w:t>
            </w:r>
            <w:r>
              <w:rPr>
                <w:rFonts w:hint="default" w:ascii="Times New Roman" w:hAnsi="Times New Roman" w:eastAsia="宋体" w:cs="Times New Roman"/>
                <w:color w:val="FF0000"/>
                <w:sz w:val="21"/>
                <w:szCs w:val="21"/>
                <w:highlight w:val="none"/>
              </w:rPr>
              <w:t>dB（A）</w:t>
            </w:r>
          </w:p>
        </w:tc>
        <w:tc>
          <w:tcPr>
            <w:tcW w:w="1596" w:type="pct"/>
            <w:tcBorders>
              <w:tl2br w:val="nil"/>
              <w:tr2bl w:val="nil"/>
            </w:tcBorders>
            <w:noWrap w:val="0"/>
            <w:vAlign w:val="center"/>
          </w:tcPr>
          <w:p w14:paraId="1629543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outlineLvl w:val="9"/>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rPr>
              <w:t>《工业企业厂界环境噪声排放标准》</w:t>
            </w:r>
            <w:r>
              <w:rPr>
                <w:rFonts w:hint="eastAsia" w:ascii="Times New Roman" w:hAnsi="Times New Roman" w:eastAsia="宋体" w:cs="Times New Roman"/>
                <w:color w:val="FF0000"/>
                <w:sz w:val="21"/>
                <w:szCs w:val="21"/>
                <w:highlight w:val="none"/>
                <w:lang w:eastAsia="zh-CN"/>
              </w:rPr>
              <w:t>（</w:t>
            </w:r>
            <w:r>
              <w:rPr>
                <w:rFonts w:hint="default" w:ascii="Times New Roman" w:hAnsi="Times New Roman" w:eastAsia="宋体" w:cs="Times New Roman"/>
                <w:color w:val="FF0000"/>
                <w:sz w:val="21"/>
                <w:szCs w:val="21"/>
                <w:highlight w:val="none"/>
              </w:rPr>
              <w:t>GB12348-2008</w:t>
            </w:r>
            <w:r>
              <w:rPr>
                <w:rFonts w:hint="eastAsia" w:ascii="Times New Roman" w:hAnsi="Times New Roman" w:eastAsia="宋体" w:cs="Times New Roman"/>
                <w:color w:val="FF0000"/>
                <w:sz w:val="21"/>
                <w:szCs w:val="21"/>
                <w:highlight w:val="none"/>
                <w:lang w:eastAsia="zh-CN"/>
              </w:rPr>
              <w:t>）</w:t>
            </w:r>
            <w:r>
              <w:rPr>
                <w:rFonts w:hint="eastAsia" w:ascii="Times New Roman" w:hAnsi="Times New Roman" w:eastAsia="宋体" w:cs="Times New Roman"/>
                <w:color w:val="FF0000"/>
                <w:sz w:val="21"/>
                <w:szCs w:val="21"/>
                <w:highlight w:val="none"/>
                <w:lang w:val="en-US" w:eastAsia="zh-CN"/>
              </w:rPr>
              <w:t>3类标准</w:t>
            </w:r>
          </w:p>
        </w:tc>
      </w:tr>
    </w:tbl>
    <w:p w14:paraId="00B0D0E8">
      <w:pPr>
        <w:pStyle w:val="6"/>
        <w:bidi w:val="0"/>
        <w:rPr>
          <w:rFonts w:hint="default" w:ascii="Times New Roman" w:hAnsi="Times New Roman" w:eastAsia="宋体" w:cs="Times New Roman"/>
          <w:color w:val="auto"/>
          <w:highlight w:val="none"/>
        </w:rPr>
      </w:pPr>
      <w:bookmarkStart w:id="572" w:name="_Toc23965"/>
      <w:bookmarkStart w:id="573" w:name="_Toc10332"/>
      <w:bookmarkStart w:id="574" w:name="_Toc12158"/>
      <w:r>
        <w:rPr>
          <w:rFonts w:hint="default" w:ascii="Times New Roman" w:hAnsi="Times New Roman" w:eastAsia="宋体" w:cs="Times New Roman"/>
          <w:color w:val="auto"/>
          <w:highlight w:val="none"/>
        </w:rPr>
        <w:t>9.2.3</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环境监测分析方法</w:t>
      </w:r>
      <w:bookmarkEnd w:id="572"/>
      <w:bookmarkEnd w:id="573"/>
      <w:bookmarkEnd w:id="574"/>
    </w:p>
    <w:p w14:paraId="315CC3A4">
      <w:pPr>
        <w:snapToGrid w:val="0"/>
        <w:spacing w:line="480" w:lineRule="exact"/>
        <w:ind w:firstLine="480" w:firstLineChars="200"/>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优先选用所执行的标准中规定的方法。</w:t>
      </w:r>
    </w:p>
    <w:p w14:paraId="55D2AFAE">
      <w:pPr>
        <w:pStyle w:val="6"/>
        <w:bidi w:val="0"/>
        <w:rPr>
          <w:rFonts w:hint="default" w:ascii="Times New Roman" w:hAnsi="Times New Roman" w:eastAsia="宋体" w:cs="Times New Roman"/>
          <w:color w:val="auto"/>
          <w:highlight w:val="none"/>
        </w:rPr>
      </w:pPr>
      <w:bookmarkStart w:id="575" w:name="_Toc1074"/>
      <w:bookmarkStart w:id="576" w:name="_Toc32737"/>
      <w:bookmarkStart w:id="577" w:name="_Toc17531"/>
      <w:r>
        <w:rPr>
          <w:rFonts w:hint="default" w:ascii="Times New Roman" w:hAnsi="Times New Roman" w:eastAsia="宋体" w:cs="Times New Roman"/>
          <w:color w:val="auto"/>
          <w:highlight w:val="none"/>
        </w:rPr>
        <w:t>9.2.4 污染物排放清单</w:t>
      </w:r>
      <w:bookmarkEnd w:id="575"/>
      <w:bookmarkEnd w:id="576"/>
      <w:bookmarkEnd w:id="577"/>
    </w:p>
    <w:p w14:paraId="7363DF3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4"/>
          <w:szCs w:val="24"/>
          <w:highlight w:val="none"/>
        </w:rPr>
        <w:t>本项目污染物排放清单见表9</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3。</w:t>
      </w:r>
    </w:p>
    <w:p w14:paraId="0989A16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表9</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 xml:space="preserve">  本项目污染物排放清单一览表</w:t>
      </w:r>
    </w:p>
    <w:tbl>
      <w:tblPr>
        <w:tblStyle w:val="37"/>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1386"/>
        <w:gridCol w:w="1134"/>
        <w:gridCol w:w="4065"/>
        <w:gridCol w:w="1086"/>
        <w:gridCol w:w="1373"/>
        <w:gridCol w:w="4739"/>
      </w:tblGrid>
      <w:tr w14:paraId="7C46BE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9" w:type="pct"/>
            <w:tcBorders>
              <w:tl2br w:val="nil"/>
              <w:tr2bl w:val="nil"/>
            </w:tcBorders>
            <w:noWrap w:val="0"/>
            <w:vAlign w:val="center"/>
          </w:tcPr>
          <w:p w14:paraId="720259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种</w:t>
            </w:r>
          </w:p>
          <w:p w14:paraId="355BB3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类</w:t>
            </w:r>
          </w:p>
        </w:tc>
        <w:tc>
          <w:tcPr>
            <w:tcW w:w="488" w:type="pct"/>
            <w:tcBorders>
              <w:tl2br w:val="nil"/>
              <w:tr2bl w:val="nil"/>
            </w:tcBorders>
            <w:noWrap w:val="0"/>
            <w:vAlign w:val="center"/>
          </w:tcPr>
          <w:p w14:paraId="051918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污染源</w:t>
            </w:r>
          </w:p>
        </w:tc>
        <w:tc>
          <w:tcPr>
            <w:tcW w:w="399" w:type="pct"/>
            <w:tcBorders>
              <w:tl2br w:val="nil"/>
              <w:tr2bl w:val="nil"/>
            </w:tcBorders>
            <w:noWrap w:val="0"/>
            <w:vAlign w:val="center"/>
          </w:tcPr>
          <w:p w14:paraId="3A10A9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w:t>
            </w:r>
          </w:p>
        </w:tc>
        <w:tc>
          <w:tcPr>
            <w:tcW w:w="1430" w:type="pct"/>
            <w:tcBorders>
              <w:tl2br w:val="nil"/>
              <w:tr2bl w:val="nil"/>
            </w:tcBorders>
            <w:noWrap w:val="0"/>
            <w:vAlign w:val="center"/>
          </w:tcPr>
          <w:p w14:paraId="2E927C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环境保护措施</w:t>
            </w:r>
          </w:p>
        </w:tc>
        <w:tc>
          <w:tcPr>
            <w:tcW w:w="382" w:type="pct"/>
            <w:tcBorders>
              <w:tl2br w:val="nil"/>
              <w:tr2bl w:val="nil"/>
            </w:tcBorders>
            <w:noWrap w:val="0"/>
            <w:vAlign w:val="center"/>
          </w:tcPr>
          <w:p w14:paraId="748492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排放浓度mg/m</w:t>
            </w:r>
            <w:r>
              <w:rPr>
                <w:rFonts w:hint="default" w:ascii="Times New Roman" w:hAnsi="Times New Roman" w:eastAsia="宋体" w:cs="Times New Roman"/>
                <w:color w:val="auto"/>
                <w:sz w:val="21"/>
                <w:szCs w:val="21"/>
                <w:highlight w:val="none"/>
                <w:vertAlign w:val="superscript"/>
              </w:rPr>
              <w:t>3</w:t>
            </w:r>
          </w:p>
        </w:tc>
        <w:tc>
          <w:tcPr>
            <w:tcW w:w="483" w:type="pct"/>
            <w:tcBorders>
              <w:tl2br w:val="nil"/>
              <w:tr2bl w:val="nil"/>
            </w:tcBorders>
            <w:noWrap w:val="0"/>
            <w:vAlign w:val="center"/>
          </w:tcPr>
          <w:p w14:paraId="5F5811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排放量</w:t>
            </w:r>
          </w:p>
          <w:p w14:paraId="65181A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t/a</w:t>
            </w:r>
          </w:p>
        </w:tc>
        <w:tc>
          <w:tcPr>
            <w:tcW w:w="1666" w:type="pct"/>
            <w:tcBorders>
              <w:tl2br w:val="nil"/>
              <w:tr2bl w:val="nil"/>
            </w:tcBorders>
            <w:noWrap w:val="0"/>
            <w:vAlign w:val="center"/>
          </w:tcPr>
          <w:p w14:paraId="2A6840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执行的环境标准</w:t>
            </w:r>
          </w:p>
        </w:tc>
      </w:tr>
      <w:tr w14:paraId="3BC5EF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9" w:type="pct"/>
            <w:vMerge w:val="restart"/>
            <w:tcBorders>
              <w:tl2br w:val="nil"/>
              <w:tr2bl w:val="nil"/>
            </w:tcBorders>
            <w:noWrap w:val="0"/>
            <w:vAlign w:val="center"/>
          </w:tcPr>
          <w:p w14:paraId="7097E8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w:t>
            </w:r>
          </w:p>
          <w:p w14:paraId="506083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气</w:t>
            </w:r>
          </w:p>
        </w:tc>
        <w:tc>
          <w:tcPr>
            <w:tcW w:w="488" w:type="pct"/>
            <w:vMerge w:val="restart"/>
            <w:tcBorders>
              <w:tl2br w:val="nil"/>
              <w:tr2bl w:val="nil"/>
            </w:tcBorders>
            <w:noWrap w:val="0"/>
            <w:vAlign w:val="center"/>
          </w:tcPr>
          <w:p w14:paraId="6C3E81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rPr>
            </w:pPr>
            <w:r>
              <w:rPr>
                <w:rFonts w:hint="eastAsia" w:ascii="Times New Roman" w:hAnsi="Times New Roman" w:eastAsia="宋体" w:cs="Times New Roman"/>
                <w:color w:val="auto"/>
                <w:sz w:val="21"/>
                <w:szCs w:val="21"/>
                <w:highlight w:val="none"/>
                <w:lang w:val="en-US" w:eastAsia="zh-CN"/>
              </w:rPr>
              <w:t>1台58MW往复炉排热水锅炉</w:t>
            </w:r>
          </w:p>
        </w:tc>
        <w:tc>
          <w:tcPr>
            <w:tcW w:w="399" w:type="pct"/>
            <w:tcBorders>
              <w:tl2br w:val="nil"/>
              <w:tr2bl w:val="nil"/>
            </w:tcBorders>
            <w:noWrap w:val="0"/>
            <w:vAlign w:val="center"/>
          </w:tcPr>
          <w:p w14:paraId="0AD846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颗粒物</w:t>
            </w:r>
          </w:p>
        </w:tc>
        <w:tc>
          <w:tcPr>
            <w:tcW w:w="1430" w:type="pct"/>
            <w:tcBorders>
              <w:tl2br w:val="nil"/>
              <w:tr2bl w:val="nil"/>
            </w:tcBorders>
            <w:noWrap w:val="0"/>
            <w:vAlign w:val="center"/>
          </w:tcPr>
          <w:p w14:paraId="0E7ECD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布袋</w:t>
            </w:r>
            <w:r>
              <w:rPr>
                <w:rFonts w:hint="default" w:ascii="Times New Roman" w:hAnsi="Times New Roman" w:eastAsia="宋体" w:cs="Times New Roman"/>
                <w:color w:val="auto"/>
                <w:sz w:val="21"/>
                <w:szCs w:val="21"/>
                <w:highlight w:val="none"/>
                <w:lang w:eastAsia="zh-CN"/>
              </w:rPr>
              <w:t>除尘器</w:t>
            </w:r>
            <w:r>
              <w:rPr>
                <w:rFonts w:hint="default" w:ascii="Times New Roman" w:hAnsi="Times New Roman" w:eastAsia="宋体" w:cs="Times New Roman"/>
                <w:color w:val="auto"/>
                <w:sz w:val="21"/>
                <w:szCs w:val="21"/>
                <w:highlight w:val="none"/>
              </w:rPr>
              <w:t>，除尘效率</w:t>
            </w:r>
            <w:r>
              <w:rPr>
                <w:rFonts w:hint="default" w:ascii="Times New Roman" w:hAnsi="Times New Roman" w:eastAsia="宋体" w:cs="Times New Roman"/>
                <w:color w:val="auto"/>
                <w:sz w:val="21"/>
                <w:szCs w:val="21"/>
                <w:highlight w:val="none"/>
                <w:lang w:eastAsia="zh-CN"/>
              </w:rPr>
              <w:t>99.9</w:t>
            </w:r>
            <w:r>
              <w:rPr>
                <w:rFonts w:hint="default"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eastAsia="zh-CN"/>
              </w:rPr>
              <w:t>，协同除尘效率</w:t>
            </w:r>
            <w:r>
              <w:rPr>
                <w:rFonts w:hint="eastAsia" w:ascii="Times New Roman" w:hAnsi="Times New Roman" w:eastAsia="宋体" w:cs="Times New Roman"/>
                <w:color w:val="auto"/>
                <w:sz w:val="21"/>
                <w:szCs w:val="21"/>
                <w:highlight w:val="none"/>
                <w:lang w:val="en-US" w:eastAsia="zh-CN"/>
              </w:rPr>
              <w:t>50%，</w:t>
            </w:r>
            <w:r>
              <w:rPr>
                <w:rFonts w:hint="eastAsia" w:ascii="Times New Roman" w:hAnsi="Times New Roman" w:eastAsia="宋体" w:cs="Times New Roman"/>
                <w:color w:val="auto"/>
                <w:sz w:val="21"/>
                <w:szCs w:val="21"/>
                <w:highlight w:val="none"/>
                <w:lang w:eastAsia="zh-CN"/>
              </w:rPr>
              <w:t>综合除尘效率</w:t>
            </w:r>
            <w:r>
              <w:rPr>
                <w:rFonts w:hint="eastAsia" w:ascii="Times New Roman" w:hAnsi="Times New Roman" w:eastAsia="宋体" w:cs="Times New Roman"/>
                <w:color w:val="auto"/>
                <w:sz w:val="21"/>
                <w:szCs w:val="21"/>
                <w:highlight w:val="none"/>
                <w:lang w:val="en-US" w:eastAsia="zh-CN"/>
              </w:rPr>
              <w:t>99.95%</w:t>
            </w:r>
            <w:r>
              <w:rPr>
                <w:rFonts w:hint="default" w:ascii="Times New Roman" w:hAnsi="Times New Roman" w:eastAsia="宋体" w:cs="Times New Roman"/>
                <w:color w:val="auto"/>
                <w:sz w:val="21"/>
                <w:szCs w:val="21"/>
                <w:highlight w:val="none"/>
              </w:rPr>
              <w:t>。</w:t>
            </w:r>
          </w:p>
        </w:tc>
        <w:tc>
          <w:tcPr>
            <w:tcW w:w="382" w:type="pct"/>
            <w:tcBorders>
              <w:tl2br w:val="nil"/>
              <w:tr2bl w:val="nil"/>
            </w:tcBorders>
            <w:noWrap w:val="0"/>
            <w:vAlign w:val="center"/>
          </w:tcPr>
          <w:p w14:paraId="064A2E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6.28</w:t>
            </w:r>
          </w:p>
        </w:tc>
        <w:tc>
          <w:tcPr>
            <w:tcW w:w="483" w:type="pct"/>
            <w:tcBorders>
              <w:tl2br w:val="nil"/>
              <w:tr2bl w:val="nil"/>
            </w:tcBorders>
            <w:noWrap w:val="0"/>
            <w:vAlign w:val="center"/>
          </w:tcPr>
          <w:p w14:paraId="09CFA9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0.59</w:t>
            </w:r>
          </w:p>
        </w:tc>
        <w:tc>
          <w:tcPr>
            <w:tcW w:w="1666" w:type="pct"/>
            <w:vMerge w:val="restart"/>
            <w:tcBorders>
              <w:tl2br w:val="nil"/>
              <w:tr2bl w:val="nil"/>
            </w:tcBorders>
            <w:noWrap w:val="0"/>
            <w:vAlign w:val="center"/>
          </w:tcPr>
          <w:p w14:paraId="58991F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《关于印发</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全面实施燃煤电厂超低排放和节能改造工作方案</w:t>
            </w:r>
            <w:r>
              <w:rPr>
                <w:rFonts w:hint="eastAsia" w:ascii="Times New Roman" w:hAnsi="Times New Roman" w:eastAsia="宋体" w:cs="Times New Roman"/>
                <w:color w:val="auto"/>
                <w:sz w:val="21"/>
                <w:szCs w:val="21"/>
                <w:highlight w:val="none"/>
                <w:lang w:eastAsia="zh-CN"/>
              </w:rPr>
              <w:t>〉的通知》</w:t>
            </w:r>
            <w:r>
              <w:rPr>
                <w:rFonts w:hint="default" w:ascii="Times New Roman" w:hAnsi="Times New Roman" w:eastAsia="宋体" w:cs="Times New Roman"/>
                <w:color w:val="auto"/>
                <w:sz w:val="21"/>
                <w:szCs w:val="21"/>
                <w:highlight w:val="none"/>
              </w:rPr>
              <w:t>（环发</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2015</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164号）要求，达到超低排放（在基准氧含量6%条件下，烟尘、SO</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、NO</w:t>
            </w:r>
            <w:r>
              <w:rPr>
                <w:rFonts w:hint="default" w:ascii="Times New Roman" w:hAnsi="Times New Roman" w:eastAsia="宋体" w:cs="Times New Roman"/>
                <w:color w:val="auto"/>
                <w:sz w:val="21"/>
                <w:szCs w:val="21"/>
                <w:highlight w:val="none"/>
                <w:vertAlign w:val="subscript"/>
              </w:rPr>
              <w:t>X</w:t>
            </w:r>
            <w:r>
              <w:rPr>
                <w:rFonts w:hint="default" w:ascii="Times New Roman" w:hAnsi="Times New Roman" w:eastAsia="宋体" w:cs="Times New Roman"/>
                <w:color w:val="auto"/>
                <w:sz w:val="21"/>
                <w:szCs w:val="21"/>
                <w:highlight w:val="none"/>
              </w:rPr>
              <w:t>排放浓度分别不高于10mg/m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、35mg/m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、50mg/m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w:t>
            </w:r>
          </w:p>
        </w:tc>
      </w:tr>
      <w:tr w14:paraId="21CF03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9" w:type="pct"/>
            <w:vMerge w:val="continue"/>
            <w:tcBorders>
              <w:tl2br w:val="nil"/>
              <w:tr2bl w:val="nil"/>
            </w:tcBorders>
            <w:noWrap w:val="0"/>
            <w:vAlign w:val="center"/>
          </w:tcPr>
          <w:p w14:paraId="362272C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488" w:type="pct"/>
            <w:vMerge w:val="continue"/>
            <w:tcBorders>
              <w:tl2br w:val="nil"/>
              <w:tr2bl w:val="nil"/>
            </w:tcBorders>
            <w:noWrap w:val="0"/>
            <w:vAlign w:val="center"/>
          </w:tcPr>
          <w:p w14:paraId="782E27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399" w:type="pct"/>
            <w:tcBorders>
              <w:tl2br w:val="nil"/>
              <w:tr2bl w:val="nil"/>
            </w:tcBorders>
            <w:noWrap w:val="0"/>
            <w:vAlign w:val="center"/>
          </w:tcPr>
          <w:p w14:paraId="470510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SO</w:t>
            </w:r>
            <w:r>
              <w:rPr>
                <w:rFonts w:hint="default" w:ascii="Times New Roman" w:hAnsi="Times New Roman" w:eastAsia="宋体" w:cs="Times New Roman"/>
                <w:color w:val="auto"/>
                <w:sz w:val="21"/>
                <w:szCs w:val="21"/>
                <w:highlight w:val="none"/>
                <w:vertAlign w:val="subscript"/>
              </w:rPr>
              <w:t>2</w:t>
            </w:r>
          </w:p>
        </w:tc>
        <w:tc>
          <w:tcPr>
            <w:tcW w:w="1430" w:type="pct"/>
            <w:tcBorders>
              <w:tl2br w:val="nil"/>
              <w:tr2bl w:val="nil"/>
            </w:tcBorders>
            <w:noWrap w:val="0"/>
            <w:vAlign w:val="center"/>
          </w:tcPr>
          <w:p w14:paraId="78DB58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炉内喷钙+氨法脱硫</w:t>
            </w:r>
            <w:r>
              <w:rPr>
                <w:rFonts w:hint="default" w:ascii="Times New Roman" w:hAnsi="Times New Roman" w:eastAsia="宋体" w:cs="Times New Roman"/>
                <w:color w:val="auto"/>
                <w:sz w:val="21"/>
                <w:szCs w:val="21"/>
                <w:highlight w:val="none"/>
              </w:rPr>
              <w:t>，脱硫效率≥</w:t>
            </w:r>
            <w:r>
              <w:rPr>
                <w:rFonts w:hint="eastAsia" w:ascii="Times New Roman" w:hAnsi="Times New Roman" w:eastAsia="宋体" w:cs="Times New Roman"/>
                <w:color w:val="auto"/>
                <w:sz w:val="21"/>
                <w:szCs w:val="21"/>
                <w:highlight w:val="none"/>
                <w:lang w:val="en-US" w:eastAsia="zh-CN"/>
              </w:rPr>
              <w:t>95</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eastAsia="zh-CN"/>
              </w:rPr>
              <w:t>。</w:t>
            </w:r>
          </w:p>
        </w:tc>
        <w:tc>
          <w:tcPr>
            <w:tcW w:w="382" w:type="pct"/>
            <w:tcBorders>
              <w:tl2br w:val="nil"/>
              <w:tr2bl w:val="nil"/>
            </w:tcBorders>
            <w:shd w:val="clear" w:color="auto" w:fill="FFFFFF"/>
            <w:noWrap w:val="0"/>
            <w:vAlign w:val="center"/>
          </w:tcPr>
          <w:p w14:paraId="0D5F4151">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26.44</w:t>
            </w:r>
          </w:p>
        </w:tc>
        <w:tc>
          <w:tcPr>
            <w:tcW w:w="483" w:type="pct"/>
            <w:tcBorders>
              <w:tl2br w:val="nil"/>
              <w:tr2bl w:val="nil"/>
            </w:tcBorders>
            <w:noWrap w:val="0"/>
            <w:vAlign w:val="center"/>
          </w:tcPr>
          <w:p w14:paraId="1233D68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2.67</w:t>
            </w:r>
          </w:p>
        </w:tc>
        <w:tc>
          <w:tcPr>
            <w:tcW w:w="1666" w:type="pct"/>
            <w:vMerge w:val="continue"/>
            <w:tcBorders>
              <w:tl2br w:val="nil"/>
              <w:tr2bl w:val="nil"/>
            </w:tcBorders>
            <w:noWrap w:val="0"/>
            <w:vAlign w:val="center"/>
          </w:tcPr>
          <w:p w14:paraId="271C4C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r>
      <w:tr w14:paraId="7069F6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9" w:type="pct"/>
            <w:vMerge w:val="continue"/>
            <w:tcBorders>
              <w:tl2br w:val="nil"/>
              <w:tr2bl w:val="nil"/>
            </w:tcBorders>
            <w:noWrap w:val="0"/>
            <w:vAlign w:val="center"/>
          </w:tcPr>
          <w:p w14:paraId="098EB6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488" w:type="pct"/>
            <w:vMerge w:val="continue"/>
            <w:tcBorders>
              <w:tl2br w:val="nil"/>
              <w:tr2bl w:val="nil"/>
            </w:tcBorders>
            <w:noWrap w:val="0"/>
            <w:vAlign w:val="center"/>
          </w:tcPr>
          <w:p w14:paraId="0E904E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399" w:type="pct"/>
            <w:tcBorders>
              <w:tl2br w:val="nil"/>
              <w:tr2bl w:val="nil"/>
            </w:tcBorders>
            <w:noWrap w:val="0"/>
            <w:vAlign w:val="center"/>
          </w:tcPr>
          <w:p w14:paraId="1DEDB4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NOx</w:t>
            </w:r>
          </w:p>
        </w:tc>
        <w:tc>
          <w:tcPr>
            <w:tcW w:w="1430" w:type="pct"/>
            <w:tcBorders>
              <w:tl2br w:val="nil"/>
              <w:tr2bl w:val="nil"/>
            </w:tcBorders>
            <w:noWrap w:val="0"/>
            <w:vAlign w:val="center"/>
          </w:tcPr>
          <w:p w14:paraId="78A72A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SNCR+亚氯酸钠脱硝，</w:t>
            </w:r>
            <w:r>
              <w:rPr>
                <w:rFonts w:hint="default" w:ascii="Times New Roman" w:hAnsi="Times New Roman" w:eastAsia="宋体" w:cs="Times New Roman"/>
                <w:color w:val="auto"/>
                <w:sz w:val="21"/>
                <w:szCs w:val="21"/>
                <w:highlight w:val="none"/>
              </w:rPr>
              <w:t>脱硝效率</w:t>
            </w:r>
            <w:r>
              <w:rPr>
                <w:rFonts w:hint="eastAsia" w:ascii="Times New Roman" w:hAnsi="Times New Roman" w:eastAsia="宋体" w:cs="Times New Roman"/>
                <w:color w:val="auto"/>
                <w:sz w:val="21"/>
                <w:szCs w:val="21"/>
                <w:highlight w:val="none"/>
                <w:lang w:val="en-US" w:eastAsia="zh-CN"/>
              </w:rPr>
              <w:t>88</w:t>
            </w:r>
            <w:r>
              <w:rPr>
                <w:rFonts w:hint="default" w:ascii="Times New Roman" w:hAnsi="Times New Roman" w:eastAsia="宋体" w:cs="Times New Roman"/>
                <w:color w:val="auto"/>
                <w:sz w:val="21"/>
                <w:szCs w:val="21"/>
                <w:highlight w:val="none"/>
              </w:rPr>
              <w:t>%。</w:t>
            </w:r>
          </w:p>
        </w:tc>
        <w:tc>
          <w:tcPr>
            <w:tcW w:w="382" w:type="pct"/>
            <w:tcBorders>
              <w:tl2br w:val="nil"/>
              <w:tr2bl w:val="nil"/>
            </w:tcBorders>
            <w:shd w:val="clear" w:color="auto" w:fill="FFFFFF"/>
            <w:noWrap w:val="0"/>
            <w:vAlign w:val="center"/>
          </w:tcPr>
          <w:p w14:paraId="09DEBFA3">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42</w:t>
            </w:r>
          </w:p>
        </w:tc>
        <w:tc>
          <w:tcPr>
            <w:tcW w:w="483" w:type="pct"/>
            <w:tcBorders>
              <w:tl2br w:val="nil"/>
              <w:tr2bl w:val="nil"/>
            </w:tcBorders>
            <w:noWrap w:val="0"/>
            <w:vAlign w:val="center"/>
          </w:tcPr>
          <w:p w14:paraId="09FB14A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4.27</w:t>
            </w:r>
          </w:p>
        </w:tc>
        <w:tc>
          <w:tcPr>
            <w:tcW w:w="1666" w:type="pct"/>
            <w:vMerge w:val="continue"/>
            <w:tcBorders>
              <w:tl2br w:val="nil"/>
              <w:tr2bl w:val="nil"/>
            </w:tcBorders>
            <w:noWrap w:val="0"/>
            <w:vAlign w:val="center"/>
          </w:tcPr>
          <w:p w14:paraId="7D2B0D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r>
      <w:tr w14:paraId="3B1E01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49" w:type="pct"/>
            <w:vMerge w:val="continue"/>
            <w:tcBorders>
              <w:tl2br w:val="nil"/>
              <w:tr2bl w:val="nil"/>
            </w:tcBorders>
            <w:noWrap w:val="0"/>
            <w:vAlign w:val="center"/>
          </w:tcPr>
          <w:p w14:paraId="5D0DCA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488" w:type="pct"/>
            <w:vMerge w:val="continue"/>
            <w:tcBorders>
              <w:tl2br w:val="nil"/>
              <w:tr2bl w:val="nil"/>
            </w:tcBorders>
            <w:noWrap w:val="0"/>
            <w:vAlign w:val="center"/>
          </w:tcPr>
          <w:p w14:paraId="3B7539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399" w:type="pct"/>
            <w:tcBorders>
              <w:tl2br w:val="nil"/>
              <w:tr2bl w:val="nil"/>
            </w:tcBorders>
            <w:noWrap w:val="0"/>
            <w:vAlign w:val="center"/>
          </w:tcPr>
          <w:p w14:paraId="1B5DC6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汞及其化合物</w:t>
            </w:r>
          </w:p>
        </w:tc>
        <w:tc>
          <w:tcPr>
            <w:tcW w:w="1430" w:type="pct"/>
            <w:tcBorders>
              <w:tl2br w:val="nil"/>
              <w:tr2bl w:val="nil"/>
            </w:tcBorders>
            <w:noWrap w:val="0"/>
            <w:vAlign w:val="center"/>
          </w:tcPr>
          <w:p w14:paraId="65FF8B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协同</w:t>
            </w:r>
            <w:r>
              <w:rPr>
                <w:rFonts w:hint="default" w:ascii="Times New Roman" w:hAnsi="Times New Roman" w:eastAsia="宋体" w:cs="Times New Roman"/>
                <w:color w:val="auto"/>
                <w:sz w:val="21"/>
                <w:szCs w:val="21"/>
                <w:highlight w:val="none"/>
                <w:lang w:eastAsia="zh-CN"/>
              </w:rPr>
              <w:t>去除</w:t>
            </w:r>
            <w:r>
              <w:rPr>
                <w:rFonts w:hint="default" w:ascii="Times New Roman" w:hAnsi="Times New Roman" w:eastAsia="宋体" w:cs="Times New Roman"/>
                <w:color w:val="auto"/>
                <w:sz w:val="21"/>
                <w:szCs w:val="21"/>
                <w:highlight w:val="none"/>
              </w:rPr>
              <w:t>效率</w:t>
            </w:r>
            <w:r>
              <w:rPr>
                <w:rFonts w:hint="eastAsia" w:ascii="Times New Roman" w:hAnsi="Times New Roman" w:eastAsia="宋体"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rPr>
              <w:t>0%</w:t>
            </w:r>
          </w:p>
        </w:tc>
        <w:tc>
          <w:tcPr>
            <w:tcW w:w="382" w:type="pct"/>
            <w:tcBorders>
              <w:tl2br w:val="nil"/>
              <w:tr2bl w:val="nil"/>
            </w:tcBorders>
            <w:shd w:val="clear" w:color="auto" w:fill="FFFFFF"/>
            <w:noWrap w:val="0"/>
            <w:vAlign w:val="center"/>
          </w:tcPr>
          <w:p w14:paraId="544DA3EB">
            <w:pPr>
              <w:pStyle w:val="34"/>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outlineLvl w:val="9"/>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0.006</w:t>
            </w:r>
          </w:p>
        </w:tc>
        <w:tc>
          <w:tcPr>
            <w:tcW w:w="483" w:type="pct"/>
            <w:tcBorders>
              <w:tl2br w:val="nil"/>
              <w:tr2bl w:val="nil"/>
            </w:tcBorders>
            <w:noWrap w:val="0"/>
            <w:vAlign w:val="center"/>
          </w:tcPr>
          <w:p w14:paraId="1E0189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0.0006</w:t>
            </w:r>
          </w:p>
        </w:tc>
        <w:tc>
          <w:tcPr>
            <w:tcW w:w="1666" w:type="pct"/>
            <w:vMerge w:val="restart"/>
            <w:tcBorders>
              <w:tl2br w:val="nil"/>
              <w:tr2bl w:val="nil"/>
            </w:tcBorders>
            <w:noWrap w:val="0"/>
            <w:vAlign w:val="center"/>
          </w:tcPr>
          <w:p w14:paraId="3F638A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vertAlign w:val="baseline"/>
                <w:lang w:eastAsia="zh-CN"/>
              </w:rPr>
            </w:pPr>
            <w:r>
              <w:rPr>
                <w:rFonts w:hint="eastAsia" w:ascii="Times New Roman" w:hAnsi="Times New Roman" w:eastAsia="宋体" w:cs="Times New Roman"/>
                <w:color w:val="auto"/>
                <w:sz w:val="21"/>
                <w:szCs w:val="21"/>
                <w:highlight w:val="none"/>
                <w:lang w:eastAsia="zh-CN"/>
              </w:rPr>
              <w:t>《锅炉大气污染物排放标准》（GB13271-2014）表2的限值要求（</w:t>
            </w:r>
            <w:r>
              <w:rPr>
                <w:rFonts w:hint="default" w:ascii="Times New Roman" w:hAnsi="Times New Roman" w:eastAsia="宋体" w:cs="Times New Roman"/>
                <w:color w:val="auto"/>
                <w:sz w:val="21"/>
                <w:szCs w:val="21"/>
                <w:highlight w:val="none"/>
                <w:lang w:eastAsia="zh-CN"/>
              </w:rPr>
              <w:t>汞及其化合物排放标准：0.05</w:t>
            </w:r>
            <w:r>
              <w:rPr>
                <w:rFonts w:hint="default" w:ascii="Times New Roman" w:hAnsi="Times New Roman" w:eastAsia="宋体" w:cs="Times New Roman"/>
                <w:color w:val="auto"/>
                <w:sz w:val="21"/>
                <w:szCs w:val="21"/>
                <w:highlight w:val="none"/>
              </w:rPr>
              <w:t>mg/m</w:t>
            </w:r>
            <w:r>
              <w:rPr>
                <w:rFonts w:hint="default" w:ascii="Times New Roman" w:hAnsi="Times New Roman" w:eastAsia="宋体" w:cs="Times New Roman"/>
                <w:color w:val="auto"/>
                <w:sz w:val="21"/>
                <w:szCs w:val="21"/>
                <w:highlight w:val="none"/>
                <w:vertAlign w:val="superscript"/>
              </w:rPr>
              <w:t>3</w:t>
            </w:r>
            <w:r>
              <w:rPr>
                <w:rFonts w:hint="eastAsia" w:ascii="Times New Roman" w:hAnsi="Times New Roman" w:eastAsia="宋体" w:cs="Times New Roman"/>
                <w:color w:val="auto"/>
                <w:sz w:val="21"/>
                <w:szCs w:val="21"/>
                <w:highlight w:val="none"/>
                <w:vertAlign w:val="baseline"/>
                <w:lang w:eastAsia="zh-CN"/>
              </w:rPr>
              <w:t>，烟气黑度</w:t>
            </w:r>
            <w:r>
              <w:rPr>
                <w:rFonts w:hint="default" w:ascii="Arial" w:hAnsi="Arial" w:eastAsia="宋体" w:cs="Arial"/>
                <w:color w:val="auto"/>
                <w:sz w:val="21"/>
                <w:szCs w:val="21"/>
                <w:highlight w:val="none"/>
                <w:vertAlign w:val="baseline"/>
                <w:lang w:eastAsia="zh-CN"/>
              </w:rPr>
              <w:t>≤</w:t>
            </w:r>
            <w:r>
              <w:rPr>
                <w:rFonts w:hint="eastAsia" w:ascii="Times New Roman" w:hAnsi="Times New Roman" w:eastAsia="宋体" w:cs="Times New Roman"/>
                <w:color w:val="auto"/>
                <w:sz w:val="21"/>
                <w:szCs w:val="21"/>
                <w:highlight w:val="none"/>
                <w:vertAlign w:val="baseline"/>
                <w:lang w:val="en-US" w:eastAsia="zh-CN"/>
              </w:rPr>
              <w:t>1</w:t>
            </w:r>
            <w:r>
              <w:rPr>
                <w:rFonts w:hint="eastAsia" w:ascii="Times New Roman" w:hAnsi="Times New Roman" w:eastAsia="宋体" w:cs="Times New Roman"/>
                <w:color w:val="auto"/>
                <w:sz w:val="21"/>
                <w:szCs w:val="21"/>
                <w:highlight w:val="none"/>
                <w:vertAlign w:val="baseline"/>
                <w:lang w:eastAsia="zh-CN"/>
              </w:rPr>
              <w:t>）</w:t>
            </w:r>
          </w:p>
        </w:tc>
      </w:tr>
      <w:tr w14:paraId="6A33C2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49" w:type="pct"/>
            <w:vMerge w:val="continue"/>
            <w:tcBorders>
              <w:tl2br w:val="nil"/>
              <w:tr2bl w:val="nil"/>
            </w:tcBorders>
            <w:noWrap w:val="0"/>
            <w:vAlign w:val="center"/>
          </w:tcPr>
          <w:p w14:paraId="6D6BB6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488" w:type="pct"/>
            <w:vMerge w:val="continue"/>
            <w:tcBorders>
              <w:tl2br w:val="nil"/>
              <w:tr2bl w:val="nil"/>
            </w:tcBorders>
            <w:noWrap w:val="0"/>
            <w:vAlign w:val="center"/>
          </w:tcPr>
          <w:p w14:paraId="49515D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399" w:type="pct"/>
            <w:tcBorders>
              <w:tl2br w:val="nil"/>
              <w:tr2bl w:val="nil"/>
            </w:tcBorders>
            <w:noWrap w:val="0"/>
            <w:vAlign w:val="center"/>
          </w:tcPr>
          <w:p w14:paraId="03531D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烟气黑度</w:t>
            </w:r>
          </w:p>
        </w:tc>
        <w:tc>
          <w:tcPr>
            <w:tcW w:w="1430" w:type="pct"/>
            <w:tcBorders>
              <w:tl2br w:val="nil"/>
              <w:tr2bl w:val="nil"/>
            </w:tcBorders>
            <w:noWrap w:val="0"/>
            <w:vAlign w:val="center"/>
          </w:tcPr>
          <w:p w14:paraId="436A4D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382" w:type="pct"/>
            <w:tcBorders>
              <w:tl2br w:val="nil"/>
              <w:tr2bl w:val="nil"/>
            </w:tcBorders>
            <w:noWrap w:val="0"/>
            <w:vAlign w:val="center"/>
          </w:tcPr>
          <w:p w14:paraId="75C73D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483" w:type="pct"/>
            <w:tcBorders>
              <w:tl2br w:val="nil"/>
              <w:tr2bl w:val="nil"/>
            </w:tcBorders>
            <w:noWrap w:val="0"/>
            <w:vAlign w:val="center"/>
          </w:tcPr>
          <w:p w14:paraId="3EF0119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666" w:type="pct"/>
            <w:vMerge w:val="continue"/>
            <w:tcBorders>
              <w:tl2br w:val="nil"/>
              <w:tr2bl w:val="nil"/>
            </w:tcBorders>
            <w:noWrap w:val="0"/>
            <w:vAlign w:val="center"/>
          </w:tcPr>
          <w:p w14:paraId="1C32D3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eastAsia="zh-CN"/>
              </w:rPr>
            </w:pPr>
          </w:p>
        </w:tc>
      </w:tr>
      <w:tr w14:paraId="5EDCB5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49" w:type="pct"/>
            <w:vMerge w:val="continue"/>
            <w:tcBorders>
              <w:tl2br w:val="nil"/>
              <w:tr2bl w:val="nil"/>
            </w:tcBorders>
            <w:noWrap w:val="0"/>
            <w:vAlign w:val="center"/>
          </w:tcPr>
          <w:p w14:paraId="3EC532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488" w:type="pct"/>
            <w:tcBorders>
              <w:tl2br w:val="nil"/>
              <w:tr2bl w:val="nil"/>
            </w:tcBorders>
            <w:noWrap w:val="0"/>
            <w:vAlign w:val="center"/>
          </w:tcPr>
          <w:p w14:paraId="6C6548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highlight w:val="none"/>
                <w:lang w:val="en-US" w:eastAsia="zh-CN"/>
              </w:rPr>
            </w:pPr>
            <w:r>
              <w:rPr>
                <w:rFonts w:hint="eastAsia" w:ascii="Times New Roman" w:hAnsi="Times New Roman" w:eastAsia="宋体" w:cs="Times New Roman"/>
                <w:color w:val="auto"/>
                <w:sz w:val="21"/>
                <w:szCs w:val="21"/>
                <w:highlight w:val="none"/>
                <w:lang w:val="en-US" w:eastAsia="zh-CN"/>
              </w:rPr>
              <w:t>灰库</w:t>
            </w:r>
          </w:p>
        </w:tc>
        <w:tc>
          <w:tcPr>
            <w:tcW w:w="399" w:type="pct"/>
            <w:tcBorders>
              <w:tl2br w:val="nil"/>
              <w:tr2bl w:val="nil"/>
            </w:tcBorders>
            <w:noWrap w:val="0"/>
            <w:vAlign w:val="center"/>
          </w:tcPr>
          <w:p w14:paraId="073EAD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颗粒物</w:t>
            </w:r>
          </w:p>
        </w:tc>
        <w:tc>
          <w:tcPr>
            <w:tcW w:w="1430" w:type="pct"/>
            <w:tcBorders>
              <w:tl2br w:val="nil"/>
              <w:tr2bl w:val="nil"/>
            </w:tcBorders>
            <w:noWrap w:val="0"/>
            <w:vAlign w:val="center"/>
          </w:tcPr>
          <w:p w14:paraId="429F19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布袋除尘器（处理效率95%）处理后库顶排放</w:t>
            </w:r>
          </w:p>
        </w:tc>
        <w:tc>
          <w:tcPr>
            <w:tcW w:w="382" w:type="pct"/>
            <w:tcBorders>
              <w:tl2br w:val="nil"/>
              <w:tr2bl w:val="nil"/>
            </w:tcBorders>
            <w:shd w:val="clear" w:color="auto" w:fill="auto"/>
            <w:noWrap w:val="0"/>
            <w:vAlign w:val="center"/>
          </w:tcPr>
          <w:p w14:paraId="237060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8.5</w:t>
            </w:r>
          </w:p>
        </w:tc>
        <w:tc>
          <w:tcPr>
            <w:tcW w:w="483" w:type="pct"/>
            <w:tcBorders>
              <w:tl2br w:val="nil"/>
              <w:tr2bl w:val="nil"/>
            </w:tcBorders>
            <w:shd w:val="clear" w:color="auto" w:fill="auto"/>
            <w:noWrap w:val="0"/>
            <w:vAlign w:val="center"/>
          </w:tcPr>
          <w:p w14:paraId="4AF120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0.017</w:t>
            </w:r>
          </w:p>
        </w:tc>
        <w:tc>
          <w:tcPr>
            <w:tcW w:w="1666" w:type="pct"/>
            <w:vMerge w:val="restart"/>
            <w:tcBorders>
              <w:tl2br w:val="nil"/>
              <w:tr2bl w:val="nil"/>
            </w:tcBorders>
            <w:noWrap w:val="0"/>
            <w:vAlign w:val="center"/>
          </w:tcPr>
          <w:p w14:paraId="2989E8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《大气污染物综合排放标准》表2新污染源大气污染物排放标准中</w:t>
            </w:r>
            <w:r>
              <w:rPr>
                <w:rFonts w:hint="eastAsia" w:ascii="Times New Roman" w:hAnsi="Times New Roman" w:eastAsia="宋体" w:cs="Times New Roman"/>
                <w:color w:val="auto"/>
                <w:sz w:val="21"/>
                <w:szCs w:val="21"/>
                <w:highlight w:val="none"/>
                <w:lang w:val="en-US" w:eastAsia="zh-CN"/>
              </w:rPr>
              <w:t>最高允许排放浓度120mg/m</w:t>
            </w:r>
            <w:r>
              <w:rPr>
                <w:rFonts w:hint="eastAsia" w:ascii="Times New Roman" w:hAnsi="Times New Roman" w:eastAsia="宋体" w:cs="Times New Roman"/>
                <w:color w:val="auto"/>
                <w:sz w:val="21"/>
                <w:szCs w:val="21"/>
                <w:highlight w:val="none"/>
                <w:vertAlign w:val="superscript"/>
                <w:lang w:val="en-US" w:eastAsia="zh-CN"/>
              </w:rPr>
              <w:t>3</w:t>
            </w:r>
            <w:r>
              <w:rPr>
                <w:rFonts w:hint="eastAsia" w:ascii="Times New Roman" w:hAnsi="Times New Roman" w:eastAsia="宋体" w:cs="Times New Roman"/>
                <w:color w:val="auto"/>
                <w:sz w:val="21"/>
                <w:szCs w:val="21"/>
                <w:highlight w:val="none"/>
                <w:lang w:val="en-US" w:eastAsia="zh-CN"/>
              </w:rPr>
              <w:t>，最高允许排放速率0.39kg/h</w:t>
            </w:r>
          </w:p>
        </w:tc>
      </w:tr>
      <w:tr w14:paraId="3CE89A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49" w:type="pct"/>
            <w:vMerge w:val="continue"/>
            <w:tcBorders>
              <w:tl2br w:val="nil"/>
              <w:tr2bl w:val="nil"/>
            </w:tcBorders>
            <w:noWrap w:val="0"/>
            <w:vAlign w:val="center"/>
          </w:tcPr>
          <w:p w14:paraId="7100DF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488" w:type="pct"/>
            <w:tcBorders>
              <w:tl2br w:val="nil"/>
              <w:tr2bl w:val="nil"/>
            </w:tcBorders>
            <w:noWrap w:val="0"/>
            <w:vAlign w:val="center"/>
          </w:tcPr>
          <w:p w14:paraId="2EFB7C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生石灰粉仓</w:t>
            </w:r>
          </w:p>
        </w:tc>
        <w:tc>
          <w:tcPr>
            <w:tcW w:w="399" w:type="pct"/>
            <w:tcBorders>
              <w:tl2br w:val="nil"/>
              <w:tr2bl w:val="nil"/>
            </w:tcBorders>
            <w:noWrap w:val="0"/>
            <w:vAlign w:val="center"/>
          </w:tcPr>
          <w:p w14:paraId="4CA56D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颗粒物</w:t>
            </w:r>
          </w:p>
        </w:tc>
        <w:tc>
          <w:tcPr>
            <w:tcW w:w="1430" w:type="pct"/>
            <w:tcBorders>
              <w:tl2br w:val="nil"/>
              <w:tr2bl w:val="nil"/>
            </w:tcBorders>
            <w:noWrap w:val="0"/>
            <w:vAlign w:val="center"/>
          </w:tcPr>
          <w:p w14:paraId="6797529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布袋除尘器（处理效率95%）处理后仓顶排放</w:t>
            </w:r>
          </w:p>
        </w:tc>
        <w:tc>
          <w:tcPr>
            <w:tcW w:w="382" w:type="pct"/>
            <w:tcBorders>
              <w:tl2br w:val="nil"/>
              <w:tr2bl w:val="nil"/>
            </w:tcBorders>
            <w:noWrap w:val="0"/>
            <w:vAlign w:val="center"/>
          </w:tcPr>
          <w:p w14:paraId="0094D7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1.09</w:t>
            </w:r>
          </w:p>
        </w:tc>
        <w:tc>
          <w:tcPr>
            <w:tcW w:w="483" w:type="pct"/>
            <w:tcBorders>
              <w:tl2br w:val="nil"/>
              <w:tr2bl w:val="nil"/>
            </w:tcBorders>
            <w:noWrap w:val="0"/>
            <w:vAlign w:val="center"/>
          </w:tcPr>
          <w:p w14:paraId="691050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0.002</w:t>
            </w:r>
          </w:p>
        </w:tc>
        <w:tc>
          <w:tcPr>
            <w:tcW w:w="1666" w:type="pct"/>
            <w:vMerge w:val="continue"/>
            <w:tcBorders>
              <w:tl2br w:val="nil"/>
              <w:tr2bl w:val="nil"/>
            </w:tcBorders>
            <w:noWrap w:val="0"/>
            <w:vAlign w:val="center"/>
          </w:tcPr>
          <w:p w14:paraId="2B49EA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r>
      <w:tr w14:paraId="1BFF77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49" w:type="pct"/>
            <w:vMerge w:val="continue"/>
            <w:tcBorders>
              <w:tl2br w:val="nil"/>
              <w:tr2bl w:val="nil"/>
            </w:tcBorders>
            <w:noWrap w:val="0"/>
            <w:vAlign w:val="center"/>
          </w:tcPr>
          <w:p w14:paraId="13BA66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488" w:type="pct"/>
            <w:tcBorders>
              <w:tl2br w:val="nil"/>
              <w:tr2bl w:val="nil"/>
            </w:tcBorders>
            <w:shd w:val="clear" w:color="auto" w:fill="auto"/>
            <w:noWrap w:val="0"/>
            <w:vAlign w:val="center"/>
          </w:tcPr>
          <w:p w14:paraId="117C1D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储煤场</w:t>
            </w:r>
            <w:r>
              <w:rPr>
                <w:rFonts w:hint="default" w:ascii="Times New Roman" w:hAnsi="Times New Roman" w:eastAsia="宋体" w:cs="Times New Roman"/>
                <w:color w:val="auto"/>
                <w:sz w:val="21"/>
                <w:szCs w:val="21"/>
                <w:highlight w:val="none"/>
              </w:rPr>
              <w:t>、输煤栈桥</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渣库、碎煤机室</w:t>
            </w:r>
          </w:p>
        </w:tc>
        <w:tc>
          <w:tcPr>
            <w:tcW w:w="399" w:type="pct"/>
            <w:tcBorders>
              <w:tl2br w:val="nil"/>
              <w:tr2bl w:val="nil"/>
            </w:tcBorders>
            <w:shd w:val="clear" w:color="auto" w:fill="auto"/>
            <w:noWrap w:val="0"/>
            <w:vAlign w:val="center"/>
          </w:tcPr>
          <w:p w14:paraId="1059AC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颗粒物</w:t>
            </w:r>
          </w:p>
        </w:tc>
        <w:tc>
          <w:tcPr>
            <w:tcW w:w="2295" w:type="pct"/>
            <w:gridSpan w:val="3"/>
            <w:tcBorders>
              <w:tl2br w:val="nil"/>
              <w:tr2bl w:val="nil"/>
            </w:tcBorders>
            <w:shd w:val="clear" w:color="auto" w:fill="auto"/>
            <w:noWrap w:val="0"/>
            <w:vAlign w:val="center"/>
          </w:tcPr>
          <w:p w14:paraId="6A0EFE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输煤栈桥、渣仓封闭结构；碎煤机室全封闭设置布袋除尘器，处理后废气车间内无组织排放；储煤场四周设置高于煤堆的防风抑尘网</w:t>
            </w:r>
          </w:p>
        </w:tc>
        <w:tc>
          <w:tcPr>
            <w:tcW w:w="1666" w:type="pct"/>
            <w:tcBorders>
              <w:tl2br w:val="nil"/>
              <w:tr2bl w:val="nil"/>
            </w:tcBorders>
            <w:shd w:val="clear" w:color="auto" w:fill="auto"/>
            <w:noWrap w:val="0"/>
            <w:vAlign w:val="center"/>
          </w:tcPr>
          <w:p w14:paraId="62AF4C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《大气污染物综合排放标准》表2新污染源大气污染物排放标准中无组织排放监控浓度限值1.0mg/m</w:t>
            </w:r>
            <w:r>
              <w:rPr>
                <w:rFonts w:hint="default" w:ascii="Times New Roman" w:hAnsi="Times New Roman" w:eastAsia="宋体" w:cs="Times New Roman"/>
                <w:color w:val="auto"/>
                <w:sz w:val="21"/>
                <w:szCs w:val="21"/>
                <w:highlight w:val="none"/>
                <w:vertAlign w:val="superscript"/>
              </w:rPr>
              <w:t>3</w:t>
            </w:r>
          </w:p>
        </w:tc>
      </w:tr>
      <w:tr w14:paraId="082A30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149" w:type="pct"/>
            <w:vMerge w:val="continue"/>
            <w:tcBorders>
              <w:tl2br w:val="nil"/>
              <w:tr2bl w:val="nil"/>
            </w:tcBorders>
            <w:noWrap w:val="0"/>
            <w:vAlign w:val="center"/>
          </w:tcPr>
          <w:p w14:paraId="419E3E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488" w:type="pct"/>
            <w:tcBorders>
              <w:tl2br w:val="nil"/>
              <w:tr2bl w:val="nil"/>
            </w:tcBorders>
            <w:noWrap w:val="0"/>
            <w:vAlign w:val="center"/>
          </w:tcPr>
          <w:p w14:paraId="79A0F34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脱硝系统</w:t>
            </w:r>
          </w:p>
        </w:tc>
        <w:tc>
          <w:tcPr>
            <w:tcW w:w="399" w:type="pct"/>
            <w:tcBorders>
              <w:tl2br w:val="nil"/>
              <w:tr2bl w:val="nil"/>
            </w:tcBorders>
            <w:noWrap w:val="0"/>
            <w:vAlign w:val="center"/>
          </w:tcPr>
          <w:p w14:paraId="0FFFBF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氨</w:t>
            </w:r>
          </w:p>
        </w:tc>
        <w:tc>
          <w:tcPr>
            <w:tcW w:w="1430" w:type="pct"/>
            <w:tcBorders>
              <w:tl2br w:val="nil"/>
              <w:tr2bl w:val="nil"/>
            </w:tcBorders>
            <w:noWrap w:val="0"/>
            <w:vAlign w:val="center"/>
          </w:tcPr>
          <w:p w14:paraId="483DE7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382" w:type="pct"/>
            <w:tcBorders>
              <w:tl2br w:val="nil"/>
              <w:tr2bl w:val="nil"/>
            </w:tcBorders>
            <w:noWrap w:val="0"/>
            <w:vAlign w:val="center"/>
          </w:tcPr>
          <w:p w14:paraId="0B4847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w:t>
            </w:r>
          </w:p>
        </w:tc>
        <w:tc>
          <w:tcPr>
            <w:tcW w:w="483" w:type="pct"/>
            <w:tcBorders>
              <w:tl2br w:val="nil"/>
              <w:tr2bl w:val="nil"/>
            </w:tcBorders>
            <w:noWrap w:val="0"/>
            <w:vAlign w:val="center"/>
          </w:tcPr>
          <w:p w14:paraId="662D99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0.75</w:t>
            </w:r>
          </w:p>
        </w:tc>
        <w:tc>
          <w:tcPr>
            <w:tcW w:w="1666" w:type="pct"/>
            <w:tcBorders>
              <w:tl2br w:val="nil"/>
              <w:tr2bl w:val="nil"/>
            </w:tcBorders>
            <w:noWrap w:val="0"/>
            <w:vAlign w:val="center"/>
          </w:tcPr>
          <w:p w14:paraId="1AF73A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《恶臭污染物排放标准</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（GB14554-93）</w:t>
            </w:r>
            <w:r>
              <w:rPr>
                <w:rFonts w:hint="default" w:ascii="Times New Roman" w:hAnsi="Times New Roman" w:eastAsia="宋体" w:cs="Times New Roman"/>
                <w:color w:val="auto"/>
                <w:sz w:val="21"/>
                <w:szCs w:val="21"/>
                <w:highlight w:val="none"/>
                <w:lang w:eastAsia="zh-CN"/>
              </w:rPr>
              <w:t>表</w:t>
            </w:r>
            <w:r>
              <w:rPr>
                <w:rFonts w:hint="default" w:ascii="Times New Roman" w:hAnsi="Times New Roman" w:eastAsia="宋体" w:cs="Times New Roman"/>
                <w:color w:val="auto"/>
                <w:sz w:val="21"/>
                <w:szCs w:val="21"/>
                <w:highlight w:val="none"/>
                <w:lang w:val="en-US" w:eastAsia="zh-CN"/>
              </w:rPr>
              <w:t>2恶臭污染物排放标准值</w:t>
            </w:r>
          </w:p>
        </w:tc>
      </w:tr>
      <w:tr w14:paraId="77A86A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49" w:type="pct"/>
            <w:vMerge w:val="restart"/>
            <w:tcBorders>
              <w:tl2br w:val="nil"/>
              <w:tr2bl w:val="nil"/>
            </w:tcBorders>
            <w:noWrap w:val="0"/>
            <w:vAlign w:val="center"/>
          </w:tcPr>
          <w:p w14:paraId="2A9187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w:t>
            </w:r>
          </w:p>
          <w:p w14:paraId="5DBFED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水</w:t>
            </w:r>
          </w:p>
        </w:tc>
        <w:tc>
          <w:tcPr>
            <w:tcW w:w="488" w:type="pct"/>
            <w:tcBorders>
              <w:tl2br w:val="nil"/>
              <w:tr2bl w:val="nil"/>
            </w:tcBorders>
            <w:noWrap w:val="0"/>
            <w:vAlign w:val="center"/>
          </w:tcPr>
          <w:p w14:paraId="5F25EC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工业废水</w:t>
            </w:r>
          </w:p>
        </w:tc>
        <w:tc>
          <w:tcPr>
            <w:tcW w:w="399" w:type="pct"/>
            <w:tcBorders>
              <w:tl2br w:val="nil"/>
              <w:tr2bl w:val="nil"/>
            </w:tcBorders>
            <w:noWrap w:val="0"/>
            <w:vAlign w:val="center"/>
          </w:tcPr>
          <w:p w14:paraId="68CD0E3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pH 值、悬浮物、化学需氧量、氟化物、硫化物、总砷、总铅、总汞、总镉</w:t>
            </w:r>
          </w:p>
        </w:tc>
        <w:tc>
          <w:tcPr>
            <w:tcW w:w="3962" w:type="pct"/>
            <w:gridSpan w:val="4"/>
            <w:tcBorders>
              <w:tl2br w:val="nil"/>
              <w:tr2bl w:val="nil"/>
            </w:tcBorders>
            <w:noWrap w:val="0"/>
            <w:vAlign w:val="center"/>
          </w:tcPr>
          <w:p w14:paraId="502FDAA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厂区生产废水</w:t>
            </w:r>
            <w:r>
              <w:rPr>
                <w:rFonts w:hint="eastAsia" w:ascii="Times New Roman" w:hAnsi="Times New Roman" w:eastAsia="宋体" w:cs="Times New Roman"/>
                <w:color w:val="auto"/>
                <w:sz w:val="21"/>
                <w:szCs w:val="21"/>
                <w:highlight w:val="none"/>
                <w:lang w:val="en-US" w:eastAsia="zh-CN"/>
              </w:rPr>
              <w:t>全部回用</w:t>
            </w:r>
            <w:r>
              <w:rPr>
                <w:rFonts w:hint="default" w:ascii="Times New Roman" w:hAnsi="Times New Roman" w:eastAsia="宋体" w:cs="Times New Roman"/>
                <w:color w:val="auto"/>
                <w:sz w:val="21"/>
                <w:szCs w:val="21"/>
                <w:highlight w:val="none"/>
                <w:lang w:val="en-US" w:eastAsia="zh-CN"/>
              </w:rPr>
              <w:t>，脱硫废水经曝气、沉淀后用于输煤系统除尘、除渣用水。含煤废水经厂区内现有污水处理间处理，处理工艺为过滤+沉淀+气浮，处理后的废水进入地下水池回用。软化水处理废水、处理后的脱硫废水、锅炉排污水用于脱硫、脱硝、输煤系统除尘水、</w:t>
            </w:r>
            <w:r>
              <w:rPr>
                <w:rFonts w:hint="eastAsia" w:ascii="Times New Roman" w:hAnsi="Times New Roman" w:eastAsia="宋体" w:cs="Times New Roman"/>
                <w:color w:val="auto"/>
                <w:sz w:val="21"/>
                <w:szCs w:val="21"/>
                <w:highlight w:val="none"/>
                <w:lang w:val="en-US" w:eastAsia="zh-CN"/>
              </w:rPr>
              <w:t>渣库降尘等工序</w:t>
            </w:r>
            <w:r>
              <w:rPr>
                <w:rFonts w:hint="default" w:ascii="Times New Roman" w:hAnsi="Times New Roman" w:eastAsia="宋体" w:cs="Times New Roman"/>
                <w:color w:val="auto"/>
                <w:sz w:val="21"/>
                <w:szCs w:val="21"/>
                <w:highlight w:val="none"/>
                <w:lang w:val="en-US" w:eastAsia="zh-CN"/>
              </w:rPr>
              <w:t>。</w:t>
            </w:r>
          </w:p>
        </w:tc>
      </w:tr>
      <w:tr w14:paraId="6FFFEC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9" w:type="pct"/>
            <w:vMerge w:val="continue"/>
            <w:tcBorders>
              <w:tl2br w:val="nil"/>
              <w:tr2bl w:val="nil"/>
            </w:tcBorders>
            <w:noWrap w:val="0"/>
            <w:vAlign w:val="center"/>
          </w:tcPr>
          <w:p w14:paraId="57E4CA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488" w:type="pct"/>
            <w:tcBorders>
              <w:tl2br w:val="nil"/>
              <w:tr2bl w:val="nil"/>
            </w:tcBorders>
            <w:noWrap w:val="0"/>
            <w:vAlign w:val="center"/>
          </w:tcPr>
          <w:p w14:paraId="76CF9F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生活污水</w:t>
            </w:r>
          </w:p>
        </w:tc>
        <w:tc>
          <w:tcPr>
            <w:tcW w:w="399" w:type="pct"/>
            <w:tcBorders>
              <w:tl2br w:val="nil"/>
              <w:tr2bl w:val="nil"/>
            </w:tcBorders>
            <w:noWrap w:val="0"/>
            <w:vAlign w:val="center"/>
          </w:tcPr>
          <w:p w14:paraId="3C2B6E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COD、氨氮</w:t>
            </w:r>
          </w:p>
        </w:tc>
        <w:tc>
          <w:tcPr>
            <w:tcW w:w="3962" w:type="pct"/>
            <w:gridSpan w:val="4"/>
            <w:tcBorders>
              <w:tl2br w:val="nil"/>
              <w:tr2bl w:val="nil"/>
            </w:tcBorders>
            <w:noWrap w:val="0"/>
            <w:vAlign w:val="center"/>
          </w:tcPr>
          <w:p w14:paraId="2281BC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本项目不新增员工，不新增生活污水。厂区</w:t>
            </w:r>
            <w:r>
              <w:rPr>
                <w:rFonts w:hint="default" w:ascii="Times New Roman" w:hAnsi="Times New Roman" w:eastAsia="宋体" w:cs="Times New Roman"/>
                <w:color w:val="auto"/>
                <w:sz w:val="21"/>
                <w:szCs w:val="21"/>
                <w:highlight w:val="none"/>
                <w:lang w:val="en-US" w:eastAsia="zh-CN"/>
              </w:rPr>
              <w:t>现有生活污水污染物浓度</w:t>
            </w:r>
            <w:r>
              <w:rPr>
                <w:rFonts w:hint="default" w:ascii="Times New Roman" w:hAnsi="Times New Roman" w:eastAsia="宋体" w:cs="Times New Roman"/>
                <w:color w:val="auto"/>
                <w:sz w:val="21"/>
                <w:szCs w:val="21"/>
                <w:highlight w:val="none"/>
              </w:rPr>
              <w:t>满足</w:t>
            </w:r>
            <w:r>
              <w:rPr>
                <w:rFonts w:hint="eastAsia" w:ascii="Times New Roman" w:hAnsi="Times New Roman" w:eastAsia="宋体" w:cs="Times New Roman"/>
                <w:color w:val="auto"/>
                <w:sz w:val="21"/>
                <w:szCs w:val="21"/>
                <w:highlight w:val="none"/>
                <w:lang w:eastAsia="zh-CN"/>
              </w:rPr>
              <w:t>佳木斯西区污水处理厂</w:t>
            </w:r>
            <w:r>
              <w:rPr>
                <w:rFonts w:hint="default" w:ascii="Times New Roman" w:hAnsi="Times New Roman" w:eastAsia="宋体" w:cs="Times New Roman"/>
                <w:color w:val="auto"/>
                <w:sz w:val="21"/>
                <w:szCs w:val="21"/>
                <w:highlight w:val="none"/>
                <w:lang w:eastAsia="zh-CN"/>
              </w:rPr>
              <w:t>进水水质指标</w:t>
            </w:r>
            <w:r>
              <w:rPr>
                <w:rFonts w:hint="default" w:ascii="Times New Roman" w:hAnsi="Times New Roman" w:eastAsia="宋体" w:cs="Times New Roman"/>
                <w:color w:val="auto"/>
                <w:sz w:val="21"/>
                <w:szCs w:val="21"/>
                <w:highlight w:val="none"/>
                <w:lang w:val="en-US" w:eastAsia="zh-CN"/>
              </w:rPr>
              <w:t>后，经市政污水管网，排入</w:t>
            </w:r>
            <w:r>
              <w:rPr>
                <w:rFonts w:hint="eastAsia" w:ascii="Times New Roman" w:hAnsi="Times New Roman" w:eastAsia="宋体" w:cs="Times New Roman"/>
                <w:color w:val="auto"/>
                <w:sz w:val="21"/>
                <w:szCs w:val="21"/>
                <w:highlight w:val="none"/>
                <w:lang w:val="en-US" w:eastAsia="zh-CN"/>
              </w:rPr>
              <w:t>佳木斯西区污水处理厂</w:t>
            </w:r>
            <w:r>
              <w:rPr>
                <w:rFonts w:hint="default" w:ascii="Times New Roman" w:hAnsi="Times New Roman" w:eastAsia="宋体" w:cs="Times New Roman"/>
                <w:color w:val="auto"/>
                <w:sz w:val="21"/>
                <w:szCs w:val="21"/>
                <w:highlight w:val="none"/>
              </w:rPr>
              <w:t>，经处理后污水排放浓度达到《城镇污水处理厂污染物排放标准》（GB18918-2002）一级</w:t>
            </w:r>
            <w:r>
              <w:rPr>
                <w:rFonts w:hint="default" w:ascii="Times New Roman" w:hAnsi="Times New Roman" w:eastAsia="宋体" w:cs="Times New Roman"/>
                <w:color w:val="auto"/>
                <w:sz w:val="21"/>
                <w:szCs w:val="21"/>
                <w:highlight w:val="none"/>
                <w:lang w:val="en-US" w:eastAsia="zh-CN"/>
              </w:rPr>
              <w:t>A</w:t>
            </w:r>
            <w:r>
              <w:rPr>
                <w:rFonts w:hint="default" w:ascii="Times New Roman" w:hAnsi="Times New Roman" w:eastAsia="宋体" w:cs="Times New Roman"/>
                <w:color w:val="auto"/>
                <w:sz w:val="21"/>
                <w:szCs w:val="21"/>
                <w:highlight w:val="none"/>
              </w:rPr>
              <w:t>标准后排入</w:t>
            </w:r>
            <w:r>
              <w:rPr>
                <w:rFonts w:hint="eastAsia" w:ascii="Times New Roman" w:hAnsi="Times New Roman" w:eastAsia="宋体" w:cs="Times New Roman"/>
                <w:color w:val="auto"/>
                <w:sz w:val="21"/>
                <w:szCs w:val="21"/>
                <w:highlight w:val="none"/>
                <w:lang w:val="en-US" w:eastAsia="zh-CN"/>
              </w:rPr>
              <w:t>松花江</w:t>
            </w:r>
            <w:r>
              <w:rPr>
                <w:rFonts w:hint="default" w:ascii="Times New Roman" w:hAnsi="Times New Roman" w:eastAsia="宋体" w:cs="Times New Roman"/>
                <w:color w:val="auto"/>
                <w:sz w:val="21"/>
                <w:szCs w:val="21"/>
                <w:highlight w:val="none"/>
                <w:lang w:val="en-US" w:eastAsia="zh-CN"/>
              </w:rPr>
              <w:t>。</w:t>
            </w:r>
          </w:p>
        </w:tc>
      </w:tr>
      <w:tr w14:paraId="582CED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9" w:type="pct"/>
            <w:tcBorders>
              <w:tl2br w:val="nil"/>
              <w:tr2bl w:val="nil"/>
            </w:tcBorders>
            <w:noWrap w:val="0"/>
            <w:vAlign w:val="center"/>
          </w:tcPr>
          <w:p w14:paraId="6F3207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噪</w:t>
            </w:r>
          </w:p>
          <w:p w14:paraId="6E3D79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声</w:t>
            </w:r>
          </w:p>
        </w:tc>
        <w:tc>
          <w:tcPr>
            <w:tcW w:w="488" w:type="pct"/>
            <w:tcBorders>
              <w:tl2br w:val="nil"/>
              <w:tr2bl w:val="nil"/>
            </w:tcBorders>
            <w:noWrap w:val="0"/>
            <w:vAlign w:val="center"/>
          </w:tcPr>
          <w:p w14:paraId="32377E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水泵、</w:t>
            </w:r>
            <w:r>
              <w:rPr>
                <w:rFonts w:hint="default" w:ascii="Times New Roman" w:hAnsi="Times New Roman" w:eastAsia="宋体" w:cs="Times New Roman"/>
                <w:color w:val="auto"/>
                <w:sz w:val="21"/>
                <w:szCs w:val="21"/>
                <w:highlight w:val="none"/>
                <w:lang w:val="en-US" w:eastAsia="zh-CN"/>
              </w:rPr>
              <w:t>风机等</w:t>
            </w:r>
          </w:p>
        </w:tc>
        <w:tc>
          <w:tcPr>
            <w:tcW w:w="399" w:type="pct"/>
            <w:tcBorders>
              <w:tl2br w:val="nil"/>
              <w:tr2bl w:val="nil"/>
            </w:tcBorders>
            <w:noWrap w:val="0"/>
            <w:vAlign w:val="center"/>
          </w:tcPr>
          <w:p w14:paraId="3F2FAA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噪声</w:t>
            </w:r>
          </w:p>
        </w:tc>
        <w:tc>
          <w:tcPr>
            <w:tcW w:w="2295" w:type="pct"/>
            <w:gridSpan w:val="3"/>
            <w:tcBorders>
              <w:tl2br w:val="nil"/>
              <w:tr2bl w:val="nil"/>
            </w:tcBorders>
            <w:noWrap w:val="0"/>
            <w:vAlign w:val="center"/>
          </w:tcPr>
          <w:p w14:paraId="2D6521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隔振、隔声、消声</w:t>
            </w:r>
            <w:r>
              <w:rPr>
                <w:rFonts w:hint="default" w:ascii="Times New Roman" w:hAnsi="Times New Roman" w:eastAsia="宋体" w:cs="Times New Roman"/>
                <w:color w:val="auto"/>
                <w:sz w:val="21"/>
                <w:szCs w:val="21"/>
                <w:highlight w:val="none"/>
                <w:lang w:val="en-US" w:eastAsia="zh-CN"/>
              </w:rPr>
              <w:t>等噪声防治措施</w:t>
            </w:r>
          </w:p>
        </w:tc>
        <w:tc>
          <w:tcPr>
            <w:tcW w:w="1666" w:type="pct"/>
            <w:tcBorders>
              <w:tl2br w:val="nil"/>
              <w:tr2bl w:val="nil"/>
            </w:tcBorders>
            <w:noWrap w:val="0"/>
            <w:vAlign w:val="center"/>
          </w:tcPr>
          <w:p w14:paraId="6C8990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《工业企业厂界环境噪声排放标准》（GB12348-2008）</w:t>
            </w:r>
            <w:r>
              <w:rPr>
                <w:rFonts w:hint="eastAsia"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类标准</w:t>
            </w:r>
            <w:r>
              <w:rPr>
                <w:rFonts w:hint="default" w:ascii="Times New Roman" w:hAnsi="Times New Roman" w:eastAsia="宋体" w:cs="Times New Roman"/>
                <w:color w:val="auto"/>
                <w:sz w:val="21"/>
                <w:szCs w:val="21"/>
                <w:highlight w:val="none"/>
                <w:lang w:val="en-US" w:eastAsia="zh-CN"/>
              </w:rPr>
              <w:t>要求</w:t>
            </w:r>
          </w:p>
        </w:tc>
      </w:tr>
      <w:tr w14:paraId="4D0270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9" w:type="pct"/>
            <w:vMerge w:val="restart"/>
            <w:tcBorders>
              <w:tl2br w:val="nil"/>
              <w:tr2bl w:val="nil"/>
            </w:tcBorders>
            <w:noWrap w:val="0"/>
            <w:vAlign w:val="center"/>
          </w:tcPr>
          <w:p w14:paraId="492B34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固体废物</w:t>
            </w:r>
          </w:p>
        </w:tc>
        <w:tc>
          <w:tcPr>
            <w:tcW w:w="488" w:type="pct"/>
            <w:vMerge w:val="restart"/>
            <w:tcBorders>
              <w:tl2br w:val="nil"/>
              <w:tr2bl w:val="nil"/>
            </w:tcBorders>
            <w:noWrap w:val="0"/>
            <w:vAlign w:val="center"/>
          </w:tcPr>
          <w:p w14:paraId="6621B5A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除灰渣系统</w:t>
            </w:r>
          </w:p>
        </w:tc>
        <w:tc>
          <w:tcPr>
            <w:tcW w:w="399" w:type="pct"/>
            <w:tcBorders>
              <w:tl2br w:val="nil"/>
              <w:tr2bl w:val="nil"/>
            </w:tcBorders>
            <w:noWrap w:val="0"/>
            <w:vAlign w:val="center"/>
          </w:tcPr>
          <w:p w14:paraId="523A73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飞灰</w:t>
            </w:r>
          </w:p>
        </w:tc>
        <w:tc>
          <w:tcPr>
            <w:tcW w:w="1812" w:type="pct"/>
            <w:gridSpan w:val="2"/>
            <w:vMerge w:val="restart"/>
            <w:tcBorders>
              <w:tl2br w:val="nil"/>
              <w:tr2bl w:val="nil"/>
            </w:tcBorders>
            <w:noWrap w:val="0"/>
            <w:vAlign w:val="center"/>
          </w:tcPr>
          <w:p w14:paraId="240418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外售</w:t>
            </w:r>
            <w:r>
              <w:rPr>
                <w:rFonts w:hint="default" w:ascii="Times New Roman" w:hAnsi="Times New Roman" w:eastAsia="宋体" w:cs="Times New Roman"/>
                <w:color w:val="auto"/>
                <w:sz w:val="21"/>
                <w:szCs w:val="21"/>
                <w:highlight w:val="none"/>
              </w:rPr>
              <w:t>综合利用</w:t>
            </w:r>
            <w:r>
              <w:rPr>
                <w:rFonts w:hint="default" w:ascii="Times New Roman" w:hAnsi="Times New Roman" w:eastAsia="宋体" w:cs="Times New Roman"/>
                <w:color w:val="auto"/>
                <w:sz w:val="21"/>
                <w:szCs w:val="21"/>
                <w:highlight w:val="none"/>
                <w:lang w:eastAsia="zh-CN"/>
              </w:rPr>
              <w:t>。</w:t>
            </w:r>
          </w:p>
        </w:tc>
        <w:tc>
          <w:tcPr>
            <w:tcW w:w="483" w:type="pct"/>
            <w:tcBorders>
              <w:tl2br w:val="nil"/>
              <w:tr2bl w:val="nil"/>
            </w:tcBorders>
            <w:noWrap w:val="0"/>
            <w:vAlign w:val="center"/>
          </w:tcPr>
          <w:p w14:paraId="20B779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1227.19</w:t>
            </w:r>
            <w:r>
              <w:rPr>
                <w:rFonts w:hint="default" w:ascii="Times New Roman" w:hAnsi="Times New Roman" w:eastAsia="宋体" w:cs="Times New Roman"/>
                <w:color w:val="auto"/>
                <w:sz w:val="21"/>
                <w:szCs w:val="21"/>
                <w:highlight w:val="none"/>
              </w:rPr>
              <w:t>t/a</w:t>
            </w:r>
          </w:p>
        </w:tc>
        <w:tc>
          <w:tcPr>
            <w:tcW w:w="1666" w:type="pct"/>
            <w:vMerge w:val="restart"/>
            <w:tcBorders>
              <w:tl2br w:val="nil"/>
              <w:tr2bl w:val="nil"/>
            </w:tcBorders>
            <w:noWrap w:val="0"/>
            <w:vAlign w:val="center"/>
          </w:tcPr>
          <w:p w14:paraId="779A54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处置率100%</w:t>
            </w:r>
          </w:p>
        </w:tc>
      </w:tr>
      <w:tr w14:paraId="1F02FD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49" w:type="pct"/>
            <w:vMerge w:val="continue"/>
            <w:tcBorders>
              <w:tl2br w:val="nil"/>
              <w:tr2bl w:val="nil"/>
            </w:tcBorders>
            <w:noWrap w:val="0"/>
            <w:vAlign w:val="center"/>
          </w:tcPr>
          <w:p w14:paraId="4C26EBD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p>
        </w:tc>
        <w:tc>
          <w:tcPr>
            <w:tcW w:w="488" w:type="pct"/>
            <w:vMerge w:val="continue"/>
            <w:tcBorders>
              <w:tl2br w:val="nil"/>
              <w:tr2bl w:val="nil"/>
            </w:tcBorders>
            <w:noWrap w:val="0"/>
            <w:vAlign w:val="center"/>
          </w:tcPr>
          <w:p w14:paraId="319C28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399" w:type="pct"/>
            <w:tcBorders>
              <w:tl2br w:val="nil"/>
              <w:tr2bl w:val="nil"/>
            </w:tcBorders>
            <w:noWrap w:val="0"/>
            <w:vAlign w:val="center"/>
          </w:tcPr>
          <w:p w14:paraId="3A2C9A3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炉渣</w:t>
            </w:r>
          </w:p>
        </w:tc>
        <w:tc>
          <w:tcPr>
            <w:tcW w:w="1812" w:type="pct"/>
            <w:gridSpan w:val="2"/>
            <w:vMerge w:val="continue"/>
            <w:tcBorders>
              <w:tl2br w:val="nil"/>
              <w:tr2bl w:val="nil"/>
            </w:tcBorders>
            <w:noWrap w:val="0"/>
            <w:vAlign w:val="center"/>
          </w:tcPr>
          <w:p w14:paraId="1D4ED04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483" w:type="pct"/>
            <w:tcBorders>
              <w:tl2br w:val="nil"/>
              <w:tr2bl w:val="nil"/>
            </w:tcBorders>
            <w:noWrap w:val="0"/>
            <w:vAlign w:val="center"/>
          </w:tcPr>
          <w:p w14:paraId="568E70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4908.76</w:t>
            </w:r>
            <w:r>
              <w:rPr>
                <w:rFonts w:hint="default" w:ascii="Times New Roman" w:hAnsi="Times New Roman" w:eastAsia="宋体" w:cs="Times New Roman"/>
                <w:color w:val="auto"/>
                <w:sz w:val="21"/>
                <w:szCs w:val="21"/>
                <w:highlight w:val="none"/>
              </w:rPr>
              <w:t>t/a</w:t>
            </w:r>
          </w:p>
        </w:tc>
        <w:tc>
          <w:tcPr>
            <w:tcW w:w="1666" w:type="pct"/>
            <w:vMerge w:val="continue"/>
            <w:tcBorders>
              <w:tl2br w:val="nil"/>
              <w:tr2bl w:val="nil"/>
            </w:tcBorders>
            <w:noWrap w:val="0"/>
            <w:vAlign w:val="center"/>
          </w:tcPr>
          <w:p w14:paraId="10F729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r>
      <w:tr w14:paraId="42C1A8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9" w:type="pct"/>
            <w:vMerge w:val="continue"/>
            <w:tcBorders>
              <w:tl2br w:val="nil"/>
              <w:tr2bl w:val="nil"/>
            </w:tcBorders>
            <w:noWrap w:val="0"/>
            <w:vAlign w:val="center"/>
          </w:tcPr>
          <w:p w14:paraId="785D34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488" w:type="pct"/>
            <w:vMerge w:val="restart"/>
            <w:tcBorders>
              <w:tl2br w:val="nil"/>
              <w:tr2bl w:val="nil"/>
            </w:tcBorders>
            <w:noWrap w:val="0"/>
            <w:vAlign w:val="center"/>
          </w:tcPr>
          <w:p w14:paraId="65B5CA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除尘系统</w:t>
            </w:r>
          </w:p>
        </w:tc>
        <w:tc>
          <w:tcPr>
            <w:tcW w:w="399" w:type="pct"/>
            <w:tcBorders>
              <w:tl2br w:val="nil"/>
              <w:tr2bl w:val="nil"/>
            </w:tcBorders>
            <w:noWrap w:val="0"/>
            <w:vAlign w:val="center"/>
          </w:tcPr>
          <w:p w14:paraId="4A8010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废布袋</w:t>
            </w:r>
          </w:p>
        </w:tc>
        <w:tc>
          <w:tcPr>
            <w:tcW w:w="1812" w:type="pct"/>
            <w:gridSpan w:val="2"/>
            <w:tcBorders>
              <w:tl2br w:val="nil"/>
              <w:tr2bl w:val="nil"/>
            </w:tcBorders>
            <w:noWrap w:val="0"/>
            <w:vAlign w:val="center"/>
          </w:tcPr>
          <w:p w14:paraId="1AF542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由厂家回收，</w:t>
            </w:r>
            <w:r>
              <w:rPr>
                <w:rFonts w:hint="default" w:ascii="Times New Roman" w:hAnsi="Times New Roman" w:eastAsia="宋体" w:cs="Times New Roman"/>
                <w:color w:val="auto"/>
                <w:sz w:val="21"/>
                <w:szCs w:val="21"/>
                <w:highlight w:val="none"/>
              </w:rPr>
              <w:t>不在厂区内堆存</w:t>
            </w:r>
            <w:r>
              <w:rPr>
                <w:rFonts w:hint="default" w:ascii="Times New Roman" w:hAnsi="Times New Roman" w:eastAsia="宋体" w:cs="Times New Roman"/>
                <w:color w:val="auto"/>
                <w:sz w:val="21"/>
                <w:szCs w:val="21"/>
                <w:highlight w:val="none"/>
                <w:lang w:eastAsia="zh-CN"/>
              </w:rPr>
              <w:t>。</w:t>
            </w:r>
          </w:p>
        </w:tc>
        <w:tc>
          <w:tcPr>
            <w:tcW w:w="483" w:type="pct"/>
            <w:tcBorders>
              <w:tl2br w:val="nil"/>
              <w:tr2bl w:val="nil"/>
            </w:tcBorders>
            <w:noWrap w:val="0"/>
            <w:vAlign w:val="center"/>
          </w:tcPr>
          <w:p w14:paraId="692CC4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2.8t</w:t>
            </w:r>
            <w:r>
              <w:rPr>
                <w:rFonts w:hint="default" w:ascii="Times New Roman" w:hAnsi="Times New Roman" w:eastAsia="宋体" w:cs="Times New Roman"/>
                <w:color w:val="auto"/>
                <w:sz w:val="21"/>
                <w:szCs w:val="21"/>
                <w:highlight w:val="none"/>
                <w:lang w:val="en-US" w:eastAsia="zh-CN"/>
              </w:rPr>
              <w:t>/2a</w:t>
            </w:r>
          </w:p>
        </w:tc>
        <w:tc>
          <w:tcPr>
            <w:tcW w:w="1666" w:type="pct"/>
            <w:vMerge w:val="continue"/>
            <w:tcBorders>
              <w:tl2br w:val="nil"/>
              <w:tr2bl w:val="nil"/>
            </w:tcBorders>
            <w:noWrap w:val="0"/>
            <w:vAlign w:val="center"/>
          </w:tcPr>
          <w:p w14:paraId="2D6B52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r>
      <w:tr w14:paraId="041649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9" w:type="pct"/>
            <w:vMerge w:val="continue"/>
            <w:tcBorders>
              <w:tl2br w:val="nil"/>
              <w:tr2bl w:val="nil"/>
            </w:tcBorders>
            <w:noWrap w:val="0"/>
            <w:vAlign w:val="center"/>
          </w:tcPr>
          <w:p w14:paraId="1560AB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488" w:type="pct"/>
            <w:vMerge w:val="continue"/>
            <w:tcBorders>
              <w:tl2br w:val="nil"/>
              <w:tr2bl w:val="nil"/>
            </w:tcBorders>
            <w:noWrap w:val="0"/>
            <w:vAlign w:val="center"/>
          </w:tcPr>
          <w:p w14:paraId="62F54D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p>
        </w:tc>
        <w:tc>
          <w:tcPr>
            <w:tcW w:w="399" w:type="pct"/>
            <w:tcBorders>
              <w:tl2br w:val="nil"/>
              <w:tr2bl w:val="nil"/>
            </w:tcBorders>
            <w:noWrap w:val="0"/>
            <w:vAlign w:val="center"/>
          </w:tcPr>
          <w:p w14:paraId="1ED84F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val="en-US" w:eastAsia="zh-CN"/>
              </w:rPr>
              <w:t>灰库</w:t>
            </w:r>
            <w:r>
              <w:rPr>
                <w:rFonts w:hint="default" w:ascii="Times New Roman" w:hAnsi="Times New Roman" w:eastAsia="宋体" w:cs="Times New Roman"/>
                <w:color w:val="auto"/>
                <w:sz w:val="21"/>
                <w:szCs w:val="21"/>
                <w:highlight w:val="none"/>
                <w:lang w:val="en-US" w:eastAsia="zh-CN"/>
              </w:rPr>
              <w:t>除尘器收尘</w:t>
            </w:r>
          </w:p>
        </w:tc>
        <w:tc>
          <w:tcPr>
            <w:tcW w:w="1812" w:type="pct"/>
            <w:gridSpan w:val="2"/>
            <w:tcBorders>
              <w:tl2br w:val="nil"/>
              <w:tr2bl w:val="nil"/>
            </w:tcBorders>
            <w:noWrap w:val="0"/>
            <w:vAlign w:val="center"/>
          </w:tcPr>
          <w:p w14:paraId="6767B3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外售</w:t>
            </w:r>
            <w:r>
              <w:rPr>
                <w:rFonts w:hint="default" w:ascii="Times New Roman" w:hAnsi="Times New Roman" w:eastAsia="宋体" w:cs="Times New Roman"/>
                <w:color w:val="auto"/>
                <w:sz w:val="21"/>
                <w:szCs w:val="21"/>
                <w:highlight w:val="none"/>
              </w:rPr>
              <w:t>综合利用</w:t>
            </w:r>
            <w:r>
              <w:rPr>
                <w:rFonts w:hint="default" w:ascii="Times New Roman" w:hAnsi="Times New Roman" w:eastAsia="宋体" w:cs="Times New Roman"/>
                <w:color w:val="auto"/>
                <w:sz w:val="21"/>
                <w:szCs w:val="21"/>
                <w:highlight w:val="none"/>
                <w:lang w:eastAsia="zh-CN"/>
              </w:rPr>
              <w:t>。</w:t>
            </w:r>
          </w:p>
        </w:tc>
        <w:tc>
          <w:tcPr>
            <w:tcW w:w="483" w:type="pct"/>
            <w:tcBorders>
              <w:tl2br w:val="nil"/>
              <w:tr2bl w:val="nil"/>
            </w:tcBorders>
            <w:noWrap w:val="0"/>
            <w:vAlign w:val="center"/>
          </w:tcPr>
          <w:p w14:paraId="23B89C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0.045t/a</w:t>
            </w:r>
          </w:p>
        </w:tc>
        <w:tc>
          <w:tcPr>
            <w:tcW w:w="1666" w:type="pct"/>
            <w:vMerge w:val="continue"/>
            <w:tcBorders>
              <w:tl2br w:val="nil"/>
              <w:tr2bl w:val="nil"/>
            </w:tcBorders>
            <w:noWrap w:val="0"/>
            <w:vAlign w:val="center"/>
          </w:tcPr>
          <w:p w14:paraId="7064C85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r>
      <w:tr w14:paraId="68F21E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9" w:type="pct"/>
            <w:vMerge w:val="continue"/>
            <w:tcBorders>
              <w:tl2br w:val="nil"/>
              <w:tr2bl w:val="nil"/>
            </w:tcBorders>
            <w:noWrap w:val="0"/>
            <w:vAlign w:val="center"/>
          </w:tcPr>
          <w:p w14:paraId="7E3EBF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488" w:type="pct"/>
            <w:vMerge w:val="continue"/>
            <w:tcBorders>
              <w:tl2br w:val="nil"/>
              <w:tr2bl w:val="nil"/>
            </w:tcBorders>
            <w:noWrap w:val="0"/>
            <w:vAlign w:val="center"/>
          </w:tcPr>
          <w:p w14:paraId="1EEB47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p>
        </w:tc>
        <w:tc>
          <w:tcPr>
            <w:tcW w:w="399" w:type="pct"/>
            <w:tcBorders>
              <w:tl2br w:val="nil"/>
              <w:tr2bl w:val="nil"/>
            </w:tcBorders>
            <w:noWrap w:val="0"/>
            <w:vAlign w:val="center"/>
          </w:tcPr>
          <w:p w14:paraId="1FF5C7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val="en-US" w:eastAsia="zh-CN"/>
              </w:rPr>
              <w:t>生石灰</w:t>
            </w:r>
            <w:r>
              <w:rPr>
                <w:rFonts w:hint="default" w:ascii="Times New Roman" w:hAnsi="Times New Roman" w:eastAsia="宋体" w:cs="Times New Roman"/>
                <w:color w:val="auto"/>
                <w:sz w:val="21"/>
                <w:szCs w:val="21"/>
                <w:highlight w:val="none"/>
                <w:lang w:val="en-US" w:eastAsia="zh-CN"/>
              </w:rPr>
              <w:t>粉仓除尘器收尘</w:t>
            </w:r>
          </w:p>
        </w:tc>
        <w:tc>
          <w:tcPr>
            <w:tcW w:w="1812" w:type="pct"/>
            <w:gridSpan w:val="2"/>
            <w:tcBorders>
              <w:tl2br w:val="nil"/>
              <w:tr2bl w:val="nil"/>
            </w:tcBorders>
            <w:noWrap w:val="0"/>
            <w:vAlign w:val="center"/>
          </w:tcPr>
          <w:p w14:paraId="5ED6C3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回用于脱硫工序</w:t>
            </w:r>
          </w:p>
        </w:tc>
        <w:tc>
          <w:tcPr>
            <w:tcW w:w="483" w:type="pct"/>
            <w:tcBorders>
              <w:tl2br w:val="nil"/>
              <w:tr2bl w:val="nil"/>
            </w:tcBorders>
            <w:noWrap w:val="0"/>
            <w:vAlign w:val="center"/>
          </w:tcPr>
          <w:p w14:paraId="38D793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0.35t/a</w:t>
            </w:r>
          </w:p>
        </w:tc>
        <w:tc>
          <w:tcPr>
            <w:tcW w:w="1666" w:type="pct"/>
            <w:vMerge w:val="continue"/>
            <w:tcBorders>
              <w:tl2br w:val="nil"/>
              <w:tr2bl w:val="nil"/>
            </w:tcBorders>
            <w:noWrap w:val="0"/>
            <w:vAlign w:val="center"/>
          </w:tcPr>
          <w:p w14:paraId="4DDEEE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r>
      <w:tr w14:paraId="42FD1C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9" w:type="pct"/>
            <w:vMerge w:val="continue"/>
            <w:tcBorders>
              <w:tl2br w:val="nil"/>
              <w:tr2bl w:val="nil"/>
            </w:tcBorders>
            <w:noWrap w:val="0"/>
            <w:vAlign w:val="center"/>
          </w:tcPr>
          <w:p w14:paraId="71A438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488" w:type="pct"/>
            <w:vMerge w:val="continue"/>
            <w:tcBorders>
              <w:tl2br w:val="nil"/>
              <w:tr2bl w:val="nil"/>
            </w:tcBorders>
            <w:noWrap w:val="0"/>
            <w:vAlign w:val="center"/>
          </w:tcPr>
          <w:p w14:paraId="3FB676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p>
        </w:tc>
        <w:tc>
          <w:tcPr>
            <w:tcW w:w="399" w:type="pct"/>
            <w:tcBorders>
              <w:tl2br w:val="nil"/>
              <w:tr2bl w:val="nil"/>
            </w:tcBorders>
            <w:noWrap w:val="0"/>
            <w:vAlign w:val="center"/>
          </w:tcPr>
          <w:p w14:paraId="3F1148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碎煤机除尘器收尘</w:t>
            </w:r>
          </w:p>
        </w:tc>
        <w:tc>
          <w:tcPr>
            <w:tcW w:w="1812" w:type="pct"/>
            <w:gridSpan w:val="2"/>
            <w:tcBorders>
              <w:tl2br w:val="nil"/>
              <w:tr2bl w:val="nil"/>
            </w:tcBorders>
            <w:noWrap w:val="0"/>
            <w:vAlign w:val="center"/>
          </w:tcPr>
          <w:p w14:paraId="7CF764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作为燃料入炉燃烧</w:t>
            </w:r>
          </w:p>
        </w:tc>
        <w:tc>
          <w:tcPr>
            <w:tcW w:w="483" w:type="pct"/>
            <w:tcBorders>
              <w:tl2br w:val="nil"/>
              <w:tr2bl w:val="nil"/>
            </w:tcBorders>
            <w:noWrap w:val="0"/>
            <w:vAlign w:val="center"/>
          </w:tcPr>
          <w:p w14:paraId="3B2671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2.32t/a</w:t>
            </w:r>
          </w:p>
        </w:tc>
        <w:tc>
          <w:tcPr>
            <w:tcW w:w="1666" w:type="pct"/>
            <w:vMerge w:val="continue"/>
            <w:tcBorders>
              <w:tl2br w:val="nil"/>
              <w:tr2bl w:val="nil"/>
            </w:tcBorders>
            <w:noWrap w:val="0"/>
            <w:vAlign w:val="center"/>
          </w:tcPr>
          <w:p w14:paraId="24DA05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r>
      <w:tr w14:paraId="2CD0E2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9" w:type="pct"/>
            <w:vMerge w:val="continue"/>
            <w:tcBorders>
              <w:tl2br w:val="nil"/>
              <w:tr2bl w:val="nil"/>
            </w:tcBorders>
            <w:noWrap w:val="0"/>
            <w:vAlign w:val="center"/>
          </w:tcPr>
          <w:p w14:paraId="778EDC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bookmarkStart w:id="578" w:name="_Toc27596"/>
            <w:bookmarkStart w:id="579" w:name="_Toc10965"/>
          </w:p>
        </w:tc>
        <w:tc>
          <w:tcPr>
            <w:tcW w:w="488" w:type="pct"/>
            <w:tcBorders>
              <w:tl2br w:val="nil"/>
              <w:tr2bl w:val="nil"/>
            </w:tcBorders>
            <w:noWrap w:val="0"/>
            <w:vAlign w:val="center"/>
          </w:tcPr>
          <w:p w14:paraId="0F56B19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地下水</w:t>
            </w:r>
            <w:r>
              <w:rPr>
                <w:rFonts w:hint="default" w:ascii="Times New Roman" w:hAnsi="Times New Roman" w:eastAsia="宋体" w:cs="Times New Roman"/>
                <w:color w:val="auto"/>
                <w:sz w:val="21"/>
                <w:szCs w:val="21"/>
                <w:highlight w:val="none"/>
                <w:lang w:val="en-US" w:eastAsia="zh-CN"/>
              </w:rPr>
              <w:t>池</w:t>
            </w:r>
          </w:p>
        </w:tc>
        <w:tc>
          <w:tcPr>
            <w:tcW w:w="399" w:type="pct"/>
            <w:tcBorders>
              <w:tl2br w:val="nil"/>
              <w:tr2bl w:val="nil"/>
            </w:tcBorders>
            <w:noWrap w:val="0"/>
            <w:vAlign w:val="center"/>
          </w:tcPr>
          <w:p w14:paraId="3380BB5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沉渣</w:t>
            </w:r>
          </w:p>
        </w:tc>
        <w:tc>
          <w:tcPr>
            <w:tcW w:w="1812" w:type="pct"/>
            <w:gridSpan w:val="2"/>
            <w:tcBorders>
              <w:tl2br w:val="nil"/>
              <w:tr2bl w:val="nil"/>
            </w:tcBorders>
            <w:noWrap w:val="0"/>
            <w:vAlign w:val="center"/>
          </w:tcPr>
          <w:p w14:paraId="06C9538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地下水池</w:t>
            </w:r>
            <w:r>
              <w:rPr>
                <w:rFonts w:hint="eastAsia" w:ascii="Times New Roman" w:hAnsi="Times New Roman" w:eastAsia="宋体" w:cs="Times New Roman"/>
                <w:color w:val="auto"/>
                <w:kern w:val="2"/>
                <w:sz w:val="21"/>
                <w:szCs w:val="21"/>
                <w:highlight w:val="none"/>
                <w:lang w:val="en-US" w:eastAsia="zh-CN" w:bidi="ar-SA"/>
              </w:rPr>
              <w:t>、初期雨水收集池沉淀产生的沉渣</w:t>
            </w:r>
            <w:r>
              <w:rPr>
                <w:rFonts w:hint="default" w:ascii="Times New Roman" w:hAnsi="Times New Roman" w:eastAsia="宋体" w:cs="Times New Roman"/>
                <w:color w:val="auto"/>
                <w:kern w:val="2"/>
                <w:sz w:val="21"/>
                <w:szCs w:val="21"/>
                <w:highlight w:val="none"/>
                <w:lang w:val="en-US" w:eastAsia="zh-CN" w:bidi="ar-SA"/>
              </w:rPr>
              <w:t>定期清掏作为燃料入炉燃烧。</w:t>
            </w:r>
          </w:p>
        </w:tc>
        <w:tc>
          <w:tcPr>
            <w:tcW w:w="483" w:type="pct"/>
            <w:tcBorders>
              <w:tl2br w:val="nil"/>
              <w:tr2bl w:val="nil"/>
            </w:tcBorders>
            <w:noWrap w:val="0"/>
            <w:vAlign w:val="center"/>
          </w:tcPr>
          <w:p w14:paraId="089D48C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0.1t/a</w:t>
            </w:r>
          </w:p>
        </w:tc>
        <w:tc>
          <w:tcPr>
            <w:tcW w:w="1666" w:type="pct"/>
            <w:vMerge w:val="continue"/>
            <w:tcBorders>
              <w:tl2br w:val="nil"/>
              <w:tr2bl w:val="nil"/>
            </w:tcBorders>
            <w:noWrap w:val="0"/>
            <w:vAlign w:val="center"/>
          </w:tcPr>
          <w:p w14:paraId="15CFBC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r>
      <w:tr w14:paraId="59092F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9" w:type="pct"/>
            <w:vMerge w:val="continue"/>
            <w:tcBorders>
              <w:tl2br w:val="nil"/>
              <w:tr2bl w:val="nil"/>
            </w:tcBorders>
            <w:noWrap w:val="0"/>
            <w:vAlign w:val="center"/>
          </w:tcPr>
          <w:p w14:paraId="3A4F4E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bookmarkStart w:id="580" w:name="_Toc11880"/>
          </w:p>
        </w:tc>
        <w:tc>
          <w:tcPr>
            <w:tcW w:w="488" w:type="pct"/>
            <w:tcBorders>
              <w:tl2br w:val="nil"/>
              <w:tr2bl w:val="nil"/>
            </w:tcBorders>
            <w:noWrap w:val="0"/>
            <w:vAlign w:val="center"/>
          </w:tcPr>
          <w:p w14:paraId="37E6800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设备维修</w:t>
            </w:r>
          </w:p>
        </w:tc>
        <w:tc>
          <w:tcPr>
            <w:tcW w:w="399" w:type="pct"/>
            <w:tcBorders>
              <w:tl2br w:val="nil"/>
              <w:tr2bl w:val="nil"/>
            </w:tcBorders>
            <w:noWrap w:val="0"/>
            <w:vAlign w:val="center"/>
          </w:tcPr>
          <w:p w14:paraId="48E6C18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废矿物油</w:t>
            </w:r>
          </w:p>
        </w:tc>
        <w:tc>
          <w:tcPr>
            <w:tcW w:w="1812" w:type="pct"/>
            <w:gridSpan w:val="2"/>
            <w:tcBorders>
              <w:tl2br w:val="nil"/>
              <w:tr2bl w:val="nil"/>
            </w:tcBorders>
            <w:noWrap w:val="0"/>
            <w:vAlign w:val="center"/>
          </w:tcPr>
          <w:p w14:paraId="762400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暂存于现有工程危废暂存间内，委托有资质单位处置</w:t>
            </w:r>
          </w:p>
        </w:tc>
        <w:tc>
          <w:tcPr>
            <w:tcW w:w="483" w:type="pct"/>
            <w:tcBorders>
              <w:tl2br w:val="nil"/>
              <w:tr2bl w:val="nil"/>
            </w:tcBorders>
            <w:noWrap w:val="0"/>
            <w:vAlign w:val="center"/>
          </w:tcPr>
          <w:p w14:paraId="1156ACB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0.1t/a</w:t>
            </w:r>
          </w:p>
        </w:tc>
        <w:tc>
          <w:tcPr>
            <w:tcW w:w="1666" w:type="pct"/>
            <w:vMerge w:val="continue"/>
            <w:tcBorders>
              <w:tl2br w:val="nil"/>
              <w:tr2bl w:val="nil"/>
            </w:tcBorders>
            <w:noWrap w:val="0"/>
            <w:vAlign w:val="center"/>
          </w:tcPr>
          <w:p w14:paraId="7FCC88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r>
    </w:tbl>
    <w:p w14:paraId="73973C4D">
      <w:pPr>
        <w:pStyle w:val="4"/>
        <w:bidi w:val="0"/>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9.3 环保设施竣工验收</w:t>
      </w:r>
      <w:bookmarkEnd w:id="578"/>
      <w:bookmarkEnd w:id="579"/>
      <w:bookmarkEnd w:id="580"/>
    </w:p>
    <w:p w14:paraId="359B6157">
      <w:pPr>
        <w:spacing w:line="480" w:lineRule="exact"/>
        <w:ind w:firstLine="540"/>
        <w:rPr>
          <w:rFonts w:hint="default" w:ascii="Times New Roman" w:hAnsi="Times New Roman" w:eastAsia="宋体" w:cs="Times New Roman"/>
          <w:color w:val="auto"/>
          <w:spacing w:val="20"/>
          <w:sz w:val="24"/>
          <w:highlight w:val="none"/>
        </w:rPr>
      </w:pPr>
      <w:r>
        <w:rPr>
          <w:rFonts w:hint="default" w:ascii="Times New Roman" w:hAnsi="Times New Roman" w:eastAsia="宋体" w:cs="Times New Roman"/>
          <w:color w:val="auto"/>
          <w:kern w:val="0"/>
          <w:sz w:val="24"/>
          <w:highlight w:val="none"/>
        </w:rPr>
        <w:t>本项目</w:t>
      </w:r>
      <w:r>
        <w:rPr>
          <w:rFonts w:hint="default" w:ascii="Times New Roman" w:hAnsi="Times New Roman" w:eastAsia="宋体" w:cs="Times New Roman"/>
          <w:color w:val="auto"/>
          <w:kern w:val="0"/>
          <w:sz w:val="24"/>
          <w:highlight w:val="none"/>
          <w:lang w:val="en-US" w:eastAsia="zh-CN"/>
        </w:rPr>
        <w:t>环保设施“三同时”</w:t>
      </w:r>
      <w:r>
        <w:rPr>
          <w:rFonts w:hint="default" w:ascii="Times New Roman" w:hAnsi="Times New Roman" w:eastAsia="宋体" w:cs="Times New Roman"/>
          <w:color w:val="auto"/>
          <w:kern w:val="0"/>
          <w:sz w:val="24"/>
          <w:highlight w:val="none"/>
        </w:rPr>
        <w:t>竣工环境保护验收主要内容见表9</w:t>
      </w:r>
      <w:r>
        <w:rPr>
          <w:rFonts w:hint="default" w:ascii="Times New Roman" w:hAnsi="Times New Roman" w:eastAsia="宋体"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rPr>
        <w:t>3-1。</w:t>
      </w:r>
    </w:p>
    <w:p w14:paraId="29ED1539">
      <w:pPr>
        <w:pStyle w:val="15"/>
        <w:spacing w:after="0" w:line="480" w:lineRule="exact"/>
        <w:ind w:left="617" w:leftChars="257" w:firstLine="980" w:firstLineChars="350"/>
        <w:jc w:val="center"/>
        <w:rPr>
          <w:rFonts w:hint="default" w:ascii="Times New Roman" w:hAnsi="Times New Roman" w:eastAsia="宋体" w:cs="Times New Roman"/>
          <w:color w:val="auto"/>
          <w:spacing w:val="20"/>
          <w:sz w:val="24"/>
          <w:highlight w:val="none"/>
        </w:rPr>
      </w:pPr>
      <w:r>
        <w:rPr>
          <w:rFonts w:hint="default" w:ascii="Times New Roman" w:hAnsi="Times New Roman" w:eastAsia="宋体" w:cs="Times New Roman"/>
          <w:color w:val="auto"/>
          <w:spacing w:val="20"/>
          <w:sz w:val="24"/>
          <w:highlight w:val="none"/>
        </w:rPr>
        <w:t>表9</w:t>
      </w:r>
      <w:r>
        <w:rPr>
          <w:rFonts w:hint="default" w:ascii="Times New Roman" w:hAnsi="Times New Roman" w:eastAsia="宋体" w:cs="Times New Roman"/>
          <w:color w:val="auto"/>
          <w:spacing w:val="20"/>
          <w:sz w:val="24"/>
          <w:highlight w:val="none"/>
          <w:lang w:val="en-US" w:eastAsia="zh-CN"/>
        </w:rPr>
        <w:t>.</w:t>
      </w:r>
      <w:r>
        <w:rPr>
          <w:rFonts w:hint="default" w:ascii="Times New Roman" w:hAnsi="Times New Roman" w:eastAsia="宋体" w:cs="Times New Roman"/>
          <w:color w:val="auto"/>
          <w:spacing w:val="20"/>
          <w:sz w:val="24"/>
          <w:highlight w:val="none"/>
        </w:rPr>
        <w:t>3-1  环保设施“三同时”竣工</w:t>
      </w:r>
      <w:r>
        <w:rPr>
          <w:rFonts w:hint="default" w:ascii="Times New Roman" w:hAnsi="Times New Roman" w:eastAsia="宋体" w:cs="Times New Roman"/>
          <w:color w:val="auto"/>
          <w:spacing w:val="20"/>
          <w:sz w:val="24"/>
          <w:highlight w:val="none"/>
          <w:lang w:val="en-US" w:eastAsia="zh-CN"/>
        </w:rPr>
        <w:t>环境保护</w:t>
      </w:r>
      <w:r>
        <w:rPr>
          <w:rFonts w:hint="default" w:ascii="Times New Roman" w:hAnsi="Times New Roman" w:eastAsia="宋体" w:cs="Times New Roman"/>
          <w:color w:val="auto"/>
          <w:spacing w:val="20"/>
          <w:sz w:val="24"/>
          <w:highlight w:val="none"/>
        </w:rPr>
        <w:t>验收项目一览表</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Layout w:type="autofit"/>
        <w:tblCellMar>
          <w:top w:w="0" w:type="dxa"/>
          <w:left w:w="108" w:type="dxa"/>
          <w:bottom w:w="0" w:type="dxa"/>
          <w:right w:w="108" w:type="dxa"/>
        </w:tblCellMar>
      </w:tblPr>
      <w:tblGrid>
        <w:gridCol w:w="842"/>
        <w:gridCol w:w="1650"/>
        <w:gridCol w:w="6292"/>
        <w:gridCol w:w="512"/>
        <w:gridCol w:w="4924"/>
      </w:tblGrid>
      <w:tr w14:paraId="5FEF1801">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296" w:type="pct"/>
            <w:tcBorders>
              <w:tl2br w:val="nil"/>
              <w:tr2bl w:val="nil"/>
            </w:tcBorders>
            <w:noWrap w:val="0"/>
            <w:vAlign w:val="center"/>
          </w:tcPr>
          <w:p w14:paraId="38DBD135">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种类</w:t>
            </w:r>
          </w:p>
        </w:tc>
        <w:tc>
          <w:tcPr>
            <w:tcW w:w="580" w:type="pct"/>
            <w:tcBorders>
              <w:tl2br w:val="nil"/>
              <w:tr2bl w:val="nil"/>
            </w:tcBorders>
            <w:noWrap w:val="0"/>
            <w:vAlign w:val="center"/>
          </w:tcPr>
          <w:p w14:paraId="7E5CDE4F">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污染源</w:t>
            </w:r>
          </w:p>
        </w:tc>
        <w:tc>
          <w:tcPr>
            <w:tcW w:w="2212" w:type="pct"/>
            <w:tcBorders>
              <w:tl2br w:val="nil"/>
              <w:tr2bl w:val="nil"/>
            </w:tcBorders>
            <w:noWrap w:val="0"/>
            <w:vAlign w:val="center"/>
          </w:tcPr>
          <w:p w14:paraId="4DC191F6">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环境保护措施</w:t>
            </w:r>
          </w:p>
        </w:tc>
        <w:tc>
          <w:tcPr>
            <w:tcW w:w="180" w:type="pct"/>
            <w:tcBorders>
              <w:tl2br w:val="nil"/>
              <w:tr2bl w:val="nil"/>
            </w:tcBorders>
            <w:noWrap w:val="0"/>
            <w:vAlign w:val="center"/>
          </w:tcPr>
          <w:p w14:paraId="1582540E">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套</w:t>
            </w:r>
          </w:p>
        </w:tc>
        <w:tc>
          <w:tcPr>
            <w:tcW w:w="1731" w:type="pct"/>
            <w:tcBorders>
              <w:tl2br w:val="nil"/>
              <w:tr2bl w:val="nil"/>
            </w:tcBorders>
            <w:noWrap w:val="0"/>
            <w:vAlign w:val="center"/>
          </w:tcPr>
          <w:p w14:paraId="0E28F9F9">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验收标准</w:t>
            </w:r>
          </w:p>
        </w:tc>
      </w:tr>
      <w:tr w14:paraId="45CC6F5D">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296" w:type="pct"/>
            <w:vMerge w:val="restart"/>
            <w:tcBorders>
              <w:tl2br w:val="nil"/>
              <w:tr2bl w:val="nil"/>
            </w:tcBorders>
            <w:noWrap w:val="0"/>
            <w:vAlign w:val="center"/>
          </w:tcPr>
          <w:p w14:paraId="3AEB7919">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废气</w:t>
            </w:r>
          </w:p>
        </w:tc>
        <w:tc>
          <w:tcPr>
            <w:tcW w:w="580" w:type="pct"/>
            <w:vMerge w:val="restart"/>
            <w:tcBorders>
              <w:tl2br w:val="nil"/>
              <w:tr2bl w:val="nil"/>
            </w:tcBorders>
            <w:noWrap w:val="0"/>
            <w:vAlign w:val="center"/>
          </w:tcPr>
          <w:p w14:paraId="046EF2A3">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1×58MW往复炉排热水锅炉</w:t>
            </w:r>
          </w:p>
        </w:tc>
        <w:tc>
          <w:tcPr>
            <w:tcW w:w="2212" w:type="pct"/>
            <w:tcBorders>
              <w:tl2br w:val="nil"/>
              <w:tr2bl w:val="nil"/>
            </w:tcBorders>
            <w:noWrap w:val="0"/>
            <w:vAlign w:val="center"/>
          </w:tcPr>
          <w:p w14:paraId="3BDC97E0">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布</w:t>
            </w:r>
            <w:r>
              <w:rPr>
                <w:rFonts w:hint="default" w:ascii="Times New Roman" w:hAnsi="Times New Roman" w:eastAsia="宋体" w:cs="Times New Roman"/>
                <w:color w:val="auto"/>
                <w:sz w:val="21"/>
                <w:szCs w:val="21"/>
                <w:highlight w:val="none"/>
              </w:rPr>
              <w:t>袋除尘器</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除尘效率99.</w:t>
            </w:r>
            <w:r>
              <w:rPr>
                <w:rFonts w:hint="eastAsia" w:ascii="Times New Roman" w:hAnsi="Times New Roman" w:eastAsia="宋体" w:cs="Times New Roman"/>
                <w:color w:val="auto"/>
                <w:sz w:val="21"/>
                <w:szCs w:val="21"/>
                <w:highlight w:val="none"/>
                <w:lang w:val="en-US" w:eastAsia="zh-CN"/>
              </w:rPr>
              <w:t>95</w:t>
            </w:r>
            <w:r>
              <w:rPr>
                <w:rFonts w:hint="default" w:ascii="Times New Roman" w:hAnsi="Times New Roman" w:eastAsia="宋体" w:cs="Times New Roman"/>
                <w:color w:val="auto"/>
                <w:sz w:val="21"/>
                <w:szCs w:val="21"/>
                <w:highlight w:val="none"/>
              </w:rPr>
              <w:t>%</w:t>
            </w:r>
          </w:p>
        </w:tc>
        <w:tc>
          <w:tcPr>
            <w:tcW w:w="180" w:type="pct"/>
            <w:tcBorders>
              <w:tl2br w:val="nil"/>
              <w:tr2bl w:val="nil"/>
            </w:tcBorders>
            <w:noWrap w:val="0"/>
            <w:vAlign w:val="center"/>
          </w:tcPr>
          <w:p w14:paraId="4FDBCDA7">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c>
          <w:tcPr>
            <w:tcW w:w="1731" w:type="pct"/>
            <w:vMerge w:val="restart"/>
            <w:tcBorders>
              <w:tl2br w:val="nil"/>
              <w:tr2bl w:val="nil"/>
            </w:tcBorders>
            <w:noWrap w:val="0"/>
            <w:vAlign w:val="center"/>
          </w:tcPr>
          <w:p w14:paraId="0A9B6E5D">
            <w:pPr>
              <w:pStyle w:val="127"/>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《关于印发</w:t>
            </w:r>
            <w:r>
              <w:rPr>
                <w:rFonts w:hint="eastAsia"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全面实施燃煤电厂超低排放和节能改造工作方案</w:t>
            </w:r>
            <w:r>
              <w:rPr>
                <w:rFonts w:hint="eastAsia" w:eastAsia="宋体" w:cs="Times New Roman"/>
                <w:color w:val="auto"/>
                <w:sz w:val="21"/>
                <w:szCs w:val="21"/>
                <w:highlight w:val="none"/>
                <w:lang w:eastAsia="zh-CN"/>
              </w:rPr>
              <w:t>〉的通知》</w:t>
            </w:r>
            <w:r>
              <w:rPr>
                <w:rFonts w:hint="default" w:ascii="Times New Roman" w:hAnsi="Times New Roman" w:eastAsia="宋体" w:cs="Times New Roman"/>
                <w:color w:val="auto"/>
                <w:sz w:val="21"/>
                <w:szCs w:val="21"/>
                <w:highlight w:val="none"/>
              </w:rPr>
              <w:t>（环发</w:t>
            </w:r>
            <w:r>
              <w:rPr>
                <w:rFonts w:hint="eastAsia"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2015</w:t>
            </w:r>
            <w:r>
              <w:rPr>
                <w:rFonts w:hint="eastAsia"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164号）要求，达到超低排放（在基准氧含量6%条件下，烟尘、SO</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、NO</w:t>
            </w:r>
            <w:r>
              <w:rPr>
                <w:rFonts w:hint="default" w:ascii="Times New Roman" w:hAnsi="Times New Roman" w:eastAsia="宋体" w:cs="Times New Roman"/>
                <w:color w:val="auto"/>
                <w:sz w:val="21"/>
                <w:szCs w:val="21"/>
                <w:highlight w:val="none"/>
                <w:vertAlign w:val="subscript"/>
              </w:rPr>
              <w:t>X</w:t>
            </w:r>
            <w:r>
              <w:rPr>
                <w:rFonts w:hint="default" w:ascii="Times New Roman" w:hAnsi="Times New Roman" w:eastAsia="宋体" w:cs="Times New Roman"/>
                <w:color w:val="auto"/>
                <w:sz w:val="21"/>
                <w:szCs w:val="21"/>
                <w:highlight w:val="none"/>
              </w:rPr>
              <w:t>排放浓度分别不高于10mg/m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、35mg/m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、50mg/m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w:t>
            </w:r>
          </w:p>
        </w:tc>
      </w:tr>
      <w:tr w14:paraId="1576E74C">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296" w:type="pct"/>
            <w:vMerge w:val="continue"/>
            <w:tcBorders>
              <w:tl2br w:val="nil"/>
              <w:tr2bl w:val="nil"/>
            </w:tcBorders>
            <w:noWrap w:val="0"/>
            <w:vAlign w:val="center"/>
          </w:tcPr>
          <w:p w14:paraId="5CD5203E">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p>
        </w:tc>
        <w:tc>
          <w:tcPr>
            <w:tcW w:w="580" w:type="pct"/>
            <w:vMerge w:val="continue"/>
            <w:tcBorders>
              <w:tl2br w:val="nil"/>
              <w:tr2bl w:val="nil"/>
            </w:tcBorders>
            <w:noWrap w:val="0"/>
            <w:vAlign w:val="center"/>
          </w:tcPr>
          <w:p w14:paraId="49584A5F">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p>
        </w:tc>
        <w:tc>
          <w:tcPr>
            <w:tcW w:w="2212" w:type="pct"/>
            <w:tcBorders>
              <w:tl2br w:val="nil"/>
              <w:tr2bl w:val="nil"/>
            </w:tcBorders>
            <w:noWrap w:val="0"/>
            <w:vAlign w:val="center"/>
          </w:tcPr>
          <w:p w14:paraId="2FB90C27">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炉内喷钙+氨法脱硫</w:t>
            </w:r>
            <w:r>
              <w:rPr>
                <w:rFonts w:hint="default" w:ascii="Times New Roman" w:hAnsi="Times New Roman" w:eastAsia="宋体" w:cs="Times New Roman"/>
                <w:color w:val="auto"/>
                <w:sz w:val="21"/>
                <w:szCs w:val="21"/>
                <w:highlight w:val="none"/>
              </w:rPr>
              <w:t>，脱硫效率≥</w:t>
            </w:r>
            <w:r>
              <w:rPr>
                <w:rFonts w:hint="eastAsia" w:ascii="Times New Roman" w:hAnsi="Times New Roman" w:eastAsia="宋体" w:cs="Times New Roman"/>
                <w:color w:val="auto"/>
                <w:sz w:val="21"/>
                <w:szCs w:val="21"/>
                <w:highlight w:val="none"/>
                <w:lang w:val="en-US" w:eastAsia="zh-CN"/>
              </w:rPr>
              <w:t>95</w:t>
            </w:r>
            <w:r>
              <w:rPr>
                <w:rFonts w:hint="default" w:ascii="Times New Roman" w:hAnsi="Times New Roman" w:eastAsia="宋体" w:cs="Times New Roman"/>
                <w:color w:val="auto"/>
                <w:sz w:val="21"/>
                <w:szCs w:val="21"/>
                <w:highlight w:val="none"/>
              </w:rPr>
              <w:t>%</w:t>
            </w:r>
          </w:p>
        </w:tc>
        <w:tc>
          <w:tcPr>
            <w:tcW w:w="180" w:type="pct"/>
            <w:tcBorders>
              <w:tl2br w:val="nil"/>
              <w:tr2bl w:val="nil"/>
            </w:tcBorders>
            <w:noWrap w:val="0"/>
            <w:vAlign w:val="center"/>
          </w:tcPr>
          <w:p w14:paraId="746F4654">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731" w:type="pct"/>
            <w:vMerge w:val="continue"/>
            <w:tcBorders>
              <w:tl2br w:val="nil"/>
              <w:tr2bl w:val="nil"/>
            </w:tcBorders>
            <w:noWrap w:val="0"/>
            <w:vAlign w:val="center"/>
          </w:tcPr>
          <w:p w14:paraId="0B9ED64B">
            <w:pPr>
              <w:pStyle w:val="127"/>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2"/>
                <w:sz w:val="21"/>
                <w:szCs w:val="21"/>
                <w:highlight w:val="none"/>
              </w:rPr>
            </w:pPr>
          </w:p>
        </w:tc>
      </w:tr>
      <w:tr w14:paraId="37452291">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296" w:type="pct"/>
            <w:vMerge w:val="continue"/>
            <w:tcBorders>
              <w:tl2br w:val="nil"/>
              <w:tr2bl w:val="nil"/>
            </w:tcBorders>
            <w:noWrap w:val="0"/>
            <w:vAlign w:val="center"/>
          </w:tcPr>
          <w:p w14:paraId="33AB97D4">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p>
        </w:tc>
        <w:tc>
          <w:tcPr>
            <w:tcW w:w="580" w:type="pct"/>
            <w:vMerge w:val="continue"/>
            <w:tcBorders>
              <w:tl2br w:val="nil"/>
              <w:tr2bl w:val="nil"/>
            </w:tcBorders>
            <w:noWrap w:val="0"/>
            <w:vAlign w:val="center"/>
          </w:tcPr>
          <w:p w14:paraId="3BFEF615">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p>
        </w:tc>
        <w:tc>
          <w:tcPr>
            <w:tcW w:w="2212" w:type="pct"/>
            <w:tcBorders>
              <w:tl2br w:val="nil"/>
              <w:tr2bl w:val="nil"/>
            </w:tcBorders>
            <w:noWrap w:val="0"/>
            <w:vAlign w:val="center"/>
          </w:tcPr>
          <w:p w14:paraId="5D8E9D0A">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SNCR+亚氯酸钠脱硝，脱硝效率≥</w:t>
            </w:r>
            <w:r>
              <w:rPr>
                <w:rFonts w:hint="eastAsia" w:ascii="Times New Roman" w:hAnsi="Times New Roman" w:eastAsia="宋体" w:cs="Times New Roman"/>
                <w:color w:val="auto"/>
                <w:sz w:val="21"/>
                <w:szCs w:val="21"/>
                <w:highlight w:val="none"/>
                <w:lang w:val="en-US" w:eastAsia="zh-CN"/>
              </w:rPr>
              <w:t>88</w:t>
            </w:r>
            <w:r>
              <w:rPr>
                <w:rFonts w:hint="default" w:ascii="Times New Roman" w:hAnsi="Times New Roman" w:eastAsia="宋体" w:cs="Times New Roman"/>
                <w:color w:val="auto"/>
                <w:sz w:val="21"/>
                <w:szCs w:val="21"/>
                <w:highlight w:val="none"/>
                <w:lang w:val="en-US" w:eastAsia="zh-CN"/>
              </w:rPr>
              <w:t>%。</w:t>
            </w:r>
          </w:p>
        </w:tc>
        <w:tc>
          <w:tcPr>
            <w:tcW w:w="180" w:type="pct"/>
            <w:tcBorders>
              <w:tl2br w:val="nil"/>
              <w:tr2bl w:val="nil"/>
            </w:tcBorders>
            <w:noWrap w:val="0"/>
            <w:vAlign w:val="center"/>
          </w:tcPr>
          <w:p w14:paraId="7DED5238">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c>
          <w:tcPr>
            <w:tcW w:w="1731" w:type="pct"/>
            <w:vMerge w:val="continue"/>
            <w:tcBorders>
              <w:tl2br w:val="nil"/>
              <w:tr2bl w:val="nil"/>
            </w:tcBorders>
            <w:noWrap w:val="0"/>
            <w:vAlign w:val="center"/>
          </w:tcPr>
          <w:p w14:paraId="611269AF">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p>
        </w:tc>
      </w:tr>
      <w:tr w14:paraId="5D3D57C9">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496" w:hRule="atLeast"/>
          <w:jc w:val="center"/>
        </w:trPr>
        <w:tc>
          <w:tcPr>
            <w:tcW w:w="296" w:type="pct"/>
            <w:vMerge w:val="continue"/>
            <w:tcBorders>
              <w:tl2br w:val="nil"/>
              <w:tr2bl w:val="nil"/>
            </w:tcBorders>
            <w:noWrap w:val="0"/>
            <w:vAlign w:val="center"/>
          </w:tcPr>
          <w:p w14:paraId="0F6C2303">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p>
        </w:tc>
        <w:tc>
          <w:tcPr>
            <w:tcW w:w="580" w:type="pct"/>
            <w:vMerge w:val="continue"/>
            <w:tcBorders>
              <w:tl2br w:val="nil"/>
              <w:tr2bl w:val="nil"/>
            </w:tcBorders>
            <w:noWrap w:val="0"/>
            <w:vAlign w:val="center"/>
          </w:tcPr>
          <w:p w14:paraId="22EFF83A">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p>
        </w:tc>
        <w:tc>
          <w:tcPr>
            <w:tcW w:w="2212" w:type="pct"/>
            <w:tcBorders>
              <w:tl2br w:val="nil"/>
              <w:tr2bl w:val="nil"/>
            </w:tcBorders>
            <w:noWrap w:val="0"/>
            <w:vAlign w:val="center"/>
          </w:tcPr>
          <w:p w14:paraId="4E8A10EC">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汞及其化合物：协同去除效率</w:t>
            </w:r>
            <w:r>
              <w:rPr>
                <w:rFonts w:hint="eastAsia" w:ascii="Times New Roman" w:hAnsi="Times New Roman" w:eastAsia="宋体"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rPr>
              <w:t>0%</w:t>
            </w:r>
          </w:p>
        </w:tc>
        <w:tc>
          <w:tcPr>
            <w:tcW w:w="180" w:type="pct"/>
            <w:tcBorders>
              <w:tl2br w:val="nil"/>
              <w:tr2bl w:val="nil"/>
            </w:tcBorders>
            <w:noWrap w:val="0"/>
            <w:vAlign w:val="center"/>
          </w:tcPr>
          <w:p w14:paraId="5344DE83">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731" w:type="pct"/>
            <w:tcBorders>
              <w:tl2br w:val="nil"/>
              <w:tr2bl w:val="nil"/>
            </w:tcBorders>
            <w:noWrap w:val="0"/>
            <w:vAlign w:val="center"/>
          </w:tcPr>
          <w:p w14:paraId="700C319C">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eastAsia="zh-CN"/>
              </w:rPr>
              <w:t>锅炉大气污染物排放标准》（GB13271-2014）表3中燃煤锅炉大气污染物特别排放限值中汞及其化合物排放标准：0.05</w:t>
            </w:r>
            <w:r>
              <w:rPr>
                <w:rFonts w:hint="default" w:ascii="Times New Roman" w:hAnsi="Times New Roman" w:eastAsia="宋体" w:cs="Times New Roman"/>
                <w:color w:val="auto"/>
                <w:sz w:val="21"/>
                <w:szCs w:val="21"/>
                <w:highlight w:val="none"/>
              </w:rPr>
              <w:t>mg/m</w:t>
            </w:r>
            <w:r>
              <w:rPr>
                <w:rFonts w:hint="default" w:ascii="Times New Roman" w:hAnsi="Times New Roman" w:eastAsia="宋体" w:cs="Times New Roman"/>
                <w:color w:val="auto"/>
                <w:sz w:val="21"/>
                <w:szCs w:val="21"/>
                <w:highlight w:val="none"/>
                <w:vertAlign w:val="superscript"/>
              </w:rPr>
              <w:t>3</w:t>
            </w:r>
          </w:p>
        </w:tc>
      </w:tr>
      <w:tr w14:paraId="2E3C1C05">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296" w:type="pct"/>
            <w:vMerge w:val="continue"/>
            <w:tcBorders>
              <w:tl2br w:val="nil"/>
              <w:tr2bl w:val="nil"/>
            </w:tcBorders>
            <w:noWrap w:val="0"/>
            <w:vAlign w:val="center"/>
          </w:tcPr>
          <w:p w14:paraId="03987410">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p>
        </w:tc>
        <w:tc>
          <w:tcPr>
            <w:tcW w:w="580" w:type="pct"/>
            <w:vMerge w:val="continue"/>
            <w:tcBorders>
              <w:tl2br w:val="nil"/>
              <w:tr2bl w:val="nil"/>
            </w:tcBorders>
            <w:noWrap w:val="0"/>
            <w:vAlign w:val="center"/>
          </w:tcPr>
          <w:p w14:paraId="062EC6CE">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p>
        </w:tc>
        <w:tc>
          <w:tcPr>
            <w:tcW w:w="2212" w:type="pct"/>
            <w:tcBorders>
              <w:tl2br w:val="nil"/>
              <w:tr2bl w:val="nil"/>
            </w:tcBorders>
            <w:noWrap w:val="0"/>
            <w:vAlign w:val="center"/>
          </w:tcPr>
          <w:p w14:paraId="01C28ABC">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1套</w:t>
            </w:r>
            <w:r>
              <w:rPr>
                <w:rFonts w:hint="default" w:ascii="Times New Roman" w:hAnsi="Times New Roman" w:eastAsia="宋体" w:cs="Times New Roman"/>
                <w:color w:val="auto"/>
                <w:sz w:val="21"/>
                <w:szCs w:val="21"/>
                <w:highlight w:val="none"/>
              </w:rPr>
              <w:t>烟气在线连续监测装置</w:t>
            </w:r>
          </w:p>
        </w:tc>
        <w:tc>
          <w:tcPr>
            <w:tcW w:w="180" w:type="pct"/>
            <w:tcBorders>
              <w:tl2br w:val="nil"/>
              <w:tr2bl w:val="nil"/>
            </w:tcBorders>
            <w:noWrap w:val="0"/>
            <w:vAlign w:val="center"/>
          </w:tcPr>
          <w:p w14:paraId="1F6FDCCC">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731" w:type="pct"/>
            <w:tcBorders>
              <w:tl2br w:val="nil"/>
              <w:tr2bl w:val="nil"/>
            </w:tcBorders>
            <w:noWrap w:val="0"/>
            <w:vAlign w:val="center"/>
          </w:tcPr>
          <w:p w14:paraId="5F387C8C">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实现实时监控，与</w:t>
            </w:r>
            <w:r>
              <w:rPr>
                <w:rFonts w:hint="default" w:ascii="Times New Roman" w:hAnsi="Times New Roman" w:eastAsia="宋体" w:cs="Times New Roman"/>
                <w:color w:val="auto"/>
                <w:sz w:val="21"/>
                <w:szCs w:val="21"/>
                <w:highlight w:val="none"/>
                <w:lang w:val="en-US" w:eastAsia="zh-CN"/>
              </w:rPr>
              <w:t>当地</w:t>
            </w:r>
            <w:r>
              <w:rPr>
                <w:rFonts w:hint="default" w:ascii="Times New Roman" w:hAnsi="Times New Roman" w:eastAsia="宋体" w:cs="Times New Roman"/>
                <w:color w:val="auto"/>
                <w:sz w:val="21"/>
                <w:szCs w:val="21"/>
                <w:highlight w:val="none"/>
                <w:lang w:eastAsia="zh-CN"/>
              </w:rPr>
              <w:t>生态环境局</w:t>
            </w:r>
            <w:r>
              <w:rPr>
                <w:rFonts w:hint="default" w:ascii="Times New Roman" w:hAnsi="Times New Roman" w:eastAsia="宋体" w:cs="Times New Roman"/>
                <w:color w:val="auto"/>
                <w:sz w:val="21"/>
                <w:szCs w:val="21"/>
                <w:highlight w:val="none"/>
              </w:rPr>
              <w:t>联网。</w:t>
            </w:r>
          </w:p>
        </w:tc>
      </w:tr>
      <w:tr w14:paraId="0FE37943">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296" w:type="pct"/>
            <w:vMerge w:val="continue"/>
            <w:tcBorders>
              <w:tl2br w:val="nil"/>
              <w:tr2bl w:val="nil"/>
            </w:tcBorders>
            <w:noWrap w:val="0"/>
            <w:vAlign w:val="center"/>
          </w:tcPr>
          <w:p w14:paraId="67545C53">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p>
        </w:tc>
        <w:tc>
          <w:tcPr>
            <w:tcW w:w="580" w:type="pct"/>
            <w:vMerge w:val="continue"/>
            <w:tcBorders>
              <w:tl2br w:val="nil"/>
              <w:tr2bl w:val="nil"/>
            </w:tcBorders>
            <w:noWrap w:val="0"/>
            <w:vAlign w:val="center"/>
          </w:tcPr>
          <w:p w14:paraId="441693F3">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p>
        </w:tc>
        <w:tc>
          <w:tcPr>
            <w:tcW w:w="2212" w:type="pct"/>
            <w:tcBorders>
              <w:tl2br w:val="nil"/>
              <w:tr2bl w:val="nil"/>
            </w:tcBorders>
            <w:noWrap w:val="0"/>
            <w:vAlign w:val="center"/>
          </w:tcPr>
          <w:p w14:paraId="64CDEBE5">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70</w:t>
            </w:r>
            <w:r>
              <w:rPr>
                <w:rFonts w:hint="default" w:ascii="Times New Roman" w:hAnsi="Times New Roman" w:eastAsia="宋体" w:cs="Times New Roman"/>
                <w:color w:val="auto"/>
                <w:sz w:val="21"/>
                <w:szCs w:val="21"/>
                <w:highlight w:val="none"/>
                <w:lang w:val="en-US" w:eastAsia="zh-CN"/>
              </w:rPr>
              <w:t>m高烟囱</w:t>
            </w:r>
          </w:p>
        </w:tc>
        <w:tc>
          <w:tcPr>
            <w:tcW w:w="180" w:type="pct"/>
            <w:tcBorders>
              <w:tl2br w:val="nil"/>
              <w:tr2bl w:val="nil"/>
            </w:tcBorders>
            <w:noWrap w:val="0"/>
            <w:vAlign w:val="center"/>
          </w:tcPr>
          <w:p w14:paraId="727D234B">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731" w:type="pct"/>
            <w:tcBorders>
              <w:tl2br w:val="nil"/>
              <w:tr2bl w:val="nil"/>
            </w:tcBorders>
            <w:noWrap w:val="0"/>
            <w:vAlign w:val="center"/>
          </w:tcPr>
          <w:p w14:paraId="3BA9297C">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70</w:t>
            </w:r>
            <w:r>
              <w:rPr>
                <w:rFonts w:hint="default" w:ascii="Times New Roman" w:hAnsi="Times New Roman" w:eastAsia="宋体" w:cs="Times New Roman"/>
                <w:color w:val="auto"/>
                <w:sz w:val="21"/>
                <w:szCs w:val="21"/>
                <w:highlight w:val="none"/>
                <w:lang w:val="en-US" w:eastAsia="zh-CN"/>
              </w:rPr>
              <w:t>m高烟囱</w:t>
            </w:r>
          </w:p>
        </w:tc>
      </w:tr>
      <w:tr w14:paraId="7A1CC3D4">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745" w:hRule="atLeast"/>
          <w:jc w:val="center"/>
        </w:trPr>
        <w:tc>
          <w:tcPr>
            <w:tcW w:w="296" w:type="pct"/>
            <w:vMerge w:val="continue"/>
            <w:tcBorders>
              <w:tl2br w:val="nil"/>
              <w:tr2bl w:val="nil"/>
            </w:tcBorders>
            <w:noWrap w:val="0"/>
            <w:vAlign w:val="center"/>
          </w:tcPr>
          <w:p w14:paraId="4F4C4CEE">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p>
        </w:tc>
        <w:tc>
          <w:tcPr>
            <w:tcW w:w="580" w:type="pct"/>
            <w:tcBorders>
              <w:tl2br w:val="nil"/>
              <w:tr2bl w:val="nil"/>
            </w:tcBorders>
            <w:noWrap w:val="0"/>
            <w:vAlign w:val="center"/>
          </w:tcPr>
          <w:p w14:paraId="0E761020">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val="en-US"/>
              </w:rPr>
            </w:pPr>
            <w:r>
              <w:rPr>
                <w:rFonts w:hint="eastAsia" w:ascii="Times New Roman" w:hAnsi="Times New Roman" w:eastAsia="宋体" w:cs="Times New Roman"/>
                <w:bCs/>
                <w:color w:val="auto"/>
                <w:sz w:val="21"/>
                <w:szCs w:val="21"/>
                <w:highlight w:val="none"/>
                <w:lang w:val="en-US" w:eastAsia="zh-CN"/>
              </w:rPr>
              <w:t>储煤场</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bCs/>
                <w:color w:val="auto"/>
                <w:sz w:val="21"/>
                <w:szCs w:val="21"/>
                <w:highlight w:val="none"/>
              </w:rPr>
              <w:t>输煤栈桥、</w:t>
            </w:r>
            <w:r>
              <w:rPr>
                <w:rFonts w:hint="default" w:ascii="Times New Roman" w:hAnsi="Times New Roman" w:eastAsia="宋体" w:cs="Times New Roman"/>
                <w:color w:val="auto"/>
                <w:sz w:val="21"/>
                <w:szCs w:val="21"/>
                <w:highlight w:val="none"/>
              </w:rPr>
              <w:t>碎煤机室、</w:t>
            </w:r>
            <w:r>
              <w:rPr>
                <w:rFonts w:hint="default" w:ascii="Times New Roman" w:hAnsi="Times New Roman" w:eastAsia="宋体" w:cs="Times New Roman"/>
                <w:color w:val="auto"/>
                <w:sz w:val="21"/>
                <w:szCs w:val="21"/>
                <w:highlight w:val="none"/>
                <w:lang w:val="en-US" w:eastAsia="zh-CN"/>
              </w:rPr>
              <w:t>渣库</w:t>
            </w:r>
          </w:p>
        </w:tc>
        <w:tc>
          <w:tcPr>
            <w:tcW w:w="2212" w:type="pct"/>
            <w:tcBorders>
              <w:tl2br w:val="nil"/>
              <w:tr2bl w:val="nil"/>
            </w:tcBorders>
            <w:noWrap w:val="0"/>
            <w:vAlign w:val="center"/>
          </w:tcPr>
          <w:p w14:paraId="5B1893F1">
            <w:pPr>
              <w:keepNext w:val="0"/>
              <w:keepLines w:val="0"/>
              <w:pageBreakBefore w:val="0"/>
              <w:kinsoku/>
              <w:wordWrap/>
              <w:overflowPunct/>
              <w:topLinePunct w:val="0"/>
              <w:autoSpaceDE w:val="0"/>
              <w:bidi w:val="0"/>
              <w:adjustRightInd w:val="0"/>
              <w:snapToGrid w:val="0"/>
              <w:spacing w:line="240" w:lineRule="auto"/>
              <w:ind w:firstLine="0" w:firstLineChars="0"/>
              <w:jc w:val="center"/>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全封闭</w:t>
            </w:r>
            <w:r>
              <w:rPr>
                <w:rFonts w:hint="eastAsia" w:ascii="Times New Roman" w:hAnsi="Times New Roman" w:eastAsia="宋体" w:cs="Times New Roman"/>
                <w:color w:val="auto"/>
                <w:sz w:val="21"/>
                <w:szCs w:val="21"/>
                <w:highlight w:val="none"/>
                <w:lang w:val="en-US" w:eastAsia="zh-CN"/>
              </w:rPr>
              <w:t>储煤场</w:t>
            </w:r>
            <w:r>
              <w:rPr>
                <w:rFonts w:hint="default" w:ascii="Times New Roman" w:hAnsi="Times New Roman" w:eastAsia="宋体" w:cs="Times New Roman"/>
                <w:color w:val="auto"/>
                <w:sz w:val="21"/>
                <w:szCs w:val="21"/>
                <w:highlight w:val="none"/>
                <w:lang w:val="en-US" w:eastAsia="zh-CN"/>
              </w:rPr>
              <w:t>；输煤栈桥、渣库封闭结构；碎煤机室全封闭，处理后废气车间内无组织排放</w:t>
            </w:r>
          </w:p>
        </w:tc>
        <w:tc>
          <w:tcPr>
            <w:tcW w:w="180" w:type="pct"/>
            <w:tcBorders>
              <w:tl2br w:val="nil"/>
              <w:tr2bl w:val="nil"/>
            </w:tcBorders>
            <w:noWrap w:val="0"/>
            <w:vAlign w:val="center"/>
          </w:tcPr>
          <w:p w14:paraId="698080B9">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731" w:type="pct"/>
            <w:tcBorders>
              <w:tl2br w:val="nil"/>
              <w:tr2bl w:val="nil"/>
            </w:tcBorders>
            <w:noWrap w:val="0"/>
            <w:vAlign w:val="center"/>
          </w:tcPr>
          <w:p w14:paraId="4A9A5086">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《大气污染物综合排放标准》</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GB16297-1996</w:t>
            </w:r>
            <w:r>
              <w:rPr>
                <w:rFonts w:hint="eastAsia" w:ascii="Times New Roman" w:hAnsi="Times New Roman" w:eastAsia="宋体" w:cs="Times New Roman"/>
                <w:color w:val="auto"/>
                <w:sz w:val="21"/>
                <w:szCs w:val="21"/>
                <w:highlight w:val="none"/>
                <w:lang w:eastAsia="zh-CN"/>
              </w:rPr>
              <w:t>）</w:t>
            </w:r>
          </w:p>
          <w:p w14:paraId="30FAE904">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表2新污染源大气污染物排放标准</w:t>
            </w:r>
          </w:p>
        </w:tc>
      </w:tr>
      <w:tr w14:paraId="3D405B75">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54" w:hRule="atLeast"/>
          <w:jc w:val="center"/>
        </w:trPr>
        <w:tc>
          <w:tcPr>
            <w:tcW w:w="296" w:type="pct"/>
            <w:vMerge w:val="continue"/>
            <w:tcBorders>
              <w:tl2br w:val="nil"/>
              <w:tr2bl w:val="nil"/>
            </w:tcBorders>
            <w:noWrap w:val="0"/>
            <w:vAlign w:val="center"/>
          </w:tcPr>
          <w:p w14:paraId="1E31ABA0">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p>
        </w:tc>
        <w:tc>
          <w:tcPr>
            <w:tcW w:w="580" w:type="pct"/>
            <w:tcBorders>
              <w:tl2br w:val="nil"/>
              <w:tr2bl w:val="nil"/>
            </w:tcBorders>
            <w:noWrap w:val="0"/>
            <w:vAlign w:val="center"/>
          </w:tcPr>
          <w:p w14:paraId="4467767A">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eastAsia="zh-CN"/>
              </w:rPr>
              <w:t>灰库</w:t>
            </w:r>
            <w:r>
              <w:rPr>
                <w:rFonts w:hint="default"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eastAsia="zh-CN"/>
              </w:rPr>
              <w:t>生石灰粉仓</w:t>
            </w:r>
          </w:p>
        </w:tc>
        <w:tc>
          <w:tcPr>
            <w:tcW w:w="2212" w:type="pct"/>
            <w:tcBorders>
              <w:tl2br w:val="nil"/>
              <w:tr2bl w:val="nil"/>
            </w:tcBorders>
            <w:noWrap w:val="0"/>
            <w:vAlign w:val="center"/>
          </w:tcPr>
          <w:p w14:paraId="72B35D6B">
            <w:pPr>
              <w:keepNext w:val="0"/>
              <w:keepLines w:val="0"/>
              <w:pageBreakBefore w:val="0"/>
              <w:kinsoku/>
              <w:wordWrap/>
              <w:overflowPunct/>
              <w:topLinePunct w:val="0"/>
              <w:autoSpaceDE w:val="0"/>
              <w:bidi w:val="0"/>
              <w:adjustRightInd w:val="0"/>
              <w:snapToGrid w:val="0"/>
              <w:spacing w:line="240" w:lineRule="auto"/>
              <w:ind w:firstLine="0" w:firstLineChars="0"/>
              <w:jc w:val="center"/>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布袋除尘</w:t>
            </w:r>
          </w:p>
        </w:tc>
        <w:tc>
          <w:tcPr>
            <w:tcW w:w="180" w:type="pct"/>
            <w:tcBorders>
              <w:tl2br w:val="nil"/>
              <w:tr2bl w:val="nil"/>
            </w:tcBorders>
            <w:noWrap w:val="0"/>
            <w:vAlign w:val="center"/>
          </w:tcPr>
          <w:p w14:paraId="2C3F140F">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c>
          <w:tcPr>
            <w:tcW w:w="1731" w:type="pct"/>
            <w:tcBorders>
              <w:tl2br w:val="nil"/>
              <w:tr2bl w:val="nil"/>
            </w:tcBorders>
            <w:noWrap w:val="0"/>
            <w:vAlign w:val="center"/>
          </w:tcPr>
          <w:p w14:paraId="0304ED6E">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rPr>
              <w:t>《大气污染物综合排放标准》表2</w:t>
            </w:r>
            <w:r>
              <w:rPr>
                <w:rFonts w:hint="eastAsia" w:ascii="Times New Roman" w:hAnsi="Times New Roman" w:eastAsia="宋体" w:cs="Times New Roman"/>
                <w:color w:val="auto"/>
                <w:sz w:val="21"/>
                <w:szCs w:val="21"/>
                <w:highlight w:val="none"/>
                <w:lang w:eastAsia="zh-CN"/>
              </w:rPr>
              <w:t>标准</w:t>
            </w:r>
          </w:p>
        </w:tc>
      </w:tr>
      <w:tr w14:paraId="16E3F906">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54" w:hRule="atLeast"/>
          <w:jc w:val="center"/>
        </w:trPr>
        <w:tc>
          <w:tcPr>
            <w:tcW w:w="296" w:type="pct"/>
            <w:vMerge w:val="continue"/>
            <w:tcBorders>
              <w:tl2br w:val="nil"/>
              <w:tr2bl w:val="nil"/>
            </w:tcBorders>
            <w:noWrap w:val="0"/>
            <w:vAlign w:val="center"/>
          </w:tcPr>
          <w:p w14:paraId="34870D32">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p>
        </w:tc>
        <w:tc>
          <w:tcPr>
            <w:tcW w:w="580" w:type="pct"/>
            <w:tcBorders>
              <w:tl2br w:val="nil"/>
              <w:tr2bl w:val="nil"/>
            </w:tcBorders>
            <w:noWrap w:val="0"/>
            <w:vAlign w:val="center"/>
          </w:tcPr>
          <w:p w14:paraId="04BF1510">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氨</w:t>
            </w:r>
          </w:p>
        </w:tc>
        <w:tc>
          <w:tcPr>
            <w:tcW w:w="2212" w:type="pct"/>
            <w:tcBorders>
              <w:tl2br w:val="nil"/>
              <w:tr2bl w:val="nil"/>
            </w:tcBorders>
            <w:noWrap w:val="0"/>
            <w:vAlign w:val="center"/>
          </w:tcPr>
          <w:p w14:paraId="244C8073">
            <w:pPr>
              <w:keepNext w:val="0"/>
              <w:keepLines w:val="0"/>
              <w:pageBreakBefore w:val="0"/>
              <w:kinsoku/>
              <w:wordWrap/>
              <w:overflowPunct/>
              <w:topLinePunct w:val="0"/>
              <w:autoSpaceDE w:val="0"/>
              <w:bidi w:val="0"/>
              <w:adjustRightInd w:val="0"/>
              <w:snapToGrid w:val="0"/>
              <w:spacing w:line="240" w:lineRule="auto"/>
              <w:ind w:firstLine="0" w:firstLineChars="0"/>
              <w:jc w:val="center"/>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80" w:type="pct"/>
            <w:tcBorders>
              <w:tl2br w:val="nil"/>
              <w:tr2bl w:val="nil"/>
            </w:tcBorders>
            <w:noWrap w:val="0"/>
            <w:vAlign w:val="center"/>
          </w:tcPr>
          <w:p w14:paraId="57901637">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731" w:type="pct"/>
            <w:tcBorders>
              <w:tl2br w:val="nil"/>
              <w:tr2bl w:val="nil"/>
            </w:tcBorders>
            <w:noWrap w:val="0"/>
            <w:vAlign w:val="center"/>
          </w:tcPr>
          <w:p w14:paraId="0024352C">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氨厂界浓度满足《恶臭污染物排放标准》（GB14554-93）表1</w:t>
            </w:r>
            <w:r>
              <w:rPr>
                <w:rFonts w:hint="default" w:ascii="Times New Roman" w:hAnsi="Times New Roman" w:eastAsia="宋体" w:cs="Times New Roman"/>
                <w:color w:val="auto"/>
                <w:sz w:val="21"/>
                <w:szCs w:val="21"/>
                <w:highlight w:val="none"/>
                <w:lang w:val="en-US" w:eastAsia="zh-CN"/>
              </w:rPr>
              <w:t>恶臭污染物厂界标准值中</w:t>
            </w:r>
            <w:r>
              <w:rPr>
                <w:rFonts w:hint="default" w:ascii="Times New Roman" w:hAnsi="Times New Roman" w:eastAsia="宋体" w:cs="Times New Roman"/>
                <w:color w:val="auto"/>
                <w:sz w:val="21"/>
                <w:szCs w:val="21"/>
                <w:highlight w:val="none"/>
              </w:rPr>
              <w:t>二级标准要求</w:t>
            </w:r>
          </w:p>
        </w:tc>
      </w:tr>
      <w:tr w14:paraId="7CEBB04D">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296" w:type="pct"/>
            <w:vMerge w:val="restart"/>
            <w:tcBorders>
              <w:tl2br w:val="nil"/>
              <w:tr2bl w:val="nil"/>
            </w:tcBorders>
            <w:noWrap w:val="0"/>
            <w:vAlign w:val="center"/>
          </w:tcPr>
          <w:p w14:paraId="6579DBFC">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w:t>
            </w:r>
          </w:p>
        </w:tc>
        <w:tc>
          <w:tcPr>
            <w:tcW w:w="580" w:type="pct"/>
            <w:tcBorders>
              <w:tl2br w:val="nil"/>
              <w:tr2bl w:val="nil"/>
            </w:tcBorders>
            <w:noWrap w:val="0"/>
            <w:vAlign w:val="center"/>
          </w:tcPr>
          <w:p w14:paraId="09084DC6">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lang w:val="en-US" w:eastAsia="zh-CN"/>
              </w:rPr>
              <w:t>生活污水、生产</w:t>
            </w:r>
            <w:r>
              <w:rPr>
                <w:rFonts w:hint="default" w:ascii="Times New Roman" w:hAnsi="Times New Roman" w:eastAsia="宋体" w:cs="Times New Roman"/>
                <w:bCs/>
                <w:color w:val="auto"/>
                <w:sz w:val="21"/>
                <w:szCs w:val="21"/>
                <w:highlight w:val="none"/>
              </w:rPr>
              <w:t>废水</w:t>
            </w:r>
          </w:p>
        </w:tc>
        <w:tc>
          <w:tcPr>
            <w:tcW w:w="4123" w:type="pct"/>
            <w:gridSpan w:val="3"/>
            <w:tcBorders>
              <w:tl2br w:val="nil"/>
              <w:tr2bl w:val="nil"/>
            </w:tcBorders>
            <w:noWrap w:val="0"/>
            <w:vAlign w:val="center"/>
          </w:tcPr>
          <w:p w14:paraId="0456FB49">
            <w:pPr>
              <w:keepNext w:val="0"/>
              <w:keepLines w:val="0"/>
              <w:pageBreakBefore w:val="0"/>
              <w:kinsoku/>
              <w:wordWrap/>
              <w:overflowPunct/>
              <w:topLinePunct w:val="0"/>
              <w:autoSpaceDE w:val="0"/>
              <w:bidi w:val="0"/>
              <w:adjustRightInd w:val="0"/>
              <w:snapToGrid w:val="0"/>
              <w:spacing w:line="240" w:lineRule="auto"/>
              <w:ind w:firstLine="0" w:firstLineChars="0"/>
              <w:jc w:val="both"/>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本项目不新增员工，不新增生活污水。厂区现有生活污水污染物浓度满足</w:t>
            </w:r>
            <w:r>
              <w:rPr>
                <w:rFonts w:hint="eastAsia" w:ascii="Times New Roman" w:hAnsi="Times New Roman" w:eastAsia="宋体" w:cs="Times New Roman"/>
                <w:color w:val="auto"/>
                <w:sz w:val="21"/>
                <w:szCs w:val="21"/>
                <w:highlight w:val="none"/>
                <w:lang w:val="en-US" w:eastAsia="zh-CN"/>
              </w:rPr>
              <w:t>佳木斯西区污水处理厂</w:t>
            </w:r>
            <w:r>
              <w:rPr>
                <w:rFonts w:hint="default" w:ascii="Times New Roman" w:hAnsi="Times New Roman" w:eastAsia="宋体" w:cs="Times New Roman"/>
                <w:color w:val="auto"/>
                <w:sz w:val="21"/>
                <w:szCs w:val="21"/>
                <w:highlight w:val="none"/>
                <w:lang w:val="en-US" w:eastAsia="zh-CN"/>
              </w:rPr>
              <w:t>进水水质指标后，经市政污水管网，排入</w:t>
            </w:r>
            <w:r>
              <w:rPr>
                <w:rFonts w:hint="eastAsia" w:ascii="Times New Roman" w:hAnsi="Times New Roman" w:eastAsia="宋体" w:cs="Times New Roman"/>
                <w:color w:val="auto"/>
                <w:sz w:val="21"/>
                <w:szCs w:val="21"/>
                <w:highlight w:val="none"/>
                <w:lang w:val="en-US" w:eastAsia="zh-CN"/>
              </w:rPr>
              <w:t>佳木斯西区污水处理厂</w:t>
            </w:r>
            <w:r>
              <w:rPr>
                <w:rFonts w:hint="default" w:ascii="Times New Roman" w:hAnsi="Times New Roman" w:eastAsia="宋体" w:cs="Times New Roman"/>
                <w:color w:val="auto"/>
                <w:sz w:val="21"/>
                <w:szCs w:val="21"/>
                <w:highlight w:val="none"/>
                <w:lang w:val="en-US" w:eastAsia="zh-CN"/>
              </w:rPr>
              <w:t>，经处理后污水排放浓度达到《城镇污水处理厂污染物排放标准》（GB18918-2002）一级A标准后排入</w:t>
            </w:r>
            <w:r>
              <w:rPr>
                <w:rFonts w:hint="eastAsia" w:ascii="Times New Roman" w:hAnsi="Times New Roman" w:eastAsia="宋体" w:cs="Times New Roman"/>
                <w:color w:val="auto"/>
                <w:sz w:val="21"/>
                <w:szCs w:val="21"/>
                <w:highlight w:val="none"/>
                <w:lang w:val="en-US" w:eastAsia="zh-CN"/>
              </w:rPr>
              <w:t>松花江</w:t>
            </w:r>
            <w:r>
              <w:rPr>
                <w:rFonts w:hint="default" w:ascii="Times New Roman" w:hAnsi="Times New Roman" w:eastAsia="宋体" w:cs="Times New Roman"/>
                <w:color w:val="auto"/>
                <w:sz w:val="21"/>
                <w:szCs w:val="21"/>
                <w:highlight w:val="none"/>
                <w:lang w:val="en-US" w:eastAsia="zh-CN"/>
              </w:rPr>
              <w:t>。脱硫废水经曝气、沉淀后用于输煤系统除尘、除渣用水。含煤废水经厂区内现有污水处理间处理，处理工艺为过滤+沉淀+气浮，处理后的废水进入地下水池回用。软化水处理废水、处理后的脱硫废水、锅炉排污水用于脱硫、脱硝、输煤系统除尘水、</w:t>
            </w:r>
            <w:r>
              <w:rPr>
                <w:rFonts w:hint="eastAsia" w:ascii="Times New Roman" w:hAnsi="Times New Roman" w:eastAsia="宋体" w:cs="Times New Roman"/>
                <w:color w:val="auto"/>
                <w:sz w:val="21"/>
                <w:szCs w:val="21"/>
                <w:highlight w:val="none"/>
                <w:lang w:val="en-US" w:eastAsia="zh-CN"/>
              </w:rPr>
              <w:t>渣库降尘等工序</w:t>
            </w:r>
            <w:r>
              <w:rPr>
                <w:rFonts w:hint="default" w:ascii="Times New Roman" w:hAnsi="Times New Roman" w:eastAsia="宋体" w:cs="Times New Roman"/>
                <w:color w:val="auto"/>
                <w:sz w:val="21"/>
                <w:szCs w:val="21"/>
                <w:highlight w:val="none"/>
                <w:lang w:val="en-US" w:eastAsia="zh-CN"/>
              </w:rPr>
              <w:t>。</w:t>
            </w:r>
          </w:p>
        </w:tc>
      </w:tr>
      <w:tr w14:paraId="7EF2358E">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296" w:type="pct"/>
            <w:vMerge w:val="continue"/>
            <w:tcBorders>
              <w:tl2br w:val="nil"/>
              <w:tr2bl w:val="nil"/>
            </w:tcBorders>
            <w:noWrap w:val="0"/>
            <w:vAlign w:val="center"/>
          </w:tcPr>
          <w:p w14:paraId="1B84800D">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p>
        </w:tc>
        <w:tc>
          <w:tcPr>
            <w:tcW w:w="580" w:type="pct"/>
            <w:tcBorders>
              <w:tl2br w:val="nil"/>
              <w:tr2bl w:val="nil"/>
            </w:tcBorders>
            <w:noWrap w:val="0"/>
            <w:vAlign w:val="center"/>
          </w:tcPr>
          <w:p w14:paraId="1F18FB1A">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地下水防渗措施</w:t>
            </w:r>
          </w:p>
        </w:tc>
        <w:tc>
          <w:tcPr>
            <w:tcW w:w="4123" w:type="pct"/>
            <w:gridSpan w:val="3"/>
            <w:tcBorders>
              <w:tl2br w:val="nil"/>
              <w:tr2bl w:val="nil"/>
            </w:tcBorders>
            <w:noWrap w:val="0"/>
            <w:vAlign w:val="center"/>
          </w:tcPr>
          <w:p w14:paraId="299FEF60">
            <w:pPr>
              <w:pStyle w:val="88"/>
              <w:keepNext w:val="0"/>
              <w:keepLines w:val="0"/>
              <w:pageBreakBefore w:val="0"/>
              <w:kinsoku/>
              <w:wordWrap/>
              <w:overflowPunct/>
              <w:topLinePunct w:val="0"/>
              <w:autoSpaceDE w:val="0"/>
              <w:autoSpaceDN w:val="0"/>
              <w:bidi w:val="0"/>
              <w:adjustRightInd w:val="0"/>
              <w:spacing w:line="240" w:lineRule="auto"/>
              <w:ind w:firstLine="0" w:firstLineChars="0"/>
              <w:jc w:val="both"/>
              <w:textAlignment w:val="bottom"/>
              <w:outlineLvl w:val="9"/>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spacing w:val="0"/>
                <w:kern w:val="2"/>
                <w:sz w:val="21"/>
                <w:szCs w:val="21"/>
                <w:highlight w:val="none"/>
                <w:lang w:val="en-US" w:eastAsia="zh-CN"/>
              </w:rPr>
              <w:t>烟气治理设施底部、储煤场、污水处理间、化学水处理间、锅炉房、汽机间、升压站、冷却塔、初期雨水收集池为一般防渗，地面采用抗渗混凝土进行防渗；厂区道路、碎煤机室等其他区域为简单防渗区，采取水泥地面硬化的防渗措施</w:t>
            </w:r>
            <w:r>
              <w:rPr>
                <w:rFonts w:hint="eastAsia" w:ascii="Times New Roman" w:cs="Times New Roman"/>
                <w:color w:val="auto"/>
                <w:spacing w:val="0"/>
                <w:kern w:val="2"/>
                <w:sz w:val="21"/>
                <w:szCs w:val="21"/>
                <w:highlight w:val="none"/>
                <w:lang w:val="en-US" w:eastAsia="zh-CN"/>
              </w:rPr>
              <w:t>。</w:t>
            </w:r>
          </w:p>
        </w:tc>
      </w:tr>
      <w:tr w14:paraId="49011396">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296" w:type="pct"/>
            <w:tcBorders>
              <w:tl2br w:val="nil"/>
              <w:tr2bl w:val="nil"/>
            </w:tcBorders>
            <w:noWrap w:val="0"/>
            <w:vAlign w:val="center"/>
          </w:tcPr>
          <w:p w14:paraId="12F55F2C">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噪声</w:t>
            </w:r>
          </w:p>
        </w:tc>
        <w:tc>
          <w:tcPr>
            <w:tcW w:w="580" w:type="pct"/>
            <w:tcBorders>
              <w:tl2br w:val="nil"/>
              <w:tr2bl w:val="nil"/>
            </w:tcBorders>
            <w:noWrap w:val="0"/>
            <w:vAlign w:val="center"/>
          </w:tcPr>
          <w:p w14:paraId="258D14B6">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循环水</w:t>
            </w:r>
            <w:r>
              <w:rPr>
                <w:rFonts w:hint="default" w:ascii="Times New Roman" w:hAnsi="Times New Roman" w:eastAsia="宋体" w:cs="Times New Roman"/>
                <w:color w:val="auto"/>
                <w:sz w:val="21"/>
                <w:szCs w:val="21"/>
                <w:highlight w:val="none"/>
              </w:rPr>
              <w:t>泵</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风机等</w:t>
            </w:r>
          </w:p>
        </w:tc>
        <w:tc>
          <w:tcPr>
            <w:tcW w:w="2392" w:type="pct"/>
            <w:gridSpan w:val="2"/>
            <w:tcBorders>
              <w:tl2br w:val="nil"/>
              <w:tr2bl w:val="nil"/>
            </w:tcBorders>
            <w:noWrap w:val="0"/>
            <w:vAlign w:val="center"/>
          </w:tcPr>
          <w:p w14:paraId="3DABD47E">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隔振、隔声、消声措施</w:t>
            </w:r>
          </w:p>
        </w:tc>
        <w:tc>
          <w:tcPr>
            <w:tcW w:w="1731" w:type="pct"/>
            <w:tcBorders>
              <w:tl2br w:val="nil"/>
              <w:tr2bl w:val="nil"/>
            </w:tcBorders>
            <w:noWrap w:val="0"/>
            <w:vAlign w:val="center"/>
          </w:tcPr>
          <w:p w14:paraId="542ABFCA">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《工业企业厂界环境噪声排放标准》（GB12348-2008）</w:t>
            </w:r>
            <w:r>
              <w:rPr>
                <w:rFonts w:hint="eastAsia"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类标准</w:t>
            </w:r>
          </w:p>
        </w:tc>
      </w:tr>
      <w:tr w14:paraId="11D18C88">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296" w:type="pct"/>
            <w:vMerge w:val="restart"/>
            <w:tcBorders>
              <w:tl2br w:val="nil"/>
              <w:tr2bl w:val="nil"/>
            </w:tcBorders>
            <w:noWrap w:val="0"/>
            <w:vAlign w:val="center"/>
          </w:tcPr>
          <w:p w14:paraId="7F8CF750">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固体废物</w:t>
            </w:r>
          </w:p>
        </w:tc>
        <w:tc>
          <w:tcPr>
            <w:tcW w:w="580" w:type="pct"/>
            <w:tcBorders>
              <w:tl2br w:val="nil"/>
              <w:tr2bl w:val="nil"/>
            </w:tcBorders>
            <w:noWrap w:val="0"/>
            <w:vAlign w:val="center"/>
          </w:tcPr>
          <w:p w14:paraId="4B39B972">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生活</w:t>
            </w:r>
            <w:r>
              <w:rPr>
                <w:rFonts w:hint="default" w:ascii="Times New Roman" w:hAnsi="Times New Roman" w:eastAsia="宋体" w:cs="Times New Roman"/>
                <w:color w:val="auto"/>
                <w:sz w:val="21"/>
                <w:szCs w:val="21"/>
                <w:highlight w:val="none"/>
                <w:lang w:val="en-US" w:eastAsia="zh-CN"/>
              </w:rPr>
              <w:t>区</w:t>
            </w:r>
          </w:p>
        </w:tc>
        <w:tc>
          <w:tcPr>
            <w:tcW w:w="2392" w:type="pct"/>
            <w:gridSpan w:val="2"/>
            <w:tcBorders>
              <w:tl2br w:val="nil"/>
              <w:tr2bl w:val="nil"/>
            </w:tcBorders>
            <w:noWrap w:val="0"/>
            <w:vAlign w:val="center"/>
          </w:tcPr>
          <w:p w14:paraId="74EFAEAE">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rPr>
              <w:t>不新增工作人员，不新增生活垃圾。</w:t>
            </w:r>
          </w:p>
        </w:tc>
        <w:tc>
          <w:tcPr>
            <w:tcW w:w="1731" w:type="pct"/>
            <w:vMerge w:val="restart"/>
            <w:tcBorders>
              <w:tl2br w:val="nil"/>
              <w:tr2bl w:val="nil"/>
            </w:tcBorders>
            <w:noWrap w:val="0"/>
            <w:vAlign w:val="center"/>
          </w:tcPr>
          <w:p w14:paraId="70402E29">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eastAsia="zh-CN"/>
              </w:rPr>
              <w:t>固体废物合理处置，处置率</w:t>
            </w:r>
            <w:r>
              <w:rPr>
                <w:rFonts w:hint="default" w:ascii="Times New Roman" w:hAnsi="Times New Roman" w:eastAsia="宋体" w:cs="Times New Roman"/>
                <w:color w:val="auto"/>
                <w:sz w:val="21"/>
                <w:szCs w:val="21"/>
                <w:highlight w:val="none"/>
                <w:lang w:val="en-US" w:eastAsia="zh-CN"/>
              </w:rPr>
              <w:t>100%</w:t>
            </w:r>
          </w:p>
        </w:tc>
      </w:tr>
      <w:tr w14:paraId="44CD1580">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296" w:type="pct"/>
            <w:vMerge w:val="continue"/>
            <w:tcBorders>
              <w:tl2br w:val="nil"/>
              <w:tr2bl w:val="nil"/>
            </w:tcBorders>
            <w:noWrap w:val="0"/>
            <w:vAlign w:val="center"/>
          </w:tcPr>
          <w:p w14:paraId="26FAA318">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p>
        </w:tc>
        <w:tc>
          <w:tcPr>
            <w:tcW w:w="580" w:type="pct"/>
            <w:tcBorders>
              <w:tl2br w:val="nil"/>
              <w:tr2bl w:val="nil"/>
            </w:tcBorders>
            <w:noWrap w:val="0"/>
            <w:vAlign w:val="center"/>
          </w:tcPr>
          <w:p w14:paraId="6FCFCC5A">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除灰渣系统</w:t>
            </w:r>
          </w:p>
        </w:tc>
        <w:tc>
          <w:tcPr>
            <w:tcW w:w="2392" w:type="pct"/>
            <w:gridSpan w:val="2"/>
            <w:tcBorders>
              <w:tl2br w:val="nil"/>
              <w:tr2bl w:val="nil"/>
            </w:tcBorders>
            <w:noWrap w:val="0"/>
            <w:vAlign w:val="center"/>
          </w:tcPr>
          <w:p w14:paraId="16318569">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飞灰</w:t>
            </w:r>
            <w:r>
              <w:rPr>
                <w:rFonts w:hint="eastAsia" w:ascii="Times New Roman" w:hAnsi="Times New Roman" w:eastAsia="宋体" w:cs="Times New Roman"/>
                <w:color w:val="auto"/>
                <w:sz w:val="21"/>
                <w:szCs w:val="21"/>
                <w:highlight w:val="none"/>
                <w:lang w:val="en-US" w:eastAsia="zh-CN"/>
              </w:rPr>
              <w:t>、炉渣</w:t>
            </w:r>
            <w:r>
              <w:rPr>
                <w:rFonts w:hint="default" w:ascii="Times New Roman" w:hAnsi="Times New Roman" w:eastAsia="宋体" w:cs="Times New Roman"/>
                <w:color w:val="auto"/>
                <w:sz w:val="21"/>
                <w:szCs w:val="21"/>
                <w:highlight w:val="none"/>
                <w:lang w:val="en-US" w:eastAsia="zh-CN"/>
              </w:rPr>
              <w:t>外售综合利用</w:t>
            </w:r>
          </w:p>
        </w:tc>
        <w:tc>
          <w:tcPr>
            <w:tcW w:w="1731" w:type="pct"/>
            <w:vMerge w:val="continue"/>
            <w:tcBorders>
              <w:tl2br w:val="nil"/>
              <w:tr2bl w:val="nil"/>
            </w:tcBorders>
            <w:noWrap w:val="0"/>
            <w:vAlign w:val="center"/>
          </w:tcPr>
          <w:p w14:paraId="77E49331">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p>
        </w:tc>
      </w:tr>
      <w:tr w14:paraId="153E3938">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296" w:type="pct"/>
            <w:vMerge w:val="continue"/>
            <w:tcBorders>
              <w:tl2br w:val="nil"/>
              <w:tr2bl w:val="nil"/>
            </w:tcBorders>
            <w:noWrap w:val="0"/>
            <w:vAlign w:val="center"/>
          </w:tcPr>
          <w:p w14:paraId="790277C8">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p>
        </w:tc>
        <w:tc>
          <w:tcPr>
            <w:tcW w:w="580" w:type="pct"/>
            <w:tcBorders>
              <w:tl2br w:val="nil"/>
              <w:tr2bl w:val="nil"/>
            </w:tcBorders>
            <w:noWrap w:val="0"/>
            <w:vAlign w:val="center"/>
          </w:tcPr>
          <w:p w14:paraId="4C904067">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除尘系统</w:t>
            </w:r>
          </w:p>
        </w:tc>
        <w:tc>
          <w:tcPr>
            <w:tcW w:w="2392" w:type="pct"/>
            <w:gridSpan w:val="2"/>
            <w:tcBorders>
              <w:tl2br w:val="nil"/>
              <w:tr2bl w:val="nil"/>
            </w:tcBorders>
            <w:noWrap w:val="0"/>
            <w:vAlign w:val="center"/>
          </w:tcPr>
          <w:p w14:paraId="77AF1038">
            <w:pPr>
              <w:keepNext w:val="0"/>
              <w:keepLines w:val="0"/>
              <w:pageBreakBefore w:val="0"/>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废布袋由厂家回收，不在厂区内堆存</w:t>
            </w:r>
            <w:r>
              <w:rPr>
                <w:rFonts w:hint="eastAsia" w:ascii="Times New Roman" w:hAnsi="Times New Roman" w:eastAsia="宋体" w:cs="Times New Roman"/>
                <w:color w:val="auto"/>
                <w:sz w:val="21"/>
                <w:szCs w:val="21"/>
                <w:highlight w:val="none"/>
                <w:lang w:val="en-US" w:eastAsia="zh-CN"/>
              </w:rPr>
              <w:t>；灰库除尘器收尘外售综合利用；生石灰粉仓除尘器收尘回用于脱硫工序；碎煤机除尘器收尘作为燃料入炉燃烧</w:t>
            </w:r>
            <w:r>
              <w:rPr>
                <w:rFonts w:hint="default" w:ascii="Times New Roman" w:hAnsi="Times New Roman" w:eastAsia="宋体" w:cs="Times New Roman"/>
                <w:color w:val="auto"/>
                <w:sz w:val="21"/>
                <w:szCs w:val="21"/>
                <w:highlight w:val="none"/>
                <w:lang w:val="en-US" w:eastAsia="zh-CN"/>
              </w:rPr>
              <w:t>。</w:t>
            </w:r>
          </w:p>
        </w:tc>
        <w:tc>
          <w:tcPr>
            <w:tcW w:w="1731" w:type="pct"/>
            <w:vMerge w:val="continue"/>
            <w:tcBorders>
              <w:tl2br w:val="nil"/>
              <w:tr2bl w:val="nil"/>
            </w:tcBorders>
            <w:noWrap w:val="0"/>
            <w:vAlign w:val="center"/>
          </w:tcPr>
          <w:p w14:paraId="2382C9CD">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p>
        </w:tc>
      </w:tr>
      <w:tr w14:paraId="545C6CE1">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296" w:type="pct"/>
            <w:vMerge w:val="continue"/>
            <w:tcBorders>
              <w:tl2br w:val="nil"/>
              <w:tr2bl w:val="nil"/>
            </w:tcBorders>
            <w:noWrap w:val="0"/>
            <w:vAlign w:val="center"/>
          </w:tcPr>
          <w:p w14:paraId="380C23D9">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p>
        </w:tc>
        <w:tc>
          <w:tcPr>
            <w:tcW w:w="580" w:type="pct"/>
            <w:tcBorders>
              <w:tl2br w:val="nil"/>
              <w:tr2bl w:val="nil"/>
            </w:tcBorders>
            <w:noWrap w:val="0"/>
            <w:vAlign w:val="center"/>
          </w:tcPr>
          <w:p w14:paraId="445E209A">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地下水池、初期雨水收集池</w:t>
            </w:r>
          </w:p>
        </w:tc>
        <w:tc>
          <w:tcPr>
            <w:tcW w:w="2392" w:type="pct"/>
            <w:gridSpan w:val="2"/>
            <w:tcBorders>
              <w:tl2br w:val="nil"/>
              <w:tr2bl w:val="nil"/>
            </w:tcBorders>
            <w:noWrap w:val="0"/>
            <w:vAlign w:val="center"/>
          </w:tcPr>
          <w:p w14:paraId="556B948C">
            <w:pPr>
              <w:keepNext w:val="0"/>
              <w:keepLines w:val="0"/>
              <w:pageBreakBefore w:val="0"/>
              <w:kinsoku/>
              <w:wordWrap/>
              <w:overflowPunct/>
              <w:topLinePunct w:val="0"/>
              <w:bidi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沉渣定期清掏作为燃料入炉燃烧</w:t>
            </w:r>
          </w:p>
        </w:tc>
        <w:tc>
          <w:tcPr>
            <w:tcW w:w="1731" w:type="pct"/>
            <w:vMerge w:val="continue"/>
            <w:tcBorders>
              <w:tl2br w:val="nil"/>
              <w:tr2bl w:val="nil"/>
            </w:tcBorders>
            <w:noWrap w:val="0"/>
            <w:vAlign w:val="center"/>
          </w:tcPr>
          <w:p w14:paraId="20405BBA">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p>
        </w:tc>
      </w:tr>
      <w:tr w14:paraId="21E71B0C">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296" w:type="pct"/>
            <w:vMerge w:val="continue"/>
            <w:tcBorders>
              <w:tl2br w:val="nil"/>
              <w:tr2bl w:val="nil"/>
            </w:tcBorders>
            <w:noWrap w:val="0"/>
            <w:vAlign w:val="center"/>
          </w:tcPr>
          <w:p w14:paraId="603C3E62">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p>
        </w:tc>
        <w:tc>
          <w:tcPr>
            <w:tcW w:w="580" w:type="pct"/>
            <w:tcBorders>
              <w:tl2br w:val="nil"/>
              <w:tr2bl w:val="nil"/>
            </w:tcBorders>
            <w:noWrap w:val="0"/>
            <w:vAlign w:val="center"/>
          </w:tcPr>
          <w:p w14:paraId="780378AD">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设备维修</w:t>
            </w:r>
          </w:p>
        </w:tc>
        <w:tc>
          <w:tcPr>
            <w:tcW w:w="2392" w:type="pct"/>
            <w:gridSpan w:val="2"/>
            <w:tcBorders>
              <w:tl2br w:val="nil"/>
              <w:tr2bl w:val="nil"/>
            </w:tcBorders>
            <w:noWrap w:val="0"/>
            <w:vAlign w:val="center"/>
          </w:tcPr>
          <w:p w14:paraId="010EF9B9">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废矿物油暂存于现有工程危废暂存间内，委托有资质单位处置</w:t>
            </w:r>
          </w:p>
        </w:tc>
        <w:tc>
          <w:tcPr>
            <w:tcW w:w="1731" w:type="pct"/>
            <w:vMerge w:val="continue"/>
            <w:tcBorders>
              <w:tl2br w:val="nil"/>
              <w:tr2bl w:val="nil"/>
            </w:tcBorders>
            <w:noWrap w:val="0"/>
            <w:vAlign w:val="center"/>
          </w:tcPr>
          <w:p w14:paraId="757F5EFF">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lang w:val="en-US" w:eastAsia="zh-CN"/>
              </w:rPr>
            </w:pPr>
          </w:p>
        </w:tc>
      </w:tr>
      <w:tr w14:paraId="34DCCA6F">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876" w:type="pct"/>
            <w:gridSpan w:val="2"/>
            <w:tcBorders>
              <w:tl2br w:val="nil"/>
              <w:tr2bl w:val="nil"/>
            </w:tcBorders>
            <w:noWrap w:val="0"/>
            <w:vAlign w:val="center"/>
          </w:tcPr>
          <w:p w14:paraId="5B05A027">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环境管理</w:t>
            </w:r>
          </w:p>
        </w:tc>
        <w:tc>
          <w:tcPr>
            <w:tcW w:w="4123" w:type="pct"/>
            <w:gridSpan w:val="3"/>
            <w:tcBorders>
              <w:tl2br w:val="nil"/>
              <w:tr2bl w:val="nil"/>
            </w:tcBorders>
            <w:noWrap w:val="0"/>
            <w:vAlign w:val="center"/>
          </w:tcPr>
          <w:p w14:paraId="18918373">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规范化排放口标志，</w:t>
            </w:r>
            <w:r>
              <w:rPr>
                <w:rFonts w:hint="default" w:ascii="Times New Roman" w:hAnsi="Times New Roman" w:eastAsia="宋体" w:cs="Times New Roman"/>
                <w:color w:val="auto"/>
                <w:sz w:val="21"/>
                <w:szCs w:val="21"/>
                <w:highlight w:val="none"/>
              </w:rPr>
              <w:t>满足《环境保护图形标志—排放口（源）》</w:t>
            </w:r>
          </w:p>
        </w:tc>
      </w:tr>
      <w:tr w14:paraId="7EE4E260">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876" w:type="pct"/>
            <w:gridSpan w:val="2"/>
            <w:tcBorders>
              <w:tl2br w:val="nil"/>
              <w:tr2bl w:val="nil"/>
            </w:tcBorders>
            <w:noWrap w:val="0"/>
            <w:vAlign w:val="center"/>
          </w:tcPr>
          <w:p w14:paraId="74139AA3">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环境风险</w:t>
            </w:r>
          </w:p>
        </w:tc>
        <w:tc>
          <w:tcPr>
            <w:tcW w:w="4123" w:type="pct"/>
            <w:gridSpan w:val="3"/>
            <w:tcBorders>
              <w:tl2br w:val="nil"/>
              <w:tr2bl w:val="nil"/>
            </w:tcBorders>
            <w:noWrap w:val="0"/>
            <w:vAlign w:val="center"/>
          </w:tcPr>
          <w:p w14:paraId="31AF010D">
            <w:pPr>
              <w:keepNext w:val="0"/>
              <w:keepLines w:val="0"/>
              <w:pageBreakBefore w:val="0"/>
              <w:kinsoku/>
              <w:wordWrap/>
              <w:overflowPunct/>
              <w:topLinePunct w:val="0"/>
              <w:bidi w:val="0"/>
              <w:adjustRightInd w:val="0"/>
              <w:snapToGrid w:val="0"/>
              <w:spacing w:line="240" w:lineRule="auto"/>
              <w:ind w:firstLine="0" w:firstLineChars="0"/>
              <w:jc w:val="center"/>
              <w:textAlignment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风险防范措施是否按照报告书中的内容落实，是否有完善的风险应急预案。</w:t>
            </w:r>
          </w:p>
        </w:tc>
      </w:tr>
    </w:tbl>
    <w:p w14:paraId="11156DAF">
      <w:pPr>
        <w:pStyle w:val="4"/>
        <w:spacing w:before="120" w:beforeLines="50" w:after="120" w:afterLines="50" w:line="240" w:lineRule="auto"/>
        <w:jc w:val="left"/>
        <w:rPr>
          <w:rFonts w:hint="default" w:ascii="Times New Roman" w:hAnsi="Times New Roman" w:eastAsia="宋体" w:cs="Times New Roman"/>
          <w:b w:val="0"/>
          <w:color w:val="auto"/>
          <w:sz w:val="30"/>
          <w:szCs w:val="30"/>
          <w:highlight w:val="none"/>
          <w:lang w:val="en-US" w:eastAsia="zh-CN"/>
        </w:rPr>
        <w:sectPr>
          <w:pgSz w:w="16838" w:h="11906" w:orient="landscape"/>
          <w:pgMar w:top="1417" w:right="1417" w:bottom="1417" w:left="1417" w:header="1191" w:footer="1191" w:gutter="0"/>
          <w:pgBorders>
            <w:top w:val="none" w:sz="0" w:space="0"/>
            <w:left w:val="none" w:sz="0" w:space="0"/>
            <w:bottom w:val="none" w:sz="0" w:space="0"/>
            <w:right w:val="none" w:sz="0" w:space="0"/>
          </w:pgBorders>
          <w:pgNumType w:fmt="decimal"/>
          <w:cols w:space="0" w:num="1"/>
          <w:rtlGutter w:val="0"/>
          <w:docGrid w:linePitch="286" w:charSpace="0"/>
        </w:sectPr>
      </w:pPr>
      <w:bookmarkStart w:id="581" w:name="_Toc8393"/>
    </w:p>
    <w:p w14:paraId="597D0BF4">
      <w:pPr>
        <w:pStyle w:val="4"/>
        <w:bidi w:val="0"/>
        <w:rPr>
          <w:rFonts w:hint="default" w:ascii="Times New Roman" w:hAnsi="Times New Roman" w:eastAsia="宋体" w:cs="Times New Roman"/>
          <w:b/>
          <w:bCs/>
          <w:color w:val="auto"/>
          <w:highlight w:val="none"/>
        </w:rPr>
      </w:pPr>
      <w:bookmarkStart w:id="582" w:name="_Toc9337"/>
      <w:bookmarkStart w:id="583" w:name="_Toc26531"/>
      <w:r>
        <w:rPr>
          <w:rFonts w:hint="default" w:ascii="Times New Roman" w:hAnsi="Times New Roman" w:eastAsia="宋体" w:cs="Times New Roman"/>
          <w:b/>
          <w:bCs/>
          <w:color w:val="auto"/>
          <w:highlight w:val="none"/>
          <w:lang w:val="en-US" w:eastAsia="zh-CN"/>
        </w:rPr>
        <w:t>9.4</w:t>
      </w:r>
      <w:r>
        <w:rPr>
          <w:rFonts w:hint="default" w:ascii="Times New Roman" w:hAnsi="Times New Roman" w:eastAsia="宋体" w:cs="Times New Roman"/>
          <w:b/>
          <w:bCs/>
          <w:color w:val="auto"/>
          <w:highlight w:val="none"/>
        </w:rPr>
        <w:t xml:space="preserve"> 污染物排放总量控制分析</w:t>
      </w:r>
      <w:bookmarkEnd w:id="581"/>
      <w:bookmarkEnd w:id="582"/>
      <w:bookmarkEnd w:id="583"/>
    </w:p>
    <w:p w14:paraId="577D93A9">
      <w:pPr>
        <w:pStyle w:val="6"/>
        <w:bidi w:val="0"/>
        <w:rPr>
          <w:rFonts w:hint="default" w:ascii="Times New Roman" w:hAnsi="Times New Roman" w:eastAsia="宋体" w:cs="Times New Roman"/>
          <w:color w:val="auto"/>
          <w:highlight w:val="none"/>
        </w:rPr>
      </w:pPr>
      <w:bookmarkStart w:id="584" w:name="_Toc8295"/>
      <w:bookmarkStart w:id="585" w:name="_Toc2831"/>
      <w:bookmarkStart w:id="586" w:name="_Toc10599"/>
      <w:r>
        <w:rPr>
          <w:rFonts w:hint="default" w:ascii="Times New Roman" w:hAnsi="Times New Roman" w:eastAsia="宋体" w:cs="Times New Roman"/>
          <w:color w:val="auto"/>
          <w:highlight w:val="none"/>
          <w:lang w:val="en-US" w:eastAsia="zh-CN"/>
        </w:rPr>
        <w:t>9.4.1</w:t>
      </w:r>
      <w:r>
        <w:rPr>
          <w:rFonts w:hint="default" w:ascii="Times New Roman" w:hAnsi="Times New Roman" w:eastAsia="宋体" w:cs="Times New Roman"/>
          <w:color w:val="auto"/>
          <w:highlight w:val="none"/>
        </w:rPr>
        <w:t>总量控制原则</w:t>
      </w:r>
      <w:bookmarkEnd w:id="584"/>
      <w:bookmarkEnd w:id="585"/>
      <w:bookmarkEnd w:id="586"/>
    </w:p>
    <w:p w14:paraId="1A898EC1">
      <w:pPr>
        <w:pStyle w:val="69"/>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本项目总量控制应以</w:t>
      </w:r>
      <w:r>
        <w:rPr>
          <w:rFonts w:hint="eastAsia" w:ascii="Times New Roman" w:hAnsi="Times New Roman" w:cs="Times New Roman"/>
          <w:color w:val="auto"/>
          <w:sz w:val="24"/>
          <w:szCs w:val="24"/>
          <w:highlight w:val="none"/>
          <w:lang w:val="en-US" w:eastAsia="zh-CN"/>
        </w:rPr>
        <w:t>佳木斯</w:t>
      </w:r>
      <w:r>
        <w:rPr>
          <w:rFonts w:hint="default" w:ascii="Times New Roman" w:hAnsi="Times New Roman" w:eastAsia="宋体" w:cs="Times New Roman"/>
          <w:color w:val="auto"/>
          <w:sz w:val="24"/>
          <w:szCs w:val="24"/>
          <w:highlight w:val="none"/>
        </w:rPr>
        <w:t>市总量控制规划为目标，将本项目投产前后排放的污染物总量变化情况纳入其所在的区域中，实现区域污染物排放总量控制。</w:t>
      </w:r>
    </w:p>
    <w:p w14:paraId="1B14EA76">
      <w:pPr>
        <w:pStyle w:val="6"/>
        <w:bidi w:val="0"/>
        <w:rPr>
          <w:rFonts w:hint="default" w:ascii="Times New Roman" w:hAnsi="Times New Roman" w:eastAsia="宋体" w:cs="Times New Roman"/>
          <w:color w:val="auto"/>
          <w:highlight w:val="none"/>
          <w:lang w:val="en-US" w:eastAsia="zh-CN"/>
        </w:rPr>
      </w:pPr>
      <w:bookmarkStart w:id="587" w:name="_Toc4804"/>
      <w:bookmarkStart w:id="588" w:name="_Toc17097"/>
      <w:bookmarkStart w:id="589" w:name="_Toc25401"/>
      <w:r>
        <w:rPr>
          <w:rFonts w:hint="default" w:ascii="Times New Roman" w:hAnsi="Times New Roman" w:eastAsia="宋体" w:cs="Times New Roman"/>
          <w:color w:val="auto"/>
          <w:highlight w:val="none"/>
          <w:lang w:val="en-US" w:eastAsia="zh-CN"/>
        </w:rPr>
        <w:t>9.4.2总量控制因子</w:t>
      </w:r>
      <w:bookmarkEnd w:id="587"/>
      <w:bookmarkEnd w:id="588"/>
      <w:bookmarkEnd w:id="589"/>
    </w:p>
    <w:p w14:paraId="59BC12C0">
      <w:pPr>
        <w:pStyle w:val="69"/>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szCs w:val="24"/>
          <w:highlight w:val="none"/>
        </w:rPr>
        <w:t>根据本项目排污特征和总量要求，确定本项目污染物排放总量控制因子为：SO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、NOx、颗粒物、COD和氨氮</w:t>
      </w:r>
      <w:r>
        <w:rPr>
          <w:rFonts w:hint="default" w:ascii="Times New Roman" w:hAnsi="Times New Roman" w:eastAsia="宋体" w:cs="Times New Roman"/>
          <w:color w:val="auto"/>
          <w:highlight w:val="none"/>
        </w:rPr>
        <w:t>。</w:t>
      </w:r>
    </w:p>
    <w:p w14:paraId="3E47B342">
      <w:pPr>
        <w:pStyle w:val="6"/>
        <w:bidi w:val="0"/>
        <w:rPr>
          <w:rFonts w:hint="default" w:ascii="Times New Roman" w:hAnsi="Times New Roman" w:eastAsia="宋体" w:cs="Times New Roman"/>
          <w:color w:val="auto"/>
          <w:highlight w:val="none"/>
          <w:lang w:val="en-US" w:eastAsia="zh-CN"/>
        </w:rPr>
      </w:pPr>
      <w:bookmarkStart w:id="590" w:name="_Toc15904"/>
      <w:bookmarkStart w:id="591" w:name="_Toc32044"/>
      <w:bookmarkStart w:id="592" w:name="_Toc5778"/>
      <w:r>
        <w:rPr>
          <w:rFonts w:hint="default" w:ascii="Times New Roman" w:hAnsi="Times New Roman" w:eastAsia="宋体" w:cs="Times New Roman"/>
          <w:color w:val="auto"/>
          <w:highlight w:val="none"/>
          <w:lang w:val="en-US" w:eastAsia="zh-CN"/>
        </w:rPr>
        <w:t>9.4.3总量控制指标</w:t>
      </w:r>
      <w:bookmarkEnd w:id="590"/>
      <w:bookmarkEnd w:id="591"/>
      <w:bookmarkEnd w:id="592"/>
    </w:p>
    <w:p w14:paraId="09544AA5">
      <w:pPr>
        <w:pStyle w:val="69"/>
        <w:keepNext w:val="0"/>
        <w:keepLines w:val="0"/>
        <w:pageBreakBefore w:val="0"/>
        <w:widowControl w:val="0"/>
        <w:shd w:val="clear" w:color="auto" w:fill="auto"/>
        <w:kinsoku/>
        <w:wordWrap/>
        <w:overflowPunct/>
        <w:topLinePunct w:val="0"/>
        <w:autoSpaceDE/>
        <w:autoSpaceDN/>
        <w:bidi w:val="0"/>
        <w:adjustRightInd/>
        <w:snapToGrid/>
        <w:spacing w:line="480" w:lineRule="exact"/>
        <w:ind w:left="0" w:leftChars="0" w:firstLine="0" w:firstLineChars="0"/>
        <w:textAlignment w:val="auto"/>
        <w:rPr>
          <w:rFonts w:hint="default" w:ascii="Times New Roman" w:hAnsi="Times New Roman" w:eastAsia="宋体" w:cs="Times New Roman"/>
          <w:snapToGrid w:val="0"/>
          <w:color w:val="auto"/>
          <w:sz w:val="24"/>
          <w:szCs w:val="24"/>
          <w:highlight w:val="none"/>
          <w:lang w:val="en-US" w:eastAsia="zh-CN"/>
        </w:rPr>
      </w:pPr>
      <w:r>
        <w:rPr>
          <w:rFonts w:hint="default" w:ascii="Times New Roman" w:hAnsi="Times New Roman" w:eastAsia="宋体" w:cs="Times New Roman"/>
          <w:snapToGrid w:val="0"/>
          <w:color w:val="auto"/>
          <w:sz w:val="24"/>
          <w:szCs w:val="24"/>
          <w:highlight w:val="none"/>
          <w:lang w:val="en-US" w:eastAsia="zh-CN"/>
        </w:rPr>
        <w:t xml:space="preserve">9.4.3.1 </w:t>
      </w:r>
      <w:r>
        <w:rPr>
          <w:rFonts w:hint="default" w:ascii="Times New Roman" w:hAnsi="Times New Roman" w:eastAsia="宋体" w:cs="Times New Roman"/>
          <w:color w:val="auto"/>
          <w:sz w:val="24"/>
          <w:szCs w:val="24"/>
          <w:highlight w:val="none"/>
        </w:rPr>
        <w:t>颗粒物</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、NOx</w:t>
      </w:r>
      <w:r>
        <w:rPr>
          <w:rFonts w:hint="default" w:ascii="Times New Roman" w:hAnsi="Times New Roman" w:eastAsia="宋体" w:cs="Times New Roman"/>
          <w:color w:val="auto"/>
          <w:sz w:val="24"/>
          <w:szCs w:val="24"/>
          <w:highlight w:val="none"/>
          <w:lang w:val="en-US" w:eastAsia="zh-CN"/>
        </w:rPr>
        <w:t>总量控制指标</w:t>
      </w:r>
    </w:p>
    <w:p w14:paraId="064AE003">
      <w:pPr>
        <w:pStyle w:val="69"/>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b/>
          <w:bCs/>
          <w:snapToGrid w:val="0"/>
          <w:color w:val="auto"/>
          <w:sz w:val="24"/>
          <w:szCs w:val="24"/>
          <w:highlight w:val="none"/>
          <w:lang w:val="en-US" w:eastAsia="zh-CN"/>
        </w:rPr>
      </w:pPr>
      <w:r>
        <w:rPr>
          <w:rFonts w:hint="eastAsia" w:ascii="Times New Roman" w:hAnsi="Times New Roman" w:cs="Times New Roman"/>
          <w:b/>
          <w:bCs/>
          <w:snapToGrid w:val="0"/>
          <w:color w:val="auto"/>
          <w:sz w:val="24"/>
          <w:szCs w:val="24"/>
          <w:highlight w:val="none"/>
          <w:lang w:val="en-US" w:eastAsia="zh-CN"/>
        </w:rPr>
        <w:t>1.</w:t>
      </w:r>
      <w:r>
        <w:rPr>
          <w:rFonts w:hint="default" w:ascii="Times New Roman" w:hAnsi="Times New Roman" w:eastAsia="宋体" w:cs="Times New Roman"/>
          <w:b/>
          <w:bCs/>
          <w:snapToGrid w:val="0"/>
          <w:color w:val="auto"/>
          <w:sz w:val="24"/>
          <w:szCs w:val="24"/>
          <w:highlight w:val="none"/>
          <w:lang w:val="en-US" w:eastAsia="zh-CN"/>
        </w:rPr>
        <w:t>厂区现有工程总量控制指标</w:t>
      </w:r>
    </w:p>
    <w:p w14:paraId="2B83E46D">
      <w:pPr>
        <w:pStyle w:val="69"/>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snapToGrid w:val="0"/>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佳木斯中恒热电有限公司</w:t>
      </w:r>
      <w:r>
        <w:rPr>
          <w:rFonts w:hint="default" w:ascii="Times New Roman" w:hAnsi="Times New Roman" w:eastAsia="宋体" w:cs="Times New Roman"/>
          <w:color w:val="auto"/>
          <w:sz w:val="24"/>
          <w:szCs w:val="24"/>
          <w:highlight w:val="none"/>
          <w:lang w:val="en-US" w:eastAsia="zh-CN"/>
        </w:rPr>
        <w:t xml:space="preserve">排污许可证编号为 91231000746996078Y004R 有效期限：2024-12-17至2029-12-16。总量要求：有组织排放颗粒物 </w:t>
      </w:r>
      <w:r>
        <w:rPr>
          <w:rFonts w:hint="eastAsia" w:ascii="Times New Roman" w:hAnsi="Times New Roman" w:cs="Times New Roman"/>
          <w:color w:val="auto"/>
          <w:sz w:val="24"/>
          <w:szCs w:val="24"/>
          <w:highlight w:val="none"/>
          <w:lang w:val="en-US" w:eastAsia="zh-CN"/>
        </w:rPr>
        <w:t>92.08</w:t>
      </w:r>
      <w:r>
        <w:rPr>
          <w:rFonts w:hint="default" w:ascii="Times New Roman" w:hAnsi="Times New Roman" w:eastAsia="宋体" w:cs="Times New Roman"/>
          <w:color w:val="auto"/>
          <w:sz w:val="24"/>
          <w:szCs w:val="24"/>
          <w:highlight w:val="none"/>
          <w:lang w:val="en-US" w:eastAsia="zh-CN"/>
        </w:rPr>
        <w:t>t/a、二氧化硫318.69t/a、氮氧化物336.35t/a</w:t>
      </w:r>
      <w:r>
        <w:rPr>
          <w:rFonts w:hint="eastAsia" w:ascii="Times New Roman" w:hAnsi="Times New Roman" w:cs="Times New Roman"/>
          <w:color w:val="auto"/>
          <w:sz w:val="24"/>
          <w:szCs w:val="24"/>
          <w:highlight w:val="none"/>
          <w:lang w:val="en-US" w:eastAsia="zh-CN"/>
        </w:rPr>
        <w:t>，</w:t>
      </w:r>
      <w:r>
        <w:rPr>
          <w:rFonts w:hint="default" w:ascii="Times New Roman" w:hAnsi="Times New Roman" w:eastAsia="宋体" w:cs="Times New Roman"/>
          <w:snapToGrid w:val="0"/>
          <w:color w:val="auto"/>
          <w:sz w:val="24"/>
          <w:szCs w:val="24"/>
          <w:highlight w:val="none"/>
          <w:lang w:val="en-US" w:eastAsia="zh-CN"/>
        </w:rPr>
        <w:t>许可排放总量详见表9.4-1。</w:t>
      </w:r>
    </w:p>
    <w:p w14:paraId="39197A58">
      <w:pPr>
        <w:pStyle w:val="69"/>
        <w:keepNext w:val="0"/>
        <w:keepLines w:val="0"/>
        <w:pageBreakBefore w:val="0"/>
        <w:widowControl w:val="0"/>
        <w:shd w:val="clear" w:color="auto" w:fill="auto"/>
        <w:kinsoku/>
        <w:wordWrap/>
        <w:overflowPunct/>
        <w:topLinePunct w:val="0"/>
        <w:autoSpaceDE/>
        <w:autoSpaceDN/>
        <w:bidi w:val="0"/>
        <w:adjustRightInd/>
        <w:snapToGrid/>
        <w:spacing w:line="480" w:lineRule="exact"/>
        <w:ind w:left="0" w:leftChars="0" w:firstLine="0" w:firstLineChars="0"/>
        <w:jc w:val="center"/>
        <w:textAlignment w:val="auto"/>
        <w:rPr>
          <w:rFonts w:hint="default" w:ascii="Times New Roman" w:hAnsi="Times New Roman" w:eastAsia="宋体" w:cs="Times New Roman"/>
          <w:color w:val="auto"/>
          <w:spacing w:val="20"/>
          <w:sz w:val="24"/>
          <w:highlight w:val="none"/>
          <w:lang w:val="en-US" w:eastAsia="zh-CN"/>
        </w:rPr>
      </w:pPr>
      <w:r>
        <w:rPr>
          <w:rFonts w:hint="default" w:ascii="Times New Roman" w:hAnsi="Times New Roman" w:eastAsia="宋体" w:cs="Times New Roman"/>
          <w:color w:val="auto"/>
          <w:spacing w:val="20"/>
          <w:sz w:val="24"/>
          <w:highlight w:val="none"/>
          <w:lang w:val="en-US" w:eastAsia="zh-CN"/>
        </w:rPr>
        <w:t>表9.4-1  厂区现有工程许可排放总量一览表</w:t>
      </w:r>
    </w:p>
    <w:tbl>
      <w:tblPr>
        <w:tblStyle w:val="3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788"/>
        <w:gridCol w:w="4734"/>
      </w:tblGrid>
      <w:tr w14:paraId="468396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2" w:type="dxa"/>
            <w:tcBorders>
              <w:tl2br w:val="nil"/>
              <w:tr2bl w:val="nil"/>
            </w:tcBorders>
            <w:vAlign w:val="center"/>
          </w:tcPr>
          <w:p w14:paraId="24AD1A1F">
            <w:pPr>
              <w:pStyle w:val="69"/>
              <w:keepNext w:val="0"/>
              <w:keepLines w:val="0"/>
              <w:pageBreakBefore w:val="0"/>
              <w:widowControl w:val="0"/>
              <w:shd w:val="clear" w:color="auto" w:fill="auto"/>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napToGrid w:val="0"/>
                <w:color w:val="auto"/>
                <w:sz w:val="21"/>
                <w:szCs w:val="21"/>
                <w:highlight w:val="none"/>
                <w:lang w:val="en-US" w:eastAsia="zh-CN"/>
              </w:rPr>
            </w:pPr>
            <w:r>
              <w:rPr>
                <w:rFonts w:hint="default" w:ascii="Times New Roman" w:hAnsi="Times New Roman" w:eastAsia="宋体" w:cs="Times New Roman"/>
                <w:snapToGrid w:val="0"/>
                <w:color w:val="auto"/>
                <w:sz w:val="21"/>
                <w:szCs w:val="21"/>
                <w:highlight w:val="none"/>
                <w:lang w:val="en-US" w:eastAsia="zh-CN"/>
              </w:rPr>
              <w:t>总量指标（t/a）</w:t>
            </w:r>
          </w:p>
        </w:tc>
        <w:tc>
          <w:tcPr>
            <w:tcW w:w="2152" w:type="dxa"/>
            <w:tcBorders>
              <w:tl2br w:val="nil"/>
              <w:tr2bl w:val="nil"/>
            </w:tcBorders>
            <w:vAlign w:val="center"/>
          </w:tcPr>
          <w:p w14:paraId="71E9F57E">
            <w:pPr>
              <w:pStyle w:val="69"/>
              <w:keepNext w:val="0"/>
              <w:keepLines w:val="0"/>
              <w:pageBreakBefore w:val="0"/>
              <w:widowControl w:val="0"/>
              <w:shd w:val="clear" w:color="auto" w:fill="auto"/>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napToGrid w:val="0"/>
                <w:color w:val="auto"/>
                <w:sz w:val="21"/>
                <w:szCs w:val="21"/>
                <w:highlight w:val="none"/>
                <w:lang w:val="en-US" w:eastAsia="zh-CN"/>
              </w:rPr>
            </w:pPr>
            <w:r>
              <w:rPr>
                <w:rFonts w:hint="default" w:ascii="Times New Roman" w:hAnsi="Times New Roman" w:eastAsia="宋体" w:cs="Times New Roman"/>
                <w:snapToGrid w:val="0"/>
                <w:color w:val="auto"/>
                <w:sz w:val="21"/>
                <w:szCs w:val="21"/>
                <w:highlight w:val="none"/>
                <w:lang w:val="en-US" w:eastAsia="zh-CN"/>
              </w:rPr>
              <w:t>全厂总量指标</w:t>
            </w:r>
          </w:p>
        </w:tc>
      </w:tr>
      <w:tr w14:paraId="25E82A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722" w:type="dxa"/>
            <w:tcBorders>
              <w:tl2br w:val="nil"/>
              <w:tr2bl w:val="nil"/>
            </w:tcBorders>
            <w:vAlign w:val="center"/>
          </w:tcPr>
          <w:p w14:paraId="59DC3CE3">
            <w:pPr>
              <w:pStyle w:val="69"/>
              <w:keepNext w:val="0"/>
              <w:keepLines w:val="0"/>
              <w:pageBreakBefore w:val="0"/>
              <w:widowControl w:val="0"/>
              <w:shd w:val="clear" w:color="auto" w:fill="auto"/>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napToGrid w:val="0"/>
                <w:color w:val="auto"/>
                <w:sz w:val="21"/>
                <w:szCs w:val="21"/>
                <w:highlight w:val="none"/>
                <w:lang w:val="en-US" w:eastAsia="zh-CN"/>
              </w:rPr>
            </w:pPr>
            <w:r>
              <w:rPr>
                <w:rFonts w:hint="default" w:ascii="Times New Roman" w:hAnsi="Times New Roman" w:eastAsia="宋体" w:cs="Times New Roman"/>
                <w:snapToGrid w:val="0"/>
                <w:color w:val="auto"/>
                <w:sz w:val="21"/>
                <w:szCs w:val="21"/>
                <w:highlight w:val="none"/>
                <w:lang w:val="en-US" w:eastAsia="zh-CN"/>
              </w:rPr>
              <w:t>PM</w:t>
            </w:r>
            <w:r>
              <w:rPr>
                <w:rFonts w:hint="default" w:ascii="Times New Roman" w:hAnsi="Times New Roman" w:eastAsia="宋体" w:cs="Times New Roman"/>
                <w:snapToGrid w:val="0"/>
                <w:color w:val="auto"/>
                <w:sz w:val="21"/>
                <w:szCs w:val="21"/>
                <w:highlight w:val="none"/>
                <w:vertAlign w:val="subscript"/>
                <w:lang w:val="en-US" w:eastAsia="zh-CN"/>
              </w:rPr>
              <w:t>10</w:t>
            </w:r>
          </w:p>
        </w:tc>
        <w:tc>
          <w:tcPr>
            <w:tcW w:w="2152" w:type="dxa"/>
            <w:tcBorders>
              <w:tl2br w:val="nil"/>
              <w:tr2bl w:val="nil"/>
            </w:tcBorders>
            <w:vAlign w:val="center"/>
          </w:tcPr>
          <w:p w14:paraId="2A987F7F">
            <w:pPr>
              <w:pStyle w:val="69"/>
              <w:keepNext w:val="0"/>
              <w:keepLines w:val="0"/>
              <w:pageBreakBefore w:val="0"/>
              <w:widowControl w:val="0"/>
              <w:shd w:val="clear" w:color="auto" w:fill="auto"/>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92.08</w:t>
            </w:r>
          </w:p>
        </w:tc>
      </w:tr>
      <w:tr w14:paraId="460FAA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1722" w:type="dxa"/>
            <w:tcBorders>
              <w:tl2br w:val="nil"/>
              <w:tr2bl w:val="nil"/>
            </w:tcBorders>
            <w:vAlign w:val="center"/>
          </w:tcPr>
          <w:p w14:paraId="1A2FAA6E">
            <w:pPr>
              <w:pStyle w:val="69"/>
              <w:keepNext w:val="0"/>
              <w:keepLines w:val="0"/>
              <w:pageBreakBefore w:val="0"/>
              <w:widowControl w:val="0"/>
              <w:shd w:val="clear" w:color="auto" w:fill="auto"/>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napToGrid w:val="0"/>
                <w:color w:val="auto"/>
                <w:sz w:val="21"/>
                <w:szCs w:val="21"/>
                <w:highlight w:val="none"/>
                <w:lang w:val="en-US" w:eastAsia="zh-CN"/>
              </w:rPr>
            </w:pPr>
            <w:r>
              <w:rPr>
                <w:rFonts w:hint="default" w:ascii="Times New Roman" w:hAnsi="Times New Roman" w:eastAsia="宋体" w:cs="Times New Roman"/>
                <w:snapToGrid w:val="0"/>
                <w:color w:val="auto"/>
                <w:sz w:val="21"/>
                <w:szCs w:val="21"/>
                <w:highlight w:val="none"/>
                <w:lang w:val="en-US" w:eastAsia="zh-CN"/>
              </w:rPr>
              <w:t>SO</w:t>
            </w:r>
            <w:r>
              <w:rPr>
                <w:rFonts w:hint="default" w:ascii="Times New Roman" w:hAnsi="Times New Roman" w:eastAsia="宋体" w:cs="Times New Roman"/>
                <w:snapToGrid w:val="0"/>
                <w:color w:val="auto"/>
                <w:sz w:val="21"/>
                <w:szCs w:val="21"/>
                <w:highlight w:val="none"/>
                <w:vertAlign w:val="subscript"/>
                <w:lang w:val="en-US" w:eastAsia="zh-CN"/>
              </w:rPr>
              <w:t>2</w:t>
            </w:r>
          </w:p>
        </w:tc>
        <w:tc>
          <w:tcPr>
            <w:tcW w:w="2152" w:type="dxa"/>
            <w:tcBorders>
              <w:tl2br w:val="nil"/>
              <w:tr2bl w:val="nil"/>
            </w:tcBorders>
            <w:vAlign w:val="center"/>
          </w:tcPr>
          <w:p w14:paraId="7BB8DB88">
            <w:pPr>
              <w:pStyle w:val="69"/>
              <w:keepNext w:val="0"/>
              <w:keepLines w:val="0"/>
              <w:pageBreakBefore w:val="0"/>
              <w:widowControl w:val="0"/>
              <w:shd w:val="clear" w:color="auto" w:fill="auto"/>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318.69</w:t>
            </w:r>
          </w:p>
        </w:tc>
      </w:tr>
      <w:tr w14:paraId="5070C5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722" w:type="dxa"/>
            <w:tcBorders>
              <w:tl2br w:val="nil"/>
              <w:tr2bl w:val="nil"/>
            </w:tcBorders>
            <w:vAlign w:val="center"/>
          </w:tcPr>
          <w:p w14:paraId="0ACB9FDB">
            <w:pPr>
              <w:pStyle w:val="69"/>
              <w:keepNext w:val="0"/>
              <w:keepLines w:val="0"/>
              <w:pageBreakBefore w:val="0"/>
              <w:widowControl w:val="0"/>
              <w:shd w:val="clear" w:color="auto" w:fill="auto"/>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napToGrid w:val="0"/>
                <w:color w:val="auto"/>
                <w:sz w:val="21"/>
                <w:szCs w:val="21"/>
                <w:highlight w:val="none"/>
                <w:lang w:val="en-US" w:eastAsia="zh-CN"/>
              </w:rPr>
            </w:pPr>
            <w:r>
              <w:rPr>
                <w:rFonts w:hint="default" w:ascii="Times New Roman" w:hAnsi="Times New Roman" w:eastAsia="宋体" w:cs="Times New Roman"/>
                <w:snapToGrid w:val="0"/>
                <w:color w:val="auto"/>
                <w:sz w:val="21"/>
                <w:szCs w:val="21"/>
                <w:highlight w:val="none"/>
                <w:lang w:val="en-US" w:eastAsia="zh-CN"/>
              </w:rPr>
              <w:t>NOx</w:t>
            </w:r>
          </w:p>
        </w:tc>
        <w:tc>
          <w:tcPr>
            <w:tcW w:w="2152" w:type="dxa"/>
            <w:tcBorders>
              <w:tl2br w:val="nil"/>
              <w:tr2bl w:val="nil"/>
            </w:tcBorders>
            <w:vAlign w:val="center"/>
          </w:tcPr>
          <w:p w14:paraId="062AE5FA">
            <w:pPr>
              <w:pStyle w:val="69"/>
              <w:keepNext w:val="0"/>
              <w:keepLines w:val="0"/>
              <w:pageBreakBefore w:val="0"/>
              <w:widowControl w:val="0"/>
              <w:shd w:val="clear" w:color="auto" w:fill="auto"/>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336.35</w:t>
            </w:r>
          </w:p>
        </w:tc>
      </w:tr>
    </w:tbl>
    <w:p w14:paraId="54720F19">
      <w:pPr>
        <w:pStyle w:val="69"/>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b/>
          <w:bCs/>
          <w:snapToGrid w:val="0"/>
          <w:color w:val="auto"/>
          <w:sz w:val="24"/>
          <w:szCs w:val="24"/>
          <w:highlight w:val="none"/>
          <w:lang w:val="en-US" w:eastAsia="zh-CN"/>
        </w:rPr>
      </w:pPr>
      <w:r>
        <w:rPr>
          <w:rFonts w:hint="eastAsia" w:ascii="Times New Roman" w:hAnsi="Times New Roman" w:cs="Times New Roman"/>
          <w:b/>
          <w:bCs/>
          <w:snapToGrid w:val="0"/>
          <w:color w:val="auto"/>
          <w:sz w:val="24"/>
          <w:szCs w:val="24"/>
          <w:highlight w:val="none"/>
          <w:lang w:val="en-US" w:eastAsia="zh-CN"/>
        </w:rPr>
        <w:t>2.</w:t>
      </w:r>
      <w:r>
        <w:rPr>
          <w:rFonts w:hint="default" w:ascii="Times New Roman" w:hAnsi="Times New Roman" w:eastAsia="宋体" w:cs="Times New Roman"/>
          <w:b/>
          <w:bCs/>
          <w:snapToGrid w:val="0"/>
          <w:color w:val="auto"/>
          <w:sz w:val="24"/>
          <w:szCs w:val="24"/>
          <w:highlight w:val="none"/>
          <w:lang w:val="en-US" w:eastAsia="zh-CN"/>
        </w:rPr>
        <w:t>本项目污染物排放总量核定</w:t>
      </w:r>
    </w:p>
    <w:p w14:paraId="633AEFD3">
      <w:pPr>
        <w:ind w:firstLine="480" w:firstLineChars="200"/>
        <w:contextualSpacing/>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1）烟气量</w:t>
      </w:r>
    </w:p>
    <w:p w14:paraId="18F70D3D">
      <w:pPr>
        <w:ind w:firstLine="480" w:firstLineChars="200"/>
        <w:contextualSpacing/>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依据《污染源源强核算技术指南 锅炉》（HJ991-2018），基准烟气量核算方法采用理论公式计算法。单位固体/液体燃料燃烧所需的理论空气量</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基准烟气量按</w:t>
      </w:r>
      <w:r>
        <w:rPr>
          <w:rFonts w:hint="default" w:ascii="Times New Roman" w:hAnsi="Times New Roman" w:eastAsia="宋体" w:cs="Times New Roman"/>
          <w:color w:val="auto"/>
          <w:highlight w:val="none"/>
          <w:lang w:eastAsia="zh-CN"/>
        </w:rPr>
        <w:t>下</w:t>
      </w:r>
      <w:r>
        <w:rPr>
          <w:rFonts w:hint="default" w:ascii="Times New Roman" w:hAnsi="Times New Roman" w:eastAsia="宋体" w:cs="Times New Roman"/>
          <w:color w:val="auto"/>
          <w:highlight w:val="none"/>
        </w:rPr>
        <w:t>式计算。</w:t>
      </w:r>
    </w:p>
    <w:p w14:paraId="0966BF0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position w:val="-12"/>
          <w:highlight w:val="none"/>
          <w:lang w:eastAsia="zh-CN"/>
        </w:rPr>
        <w:object>
          <v:shape id="_x0000_i1058" o:spt="75" type="#_x0000_t75" style="height:18pt;width:247pt;" o:ole="t" filled="f" o:preferrelative="t" stroked="f" coordsize="21600,21600">
            <v:path/>
            <v:fill on="f" focussize="0,0"/>
            <v:stroke on="f"/>
            <v:imagedata r:id="rId39" o:title=""/>
            <o:lock v:ext="edit" aspectratio="t"/>
            <w10:wrap type="none"/>
            <w10:anchorlock/>
          </v:shape>
          <o:OLEObject Type="Embed" ProgID="Equation.KSEE3" ShapeID="_x0000_i1058" DrawAspect="Content" ObjectID="_1468075758" r:id="rId136">
            <o:LockedField>false</o:LockedField>
          </o:OLEObject>
        </w:object>
      </w:r>
    </w:p>
    <w:p w14:paraId="70379D9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highlight w:val="none"/>
          <w:lang w:bidi="zh-CN"/>
        </w:rPr>
      </w:pPr>
      <w:r>
        <w:rPr>
          <w:rFonts w:hint="default" w:ascii="Times New Roman" w:hAnsi="Times New Roman" w:eastAsia="宋体" w:cs="Times New Roman"/>
          <w:color w:val="auto"/>
          <w:position w:val="-24"/>
          <w:highlight w:val="none"/>
          <w:lang w:bidi="zh-CN"/>
        </w:rPr>
        <w:object>
          <v:shape id="_x0000_i1059" o:spt="75" type="#_x0000_t75" style="height:31pt;width:201pt;" o:ole="t" filled="f" o:preferrelative="t" stroked="f" coordsize="21600,21600">
            <v:path/>
            <v:fill on="f" focussize="0,0"/>
            <v:stroke on="f"/>
            <v:imagedata r:id="rId41" o:title=""/>
            <o:lock v:ext="edit" aspectratio="t"/>
            <w10:wrap type="none"/>
            <w10:anchorlock/>
          </v:shape>
          <o:OLEObject Type="Embed" ProgID="Equation.KSEE3" ShapeID="_x0000_i1059" DrawAspect="Content" ObjectID="_1468075759" r:id="rId137">
            <o:LockedField>false</o:LockedField>
          </o:OLEObject>
        </w:object>
      </w:r>
    </w:p>
    <w:p w14:paraId="065D26A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highlight w:val="none"/>
          <w:lang w:bidi="zh-CN"/>
        </w:rPr>
      </w:pPr>
      <w:r>
        <w:rPr>
          <w:rFonts w:hint="default" w:ascii="Times New Roman" w:hAnsi="Times New Roman" w:eastAsia="宋体" w:cs="Times New Roman"/>
          <w:color w:val="auto"/>
          <w:position w:val="-24"/>
          <w:highlight w:val="none"/>
          <w:lang w:bidi="zh-CN"/>
        </w:rPr>
        <w:object>
          <v:shape id="_x0000_i1060" o:spt="75" type="#_x0000_t75" style="height:31pt;width:117pt;" o:ole="t" filled="f" o:preferrelative="t" stroked="f" coordsize="21600,21600">
            <v:path/>
            <v:fill on="f" focussize="0,0"/>
            <v:stroke on="f"/>
            <v:imagedata r:id="rId43" o:title=""/>
            <o:lock v:ext="edit" aspectratio="t"/>
            <w10:wrap type="none"/>
            <w10:anchorlock/>
          </v:shape>
          <o:OLEObject Type="Embed" ProgID="Equation.KSEE3" ShapeID="_x0000_i1060" DrawAspect="Content" ObjectID="_1468075760" r:id="rId138">
            <o:LockedField>false</o:LockedField>
          </o:OLEObject>
        </w:object>
      </w:r>
    </w:p>
    <w:p w14:paraId="12ADF97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highlight w:val="none"/>
          <w:lang w:bidi="zh-CN"/>
        </w:rPr>
      </w:pPr>
      <w:r>
        <w:rPr>
          <w:rFonts w:hint="default" w:ascii="Times New Roman" w:hAnsi="Times New Roman" w:eastAsia="宋体" w:cs="Times New Roman"/>
          <w:color w:val="auto"/>
          <w:position w:val="-14"/>
          <w:highlight w:val="none"/>
          <w:lang w:bidi="zh-CN"/>
        </w:rPr>
        <w:object>
          <v:shape id="_x0000_i1061" o:spt="75" type="#_x0000_t75" style="height:19pt;width:124pt;" o:ole="t" filled="f" o:preferrelative="t" stroked="f" coordsize="21600,21600">
            <v:path/>
            <v:fill on="f" focussize="0,0"/>
            <v:stroke on="f"/>
            <v:imagedata r:id="rId45" o:title=""/>
            <o:lock v:ext="edit" aspectratio="t"/>
            <w10:wrap type="none"/>
            <w10:anchorlock/>
          </v:shape>
          <o:OLEObject Type="Embed" ProgID="Equation.KSEE3" ShapeID="_x0000_i1061" DrawAspect="Content" ObjectID="_1468075761" r:id="rId139">
            <o:LockedField>false</o:LockedField>
          </o:OLEObject>
        </w:object>
      </w:r>
    </w:p>
    <w:p w14:paraId="63315C7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highlight w:val="none"/>
          <w:lang w:bidi="zh-CN"/>
        </w:rPr>
      </w:pPr>
      <w:r>
        <w:rPr>
          <w:rFonts w:hint="default" w:ascii="Times New Roman" w:hAnsi="Times New Roman" w:eastAsia="宋体" w:cs="Times New Roman"/>
          <w:color w:val="auto"/>
          <w:position w:val="-14"/>
          <w:highlight w:val="none"/>
          <w:lang w:bidi="zh-CN"/>
        </w:rPr>
        <w:object>
          <v:shape id="_x0000_i1062" o:spt="75" type="#_x0000_t75" style="height:19pt;width:244pt;" o:ole="t" filled="f" o:preferrelative="t" stroked="f" coordsize="21600,21600">
            <v:path/>
            <v:fill on="f" focussize="0,0"/>
            <v:stroke on="f"/>
            <v:imagedata r:id="rId47" o:title=""/>
            <o:lock v:ext="edit" aspectratio="t"/>
            <w10:wrap type="none"/>
            <w10:anchorlock/>
          </v:shape>
          <o:OLEObject Type="Embed" ProgID="Equation.KSEE3" ShapeID="_x0000_i1062" DrawAspect="Content" ObjectID="_1468075762" r:id="rId140">
            <o:LockedField>false</o:LockedField>
          </o:OLEObject>
        </w:object>
      </w:r>
    </w:p>
    <w:p w14:paraId="6D9B618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color w:val="auto"/>
          <w:szCs w:val="24"/>
          <w:highlight w:val="none"/>
        </w:rPr>
      </w:pPr>
      <w:r>
        <w:rPr>
          <w:rFonts w:hint="default" w:ascii="Times New Roman" w:hAnsi="Times New Roman" w:eastAsia="宋体" w:cs="Times New Roman"/>
          <w:color w:val="auto"/>
          <w:position w:val="-14"/>
          <w:highlight w:val="none"/>
          <w:lang w:bidi="zh-CN"/>
        </w:rPr>
        <w:object>
          <v:shape id="_x0000_i1063" o:spt="75" type="#_x0000_t75" style="height:19pt;width:161pt;" o:ole="t" filled="f" o:preferrelative="t" stroked="f" coordsize="21600,21600">
            <v:path/>
            <v:fill on="f" focussize="0,0"/>
            <v:stroke on="f"/>
            <v:imagedata r:id="rId49" o:title=""/>
            <o:lock v:ext="edit" aspectratio="t"/>
            <w10:wrap type="none"/>
            <w10:anchorlock/>
          </v:shape>
          <o:OLEObject Type="Embed" ProgID="Equation.KSEE3" ShapeID="_x0000_i1063" DrawAspect="Content" ObjectID="_1468075763" r:id="rId141">
            <o:LockedField>false</o:LockedField>
          </o:OLEObject>
        </w:object>
      </w:r>
    </w:p>
    <w:p w14:paraId="26F6D74A">
      <w:pPr>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式中：V</w:t>
      </w:r>
      <w:r>
        <w:rPr>
          <w:rFonts w:hint="default" w:ascii="Times New Roman" w:hAnsi="Times New Roman" w:eastAsia="宋体" w:cs="Times New Roman"/>
          <w:color w:val="auto"/>
          <w:szCs w:val="24"/>
          <w:highlight w:val="none"/>
          <w:vertAlign w:val="subscript"/>
        </w:rPr>
        <w:t>0</w:t>
      </w:r>
      <w:r>
        <w:rPr>
          <w:rFonts w:hint="default" w:ascii="Times New Roman" w:hAnsi="Times New Roman" w:eastAsia="宋体" w:cs="Times New Roman"/>
          <w:color w:val="auto"/>
          <w:szCs w:val="24"/>
          <w:highlight w:val="none"/>
        </w:rPr>
        <w:t>—理论空气量，</w:t>
      </w:r>
      <w:r>
        <w:rPr>
          <w:rFonts w:hint="default" w:ascii="Times New Roman" w:hAnsi="Times New Roman" w:eastAsia="宋体" w:cs="Times New Roman"/>
          <w:color w:val="auto"/>
          <w:szCs w:val="24"/>
          <w:highlight w:val="none"/>
          <w:lang w:val="en-US" w:eastAsia="zh-CN"/>
        </w:rPr>
        <w:t>m</w:t>
      </w:r>
      <w:r>
        <w:rPr>
          <w:rFonts w:hint="default" w:ascii="Times New Roman" w:hAnsi="Times New Roman" w:eastAsia="宋体" w:cs="Times New Roman"/>
          <w:color w:val="auto"/>
          <w:szCs w:val="24"/>
          <w:highlight w:val="none"/>
          <w:vertAlign w:val="superscript"/>
          <w:lang w:val="en-US" w:eastAsia="zh-CN"/>
        </w:rPr>
        <w:t>3</w:t>
      </w:r>
      <w:r>
        <w:rPr>
          <w:rFonts w:hint="default" w:ascii="Times New Roman" w:hAnsi="Times New Roman" w:eastAsia="宋体" w:cs="Times New Roman"/>
          <w:color w:val="auto"/>
          <w:szCs w:val="24"/>
          <w:highlight w:val="none"/>
        </w:rPr>
        <w:t>/</w:t>
      </w:r>
      <w:r>
        <w:rPr>
          <w:rFonts w:hint="default" w:ascii="Times New Roman" w:hAnsi="Times New Roman" w:eastAsia="宋体" w:cs="Times New Roman"/>
          <w:color w:val="auto"/>
          <w:szCs w:val="24"/>
          <w:highlight w:val="none"/>
          <w:lang w:val="en-US" w:eastAsia="zh-CN"/>
        </w:rPr>
        <w:t>kg</w:t>
      </w:r>
      <w:r>
        <w:rPr>
          <w:rFonts w:hint="default" w:ascii="Times New Roman" w:hAnsi="Times New Roman" w:eastAsia="宋体" w:cs="Times New Roman"/>
          <w:color w:val="auto"/>
          <w:szCs w:val="24"/>
          <w:highlight w:val="none"/>
        </w:rPr>
        <w:t>；</w:t>
      </w:r>
    </w:p>
    <w:p w14:paraId="60A33765">
      <w:pPr>
        <w:ind w:firstLine="1200" w:firstLineChars="5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V</w:t>
      </w:r>
      <w:r>
        <w:rPr>
          <w:rFonts w:hint="default" w:ascii="Times New Roman" w:hAnsi="Times New Roman" w:eastAsia="宋体" w:cs="Times New Roman"/>
          <w:color w:val="auto"/>
          <w:szCs w:val="24"/>
          <w:highlight w:val="none"/>
          <w:vertAlign w:val="subscript"/>
        </w:rPr>
        <w:t>g</w:t>
      </w:r>
      <w:r>
        <w:rPr>
          <w:rFonts w:hint="default" w:ascii="Times New Roman" w:hAnsi="Times New Roman" w:eastAsia="宋体" w:cs="Times New Roman"/>
          <w:color w:val="auto"/>
          <w:szCs w:val="24"/>
          <w:highlight w:val="none"/>
        </w:rPr>
        <w:t>—</w:t>
      </w:r>
      <w:r>
        <w:rPr>
          <w:rFonts w:hint="default" w:ascii="Times New Roman" w:hAnsi="Times New Roman" w:eastAsia="宋体" w:cs="Times New Roman"/>
          <w:color w:val="auto"/>
          <w:szCs w:val="24"/>
          <w:highlight w:val="none"/>
          <w:lang w:val="en-US" w:eastAsia="zh-CN"/>
        </w:rPr>
        <w:t>干烟气排放量</w:t>
      </w:r>
      <w:r>
        <w:rPr>
          <w:rFonts w:hint="default" w:ascii="Times New Roman" w:hAnsi="Times New Roman" w:eastAsia="宋体" w:cs="Times New Roman"/>
          <w:color w:val="auto"/>
          <w:szCs w:val="24"/>
          <w:highlight w:val="none"/>
        </w:rPr>
        <w:t>，</w:t>
      </w:r>
      <w:r>
        <w:rPr>
          <w:rFonts w:hint="default" w:ascii="Times New Roman" w:hAnsi="Times New Roman" w:eastAsia="宋体" w:cs="Times New Roman"/>
          <w:color w:val="auto"/>
          <w:szCs w:val="24"/>
          <w:highlight w:val="none"/>
          <w:lang w:val="en-US" w:eastAsia="zh-CN"/>
        </w:rPr>
        <w:t>m</w:t>
      </w:r>
      <w:r>
        <w:rPr>
          <w:rFonts w:hint="default" w:ascii="Times New Roman" w:hAnsi="Times New Roman" w:eastAsia="宋体" w:cs="Times New Roman"/>
          <w:color w:val="auto"/>
          <w:szCs w:val="24"/>
          <w:highlight w:val="none"/>
          <w:vertAlign w:val="superscript"/>
          <w:lang w:val="en-US" w:eastAsia="zh-CN"/>
        </w:rPr>
        <w:t>3</w:t>
      </w:r>
      <w:r>
        <w:rPr>
          <w:rFonts w:hint="default" w:ascii="Times New Roman" w:hAnsi="Times New Roman" w:eastAsia="宋体" w:cs="Times New Roman"/>
          <w:color w:val="auto"/>
          <w:szCs w:val="24"/>
          <w:highlight w:val="none"/>
        </w:rPr>
        <w:t>/</w:t>
      </w:r>
      <w:r>
        <w:rPr>
          <w:rFonts w:hint="default" w:ascii="Times New Roman" w:hAnsi="Times New Roman" w:eastAsia="宋体" w:cs="Times New Roman"/>
          <w:color w:val="auto"/>
          <w:szCs w:val="24"/>
          <w:highlight w:val="none"/>
          <w:lang w:val="en-US" w:eastAsia="zh-CN"/>
        </w:rPr>
        <w:t>kg</w:t>
      </w:r>
      <w:r>
        <w:rPr>
          <w:rFonts w:hint="default" w:ascii="Times New Roman" w:hAnsi="Times New Roman" w:eastAsia="宋体" w:cs="Times New Roman"/>
          <w:color w:val="auto"/>
          <w:szCs w:val="24"/>
          <w:highlight w:val="none"/>
        </w:rPr>
        <w:t>；</w:t>
      </w:r>
    </w:p>
    <w:p w14:paraId="4F5B7FD9">
      <w:pPr>
        <w:ind w:firstLine="1200" w:firstLineChars="500"/>
        <w:rPr>
          <w:rFonts w:hint="default" w:ascii="Times New Roman" w:hAnsi="Times New Roman" w:eastAsia="宋体" w:cs="Times New Roman"/>
          <w:color w:val="auto"/>
          <w:szCs w:val="24"/>
          <w:highlight w:val="none"/>
          <w:lang w:val="en-US" w:eastAsia="zh-CN"/>
        </w:rPr>
      </w:pPr>
      <w:r>
        <w:rPr>
          <w:rFonts w:hint="default" w:ascii="Times New Roman" w:hAnsi="Times New Roman" w:eastAsia="宋体" w:cs="Times New Roman"/>
          <w:color w:val="auto"/>
          <w:szCs w:val="24"/>
          <w:highlight w:val="none"/>
        </w:rPr>
        <w:t>C</w:t>
      </w:r>
      <w:r>
        <w:rPr>
          <w:rFonts w:hint="default" w:ascii="Times New Roman" w:hAnsi="Times New Roman" w:eastAsia="宋体" w:cs="Times New Roman"/>
          <w:color w:val="auto"/>
          <w:szCs w:val="24"/>
          <w:highlight w:val="none"/>
          <w:vertAlign w:val="subscript"/>
        </w:rPr>
        <w:t>ar</w:t>
      </w:r>
      <w:r>
        <w:rPr>
          <w:rFonts w:hint="default" w:ascii="Times New Roman" w:hAnsi="Times New Roman" w:eastAsia="宋体" w:cs="Times New Roman"/>
          <w:color w:val="auto"/>
          <w:szCs w:val="24"/>
          <w:highlight w:val="none"/>
        </w:rPr>
        <w:t>—收到基碳含量，</w:t>
      </w:r>
      <w:r>
        <w:rPr>
          <w:rFonts w:hint="eastAsia" w:ascii="Times New Roman" w:hAnsi="Times New Roman" w:eastAsia="宋体" w:cs="Times New Roman"/>
          <w:color w:val="auto"/>
          <w:szCs w:val="24"/>
          <w:highlight w:val="none"/>
          <w:lang w:val="en-US" w:eastAsia="zh-CN"/>
        </w:rPr>
        <w:t>46.89</w:t>
      </w:r>
      <w:r>
        <w:rPr>
          <w:rFonts w:hint="default" w:ascii="Times New Roman" w:hAnsi="Times New Roman" w:eastAsia="宋体" w:cs="Times New Roman"/>
          <w:color w:val="auto"/>
          <w:szCs w:val="24"/>
          <w:highlight w:val="none"/>
          <w:lang w:val="en-US" w:eastAsia="zh-CN"/>
        </w:rPr>
        <w:t>%</w:t>
      </w:r>
      <w:r>
        <w:rPr>
          <w:rFonts w:hint="default" w:ascii="Times New Roman" w:hAnsi="Times New Roman" w:eastAsia="宋体" w:cs="Times New Roman"/>
          <w:color w:val="auto"/>
          <w:szCs w:val="24"/>
          <w:highlight w:val="none"/>
        </w:rPr>
        <w:t>；</w:t>
      </w:r>
    </w:p>
    <w:p w14:paraId="024EA7D8">
      <w:pPr>
        <w:ind w:firstLine="1200" w:firstLineChars="500"/>
        <w:rPr>
          <w:rFonts w:hint="default" w:ascii="Times New Roman" w:hAnsi="Times New Roman" w:eastAsia="宋体" w:cs="Times New Roman"/>
          <w:color w:val="auto"/>
          <w:szCs w:val="24"/>
          <w:highlight w:val="none"/>
          <w:lang w:eastAsia="zh-CN"/>
        </w:rPr>
      </w:pPr>
      <w:r>
        <w:rPr>
          <w:rFonts w:hint="default" w:ascii="Times New Roman" w:hAnsi="Times New Roman" w:eastAsia="宋体" w:cs="Times New Roman"/>
          <w:color w:val="auto"/>
          <w:szCs w:val="24"/>
          <w:highlight w:val="none"/>
        </w:rPr>
        <w:t>S</w:t>
      </w:r>
      <w:r>
        <w:rPr>
          <w:rFonts w:hint="default" w:ascii="Times New Roman" w:hAnsi="Times New Roman" w:eastAsia="宋体" w:cs="Times New Roman"/>
          <w:color w:val="auto"/>
          <w:szCs w:val="24"/>
          <w:highlight w:val="none"/>
          <w:vertAlign w:val="subscript"/>
        </w:rPr>
        <w:t>ar</w:t>
      </w:r>
      <w:r>
        <w:rPr>
          <w:rFonts w:hint="default" w:ascii="Times New Roman" w:hAnsi="Times New Roman" w:eastAsia="宋体" w:cs="Times New Roman"/>
          <w:color w:val="auto"/>
          <w:szCs w:val="24"/>
          <w:highlight w:val="none"/>
        </w:rPr>
        <w:t>—收到基硫含量，</w:t>
      </w:r>
      <w:r>
        <w:rPr>
          <w:rFonts w:hint="eastAsia" w:ascii="Times New Roman" w:hAnsi="Times New Roman" w:eastAsia="宋体" w:cs="Times New Roman"/>
          <w:color w:val="auto"/>
          <w:szCs w:val="24"/>
          <w:highlight w:val="none"/>
          <w:lang w:val="en-US" w:eastAsia="zh-CN"/>
        </w:rPr>
        <w:t>0.23</w:t>
      </w:r>
      <w:r>
        <w:rPr>
          <w:rFonts w:hint="default" w:ascii="Times New Roman" w:hAnsi="Times New Roman" w:eastAsia="宋体" w:cs="Times New Roman"/>
          <w:color w:val="auto"/>
          <w:szCs w:val="24"/>
          <w:highlight w:val="none"/>
          <w:lang w:val="en-US" w:eastAsia="zh-CN"/>
        </w:rPr>
        <w:t>%</w:t>
      </w:r>
      <w:r>
        <w:rPr>
          <w:rFonts w:hint="default" w:ascii="Times New Roman" w:hAnsi="Times New Roman" w:eastAsia="宋体" w:cs="Times New Roman"/>
          <w:color w:val="auto"/>
          <w:szCs w:val="24"/>
          <w:highlight w:val="none"/>
        </w:rPr>
        <w:t>；</w:t>
      </w:r>
    </w:p>
    <w:p w14:paraId="657637BA">
      <w:pPr>
        <w:ind w:firstLine="1200" w:firstLineChars="500"/>
        <w:rPr>
          <w:rFonts w:hint="default" w:ascii="Times New Roman" w:hAnsi="Times New Roman" w:eastAsia="宋体" w:cs="Times New Roman"/>
          <w:color w:val="auto"/>
          <w:szCs w:val="24"/>
          <w:highlight w:val="none"/>
          <w:lang w:val="en-US" w:eastAsia="zh-CN"/>
        </w:rPr>
      </w:pPr>
      <w:r>
        <w:rPr>
          <w:rFonts w:hint="default" w:ascii="Times New Roman" w:hAnsi="Times New Roman" w:eastAsia="宋体" w:cs="Times New Roman"/>
          <w:color w:val="auto"/>
          <w:szCs w:val="24"/>
          <w:highlight w:val="none"/>
        </w:rPr>
        <w:t>N</w:t>
      </w:r>
      <w:r>
        <w:rPr>
          <w:rFonts w:hint="default" w:ascii="Times New Roman" w:hAnsi="Times New Roman" w:eastAsia="宋体" w:cs="Times New Roman"/>
          <w:color w:val="auto"/>
          <w:szCs w:val="24"/>
          <w:highlight w:val="none"/>
          <w:vertAlign w:val="subscript"/>
        </w:rPr>
        <w:t>ar</w:t>
      </w:r>
      <w:r>
        <w:rPr>
          <w:rFonts w:hint="default" w:ascii="Times New Roman" w:hAnsi="Times New Roman" w:eastAsia="宋体" w:cs="Times New Roman"/>
          <w:color w:val="auto"/>
          <w:szCs w:val="24"/>
          <w:highlight w:val="none"/>
        </w:rPr>
        <w:t>—收到基氮含量，</w:t>
      </w:r>
      <w:r>
        <w:rPr>
          <w:rFonts w:hint="eastAsia" w:ascii="Times New Roman" w:hAnsi="Times New Roman" w:eastAsia="宋体" w:cs="Times New Roman"/>
          <w:color w:val="auto"/>
          <w:szCs w:val="24"/>
          <w:highlight w:val="none"/>
          <w:lang w:val="en-US" w:eastAsia="zh-CN"/>
        </w:rPr>
        <w:t>0.48</w:t>
      </w:r>
      <w:r>
        <w:rPr>
          <w:rFonts w:hint="default" w:ascii="Times New Roman" w:hAnsi="Times New Roman" w:eastAsia="宋体" w:cs="Times New Roman"/>
          <w:color w:val="auto"/>
          <w:szCs w:val="24"/>
          <w:highlight w:val="none"/>
          <w:lang w:val="en-US" w:eastAsia="zh-CN"/>
        </w:rPr>
        <w:t>%</w:t>
      </w:r>
      <w:r>
        <w:rPr>
          <w:rFonts w:hint="default" w:ascii="Times New Roman" w:hAnsi="Times New Roman" w:eastAsia="宋体" w:cs="Times New Roman"/>
          <w:color w:val="auto"/>
          <w:szCs w:val="24"/>
          <w:highlight w:val="none"/>
        </w:rPr>
        <w:t>；</w:t>
      </w:r>
    </w:p>
    <w:p w14:paraId="5F01CEDB">
      <w:pPr>
        <w:ind w:firstLine="1200" w:firstLineChars="500"/>
        <w:rPr>
          <w:rFonts w:hint="default" w:ascii="Times New Roman" w:hAnsi="Times New Roman" w:eastAsia="宋体" w:cs="Times New Roman"/>
          <w:color w:val="auto"/>
          <w:szCs w:val="24"/>
          <w:highlight w:val="none"/>
          <w:lang w:val="en-US" w:eastAsia="zh-CN"/>
        </w:rPr>
      </w:pPr>
      <w:r>
        <w:rPr>
          <w:rFonts w:hint="default" w:ascii="Times New Roman" w:hAnsi="Times New Roman" w:eastAsia="宋体" w:cs="Times New Roman"/>
          <w:color w:val="auto"/>
          <w:szCs w:val="24"/>
          <w:highlight w:val="none"/>
        </w:rPr>
        <w:t>H</w:t>
      </w:r>
      <w:r>
        <w:rPr>
          <w:rFonts w:hint="default" w:ascii="Times New Roman" w:hAnsi="Times New Roman" w:eastAsia="宋体" w:cs="Times New Roman"/>
          <w:color w:val="auto"/>
          <w:szCs w:val="24"/>
          <w:highlight w:val="none"/>
          <w:vertAlign w:val="subscript"/>
        </w:rPr>
        <w:t>ar</w:t>
      </w:r>
      <w:r>
        <w:rPr>
          <w:rFonts w:hint="default" w:ascii="Times New Roman" w:hAnsi="Times New Roman" w:eastAsia="宋体" w:cs="Times New Roman"/>
          <w:color w:val="auto"/>
          <w:szCs w:val="24"/>
          <w:highlight w:val="none"/>
        </w:rPr>
        <w:t>—收到基氢含量，</w:t>
      </w:r>
      <w:r>
        <w:rPr>
          <w:rFonts w:hint="eastAsia" w:ascii="Times New Roman" w:hAnsi="Times New Roman" w:eastAsia="宋体" w:cs="Times New Roman"/>
          <w:color w:val="auto"/>
          <w:szCs w:val="24"/>
          <w:highlight w:val="none"/>
          <w:lang w:val="en-US" w:eastAsia="zh-CN"/>
        </w:rPr>
        <w:t>2.94</w:t>
      </w:r>
      <w:r>
        <w:rPr>
          <w:rFonts w:hint="default" w:ascii="Times New Roman" w:hAnsi="Times New Roman" w:eastAsia="宋体" w:cs="Times New Roman"/>
          <w:color w:val="auto"/>
          <w:szCs w:val="24"/>
          <w:highlight w:val="none"/>
          <w:lang w:val="en-US" w:eastAsia="zh-CN"/>
        </w:rPr>
        <w:t>%</w:t>
      </w:r>
      <w:r>
        <w:rPr>
          <w:rFonts w:hint="default" w:ascii="Times New Roman" w:hAnsi="Times New Roman" w:eastAsia="宋体" w:cs="Times New Roman"/>
          <w:color w:val="auto"/>
          <w:szCs w:val="24"/>
          <w:highlight w:val="none"/>
        </w:rPr>
        <w:t>；</w:t>
      </w:r>
    </w:p>
    <w:p w14:paraId="06D11B85">
      <w:pPr>
        <w:ind w:firstLine="1200" w:firstLineChars="500"/>
        <w:rPr>
          <w:rFonts w:hint="default" w:ascii="Times New Roman" w:hAnsi="Times New Roman" w:eastAsia="宋体" w:cs="Times New Roman"/>
          <w:color w:val="auto"/>
          <w:szCs w:val="24"/>
          <w:highlight w:val="none"/>
          <w:lang w:val="en-US" w:eastAsia="zh-CN"/>
        </w:rPr>
      </w:pPr>
      <w:r>
        <w:rPr>
          <w:rFonts w:hint="default" w:ascii="Times New Roman" w:hAnsi="Times New Roman" w:eastAsia="宋体" w:cs="Times New Roman"/>
          <w:color w:val="auto"/>
          <w:szCs w:val="24"/>
          <w:highlight w:val="none"/>
        </w:rPr>
        <w:t>O</w:t>
      </w:r>
      <w:r>
        <w:rPr>
          <w:rFonts w:hint="default" w:ascii="Times New Roman" w:hAnsi="Times New Roman" w:eastAsia="宋体" w:cs="Times New Roman"/>
          <w:color w:val="auto"/>
          <w:szCs w:val="24"/>
          <w:highlight w:val="none"/>
          <w:vertAlign w:val="subscript"/>
        </w:rPr>
        <w:t>ar</w:t>
      </w:r>
      <w:r>
        <w:rPr>
          <w:rFonts w:hint="default" w:ascii="Times New Roman" w:hAnsi="Times New Roman" w:eastAsia="宋体" w:cs="Times New Roman"/>
          <w:color w:val="auto"/>
          <w:szCs w:val="24"/>
          <w:highlight w:val="none"/>
        </w:rPr>
        <w:t>—收到基氧含量，</w:t>
      </w:r>
      <w:r>
        <w:rPr>
          <w:rFonts w:hint="eastAsia" w:ascii="Times New Roman" w:hAnsi="Times New Roman" w:eastAsia="宋体" w:cs="Times New Roman"/>
          <w:color w:val="auto"/>
          <w:szCs w:val="24"/>
          <w:highlight w:val="none"/>
          <w:lang w:val="en-US" w:eastAsia="zh-CN"/>
        </w:rPr>
        <w:t>6.61</w:t>
      </w:r>
      <w:r>
        <w:rPr>
          <w:rFonts w:hint="default" w:ascii="Times New Roman" w:hAnsi="Times New Roman" w:eastAsia="宋体" w:cs="Times New Roman"/>
          <w:color w:val="auto"/>
          <w:szCs w:val="24"/>
          <w:highlight w:val="none"/>
          <w:lang w:val="en-US" w:eastAsia="zh-CN"/>
        </w:rPr>
        <w:t>%</w:t>
      </w:r>
      <w:r>
        <w:rPr>
          <w:rFonts w:hint="default" w:ascii="Times New Roman" w:hAnsi="Times New Roman" w:eastAsia="宋体" w:cs="Times New Roman"/>
          <w:color w:val="auto"/>
          <w:szCs w:val="24"/>
          <w:highlight w:val="none"/>
        </w:rPr>
        <w:t>；</w:t>
      </w:r>
    </w:p>
    <w:p w14:paraId="0D2FF713">
      <w:pPr>
        <w:pStyle w:val="69"/>
        <w:ind w:firstLine="1200" w:firstLineChars="500"/>
        <w:rPr>
          <w:rFonts w:hint="default" w:ascii="Times New Roman" w:hAnsi="Times New Roman" w:eastAsia="宋体" w:cs="Times New Roman"/>
          <w:color w:val="auto"/>
          <w:szCs w:val="24"/>
          <w:highlight w:val="none"/>
          <w:lang w:eastAsia="zh-CN"/>
        </w:rPr>
      </w:pPr>
      <w:r>
        <w:rPr>
          <w:rFonts w:hint="default" w:ascii="Times New Roman" w:hAnsi="Times New Roman" w:eastAsia="宋体" w:cs="Times New Roman"/>
          <w:color w:val="auto"/>
          <w:szCs w:val="24"/>
          <w:highlight w:val="none"/>
        </w:rPr>
        <w:t>α—过量空气系数，燃料燃烧时实际空气供给量与理论空气需要量之比值，燃煤锅炉的过量空气系数为</w:t>
      </w:r>
      <w:r>
        <w:rPr>
          <w:rFonts w:hint="default" w:ascii="Times New Roman" w:hAnsi="Times New Roman" w:eastAsia="宋体" w:cs="Times New Roman"/>
          <w:color w:val="auto"/>
          <w:szCs w:val="24"/>
          <w:highlight w:val="none"/>
          <w:lang w:val="en-US" w:eastAsia="zh-CN"/>
        </w:rPr>
        <w:t>1.</w:t>
      </w:r>
      <w:r>
        <w:rPr>
          <w:rFonts w:hint="eastAsia" w:ascii="Times New Roman" w:hAnsi="Times New Roman" w:cs="Times New Roman"/>
          <w:color w:val="auto"/>
          <w:szCs w:val="24"/>
          <w:highlight w:val="none"/>
          <w:lang w:val="en-US" w:eastAsia="zh-CN"/>
        </w:rPr>
        <w:t>4</w:t>
      </w:r>
      <w:r>
        <w:rPr>
          <w:rFonts w:hint="default" w:ascii="Times New Roman" w:hAnsi="Times New Roman" w:eastAsia="宋体" w:cs="Times New Roman"/>
          <w:color w:val="auto"/>
          <w:szCs w:val="24"/>
          <w:highlight w:val="none"/>
        </w:rPr>
        <w:t>，对应基准氧含量为</w:t>
      </w:r>
      <w:r>
        <w:rPr>
          <w:rFonts w:hint="default" w:ascii="Times New Roman" w:hAnsi="Times New Roman" w:eastAsia="宋体" w:cs="Times New Roman"/>
          <w:color w:val="auto"/>
          <w:szCs w:val="24"/>
          <w:highlight w:val="none"/>
          <w:lang w:val="en-US" w:eastAsia="zh-CN"/>
        </w:rPr>
        <w:t>6</w:t>
      </w:r>
      <w:r>
        <w:rPr>
          <w:rFonts w:hint="default" w:ascii="Times New Roman" w:hAnsi="Times New Roman" w:eastAsia="宋体" w:cs="Times New Roman"/>
          <w:color w:val="auto"/>
          <w:szCs w:val="24"/>
          <w:highlight w:val="none"/>
        </w:rPr>
        <w:t>%</w:t>
      </w:r>
      <w:r>
        <w:rPr>
          <w:rFonts w:hint="default" w:ascii="Times New Roman" w:hAnsi="Times New Roman" w:eastAsia="宋体" w:cs="Times New Roman"/>
          <w:color w:val="auto"/>
          <w:szCs w:val="24"/>
          <w:highlight w:val="none"/>
          <w:lang w:eastAsia="zh-CN"/>
        </w:rPr>
        <w:t>；</w:t>
      </w:r>
    </w:p>
    <w:p w14:paraId="175ED0D3">
      <w:pPr>
        <w:pStyle w:val="69"/>
        <w:ind w:firstLine="1200" w:firstLineChars="500"/>
        <w:rPr>
          <w:rFonts w:hint="default" w:ascii="Times New Roman" w:hAnsi="Times New Roman" w:eastAsia="宋体" w:cs="Times New Roman"/>
          <w:color w:val="auto"/>
          <w:szCs w:val="24"/>
          <w:highlight w:val="none"/>
          <w:lang w:eastAsia="zh-CN"/>
        </w:rPr>
      </w:pPr>
      <w:r>
        <w:rPr>
          <w:rFonts w:hint="default" w:ascii="Times New Roman" w:hAnsi="Times New Roman" w:eastAsia="宋体" w:cs="Times New Roman"/>
          <w:color w:val="auto"/>
          <w:szCs w:val="24"/>
          <w:highlight w:val="none"/>
          <w:lang w:eastAsia="zh-CN"/>
        </w:rPr>
        <w:t>Mar─收到基水分含量</w:t>
      </w:r>
      <w:r>
        <w:rPr>
          <w:rFonts w:hint="eastAsia" w:ascii="Times New Roman" w:hAnsi="Times New Roman" w:cs="Times New Roman"/>
          <w:color w:val="auto"/>
          <w:szCs w:val="24"/>
          <w:highlight w:val="none"/>
          <w:lang w:val="en-US" w:eastAsia="zh-CN"/>
        </w:rPr>
        <w:t>7.3%</w:t>
      </w:r>
      <w:r>
        <w:rPr>
          <w:rFonts w:hint="default" w:ascii="Times New Roman" w:hAnsi="Times New Roman" w:eastAsia="宋体" w:cs="Times New Roman"/>
          <w:color w:val="auto"/>
          <w:szCs w:val="24"/>
          <w:highlight w:val="none"/>
          <w:lang w:eastAsia="zh-CN"/>
        </w:rPr>
        <w:t>；</w:t>
      </w:r>
    </w:p>
    <w:p w14:paraId="5EED1864">
      <w:pPr>
        <w:pStyle w:val="69"/>
        <w:ind w:firstLine="1200" w:firstLineChars="5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lang w:val="en-US" w:eastAsia="zh-CN"/>
        </w:rPr>
        <w:t>Vs</w:t>
      </w:r>
      <w:r>
        <w:rPr>
          <w:rFonts w:hint="default" w:ascii="Times New Roman" w:hAnsi="Times New Roman" w:eastAsia="宋体" w:cs="Times New Roman"/>
          <w:color w:val="auto"/>
          <w:szCs w:val="24"/>
          <w:highlight w:val="none"/>
        </w:rPr>
        <w:t>—</w:t>
      </w:r>
      <w:r>
        <w:rPr>
          <w:rFonts w:hint="default" w:ascii="Times New Roman" w:hAnsi="Times New Roman" w:eastAsia="宋体" w:cs="Times New Roman"/>
          <w:color w:val="auto"/>
          <w:szCs w:val="24"/>
          <w:highlight w:val="none"/>
          <w:lang w:val="en-US" w:eastAsia="zh-CN"/>
        </w:rPr>
        <w:t>湿烟气排放量</w:t>
      </w:r>
      <w:r>
        <w:rPr>
          <w:rFonts w:hint="default" w:ascii="Times New Roman" w:hAnsi="Times New Roman" w:eastAsia="宋体" w:cs="Times New Roman"/>
          <w:color w:val="auto"/>
          <w:szCs w:val="24"/>
          <w:highlight w:val="none"/>
        </w:rPr>
        <w:t>，</w:t>
      </w:r>
      <w:r>
        <w:rPr>
          <w:rFonts w:hint="default" w:ascii="Times New Roman" w:hAnsi="Times New Roman" w:eastAsia="宋体" w:cs="Times New Roman"/>
          <w:color w:val="auto"/>
          <w:szCs w:val="24"/>
          <w:highlight w:val="none"/>
          <w:lang w:val="en-US" w:eastAsia="zh-CN"/>
        </w:rPr>
        <w:t>m</w:t>
      </w:r>
      <w:r>
        <w:rPr>
          <w:rFonts w:hint="default" w:ascii="Times New Roman" w:hAnsi="Times New Roman" w:eastAsia="宋体" w:cs="Times New Roman"/>
          <w:color w:val="auto"/>
          <w:szCs w:val="24"/>
          <w:highlight w:val="none"/>
          <w:vertAlign w:val="superscript"/>
          <w:lang w:val="en-US" w:eastAsia="zh-CN"/>
        </w:rPr>
        <w:t>3</w:t>
      </w:r>
      <w:r>
        <w:rPr>
          <w:rFonts w:hint="default" w:ascii="Times New Roman" w:hAnsi="Times New Roman" w:eastAsia="宋体" w:cs="Times New Roman"/>
          <w:color w:val="auto"/>
          <w:szCs w:val="24"/>
          <w:highlight w:val="none"/>
        </w:rPr>
        <w:t>/</w:t>
      </w:r>
      <w:r>
        <w:rPr>
          <w:rFonts w:hint="default" w:ascii="Times New Roman" w:hAnsi="Times New Roman" w:eastAsia="宋体" w:cs="Times New Roman"/>
          <w:color w:val="auto"/>
          <w:szCs w:val="24"/>
          <w:highlight w:val="none"/>
          <w:lang w:val="en-US" w:eastAsia="zh-CN"/>
        </w:rPr>
        <w:t>kg</w:t>
      </w:r>
      <w:r>
        <w:rPr>
          <w:rFonts w:hint="default" w:ascii="Times New Roman" w:hAnsi="Times New Roman" w:eastAsia="宋体" w:cs="Times New Roman"/>
          <w:color w:val="auto"/>
          <w:szCs w:val="24"/>
          <w:highlight w:val="none"/>
        </w:rPr>
        <w:t>；</w:t>
      </w:r>
    </w:p>
    <w:p w14:paraId="0C2711D8">
      <w:pPr>
        <w:pStyle w:val="69"/>
        <w:ind w:firstLine="1200" w:firstLineChars="5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V</w:t>
      </w:r>
      <w:r>
        <w:rPr>
          <w:rFonts w:hint="default" w:ascii="Times New Roman" w:hAnsi="Times New Roman" w:eastAsia="宋体" w:cs="Times New Roman"/>
          <w:color w:val="auto"/>
          <w:szCs w:val="24"/>
          <w:highlight w:val="none"/>
          <w:vertAlign w:val="subscript"/>
        </w:rPr>
        <w:t>H2O</w:t>
      </w:r>
      <w:r>
        <w:rPr>
          <w:rFonts w:hint="default" w:ascii="Times New Roman" w:hAnsi="Times New Roman" w:eastAsia="宋体" w:cs="Times New Roman"/>
          <w:color w:val="auto"/>
          <w:szCs w:val="24"/>
          <w:highlight w:val="none"/>
        </w:rPr>
        <w:t>——烟气中水蒸气量，m</w:t>
      </w:r>
      <w:r>
        <w:rPr>
          <w:rFonts w:hint="default" w:ascii="Times New Roman" w:hAnsi="Times New Roman" w:eastAsia="宋体" w:cs="Times New Roman"/>
          <w:color w:val="auto"/>
          <w:szCs w:val="24"/>
          <w:highlight w:val="none"/>
          <w:vertAlign w:val="superscript"/>
        </w:rPr>
        <w:t>3</w:t>
      </w:r>
      <w:r>
        <w:rPr>
          <w:rFonts w:hint="default" w:ascii="Times New Roman" w:hAnsi="Times New Roman" w:eastAsia="宋体" w:cs="Times New Roman"/>
          <w:color w:val="auto"/>
          <w:szCs w:val="24"/>
          <w:highlight w:val="none"/>
        </w:rPr>
        <w:t>/kg；</w:t>
      </w:r>
    </w:p>
    <w:p w14:paraId="271AFB34">
      <w:pPr>
        <w:pStyle w:val="69"/>
        <w:ind w:firstLine="1200" w:firstLineChars="500"/>
        <w:rPr>
          <w:rFonts w:hint="default" w:ascii="Times New Roman" w:hAnsi="Times New Roman" w:eastAsia="宋体" w:cs="Times New Roman"/>
          <w:color w:val="auto"/>
          <w:szCs w:val="24"/>
          <w:highlight w:val="none"/>
          <w:lang w:val="en-US" w:eastAsia="zh-CN"/>
        </w:rPr>
      </w:pPr>
      <w:r>
        <w:rPr>
          <w:rFonts w:hint="default" w:ascii="Times New Roman" w:hAnsi="Times New Roman" w:eastAsia="宋体" w:cs="Times New Roman"/>
          <w:color w:val="auto"/>
          <w:szCs w:val="24"/>
          <w:highlight w:val="none"/>
        </w:rPr>
        <w:t>G</w:t>
      </w:r>
      <w:r>
        <w:rPr>
          <w:rFonts w:hint="default" w:ascii="Times New Roman" w:hAnsi="Times New Roman" w:eastAsia="宋体" w:cs="Times New Roman"/>
          <w:color w:val="auto"/>
          <w:szCs w:val="24"/>
          <w:highlight w:val="none"/>
          <w:vertAlign w:val="subscript"/>
        </w:rPr>
        <w:t>wh</w:t>
      </w:r>
      <w:r>
        <w:rPr>
          <w:rFonts w:hint="default" w:ascii="Times New Roman" w:hAnsi="Times New Roman" w:eastAsia="宋体" w:cs="Times New Roman"/>
          <w:color w:val="auto"/>
          <w:szCs w:val="24"/>
          <w:highlight w:val="none"/>
        </w:rPr>
        <w:t>─雾化燃油时消耗的蒸汽量，kg/kg，本次评价取0；</w:t>
      </w:r>
    </w:p>
    <w:p w14:paraId="45EAFE24">
      <w:pPr>
        <w:ind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Cs w:val="24"/>
          <w:highlight w:val="none"/>
        </w:rPr>
        <w:t>本项目锅炉为燃煤锅炉，</w:t>
      </w:r>
      <w:r>
        <w:rPr>
          <w:rFonts w:hint="default" w:ascii="Times New Roman" w:hAnsi="Times New Roman" w:eastAsia="宋体" w:cs="Times New Roman"/>
          <w:color w:val="auto"/>
          <w:szCs w:val="24"/>
          <w:highlight w:val="none"/>
          <w:lang w:eastAsia="zh-CN"/>
        </w:rPr>
        <w:t>燃煤量为</w:t>
      </w:r>
      <w:r>
        <w:rPr>
          <w:rFonts w:hint="eastAsia" w:ascii="Times New Roman" w:hAnsi="Times New Roman" w:cs="Times New Roman"/>
          <w:color w:val="auto"/>
          <w:szCs w:val="24"/>
          <w:highlight w:val="none"/>
          <w:lang w:val="en-US" w:eastAsia="zh-CN"/>
        </w:rPr>
        <w:t>14.42</w:t>
      </w:r>
      <w:r>
        <w:rPr>
          <w:rFonts w:hint="default" w:ascii="Times New Roman" w:hAnsi="Times New Roman" w:eastAsia="宋体" w:cs="Times New Roman"/>
          <w:color w:val="auto"/>
          <w:szCs w:val="24"/>
          <w:highlight w:val="none"/>
          <w:lang w:eastAsia="zh-CN"/>
        </w:rPr>
        <w:t>t/h</w:t>
      </w:r>
      <w:r>
        <w:rPr>
          <w:rFonts w:hint="eastAsia" w:ascii="Times New Roman" w:hAnsi="Times New Roman" w:eastAsia="宋体" w:cs="Times New Roman"/>
          <w:color w:val="auto"/>
          <w:szCs w:val="24"/>
          <w:highlight w:val="none"/>
          <w:lang w:val="en-US" w:eastAsia="zh-CN"/>
        </w:rPr>
        <w:t>，</w:t>
      </w:r>
      <w:r>
        <w:rPr>
          <w:rFonts w:hint="default" w:ascii="Times New Roman" w:hAnsi="Times New Roman" w:eastAsia="宋体" w:cs="Times New Roman"/>
          <w:color w:val="auto"/>
          <w:szCs w:val="24"/>
          <w:highlight w:val="none"/>
          <w:lang w:val="en-US" w:eastAsia="zh-CN"/>
        </w:rPr>
        <w:t>干</w:t>
      </w:r>
      <w:r>
        <w:rPr>
          <w:rFonts w:hint="default" w:ascii="Times New Roman" w:hAnsi="Times New Roman" w:eastAsia="宋体" w:cs="Times New Roman"/>
          <w:color w:val="auto"/>
          <w:szCs w:val="24"/>
          <w:highlight w:val="none"/>
          <w:lang w:eastAsia="zh-CN"/>
        </w:rPr>
        <w:t>烟气量为</w:t>
      </w:r>
      <w:r>
        <w:rPr>
          <w:rFonts w:hint="eastAsia" w:ascii="Times New Roman" w:hAnsi="Times New Roman" w:cs="Times New Roman"/>
          <w:color w:val="auto"/>
          <w:szCs w:val="24"/>
          <w:highlight w:val="none"/>
          <w:lang w:val="en-US" w:eastAsia="zh-CN"/>
        </w:rPr>
        <w:t>93818.70</w:t>
      </w:r>
      <w:r>
        <w:rPr>
          <w:rFonts w:hint="default" w:ascii="Times New Roman" w:hAnsi="Times New Roman" w:eastAsia="宋体" w:cs="Times New Roman"/>
          <w:color w:val="auto"/>
          <w:szCs w:val="24"/>
          <w:highlight w:val="none"/>
        </w:rPr>
        <w:t>m</w:t>
      </w:r>
      <w:r>
        <w:rPr>
          <w:rFonts w:hint="default" w:ascii="Times New Roman" w:hAnsi="Times New Roman" w:eastAsia="宋体" w:cs="Times New Roman"/>
          <w:color w:val="auto"/>
          <w:szCs w:val="24"/>
          <w:highlight w:val="none"/>
          <w:vertAlign w:val="superscript"/>
        </w:rPr>
        <w:t>3</w:t>
      </w:r>
      <w:r>
        <w:rPr>
          <w:rFonts w:hint="default" w:ascii="Times New Roman" w:hAnsi="Times New Roman" w:eastAsia="宋体" w:cs="Times New Roman"/>
          <w:color w:val="auto"/>
          <w:szCs w:val="24"/>
          <w:highlight w:val="none"/>
        </w:rPr>
        <w:t>/h</w:t>
      </w:r>
      <w:r>
        <w:rPr>
          <w:rFonts w:hint="default"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lang w:eastAsia="zh-CN"/>
        </w:rPr>
        <w:t>经计算</w:t>
      </w:r>
      <w:r>
        <w:rPr>
          <w:rFonts w:hint="default" w:ascii="Times New Roman" w:hAnsi="Times New Roman" w:eastAsia="宋体" w:cs="Times New Roman"/>
          <w:color w:val="auto"/>
          <w:spacing w:val="0"/>
          <w:sz w:val="24"/>
          <w:szCs w:val="24"/>
          <w:highlight w:val="none"/>
        </w:rPr>
        <w:t>V</w:t>
      </w:r>
      <w:r>
        <w:rPr>
          <w:rFonts w:hint="default" w:ascii="Times New Roman" w:hAnsi="Times New Roman" w:eastAsia="宋体" w:cs="Times New Roman"/>
          <w:color w:val="auto"/>
          <w:spacing w:val="0"/>
          <w:sz w:val="24"/>
          <w:szCs w:val="24"/>
          <w:highlight w:val="none"/>
          <w:vertAlign w:val="subscript"/>
        </w:rPr>
        <w:t>0</w:t>
      </w:r>
      <w:r>
        <w:rPr>
          <w:rFonts w:hint="default" w:ascii="Times New Roman" w:hAnsi="Times New Roman" w:eastAsia="宋体" w:cs="Times New Roman"/>
          <w:color w:val="auto"/>
          <w:spacing w:val="0"/>
          <w:sz w:val="24"/>
          <w:szCs w:val="24"/>
          <w:highlight w:val="none"/>
          <w:lang w:eastAsia="zh-CN"/>
        </w:rPr>
        <w:t>为</w:t>
      </w:r>
      <w:r>
        <w:rPr>
          <w:rFonts w:hint="eastAsia" w:ascii="Times New Roman" w:hAnsi="Times New Roman" w:eastAsia="宋体" w:cs="Times New Roman"/>
          <w:color w:val="auto"/>
          <w:spacing w:val="0"/>
          <w:sz w:val="24"/>
          <w:szCs w:val="24"/>
          <w:highlight w:val="none"/>
          <w:lang w:val="en-US" w:eastAsia="zh-CN"/>
        </w:rPr>
        <w:t>4.73</w:t>
      </w:r>
      <w:r>
        <w:rPr>
          <w:rFonts w:hint="default" w:ascii="Times New Roman" w:hAnsi="Times New Roman" w:eastAsia="宋体" w:cs="Times New Roman"/>
          <w:color w:val="auto"/>
          <w:spacing w:val="0"/>
          <w:sz w:val="24"/>
          <w:szCs w:val="24"/>
          <w:highlight w:val="none"/>
        </w:rPr>
        <w:t>m</w:t>
      </w:r>
      <w:r>
        <w:rPr>
          <w:rFonts w:hint="default" w:ascii="Times New Roman" w:hAnsi="Times New Roman" w:eastAsia="宋体" w:cs="Times New Roman"/>
          <w:color w:val="auto"/>
          <w:spacing w:val="0"/>
          <w:sz w:val="24"/>
          <w:szCs w:val="24"/>
          <w:highlight w:val="none"/>
          <w:vertAlign w:val="superscript"/>
        </w:rPr>
        <w:t>3</w:t>
      </w:r>
      <w:r>
        <w:rPr>
          <w:rFonts w:hint="default" w:ascii="Times New Roman" w:hAnsi="Times New Roman" w:eastAsia="宋体" w:cs="Times New Roman"/>
          <w:color w:val="auto"/>
          <w:spacing w:val="0"/>
          <w:sz w:val="24"/>
          <w:szCs w:val="24"/>
          <w:highlight w:val="none"/>
        </w:rPr>
        <w:t>/kg</w:t>
      </w:r>
      <w:r>
        <w:rPr>
          <w:rFonts w:hint="default"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rPr>
        <w:t>V</w:t>
      </w:r>
      <w:r>
        <w:rPr>
          <w:rFonts w:hint="default" w:ascii="Times New Roman" w:hAnsi="Times New Roman" w:eastAsia="宋体" w:cs="Times New Roman"/>
          <w:color w:val="auto"/>
          <w:spacing w:val="0"/>
          <w:sz w:val="24"/>
          <w:szCs w:val="24"/>
          <w:highlight w:val="none"/>
          <w:vertAlign w:val="subscript"/>
        </w:rPr>
        <w:t>g</w:t>
      </w:r>
      <w:r>
        <w:rPr>
          <w:rFonts w:hint="default" w:ascii="Times New Roman" w:hAnsi="Times New Roman" w:eastAsia="宋体" w:cs="Times New Roman"/>
          <w:color w:val="auto"/>
          <w:spacing w:val="0"/>
          <w:sz w:val="24"/>
          <w:szCs w:val="24"/>
          <w:highlight w:val="none"/>
          <w:lang w:eastAsia="zh-CN"/>
        </w:rPr>
        <w:t>为</w:t>
      </w:r>
      <w:r>
        <w:rPr>
          <w:rFonts w:hint="eastAsia" w:ascii="Times New Roman" w:hAnsi="Times New Roman" w:eastAsia="宋体" w:cs="Times New Roman"/>
          <w:color w:val="auto"/>
          <w:spacing w:val="0"/>
          <w:sz w:val="24"/>
          <w:szCs w:val="24"/>
          <w:highlight w:val="none"/>
          <w:lang w:val="en-US" w:eastAsia="zh-CN"/>
        </w:rPr>
        <w:t>6.51</w:t>
      </w:r>
      <w:r>
        <w:rPr>
          <w:rFonts w:hint="default" w:ascii="Times New Roman" w:hAnsi="Times New Roman" w:eastAsia="宋体" w:cs="Times New Roman"/>
          <w:color w:val="auto"/>
          <w:spacing w:val="0"/>
          <w:sz w:val="24"/>
          <w:szCs w:val="24"/>
          <w:highlight w:val="none"/>
        </w:rPr>
        <w:t>m</w:t>
      </w:r>
      <w:r>
        <w:rPr>
          <w:rFonts w:hint="default" w:ascii="Times New Roman" w:hAnsi="Times New Roman" w:eastAsia="宋体" w:cs="Times New Roman"/>
          <w:color w:val="auto"/>
          <w:spacing w:val="0"/>
          <w:sz w:val="24"/>
          <w:szCs w:val="24"/>
          <w:highlight w:val="none"/>
          <w:vertAlign w:val="superscript"/>
        </w:rPr>
        <w:t>3</w:t>
      </w:r>
      <w:r>
        <w:rPr>
          <w:rFonts w:hint="default" w:ascii="Times New Roman" w:hAnsi="Times New Roman" w:eastAsia="宋体" w:cs="Times New Roman"/>
          <w:color w:val="auto"/>
          <w:spacing w:val="0"/>
          <w:sz w:val="24"/>
          <w:szCs w:val="24"/>
          <w:highlight w:val="none"/>
        </w:rPr>
        <w:t>/kg</w:t>
      </w:r>
      <w:r>
        <w:rPr>
          <w:rFonts w:hint="default" w:ascii="Times New Roman" w:hAnsi="Times New Roman" w:eastAsia="宋体"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lang w:val="en-US" w:eastAsia="zh-CN"/>
        </w:rPr>
        <w:t>Vs为</w:t>
      </w:r>
      <w:r>
        <w:rPr>
          <w:rFonts w:hint="eastAsia" w:ascii="Times New Roman" w:hAnsi="Times New Roman" w:eastAsia="宋体" w:cs="Times New Roman"/>
          <w:color w:val="auto"/>
          <w:spacing w:val="0"/>
          <w:sz w:val="24"/>
          <w:szCs w:val="24"/>
          <w:highlight w:val="none"/>
          <w:lang w:val="en-US" w:eastAsia="zh-CN"/>
        </w:rPr>
        <w:t>7.03</w:t>
      </w:r>
      <w:r>
        <w:rPr>
          <w:rFonts w:hint="default" w:ascii="Times New Roman" w:hAnsi="Times New Roman" w:eastAsia="宋体" w:cs="Times New Roman"/>
          <w:color w:val="auto"/>
          <w:spacing w:val="0"/>
          <w:sz w:val="24"/>
          <w:szCs w:val="24"/>
          <w:highlight w:val="none"/>
        </w:rPr>
        <w:t>m</w:t>
      </w:r>
      <w:r>
        <w:rPr>
          <w:rFonts w:hint="default" w:ascii="Times New Roman" w:hAnsi="Times New Roman" w:eastAsia="宋体" w:cs="Times New Roman"/>
          <w:color w:val="auto"/>
          <w:spacing w:val="0"/>
          <w:sz w:val="24"/>
          <w:szCs w:val="24"/>
          <w:highlight w:val="none"/>
          <w:vertAlign w:val="superscript"/>
        </w:rPr>
        <w:t>3</w:t>
      </w:r>
      <w:r>
        <w:rPr>
          <w:rFonts w:hint="default" w:ascii="Times New Roman" w:hAnsi="Times New Roman" w:eastAsia="宋体" w:cs="Times New Roman"/>
          <w:color w:val="auto"/>
          <w:spacing w:val="0"/>
          <w:sz w:val="24"/>
          <w:szCs w:val="24"/>
          <w:highlight w:val="none"/>
        </w:rPr>
        <w:t>/kg</w:t>
      </w:r>
      <w:r>
        <w:rPr>
          <w:rFonts w:hint="default" w:ascii="Times New Roman" w:hAnsi="Times New Roman" w:eastAsia="宋体" w:cs="Times New Roman"/>
          <w:color w:val="auto"/>
          <w:spacing w:val="0"/>
          <w:sz w:val="24"/>
          <w:szCs w:val="24"/>
          <w:highlight w:val="none"/>
          <w:lang w:eastAsia="zh-CN"/>
        </w:rPr>
        <w:t>。</w:t>
      </w:r>
    </w:p>
    <w:p w14:paraId="76E631C4">
      <w:pPr>
        <w:pStyle w:val="97"/>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（2）年许可排放量</w:t>
      </w:r>
    </w:p>
    <w:p w14:paraId="17D4BEC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eastAsia="zh-CN"/>
        </w:rPr>
        <w:t>本项目</w:t>
      </w:r>
      <w:r>
        <w:rPr>
          <w:rFonts w:hint="default" w:ascii="Times New Roman" w:hAnsi="Times New Roman" w:eastAsia="宋体" w:cs="Times New Roman"/>
          <w:color w:val="auto"/>
          <w:sz w:val="24"/>
          <w:szCs w:val="24"/>
          <w:highlight w:val="none"/>
        </w:rPr>
        <w:t>锅炉的废气污染物</w:t>
      </w:r>
      <w:r>
        <w:rPr>
          <w:rFonts w:hint="default" w:ascii="Times New Roman" w:hAnsi="Times New Roman" w:eastAsia="宋体" w:cs="Times New Roman"/>
          <w:color w:val="auto"/>
          <w:sz w:val="24"/>
          <w:szCs w:val="24"/>
          <w:highlight w:val="none"/>
          <w:lang w:val="en-US" w:eastAsia="zh-CN"/>
        </w:rPr>
        <w:t>各</w:t>
      </w:r>
      <w:r>
        <w:rPr>
          <w:rFonts w:hint="default" w:ascii="Times New Roman" w:hAnsi="Times New Roman" w:eastAsia="宋体" w:cs="Times New Roman"/>
          <w:color w:val="auto"/>
          <w:sz w:val="24"/>
          <w:szCs w:val="24"/>
          <w:highlight w:val="none"/>
        </w:rPr>
        <w:t>污染物排放量核算情况如下：</w:t>
      </w:r>
    </w:p>
    <w:p w14:paraId="3B5DBAC2">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颗粒物许可</w:t>
      </w:r>
      <w:r>
        <w:rPr>
          <w:rFonts w:hint="default" w:ascii="Times New Roman" w:hAnsi="Times New Roman" w:eastAsia="宋体" w:cs="Times New Roman"/>
          <w:b/>
          <w:color w:val="auto"/>
          <w:sz w:val="24"/>
          <w:szCs w:val="24"/>
          <w:highlight w:val="none"/>
        </w:rPr>
        <w:t>排放量：</w:t>
      </w:r>
      <w:r>
        <w:rPr>
          <w:rFonts w:hint="default" w:ascii="Times New Roman" w:hAnsi="Times New Roman" w:eastAsia="宋体" w:cs="Times New Roman"/>
          <w:color w:val="auto"/>
          <w:sz w:val="24"/>
          <w:szCs w:val="24"/>
          <w:highlight w:val="none"/>
          <w:lang w:val="en-US" w:eastAsia="zh-CN"/>
        </w:rPr>
        <w:t>E</w:t>
      </w:r>
      <w:r>
        <w:rPr>
          <w:rFonts w:hint="default" w:ascii="Times New Roman" w:hAnsi="Times New Roman" w:eastAsia="宋体" w:cs="Times New Roman"/>
          <w:color w:val="auto"/>
          <w:sz w:val="24"/>
          <w:szCs w:val="24"/>
          <w:highlight w:val="none"/>
          <w:vertAlign w:val="subscript"/>
          <w:lang w:val="en-US" w:eastAsia="zh-CN"/>
        </w:rPr>
        <w:t>颗粒物</w:t>
      </w:r>
      <w:r>
        <w:rPr>
          <w:rFonts w:hint="default" w:ascii="Times New Roman" w:hAnsi="Times New Roman" w:eastAsia="宋体" w:cs="Times New Roman"/>
          <w:color w:val="auto"/>
          <w:sz w:val="24"/>
          <w:szCs w:val="24"/>
          <w:highlight w:val="none"/>
        </w:rPr>
        <w:t>=</w:t>
      </w:r>
      <w:r>
        <w:rPr>
          <w:rFonts w:hint="eastAsia" w:ascii="Times New Roman" w:hAnsi="Times New Roman"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rPr>
        <w:t>×</w:t>
      </w:r>
      <w:r>
        <w:rPr>
          <w:rFonts w:hint="eastAsia" w:ascii="Times New Roman" w:hAnsi="Times New Roman" w:cs="Times New Roman"/>
          <w:color w:val="auto"/>
          <w:spacing w:val="0"/>
          <w:sz w:val="24"/>
          <w:szCs w:val="24"/>
          <w:highlight w:val="none"/>
          <w:lang w:val="en-US" w:eastAsia="zh-CN"/>
        </w:rPr>
        <w:t>6.51</w:t>
      </w:r>
      <w:r>
        <w:rPr>
          <w:rFonts w:hint="default" w:ascii="Times New Roman" w:hAnsi="Times New Roman" w:eastAsia="宋体" w:cs="Times New Roman"/>
          <w:color w:val="auto"/>
          <w:sz w:val="24"/>
          <w:szCs w:val="24"/>
          <w:highlight w:val="none"/>
        </w:rPr>
        <w:t>×</w:t>
      </w:r>
      <w:r>
        <w:rPr>
          <w:rFonts w:hint="eastAsia" w:ascii="Times New Roman" w:hAnsi="Times New Roman" w:cs="Times New Roman"/>
          <w:color w:val="auto"/>
          <w:spacing w:val="0"/>
          <w:sz w:val="24"/>
          <w:szCs w:val="24"/>
          <w:highlight w:val="none"/>
          <w:lang w:val="en-US" w:eastAsia="zh-CN"/>
        </w:rPr>
        <w:t>15616.86</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vertAlign w:val="superscript"/>
          <w:lang w:val="en-US" w:eastAsia="zh-CN"/>
        </w:rPr>
        <w:t>-6</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1.01</w:t>
      </w:r>
      <w:r>
        <w:rPr>
          <w:rFonts w:hint="default" w:ascii="Times New Roman" w:hAnsi="Times New Roman" w:eastAsia="宋体" w:cs="Times New Roman"/>
          <w:color w:val="auto"/>
          <w:sz w:val="24"/>
          <w:szCs w:val="24"/>
          <w:highlight w:val="none"/>
          <w:lang w:val="en-US" w:eastAsia="zh-CN"/>
        </w:rPr>
        <w:t>t/a</w:t>
      </w:r>
    </w:p>
    <w:p w14:paraId="7FB9CEC1">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bCs/>
          <w:color w:val="auto"/>
          <w:sz w:val="24"/>
          <w:szCs w:val="24"/>
          <w:highlight w:val="none"/>
        </w:rPr>
        <w:t>SO</w:t>
      </w:r>
      <w:r>
        <w:rPr>
          <w:rFonts w:hint="default" w:ascii="Times New Roman" w:hAnsi="Times New Roman" w:eastAsia="宋体" w:cs="Times New Roman"/>
          <w:b/>
          <w:bCs/>
          <w:color w:val="auto"/>
          <w:sz w:val="24"/>
          <w:szCs w:val="24"/>
          <w:highlight w:val="none"/>
          <w:vertAlign w:val="subscript"/>
        </w:rPr>
        <w:t>2</w:t>
      </w:r>
      <w:r>
        <w:rPr>
          <w:rFonts w:hint="default" w:ascii="Times New Roman" w:hAnsi="Times New Roman" w:eastAsia="宋体" w:cs="Times New Roman"/>
          <w:b/>
          <w:color w:val="auto"/>
          <w:sz w:val="24"/>
          <w:szCs w:val="24"/>
          <w:highlight w:val="none"/>
          <w:lang w:val="en-US" w:eastAsia="zh-CN"/>
        </w:rPr>
        <w:t>许可</w:t>
      </w:r>
      <w:r>
        <w:rPr>
          <w:rFonts w:hint="default" w:ascii="Times New Roman" w:hAnsi="Times New Roman" w:eastAsia="宋体" w:cs="Times New Roman"/>
          <w:b/>
          <w:color w:val="auto"/>
          <w:sz w:val="24"/>
          <w:szCs w:val="24"/>
          <w:highlight w:val="none"/>
        </w:rPr>
        <w:t>排放量</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E</w:t>
      </w:r>
      <w:r>
        <w:rPr>
          <w:rFonts w:hint="default" w:ascii="Times New Roman" w:hAnsi="Times New Roman" w:eastAsia="宋体" w:cs="Times New Roman"/>
          <w:color w:val="auto"/>
          <w:sz w:val="24"/>
          <w:szCs w:val="24"/>
          <w:highlight w:val="none"/>
          <w:vertAlign w:val="subscript"/>
        </w:rPr>
        <w:t>SO2</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35</w:t>
      </w:r>
      <w:r>
        <w:rPr>
          <w:rFonts w:hint="default" w:ascii="Times New Roman" w:hAnsi="Times New Roman" w:eastAsia="宋体" w:cs="Times New Roman"/>
          <w:color w:val="auto"/>
          <w:sz w:val="24"/>
          <w:szCs w:val="24"/>
          <w:highlight w:val="none"/>
        </w:rPr>
        <w:t>×</w:t>
      </w:r>
      <w:r>
        <w:rPr>
          <w:rFonts w:hint="eastAsia" w:ascii="Times New Roman" w:hAnsi="Times New Roman" w:cs="Times New Roman"/>
          <w:color w:val="auto"/>
          <w:spacing w:val="0"/>
          <w:sz w:val="24"/>
          <w:szCs w:val="24"/>
          <w:highlight w:val="none"/>
          <w:lang w:val="en-US" w:eastAsia="zh-CN"/>
        </w:rPr>
        <w:t>6.51</w:t>
      </w:r>
      <w:r>
        <w:rPr>
          <w:rFonts w:hint="default" w:ascii="Times New Roman" w:hAnsi="Times New Roman" w:eastAsia="宋体" w:cs="Times New Roman"/>
          <w:color w:val="auto"/>
          <w:sz w:val="24"/>
          <w:szCs w:val="24"/>
          <w:highlight w:val="none"/>
        </w:rPr>
        <w:t>×</w:t>
      </w:r>
      <w:r>
        <w:rPr>
          <w:rFonts w:hint="eastAsia" w:ascii="Times New Roman" w:hAnsi="Times New Roman" w:cs="Times New Roman"/>
          <w:color w:val="auto"/>
          <w:spacing w:val="0"/>
          <w:sz w:val="24"/>
          <w:szCs w:val="24"/>
          <w:highlight w:val="none"/>
          <w:lang w:val="en-US" w:eastAsia="zh-CN"/>
        </w:rPr>
        <w:t>15616.86</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vertAlign w:val="superscript"/>
          <w:lang w:val="en-US" w:eastAsia="zh-CN"/>
        </w:rPr>
        <w:t>-6</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3.</w:t>
      </w:r>
      <w:r>
        <w:rPr>
          <w:rFonts w:hint="eastAsia" w:ascii="Times New Roman" w:hAnsi="Times New Roman" w:cs="Times New Roman"/>
          <w:color w:val="auto"/>
          <w:sz w:val="24"/>
          <w:szCs w:val="24"/>
          <w:highlight w:val="none"/>
          <w:lang w:val="en-US" w:eastAsia="zh-CN"/>
        </w:rPr>
        <w:t>56</w:t>
      </w:r>
      <w:r>
        <w:rPr>
          <w:rFonts w:hint="default" w:ascii="Times New Roman" w:hAnsi="Times New Roman" w:eastAsia="宋体" w:cs="Times New Roman"/>
          <w:color w:val="auto"/>
          <w:sz w:val="24"/>
          <w:szCs w:val="24"/>
          <w:highlight w:val="none"/>
          <w:lang w:val="en-US" w:eastAsia="zh-CN"/>
        </w:rPr>
        <w:t>t/a</w:t>
      </w:r>
    </w:p>
    <w:p w14:paraId="209DFD0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NO</w:t>
      </w:r>
      <w:r>
        <w:rPr>
          <w:rFonts w:hint="default" w:ascii="Times New Roman" w:hAnsi="Times New Roman" w:eastAsia="宋体" w:cs="Times New Roman"/>
          <w:b/>
          <w:bCs/>
          <w:color w:val="auto"/>
          <w:sz w:val="24"/>
          <w:szCs w:val="24"/>
          <w:highlight w:val="none"/>
          <w:vertAlign w:val="subscript"/>
        </w:rPr>
        <w:t>X</w:t>
      </w:r>
      <w:r>
        <w:rPr>
          <w:rFonts w:hint="default" w:ascii="Times New Roman" w:hAnsi="Times New Roman" w:eastAsia="宋体" w:cs="Times New Roman"/>
          <w:b/>
          <w:bCs/>
          <w:color w:val="auto"/>
          <w:sz w:val="24"/>
          <w:szCs w:val="24"/>
          <w:highlight w:val="none"/>
          <w:lang w:val="en-US" w:eastAsia="zh-CN"/>
        </w:rPr>
        <w:t>许</w:t>
      </w:r>
      <w:r>
        <w:rPr>
          <w:rFonts w:hint="default" w:ascii="Times New Roman" w:hAnsi="Times New Roman" w:eastAsia="宋体" w:cs="Times New Roman"/>
          <w:b/>
          <w:color w:val="auto"/>
          <w:sz w:val="24"/>
          <w:szCs w:val="24"/>
          <w:highlight w:val="none"/>
          <w:lang w:val="en-US" w:eastAsia="zh-CN"/>
        </w:rPr>
        <w:t>可</w:t>
      </w:r>
      <w:r>
        <w:rPr>
          <w:rFonts w:hint="default" w:ascii="Times New Roman" w:hAnsi="Times New Roman" w:eastAsia="宋体" w:cs="Times New Roman"/>
          <w:b/>
          <w:color w:val="auto"/>
          <w:sz w:val="24"/>
          <w:szCs w:val="24"/>
          <w:highlight w:val="none"/>
        </w:rPr>
        <w:t>排放量：</w:t>
      </w:r>
      <w:r>
        <w:rPr>
          <w:rFonts w:hint="default" w:ascii="Times New Roman" w:hAnsi="Times New Roman" w:eastAsia="宋体" w:cs="Times New Roman"/>
          <w:color w:val="auto"/>
          <w:sz w:val="24"/>
          <w:szCs w:val="24"/>
          <w:highlight w:val="none"/>
          <w:lang w:val="en-US" w:eastAsia="zh-CN"/>
        </w:rPr>
        <w:t>E</w:t>
      </w:r>
      <w:r>
        <w:rPr>
          <w:rFonts w:hint="default" w:ascii="Times New Roman" w:hAnsi="Times New Roman" w:eastAsia="宋体" w:cs="Times New Roman"/>
          <w:color w:val="auto"/>
          <w:sz w:val="24"/>
          <w:szCs w:val="24"/>
          <w:highlight w:val="none"/>
          <w:vertAlign w:val="subscript"/>
        </w:rPr>
        <w:t>NOx</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50</w:t>
      </w:r>
      <w:r>
        <w:rPr>
          <w:rFonts w:hint="default" w:ascii="Times New Roman" w:hAnsi="Times New Roman" w:eastAsia="宋体" w:cs="Times New Roman"/>
          <w:color w:val="auto"/>
          <w:sz w:val="24"/>
          <w:szCs w:val="24"/>
          <w:highlight w:val="none"/>
        </w:rPr>
        <w:t>×</w:t>
      </w:r>
      <w:r>
        <w:rPr>
          <w:rFonts w:hint="eastAsia" w:ascii="Times New Roman" w:hAnsi="Times New Roman" w:cs="Times New Roman"/>
          <w:color w:val="auto"/>
          <w:spacing w:val="0"/>
          <w:sz w:val="24"/>
          <w:szCs w:val="24"/>
          <w:highlight w:val="none"/>
          <w:lang w:val="en-US" w:eastAsia="zh-CN"/>
        </w:rPr>
        <w:t>6.51</w:t>
      </w:r>
      <w:r>
        <w:rPr>
          <w:rFonts w:hint="default" w:ascii="Times New Roman" w:hAnsi="Times New Roman" w:eastAsia="宋体" w:cs="Times New Roman"/>
          <w:color w:val="auto"/>
          <w:sz w:val="24"/>
          <w:szCs w:val="24"/>
          <w:highlight w:val="none"/>
        </w:rPr>
        <w:t>×</w:t>
      </w:r>
      <w:r>
        <w:rPr>
          <w:rFonts w:hint="eastAsia" w:ascii="Times New Roman" w:hAnsi="Times New Roman" w:cs="Times New Roman"/>
          <w:color w:val="auto"/>
          <w:spacing w:val="0"/>
          <w:sz w:val="24"/>
          <w:szCs w:val="24"/>
          <w:highlight w:val="none"/>
          <w:lang w:val="en-US" w:eastAsia="zh-CN"/>
        </w:rPr>
        <w:t>15616.86</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vertAlign w:val="superscript"/>
          <w:lang w:val="en-US" w:eastAsia="zh-CN"/>
        </w:rPr>
        <w:t>-6</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5.08</w:t>
      </w:r>
      <w:r>
        <w:rPr>
          <w:rFonts w:hint="default" w:ascii="Times New Roman" w:hAnsi="Times New Roman" w:eastAsia="宋体" w:cs="Times New Roman"/>
          <w:color w:val="auto"/>
          <w:sz w:val="24"/>
          <w:szCs w:val="24"/>
          <w:highlight w:val="none"/>
          <w:lang w:val="en-US" w:eastAsia="zh-CN"/>
        </w:rPr>
        <w:t>t/a</w:t>
      </w:r>
    </w:p>
    <w:p w14:paraId="145E1D1F">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各</w:t>
      </w:r>
      <w:r>
        <w:rPr>
          <w:rFonts w:hint="default" w:ascii="Times New Roman" w:hAnsi="Times New Roman" w:eastAsia="宋体" w:cs="Times New Roman"/>
          <w:color w:val="auto"/>
          <w:sz w:val="24"/>
          <w:szCs w:val="24"/>
          <w:highlight w:val="none"/>
        </w:rPr>
        <w:t>污染物排放量核算情况如下</w:t>
      </w:r>
      <w:r>
        <w:rPr>
          <w:rFonts w:hint="eastAsia" w:ascii="Times New Roman" w:hAnsi="Times New Roman" w:eastAsia="宋体" w:cs="Times New Roman"/>
          <w:color w:val="auto"/>
          <w:sz w:val="24"/>
          <w:szCs w:val="24"/>
          <w:highlight w:val="none"/>
          <w:lang w:val="en-US" w:eastAsia="zh-CN"/>
        </w:rPr>
        <w:t>表</w:t>
      </w:r>
      <w:r>
        <w:rPr>
          <w:rFonts w:hint="default" w:ascii="Times New Roman" w:hAnsi="Times New Roman" w:eastAsia="宋体" w:cs="Times New Roman"/>
          <w:color w:val="auto"/>
          <w:sz w:val="24"/>
          <w:szCs w:val="24"/>
          <w:highlight w:val="none"/>
        </w:rPr>
        <w:t>：</w:t>
      </w:r>
    </w:p>
    <w:p w14:paraId="68A9DC28">
      <w:pPr>
        <w:spacing w:line="480" w:lineRule="exact"/>
        <w:jc w:val="center"/>
        <w:rPr>
          <w:rFonts w:hint="default" w:ascii="Times New Roman" w:hAnsi="Times New Roman" w:eastAsia="宋体" w:cs="Times New Roman"/>
          <w:color w:val="auto"/>
          <w:sz w:val="24"/>
          <w:szCs w:val="24"/>
          <w:highlight w:val="none"/>
        </w:rPr>
      </w:pPr>
    </w:p>
    <w:p w14:paraId="12DAB3F7">
      <w:pPr>
        <w:spacing w:line="480" w:lineRule="exact"/>
        <w:jc w:val="center"/>
        <w:rPr>
          <w:rFonts w:hint="default" w:ascii="Times New Roman" w:hAnsi="Times New Roman" w:eastAsia="宋体" w:cs="Times New Roman"/>
          <w:color w:val="auto"/>
          <w:sz w:val="24"/>
          <w:szCs w:val="24"/>
          <w:highlight w:val="none"/>
        </w:rPr>
      </w:pPr>
    </w:p>
    <w:p w14:paraId="74891936">
      <w:pPr>
        <w:spacing w:line="480" w:lineRule="exact"/>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表</w:t>
      </w:r>
      <w:r>
        <w:rPr>
          <w:rFonts w:hint="default" w:ascii="Times New Roman" w:hAnsi="Times New Roman" w:eastAsia="宋体" w:cs="Times New Roman"/>
          <w:color w:val="auto"/>
          <w:sz w:val="24"/>
          <w:szCs w:val="24"/>
          <w:highlight w:val="none"/>
          <w:lang w:val="en-US" w:eastAsia="zh-CN"/>
        </w:rPr>
        <w:t xml:space="preserve">9.4-2  </w:t>
      </w:r>
      <w:r>
        <w:rPr>
          <w:rFonts w:hint="eastAsia" w:ascii="Times New Roman" w:hAnsi="Times New Roman" w:eastAsia="宋体" w:cs="Times New Roman"/>
          <w:color w:val="auto"/>
          <w:sz w:val="24"/>
          <w:szCs w:val="24"/>
          <w:highlight w:val="none"/>
          <w:lang w:val="en-US" w:eastAsia="zh-CN"/>
        </w:rPr>
        <w:t>本项目1×58MW往复炉排热水锅炉</w:t>
      </w:r>
      <w:r>
        <w:rPr>
          <w:rFonts w:hint="default" w:ascii="Times New Roman" w:hAnsi="Times New Roman" w:eastAsia="宋体" w:cs="Times New Roman"/>
          <w:color w:val="auto"/>
          <w:sz w:val="24"/>
          <w:szCs w:val="24"/>
          <w:highlight w:val="none"/>
          <w:lang w:val="en-US" w:eastAsia="zh-CN"/>
        </w:rPr>
        <w:t>年许可排放量核算表</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14:paraId="26C17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9" w:type="pct"/>
            <w:tcBorders>
              <w:top w:val="single" w:color="auto" w:sz="12" w:space="0"/>
              <w:left w:val="nil"/>
            </w:tcBorders>
            <w:noWrap w:val="0"/>
            <w:vAlign w:val="center"/>
          </w:tcPr>
          <w:p w14:paraId="181C2BFE">
            <w:pPr>
              <w:pStyle w:val="97"/>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项目</w:t>
            </w:r>
          </w:p>
        </w:tc>
        <w:tc>
          <w:tcPr>
            <w:tcW w:w="1249" w:type="pct"/>
            <w:tcBorders>
              <w:top w:val="single" w:color="auto" w:sz="12" w:space="0"/>
            </w:tcBorders>
            <w:noWrap w:val="0"/>
            <w:vAlign w:val="center"/>
          </w:tcPr>
          <w:p w14:paraId="305E663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rPr>
            </w:pPr>
            <w:r>
              <w:rPr>
                <w:rFonts w:hint="default" w:ascii="Times New Roman" w:hAnsi="Times New Roman" w:eastAsia="宋体" w:cs="Times New Roman"/>
                <w:b w:val="0"/>
                <w:bCs w:val="0"/>
                <w:color w:val="auto"/>
                <w:sz w:val="21"/>
                <w:szCs w:val="21"/>
                <w:highlight w:val="none"/>
                <w:lang w:val="en-US" w:eastAsia="zh-CN"/>
              </w:rPr>
              <w:t>颗粒物</w:t>
            </w:r>
            <w:r>
              <w:rPr>
                <w:rFonts w:hint="default" w:ascii="Times New Roman" w:hAnsi="Times New Roman" w:eastAsia="宋体" w:cs="Times New Roman"/>
                <w:b w:val="0"/>
                <w:bCs w:val="0"/>
                <w:color w:val="auto"/>
                <w:sz w:val="21"/>
                <w:szCs w:val="21"/>
                <w:highlight w:val="none"/>
              </w:rPr>
              <w:t>排放量（t/a）</w:t>
            </w:r>
          </w:p>
        </w:tc>
        <w:tc>
          <w:tcPr>
            <w:tcW w:w="1250" w:type="pct"/>
            <w:tcBorders>
              <w:top w:val="single" w:color="auto" w:sz="12" w:space="0"/>
            </w:tcBorders>
            <w:noWrap w:val="0"/>
            <w:vAlign w:val="center"/>
          </w:tcPr>
          <w:p w14:paraId="18BB4CB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rPr>
            </w:pPr>
            <w:r>
              <w:rPr>
                <w:rFonts w:hint="default" w:ascii="Times New Roman" w:hAnsi="Times New Roman" w:eastAsia="宋体" w:cs="Times New Roman"/>
                <w:b w:val="0"/>
                <w:bCs w:val="0"/>
                <w:color w:val="auto"/>
                <w:sz w:val="21"/>
                <w:szCs w:val="21"/>
                <w:highlight w:val="none"/>
              </w:rPr>
              <w:t>SO</w:t>
            </w:r>
            <w:r>
              <w:rPr>
                <w:rFonts w:hint="default" w:ascii="Times New Roman" w:hAnsi="Times New Roman" w:eastAsia="宋体" w:cs="Times New Roman"/>
                <w:b w:val="0"/>
                <w:bCs w:val="0"/>
                <w:color w:val="auto"/>
                <w:sz w:val="21"/>
                <w:szCs w:val="21"/>
                <w:highlight w:val="none"/>
                <w:vertAlign w:val="subscript"/>
              </w:rPr>
              <w:t>2</w:t>
            </w:r>
            <w:r>
              <w:rPr>
                <w:rFonts w:hint="default" w:ascii="Times New Roman" w:hAnsi="Times New Roman" w:eastAsia="宋体" w:cs="Times New Roman"/>
                <w:b w:val="0"/>
                <w:bCs w:val="0"/>
                <w:color w:val="auto"/>
                <w:sz w:val="21"/>
                <w:szCs w:val="21"/>
                <w:highlight w:val="none"/>
              </w:rPr>
              <w:t>排放量（t/a）</w:t>
            </w:r>
          </w:p>
        </w:tc>
        <w:tc>
          <w:tcPr>
            <w:tcW w:w="1250" w:type="pct"/>
            <w:tcBorders>
              <w:top w:val="single" w:color="auto" w:sz="12" w:space="0"/>
              <w:right w:val="nil"/>
            </w:tcBorders>
            <w:noWrap w:val="0"/>
            <w:vAlign w:val="center"/>
          </w:tcPr>
          <w:p w14:paraId="79EFFA7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rPr>
            </w:pPr>
            <w:r>
              <w:rPr>
                <w:rFonts w:hint="default" w:ascii="Times New Roman" w:hAnsi="Times New Roman" w:eastAsia="宋体" w:cs="Times New Roman"/>
                <w:b w:val="0"/>
                <w:bCs w:val="0"/>
                <w:color w:val="auto"/>
                <w:sz w:val="21"/>
                <w:szCs w:val="21"/>
                <w:highlight w:val="none"/>
              </w:rPr>
              <w:t>NO</w:t>
            </w:r>
            <w:r>
              <w:rPr>
                <w:rFonts w:hint="default" w:ascii="Times New Roman" w:hAnsi="Times New Roman" w:eastAsia="宋体" w:cs="Times New Roman"/>
                <w:b w:val="0"/>
                <w:bCs w:val="0"/>
                <w:color w:val="auto"/>
                <w:sz w:val="21"/>
                <w:szCs w:val="21"/>
                <w:highlight w:val="none"/>
                <w:vertAlign w:val="subscript"/>
              </w:rPr>
              <w:t>X</w:t>
            </w:r>
            <w:r>
              <w:rPr>
                <w:rFonts w:hint="default" w:ascii="Times New Roman" w:hAnsi="Times New Roman" w:eastAsia="宋体" w:cs="Times New Roman"/>
                <w:b w:val="0"/>
                <w:bCs w:val="0"/>
                <w:color w:val="auto"/>
                <w:sz w:val="21"/>
                <w:szCs w:val="21"/>
                <w:highlight w:val="none"/>
              </w:rPr>
              <w:t>排放量（t/a）</w:t>
            </w:r>
          </w:p>
        </w:tc>
      </w:tr>
      <w:tr w14:paraId="41875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9" w:type="pct"/>
            <w:tcBorders>
              <w:left w:val="nil"/>
              <w:bottom w:val="single" w:color="auto" w:sz="12" w:space="0"/>
            </w:tcBorders>
            <w:noWrap w:val="0"/>
            <w:vAlign w:val="center"/>
          </w:tcPr>
          <w:p w14:paraId="3BF7449A">
            <w:pPr>
              <w:pStyle w:val="97"/>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总量指标</w:t>
            </w:r>
          </w:p>
        </w:tc>
        <w:tc>
          <w:tcPr>
            <w:tcW w:w="1249" w:type="pct"/>
            <w:tcBorders>
              <w:bottom w:val="single" w:color="auto" w:sz="12" w:space="0"/>
            </w:tcBorders>
            <w:noWrap w:val="0"/>
            <w:vAlign w:val="center"/>
          </w:tcPr>
          <w:p w14:paraId="1F9C758F">
            <w:pPr>
              <w:pStyle w:val="128"/>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bidi="ar-SA"/>
              </w:rPr>
            </w:pPr>
            <w:r>
              <w:rPr>
                <w:rFonts w:hint="eastAsia" w:ascii="Times New Roman" w:hAnsi="Times New Roman" w:eastAsia="宋体" w:cs="Times New Roman"/>
                <w:color w:val="auto"/>
                <w:sz w:val="21"/>
                <w:szCs w:val="21"/>
                <w:highlight w:val="none"/>
                <w:vertAlign w:val="baseline"/>
                <w:lang w:val="en-US" w:eastAsia="zh-CN"/>
              </w:rPr>
              <w:t>1.01</w:t>
            </w:r>
          </w:p>
        </w:tc>
        <w:tc>
          <w:tcPr>
            <w:tcW w:w="1250" w:type="pct"/>
            <w:tcBorders>
              <w:bottom w:val="single" w:color="auto" w:sz="12" w:space="0"/>
            </w:tcBorders>
            <w:noWrap w:val="0"/>
            <w:vAlign w:val="center"/>
          </w:tcPr>
          <w:p w14:paraId="7FFDC9AB">
            <w:pPr>
              <w:pStyle w:val="128"/>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bidi="ar-SA"/>
              </w:rPr>
            </w:pPr>
            <w:r>
              <w:rPr>
                <w:rFonts w:hint="eastAsia" w:ascii="Times New Roman" w:hAnsi="Times New Roman" w:eastAsia="宋体" w:cs="Times New Roman"/>
                <w:color w:val="auto"/>
                <w:sz w:val="21"/>
                <w:szCs w:val="21"/>
                <w:highlight w:val="none"/>
                <w:vertAlign w:val="baseline"/>
                <w:lang w:val="en-US" w:eastAsia="zh-CN"/>
              </w:rPr>
              <w:t>3.56</w:t>
            </w:r>
          </w:p>
        </w:tc>
        <w:tc>
          <w:tcPr>
            <w:tcW w:w="1250" w:type="pct"/>
            <w:tcBorders>
              <w:bottom w:val="single" w:color="auto" w:sz="12" w:space="0"/>
              <w:right w:val="nil"/>
            </w:tcBorders>
            <w:noWrap w:val="0"/>
            <w:vAlign w:val="center"/>
          </w:tcPr>
          <w:p w14:paraId="27F8384D">
            <w:pPr>
              <w:pStyle w:val="128"/>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bidi="ar-SA"/>
              </w:rPr>
            </w:pPr>
            <w:r>
              <w:rPr>
                <w:rFonts w:hint="eastAsia" w:ascii="Times New Roman" w:hAnsi="Times New Roman" w:eastAsia="宋体" w:cs="Times New Roman"/>
                <w:color w:val="auto"/>
                <w:sz w:val="21"/>
                <w:szCs w:val="21"/>
                <w:highlight w:val="none"/>
                <w:vertAlign w:val="baseline"/>
                <w:lang w:val="en-US" w:eastAsia="zh-CN"/>
              </w:rPr>
              <w:t>5.08</w:t>
            </w:r>
          </w:p>
        </w:tc>
      </w:tr>
    </w:tbl>
    <w:p w14:paraId="3FDFE55B">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lang w:val="en-US" w:eastAsia="zh-CN"/>
        </w:rPr>
        <w:t>大气污染物排放量“三本账”分析</w:t>
      </w:r>
    </w:p>
    <w:p w14:paraId="6D4C02E9">
      <w:pPr>
        <w:pStyle w:val="69"/>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FF0000"/>
          <w:sz w:val="24"/>
          <w:highlight w:val="none"/>
          <w:lang w:val="en-US" w:eastAsia="zh-CN"/>
        </w:rPr>
      </w:pPr>
      <w:r>
        <w:rPr>
          <w:rFonts w:hint="default" w:ascii="Times New Roman" w:hAnsi="Times New Roman" w:eastAsia="宋体" w:cs="Times New Roman"/>
          <w:color w:val="FF0000"/>
          <w:sz w:val="24"/>
          <w:highlight w:val="none"/>
          <w:lang w:val="en-US" w:eastAsia="zh-CN"/>
        </w:rPr>
        <w:t>本项目投产后全厂污染物排放情况见表9.4-3。</w:t>
      </w:r>
    </w:p>
    <w:p w14:paraId="00A5E23C">
      <w:pPr>
        <w:pStyle w:val="15"/>
        <w:spacing w:after="0" w:line="480" w:lineRule="exact"/>
        <w:ind w:left="0" w:leftChars="0" w:firstLine="0" w:firstLineChars="0"/>
        <w:jc w:val="center"/>
        <w:rPr>
          <w:rFonts w:hint="default" w:ascii="Times New Roman" w:hAnsi="Times New Roman" w:eastAsia="宋体" w:cs="Times New Roman"/>
          <w:color w:val="FF0000"/>
          <w:spacing w:val="20"/>
          <w:sz w:val="24"/>
          <w:highlight w:val="none"/>
        </w:rPr>
      </w:pPr>
      <w:r>
        <w:rPr>
          <w:rFonts w:hint="default" w:ascii="Times New Roman" w:hAnsi="Times New Roman" w:eastAsia="宋体" w:cs="Times New Roman"/>
          <w:color w:val="FF0000"/>
          <w:spacing w:val="20"/>
          <w:sz w:val="24"/>
          <w:highlight w:val="none"/>
        </w:rPr>
        <w:t>表</w:t>
      </w:r>
      <w:r>
        <w:rPr>
          <w:rFonts w:hint="default" w:ascii="Times New Roman" w:hAnsi="Times New Roman" w:eastAsia="宋体" w:cs="Times New Roman"/>
          <w:color w:val="FF0000"/>
          <w:spacing w:val="20"/>
          <w:sz w:val="24"/>
          <w:highlight w:val="none"/>
          <w:lang w:val="en-US" w:eastAsia="zh-CN"/>
        </w:rPr>
        <w:t xml:space="preserve">9.4-3  </w:t>
      </w:r>
      <w:r>
        <w:rPr>
          <w:rFonts w:hint="default" w:ascii="Times New Roman" w:hAnsi="Times New Roman" w:eastAsia="宋体" w:cs="Times New Roman"/>
          <w:color w:val="FF0000"/>
          <w:spacing w:val="20"/>
          <w:sz w:val="24"/>
          <w:highlight w:val="none"/>
        </w:rPr>
        <w:t>本项目污染物</w:t>
      </w:r>
      <w:r>
        <w:rPr>
          <w:rFonts w:hint="default" w:ascii="Times New Roman" w:hAnsi="Times New Roman" w:eastAsia="宋体" w:cs="Times New Roman"/>
          <w:color w:val="FF0000"/>
          <w:spacing w:val="20"/>
          <w:sz w:val="24"/>
          <w:highlight w:val="none"/>
          <w:lang w:val="en-US" w:eastAsia="zh-CN"/>
        </w:rPr>
        <w:t>预测</w:t>
      </w:r>
      <w:r>
        <w:rPr>
          <w:rFonts w:hint="default" w:ascii="Times New Roman" w:hAnsi="Times New Roman" w:eastAsia="宋体" w:cs="Times New Roman"/>
          <w:color w:val="FF0000"/>
          <w:spacing w:val="20"/>
          <w:sz w:val="24"/>
          <w:highlight w:val="none"/>
        </w:rPr>
        <w:t>排放</w:t>
      </w:r>
      <w:r>
        <w:rPr>
          <w:rFonts w:hint="default" w:ascii="Times New Roman" w:hAnsi="Times New Roman" w:eastAsia="宋体" w:cs="Times New Roman"/>
          <w:color w:val="FF0000"/>
          <w:spacing w:val="20"/>
          <w:sz w:val="24"/>
          <w:highlight w:val="none"/>
          <w:lang w:val="en-US" w:eastAsia="zh-CN"/>
        </w:rPr>
        <w:t>量</w:t>
      </w:r>
      <w:r>
        <w:rPr>
          <w:rFonts w:hint="default" w:ascii="Times New Roman" w:hAnsi="Times New Roman" w:eastAsia="宋体" w:cs="Times New Roman"/>
          <w:color w:val="FF0000"/>
          <w:spacing w:val="20"/>
          <w:sz w:val="24"/>
          <w:highlight w:val="none"/>
        </w:rPr>
        <w:t>“三本账”一览表（单位t/a）</w:t>
      </w:r>
    </w:p>
    <w:tbl>
      <w:tblPr>
        <w:tblStyle w:val="37"/>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1798"/>
        <w:gridCol w:w="2224"/>
        <w:gridCol w:w="2100"/>
        <w:gridCol w:w="2397"/>
      </w:tblGrid>
      <w:tr w14:paraId="03453BC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055" w:type="pct"/>
            <w:tcBorders>
              <w:tl2br w:val="nil"/>
              <w:tr2bl w:val="nil"/>
            </w:tcBorders>
            <w:noWrap w:val="0"/>
            <w:vAlign w:val="center"/>
          </w:tcPr>
          <w:p w14:paraId="7D8FFC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sz w:val="21"/>
                <w:szCs w:val="21"/>
                <w:highlight w:val="none"/>
                <w:u w:val="none"/>
              </w:rPr>
            </w:pPr>
            <w:r>
              <w:rPr>
                <w:rFonts w:hint="default" w:ascii="Times New Roman" w:hAnsi="Times New Roman" w:eastAsia="宋体" w:cs="Times New Roman"/>
                <w:i w:val="0"/>
                <w:iCs w:val="0"/>
                <w:color w:val="FF0000"/>
                <w:kern w:val="0"/>
                <w:sz w:val="21"/>
                <w:szCs w:val="21"/>
                <w:highlight w:val="none"/>
                <w:u w:val="none"/>
                <w:lang w:val="en-US" w:eastAsia="zh-CN" w:bidi="ar"/>
              </w:rPr>
              <w:t>污染物</w:t>
            </w:r>
          </w:p>
        </w:tc>
        <w:tc>
          <w:tcPr>
            <w:tcW w:w="1305" w:type="pct"/>
            <w:tcBorders>
              <w:tl2br w:val="nil"/>
              <w:tr2bl w:val="nil"/>
            </w:tcBorders>
            <w:noWrap w:val="0"/>
            <w:vAlign w:val="center"/>
          </w:tcPr>
          <w:p w14:paraId="59EAAF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sz w:val="21"/>
                <w:szCs w:val="21"/>
                <w:highlight w:val="none"/>
                <w:u w:val="none"/>
                <w:lang w:val="en-US"/>
              </w:rPr>
            </w:pPr>
            <w:r>
              <w:rPr>
                <w:rFonts w:hint="default" w:ascii="Times New Roman" w:hAnsi="Times New Roman" w:eastAsia="宋体" w:cs="Times New Roman"/>
                <w:i w:val="0"/>
                <w:iCs w:val="0"/>
                <w:color w:val="FF0000"/>
                <w:kern w:val="0"/>
                <w:sz w:val="21"/>
                <w:szCs w:val="21"/>
                <w:highlight w:val="none"/>
                <w:u w:val="none"/>
                <w:lang w:val="en-US" w:eastAsia="zh-CN" w:bidi="ar"/>
              </w:rPr>
              <w:t>现有工程许可排放量</w:t>
            </w:r>
          </w:p>
        </w:tc>
        <w:tc>
          <w:tcPr>
            <w:tcW w:w="1232" w:type="pct"/>
            <w:tcBorders>
              <w:tl2br w:val="nil"/>
              <w:tr2bl w:val="nil"/>
            </w:tcBorders>
            <w:noWrap w:val="0"/>
            <w:vAlign w:val="center"/>
          </w:tcPr>
          <w:p w14:paraId="209998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sz w:val="21"/>
                <w:szCs w:val="21"/>
                <w:highlight w:val="none"/>
                <w:u w:val="none"/>
                <w:lang w:val="en-US"/>
              </w:rPr>
            </w:pPr>
            <w:r>
              <w:rPr>
                <w:rFonts w:hint="default" w:ascii="Times New Roman" w:hAnsi="Times New Roman" w:eastAsia="宋体" w:cs="Times New Roman"/>
                <w:i w:val="0"/>
                <w:iCs w:val="0"/>
                <w:color w:val="FF0000"/>
                <w:kern w:val="0"/>
                <w:sz w:val="21"/>
                <w:szCs w:val="21"/>
                <w:highlight w:val="none"/>
                <w:u w:val="none"/>
                <w:lang w:val="en-US" w:eastAsia="zh-CN" w:bidi="ar"/>
              </w:rPr>
              <w:t>本工程</w:t>
            </w:r>
            <w:r>
              <w:rPr>
                <w:rFonts w:hint="eastAsia" w:ascii="Times New Roman" w:hAnsi="Times New Roman" w:eastAsia="宋体" w:cs="Times New Roman"/>
                <w:i w:val="0"/>
                <w:iCs w:val="0"/>
                <w:color w:val="FF0000"/>
                <w:kern w:val="0"/>
                <w:sz w:val="21"/>
                <w:szCs w:val="21"/>
                <w:highlight w:val="none"/>
                <w:u w:val="none"/>
                <w:lang w:val="en-US" w:eastAsia="zh-CN" w:bidi="ar"/>
              </w:rPr>
              <w:t>许可</w:t>
            </w:r>
            <w:r>
              <w:rPr>
                <w:rFonts w:hint="default" w:ascii="Times New Roman" w:hAnsi="Times New Roman" w:eastAsia="宋体" w:cs="Times New Roman"/>
                <w:i w:val="0"/>
                <w:iCs w:val="0"/>
                <w:color w:val="FF0000"/>
                <w:kern w:val="0"/>
                <w:sz w:val="21"/>
                <w:szCs w:val="21"/>
                <w:highlight w:val="none"/>
                <w:u w:val="none"/>
                <w:lang w:val="en-US" w:eastAsia="zh-CN" w:bidi="ar"/>
              </w:rPr>
              <w:t>排放量</w:t>
            </w:r>
          </w:p>
        </w:tc>
        <w:tc>
          <w:tcPr>
            <w:tcW w:w="1406" w:type="pct"/>
            <w:tcBorders>
              <w:tl2br w:val="nil"/>
              <w:tr2bl w:val="nil"/>
            </w:tcBorders>
            <w:noWrap w:val="0"/>
            <w:vAlign w:val="center"/>
          </w:tcPr>
          <w:p w14:paraId="0FE9CE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sz w:val="21"/>
                <w:szCs w:val="21"/>
                <w:highlight w:val="none"/>
                <w:u w:val="none"/>
                <w:lang w:val="en-US"/>
              </w:rPr>
            </w:pPr>
            <w:r>
              <w:rPr>
                <w:rFonts w:hint="default" w:ascii="Times New Roman" w:hAnsi="Times New Roman" w:eastAsia="宋体" w:cs="Times New Roman"/>
                <w:i w:val="0"/>
                <w:iCs w:val="0"/>
                <w:color w:val="FF0000"/>
                <w:kern w:val="0"/>
                <w:sz w:val="21"/>
                <w:szCs w:val="21"/>
                <w:highlight w:val="none"/>
                <w:u w:val="none"/>
                <w:lang w:val="en-US" w:eastAsia="zh-CN" w:bidi="ar"/>
              </w:rPr>
              <w:t>总体工程</w:t>
            </w:r>
            <w:r>
              <w:rPr>
                <w:rFonts w:hint="eastAsia" w:ascii="Times New Roman" w:hAnsi="Times New Roman" w:eastAsia="宋体" w:cs="Times New Roman"/>
                <w:i w:val="0"/>
                <w:iCs w:val="0"/>
                <w:color w:val="FF0000"/>
                <w:kern w:val="0"/>
                <w:sz w:val="21"/>
                <w:szCs w:val="21"/>
                <w:highlight w:val="none"/>
                <w:u w:val="none"/>
                <w:lang w:val="en-US" w:eastAsia="zh-CN" w:bidi="ar"/>
              </w:rPr>
              <w:t>许可排放总量</w:t>
            </w:r>
          </w:p>
        </w:tc>
      </w:tr>
      <w:tr w14:paraId="4C9E569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055" w:type="pct"/>
            <w:tcBorders>
              <w:tl2br w:val="nil"/>
              <w:tr2bl w:val="nil"/>
            </w:tcBorders>
            <w:noWrap w:val="0"/>
            <w:vAlign w:val="center"/>
          </w:tcPr>
          <w:p w14:paraId="771D9E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sz w:val="21"/>
                <w:szCs w:val="21"/>
                <w:highlight w:val="none"/>
                <w:u w:val="none"/>
              </w:rPr>
            </w:pPr>
            <w:r>
              <w:rPr>
                <w:rFonts w:hint="default" w:ascii="Times New Roman" w:hAnsi="Times New Roman" w:eastAsia="宋体" w:cs="Times New Roman"/>
                <w:i w:val="0"/>
                <w:iCs w:val="0"/>
                <w:color w:val="FF0000"/>
                <w:kern w:val="0"/>
                <w:sz w:val="21"/>
                <w:szCs w:val="21"/>
                <w:highlight w:val="none"/>
                <w:u w:val="none"/>
                <w:lang w:val="en-US" w:eastAsia="zh-CN" w:bidi="ar"/>
              </w:rPr>
              <w:t>颗粒物</w:t>
            </w:r>
          </w:p>
        </w:tc>
        <w:tc>
          <w:tcPr>
            <w:tcW w:w="1305" w:type="pct"/>
            <w:tcBorders>
              <w:tl2br w:val="nil"/>
              <w:tr2bl w:val="nil"/>
            </w:tcBorders>
            <w:noWrap w:val="0"/>
            <w:vAlign w:val="center"/>
          </w:tcPr>
          <w:p w14:paraId="3EEE59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snapToGrid w:val="0"/>
                <w:color w:val="FF0000"/>
                <w:kern w:val="2"/>
                <w:sz w:val="21"/>
                <w:szCs w:val="21"/>
                <w:highlight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92.08</w:t>
            </w:r>
          </w:p>
        </w:tc>
        <w:tc>
          <w:tcPr>
            <w:tcW w:w="1232" w:type="pct"/>
            <w:tcBorders>
              <w:tl2br w:val="nil"/>
              <w:tr2bl w:val="nil"/>
            </w:tcBorders>
            <w:noWrap w:val="0"/>
            <w:vAlign w:val="center"/>
          </w:tcPr>
          <w:p w14:paraId="55350C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1.01</w:t>
            </w:r>
          </w:p>
        </w:tc>
        <w:tc>
          <w:tcPr>
            <w:tcW w:w="1406" w:type="pct"/>
            <w:tcBorders>
              <w:tl2br w:val="nil"/>
              <w:tr2bl w:val="nil"/>
            </w:tcBorders>
            <w:noWrap w:val="0"/>
            <w:vAlign w:val="center"/>
          </w:tcPr>
          <w:p w14:paraId="0F8B5E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93.09</w:t>
            </w:r>
          </w:p>
        </w:tc>
      </w:tr>
      <w:tr w14:paraId="62AB4FA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055" w:type="pct"/>
            <w:tcBorders>
              <w:tl2br w:val="nil"/>
              <w:tr2bl w:val="nil"/>
            </w:tcBorders>
            <w:noWrap w:val="0"/>
            <w:vAlign w:val="center"/>
          </w:tcPr>
          <w:p w14:paraId="410849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sz w:val="21"/>
                <w:szCs w:val="21"/>
                <w:highlight w:val="none"/>
                <w:u w:val="none"/>
              </w:rPr>
            </w:pPr>
            <w:r>
              <w:rPr>
                <w:rFonts w:hint="default" w:ascii="Times New Roman" w:hAnsi="Times New Roman" w:eastAsia="宋体" w:cs="Times New Roman"/>
                <w:i w:val="0"/>
                <w:iCs w:val="0"/>
                <w:color w:val="FF0000"/>
                <w:kern w:val="0"/>
                <w:sz w:val="21"/>
                <w:szCs w:val="21"/>
                <w:highlight w:val="none"/>
                <w:u w:val="none"/>
                <w:lang w:val="en-US" w:eastAsia="zh-CN" w:bidi="ar"/>
              </w:rPr>
              <w:t>SO</w:t>
            </w:r>
            <w:r>
              <w:rPr>
                <w:rFonts w:hint="default" w:ascii="Times New Roman" w:hAnsi="Times New Roman" w:eastAsia="宋体" w:cs="Times New Roman"/>
                <w:i w:val="0"/>
                <w:iCs w:val="0"/>
                <w:color w:val="FF0000"/>
                <w:kern w:val="0"/>
                <w:sz w:val="21"/>
                <w:szCs w:val="21"/>
                <w:highlight w:val="none"/>
                <w:u w:val="none"/>
                <w:vertAlign w:val="subscript"/>
                <w:lang w:val="en-US" w:eastAsia="zh-CN" w:bidi="ar"/>
              </w:rPr>
              <w:t>2</w:t>
            </w:r>
          </w:p>
        </w:tc>
        <w:tc>
          <w:tcPr>
            <w:tcW w:w="1305" w:type="pct"/>
            <w:tcBorders>
              <w:tl2br w:val="nil"/>
              <w:tr2bl w:val="nil"/>
            </w:tcBorders>
            <w:noWrap w:val="0"/>
            <w:vAlign w:val="center"/>
          </w:tcPr>
          <w:p w14:paraId="15295E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snapToGrid w:val="0"/>
                <w:color w:val="FF0000"/>
                <w:kern w:val="2"/>
                <w:sz w:val="21"/>
                <w:szCs w:val="21"/>
                <w:highlight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318.69</w:t>
            </w:r>
          </w:p>
        </w:tc>
        <w:tc>
          <w:tcPr>
            <w:tcW w:w="1232" w:type="pct"/>
            <w:tcBorders>
              <w:tl2br w:val="nil"/>
              <w:tr2bl w:val="nil"/>
            </w:tcBorders>
            <w:noWrap w:val="0"/>
            <w:vAlign w:val="center"/>
          </w:tcPr>
          <w:p w14:paraId="7E6377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3.56</w:t>
            </w:r>
          </w:p>
        </w:tc>
        <w:tc>
          <w:tcPr>
            <w:tcW w:w="1406" w:type="pct"/>
            <w:tcBorders>
              <w:tl2br w:val="nil"/>
              <w:tr2bl w:val="nil"/>
            </w:tcBorders>
            <w:noWrap w:val="0"/>
            <w:vAlign w:val="center"/>
          </w:tcPr>
          <w:p w14:paraId="7F0510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322.25</w:t>
            </w:r>
          </w:p>
        </w:tc>
      </w:tr>
      <w:tr w14:paraId="06A9EB6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055" w:type="pct"/>
            <w:tcBorders>
              <w:tl2br w:val="nil"/>
              <w:tr2bl w:val="nil"/>
            </w:tcBorders>
            <w:noWrap w:val="0"/>
            <w:vAlign w:val="center"/>
          </w:tcPr>
          <w:p w14:paraId="6FE932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FF0000"/>
                <w:sz w:val="21"/>
                <w:szCs w:val="21"/>
                <w:highlight w:val="none"/>
                <w:u w:val="none"/>
              </w:rPr>
            </w:pPr>
            <w:r>
              <w:rPr>
                <w:rFonts w:hint="default" w:ascii="Times New Roman" w:hAnsi="Times New Roman" w:eastAsia="宋体" w:cs="Times New Roman"/>
                <w:i w:val="0"/>
                <w:iCs w:val="0"/>
                <w:color w:val="FF0000"/>
                <w:kern w:val="0"/>
                <w:sz w:val="21"/>
                <w:szCs w:val="21"/>
                <w:highlight w:val="none"/>
                <w:u w:val="none"/>
                <w:lang w:val="en-US" w:eastAsia="zh-CN" w:bidi="ar"/>
              </w:rPr>
              <w:t>NOx</w:t>
            </w:r>
          </w:p>
        </w:tc>
        <w:tc>
          <w:tcPr>
            <w:tcW w:w="1305" w:type="pct"/>
            <w:tcBorders>
              <w:tl2br w:val="nil"/>
              <w:tr2bl w:val="nil"/>
            </w:tcBorders>
            <w:noWrap w:val="0"/>
            <w:vAlign w:val="center"/>
          </w:tcPr>
          <w:p w14:paraId="10B515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snapToGrid w:val="0"/>
                <w:color w:val="FF0000"/>
                <w:kern w:val="2"/>
                <w:sz w:val="21"/>
                <w:szCs w:val="21"/>
                <w:highlight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336.35</w:t>
            </w:r>
          </w:p>
        </w:tc>
        <w:tc>
          <w:tcPr>
            <w:tcW w:w="1232" w:type="pct"/>
            <w:tcBorders>
              <w:tl2br w:val="nil"/>
              <w:tr2bl w:val="nil"/>
            </w:tcBorders>
            <w:noWrap w:val="0"/>
            <w:vAlign w:val="center"/>
          </w:tcPr>
          <w:p w14:paraId="325636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5.08</w:t>
            </w:r>
          </w:p>
        </w:tc>
        <w:tc>
          <w:tcPr>
            <w:tcW w:w="1406" w:type="pct"/>
            <w:tcBorders>
              <w:tl2br w:val="nil"/>
              <w:tr2bl w:val="nil"/>
            </w:tcBorders>
            <w:noWrap w:val="0"/>
            <w:vAlign w:val="center"/>
          </w:tcPr>
          <w:p w14:paraId="535F81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341.43</w:t>
            </w:r>
          </w:p>
        </w:tc>
      </w:tr>
    </w:tbl>
    <w:p w14:paraId="7C649327">
      <w:pPr>
        <w:pStyle w:val="69"/>
        <w:keepNext w:val="0"/>
        <w:keepLines w:val="0"/>
        <w:pageBreakBefore w:val="0"/>
        <w:widowControl w:val="0"/>
        <w:shd w:val="clear" w:color="auto" w:fill="auto"/>
        <w:kinsoku/>
        <w:wordWrap/>
        <w:overflowPunct/>
        <w:topLinePunct w:val="0"/>
        <w:autoSpaceDE/>
        <w:autoSpaceDN/>
        <w:bidi w:val="0"/>
        <w:adjustRightInd/>
        <w:snapToGrid/>
        <w:spacing w:line="480" w:lineRule="exact"/>
        <w:ind w:left="0" w:leftChars="0" w:firstLine="0" w:firstLineChars="0"/>
        <w:textAlignment w:val="auto"/>
        <w:rPr>
          <w:rFonts w:hint="default" w:ascii="Times New Roman" w:hAnsi="Times New Roman" w:eastAsia="宋体" w:cs="Times New Roman"/>
          <w:snapToGrid w:val="0"/>
          <w:color w:val="auto"/>
          <w:sz w:val="24"/>
          <w:szCs w:val="24"/>
          <w:highlight w:val="none"/>
          <w:lang w:val="en-US" w:eastAsia="zh-CN"/>
        </w:rPr>
      </w:pPr>
      <w:r>
        <w:rPr>
          <w:rFonts w:hint="default" w:ascii="Times New Roman" w:hAnsi="Times New Roman" w:eastAsia="宋体" w:cs="Times New Roman"/>
          <w:snapToGrid w:val="0"/>
          <w:color w:val="auto"/>
          <w:sz w:val="24"/>
          <w:szCs w:val="24"/>
          <w:highlight w:val="none"/>
          <w:lang w:val="en-US" w:eastAsia="zh-CN"/>
        </w:rPr>
        <w:t xml:space="preserve">9.4.3.2 </w:t>
      </w:r>
      <w:r>
        <w:rPr>
          <w:rFonts w:hint="default" w:ascii="Times New Roman" w:hAnsi="Times New Roman" w:eastAsia="宋体" w:cs="Times New Roman"/>
          <w:color w:val="auto"/>
          <w:sz w:val="24"/>
          <w:szCs w:val="24"/>
          <w:highlight w:val="none"/>
          <w:lang w:val="en-US" w:eastAsia="zh-CN"/>
        </w:rPr>
        <w:t>氨氮、COD总量控制指标</w:t>
      </w:r>
    </w:p>
    <w:p w14:paraId="0BA839BA">
      <w:pPr>
        <w:rPr>
          <w:rFonts w:hint="default" w:ascii="Times New Roman" w:hAnsi="Times New Roman" w:eastAsia="宋体" w:cs="Times New Roman"/>
          <w:color w:val="auto"/>
          <w:sz w:val="24"/>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ascii="Times New Roman" w:hAnsi="Times New Roman" w:eastAsia="宋体" w:cs="Times New Roman"/>
          <w:color w:val="auto"/>
          <w:sz w:val="24"/>
          <w:highlight w:val="none"/>
          <w:lang w:val="en-US" w:eastAsia="zh-CN"/>
        </w:rPr>
        <w:t>本项目所在厂区生活污水污染物浓度满足</w:t>
      </w:r>
      <w:r>
        <w:rPr>
          <w:rFonts w:hint="eastAsia" w:ascii="Times New Roman" w:hAnsi="Times New Roman" w:eastAsia="宋体" w:cs="Times New Roman"/>
          <w:color w:val="auto"/>
          <w:sz w:val="24"/>
          <w:highlight w:val="none"/>
          <w:lang w:val="en-US" w:eastAsia="zh-CN"/>
        </w:rPr>
        <w:t>佳木斯西区污水处理厂</w:t>
      </w:r>
      <w:r>
        <w:rPr>
          <w:rFonts w:hint="default" w:ascii="Times New Roman" w:hAnsi="Times New Roman" w:eastAsia="宋体" w:cs="Times New Roman"/>
          <w:color w:val="auto"/>
          <w:sz w:val="24"/>
          <w:highlight w:val="none"/>
          <w:lang w:val="en-US" w:eastAsia="zh-CN"/>
        </w:rPr>
        <w:t>进水水质指标，经市政污水管网排入</w:t>
      </w:r>
      <w:r>
        <w:rPr>
          <w:rFonts w:hint="eastAsia" w:ascii="Times New Roman" w:hAnsi="Times New Roman" w:eastAsia="宋体" w:cs="Times New Roman"/>
          <w:color w:val="auto"/>
          <w:sz w:val="24"/>
          <w:highlight w:val="none"/>
          <w:lang w:val="en-US" w:eastAsia="zh-CN"/>
        </w:rPr>
        <w:t>佳木斯西区污水处理厂</w:t>
      </w:r>
      <w:r>
        <w:rPr>
          <w:rFonts w:hint="default" w:ascii="Times New Roman" w:hAnsi="Times New Roman" w:eastAsia="宋体" w:cs="Times New Roman"/>
          <w:color w:val="auto"/>
          <w:sz w:val="24"/>
          <w:highlight w:val="none"/>
          <w:lang w:val="en-US" w:eastAsia="zh-CN"/>
        </w:rPr>
        <w:t>，经处理后污水排放浓度达到《城镇污水处理厂污染物排放标准》（GB18918-2002）一级A标准后排入</w:t>
      </w:r>
      <w:r>
        <w:rPr>
          <w:rFonts w:hint="eastAsia" w:ascii="Times New Roman" w:hAnsi="Times New Roman" w:eastAsia="宋体" w:cs="Times New Roman"/>
          <w:color w:val="auto"/>
          <w:sz w:val="24"/>
          <w:highlight w:val="none"/>
          <w:lang w:val="en-US" w:eastAsia="zh-CN"/>
        </w:rPr>
        <w:t>松花江</w:t>
      </w:r>
      <w:r>
        <w:rPr>
          <w:rFonts w:hint="default" w:ascii="Times New Roman" w:hAnsi="Times New Roman" w:eastAsia="宋体" w:cs="Times New Roman"/>
          <w:color w:val="auto"/>
          <w:sz w:val="24"/>
          <w:highlight w:val="none"/>
          <w:lang w:val="en-US" w:eastAsia="zh-CN"/>
        </w:rPr>
        <w:t>。本项目</w:t>
      </w:r>
      <w:r>
        <w:rPr>
          <w:rFonts w:hint="eastAsia" w:ascii="Times New Roman" w:hAnsi="Times New Roman" w:eastAsia="宋体" w:cs="Times New Roman"/>
          <w:color w:val="auto"/>
          <w:sz w:val="24"/>
          <w:highlight w:val="none"/>
          <w:lang w:val="en-US" w:eastAsia="zh-CN"/>
        </w:rPr>
        <w:t>运营期</w:t>
      </w:r>
      <w:r>
        <w:rPr>
          <w:rFonts w:hint="default" w:ascii="Times New Roman" w:hAnsi="Times New Roman" w:eastAsia="宋体" w:cs="Times New Roman"/>
          <w:color w:val="auto"/>
          <w:sz w:val="24"/>
          <w:highlight w:val="none"/>
          <w:lang w:val="en-US" w:eastAsia="zh-CN"/>
        </w:rPr>
        <w:t>不新增工作人员，全部由厂区工作人员调配，厂区无新增生活污水量。</w:t>
      </w:r>
      <w:r>
        <w:rPr>
          <w:rFonts w:hint="default" w:ascii="Times New Roman" w:hAnsi="Times New Roman" w:eastAsia="宋体" w:cs="Times New Roman"/>
          <w:color w:val="auto"/>
          <w:sz w:val="24"/>
          <w:szCs w:val="24"/>
          <w:highlight w:val="none"/>
          <w:lang w:val="en-US" w:eastAsia="zh-CN"/>
        </w:rPr>
        <w:t>脱硫废水经曝气、沉淀后用于脱硝补水和输煤系统除尘、除渣用水。含煤废水经厂区内现有污水处理间处理，处理工艺为过滤+沉淀+气浮，处理后的废水进入地下水池回用。锅炉排污水、软化水处理废水、处理后的含煤废水用于输煤栈桥冲洗、输煤系统除尘水、</w:t>
      </w:r>
      <w:r>
        <w:rPr>
          <w:rFonts w:hint="eastAsia" w:ascii="Times New Roman" w:hAnsi="Times New Roman" w:eastAsia="宋体" w:cs="Times New Roman"/>
          <w:color w:val="auto"/>
          <w:sz w:val="24"/>
          <w:szCs w:val="24"/>
          <w:highlight w:val="none"/>
          <w:lang w:val="en-US" w:eastAsia="zh-CN"/>
        </w:rPr>
        <w:t>渣库降尘等工序</w:t>
      </w:r>
      <w:r>
        <w:rPr>
          <w:rFonts w:hint="default" w:ascii="Times New Roman" w:hAnsi="Times New Roman" w:eastAsia="宋体" w:cs="Times New Roman"/>
          <w:color w:val="auto"/>
          <w:sz w:val="24"/>
          <w:szCs w:val="24"/>
          <w:highlight w:val="none"/>
          <w:lang w:val="en-US" w:eastAsia="zh-CN"/>
        </w:rPr>
        <w:t>，不外排</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sz w:val="24"/>
          <w:highlight w:val="none"/>
          <w:lang w:val="en-US" w:eastAsia="zh-CN"/>
        </w:rPr>
        <w:t>本项目无需申请水污染物总量指标。</w:t>
      </w:r>
    </w:p>
    <w:p w14:paraId="4BD49E09">
      <w:pPr>
        <w:keepNext/>
        <w:keepLines/>
        <w:widowControl w:val="0"/>
        <w:bidi w:val="0"/>
        <w:spacing w:before="340" w:after="340" w:line="240" w:lineRule="auto"/>
        <w:ind w:firstLine="0" w:firstLineChars="0"/>
        <w:jc w:val="both"/>
        <w:outlineLvl w:val="0"/>
        <w:rPr>
          <w:rFonts w:hint="default" w:ascii="Times New Roman" w:hAnsi="Times New Roman" w:eastAsia="宋体" w:cs="Times New Roman"/>
          <w:b/>
          <w:bCs/>
          <w:color w:val="auto"/>
          <w:kern w:val="44"/>
          <w:sz w:val="32"/>
          <w:szCs w:val="44"/>
          <w:highlight w:val="none"/>
          <w:lang w:val="en-US" w:eastAsia="zh-CN" w:bidi="ar-SA"/>
        </w:rPr>
      </w:pPr>
      <w:bookmarkStart w:id="593" w:name="_Toc5104"/>
      <w:bookmarkStart w:id="594" w:name="_Toc12828"/>
      <w:r>
        <w:rPr>
          <w:rFonts w:hint="default" w:ascii="Times New Roman" w:hAnsi="Times New Roman" w:eastAsia="宋体" w:cs="Times New Roman"/>
          <w:b/>
          <w:bCs/>
          <w:color w:val="auto"/>
          <w:kern w:val="44"/>
          <w:sz w:val="32"/>
          <w:szCs w:val="44"/>
          <w:highlight w:val="none"/>
          <w:lang w:val="en-US" w:eastAsia="zh-CN" w:bidi="ar-SA"/>
        </w:rPr>
        <w:t>10 环境影响评价结论</w:t>
      </w:r>
      <w:bookmarkEnd w:id="593"/>
      <w:bookmarkEnd w:id="594"/>
    </w:p>
    <w:p w14:paraId="4FA369DA">
      <w:pPr>
        <w:keepNext/>
        <w:keepLines/>
        <w:widowControl w:val="0"/>
        <w:bidi w:val="0"/>
        <w:spacing w:before="200" w:after="200" w:line="240" w:lineRule="auto"/>
        <w:ind w:firstLine="0" w:firstLineChars="0"/>
        <w:jc w:val="both"/>
        <w:outlineLvl w:val="1"/>
        <w:rPr>
          <w:rFonts w:hint="default" w:ascii="Times New Roman" w:hAnsi="Times New Roman" w:eastAsia="宋体" w:cs="Times New Roman"/>
          <w:b/>
          <w:bCs/>
          <w:color w:val="auto"/>
          <w:kern w:val="2"/>
          <w:sz w:val="30"/>
          <w:szCs w:val="30"/>
          <w:highlight w:val="none"/>
          <w:lang w:val="en-US" w:eastAsia="zh-CN" w:bidi="ar-SA"/>
        </w:rPr>
      </w:pPr>
      <w:bookmarkStart w:id="595" w:name="_Toc355942128"/>
      <w:bookmarkStart w:id="596" w:name="_Toc337734542"/>
      <w:bookmarkStart w:id="597" w:name="_Toc185048000"/>
      <w:bookmarkStart w:id="598" w:name="_Toc24510"/>
      <w:bookmarkStart w:id="599" w:name="_Toc9838"/>
      <w:bookmarkStart w:id="600" w:name="_Toc30397"/>
      <w:r>
        <w:rPr>
          <w:rFonts w:hint="default" w:ascii="Times New Roman" w:hAnsi="Times New Roman" w:eastAsia="宋体" w:cs="Times New Roman"/>
          <w:b/>
          <w:bCs/>
          <w:color w:val="auto"/>
          <w:kern w:val="2"/>
          <w:sz w:val="30"/>
          <w:szCs w:val="30"/>
          <w:highlight w:val="none"/>
          <w:lang w:val="en-US" w:eastAsia="zh-CN" w:bidi="ar-SA"/>
        </w:rPr>
        <w:t>10.1</w:t>
      </w:r>
      <w:bookmarkEnd w:id="595"/>
      <w:bookmarkEnd w:id="596"/>
      <w:bookmarkEnd w:id="597"/>
      <w:r>
        <w:rPr>
          <w:rFonts w:hint="default" w:ascii="Times New Roman" w:hAnsi="Times New Roman" w:eastAsia="宋体" w:cs="Times New Roman"/>
          <w:b/>
          <w:bCs/>
          <w:color w:val="auto"/>
          <w:kern w:val="2"/>
          <w:sz w:val="30"/>
          <w:szCs w:val="30"/>
          <w:highlight w:val="none"/>
          <w:lang w:val="en-US" w:eastAsia="zh-CN" w:bidi="ar-SA"/>
        </w:rPr>
        <w:t xml:space="preserve"> 项目概况</w:t>
      </w:r>
      <w:bookmarkEnd w:id="598"/>
      <w:bookmarkEnd w:id="599"/>
      <w:bookmarkEnd w:id="600"/>
    </w:p>
    <w:p w14:paraId="24923AE5">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jc w:val="both"/>
        <w:textAlignment w:val="baseline"/>
        <w:rPr>
          <w:rFonts w:hint="default" w:ascii="Times New Roman" w:hAnsi="Times New Roman" w:eastAsia="宋体" w:cs="Times New Roman"/>
          <w:iCs/>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佳木斯中恒热电有限公司在现有厂区西侧建设1</w:t>
      </w:r>
      <w:r>
        <w:rPr>
          <w:rFonts w:hint="default" w:ascii="Times New Roman" w:hAnsi="Times New Roman" w:eastAsia="宋体" w:cs="Times New Roman"/>
          <w:color w:val="auto"/>
          <w:kern w:val="2"/>
          <w:sz w:val="24"/>
          <w:szCs w:val="24"/>
          <w:highlight w:val="none"/>
          <w:lang w:val="en-US" w:eastAsia="zh-CN" w:bidi="ar-SA"/>
        </w:rPr>
        <w:t>台58MW往复炉排热水锅炉</w:t>
      </w:r>
      <w:r>
        <w:rPr>
          <w:rFonts w:hint="eastAsia" w:ascii="Times New Roman" w:hAnsi="Times New Roman" w:eastAsia="宋体" w:cs="Times New Roman"/>
          <w:color w:val="auto"/>
          <w:kern w:val="2"/>
          <w:sz w:val="24"/>
          <w:szCs w:val="24"/>
          <w:highlight w:val="none"/>
          <w:lang w:val="en-US" w:eastAsia="zh-CN" w:bidi="ar-SA"/>
        </w:rPr>
        <w:t>，采用炉内喷钙+氨法脱硫+SNCR+亚氯酸钠脱硝+袋式除尘器的烟气净化技术处理后通过一根70m高烟囱DA006排放</w:t>
      </w:r>
      <w:r>
        <w:rPr>
          <w:rFonts w:hint="default"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锅炉房、配套烟气治理措施、烟囱及上煤系统等辅助设施已建设完成输水、供电、供热系统、原料运输贮煤场等</w:t>
      </w:r>
      <w:r>
        <w:rPr>
          <w:rFonts w:hint="default" w:ascii="Times New Roman" w:hAnsi="Times New Roman" w:eastAsia="宋体" w:cs="Times New Roman"/>
          <w:color w:val="auto"/>
          <w:kern w:val="2"/>
          <w:sz w:val="24"/>
          <w:szCs w:val="24"/>
          <w:highlight w:val="none"/>
          <w:lang w:val="en-US" w:eastAsia="zh-CN" w:bidi="ar-SA"/>
        </w:rPr>
        <w:t>依托现有工程。</w:t>
      </w:r>
    </w:p>
    <w:p w14:paraId="627725F4">
      <w:pPr>
        <w:keepNext/>
        <w:keepLines/>
        <w:widowControl w:val="0"/>
        <w:bidi w:val="0"/>
        <w:spacing w:before="200" w:after="200" w:line="240" w:lineRule="auto"/>
        <w:ind w:firstLine="0" w:firstLineChars="0"/>
        <w:jc w:val="both"/>
        <w:outlineLvl w:val="1"/>
        <w:rPr>
          <w:rFonts w:hint="default" w:ascii="Times New Roman" w:hAnsi="Times New Roman" w:eastAsia="宋体" w:cs="Times New Roman"/>
          <w:b/>
          <w:bCs/>
          <w:color w:val="auto"/>
          <w:kern w:val="2"/>
          <w:sz w:val="30"/>
          <w:szCs w:val="30"/>
          <w:highlight w:val="none"/>
          <w:lang w:val="en-US" w:eastAsia="zh-CN" w:bidi="ar-SA"/>
        </w:rPr>
      </w:pPr>
      <w:bookmarkStart w:id="601" w:name="_Toc13340"/>
      <w:bookmarkStart w:id="602" w:name="_Toc16421"/>
      <w:bookmarkStart w:id="603" w:name="_Toc3920"/>
      <w:r>
        <w:rPr>
          <w:rFonts w:hint="default" w:ascii="Times New Roman" w:hAnsi="Times New Roman" w:eastAsia="宋体" w:cs="Times New Roman"/>
          <w:b/>
          <w:bCs/>
          <w:color w:val="auto"/>
          <w:kern w:val="2"/>
          <w:sz w:val="30"/>
          <w:szCs w:val="30"/>
          <w:highlight w:val="none"/>
          <w:lang w:val="en-US" w:eastAsia="zh-CN" w:bidi="ar-SA"/>
        </w:rPr>
        <w:t>10.2 产业政策符合性分析结论</w:t>
      </w:r>
      <w:bookmarkEnd w:id="601"/>
      <w:bookmarkEnd w:id="602"/>
      <w:bookmarkEnd w:id="603"/>
    </w:p>
    <w:p w14:paraId="5F6CA1B4">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center"/>
        <w:outlineLvl w:val="9"/>
        <w:rPr>
          <w:rFonts w:hint="default" w:ascii="Times New Roman" w:hAnsi="Times New Roman" w:eastAsia="宋体" w:cs="Times New Roman"/>
          <w:iCs/>
          <w:color w:val="auto"/>
          <w:sz w:val="24"/>
          <w:szCs w:val="24"/>
          <w:highlight w:val="none"/>
        </w:rPr>
      </w:pPr>
      <w:r>
        <w:rPr>
          <w:rFonts w:hint="default" w:ascii="Times New Roman" w:hAnsi="Times New Roman" w:eastAsia="宋体" w:cs="Times New Roman"/>
          <w:iCs/>
          <w:color w:val="auto"/>
          <w:sz w:val="24"/>
          <w:szCs w:val="24"/>
          <w:highlight w:val="none"/>
        </w:rPr>
        <w:t>本项目属于《产业结构调整指导目录（2024年本）》中鼓励类第二十二项“城镇基础设施”第2条为“城镇集中供热建设和改造工程”。因此，本项目属于鼓励类建设项目。本项目符合“大气污染防治政策</w:t>
      </w:r>
      <w:r>
        <w:rPr>
          <w:rFonts w:hint="eastAsia" w:ascii="Times New Roman" w:hAnsi="Times New Roman" w:eastAsia="宋体" w:cs="Times New Roman"/>
          <w:iCs/>
          <w:color w:val="auto"/>
          <w:sz w:val="24"/>
          <w:szCs w:val="24"/>
          <w:highlight w:val="none"/>
          <w:lang w:eastAsia="zh-CN"/>
        </w:rPr>
        <w:t>”“</w:t>
      </w:r>
      <w:r>
        <w:rPr>
          <w:rFonts w:hint="default" w:ascii="Times New Roman" w:hAnsi="Times New Roman" w:eastAsia="宋体" w:cs="Times New Roman"/>
          <w:iCs/>
          <w:color w:val="auto"/>
          <w:sz w:val="24"/>
          <w:szCs w:val="24"/>
          <w:highlight w:val="none"/>
        </w:rPr>
        <w:t>水污染防治政策</w:t>
      </w:r>
      <w:r>
        <w:rPr>
          <w:rFonts w:hint="eastAsia" w:ascii="Times New Roman" w:hAnsi="Times New Roman" w:eastAsia="宋体" w:cs="Times New Roman"/>
          <w:iCs/>
          <w:color w:val="auto"/>
          <w:sz w:val="24"/>
          <w:szCs w:val="24"/>
          <w:highlight w:val="none"/>
          <w:lang w:eastAsia="zh-CN"/>
        </w:rPr>
        <w:t>”“</w:t>
      </w:r>
      <w:r>
        <w:rPr>
          <w:rFonts w:hint="default" w:ascii="Times New Roman" w:hAnsi="Times New Roman" w:eastAsia="宋体" w:cs="Times New Roman"/>
          <w:iCs/>
          <w:color w:val="auto"/>
          <w:sz w:val="24"/>
          <w:szCs w:val="24"/>
          <w:highlight w:val="none"/>
        </w:rPr>
        <w:t>土壤污染防治政策”、挥发性有机物相关政策、《黑龙江省主体功能区规划</w:t>
      </w:r>
      <w:r>
        <w:rPr>
          <w:rFonts w:hint="eastAsia" w:ascii="Times New Roman" w:hAnsi="Times New Roman" w:eastAsia="宋体" w:cs="Times New Roman"/>
          <w:iCs/>
          <w:color w:val="auto"/>
          <w:sz w:val="24"/>
          <w:szCs w:val="24"/>
          <w:highlight w:val="none"/>
          <w:lang w:eastAsia="zh-CN"/>
        </w:rPr>
        <w:t>》“</w:t>
      </w:r>
      <w:r>
        <w:rPr>
          <w:rFonts w:hint="default" w:ascii="Times New Roman" w:hAnsi="Times New Roman" w:eastAsia="宋体" w:cs="Times New Roman"/>
          <w:iCs/>
          <w:color w:val="auto"/>
          <w:sz w:val="24"/>
          <w:szCs w:val="24"/>
          <w:highlight w:val="none"/>
        </w:rPr>
        <w:t>三线一单”等政策要求。</w:t>
      </w:r>
    </w:p>
    <w:p w14:paraId="7352CC48">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center"/>
        <w:outlineLvl w:val="9"/>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iCs/>
          <w:color w:val="auto"/>
          <w:sz w:val="24"/>
          <w:szCs w:val="24"/>
          <w:highlight w:val="none"/>
        </w:rPr>
        <w:t>综上所述，本项目的建设符合现行的产业政策和相关规划要求。</w:t>
      </w:r>
    </w:p>
    <w:p w14:paraId="41DD1C98">
      <w:pPr>
        <w:keepNext/>
        <w:keepLines/>
        <w:widowControl w:val="0"/>
        <w:bidi w:val="0"/>
        <w:spacing w:before="200" w:after="200" w:line="240" w:lineRule="auto"/>
        <w:ind w:firstLine="0" w:firstLineChars="0"/>
        <w:jc w:val="both"/>
        <w:outlineLvl w:val="1"/>
        <w:rPr>
          <w:rFonts w:hint="default" w:ascii="Times New Roman" w:hAnsi="Times New Roman" w:eastAsia="宋体" w:cs="Times New Roman"/>
          <w:b/>
          <w:bCs/>
          <w:color w:val="auto"/>
          <w:kern w:val="2"/>
          <w:sz w:val="30"/>
          <w:szCs w:val="30"/>
          <w:highlight w:val="none"/>
          <w:lang w:val="en-US" w:eastAsia="zh-CN" w:bidi="ar-SA"/>
        </w:rPr>
      </w:pPr>
      <w:bookmarkStart w:id="604" w:name="_Toc19871"/>
      <w:bookmarkStart w:id="605" w:name="_Toc29099"/>
      <w:bookmarkStart w:id="606" w:name="_Toc28641"/>
      <w:r>
        <w:rPr>
          <w:rFonts w:hint="default" w:ascii="Times New Roman" w:hAnsi="Times New Roman" w:eastAsia="宋体" w:cs="Times New Roman"/>
          <w:b/>
          <w:bCs/>
          <w:color w:val="auto"/>
          <w:kern w:val="2"/>
          <w:sz w:val="30"/>
          <w:szCs w:val="30"/>
          <w:highlight w:val="none"/>
          <w:lang w:val="en-US" w:eastAsia="zh-CN" w:bidi="ar-SA"/>
        </w:rPr>
        <w:t>10.3 选址合理性分析结论</w:t>
      </w:r>
      <w:bookmarkEnd w:id="604"/>
      <w:bookmarkEnd w:id="605"/>
      <w:bookmarkEnd w:id="606"/>
    </w:p>
    <w:p w14:paraId="37B7753B">
      <w:pPr>
        <w:keepNext w:val="0"/>
        <w:keepLines w:val="0"/>
        <w:pageBreakBefore w:val="0"/>
        <w:widowControl w:val="0"/>
        <w:kinsoku/>
        <w:wordWrap/>
        <w:overflowPunct/>
        <w:topLinePunct w:val="0"/>
        <w:bidi w:val="0"/>
        <w:snapToGrid/>
        <w:spacing w:line="480" w:lineRule="exact"/>
        <w:ind w:firstLine="480" w:firstLineChars="200"/>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本项目为改扩建项目，在现有厂址范围内进行，不新增占地，现有厂址为工业用地，符合城市规划。</w:t>
      </w:r>
    </w:p>
    <w:p w14:paraId="72F4E995">
      <w:pPr>
        <w:keepNext w:val="0"/>
        <w:keepLines w:val="0"/>
        <w:pageBreakBefore w:val="0"/>
        <w:widowControl w:val="0"/>
        <w:kinsoku/>
        <w:wordWrap/>
        <w:overflowPunct/>
        <w:topLinePunct w:val="0"/>
        <w:bidi w:val="0"/>
        <w:snapToGrid/>
        <w:spacing w:line="480" w:lineRule="exact"/>
        <w:ind w:firstLine="480" w:firstLineChars="200"/>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本项目建设在佳木斯中恒热电有限公司现有厂区内，选址符合规划要求。佳木斯中恒热电有限公司西侧为原热电厂家属区；南侧为龙实路，隔路为黑锻新城小区；北侧为佳木斯西区污水处理厂，东侧为水清街，隔路为农田</w:t>
      </w:r>
      <w:r>
        <w:rPr>
          <w:rFonts w:hint="default" w:ascii="Times New Roman" w:hAnsi="Times New Roman" w:eastAsia="宋体" w:cs="Times New Roman"/>
          <w:color w:val="auto"/>
          <w:kern w:val="0"/>
          <w:sz w:val="24"/>
          <w:szCs w:val="24"/>
          <w:highlight w:val="none"/>
          <w:lang w:val="en-US" w:eastAsia="zh-CN"/>
        </w:rPr>
        <w:t>。本项目选址不属于国家公园、自然保护区、风景名胜区、世界文化和自然遗产地、海洋特别保护区、饮用水水源保护区；永久基本农田、基本草原、自然公园（森林公园、地质公园、海洋公园等）、重要湿地、天然林，重点保护野生动物栖息地，重点保护野生植物生长繁殖地，重要水生生物的自然产卵场、索饵场、越冬场和洄游通道，天然渔场等环境敏感区。项目所在区域为平原区，地质结构稳定，不易发生洪水、泥石流等自然灾害。</w:t>
      </w:r>
    </w:p>
    <w:p w14:paraId="6C8597CC">
      <w:pPr>
        <w:keepNext w:val="0"/>
        <w:keepLines w:val="0"/>
        <w:pageBreakBefore w:val="0"/>
        <w:widowControl w:val="0"/>
        <w:kinsoku/>
        <w:wordWrap/>
        <w:overflowPunct/>
        <w:topLinePunct w:val="0"/>
        <w:bidi w:val="0"/>
        <w:snapToGrid/>
        <w:spacing w:line="480" w:lineRule="exact"/>
        <w:ind w:firstLine="480" w:firstLineChars="200"/>
        <w:textAlignment w:val="auto"/>
        <w:rPr>
          <w:rFonts w:hint="default" w:ascii="Times New Roman" w:hAnsi="Times New Roman" w:eastAsia="宋体" w:cs="Times New Roman"/>
          <w:color w:val="auto"/>
          <w:spacing w:val="0"/>
          <w:kern w:val="2"/>
          <w:sz w:val="24"/>
          <w:szCs w:val="22"/>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rPr>
        <w:t>同时根据预测结果可知，上述</w:t>
      </w:r>
      <w:r>
        <w:rPr>
          <w:rFonts w:hint="default" w:ascii="Times New Roman" w:hAnsi="Times New Roman" w:eastAsia="宋体" w:cs="Times New Roman"/>
          <w:color w:val="auto"/>
          <w:spacing w:val="0"/>
          <w:kern w:val="2"/>
          <w:sz w:val="24"/>
          <w:szCs w:val="22"/>
          <w:highlight w:val="none"/>
          <w:lang w:val="en-US" w:eastAsia="zh-CN" w:bidi="ar-SA"/>
        </w:rPr>
        <w:t>各环境保护目标的代表性预测点的预测值均符合《环境空气质量标准》（GB3095-2012）中二级标准要求，所以对厂址常年主导风向下风向的居民区影响较小。因此，从环境空气质量角度分析，本项目建设可行。</w:t>
      </w:r>
    </w:p>
    <w:p w14:paraId="5FA916FB">
      <w:pPr>
        <w:keepNext w:val="0"/>
        <w:keepLines w:val="0"/>
        <w:pageBreakBefore w:val="0"/>
        <w:widowControl w:val="0"/>
        <w:kinsoku/>
        <w:wordWrap/>
        <w:overflowPunct/>
        <w:topLinePunct w:val="0"/>
        <w:bidi w:val="0"/>
        <w:snapToGrid/>
        <w:spacing w:line="480" w:lineRule="exact"/>
        <w:ind w:firstLine="480" w:firstLineChars="200"/>
        <w:textAlignment w:val="auto"/>
        <w:rPr>
          <w:rFonts w:hint="default" w:ascii="Times New Roman" w:hAnsi="Times New Roman" w:eastAsia="宋体" w:cs="Times New Roman"/>
          <w:color w:val="auto"/>
          <w:spacing w:val="0"/>
          <w:kern w:val="2"/>
          <w:sz w:val="24"/>
          <w:szCs w:val="22"/>
          <w:highlight w:val="none"/>
          <w:lang w:val="en-US" w:eastAsia="zh-CN" w:bidi="ar-SA"/>
        </w:rPr>
      </w:pPr>
      <w:r>
        <w:rPr>
          <w:rFonts w:hint="default" w:ascii="Times New Roman" w:hAnsi="Times New Roman" w:eastAsia="宋体" w:cs="Times New Roman"/>
          <w:color w:val="auto"/>
          <w:spacing w:val="0"/>
          <w:kern w:val="2"/>
          <w:sz w:val="24"/>
          <w:szCs w:val="22"/>
          <w:highlight w:val="none"/>
          <w:lang w:val="en-US" w:eastAsia="zh-CN" w:bidi="ar-SA"/>
        </w:rPr>
        <w:t>本项目运行期间</w:t>
      </w:r>
      <w:r>
        <w:rPr>
          <w:rFonts w:hint="eastAsia" w:ascii="Times New Roman" w:hAnsi="Times New Roman" w:eastAsia="宋体" w:cs="Times New Roman"/>
          <w:color w:val="auto"/>
          <w:spacing w:val="0"/>
          <w:kern w:val="2"/>
          <w:sz w:val="24"/>
          <w:szCs w:val="22"/>
          <w:highlight w:val="none"/>
          <w:lang w:val="en-US" w:eastAsia="zh-CN" w:bidi="ar-SA"/>
        </w:rPr>
        <w:t>脱硫废水经曝气、沉淀后用于脱硝补水和输煤系统除尘、除渣用水。含煤废水经厂区内现有污水处理间处理，处理工艺为过滤+沉淀+气浮，处理后的废水进入地下水池回用。锅炉排污水、软化水处理废水、处理后的含煤废水用于输煤栈桥冲洗、输煤系统除尘水、渣库降尘等工序，不外排</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spacing w:val="0"/>
          <w:kern w:val="2"/>
          <w:sz w:val="24"/>
          <w:szCs w:val="22"/>
          <w:highlight w:val="none"/>
          <w:lang w:val="en-US" w:eastAsia="zh-CN" w:bidi="ar-SA"/>
        </w:rPr>
        <w:t>本项目不新增员工，不新增生活污水。厂区</w:t>
      </w:r>
      <w:r>
        <w:rPr>
          <w:rFonts w:hint="eastAsia" w:ascii="Times New Roman" w:hAnsi="Times New Roman" w:eastAsia="宋体" w:cs="Times New Roman"/>
          <w:color w:val="auto"/>
          <w:spacing w:val="0"/>
          <w:kern w:val="2"/>
          <w:sz w:val="24"/>
          <w:szCs w:val="22"/>
          <w:highlight w:val="none"/>
          <w:lang w:val="en-US" w:eastAsia="zh-CN" w:bidi="ar-SA"/>
        </w:rPr>
        <w:t>现有</w:t>
      </w:r>
      <w:r>
        <w:rPr>
          <w:rFonts w:hint="default" w:ascii="Times New Roman" w:hAnsi="Times New Roman" w:eastAsia="宋体" w:cs="Times New Roman"/>
          <w:color w:val="auto"/>
          <w:spacing w:val="0"/>
          <w:kern w:val="2"/>
          <w:sz w:val="24"/>
          <w:szCs w:val="22"/>
          <w:highlight w:val="none"/>
          <w:lang w:val="en-US" w:eastAsia="zh-CN" w:bidi="ar-SA"/>
        </w:rPr>
        <w:t>生活污水排入市政污水管网，由污水管网排入</w:t>
      </w:r>
      <w:r>
        <w:rPr>
          <w:rFonts w:hint="eastAsia" w:ascii="Times New Roman" w:hAnsi="Times New Roman" w:eastAsia="宋体" w:cs="Times New Roman"/>
          <w:color w:val="auto"/>
          <w:spacing w:val="0"/>
          <w:kern w:val="2"/>
          <w:sz w:val="24"/>
          <w:szCs w:val="22"/>
          <w:highlight w:val="none"/>
          <w:lang w:val="en-US" w:eastAsia="zh-CN" w:bidi="ar-SA"/>
        </w:rPr>
        <w:t>佳木斯西区污水处理厂</w:t>
      </w:r>
      <w:r>
        <w:rPr>
          <w:rFonts w:hint="default" w:ascii="Times New Roman" w:hAnsi="Times New Roman" w:eastAsia="宋体" w:cs="Times New Roman"/>
          <w:color w:val="auto"/>
          <w:spacing w:val="0"/>
          <w:kern w:val="2"/>
          <w:sz w:val="24"/>
          <w:szCs w:val="22"/>
          <w:highlight w:val="none"/>
          <w:lang w:val="en-US" w:eastAsia="zh-CN" w:bidi="ar-SA"/>
        </w:rPr>
        <w:t>。因此从地表水环境保护角度分析，建设可行。</w:t>
      </w:r>
    </w:p>
    <w:p w14:paraId="0819211E">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jc w:val="both"/>
        <w:textAlignment w:val="auto"/>
        <w:rPr>
          <w:rFonts w:hint="default" w:ascii="Times New Roman" w:hAnsi="Times New Roman" w:eastAsia="宋体" w:cs="Times New Roman"/>
          <w:iCs/>
          <w:color w:val="auto"/>
          <w:sz w:val="24"/>
          <w:szCs w:val="24"/>
          <w:highlight w:val="none"/>
        </w:rPr>
      </w:pPr>
      <w:r>
        <w:rPr>
          <w:rFonts w:hint="default" w:ascii="Times New Roman" w:hAnsi="Times New Roman" w:eastAsia="宋体" w:cs="Times New Roman"/>
          <w:color w:val="auto"/>
          <w:spacing w:val="0"/>
          <w:kern w:val="2"/>
          <w:sz w:val="24"/>
          <w:szCs w:val="22"/>
          <w:highlight w:val="none"/>
          <w:lang w:val="en-US" w:eastAsia="zh-CN" w:bidi="ar-SA"/>
        </w:rPr>
        <w:t>根据声环境质量现状监测数据，本项目所在区域声环境质量较好，满足《声环境质量标准》（GB3096-2008）表1中</w:t>
      </w:r>
      <w:r>
        <w:rPr>
          <w:rFonts w:hint="eastAsia" w:ascii="Times New Roman" w:hAnsi="Times New Roman" w:eastAsia="宋体" w:cs="Times New Roman"/>
          <w:color w:val="auto"/>
          <w:spacing w:val="0"/>
          <w:kern w:val="2"/>
          <w:sz w:val="24"/>
          <w:szCs w:val="22"/>
          <w:highlight w:val="none"/>
          <w:lang w:val="en-US" w:eastAsia="zh-CN" w:bidi="ar-SA"/>
        </w:rPr>
        <w:t>3类</w:t>
      </w:r>
      <w:r>
        <w:rPr>
          <w:rFonts w:hint="default" w:ascii="Times New Roman" w:hAnsi="Times New Roman" w:eastAsia="宋体" w:cs="Times New Roman"/>
          <w:color w:val="auto"/>
          <w:spacing w:val="0"/>
          <w:kern w:val="2"/>
          <w:sz w:val="24"/>
          <w:szCs w:val="22"/>
          <w:highlight w:val="none"/>
          <w:lang w:val="en-US" w:eastAsia="zh-CN" w:bidi="ar-SA"/>
        </w:rPr>
        <w:t>标准，具有一定的声环境容量。通过噪声预测结果分析可知，本项目运行期间厂界噪声达标，对区域声环境质量影响很小。综上所述，从保护声环境角度分析，项目建设可行。</w:t>
      </w:r>
    </w:p>
    <w:p w14:paraId="794DD28A">
      <w:pPr>
        <w:keepNext/>
        <w:keepLines/>
        <w:widowControl w:val="0"/>
        <w:bidi w:val="0"/>
        <w:spacing w:before="200" w:after="200" w:line="240" w:lineRule="auto"/>
        <w:ind w:firstLine="0" w:firstLineChars="0"/>
        <w:jc w:val="both"/>
        <w:outlineLvl w:val="1"/>
        <w:rPr>
          <w:rFonts w:hint="default" w:ascii="Times New Roman" w:hAnsi="Times New Roman" w:eastAsia="宋体" w:cs="Times New Roman"/>
          <w:b/>
          <w:bCs/>
          <w:color w:val="auto"/>
          <w:kern w:val="2"/>
          <w:sz w:val="30"/>
          <w:szCs w:val="30"/>
          <w:highlight w:val="none"/>
          <w:lang w:val="en-US" w:eastAsia="zh-CN" w:bidi="ar-SA"/>
        </w:rPr>
      </w:pPr>
      <w:bookmarkStart w:id="607" w:name="_Toc19033"/>
      <w:bookmarkStart w:id="608" w:name="_Toc2125"/>
      <w:bookmarkStart w:id="609" w:name="_Toc27348"/>
      <w:r>
        <w:rPr>
          <w:rFonts w:hint="default" w:ascii="Times New Roman" w:hAnsi="Times New Roman" w:eastAsia="宋体" w:cs="Times New Roman"/>
          <w:b/>
          <w:bCs/>
          <w:color w:val="auto"/>
          <w:kern w:val="2"/>
          <w:sz w:val="30"/>
          <w:szCs w:val="30"/>
          <w:highlight w:val="none"/>
          <w:lang w:val="en-US" w:eastAsia="zh-CN" w:bidi="ar-SA"/>
        </w:rPr>
        <w:t>10.4 工程污染分析结论</w:t>
      </w:r>
      <w:bookmarkEnd w:id="607"/>
      <w:bookmarkEnd w:id="608"/>
      <w:bookmarkEnd w:id="609"/>
    </w:p>
    <w:p w14:paraId="353CA7F7">
      <w:pPr>
        <w:keepNext/>
        <w:keepLines/>
        <w:widowControl w:val="0"/>
        <w:bidi w:val="0"/>
        <w:spacing w:before="100" w:after="100" w:line="240" w:lineRule="auto"/>
        <w:ind w:firstLine="0" w:firstLineChars="0"/>
        <w:jc w:val="both"/>
        <w:outlineLvl w:val="2"/>
        <w:rPr>
          <w:rFonts w:hint="default" w:ascii="Times New Roman" w:hAnsi="Times New Roman" w:eastAsia="宋体" w:cs="Times New Roman"/>
          <w:b/>
          <w:bCs/>
          <w:color w:val="auto"/>
          <w:kern w:val="2"/>
          <w:sz w:val="28"/>
          <w:szCs w:val="28"/>
          <w:highlight w:val="none"/>
          <w:lang w:val="en-US" w:eastAsia="zh-CN" w:bidi="ar-SA"/>
        </w:rPr>
      </w:pPr>
      <w:bookmarkStart w:id="610" w:name="_Toc6673"/>
      <w:bookmarkStart w:id="611" w:name="_Toc3687"/>
      <w:bookmarkStart w:id="612" w:name="_Toc5295"/>
      <w:r>
        <w:rPr>
          <w:rFonts w:hint="default" w:ascii="Times New Roman" w:hAnsi="Times New Roman" w:eastAsia="宋体" w:cs="Times New Roman"/>
          <w:b/>
          <w:bCs/>
          <w:color w:val="auto"/>
          <w:kern w:val="2"/>
          <w:sz w:val="28"/>
          <w:szCs w:val="28"/>
          <w:highlight w:val="none"/>
          <w:lang w:val="en-US" w:eastAsia="zh-CN" w:bidi="ar-SA"/>
        </w:rPr>
        <w:t>10.4.1 废气污染物分析</w:t>
      </w:r>
      <w:bookmarkEnd w:id="610"/>
      <w:bookmarkEnd w:id="611"/>
      <w:bookmarkEnd w:id="612"/>
    </w:p>
    <w:p w14:paraId="02804E8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snapToGrid w:val="0"/>
          <w:color w:val="auto"/>
          <w:sz w:val="24"/>
          <w:szCs w:val="24"/>
          <w:highlight w:val="none"/>
          <w:lang w:eastAsia="zh-CN"/>
        </w:rPr>
        <w:t>本项目</w:t>
      </w:r>
      <w:r>
        <w:rPr>
          <w:rFonts w:hint="eastAsia" w:ascii="Times New Roman" w:hAnsi="Times New Roman" w:eastAsia="宋体" w:cs="Times New Roman"/>
          <w:snapToGrid w:val="0"/>
          <w:color w:val="auto"/>
          <w:sz w:val="24"/>
          <w:szCs w:val="24"/>
          <w:highlight w:val="none"/>
          <w:lang w:val="en-US" w:eastAsia="zh-CN"/>
        </w:rPr>
        <w:t>1×58MW往复炉排热水锅炉</w:t>
      </w:r>
      <w:r>
        <w:rPr>
          <w:rFonts w:hint="default" w:ascii="Times New Roman" w:hAnsi="Times New Roman" w:eastAsia="宋体" w:cs="Times New Roman"/>
          <w:snapToGrid w:val="0"/>
          <w:color w:val="auto"/>
          <w:sz w:val="24"/>
          <w:szCs w:val="24"/>
          <w:highlight w:val="none"/>
          <w:lang w:val="en-US" w:eastAsia="zh-CN"/>
        </w:rPr>
        <w:t>颗粒物预测</w:t>
      </w:r>
      <w:r>
        <w:rPr>
          <w:rFonts w:hint="default" w:ascii="Times New Roman" w:hAnsi="Times New Roman" w:eastAsia="宋体" w:cs="Times New Roman"/>
          <w:snapToGrid w:val="0"/>
          <w:color w:val="auto"/>
          <w:sz w:val="24"/>
          <w:szCs w:val="24"/>
          <w:highlight w:val="none"/>
          <w:lang w:eastAsia="zh-CN"/>
        </w:rPr>
        <w:t>排</w:t>
      </w:r>
      <w:r>
        <w:rPr>
          <w:rFonts w:hint="default" w:ascii="Times New Roman" w:hAnsi="Times New Roman" w:eastAsia="宋体" w:cs="Times New Roman"/>
          <w:snapToGrid w:val="0"/>
          <w:color w:val="auto"/>
          <w:sz w:val="24"/>
          <w:szCs w:val="24"/>
          <w:highlight w:val="none"/>
        </w:rPr>
        <w:t>放量</w:t>
      </w:r>
      <w:r>
        <w:rPr>
          <w:rFonts w:hint="eastAsia" w:ascii="Times New Roman" w:hAnsi="Times New Roman" w:eastAsia="宋体" w:cs="Times New Roman"/>
          <w:snapToGrid w:val="0"/>
          <w:color w:val="auto"/>
          <w:sz w:val="24"/>
          <w:szCs w:val="24"/>
          <w:highlight w:val="none"/>
          <w:lang w:val="en-US" w:eastAsia="zh-CN"/>
        </w:rPr>
        <w:t>0.64</w:t>
      </w:r>
      <w:r>
        <w:rPr>
          <w:rFonts w:hint="default" w:ascii="Times New Roman" w:hAnsi="Times New Roman" w:eastAsia="宋体" w:cs="Times New Roman"/>
          <w:snapToGrid w:val="0"/>
          <w:color w:val="auto"/>
          <w:sz w:val="24"/>
          <w:szCs w:val="24"/>
          <w:highlight w:val="none"/>
        </w:rPr>
        <w:t>t/a、</w:t>
      </w:r>
      <w:r>
        <w:rPr>
          <w:rFonts w:hint="default" w:ascii="Times New Roman" w:hAnsi="Times New Roman" w:eastAsia="宋体" w:cs="Times New Roman"/>
          <w:snapToGrid w:val="0"/>
          <w:color w:val="auto"/>
          <w:sz w:val="24"/>
          <w:szCs w:val="24"/>
          <w:highlight w:val="none"/>
          <w:lang w:val="en-US" w:eastAsia="zh-CN"/>
        </w:rPr>
        <w:t>颗粒物</w:t>
      </w:r>
      <w:r>
        <w:rPr>
          <w:rFonts w:hint="default" w:ascii="Times New Roman" w:hAnsi="Times New Roman" w:eastAsia="宋体" w:cs="Times New Roman"/>
          <w:snapToGrid w:val="0"/>
          <w:color w:val="auto"/>
          <w:sz w:val="24"/>
          <w:szCs w:val="24"/>
          <w:highlight w:val="none"/>
        </w:rPr>
        <w:t>排放浓度</w:t>
      </w:r>
      <w:r>
        <w:rPr>
          <w:rFonts w:hint="eastAsia" w:ascii="Times New Roman" w:hAnsi="Times New Roman" w:eastAsia="宋体" w:cs="Times New Roman"/>
          <w:snapToGrid w:val="0"/>
          <w:color w:val="auto"/>
          <w:sz w:val="24"/>
          <w:szCs w:val="24"/>
          <w:highlight w:val="none"/>
          <w:lang w:val="en-US" w:eastAsia="zh-CN"/>
        </w:rPr>
        <w:t>6.28</w:t>
      </w:r>
      <w:r>
        <w:rPr>
          <w:rFonts w:hint="default" w:ascii="Times New Roman" w:hAnsi="Times New Roman" w:eastAsia="宋体" w:cs="Times New Roman"/>
          <w:snapToGrid w:val="0"/>
          <w:color w:val="auto"/>
          <w:sz w:val="24"/>
          <w:szCs w:val="24"/>
          <w:highlight w:val="none"/>
        </w:rPr>
        <w:t>mg/m</w:t>
      </w:r>
      <w:r>
        <w:rPr>
          <w:rFonts w:hint="default" w:ascii="Times New Roman" w:hAnsi="Times New Roman" w:eastAsia="宋体" w:cs="Times New Roman"/>
          <w:snapToGrid w:val="0"/>
          <w:color w:val="auto"/>
          <w:sz w:val="24"/>
          <w:szCs w:val="24"/>
          <w:highlight w:val="none"/>
          <w:vertAlign w:val="superscript"/>
        </w:rPr>
        <w:t>3</w:t>
      </w:r>
      <w:r>
        <w:rPr>
          <w:rFonts w:hint="default" w:ascii="Times New Roman" w:hAnsi="Times New Roman" w:eastAsia="宋体" w:cs="Times New Roman"/>
          <w:snapToGrid w:val="0"/>
          <w:color w:val="auto"/>
          <w:sz w:val="24"/>
          <w:szCs w:val="24"/>
          <w:highlight w:val="none"/>
          <w:lang w:eastAsia="zh-CN"/>
        </w:rPr>
        <w:t>；</w:t>
      </w:r>
      <w:r>
        <w:rPr>
          <w:rFonts w:hint="default" w:ascii="Times New Roman" w:hAnsi="Times New Roman" w:eastAsia="宋体" w:cs="Times New Roman"/>
          <w:color w:val="auto"/>
          <w:kern w:val="0"/>
          <w:sz w:val="24"/>
          <w:szCs w:val="24"/>
          <w:highlight w:val="none"/>
        </w:rPr>
        <w:t>SO</w:t>
      </w:r>
      <w:r>
        <w:rPr>
          <w:rFonts w:hint="default" w:ascii="Times New Roman" w:hAnsi="Times New Roman" w:eastAsia="宋体" w:cs="Times New Roman"/>
          <w:color w:val="auto"/>
          <w:kern w:val="0"/>
          <w:sz w:val="24"/>
          <w:szCs w:val="24"/>
          <w:highlight w:val="none"/>
          <w:vertAlign w:val="subscript"/>
        </w:rPr>
        <w:t>2</w:t>
      </w:r>
      <w:r>
        <w:rPr>
          <w:rFonts w:hint="default" w:ascii="Times New Roman" w:hAnsi="Times New Roman" w:eastAsia="宋体" w:cs="Times New Roman"/>
          <w:snapToGrid w:val="0"/>
          <w:color w:val="auto"/>
          <w:sz w:val="24"/>
          <w:szCs w:val="24"/>
          <w:highlight w:val="none"/>
          <w:lang w:val="en-US" w:eastAsia="zh-CN"/>
        </w:rPr>
        <w:t>预测</w:t>
      </w:r>
      <w:r>
        <w:rPr>
          <w:rFonts w:hint="default" w:ascii="Times New Roman" w:hAnsi="Times New Roman" w:eastAsia="宋体" w:cs="Times New Roman"/>
          <w:color w:val="auto"/>
          <w:kern w:val="0"/>
          <w:sz w:val="24"/>
          <w:szCs w:val="24"/>
          <w:highlight w:val="none"/>
        </w:rPr>
        <w:t>排放量</w:t>
      </w:r>
      <w:r>
        <w:rPr>
          <w:rFonts w:hint="eastAsia" w:ascii="Times New Roman" w:hAnsi="Times New Roman" w:eastAsia="宋体" w:cs="Times New Roman"/>
          <w:snapToGrid w:val="0"/>
          <w:color w:val="auto"/>
          <w:sz w:val="24"/>
          <w:szCs w:val="24"/>
          <w:highlight w:val="none"/>
          <w:lang w:val="en-US" w:eastAsia="zh-CN"/>
        </w:rPr>
        <w:t>2.67</w:t>
      </w:r>
      <w:r>
        <w:rPr>
          <w:rFonts w:hint="default" w:ascii="Times New Roman" w:hAnsi="Times New Roman" w:eastAsia="宋体" w:cs="Times New Roman"/>
          <w:snapToGrid w:val="0"/>
          <w:color w:val="auto"/>
          <w:sz w:val="24"/>
          <w:szCs w:val="24"/>
          <w:highlight w:val="none"/>
        </w:rPr>
        <w:t>t/a、</w:t>
      </w:r>
      <w:r>
        <w:rPr>
          <w:rFonts w:hint="default" w:ascii="Times New Roman" w:hAnsi="Times New Roman" w:eastAsia="宋体" w:cs="Times New Roman"/>
          <w:color w:val="auto"/>
          <w:kern w:val="0"/>
          <w:sz w:val="24"/>
          <w:szCs w:val="24"/>
          <w:highlight w:val="none"/>
        </w:rPr>
        <w:t>SO</w:t>
      </w:r>
      <w:r>
        <w:rPr>
          <w:rFonts w:hint="default" w:ascii="Times New Roman" w:hAnsi="Times New Roman" w:eastAsia="宋体" w:cs="Times New Roman"/>
          <w:color w:val="auto"/>
          <w:kern w:val="0"/>
          <w:sz w:val="24"/>
          <w:szCs w:val="24"/>
          <w:highlight w:val="none"/>
          <w:vertAlign w:val="subscript"/>
        </w:rPr>
        <w:t>2</w:t>
      </w:r>
      <w:r>
        <w:rPr>
          <w:rFonts w:hint="default" w:ascii="Times New Roman" w:hAnsi="Times New Roman" w:eastAsia="宋体" w:cs="Times New Roman"/>
          <w:snapToGrid w:val="0"/>
          <w:color w:val="auto"/>
          <w:sz w:val="24"/>
          <w:szCs w:val="24"/>
          <w:highlight w:val="none"/>
        </w:rPr>
        <w:t>排放浓度</w:t>
      </w:r>
      <w:r>
        <w:rPr>
          <w:rFonts w:hint="eastAsia" w:ascii="Times New Roman" w:hAnsi="Times New Roman" w:eastAsia="宋体" w:cs="Times New Roman"/>
          <w:snapToGrid w:val="0"/>
          <w:color w:val="auto"/>
          <w:sz w:val="24"/>
          <w:szCs w:val="24"/>
          <w:highlight w:val="none"/>
          <w:lang w:val="en-US" w:eastAsia="zh-CN"/>
        </w:rPr>
        <w:t>26.44</w:t>
      </w:r>
      <w:r>
        <w:rPr>
          <w:rFonts w:hint="default" w:ascii="Times New Roman" w:hAnsi="Times New Roman" w:eastAsia="宋体" w:cs="Times New Roman"/>
          <w:snapToGrid w:val="0"/>
          <w:color w:val="auto"/>
          <w:sz w:val="24"/>
          <w:szCs w:val="24"/>
          <w:highlight w:val="none"/>
        </w:rPr>
        <w:t>mg/m</w:t>
      </w:r>
      <w:r>
        <w:rPr>
          <w:rFonts w:hint="default" w:ascii="Times New Roman" w:hAnsi="Times New Roman" w:eastAsia="宋体" w:cs="Times New Roman"/>
          <w:snapToGrid w:val="0"/>
          <w:color w:val="auto"/>
          <w:sz w:val="24"/>
          <w:szCs w:val="24"/>
          <w:highlight w:val="none"/>
          <w:vertAlign w:val="superscript"/>
        </w:rPr>
        <w:t>3</w:t>
      </w:r>
      <w:r>
        <w:rPr>
          <w:rFonts w:hint="default" w:ascii="Times New Roman" w:hAnsi="Times New Roman" w:eastAsia="宋体" w:cs="Times New Roman"/>
          <w:snapToGrid w:val="0"/>
          <w:color w:val="auto"/>
          <w:sz w:val="24"/>
          <w:szCs w:val="24"/>
          <w:highlight w:val="none"/>
          <w:lang w:eastAsia="zh-CN"/>
        </w:rPr>
        <w:t>；</w:t>
      </w:r>
      <w:r>
        <w:rPr>
          <w:rFonts w:hint="default" w:ascii="Times New Roman" w:hAnsi="Times New Roman" w:eastAsia="宋体" w:cs="Times New Roman"/>
          <w:color w:val="auto"/>
          <w:kern w:val="0"/>
          <w:sz w:val="24"/>
          <w:szCs w:val="24"/>
          <w:highlight w:val="none"/>
        </w:rPr>
        <w:t>NO</w:t>
      </w:r>
      <w:r>
        <w:rPr>
          <w:rFonts w:hint="default" w:ascii="Times New Roman" w:hAnsi="Times New Roman" w:eastAsia="宋体" w:cs="Times New Roman"/>
          <w:color w:val="auto"/>
          <w:kern w:val="0"/>
          <w:sz w:val="24"/>
          <w:szCs w:val="24"/>
          <w:highlight w:val="none"/>
          <w:vertAlign w:val="subscript"/>
        </w:rPr>
        <w:t>X</w:t>
      </w:r>
      <w:r>
        <w:rPr>
          <w:rFonts w:hint="default" w:ascii="Times New Roman" w:hAnsi="Times New Roman" w:eastAsia="宋体" w:cs="Times New Roman"/>
          <w:snapToGrid w:val="0"/>
          <w:color w:val="auto"/>
          <w:sz w:val="24"/>
          <w:szCs w:val="24"/>
          <w:highlight w:val="none"/>
          <w:lang w:val="en-US" w:eastAsia="zh-CN"/>
        </w:rPr>
        <w:t>预测</w:t>
      </w:r>
      <w:r>
        <w:rPr>
          <w:rFonts w:hint="default" w:ascii="Times New Roman" w:hAnsi="Times New Roman" w:eastAsia="宋体" w:cs="Times New Roman"/>
          <w:color w:val="auto"/>
          <w:kern w:val="0"/>
          <w:sz w:val="24"/>
          <w:szCs w:val="24"/>
          <w:highlight w:val="none"/>
        </w:rPr>
        <w:t>排放量</w:t>
      </w:r>
      <w:r>
        <w:rPr>
          <w:rFonts w:hint="eastAsia" w:ascii="Times New Roman" w:hAnsi="Times New Roman" w:eastAsia="宋体" w:cs="Times New Roman"/>
          <w:color w:val="auto"/>
          <w:kern w:val="0"/>
          <w:sz w:val="24"/>
          <w:szCs w:val="24"/>
          <w:highlight w:val="none"/>
          <w:lang w:val="en-US" w:eastAsia="zh-CN"/>
        </w:rPr>
        <w:t>4.27</w:t>
      </w:r>
      <w:r>
        <w:rPr>
          <w:rFonts w:hint="default" w:ascii="Times New Roman" w:hAnsi="Times New Roman" w:eastAsia="宋体" w:cs="Times New Roman"/>
          <w:snapToGrid w:val="0"/>
          <w:color w:val="auto"/>
          <w:sz w:val="24"/>
          <w:szCs w:val="24"/>
          <w:highlight w:val="none"/>
        </w:rPr>
        <w:t>t/a</w:t>
      </w:r>
      <w:r>
        <w:rPr>
          <w:rFonts w:hint="default" w:ascii="Times New Roman" w:hAnsi="Times New Roman" w:eastAsia="宋体" w:cs="Times New Roman"/>
          <w:snapToGrid w:val="0"/>
          <w:color w:val="auto"/>
          <w:sz w:val="24"/>
          <w:szCs w:val="24"/>
          <w:highlight w:val="none"/>
          <w:lang w:eastAsia="zh-CN"/>
        </w:rPr>
        <w:t>、</w:t>
      </w:r>
      <w:r>
        <w:rPr>
          <w:rFonts w:hint="default" w:ascii="Times New Roman" w:hAnsi="Times New Roman" w:eastAsia="宋体" w:cs="Times New Roman"/>
          <w:color w:val="auto"/>
          <w:kern w:val="0"/>
          <w:sz w:val="24"/>
          <w:szCs w:val="24"/>
          <w:highlight w:val="none"/>
        </w:rPr>
        <w:t>NO</w:t>
      </w:r>
      <w:r>
        <w:rPr>
          <w:rFonts w:hint="default" w:ascii="Times New Roman" w:hAnsi="Times New Roman" w:eastAsia="宋体" w:cs="Times New Roman"/>
          <w:color w:val="auto"/>
          <w:kern w:val="0"/>
          <w:sz w:val="24"/>
          <w:szCs w:val="24"/>
          <w:highlight w:val="none"/>
          <w:vertAlign w:val="subscript"/>
        </w:rPr>
        <w:t>X</w:t>
      </w:r>
      <w:r>
        <w:rPr>
          <w:rFonts w:hint="default" w:ascii="Times New Roman" w:hAnsi="Times New Roman" w:eastAsia="宋体" w:cs="Times New Roman"/>
          <w:snapToGrid w:val="0"/>
          <w:color w:val="auto"/>
          <w:sz w:val="24"/>
          <w:szCs w:val="24"/>
          <w:highlight w:val="none"/>
        </w:rPr>
        <w:t>排放浓度</w:t>
      </w:r>
      <w:r>
        <w:rPr>
          <w:rFonts w:hint="eastAsia" w:ascii="Times New Roman" w:hAnsi="Times New Roman" w:eastAsia="宋体" w:cs="Times New Roman"/>
          <w:snapToGrid w:val="0"/>
          <w:color w:val="auto"/>
          <w:sz w:val="24"/>
          <w:szCs w:val="24"/>
          <w:highlight w:val="none"/>
          <w:lang w:val="en-US" w:eastAsia="zh-CN"/>
        </w:rPr>
        <w:t>42</w:t>
      </w:r>
      <w:r>
        <w:rPr>
          <w:rFonts w:hint="default" w:ascii="Times New Roman" w:hAnsi="Times New Roman" w:eastAsia="宋体" w:cs="Times New Roman"/>
          <w:snapToGrid w:val="0"/>
          <w:color w:val="auto"/>
          <w:sz w:val="24"/>
          <w:szCs w:val="24"/>
          <w:highlight w:val="none"/>
        </w:rPr>
        <w:t>mg/m</w:t>
      </w:r>
      <w:r>
        <w:rPr>
          <w:rFonts w:hint="default" w:ascii="Times New Roman" w:hAnsi="Times New Roman" w:eastAsia="宋体" w:cs="Times New Roman"/>
          <w:snapToGrid w:val="0"/>
          <w:color w:val="auto"/>
          <w:sz w:val="24"/>
          <w:szCs w:val="24"/>
          <w:highlight w:val="none"/>
          <w:vertAlign w:val="superscript"/>
        </w:rPr>
        <w:t>3</w:t>
      </w:r>
      <w:r>
        <w:rPr>
          <w:rFonts w:hint="default" w:ascii="Times New Roman" w:hAnsi="Times New Roman" w:eastAsia="宋体" w:cs="Times New Roman"/>
          <w:color w:val="auto"/>
          <w:sz w:val="24"/>
          <w:szCs w:val="24"/>
          <w:highlight w:val="none"/>
          <w:lang w:val="en-US" w:eastAsia="zh-CN"/>
        </w:rPr>
        <w:t>；Hg预测排放量为0.00</w:t>
      </w:r>
      <w:r>
        <w:rPr>
          <w:rFonts w:hint="eastAsia" w:ascii="Times New Roman" w:hAnsi="Times New Roman" w:eastAsia="宋体" w:cs="Times New Roman"/>
          <w:color w:val="auto"/>
          <w:sz w:val="24"/>
          <w:szCs w:val="24"/>
          <w:highlight w:val="none"/>
          <w:lang w:val="en-US" w:eastAsia="zh-CN"/>
        </w:rPr>
        <w:t>06t/a</w:t>
      </w:r>
      <w:r>
        <w:rPr>
          <w:rFonts w:hint="default" w:ascii="Times New Roman" w:hAnsi="Times New Roman" w:eastAsia="宋体" w:cs="Times New Roman"/>
          <w:color w:val="auto"/>
          <w:sz w:val="24"/>
          <w:szCs w:val="24"/>
          <w:highlight w:val="none"/>
          <w:lang w:val="en-US" w:eastAsia="zh-CN"/>
        </w:rPr>
        <w:t>、排放浓度为0.00</w:t>
      </w: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snapToGrid w:val="0"/>
          <w:color w:val="auto"/>
          <w:sz w:val="24"/>
          <w:szCs w:val="24"/>
          <w:highlight w:val="none"/>
        </w:rPr>
        <w:t>mg/m</w:t>
      </w:r>
      <w:r>
        <w:rPr>
          <w:rFonts w:hint="default" w:ascii="Times New Roman" w:hAnsi="Times New Roman" w:eastAsia="宋体" w:cs="Times New Roman"/>
          <w:snapToGrid w:val="0"/>
          <w:color w:val="auto"/>
          <w:sz w:val="24"/>
          <w:szCs w:val="24"/>
          <w:highlight w:val="none"/>
          <w:vertAlign w:val="superscript"/>
        </w:rPr>
        <w:t>3</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NH</w:t>
      </w:r>
      <w:r>
        <w:rPr>
          <w:rFonts w:hint="default" w:ascii="Times New Roman" w:hAnsi="Times New Roman" w:eastAsia="宋体" w:cs="Times New Roman"/>
          <w:color w:val="auto"/>
          <w:sz w:val="24"/>
          <w:szCs w:val="24"/>
          <w:highlight w:val="none"/>
          <w:vertAlign w:val="subscript"/>
          <w:lang w:val="en-US" w:eastAsia="zh-CN"/>
        </w:rPr>
        <w:t>3</w:t>
      </w:r>
      <w:r>
        <w:rPr>
          <w:rFonts w:hint="default" w:ascii="Times New Roman" w:hAnsi="Times New Roman" w:eastAsia="宋体" w:cs="Times New Roman"/>
          <w:color w:val="auto"/>
          <w:sz w:val="24"/>
          <w:szCs w:val="24"/>
          <w:highlight w:val="none"/>
          <w:lang w:val="en-US" w:eastAsia="zh-CN"/>
        </w:rPr>
        <w:t>预测排放量为</w:t>
      </w:r>
      <w:r>
        <w:rPr>
          <w:rFonts w:hint="eastAsia" w:ascii="Times New Roman" w:hAnsi="Times New Roman" w:eastAsia="宋体" w:cs="Times New Roman"/>
          <w:color w:val="auto"/>
          <w:sz w:val="24"/>
          <w:szCs w:val="24"/>
          <w:highlight w:val="none"/>
          <w:lang w:val="en-US" w:eastAsia="zh-CN"/>
        </w:rPr>
        <w:t>0.75</w:t>
      </w:r>
      <w:r>
        <w:rPr>
          <w:rFonts w:hint="default" w:ascii="Times New Roman" w:hAnsi="Times New Roman" w:eastAsia="宋体" w:cs="Times New Roman"/>
          <w:color w:val="auto"/>
          <w:sz w:val="24"/>
          <w:szCs w:val="24"/>
          <w:highlight w:val="none"/>
          <w:lang w:val="en-US" w:eastAsia="zh-CN"/>
        </w:rPr>
        <w:t>t/a、排放浓度为</w:t>
      </w:r>
      <w:r>
        <w:rPr>
          <w:rFonts w:hint="eastAsia"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snapToGrid w:val="0"/>
          <w:color w:val="auto"/>
          <w:sz w:val="24"/>
          <w:szCs w:val="24"/>
          <w:highlight w:val="none"/>
        </w:rPr>
        <w:t>mg/m</w:t>
      </w:r>
      <w:r>
        <w:rPr>
          <w:rFonts w:hint="default" w:ascii="Times New Roman" w:hAnsi="Times New Roman" w:eastAsia="宋体" w:cs="Times New Roman"/>
          <w:snapToGrid w:val="0"/>
          <w:color w:val="auto"/>
          <w:sz w:val="24"/>
          <w:szCs w:val="24"/>
          <w:highlight w:val="none"/>
          <w:vertAlign w:val="superscript"/>
        </w:rPr>
        <w:t>3</w:t>
      </w:r>
      <w:r>
        <w:rPr>
          <w:rFonts w:hint="default" w:ascii="Times New Roman" w:hAnsi="Times New Roman" w:eastAsia="宋体" w:cs="Times New Roman"/>
          <w:color w:val="auto"/>
          <w:sz w:val="24"/>
          <w:szCs w:val="24"/>
          <w:highlight w:val="none"/>
          <w:lang w:eastAsia="zh-CN"/>
        </w:rPr>
        <w:t>。</w:t>
      </w:r>
    </w:p>
    <w:p w14:paraId="47F85F11">
      <w:pPr>
        <w:keepNext/>
        <w:keepLines/>
        <w:widowControl w:val="0"/>
        <w:bidi w:val="0"/>
        <w:spacing w:before="100" w:after="100" w:line="240" w:lineRule="auto"/>
        <w:ind w:firstLine="0" w:firstLineChars="0"/>
        <w:jc w:val="both"/>
        <w:outlineLvl w:val="2"/>
        <w:rPr>
          <w:rFonts w:hint="default" w:ascii="Times New Roman" w:hAnsi="Times New Roman" w:eastAsia="宋体" w:cs="Times New Roman"/>
          <w:b/>
          <w:bCs/>
          <w:color w:val="auto"/>
          <w:kern w:val="2"/>
          <w:sz w:val="28"/>
          <w:szCs w:val="28"/>
          <w:highlight w:val="none"/>
          <w:lang w:val="en-US" w:eastAsia="zh-CN" w:bidi="ar-SA"/>
        </w:rPr>
      </w:pPr>
      <w:bookmarkStart w:id="613" w:name="_Toc7363"/>
      <w:bookmarkStart w:id="614" w:name="_Toc21721"/>
      <w:bookmarkStart w:id="615" w:name="_Toc10559"/>
      <w:r>
        <w:rPr>
          <w:rFonts w:hint="default" w:ascii="Times New Roman" w:hAnsi="Times New Roman" w:eastAsia="宋体" w:cs="Times New Roman"/>
          <w:b/>
          <w:bCs/>
          <w:color w:val="auto"/>
          <w:kern w:val="2"/>
          <w:sz w:val="28"/>
          <w:szCs w:val="28"/>
          <w:highlight w:val="none"/>
          <w:lang w:val="en-US" w:eastAsia="zh-CN" w:bidi="ar-SA"/>
        </w:rPr>
        <w:t>10.4.2 废水污染物分析</w:t>
      </w:r>
      <w:bookmarkEnd w:id="613"/>
      <w:bookmarkEnd w:id="614"/>
      <w:bookmarkEnd w:id="615"/>
    </w:p>
    <w:p w14:paraId="185C3E10">
      <w:pPr>
        <w:widowControl w:val="0"/>
        <w:spacing w:line="480" w:lineRule="exact"/>
        <w:ind w:firstLine="480" w:firstLineChars="200"/>
        <w:jc w:val="both"/>
        <w:rPr>
          <w:rFonts w:hint="default" w:ascii="Times New Roman" w:hAnsi="Times New Roman" w:eastAsia="宋体" w:cs="Times New Roman"/>
          <w:color w:val="auto"/>
          <w:spacing w:val="0"/>
          <w:kern w:val="2"/>
          <w:sz w:val="24"/>
          <w:szCs w:val="24"/>
          <w:highlight w:val="none"/>
          <w:lang w:val="en-US" w:eastAsia="zh-CN" w:bidi="ar-SA"/>
        </w:rPr>
      </w:pPr>
      <w:r>
        <w:rPr>
          <w:rFonts w:hint="default" w:ascii="Times New Roman" w:hAnsi="Times New Roman" w:eastAsia="宋体" w:cs="Times New Roman"/>
          <w:color w:val="auto"/>
          <w:spacing w:val="0"/>
          <w:kern w:val="2"/>
          <w:sz w:val="24"/>
          <w:szCs w:val="24"/>
          <w:highlight w:val="none"/>
          <w:lang w:val="en-US" w:eastAsia="zh-CN" w:bidi="ar-SA"/>
        </w:rPr>
        <w:t>本项目不新增工作人员，不新增生活污水。脱硫废水经曝气、沉淀后用于脱硝补水和输煤系统除尘、除渣用水。含煤废水经厂区内现有污水处理间处理，处理工艺为过滤+沉淀+气浮，处理后的废水进入地下水池回用。锅炉排污水、软化水处理废水、处理后的含煤废水用于输煤栈桥冲洗、输煤系统除尘水、</w:t>
      </w:r>
      <w:r>
        <w:rPr>
          <w:rFonts w:hint="eastAsia" w:ascii="Times New Roman" w:hAnsi="Times New Roman" w:eastAsia="宋体" w:cs="Times New Roman"/>
          <w:color w:val="auto"/>
          <w:spacing w:val="0"/>
          <w:kern w:val="2"/>
          <w:sz w:val="24"/>
          <w:szCs w:val="24"/>
          <w:highlight w:val="none"/>
          <w:lang w:val="en-US" w:eastAsia="zh-CN" w:bidi="ar-SA"/>
        </w:rPr>
        <w:t>渣库降尘等工序</w:t>
      </w:r>
      <w:r>
        <w:rPr>
          <w:rFonts w:hint="default" w:ascii="Times New Roman" w:hAnsi="Times New Roman" w:eastAsia="宋体" w:cs="Times New Roman"/>
          <w:color w:val="auto"/>
          <w:spacing w:val="0"/>
          <w:kern w:val="2"/>
          <w:sz w:val="24"/>
          <w:szCs w:val="24"/>
          <w:highlight w:val="none"/>
          <w:lang w:val="en-US" w:eastAsia="zh-CN" w:bidi="ar-SA"/>
        </w:rPr>
        <w:t>，不外排。</w:t>
      </w:r>
    </w:p>
    <w:p w14:paraId="5AF45C29">
      <w:pPr>
        <w:keepNext/>
        <w:keepLines/>
        <w:widowControl w:val="0"/>
        <w:bidi w:val="0"/>
        <w:spacing w:before="100" w:after="100" w:line="240" w:lineRule="auto"/>
        <w:ind w:firstLine="0" w:firstLineChars="0"/>
        <w:jc w:val="both"/>
        <w:outlineLvl w:val="2"/>
        <w:rPr>
          <w:rFonts w:hint="default" w:ascii="Times New Roman" w:hAnsi="Times New Roman" w:eastAsia="宋体" w:cs="Times New Roman"/>
          <w:b/>
          <w:bCs/>
          <w:color w:val="auto"/>
          <w:kern w:val="2"/>
          <w:sz w:val="28"/>
          <w:szCs w:val="28"/>
          <w:highlight w:val="none"/>
          <w:lang w:val="en-US" w:eastAsia="zh-CN" w:bidi="ar-SA"/>
        </w:rPr>
      </w:pPr>
      <w:bookmarkStart w:id="616" w:name="_Toc11889"/>
      <w:bookmarkStart w:id="617" w:name="_Toc2594"/>
      <w:bookmarkStart w:id="618" w:name="_Toc31573"/>
      <w:r>
        <w:rPr>
          <w:rFonts w:hint="default" w:ascii="Times New Roman" w:hAnsi="Times New Roman" w:eastAsia="宋体" w:cs="Times New Roman"/>
          <w:b/>
          <w:bCs/>
          <w:color w:val="auto"/>
          <w:kern w:val="2"/>
          <w:sz w:val="28"/>
          <w:szCs w:val="28"/>
          <w:highlight w:val="none"/>
          <w:lang w:val="en-US" w:eastAsia="zh-CN" w:bidi="ar-SA"/>
        </w:rPr>
        <w:t>10.4.3 噪声污染物分析</w:t>
      </w:r>
      <w:bookmarkEnd w:id="616"/>
      <w:bookmarkEnd w:id="617"/>
      <w:bookmarkEnd w:id="618"/>
    </w:p>
    <w:p w14:paraId="32C90E7A">
      <w:pPr>
        <w:widowControl w:val="0"/>
        <w:spacing w:line="480" w:lineRule="exact"/>
        <w:ind w:firstLine="480" w:firstLineChars="200"/>
        <w:jc w:val="both"/>
        <w:rPr>
          <w:rFonts w:hint="default" w:ascii="Times New Roman" w:hAnsi="Times New Roman" w:eastAsia="宋体" w:cs="Times New Roman"/>
          <w:color w:val="auto"/>
          <w:spacing w:val="0"/>
          <w:kern w:val="2"/>
          <w:sz w:val="24"/>
          <w:szCs w:val="24"/>
          <w:highlight w:val="none"/>
          <w:lang w:val="en-US" w:eastAsia="zh-CN" w:bidi="ar-SA"/>
        </w:rPr>
      </w:pPr>
      <w:r>
        <w:rPr>
          <w:rFonts w:hint="default" w:ascii="Times New Roman" w:hAnsi="Times New Roman" w:eastAsia="宋体" w:cs="Times New Roman"/>
          <w:color w:val="auto"/>
          <w:spacing w:val="0"/>
          <w:kern w:val="2"/>
          <w:sz w:val="24"/>
          <w:szCs w:val="24"/>
          <w:highlight w:val="none"/>
          <w:lang w:val="en-US" w:eastAsia="zh-CN" w:bidi="ar-SA"/>
        </w:rPr>
        <w:t>本项目主要噪声源为锅炉风机、水泵、</w:t>
      </w:r>
      <w:r>
        <w:rPr>
          <w:rFonts w:hint="eastAsia" w:ascii="Times New Roman" w:hAnsi="Times New Roman" w:eastAsia="宋体" w:cs="Times New Roman"/>
          <w:color w:val="auto"/>
          <w:spacing w:val="0"/>
          <w:kern w:val="2"/>
          <w:sz w:val="24"/>
          <w:szCs w:val="24"/>
          <w:highlight w:val="none"/>
          <w:lang w:val="en-US" w:eastAsia="zh-CN" w:bidi="ar-SA"/>
        </w:rPr>
        <w:t>碎煤机</w:t>
      </w:r>
      <w:r>
        <w:rPr>
          <w:rFonts w:hint="default" w:ascii="Times New Roman" w:hAnsi="Times New Roman" w:eastAsia="宋体" w:cs="Times New Roman"/>
          <w:color w:val="auto"/>
          <w:spacing w:val="0"/>
          <w:kern w:val="2"/>
          <w:sz w:val="24"/>
          <w:szCs w:val="24"/>
          <w:highlight w:val="none"/>
          <w:lang w:val="en-US" w:eastAsia="zh-CN" w:bidi="ar-SA"/>
        </w:rPr>
        <w:t>等机械噪声，噪声源强在</w:t>
      </w:r>
      <w:r>
        <w:rPr>
          <w:rFonts w:hint="eastAsia" w:ascii="Times New Roman" w:hAnsi="Times New Roman" w:eastAsia="宋体" w:cs="Times New Roman"/>
          <w:color w:val="auto"/>
          <w:spacing w:val="0"/>
          <w:kern w:val="2"/>
          <w:sz w:val="24"/>
          <w:szCs w:val="24"/>
          <w:highlight w:val="none"/>
          <w:lang w:val="en-US" w:eastAsia="zh-CN" w:bidi="ar-SA"/>
        </w:rPr>
        <w:t>85</w:t>
      </w:r>
      <w:r>
        <w:rPr>
          <w:rFonts w:hint="default" w:ascii="Times New Roman" w:hAnsi="Times New Roman" w:eastAsia="宋体" w:cs="Times New Roman"/>
          <w:color w:val="auto"/>
          <w:spacing w:val="0"/>
          <w:kern w:val="2"/>
          <w:sz w:val="24"/>
          <w:szCs w:val="24"/>
          <w:highlight w:val="none"/>
          <w:lang w:val="en-US" w:eastAsia="zh-CN" w:bidi="ar-SA"/>
        </w:rPr>
        <w:t>~1</w:t>
      </w:r>
      <w:r>
        <w:rPr>
          <w:rFonts w:hint="eastAsia" w:ascii="Times New Roman" w:hAnsi="Times New Roman" w:eastAsia="宋体" w:cs="Times New Roman"/>
          <w:color w:val="auto"/>
          <w:spacing w:val="0"/>
          <w:kern w:val="2"/>
          <w:sz w:val="24"/>
          <w:szCs w:val="24"/>
          <w:highlight w:val="none"/>
          <w:lang w:val="en-US" w:eastAsia="zh-CN" w:bidi="ar-SA"/>
        </w:rPr>
        <w:t>08</w:t>
      </w:r>
      <w:r>
        <w:rPr>
          <w:rFonts w:hint="default" w:ascii="Times New Roman" w:hAnsi="Times New Roman" w:eastAsia="宋体" w:cs="Times New Roman"/>
          <w:color w:val="auto"/>
          <w:spacing w:val="0"/>
          <w:kern w:val="2"/>
          <w:sz w:val="24"/>
          <w:szCs w:val="24"/>
          <w:highlight w:val="none"/>
          <w:lang w:val="en-US" w:eastAsia="zh-CN" w:bidi="ar-SA"/>
        </w:rPr>
        <w:t>dB（A）。</w:t>
      </w:r>
    </w:p>
    <w:p w14:paraId="3A488F10">
      <w:pPr>
        <w:keepNext/>
        <w:keepLines/>
        <w:widowControl w:val="0"/>
        <w:bidi w:val="0"/>
        <w:spacing w:before="100" w:after="100" w:line="240" w:lineRule="auto"/>
        <w:ind w:firstLine="0" w:firstLineChars="0"/>
        <w:jc w:val="both"/>
        <w:outlineLvl w:val="2"/>
        <w:rPr>
          <w:rFonts w:hint="default" w:ascii="Times New Roman" w:hAnsi="Times New Roman" w:eastAsia="宋体" w:cs="Times New Roman"/>
          <w:b/>
          <w:bCs/>
          <w:color w:val="auto"/>
          <w:kern w:val="2"/>
          <w:sz w:val="28"/>
          <w:szCs w:val="28"/>
          <w:highlight w:val="none"/>
          <w:lang w:val="en-US" w:eastAsia="zh-CN" w:bidi="ar-SA"/>
        </w:rPr>
      </w:pPr>
      <w:bookmarkStart w:id="619" w:name="_Toc10971"/>
      <w:bookmarkStart w:id="620" w:name="_Toc989"/>
      <w:bookmarkStart w:id="621" w:name="_Toc5153"/>
      <w:r>
        <w:rPr>
          <w:rFonts w:hint="default" w:ascii="Times New Roman" w:hAnsi="Times New Roman" w:eastAsia="宋体" w:cs="Times New Roman"/>
          <w:b/>
          <w:bCs/>
          <w:color w:val="auto"/>
          <w:kern w:val="2"/>
          <w:sz w:val="28"/>
          <w:szCs w:val="28"/>
          <w:highlight w:val="none"/>
          <w:lang w:val="en-US" w:eastAsia="zh-CN" w:bidi="ar-SA"/>
        </w:rPr>
        <w:t>10.4.4 固体废物污染物分析</w:t>
      </w:r>
      <w:bookmarkEnd w:id="619"/>
      <w:bookmarkEnd w:id="620"/>
      <w:bookmarkEnd w:id="621"/>
    </w:p>
    <w:p w14:paraId="7915CD7C">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outlineLvl w:val="9"/>
        <w:rPr>
          <w:rFonts w:hint="default" w:ascii="Times New Roman" w:hAnsi="Times New Roman" w:eastAsia="宋体" w:cs="Times New Roman"/>
          <w:color w:val="auto"/>
          <w:sz w:val="24"/>
          <w:szCs w:val="24"/>
          <w:highlight w:val="none"/>
          <w:lang w:val="en-US"/>
        </w:rPr>
      </w:pPr>
      <w:r>
        <w:rPr>
          <w:rFonts w:hint="default" w:ascii="Times New Roman" w:hAnsi="Times New Roman" w:eastAsia="宋体" w:cs="Times New Roman"/>
          <w:snapToGrid w:val="0"/>
          <w:color w:val="auto"/>
          <w:sz w:val="24"/>
          <w:szCs w:val="24"/>
          <w:highlight w:val="none"/>
          <w:lang w:eastAsia="zh-CN"/>
        </w:rPr>
        <w:t>本项目</w:t>
      </w:r>
      <w:r>
        <w:rPr>
          <w:rFonts w:hint="eastAsia" w:ascii="Times New Roman" w:hAnsi="Times New Roman" w:eastAsia="宋体" w:cs="Times New Roman"/>
          <w:snapToGrid w:val="0"/>
          <w:color w:val="auto"/>
          <w:sz w:val="24"/>
          <w:szCs w:val="24"/>
          <w:highlight w:val="none"/>
          <w:lang w:val="en-US" w:eastAsia="zh-CN"/>
        </w:rPr>
        <w:t>飞灰、炉渣外售综合利用；废布袋由厂家回收，不在厂区内堆存；灰库除尘器收尘外售综合利用；生石灰粉仓除尘器收尘回用于脱硫工序；碎煤机除尘器收尘作为燃料入炉燃烧；沉渣定期清掏作为燃料入炉燃烧；废矿物油暂存于现有工程危废暂存间内，委托有资质单位处置</w:t>
      </w:r>
      <w:r>
        <w:rPr>
          <w:rFonts w:hint="default" w:ascii="Times New Roman" w:hAnsi="Times New Roman" w:eastAsia="宋体" w:cs="Times New Roman"/>
          <w:color w:val="auto"/>
          <w:sz w:val="24"/>
          <w:szCs w:val="24"/>
          <w:highlight w:val="none"/>
          <w:lang w:val="en-US" w:eastAsia="zh-CN"/>
        </w:rPr>
        <w:t>。</w:t>
      </w:r>
    </w:p>
    <w:p w14:paraId="473DF483">
      <w:pPr>
        <w:keepNext/>
        <w:keepLines/>
        <w:widowControl w:val="0"/>
        <w:bidi w:val="0"/>
        <w:spacing w:before="200" w:after="200" w:line="240" w:lineRule="auto"/>
        <w:ind w:firstLine="0" w:firstLineChars="0"/>
        <w:jc w:val="both"/>
        <w:outlineLvl w:val="1"/>
        <w:rPr>
          <w:rFonts w:hint="default" w:ascii="Times New Roman" w:hAnsi="Times New Roman" w:eastAsia="宋体" w:cs="Times New Roman"/>
          <w:b/>
          <w:bCs/>
          <w:color w:val="auto"/>
          <w:kern w:val="2"/>
          <w:sz w:val="30"/>
          <w:szCs w:val="30"/>
          <w:highlight w:val="none"/>
          <w:lang w:val="en-US" w:eastAsia="zh-CN" w:bidi="ar-SA"/>
        </w:rPr>
      </w:pPr>
      <w:bookmarkStart w:id="622" w:name="_Toc337734545"/>
      <w:bookmarkStart w:id="623" w:name="_Toc355942129"/>
      <w:bookmarkStart w:id="624" w:name="_Toc6437"/>
      <w:bookmarkStart w:id="625" w:name="_Toc26634"/>
      <w:bookmarkStart w:id="626" w:name="_Toc2111"/>
      <w:r>
        <w:rPr>
          <w:rFonts w:hint="default" w:ascii="Times New Roman" w:hAnsi="Times New Roman" w:eastAsia="宋体" w:cs="Times New Roman"/>
          <w:b/>
          <w:bCs/>
          <w:color w:val="auto"/>
          <w:kern w:val="2"/>
          <w:sz w:val="30"/>
          <w:szCs w:val="30"/>
          <w:highlight w:val="none"/>
          <w:lang w:val="en-US" w:eastAsia="zh-CN" w:bidi="ar-SA"/>
        </w:rPr>
        <w:t>10.</w:t>
      </w:r>
      <w:bookmarkEnd w:id="622"/>
      <w:bookmarkStart w:id="627" w:name="_Toc337734548"/>
      <w:bookmarkStart w:id="628" w:name="_Toc185048002"/>
      <w:r>
        <w:rPr>
          <w:rFonts w:hint="default" w:ascii="Times New Roman" w:hAnsi="Times New Roman" w:eastAsia="宋体" w:cs="Times New Roman"/>
          <w:b/>
          <w:bCs/>
          <w:color w:val="auto"/>
          <w:kern w:val="2"/>
          <w:sz w:val="30"/>
          <w:szCs w:val="30"/>
          <w:highlight w:val="none"/>
          <w:lang w:val="en-US" w:eastAsia="zh-CN" w:bidi="ar-SA"/>
        </w:rPr>
        <w:t>5 环境质量现状</w:t>
      </w:r>
      <w:bookmarkEnd w:id="623"/>
      <w:bookmarkEnd w:id="627"/>
      <w:bookmarkEnd w:id="628"/>
      <w:r>
        <w:rPr>
          <w:rFonts w:hint="default" w:ascii="Times New Roman" w:hAnsi="Times New Roman" w:eastAsia="宋体" w:cs="Times New Roman"/>
          <w:b/>
          <w:bCs/>
          <w:color w:val="auto"/>
          <w:kern w:val="2"/>
          <w:sz w:val="30"/>
          <w:szCs w:val="30"/>
          <w:highlight w:val="none"/>
          <w:lang w:val="en-US" w:eastAsia="zh-CN" w:bidi="ar-SA"/>
        </w:rPr>
        <w:t>评价结论</w:t>
      </w:r>
      <w:bookmarkEnd w:id="624"/>
      <w:bookmarkEnd w:id="625"/>
      <w:bookmarkEnd w:id="626"/>
    </w:p>
    <w:p w14:paraId="0763A336">
      <w:pPr>
        <w:keepNext/>
        <w:keepLines/>
        <w:widowControl w:val="0"/>
        <w:bidi w:val="0"/>
        <w:spacing w:before="100" w:after="100" w:line="240" w:lineRule="auto"/>
        <w:ind w:firstLine="0" w:firstLineChars="0"/>
        <w:jc w:val="both"/>
        <w:outlineLvl w:val="2"/>
        <w:rPr>
          <w:rFonts w:hint="default" w:ascii="Times New Roman" w:hAnsi="Times New Roman" w:eastAsia="宋体" w:cs="Times New Roman"/>
          <w:b/>
          <w:bCs/>
          <w:color w:val="auto"/>
          <w:kern w:val="2"/>
          <w:sz w:val="28"/>
          <w:szCs w:val="28"/>
          <w:highlight w:val="none"/>
          <w:lang w:val="en-US" w:eastAsia="zh-CN" w:bidi="ar-SA"/>
        </w:rPr>
      </w:pPr>
      <w:bookmarkStart w:id="629" w:name="_Toc9795"/>
      <w:bookmarkStart w:id="630" w:name="_Toc5026"/>
      <w:bookmarkStart w:id="631" w:name="_Toc355942130"/>
      <w:bookmarkStart w:id="632" w:name="_Toc28091"/>
      <w:bookmarkStart w:id="633" w:name="_Toc337734549"/>
      <w:r>
        <w:rPr>
          <w:rFonts w:hint="default" w:ascii="Times New Roman" w:hAnsi="Times New Roman" w:eastAsia="宋体" w:cs="Times New Roman"/>
          <w:b/>
          <w:bCs/>
          <w:color w:val="auto"/>
          <w:kern w:val="2"/>
          <w:sz w:val="28"/>
          <w:szCs w:val="28"/>
          <w:highlight w:val="none"/>
          <w:lang w:val="en-US" w:eastAsia="zh-CN" w:bidi="ar-SA"/>
        </w:rPr>
        <w:t>10.5.1 环境空气质量现状</w:t>
      </w:r>
      <w:bookmarkEnd w:id="629"/>
      <w:bookmarkEnd w:id="630"/>
      <w:bookmarkEnd w:id="631"/>
      <w:bookmarkEnd w:id="632"/>
      <w:bookmarkEnd w:id="633"/>
    </w:p>
    <w:p w14:paraId="2F6D4101">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both"/>
        <w:textAlignment w:val="auto"/>
        <w:rPr>
          <w:rFonts w:hint="default" w:ascii="Times New Roman" w:hAnsi="Times New Roman" w:eastAsia="宋体" w:cs="Times New Roman"/>
          <w:color w:val="auto"/>
          <w:spacing w:val="0"/>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rPr>
        <w:t>根据《佳木斯市生态环境质量简报（2024年度）》，佳木斯市区环境空气质量“优”天数236天，“良”天数106天，优良天数比例93.4%，同比下降0.3个百分点；轻度及以上污染天数24天。市区细颗粒物、可吸入颗粒物、二氧化硫、二氧化氮年均值，一氧化碳日均值及臭氧日最大8小时平均值浓度均达到《环境空气质量》（GB 3095-2012）及其修改单二级标准</w:t>
      </w:r>
      <w:r>
        <w:rPr>
          <w:rFonts w:hint="eastAsia" w:ascii="Times New Roman" w:hAnsi="Times New Roman" w:eastAsia="宋体" w:cs="Times New Roman"/>
          <w:color w:val="auto"/>
          <w:kern w:val="2"/>
          <w:sz w:val="24"/>
          <w:szCs w:val="24"/>
          <w:highlight w:val="none"/>
          <w:lang w:val="en-US" w:eastAsia="zh-CN"/>
        </w:rPr>
        <w:t>。</w:t>
      </w:r>
      <w:r>
        <w:rPr>
          <w:rFonts w:hint="default" w:ascii="Times New Roman" w:hAnsi="Times New Roman" w:eastAsia="宋体" w:cs="Times New Roman"/>
          <w:color w:val="auto"/>
          <w:spacing w:val="0"/>
          <w:kern w:val="2"/>
          <w:sz w:val="24"/>
          <w:szCs w:val="24"/>
          <w:highlight w:val="none"/>
          <w:lang w:val="en-US" w:eastAsia="zh-CN" w:bidi="ar-SA"/>
        </w:rPr>
        <w:t>项目排放的其他特征污染物TSP现状监测值满足《环境空气质量标准》（GB3095-2012）及其修改单中二级标准，NH3现状监测值满足《环境影响评价技术导则 大气环境》（HJ2.2-2018）附录D要求，区域环境空气质量良好。</w:t>
      </w:r>
    </w:p>
    <w:p w14:paraId="6DCBEB26">
      <w:pPr>
        <w:keepNext/>
        <w:keepLines/>
        <w:widowControl w:val="0"/>
        <w:bidi w:val="0"/>
        <w:spacing w:before="100" w:after="100" w:line="240" w:lineRule="auto"/>
        <w:ind w:firstLine="0" w:firstLineChars="0"/>
        <w:jc w:val="both"/>
        <w:outlineLvl w:val="2"/>
        <w:rPr>
          <w:rFonts w:hint="default" w:ascii="Times New Roman" w:hAnsi="Times New Roman" w:eastAsia="宋体" w:cs="Times New Roman"/>
          <w:b/>
          <w:bCs/>
          <w:color w:val="auto"/>
          <w:kern w:val="2"/>
          <w:sz w:val="28"/>
          <w:szCs w:val="28"/>
          <w:highlight w:val="none"/>
          <w:lang w:val="en-US" w:eastAsia="zh-CN" w:bidi="ar-SA"/>
        </w:rPr>
      </w:pPr>
      <w:bookmarkStart w:id="634" w:name="_Toc7362"/>
      <w:bookmarkStart w:id="635" w:name="_Toc337734550"/>
      <w:bookmarkStart w:id="636" w:name="_Toc21550"/>
      <w:bookmarkStart w:id="637" w:name="_Toc355942131"/>
      <w:bookmarkStart w:id="638" w:name="_Toc402"/>
      <w:r>
        <w:rPr>
          <w:rFonts w:hint="default" w:ascii="Times New Roman" w:hAnsi="Times New Roman" w:eastAsia="宋体" w:cs="Times New Roman"/>
          <w:b/>
          <w:bCs/>
          <w:color w:val="auto"/>
          <w:kern w:val="2"/>
          <w:sz w:val="28"/>
          <w:szCs w:val="28"/>
          <w:highlight w:val="none"/>
          <w:lang w:val="en-US" w:eastAsia="zh-CN" w:bidi="ar-SA"/>
        </w:rPr>
        <w:t>10.5.2 地表水环境质量现状</w:t>
      </w:r>
      <w:bookmarkEnd w:id="634"/>
      <w:bookmarkEnd w:id="635"/>
      <w:bookmarkEnd w:id="636"/>
      <w:bookmarkEnd w:id="637"/>
      <w:bookmarkEnd w:id="638"/>
    </w:p>
    <w:p w14:paraId="12E18FEB">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auto"/>
          <w:sz w:val="24"/>
          <w:szCs w:val="24"/>
          <w:highlight w:val="none"/>
        </w:rPr>
      </w:pPr>
      <w:bookmarkStart w:id="639" w:name="_Toc355942132"/>
      <w:bookmarkStart w:id="640" w:name="_Toc337734551"/>
      <w:bookmarkStart w:id="641" w:name="_Toc185048003"/>
      <w:bookmarkStart w:id="642" w:name="_Toc55171375"/>
      <w:r>
        <w:rPr>
          <w:rFonts w:hint="default" w:ascii="Times New Roman" w:hAnsi="Times New Roman" w:eastAsia="宋体" w:cs="Times New Roman"/>
          <w:color w:val="auto"/>
          <w:sz w:val="24"/>
          <w:szCs w:val="24"/>
          <w:highlight w:val="none"/>
        </w:rPr>
        <w:t>本项目所在区域</w:t>
      </w:r>
      <w:r>
        <w:rPr>
          <w:rFonts w:hint="default" w:ascii="Times New Roman" w:hAnsi="Times New Roman" w:eastAsia="宋体" w:cs="Times New Roman"/>
          <w:color w:val="auto"/>
          <w:sz w:val="24"/>
          <w:szCs w:val="24"/>
          <w:highlight w:val="none"/>
          <w:lang w:val="en-US" w:eastAsia="zh-CN"/>
        </w:rPr>
        <w:t>纳污</w:t>
      </w:r>
      <w:r>
        <w:rPr>
          <w:rFonts w:hint="default" w:ascii="Times New Roman" w:hAnsi="Times New Roman" w:eastAsia="宋体" w:cs="Times New Roman"/>
          <w:color w:val="auto"/>
          <w:sz w:val="24"/>
          <w:szCs w:val="24"/>
          <w:highlight w:val="none"/>
        </w:rPr>
        <w:t>水体为</w:t>
      </w:r>
      <w:r>
        <w:rPr>
          <w:rFonts w:hint="default" w:ascii="Times New Roman" w:hAnsi="Times New Roman" w:eastAsia="宋体" w:cs="Times New Roman"/>
          <w:color w:val="auto"/>
          <w:sz w:val="24"/>
          <w:szCs w:val="24"/>
          <w:highlight w:val="none"/>
          <w:lang w:val="en-US" w:eastAsia="zh-CN"/>
        </w:rPr>
        <w:t>松花江</w:t>
      </w:r>
      <w:r>
        <w:rPr>
          <w:rFonts w:hint="default" w:ascii="Times New Roman" w:hAnsi="Times New Roman" w:eastAsia="宋体" w:cs="Times New Roman"/>
          <w:color w:val="auto"/>
          <w:sz w:val="24"/>
          <w:szCs w:val="24"/>
          <w:highlight w:val="none"/>
        </w:rPr>
        <w:t>。根据《全国重要江河湖泊水功能区划（2011</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2030年）》，项目区起始断面为汤旺河汇入口上1km、终止断面为佳木斯港务局断面，执行《地表水环境质量标准》（GB3838-2002）中Ⅳ类水体标准。</w:t>
      </w:r>
    </w:p>
    <w:p w14:paraId="399DD74A">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b/>
          <w:color w:val="auto"/>
          <w:kern w:val="2"/>
          <w:sz w:val="24"/>
          <w:szCs w:val="24"/>
          <w:highlight w:val="none"/>
        </w:rPr>
      </w:pPr>
      <w:r>
        <w:rPr>
          <w:rFonts w:hint="default" w:ascii="Times New Roman" w:hAnsi="Times New Roman" w:eastAsia="宋体" w:cs="Times New Roman"/>
          <w:color w:val="auto"/>
          <w:sz w:val="24"/>
          <w:szCs w:val="24"/>
          <w:highlight w:val="none"/>
        </w:rPr>
        <w:t>根据《</w:t>
      </w:r>
      <w:r>
        <w:rPr>
          <w:rFonts w:hint="default" w:ascii="Times New Roman" w:hAnsi="Times New Roman" w:eastAsia="宋体" w:cs="Times New Roman"/>
          <w:color w:val="auto"/>
          <w:sz w:val="24"/>
          <w:szCs w:val="24"/>
          <w:highlight w:val="none"/>
          <w:lang w:eastAsia="zh-CN"/>
        </w:rPr>
        <w:t>佳木斯市生态环境质量简报</w:t>
      </w:r>
      <w:r>
        <w:rPr>
          <w:rFonts w:hint="default" w:ascii="Times New Roman" w:hAnsi="Times New Roman" w:eastAsia="宋体" w:cs="Times New Roman"/>
          <w:color w:val="auto"/>
          <w:sz w:val="24"/>
          <w:szCs w:val="24"/>
          <w:highlight w:val="none"/>
        </w:rPr>
        <w:t>（202</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年度）》，</w:t>
      </w:r>
      <w:r>
        <w:rPr>
          <w:rFonts w:hint="default" w:ascii="Times New Roman" w:hAnsi="Times New Roman" w:eastAsia="宋体" w:cs="Times New Roman"/>
          <w:color w:val="auto"/>
          <w:sz w:val="24"/>
          <w:szCs w:val="24"/>
          <w:highlight w:val="none"/>
          <w:lang w:val="en-US" w:eastAsia="zh-CN"/>
        </w:rPr>
        <w:t>2024 年，佳木斯市国、省控河流断面共 12 个，Ⅰ~Ⅲ类水质（优良水体）断面10个，占83.3%，同比升高16.6个百分点；无劣Ⅴ类水质断面。2024年，松花江佳木斯江段干流及支流断面共6个，Ⅰ-Ⅲ类水质比例为100%</w:t>
      </w:r>
      <w:r>
        <w:rPr>
          <w:rFonts w:hint="eastAsia" w:ascii="Times New Roman" w:hAnsi="Times New Roman" w:eastAsia="宋体" w:cs="Times New Roman"/>
          <w:color w:val="auto"/>
          <w:sz w:val="24"/>
          <w:szCs w:val="24"/>
          <w:highlight w:val="none"/>
          <w:lang w:val="en-US" w:eastAsia="zh-CN"/>
        </w:rPr>
        <w:t>。</w:t>
      </w:r>
    </w:p>
    <w:bookmarkEnd w:id="639"/>
    <w:bookmarkEnd w:id="640"/>
    <w:p w14:paraId="0F26F908">
      <w:pPr>
        <w:keepNext/>
        <w:keepLines/>
        <w:widowControl w:val="0"/>
        <w:bidi w:val="0"/>
        <w:spacing w:before="100" w:after="100" w:line="240" w:lineRule="auto"/>
        <w:ind w:firstLine="0" w:firstLineChars="0"/>
        <w:jc w:val="both"/>
        <w:outlineLvl w:val="2"/>
        <w:rPr>
          <w:rFonts w:hint="default" w:ascii="Times New Roman" w:hAnsi="Times New Roman" w:eastAsia="宋体" w:cs="Times New Roman"/>
          <w:b/>
          <w:bCs/>
          <w:color w:val="auto"/>
          <w:kern w:val="2"/>
          <w:sz w:val="28"/>
          <w:szCs w:val="28"/>
          <w:highlight w:val="none"/>
          <w:lang w:val="en-US" w:eastAsia="zh-CN" w:bidi="ar-SA"/>
        </w:rPr>
      </w:pPr>
      <w:bookmarkStart w:id="643" w:name="_Toc8771"/>
      <w:bookmarkStart w:id="644" w:name="_Toc337734552"/>
      <w:bookmarkStart w:id="645" w:name="_Toc9602"/>
      <w:bookmarkStart w:id="646" w:name="_Toc10197"/>
      <w:bookmarkStart w:id="647" w:name="_Toc355942133"/>
      <w:r>
        <w:rPr>
          <w:rFonts w:hint="default" w:ascii="Times New Roman" w:hAnsi="Times New Roman" w:eastAsia="宋体" w:cs="Times New Roman"/>
          <w:b/>
          <w:bCs/>
          <w:color w:val="auto"/>
          <w:kern w:val="2"/>
          <w:sz w:val="28"/>
          <w:szCs w:val="28"/>
          <w:highlight w:val="none"/>
          <w:lang w:val="en-US" w:eastAsia="zh-CN" w:bidi="ar-SA"/>
        </w:rPr>
        <w:t>10.5.3 声环境质量现状</w:t>
      </w:r>
      <w:bookmarkEnd w:id="643"/>
      <w:bookmarkEnd w:id="644"/>
      <w:bookmarkEnd w:id="645"/>
      <w:bookmarkEnd w:id="646"/>
      <w:bookmarkEnd w:id="647"/>
    </w:p>
    <w:p w14:paraId="47355899">
      <w:pPr>
        <w:spacing w:line="480" w:lineRule="exact"/>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结合</w:t>
      </w:r>
      <w:r>
        <w:rPr>
          <w:rFonts w:hint="default" w:ascii="Times New Roman" w:hAnsi="Times New Roman" w:eastAsia="宋体" w:cs="Times New Roman"/>
          <w:color w:val="auto"/>
          <w:sz w:val="24"/>
          <w:szCs w:val="24"/>
          <w:highlight w:val="none"/>
        </w:rPr>
        <w:t>噪声现状监测结果，</w:t>
      </w:r>
      <w:r>
        <w:rPr>
          <w:rFonts w:hint="eastAsia" w:ascii="Times New Roman" w:hAnsi="Times New Roman" w:eastAsia="宋体" w:cs="Times New Roman"/>
          <w:color w:val="auto"/>
          <w:sz w:val="24"/>
          <w:szCs w:val="24"/>
          <w:highlight w:val="none"/>
          <w:lang w:val="en-US" w:eastAsia="zh-CN"/>
        </w:rPr>
        <w:t>本项目</w:t>
      </w:r>
      <w:r>
        <w:rPr>
          <w:rFonts w:hint="default" w:ascii="Times New Roman" w:hAnsi="Times New Roman" w:eastAsia="宋体" w:cs="Times New Roman"/>
          <w:color w:val="auto"/>
          <w:sz w:val="24"/>
          <w:szCs w:val="24"/>
          <w:highlight w:val="none"/>
          <w:lang w:val="en-US" w:eastAsia="zh-CN"/>
        </w:rPr>
        <w:t>厂界噪声监测点的昼间等效A声级在51~53dB</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A</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之间，夜间等效A声级在41~44dB</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A</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之间，满足《声环境质量标准》（GB3096-2008）表1环境噪声限值中的3类标准</w:t>
      </w:r>
      <w:r>
        <w:rPr>
          <w:rFonts w:hint="eastAsia" w:ascii="Times New Roman" w:hAnsi="Times New Roman" w:eastAsia="宋体" w:cs="Times New Roman"/>
          <w:color w:val="auto"/>
          <w:sz w:val="24"/>
          <w:szCs w:val="24"/>
          <w:highlight w:val="none"/>
          <w:lang w:val="en-US" w:eastAsia="zh-CN"/>
        </w:rPr>
        <w:t>。</w:t>
      </w:r>
    </w:p>
    <w:p w14:paraId="61A2008A">
      <w:pPr>
        <w:spacing w:line="480" w:lineRule="exact"/>
        <w:ind w:firstLine="480" w:firstLineChars="200"/>
        <w:rPr>
          <w:rFonts w:hint="default"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val="en-US" w:eastAsia="zh-CN"/>
        </w:rPr>
        <w:t>声环境保护目标为黑锻新城小区和原热电厂家属区，声环境保护目标昼间等效A声级为47~51dB（A），夜间等效A声级为43~47dB（A），满足《声环境质量标准》（GB3096-2008）表1环境噪声限值中的2类标准</w:t>
      </w:r>
      <w:r>
        <w:rPr>
          <w:rFonts w:hint="default" w:ascii="Times New Roman" w:hAnsi="Times New Roman" w:eastAsia="宋体" w:cs="Times New Roman"/>
          <w:color w:val="auto"/>
          <w:sz w:val="24"/>
          <w:szCs w:val="24"/>
          <w:highlight w:val="none"/>
          <w:lang w:val="en-US" w:eastAsia="zh-CN"/>
        </w:rPr>
        <w:t>。</w:t>
      </w:r>
    </w:p>
    <w:p w14:paraId="5B371884">
      <w:pPr>
        <w:keepNext/>
        <w:keepLines/>
        <w:widowControl w:val="0"/>
        <w:bidi w:val="0"/>
        <w:spacing w:before="100" w:after="100" w:line="240" w:lineRule="auto"/>
        <w:ind w:firstLine="0" w:firstLineChars="0"/>
        <w:jc w:val="both"/>
        <w:outlineLvl w:val="2"/>
        <w:rPr>
          <w:rFonts w:hint="default" w:ascii="Times New Roman" w:hAnsi="Times New Roman" w:eastAsia="宋体" w:cs="Times New Roman"/>
          <w:b/>
          <w:bCs/>
          <w:color w:val="auto"/>
          <w:kern w:val="2"/>
          <w:sz w:val="28"/>
          <w:szCs w:val="28"/>
          <w:highlight w:val="none"/>
          <w:lang w:val="en-US" w:eastAsia="zh-CN" w:bidi="ar-SA"/>
        </w:rPr>
      </w:pPr>
      <w:bookmarkStart w:id="648" w:name="_Toc32385"/>
      <w:bookmarkStart w:id="649" w:name="_Toc9368"/>
      <w:bookmarkStart w:id="650" w:name="_Toc8654"/>
      <w:r>
        <w:rPr>
          <w:rFonts w:hint="default" w:ascii="Times New Roman" w:hAnsi="Times New Roman" w:eastAsia="宋体" w:cs="Times New Roman"/>
          <w:b/>
          <w:bCs/>
          <w:color w:val="auto"/>
          <w:kern w:val="2"/>
          <w:sz w:val="28"/>
          <w:szCs w:val="28"/>
          <w:highlight w:val="none"/>
          <w:lang w:val="en-US" w:eastAsia="zh-CN" w:bidi="ar-SA"/>
        </w:rPr>
        <w:t>10.5.4 土壤环境质量现状</w:t>
      </w:r>
      <w:bookmarkEnd w:id="648"/>
      <w:bookmarkEnd w:id="649"/>
      <w:bookmarkEnd w:id="650"/>
    </w:p>
    <w:p w14:paraId="1FB8865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2"/>
          <w:highlight w:val="none"/>
          <w:lang w:val="en-US" w:eastAsia="zh-CN"/>
        </w:rPr>
      </w:pPr>
      <w:r>
        <w:rPr>
          <w:rFonts w:hint="default" w:ascii="Times New Roman" w:hAnsi="Times New Roman" w:eastAsia="宋体" w:cs="Times New Roman"/>
          <w:color w:val="auto"/>
          <w:sz w:val="24"/>
          <w:szCs w:val="22"/>
          <w:highlight w:val="none"/>
          <w:lang w:val="en-US" w:eastAsia="zh-CN"/>
        </w:rPr>
        <w:t>根据监测结果可知，本次土壤现状监测因子标准指数均小于1，建设用地各监测点位各项指标均达到《土壤环境质量 建设用地土壤污染风险管控标准（试行）》（GB36600-2018）</w:t>
      </w:r>
      <w:r>
        <w:rPr>
          <w:rFonts w:hint="eastAsia" w:ascii="Times New Roman" w:hAnsi="Times New Roman" w:eastAsia="宋体" w:cs="Times New Roman"/>
          <w:color w:val="auto"/>
          <w:sz w:val="24"/>
          <w:szCs w:val="22"/>
          <w:highlight w:val="none"/>
          <w:lang w:val="en-US" w:eastAsia="zh-CN"/>
        </w:rPr>
        <w:t>第一类和</w:t>
      </w:r>
      <w:r>
        <w:rPr>
          <w:rFonts w:hint="default" w:ascii="Times New Roman" w:hAnsi="Times New Roman" w:eastAsia="宋体" w:cs="Times New Roman"/>
          <w:color w:val="auto"/>
          <w:sz w:val="24"/>
          <w:szCs w:val="22"/>
          <w:highlight w:val="none"/>
          <w:lang w:val="en-US" w:eastAsia="zh-CN"/>
        </w:rPr>
        <w:t>第二类用地筛选值中的标准限值；农用地监测点位</w:t>
      </w:r>
      <w:r>
        <w:rPr>
          <w:rFonts w:hint="eastAsia" w:ascii="Times New Roman" w:hAnsi="Times New Roman" w:eastAsia="宋体" w:cs="Times New Roman"/>
          <w:color w:val="auto"/>
          <w:sz w:val="24"/>
          <w:szCs w:val="22"/>
          <w:highlight w:val="none"/>
          <w:lang w:val="en-US" w:eastAsia="zh-CN"/>
        </w:rPr>
        <w:t>各项</w:t>
      </w:r>
      <w:r>
        <w:rPr>
          <w:rFonts w:hint="default" w:ascii="Times New Roman" w:hAnsi="Times New Roman" w:eastAsia="宋体" w:cs="Times New Roman"/>
          <w:color w:val="auto"/>
          <w:sz w:val="24"/>
          <w:szCs w:val="22"/>
          <w:highlight w:val="none"/>
          <w:lang w:val="en-US" w:eastAsia="zh-CN"/>
        </w:rPr>
        <w:t>指标均达到《土壤环境质量 农用地土壤污染风险管控标准</w:t>
      </w:r>
      <w:r>
        <w:rPr>
          <w:rFonts w:hint="eastAsia" w:ascii="Times New Roman" w:hAnsi="Times New Roman" w:eastAsia="宋体" w:cs="Times New Roman"/>
          <w:color w:val="auto"/>
          <w:sz w:val="24"/>
          <w:szCs w:val="22"/>
          <w:highlight w:val="none"/>
          <w:lang w:val="en-US" w:eastAsia="zh-CN"/>
        </w:rPr>
        <w:t>（</w:t>
      </w:r>
      <w:r>
        <w:rPr>
          <w:rFonts w:hint="default" w:ascii="Times New Roman" w:hAnsi="Times New Roman" w:eastAsia="宋体" w:cs="Times New Roman"/>
          <w:color w:val="auto"/>
          <w:sz w:val="24"/>
          <w:szCs w:val="22"/>
          <w:highlight w:val="none"/>
          <w:lang w:val="en-US" w:eastAsia="zh-CN"/>
        </w:rPr>
        <w:t>试行</w:t>
      </w:r>
      <w:r>
        <w:rPr>
          <w:rFonts w:hint="eastAsia" w:ascii="Times New Roman" w:hAnsi="Times New Roman" w:eastAsia="宋体" w:cs="Times New Roman"/>
          <w:color w:val="auto"/>
          <w:sz w:val="24"/>
          <w:szCs w:val="22"/>
          <w:highlight w:val="none"/>
          <w:lang w:val="en-US" w:eastAsia="zh-CN"/>
        </w:rPr>
        <w:t>）</w:t>
      </w:r>
      <w:r>
        <w:rPr>
          <w:rFonts w:hint="default" w:ascii="Times New Roman" w:hAnsi="Times New Roman" w:eastAsia="宋体" w:cs="Times New Roman"/>
          <w:color w:val="auto"/>
          <w:sz w:val="24"/>
          <w:szCs w:val="22"/>
          <w:highlight w:val="none"/>
          <w:lang w:val="en-US" w:eastAsia="zh-CN"/>
        </w:rPr>
        <w:t>》</w:t>
      </w:r>
      <w:r>
        <w:rPr>
          <w:rFonts w:hint="eastAsia" w:ascii="Times New Roman" w:hAnsi="Times New Roman" w:eastAsia="宋体" w:cs="Times New Roman"/>
          <w:color w:val="auto"/>
          <w:sz w:val="24"/>
          <w:szCs w:val="22"/>
          <w:highlight w:val="none"/>
          <w:lang w:val="en-US" w:eastAsia="zh-CN"/>
        </w:rPr>
        <w:t>（</w:t>
      </w:r>
      <w:r>
        <w:rPr>
          <w:rFonts w:hint="default" w:ascii="Times New Roman" w:hAnsi="Times New Roman" w:eastAsia="宋体" w:cs="Times New Roman"/>
          <w:color w:val="auto"/>
          <w:sz w:val="24"/>
          <w:szCs w:val="22"/>
          <w:highlight w:val="none"/>
          <w:lang w:val="en-US" w:eastAsia="zh-CN"/>
        </w:rPr>
        <w:t>GB 15618-2018</w:t>
      </w:r>
      <w:r>
        <w:rPr>
          <w:rFonts w:hint="eastAsia" w:ascii="Times New Roman" w:hAnsi="Times New Roman" w:eastAsia="宋体" w:cs="Times New Roman"/>
          <w:color w:val="auto"/>
          <w:sz w:val="24"/>
          <w:szCs w:val="22"/>
          <w:highlight w:val="none"/>
          <w:lang w:val="en-US" w:eastAsia="zh-CN"/>
        </w:rPr>
        <w:t>）</w:t>
      </w:r>
      <w:r>
        <w:rPr>
          <w:rFonts w:hint="default" w:ascii="Times New Roman" w:hAnsi="Times New Roman" w:eastAsia="宋体" w:cs="Times New Roman"/>
          <w:color w:val="auto"/>
          <w:sz w:val="24"/>
          <w:szCs w:val="22"/>
          <w:highlight w:val="none"/>
          <w:lang w:val="en-US" w:eastAsia="zh-CN"/>
        </w:rPr>
        <w:t>土壤污染风险筛选值，项目所在地土壤环境质量现状较好。</w:t>
      </w:r>
    </w:p>
    <w:p w14:paraId="7E961CED">
      <w:pPr>
        <w:keepNext/>
        <w:keepLines/>
        <w:widowControl w:val="0"/>
        <w:bidi w:val="0"/>
        <w:spacing w:before="100" w:after="100" w:line="240" w:lineRule="auto"/>
        <w:ind w:firstLine="0" w:firstLineChars="0"/>
        <w:jc w:val="both"/>
        <w:outlineLvl w:val="2"/>
        <w:rPr>
          <w:rFonts w:hint="default" w:ascii="Times New Roman" w:hAnsi="Times New Roman" w:eastAsia="宋体" w:cs="Times New Roman"/>
          <w:b/>
          <w:bCs/>
          <w:color w:val="auto"/>
          <w:kern w:val="2"/>
          <w:sz w:val="28"/>
          <w:szCs w:val="28"/>
          <w:highlight w:val="none"/>
          <w:lang w:val="en-US" w:eastAsia="zh-CN" w:bidi="ar-SA"/>
        </w:rPr>
      </w:pPr>
      <w:bookmarkStart w:id="651" w:name="_Toc24843"/>
      <w:bookmarkStart w:id="652" w:name="_Toc8325"/>
      <w:bookmarkStart w:id="653" w:name="_Toc27717"/>
      <w:r>
        <w:rPr>
          <w:rFonts w:hint="default" w:ascii="Times New Roman" w:hAnsi="Times New Roman" w:eastAsia="宋体" w:cs="Times New Roman"/>
          <w:b/>
          <w:bCs/>
          <w:color w:val="auto"/>
          <w:kern w:val="2"/>
          <w:sz w:val="28"/>
          <w:szCs w:val="28"/>
          <w:highlight w:val="none"/>
          <w:lang w:val="en-US" w:eastAsia="zh-CN" w:bidi="ar-SA"/>
        </w:rPr>
        <w:t>10.5.5 生态环境质量现状</w:t>
      </w:r>
      <w:bookmarkEnd w:id="651"/>
      <w:bookmarkEnd w:id="652"/>
      <w:bookmarkEnd w:id="653"/>
    </w:p>
    <w:p w14:paraId="339BAEDB">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2"/>
          <w:highlight w:val="none"/>
          <w:lang w:val="en-US" w:eastAsia="zh-CN"/>
        </w:rPr>
      </w:pPr>
      <w:r>
        <w:rPr>
          <w:rFonts w:hint="default" w:ascii="Times New Roman" w:hAnsi="Times New Roman" w:eastAsia="宋体" w:cs="Times New Roman"/>
          <w:color w:val="auto"/>
          <w:sz w:val="24"/>
          <w:szCs w:val="22"/>
          <w:highlight w:val="none"/>
          <w:lang w:val="en-US" w:eastAsia="zh-CN"/>
        </w:rPr>
        <w:t>本项目位于城市建设区范围内，由于多年的开发活动，本项目所在区域自然生态环境已被人工生态环境所取代。区域内土地肥沃，植被主要以水稻、玉米、大豆等粮食作物为主，其他农作物主要为蔬菜。此外，道路两旁及房前屋后</w:t>
      </w:r>
      <w:r>
        <w:rPr>
          <w:rFonts w:hint="eastAsia" w:ascii="Times New Roman" w:hAnsi="Times New Roman" w:eastAsia="宋体" w:cs="Times New Roman"/>
          <w:color w:val="auto"/>
          <w:sz w:val="24"/>
          <w:szCs w:val="22"/>
          <w:highlight w:val="none"/>
          <w:lang w:val="en-US" w:eastAsia="zh-CN"/>
        </w:rPr>
        <w:t>栽种</w:t>
      </w:r>
      <w:r>
        <w:rPr>
          <w:rFonts w:hint="default" w:ascii="Times New Roman" w:hAnsi="Times New Roman" w:eastAsia="宋体" w:cs="Times New Roman"/>
          <w:color w:val="auto"/>
          <w:sz w:val="24"/>
          <w:szCs w:val="22"/>
          <w:highlight w:val="none"/>
          <w:lang w:val="en-US" w:eastAsia="zh-CN"/>
        </w:rPr>
        <w:t>的各种绿化或经济林木也有效地改善了生态环境质量。本区陆生动物除了人工饲养的牛、猪、鸡、兔、羊之外，还有少量的野生动物，包括鸟、鼠、蛙、昆虫等，无大型野生哺乳动物，本项目区域范围内不涉及</w:t>
      </w:r>
      <w:r>
        <w:rPr>
          <w:rFonts w:hint="eastAsia" w:ascii="Times New Roman" w:hAnsi="Times New Roman" w:eastAsia="宋体" w:cs="Times New Roman"/>
          <w:color w:val="auto"/>
          <w:sz w:val="24"/>
          <w:szCs w:val="22"/>
          <w:highlight w:val="none"/>
          <w:lang w:val="en-US" w:eastAsia="zh-CN"/>
        </w:rPr>
        <w:t>珍稀</w:t>
      </w:r>
      <w:r>
        <w:rPr>
          <w:rFonts w:hint="default" w:ascii="Times New Roman" w:hAnsi="Times New Roman" w:eastAsia="宋体" w:cs="Times New Roman"/>
          <w:color w:val="auto"/>
          <w:sz w:val="24"/>
          <w:szCs w:val="22"/>
          <w:highlight w:val="none"/>
          <w:lang w:val="en-US" w:eastAsia="zh-CN"/>
        </w:rPr>
        <w:t>野生保护植物及动物。</w:t>
      </w:r>
    </w:p>
    <w:p w14:paraId="3924697F">
      <w:pPr>
        <w:keepNext/>
        <w:keepLines/>
        <w:widowControl w:val="0"/>
        <w:bidi w:val="0"/>
        <w:spacing w:before="200" w:after="200" w:line="240" w:lineRule="auto"/>
        <w:ind w:firstLine="0" w:firstLineChars="0"/>
        <w:jc w:val="both"/>
        <w:outlineLvl w:val="1"/>
        <w:rPr>
          <w:rFonts w:hint="default" w:ascii="Times New Roman" w:hAnsi="Times New Roman" w:eastAsia="宋体" w:cs="Times New Roman"/>
          <w:b/>
          <w:bCs/>
          <w:color w:val="auto"/>
          <w:kern w:val="2"/>
          <w:sz w:val="30"/>
          <w:szCs w:val="30"/>
          <w:highlight w:val="none"/>
          <w:lang w:val="en-US" w:eastAsia="zh-CN" w:bidi="ar-SA"/>
        </w:rPr>
      </w:pPr>
      <w:bookmarkStart w:id="654" w:name="_Toc337734553"/>
      <w:bookmarkStart w:id="655" w:name="_Toc355942134"/>
      <w:bookmarkStart w:id="656" w:name="_Toc15417"/>
      <w:bookmarkStart w:id="657" w:name="_Toc29410"/>
      <w:bookmarkStart w:id="658" w:name="_Toc1967"/>
      <w:r>
        <w:rPr>
          <w:rFonts w:hint="default" w:ascii="Times New Roman" w:hAnsi="Times New Roman" w:eastAsia="宋体" w:cs="Times New Roman"/>
          <w:b/>
          <w:bCs/>
          <w:color w:val="auto"/>
          <w:kern w:val="2"/>
          <w:sz w:val="30"/>
          <w:szCs w:val="30"/>
          <w:highlight w:val="none"/>
          <w:lang w:val="en-US" w:eastAsia="zh-CN" w:bidi="ar-SA"/>
        </w:rPr>
        <w:t>10.6 环境污染防治措施</w:t>
      </w:r>
      <w:bookmarkEnd w:id="654"/>
      <w:bookmarkEnd w:id="655"/>
      <w:r>
        <w:rPr>
          <w:rFonts w:hint="default" w:ascii="Times New Roman" w:hAnsi="Times New Roman" w:eastAsia="宋体" w:cs="Times New Roman"/>
          <w:b/>
          <w:bCs/>
          <w:color w:val="auto"/>
          <w:kern w:val="2"/>
          <w:sz w:val="30"/>
          <w:szCs w:val="30"/>
          <w:highlight w:val="none"/>
          <w:lang w:val="en-US" w:eastAsia="zh-CN" w:bidi="ar-SA"/>
        </w:rPr>
        <w:t>结论</w:t>
      </w:r>
      <w:bookmarkEnd w:id="656"/>
      <w:bookmarkEnd w:id="657"/>
      <w:bookmarkEnd w:id="658"/>
    </w:p>
    <w:p w14:paraId="0C457BD1">
      <w:pPr>
        <w:keepNext/>
        <w:keepLines/>
        <w:widowControl w:val="0"/>
        <w:bidi w:val="0"/>
        <w:spacing w:before="100" w:after="100" w:line="240" w:lineRule="auto"/>
        <w:ind w:firstLine="0" w:firstLineChars="0"/>
        <w:jc w:val="both"/>
        <w:outlineLvl w:val="2"/>
        <w:rPr>
          <w:rFonts w:hint="default" w:ascii="Times New Roman" w:hAnsi="Times New Roman" w:eastAsia="宋体" w:cs="Times New Roman"/>
          <w:b/>
          <w:bCs/>
          <w:color w:val="auto"/>
          <w:kern w:val="2"/>
          <w:sz w:val="28"/>
          <w:szCs w:val="28"/>
          <w:highlight w:val="none"/>
          <w:lang w:val="en-US" w:eastAsia="zh-CN" w:bidi="ar-SA"/>
        </w:rPr>
      </w:pPr>
      <w:bookmarkStart w:id="659" w:name="_Toc9916"/>
      <w:bookmarkStart w:id="660" w:name="_Toc2435"/>
      <w:bookmarkStart w:id="661" w:name="_Toc13656"/>
      <w:r>
        <w:rPr>
          <w:rFonts w:hint="default" w:ascii="Times New Roman" w:hAnsi="Times New Roman" w:eastAsia="宋体" w:cs="Times New Roman"/>
          <w:b/>
          <w:bCs/>
          <w:color w:val="auto"/>
          <w:kern w:val="2"/>
          <w:sz w:val="28"/>
          <w:szCs w:val="28"/>
          <w:highlight w:val="none"/>
          <w:lang w:val="en-US" w:eastAsia="zh-CN" w:bidi="ar-SA"/>
        </w:rPr>
        <w:t>10.6.1 废气污染防治措施</w:t>
      </w:r>
      <w:bookmarkEnd w:id="659"/>
      <w:bookmarkEnd w:id="660"/>
      <w:bookmarkEnd w:id="661"/>
    </w:p>
    <w:p w14:paraId="16B6CD8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kern w:val="0"/>
          <w:sz w:val="24"/>
          <w:szCs w:val="24"/>
          <w:highlight w:val="none"/>
          <w:vertAlign w:val="baseline"/>
          <w:lang w:val="en-US" w:eastAsia="zh-CN"/>
        </w:rPr>
      </w:pPr>
      <w:r>
        <w:rPr>
          <w:rFonts w:hint="default" w:ascii="Times New Roman" w:hAnsi="Times New Roman" w:eastAsia="宋体" w:cs="Times New Roman"/>
          <w:color w:val="auto"/>
          <w:sz w:val="24"/>
          <w:szCs w:val="24"/>
          <w:highlight w:val="none"/>
        </w:rPr>
        <w:t>本项目产生的锅炉烟气经</w:t>
      </w:r>
      <w:r>
        <w:rPr>
          <w:rFonts w:hint="default"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eastAsia="zh-CN"/>
        </w:rPr>
        <w:t>炉内喷钙</w:t>
      </w:r>
      <w:r>
        <w:rPr>
          <w:rFonts w:hint="default" w:ascii="Times New Roman" w:hAnsi="Times New Roman" w:eastAsia="宋体" w:cs="Times New Roman"/>
          <w:color w:val="auto"/>
          <w:sz w:val="24"/>
          <w:szCs w:val="24"/>
          <w:highlight w:val="none"/>
          <w:lang w:eastAsia="zh-CN"/>
        </w:rPr>
        <w:t>+氨法脱硫+SNCR+亚氯酸钠脱硝+袋式除尘器</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后由高度</w:t>
      </w:r>
      <w:r>
        <w:rPr>
          <w:rFonts w:hint="eastAsia" w:ascii="Times New Roman" w:hAnsi="Times New Roman" w:eastAsia="宋体" w:cs="Times New Roman"/>
          <w:color w:val="auto"/>
          <w:sz w:val="24"/>
          <w:szCs w:val="24"/>
          <w:highlight w:val="none"/>
          <w:lang w:val="en-US" w:eastAsia="zh-CN"/>
        </w:rPr>
        <w:t>70</w:t>
      </w:r>
      <w:r>
        <w:rPr>
          <w:rFonts w:hint="default" w:ascii="Times New Roman" w:hAnsi="Times New Roman" w:eastAsia="宋体" w:cs="Times New Roman"/>
          <w:color w:val="auto"/>
          <w:sz w:val="24"/>
          <w:szCs w:val="24"/>
          <w:highlight w:val="none"/>
        </w:rPr>
        <w:t>m、出口内径</w:t>
      </w:r>
      <w:r>
        <w:rPr>
          <w:rFonts w:hint="eastAsia" w:ascii="Times New Roman" w:hAnsi="Times New Roman" w:eastAsia="宋体" w:cs="Times New Roman"/>
          <w:color w:val="auto"/>
          <w:sz w:val="24"/>
          <w:szCs w:val="24"/>
          <w:highlight w:val="none"/>
          <w:lang w:val="en-US" w:eastAsia="zh-CN"/>
        </w:rPr>
        <w:t>3.5</w:t>
      </w:r>
      <w:r>
        <w:rPr>
          <w:rFonts w:hint="default" w:ascii="Times New Roman" w:hAnsi="Times New Roman" w:eastAsia="宋体" w:cs="Times New Roman"/>
          <w:color w:val="auto"/>
          <w:sz w:val="24"/>
          <w:szCs w:val="24"/>
          <w:highlight w:val="none"/>
        </w:rPr>
        <w:t>m的烟囱排放</w:t>
      </w:r>
      <w:r>
        <w:rPr>
          <w:rFonts w:hint="default" w:ascii="Times New Roman" w:hAnsi="Times New Roman" w:eastAsia="宋体" w:cs="Times New Roman"/>
          <w:color w:val="auto"/>
          <w:sz w:val="24"/>
          <w:szCs w:val="24"/>
          <w:highlight w:val="none"/>
          <w:lang w:eastAsia="zh-CN"/>
        </w:rPr>
        <w:t>，经处理后</w:t>
      </w:r>
      <w:r>
        <w:rPr>
          <w:rFonts w:hint="default" w:ascii="Times New Roman" w:hAnsi="Times New Roman" w:eastAsia="宋体" w:cs="Times New Roman"/>
          <w:color w:val="auto"/>
          <w:sz w:val="24"/>
          <w:szCs w:val="24"/>
          <w:highlight w:val="none"/>
        </w:rPr>
        <w:t>锅炉</w:t>
      </w:r>
      <w:r>
        <w:rPr>
          <w:rFonts w:hint="default" w:ascii="Times New Roman" w:hAnsi="Times New Roman" w:eastAsia="宋体" w:cs="Times New Roman"/>
          <w:color w:val="auto"/>
          <w:sz w:val="24"/>
          <w:szCs w:val="24"/>
          <w:highlight w:val="none"/>
          <w:lang w:val="en-US" w:eastAsia="zh-CN"/>
        </w:rPr>
        <w:t>大气污染物</w:t>
      </w:r>
      <w:r>
        <w:rPr>
          <w:rFonts w:hint="default" w:ascii="Times New Roman" w:hAnsi="Times New Roman" w:eastAsia="宋体" w:cs="Times New Roman"/>
          <w:snapToGrid w:val="0"/>
          <w:color w:val="auto"/>
          <w:sz w:val="24"/>
          <w:szCs w:val="24"/>
          <w:highlight w:val="none"/>
          <w:lang w:val="en-US" w:eastAsia="zh-CN"/>
        </w:rPr>
        <w:t>颗粒物预测</w:t>
      </w:r>
      <w:r>
        <w:rPr>
          <w:rFonts w:hint="default" w:ascii="Times New Roman" w:hAnsi="Times New Roman" w:eastAsia="宋体" w:cs="Times New Roman"/>
          <w:snapToGrid w:val="0"/>
          <w:color w:val="auto"/>
          <w:sz w:val="24"/>
          <w:szCs w:val="24"/>
          <w:highlight w:val="none"/>
          <w:lang w:eastAsia="zh-CN"/>
        </w:rPr>
        <w:t>排</w:t>
      </w:r>
      <w:r>
        <w:rPr>
          <w:rFonts w:hint="default" w:ascii="Times New Roman" w:hAnsi="Times New Roman" w:eastAsia="宋体" w:cs="Times New Roman"/>
          <w:snapToGrid w:val="0"/>
          <w:color w:val="auto"/>
          <w:sz w:val="24"/>
          <w:szCs w:val="24"/>
          <w:highlight w:val="none"/>
        </w:rPr>
        <w:t>放量</w:t>
      </w:r>
      <w:r>
        <w:rPr>
          <w:rFonts w:hint="eastAsia" w:ascii="Times New Roman" w:hAnsi="Times New Roman" w:eastAsia="宋体" w:cs="Times New Roman"/>
          <w:snapToGrid w:val="0"/>
          <w:color w:val="auto"/>
          <w:sz w:val="24"/>
          <w:szCs w:val="24"/>
          <w:highlight w:val="none"/>
          <w:lang w:val="en-US" w:eastAsia="zh-CN"/>
        </w:rPr>
        <w:t>0.64</w:t>
      </w:r>
      <w:r>
        <w:rPr>
          <w:rFonts w:hint="default" w:ascii="Times New Roman" w:hAnsi="Times New Roman" w:eastAsia="宋体" w:cs="Times New Roman"/>
          <w:snapToGrid w:val="0"/>
          <w:color w:val="auto"/>
          <w:sz w:val="24"/>
          <w:szCs w:val="24"/>
          <w:highlight w:val="none"/>
        </w:rPr>
        <w:t>t/a、</w:t>
      </w:r>
      <w:r>
        <w:rPr>
          <w:rFonts w:hint="default" w:ascii="Times New Roman" w:hAnsi="Times New Roman" w:eastAsia="宋体" w:cs="Times New Roman"/>
          <w:snapToGrid w:val="0"/>
          <w:color w:val="auto"/>
          <w:sz w:val="24"/>
          <w:szCs w:val="24"/>
          <w:highlight w:val="none"/>
          <w:lang w:val="en-US" w:eastAsia="zh-CN"/>
        </w:rPr>
        <w:t>颗粒物</w:t>
      </w:r>
      <w:r>
        <w:rPr>
          <w:rFonts w:hint="default" w:ascii="Times New Roman" w:hAnsi="Times New Roman" w:eastAsia="宋体" w:cs="Times New Roman"/>
          <w:snapToGrid w:val="0"/>
          <w:color w:val="auto"/>
          <w:sz w:val="24"/>
          <w:szCs w:val="24"/>
          <w:highlight w:val="none"/>
        </w:rPr>
        <w:t>排放浓度</w:t>
      </w:r>
      <w:r>
        <w:rPr>
          <w:rFonts w:hint="eastAsia" w:ascii="Times New Roman" w:hAnsi="Times New Roman" w:eastAsia="宋体" w:cs="Times New Roman"/>
          <w:snapToGrid w:val="0"/>
          <w:color w:val="auto"/>
          <w:sz w:val="24"/>
          <w:szCs w:val="24"/>
          <w:highlight w:val="none"/>
          <w:lang w:val="en-US" w:eastAsia="zh-CN"/>
        </w:rPr>
        <w:t>6.28</w:t>
      </w:r>
      <w:r>
        <w:rPr>
          <w:rFonts w:hint="default" w:ascii="Times New Roman" w:hAnsi="Times New Roman" w:eastAsia="宋体" w:cs="Times New Roman"/>
          <w:snapToGrid w:val="0"/>
          <w:color w:val="auto"/>
          <w:sz w:val="24"/>
          <w:szCs w:val="24"/>
          <w:highlight w:val="none"/>
        </w:rPr>
        <w:t>mg/m</w:t>
      </w:r>
      <w:r>
        <w:rPr>
          <w:rFonts w:hint="default" w:ascii="Times New Roman" w:hAnsi="Times New Roman" w:eastAsia="宋体" w:cs="Times New Roman"/>
          <w:snapToGrid w:val="0"/>
          <w:color w:val="auto"/>
          <w:sz w:val="24"/>
          <w:szCs w:val="24"/>
          <w:highlight w:val="none"/>
          <w:vertAlign w:val="superscript"/>
        </w:rPr>
        <w:t>3</w:t>
      </w:r>
      <w:r>
        <w:rPr>
          <w:rFonts w:hint="default" w:ascii="Times New Roman" w:hAnsi="Times New Roman" w:eastAsia="宋体" w:cs="Times New Roman"/>
          <w:snapToGrid w:val="0"/>
          <w:color w:val="auto"/>
          <w:sz w:val="24"/>
          <w:szCs w:val="24"/>
          <w:highlight w:val="none"/>
          <w:lang w:eastAsia="zh-CN"/>
        </w:rPr>
        <w:t>；</w:t>
      </w:r>
      <w:r>
        <w:rPr>
          <w:rFonts w:hint="default" w:ascii="Times New Roman" w:hAnsi="Times New Roman" w:eastAsia="宋体" w:cs="Times New Roman"/>
          <w:color w:val="auto"/>
          <w:kern w:val="0"/>
          <w:sz w:val="24"/>
          <w:szCs w:val="24"/>
          <w:highlight w:val="none"/>
        </w:rPr>
        <w:t>SO</w:t>
      </w:r>
      <w:r>
        <w:rPr>
          <w:rFonts w:hint="default" w:ascii="Times New Roman" w:hAnsi="Times New Roman" w:eastAsia="宋体" w:cs="Times New Roman"/>
          <w:color w:val="auto"/>
          <w:kern w:val="0"/>
          <w:sz w:val="24"/>
          <w:szCs w:val="24"/>
          <w:highlight w:val="none"/>
          <w:vertAlign w:val="subscript"/>
        </w:rPr>
        <w:t>2</w:t>
      </w:r>
      <w:r>
        <w:rPr>
          <w:rFonts w:hint="default" w:ascii="Times New Roman" w:hAnsi="Times New Roman" w:eastAsia="宋体" w:cs="Times New Roman"/>
          <w:snapToGrid w:val="0"/>
          <w:color w:val="auto"/>
          <w:sz w:val="24"/>
          <w:szCs w:val="24"/>
          <w:highlight w:val="none"/>
          <w:lang w:val="en-US" w:eastAsia="zh-CN"/>
        </w:rPr>
        <w:t>预测</w:t>
      </w:r>
      <w:r>
        <w:rPr>
          <w:rFonts w:hint="default" w:ascii="Times New Roman" w:hAnsi="Times New Roman" w:eastAsia="宋体" w:cs="Times New Roman"/>
          <w:color w:val="auto"/>
          <w:kern w:val="0"/>
          <w:sz w:val="24"/>
          <w:szCs w:val="24"/>
          <w:highlight w:val="none"/>
        </w:rPr>
        <w:t>排放量</w:t>
      </w:r>
      <w:r>
        <w:rPr>
          <w:rFonts w:hint="eastAsia" w:ascii="Times New Roman" w:hAnsi="Times New Roman" w:eastAsia="宋体" w:cs="Times New Roman"/>
          <w:snapToGrid w:val="0"/>
          <w:color w:val="auto"/>
          <w:sz w:val="24"/>
          <w:szCs w:val="24"/>
          <w:highlight w:val="none"/>
          <w:lang w:val="en-US" w:eastAsia="zh-CN"/>
        </w:rPr>
        <w:t>2.67</w:t>
      </w:r>
      <w:r>
        <w:rPr>
          <w:rFonts w:hint="default" w:ascii="Times New Roman" w:hAnsi="Times New Roman" w:eastAsia="宋体" w:cs="Times New Roman"/>
          <w:snapToGrid w:val="0"/>
          <w:color w:val="auto"/>
          <w:sz w:val="24"/>
          <w:szCs w:val="24"/>
          <w:highlight w:val="none"/>
        </w:rPr>
        <w:t>t/a、</w:t>
      </w:r>
      <w:r>
        <w:rPr>
          <w:rFonts w:hint="default" w:ascii="Times New Roman" w:hAnsi="Times New Roman" w:eastAsia="宋体" w:cs="Times New Roman"/>
          <w:color w:val="auto"/>
          <w:kern w:val="0"/>
          <w:sz w:val="24"/>
          <w:szCs w:val="24"/>
          <w:highlight w:val="none"/>
        </w:rPr>
        <w:t>SO</w:t>
      </w:r>
      <w:r>
        <w:rPr>
          <w:rFonts w:hint="default" w:ascii="Times New Roman" w:hAnsi="Times New Roman" w:eastAsia="宋体" w:cs="Times New Roman"/>
          <w:color w:val="auto"/>
          <w:kern w:val="0"/>
          <w:sz w:val="24"/>
          <w:szCs w:val="24"/>
          <w:highlight w:val="none"/>
          <w:vertAlign w:val="subscript"/>
        </w:rPr>
        <w:t>2</w:t>
      </w:r>
      <w:r>
        <w:rPr>
          <w:rFonts w:hint="default" w:ascii="Times New Roman" w:hAnsi="Times New Roman" w:eastAsia="宋体" w:cs="Times New Roman"/>
          <w:snapToGrid w:val="0"/>
          <w:color w:val="auto"/>
          <w:sz w:val="24"/>
          <w:szCs w:val="24"/>
          <w:highlight w:val="none"/>
        </w:rPr>
        <w:t>排放浓度</w:t>
      </w:r>
      <w:r>
        <w:rPr>
          <w:rFonts w:hint="eastAsia" w:ascii="Times New Roman" w:hAnsi="Times New Roman" w:eastAsia="宋体" w:cs="Times New Roman"/>
          <w:snapToGrid w:val="0"/>
          <w:color w:val="auto"/>
          <w:sz w:val="24"/>
          <w:szCs w:val="24"/>
          <w:highlight w:val="none"/>
          <w:lang w:val="en-US" w:eastAsia="zh-CN"/>
        </w:rPr>
        <w:t>26.44</w:t>
      </w:r>
      <w:r>
        <w:rPr>
          <w:rFonts w:hint="default" w:ascii="Times New Roman" w:hAnsi="Times New Roman" w:eastAsia="宋体" w:cs="Times New Roman"/>
          <w:snapToGrid w:val="0"/>
          <w:color w:val="auto"/>
          <w:sz w:val="24"/>
          <w:szCs w:val="24"/>
          <w:highlight w:val="none"/>
        </w:rPr>
        <w:t>mg/m</w:t>
      </w:r>
      <w:r>
        <w:rPr>
          <w:rFonts w:hint="default" w:ascii="Times New Roman" w:hAnsi="Times New Roman" w:eastAsia="宋体" w:cs="Times New Roman"/>
          <w:snapToGrid w:val="0"/>
          <w:color w:val="auto"/>
          <w:sz w:val="24"/>
          <w:szCs w:val="24"/>
          <w:highlight w:val="none"/>
          <w:vertAlign w:val="superscript"/>
        </w:rPr>
        <w:t>3</w:t>
      </w:r>
      <w:r>
        <w:rPr>
          <w:rFonts w:hint="default" w:ascii="Times New Roman" w:hAnsi="Times New Roman" w:eastAsia="宋体" w:cs="Times New Roman"/>
          <w:snapToGrid w:val="0"/>
          <w:color w:val="auto"/>
          <w:sz w:val="24"/>
          <w:szCs w:val="24"/>
          <w:highlight w:val="none"/>
          <w:lang w:eastAsia="zh-CN"/>
        </w:rPr>
        <w:t>；</w:t>
      </w:r>
      <w:r>
        <w:rPr>
          <w:rFonts w:hint="default" w:ascii="Times New Roman" w:hAnsi="Times New Roman" w:eastAsia="宋体" w:cs="Times New Roman"/>
          <w:color w:val="auto"/>
          <w:kern w:val="0"/>
          <w:sz w:val="24"/>
          <w:szCs w:val="24"/>
          <w:highlight w:val="none"/>
        </w:rPr>
        <w:t>NO</w:t>
      </w:r>
      <w:r>
        <w:rPr>
          <w:rFonts w:hint="default" w:ascii="Times New Roman" w:hAnsi="Times New Roman" w:eastAsia="宋体" w:cs="Times New Roman"/>
          <w:color w:val="auto"/>
          <w:kern w:val="0"/>
          <w:sz w:val="24"/>
          <w:szCs w:val="24"/>
          <w:highlight w:val="none"/>
          <w:vertAlign w:val="subscript"/>
        </w:rPr>
        <w:t>X</w:t>
      </w:r>
      <w:r>
        <w:rPr>
          <w:rFonts w:hint="default" w:ascii="Times New Roman" w:hAnsi="Times New Roman" w:eastAsia="宋体" w:cs="Times New Roman"/>
          <w:snapToGrid w:val="0"/>
          <w:color w:val="auto"/>
          <w:sz w:val="24"/>
          <w:szCs w:val="24"/>
          <w:highlight w:val="none"/>
          <w:lang w:val="en-US" w:eastAsia="zh-CN"/>
        </w:rPr>
        <w:t>预测</w:t>
      </w:r>
      <w:r>
        <w:rPr>
          <w:rFonts w:hint="default" w:ascii="Times New Roman" w:hAnsi="Times New Roman" w:eastAsia="宋体" w:cs="Times New Roman"/>
          <w:color w:val="auto"/>
          <w:kern w:val="0"/>
          <w:sz w:val="24"/>
          <w:szCs w:val="24"/>
          <w:highlight w:val="none"/>
        </w:rPr>
        <w:t>排放量</w:t>
      </w:r>
      <w:r>
        <w:rPr>
          <w:rFonts w:hint="eastAsia" w:ascii="Times New Roman" w:hAnsi="Times New Roman" w:eastAsia="宋体" w:cs="Times New Roman"/>
          <w:color w:val="auto"/>
          <w:kern w:val="0"/>
          <w:sz w:val="24"/>
          <w:szCs w:val="24"/>
          <w:highlight w:val="none"/>
          <w:lang w:val="en-US" w:eastAsia="zh-CN"/>
        </w:rPr>
        <w:t>4.27</w:t>
      </w:r>
      <w:r>
        <w:rPr>
          <w:rFonts w:hint="default" w:ascii="Times New Roman" w:hAnsi="Times New Roman" w:eastAsia="宋体" w:cs="Times New Roman"/>
          <w:snapToGrid w:val="0"/>
          <w:color w:val="auto"/>
          <w:sz w:val="24"/>
          <w:szCs w:val="24"/>
          <w:highlight w:val="none"/>
        </w:rPr>
        <w:t>t/a</w:t>
      </w:r>
      <w:r>
        <w:rPr>
          <w:rFonts w:hint="default" w:ascii="Times New Roman" w:hAnsi="Times New Roman" w:eastAsia="宋体" w:cs="Times New Roman"/>
          <w:snapToGrid w:val="0"/>
          <w:color w:val="auto"/>
          <w:sz w:val="24"/>
          <w:szCs w:val="24"/>
          <w:highlight w:val="none"/>
          <w:lang w:eastAsia="zh-CN"/>
        </w:rPr>
        <w:t>、</w:t>
      </w:r>
      <w:r>
        <w:rPr>
          <w:rFonts w:hint="default" w:ascii="Times New Roman" w:hAnsi="Times New Roman" w:eastAsia="宋体" w:cs="Times New Roman"/>
          <w:color w:val="auto"/>
          <w:kern w:val="0"/>
          <w:sz w:val="24"/>
          <w:szCs w:val="24"/>
          <w:highlight w:val="none"/>
        </w:rPr>
        <w:t>NO</w:t>
      </w:r>
      <w:r>
        <w:rPr>
          <w:rFonts w:hint="default" w:ascii="Times New Roman" w:hAnsi="Times New Roman" w:eastAsia="宋体" w:cs="Times New Roman"/>
          <w:color w:val="auto"/>
          <w:kern w:val="0"/>
          <w:sz w:val="24"/>
          <w:szCs w:val="24"/>
          <w:highlight w:val="none"/>
          <w:vertAlign w:val="subscript"/>
        </w:rPr>
        <w:t>X</w:t>
      </w:r>
      <w:r>
        <w:rPr>
          <w:rFonts w:hint="default" w:ascii="Times New Roman" w:hAnsi="Times New Roman" w:eastAsia="宋体" w:cs="Times New Roman"/>
          <w:snapToGrid w:val="0"/>
          <w:color w:val="auto"/>
          <w:sz w:val="24"/>
          <w:szCs w:val="24"/>
          <w:highlight w:val="none"/>
        </w:rPr>
        <w:t>排放浓度</w:t>
      </w:r>
      <w:r>
        <w:rPr>
          <w:rFonts w:hint="eastAsia" w:ascii="Times New Roman" w:hAnsi="Times New Roman" w:eastAsia="宋体" w:cs="Times New Roman"/>
          <w:snapToGrid w:val="0"/>
          <w:color w:val="auto"/>
          <w:sz w:val="24"/>
          <w:szCs w:val="24"/>
          <w:highlight w:val="none"/>
          <w:lang w:val="en-US" w:eastAsia="zh-CN"/>
        </w:rPr>
        <w:t>42</w:t>
      </w:r>
      <w:r>
        <w:rPr>
          <w:rFonts w:hint="default" w:ascii="Times New Roman" w:hAnsi="Times New Roman" w:eastAsia="宋体" w:cs="Times New Roman"/>
          <w:snapToGrid w:val="0"/>
          <w:color w:val="auto"/>
          <w:sz w:val="24"/>
          <w:szCs w:val="24"/>
          <w:highlight w:val="none"/>
        </w:rPr>
        <w:t>mg/m</w:t>
      </w:r>
      <w:r>
        <w:rPr>
          <w:rFonts w:hint="default" w:ascii="Times New Roman" w:hAnsi="Times New Roman" w:eastAsia="宋体" w:cs="Times New Roman"/>
          <w:snapToGrid w:val="0"/>
          <w:color w:val="auto"/>
          <w:sz w:val="24"/>
          <w:szCs w:val="24"/>
          <w:highlight w:val="none"/>
          <w:vertAlign w:val="superscript"/>
        </w:rPr>
        <w:t>3</w:t>
      </w:r>
      <w:r>
        <w:rPr>
          <w:rFonts w:hint="default" w:ascii="Times New Roman" w:hAnsi="Times New Roman" w:eastAsia="宋体" w:cs="Times New Roman"/>
          <w:color w:val="auto"/>
          <w:sz w:val="24"/>
          <w:szCs w:val="24"/>
          <w:highlight w:val="none"/>
          <w:lang w:val="en-US" w:eastAsia="zh-CN"/>
        </w:rPr>
        <w:t>；Hg预测排放量为0.00</w:t>
      </w:r>
      <w:r>
        <w:rPr>
          <w:rFonts w:hint="eastAsia" w:ascii="Times New Roman" w:hAnsi="Times New Roman" w:eastAsia="宋体" w:cs="Times New Roman"/>
          <w:color w:val="auto"/>
          <w:sz w:val="24"/>
          <w:szCs w:val="24"/>
          <w:highlight w:val="none"/>
          <w:lang w:val="en-US" w:eastAsia="zh-CN"/>
        </w:rPr>
        <w:t>06t/a</w:t>
      </w:r>
      <w:r>
        <w:rPr>
          <w:rFonts w:hint="default" w:ascii="Times New Roman" w:hAnsi="Times New Roman" w:eastAsia="宋体" w:cs="Times New Roman"/>
          <w:color w:val="auto"/>
          <w:sz w:val="24"/>
          <w:szCs w:val="24"/>
          <w:highlight w:val="none"/>
          <w:lang w:val="en-US" w:eastAsia="zh-CN"/>
        </w:rPr>
        <w:t>、排放浓度为0.00</w:t>
      </w: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snapToGrid w:val="0"/>
          <w:color w:val="auto"/>
          <w:sz w:val="24"/>
          <w:szCs w:val="24"/>
          <w:highlight w:val="none"/>
        </w:rPr>
        <w:t>mg/m</w:t>
      </w:r>
      <w:r>
        <w:rPr>
          <w:rFonts w:hint="default" w:ascii="Times New Roman" w:hAnsi="Times New Roman" w:eastAsia="宋体" w:cs="Times New Roman"/>
          <w:snapToGrid w:val="0"/>
          <w:color w:val="auto"/>
          <w:sz w:val="24"/>
          <w:szCs w:val="24"/>
          <w:highlight w:val="none"/>
          <w:vertAlign w:val="superscript"/>
        </w:rPr>
        <w:t>3</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NH</w:t>
      </w:r>
      <w:r>
        <w:rPr>
          <w:rFonts w:hint="default" w:ascii="Times New Roman" w:hAnsi="Times New Roman" w:eastAsia="宋体" w:cs="Times New Roman"/>
          <w:color w:val="auto"/>
          <w:sz w:val="24"/>
          <w:szCs w:val="24"/>
          <w:highlight w:val="none"/>
          <w:vertAlign w:val="subscript"/>
          <w:lang w:val="en-US" w:eastAsia="zh-CN"/>
        </w:rPr>
        <w:t>3</w:t>
      </w:r>
      <w:r>
        <w:rPr>
          <w:rFonts w:hint="default" w:ascii="Times New Roman" w:hAnsi="Times New Roman" w:eastAsia="宋体" w:cs="Times New Roman"/>
          <w:color w:val="auto"/>
          <w:sz w:val="24"/>
          <w:szCs w:val="24"/>
          <w:highlight w:val="none"/>
          <w:lang w:val="en-US" w:eastAsia="zh-CN"/>
        </w:rPr>
        <w:t>预测排放量为</w:t>
      </w:r>
      <w:r>
        <w:rPr>
          <w:rFonts w:hint="eastAsia" w:ascii="Times New Roman" w:hAnsi="Times New Roman" w:eastAsia="宋体" w:cs="Times New Roman"/>
          <w:color w:val="auto"/>
          <w:sz w:val="24"/>
          <w:szCs w:val="24"/>
          <w:highlight w:val="none"/>
          <w:lang w:val="en-US" w:eastAsia="zh-CN"/>
        </w:rPr>
        <w:t>0.75</w:t>
      </w:r>
      <w:r>
        <w:rPr>
          <w:rFonts w:hint="default" w:ascii="Times New Roman" w:hAnsi="Times New Roman" w:eastAsia="宋体" w:cs="Times New Roman"/>
          <w:color w:val="auto"/>
          <w:sz w:val="24"/>
          <w:szCs w:val="24"/>
          <w:highlight w:val="none"/>
          <w:lang w:val="en-US" w:eastAsia="zh-CN"/>
        </w:rPr>
        <w:t>t/a、排放浓度为</w:t>
      </w:r>
      <w:r>
        <w:rPr>
          <w:rFonts w:hint="eastAsia"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snapToGrid w:val="0"/>
          <w:color w:val="auto"/>
          <w:sz w:val="24"/>
          <w:szCs w:val="24"/>
          <w:highlight w:val="none"/>
        </w:rPr>
        <w:t>mg/m</w:t>
      </w:r>
      <w:r>
        <w:rPr>
          <w:rFonts w:hint="default" w:ascii="Times New Roman" w:hAnsi="Times New Roman" w:eastAsia="宋体" w:cs="Times New Roman"/>
          <w:snapToGrid w:val="0"/>
          <w:color w:val="auto"/>
          <w:sz w:val="24"/>
          <w:szCs w:val="24"/>
          <w:highlight w:val="none"/>
          <w:vertAlign w:val="superscript"/>
        </w:rPr>
        <w:t>3</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pacing w:val="0"/>
          <w:sz w:val="24"/>
          <w:szCs w:val="24"/>
          <w:highlight w:val="none"/>
          <w:lang w:val="en-US" w:eastAsia="zh-CN"/>
        </w:rPr>
        <w:t>锅炉大气污染物</w:t>
      </w:r>
      <w:r>
        <w:rPr>
          <w:rFonts w:hint="default" w:ascii="Times New Roman" w:hAnsi="Times New Roman" w:eastAsia="宋体" w:cs="Times New Roman"/>
          <w:color w:val="auto"/>
          <w:spacing w:val="0"/>
          <w:sz w:val="24"/>
          <w:szCs w:val="24"/>
          <w:highlight w:val="none"/>
        </w:rPr>
        <w:t>烟尘、SO</w:t>
      </w:r>
      <w:r>
        <w:rPr>
          <w:rFonts w:hint="default" w:ascii="Times New Roman" w:hAnsi="Times New Roman" w:eastAsia="宋体" w:cs="Times New Roman"/>
          <w:color w:val="auto"/>
          <w:spacing w:val="0"/>
          <w:sz w:val="24"/>
          <w:szCs w:val="24"/>
          <w:highlight w:val="none"/>
          <w:vertAlign w:val="subscript"/>
        </w:rPr>
        <w:t>2</w:t>
      </w:r>
      <w:r>
        <w:rPr>
          <w:rFonts w:hint="default" w:ascii="Times New Roman" w:hAnsi="Times New Roman" w:eastAsia="宋体" w:cs="Times New Roman"/>
          <w:color w:val="auto"/>
          <w:spacing w:val="0"/>
          <w:sz w:val="24"/>
          <w:szCs w:val="24"/>
          <w:highlight w:val="none"/>
        </w:rPr>
        <w:t>、NO</w:t>
      </w:r>
      <w:r>
        <w:rPr>
          <w:rFonts w:hint="default" w:ascii="Times New Roman" w:hAnsi="Times New Roman" w:eastAsia="宋体" w:cs="Times New Roman"/>
          <w:color w:val="auto"/>
          <w:spacing w:val="0"/>
          <w:sz w:val="24"/>
          <w:szCs w:val="24"/>
          <w:highlight w:val="none"/>
          <w:vertAlign w:val="subscript"/>
        </w:rPr>
        <w:t>X</w:t>
      </w:r>
      <w:r>
        <w:rPr>
          <w:rFonts w:hint="default" w:ascii="Times New Roman" w:hAnsi="Times New Roman" w:eastAsia="宋体" w:cs="Times New Roman"/>
          <w:color w:val="auto"/>
          <w:spacing w:val="0"/>
          <w:sz w:val="24"/>
          <w:szCs w:val="24"/>
          <w:highlight w:val="none"/>
        </w:rPr>
        <w:t>排放浓度满足《关于印发</w:t>
      </w:r>
      <w:r>
        <w:rPr>
          <w:rFonts w:hint="eastAsia" w:ascii="Times New Roman" w:hAnsi="Times New Roman" w:eastAsia="宋体"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rPr>
        <w:t>全面实施燃煤电厂超低排放和节能改造工作方案</w:t>
      </w:r>
      <w:r>
        <w:rPr>
          <w:rFonts w:hint="eastAsia" w:ascii="Times New Roman" w:hAnsi="Times New Roman" w:eastAsia="宋体" w:cs="Times New Roman"/>
          <w:color w:val="auto"/>
          <w:spacing w:val="0"/>
          <w:sz w:val="24"/>
          <w:szCs w:val="24"/>
          <w:highlight w:val="none"/>
          <w:lang w:eastAsia="zh-CN"/>
        </w:rPr>
        <w:t>〉的通知》</w:t>
      </w:r>
      <w:r>
        <w:rPr>
          <w:rFonts w:hint="default" w:ascii="Times New Roman" w:hAnsi="Times New Roman" w:eastAsia="宋体" w:cs="Times New Roman"/>
          <w:color w:val="auto"/>
          <w:spacing w:val="0"/>
          <w:sz w:val="24"/>
          <w:szCs w:val="24"/>
          <w:highlight w:val="none"/>
        </w:rPr>
        <w:t>（环发</w:t>
      </w:r>
      <w:r>
        <w:rPr>
          <w:rFonts w:hint="eastAsia" w:ascii="Times New Roman" w:hAnsi="Times New Roman" w:eastAsia="宋体"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rPr>
        <w:t>2015</w:t>
      </w:r>
      <w:r>
        <w:rPr>
          <w:rFonts w:hint="eastAsia" w:ascii="Times New Roman" w:hAnsi="Times New Roman" w:eastAsia="宋体"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rPr>
        <w:t>164号）要求，达到超低排放（在基准氧含量6%条件下，烟尘、SO</w:t>
      </w:r>
      <w:r>
        <w:rPr>
          <w:rFonts w:hint="default" w:ascii="Times New Roman" w:hAnsi="Times New Roman" w:eastAsia="宋体" w:cs="Times New Roman"/>
          <w:color w:val="auto"/>
          <w:spacing w:val="0"/>
          <w:sz w:val="24"/>
          <w:szCs w:val="24"/>
          <w:highlight w:val="none"/>
          <w:vertAlign w:val="subscript"/>
        </w:rPr>
        <w:t>2</w:t>
      </w:r>
      <w:r>
        <w:rPr>
          <w:rFonts w:hint="default" w:ascii="Times New Roman" w:hAnsi="Times New Roman" w:eastAsia="宋体" w:cs="Times New Roman"/>
          <w:color w:val="auto"/>
          <w:spacing w:val="0"/>
          <w:sz w:val="24"/>
          <w:szCs w:val="24"/>
          <w:highlight w:val="none"/>
        </w:rPr>
        <w:t>、NO</w:t>
      </w:r>
      <w:r>
        <w:rPr>
          <w:rFonts w:hint="default" w:ascii="Times New Roman" w:hAnsi="Times New Roman" w:eastAsia="宋体" w:cs="Times New Roman"/>
          <w:color w:val="auto"/>
          <w:spacing w:val="0"/>
          <w:sz w:val="24"/>
          <w:szCs w:val="24"/>
          <w:highlight w:val="none"/>
          <w:vertAlign w:val="subscript"/>
        </w:rPr>
        <w:t>X</w:t>
      </w:r>
      <w:r>
        <w:rPr>
          <w:rFonts w:hint="default" w:ascii="Times New Roman" w:hAnsi="Times New Roman" w:eastAsia="宋体" w:cs="Times New Roman"/>
          <w:color w:val="auto"/>
          <w:spacing w:val="0"/>
          <w:sz w:val="24"/>
          <w:szCs w:val="24"/>
          <w:highlight w:val="none"/>
        </w:rPr>
        <w:t>排放浓度分别不高于10mg/m</w:t>
      </w:r>
      <w:r>
        <w:rPr>
          <w:rFonts w:hint="default" w:ascii="Times New Roman" w:hAnsi="Times New Roman" w:eastAsia="宋体" w:cs="Times New Roman"/>
          <w:color w:val="auto"/>
          <w:spacing w:val="0"/>
          <w:sz w:val="24"/>
          <w:szCs w:val="24"/>
          <w:highlight w:val="none"/>
          <w:vertAlign w:val="superscript"/>
        </w:rPr>
        <w:t>3</w:t>
      </w:r>
      <w:r>
        <w:rPr>
          <w:rFonts w:hint="default" w:ascii="Times New Roman" w:hAnsi="Times New Roman" w:eastAsia="宋体" w:cs="Times New Roman"/>
          <w:color w:val="auto"/>
          <w:spacing w:val="0"/>
          <w:sz w:val="24"/>
          <w:szCs w:val="24"/>
          <w:highlight w:val="none"/>
        </w:rPr>
        <w:t>、35mg/m</w:t>
      </w:r>
      <w:r>
        <w:rPr>
          <w:rFonts w:hint="default" w:ascii="Times New Roman" w:hAnsi="Times New Roman" w:eastAsia="宋体" w:cs="Times New Roman"/>
          <w:color w:val="auto"/>
          <w:spacing w:val="0"/>
          <w:sz w:val="24"/>
          <w:szCs w:val="24"/>
          <w:highlight w:val="none"/>
          <w:vertAlign w:val="superscript"/>
        </w:rPr>
        <w:t>3</w:t>
      </w:r>
      <w:r>
        <w:rPr>
          <w:rFonts w:hint="default" w:ascii="Times New Roman" w:hAnsi="Times New Roman" w:eastAsia="宋体" w:cs="Times New Roman"/>
          <w:color w:val="auto"/>
          <w:spacing w:val="0"/>
          <w:sz w:val="24"/>
          <w:szCs w:val="24"/>
          <w:highlight w:val="none"/>
        </w:rPr>
        <w:t>、50mg/m</w:t>
      </w:r>
      <w:r>
        <w:rPr>
          <w:rFonts w:hint="default" w:ascii="Times New Roman" w:hAnsi="Times New Roman" w:eastAsia="宋体" w:cs="Times New Roman"/>
          <w:color w:val="auto"/>
          <w:spacing w:val="0"/>
          <w:sz w:val="24"/>
          <w:szCs w:val="24"/>
          <w:highlight w:val="none"/>
          <w:vertAlign w:val="superscript"/>
        </w:rPr>
        <w:t>3</w:t>
      </w:r>
      <w:r>
        <w:rPr>
          <w:rFonts w:hint="default" w:ascii="Times New Roman" w:hAnsi="Times New Roman" w:eastAsia="宋体" w:cs="Times New Roman"/>
          <w:color w:val="auto"/>
          <w:spacing w:val="0"/>
          <w:sz w:val="24"/>
          <w:szCs w:val="24"/>
          <w:highlight w:val="none"/>
        </w:rPr>
        <w:t>）；</w:t>
      </w:r>
      <w:r>
        <w:rPr>
          <w:rFonts w:hint="default" w:ascii="Times New Roman" w:hAnsi="Times New Roman" w:eastAsia="宋体" w:cs="Times New Roman"/>
          <w:color w:val="auto"/>
          <w:spacing w:val="0"/>
          <w:sz w:val="24"/>
          <w:szCs w:val="24"/>
          <w:highlight w:val="none"/>
          <w:lang w:eastAsia="zh-CN"/>
        </w:rPr>
        <w:t>烟气黑度和</w:t>
      </w:r>
      <w:r>
        <w:rPr>
          <w:rFonts w:hint="default" w:ascii="Times New Roman" w:hAnsi="Times New Roman" w:eastAsia="宋体" w:cs="Times New Roman"/>
          <w:color w:val="auto"/>
          <w:spacing w:val="0"/>
          <w:sz w:val="24"/>
          <w:szCs w:val="24"/>
          <w:highlight w:val="none"/>
          <w:lang w:val="en-US" w:eastAsia="zh-CN"/>
        </w:rPr>
        <w:t>汞及其化合物</w:t>
      </w:r>
      <w:r>
        <w:rPr>
          <w:rFonts w:hint="default" w:ascii="Times New Roman" w:hAnsi="Times New Roman" w:eastAsia="宋体" w:cs="Times New Roman"/>
          <w:color w:val="auto"/>
          <w:spacing w:val="0"/>
          <w:sz w:val="24"/>
          <w:szCs w:val="24"/>
          <w:highlight w:val="none"/>
        </w:rPr>
        <w:t>排放浓度满足</w:t>
      </w:r>
      <w:r>
        <w:rPr>
          <w:rFonts w:hint="eastAsia" w:ascii="Times New Roman" w:hAnsi="Times New Roman" w:eastAsia="宋体" w:cs="Times New Roman"/>
          <w:color w:val="auto"/>
          <w:spacing w:val="0"/>
          <w:sz w:val="24"/>
          <w:szCs w:val="24"/>
          <w:highlight w:val="none"/>
          <w:lang w:eastAsia="zh-CN"/>
        </w:rPr>
        <w:t>《锅炉大气污染物排放标准》（GB13271-2014）表2的限值要求</w:t>
      </w:r>
      <w:r>
        <w:rPr>
          <w:rFonts w:hint="default" w:ascii="Times New Roman" w:hAnsi="Times New Roman" w:eastAsia="宋体" w:cs="Times New Roman"/>
          <w:color w:val="auto"/>
          <w:spacing w:val="0"/>
          <w:kern w:val="0"/>
          <w:sz w:val="24"/>
          <w:szCs w:val="24"/>
          <w:highlight w:val="none"/>
          <w:vertAlign w:val="baseline"/>
          <w:lang w:eastAsia="zh-CN"/>
        </w:rPr>
        <w:t>。</w:t>
      </w:r>
      <w:r>
        <w:rPr>
          <w:rFonts w:hint="eastAsia" w:ascii="Times New Roman" w:hAnsi="Times New Roman" w:eastAsia="宋体" w:cs="Times New Roman"/>
          <w:color w:val="auto"/>
          <w:spacing w:val="0"/>
          <w:kern w:val="0"/>
          <w:sz w:val="24"/>
          <w:szCs w:val="24"/>
          <w:highlight w:val="none"/>
          <w:vertAlign w:val="baseline"/>
          <w:lang w:val="en-US" w:eastAsia="zh-CN"/>
        </w:rPr>
        <w:t>灰库</w:t>
      </w:r>
      <w:r>
        <w:rPr>
          <w:rFonts w:hint="default" w:ascii="Times New Roman" w:hAnsi="Times New Roman" w:eastAsia="宋体" w:cs="Times New Roman"/>
          <w:color w:val="auto"/>
          <w:spacing w:val="0"/>
          <w:kern w:val="0"/>
          <w:sz w:val="24"/>
          <w:szCs w:val="24"/>
          <w:highlight w:val="none"/>
          <w:vertAlign w:val="baseline"/>
          <w:lang w:val="en-US" w:eastAsia="zh-CN"/>
        </w:rPr>
        <w:t>、</w:t>
      </w:r>
      <w:r>
        <w:rPr>
          <w:rFonts w:hint="eastAsia" w:ascii="Times New Roman" w:hAnsi="Times New Roman" w:eastAsia="宋体" w:cs="Times New Roman"/>
          <w:color w:val="auto"/>
          <w:spacing w:val="0"/>
          <w:kern w:val="0"/>
          <w:sz w:val="24"/>
          <w:szCs w:val="24"/>
          <w:highlight w:val="none"/>
          <w:vertAlign w:val="baseline"/>
          <w:lang w:val="en-US" w:eastAsia="zh-CN"/>
        </w:rPr>
        <w:t>生石灰</w:t>
      </w:r>
      <w:r>
        <w:rPr>
          <w:rFonts w:hint="default" w:ascii="Times New Roman" w:hAnsi="Times New Roman" w:eastAsia="宋体" w:cs="Times New Roman"/>
          <w:color w:val="auto"/>
          <w:spacing w:val="0"/>
          <w:kern w:val="0"/>
          <w:sz w:val="24"/>
          <w:szCs w:val="24"/>
          <w:highlight w:val="none"/>
          <w:vertAlign w:val="baseline"/>
          <w:lang w:val="en-US" w:eastAsia="zh-CN"/>
        </w:rPr>
        <w:t>粉仓尘点密闭，分别设置脉冲布袋除尘器</w:t>
      </w:r>
      <w:r>
        <w:rPr>
          <w:rFonts w:hint="eastAsia" w:ascii="Times New Roman" w:hAnsi="Times New Roman" w:eastAsia="宋体" w:cs="Times New Roman"/>
          <w:color w:val="auto"/>
          <w:spacing w:val="0"/>
          <w:kern w:val="0"/>
          <w:sz w:val="24"/>
          <w:szCs w:val="24"/>
          <w:highlight w:val="none"/>
          <w:vertAlign w:val="baseline"/>
          <w:lang w:val="en-US" w:eastAsia="zh-CN"/>
        </w:rPr>
        <w:t>，处理后废气通过各自顶部排放口排放（按有组织排放源计），通过采取上述措施，颗粒物排放浓度和排放速率能满足《大气污染物综合排放标准》（GB16297-1996）表2新污染源大气污染物排放限值要求。</w:t>
      </w:r>
    </w:p>
    <w:p w14:paraId="2A03A532">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pacing w:val="0"/>
          <w:kern w:val="0"/>
          <w:sz w:val="24"/>
          <w:szCs w:val="24"/>
          <w:highlight w:val="none"/>
          <w:vertAlign w:val="baseline"/>
          <w:lang w:eastAsia="zh-CN"/>
        </w:rPr>
      </w:pPr>
      <w:r>
        <w:rPr>
          <w:rFonts w:hint="default" w:ascii="Times New Roman" w:hAnsi="Times New Roman" w:eastAsia="宋体" w:cs="Times New Roman"/>
          <w:color w:val="auto"/>
          <w:spacing w:val="0"/>
          <w:sz w:val="24"/>
          <w:szCs w:val="24"/>
          <w:highlight w:val="none"/>
        </w:rPr>
        <w:t>本项目运营期无组织废气主要来自</w:t>
      </w:r>
      <w:r>
        <w:rPr>
          <w:rFonts w:hint="eastAsia" w:ascii="Times New Roman" w:hAnsi="Times New Roman" w:eastAsia="宋体" w:cs="Times New Roman"/>
          <w:color w:val="auto"/>
          <w:spacing w:val="0"/>
          <w:sz w:val="24"/>
          <w:szCs w:val="24"/>
          <w:highlight w:val="none"/>
          <w:lang w:val="en-US" w:eastAsia="zh-CN"/>
        </w:rPr>
        <w:t>储煤场</w:t>
      </w:r>
      <w:r>
        <w:rPr>
          <w:rFonts w:hint="default" w:ascii="Times New Roman" w:hAnsi="Times New Roman" w:eastAsia="宋体" w:cs="Times New Roman"/>
          <w:color w:val="auto"/>
          <w:spacing w:val="0"/>
          <w:sz w:val="24"/>
          <w:szCs w:val="24"/>
          <w:highlight w:val="none"/>
        </w:rPr>
        <w:t>、输煤系统、碎煤机室、</w:t>
      </w:r>
      <w:r>
        <w:rPr>
          <w:rFonts w:hint="default" w:ascii="Times New Roman" w:hAnsi="Times New Roman" w:eastAsia="宋体" w:cs="Times New Roman"/>
          <w:color w:val="auto"/>
          <w:spacing w:val="0"/>
          <w:sz w:val="24"/>
          <w:szCs w:val="24"/>
          <w:highlight w:val="none"/>
          <w:lang w:val="en-US" w:eastAsia="zh-CN"/>
        </w:rPr>
        <w:t>渣库等</w:t>
      </w:r>
      <w:r>
        <w:rPr>
          <w:rFonts w:hint="default" w:ascii="Times New Roman" w:hAnsi="Times New Roman" w:eastAsia="宋体" w:cs="Times New Roman"/>
          <w:color w:val="auto"/>
          <w:spacing w:val="0"/>
          <w:sz w:val="24"/>
          <w:szCs w:val="24"/>
          <w:highlight w:val="none"/>
        </w:rPr>
        <w:t>。</w:t>
      </w:r>
      <w:r>
        <w:rPr>
          <w:rFonts w:hint="default" w:ascii="Times New Roman" w:hAnsi="Times New Roman" w:eastAsia="宋体" w:cs="Times New Roman"/>
          <w:color w:val="auto"/>
          <w:sz w:val="24"/>
          <w:szCs w:val="24"/>
          <w:highlight w:val="none"/>
        </w:rPr>
        <w:t>本项目</w:t>
      </w:r>
      <w:r>
        <w:rPr>
          <w:rFonts w:hint="default" w:ascii="Times New Roman" w:hAnsi="Times New Roman" w:eastAsia="宋体" w:cs="Times New Roman"/>
          <w:color w:val="auto"/>
          <w:sz w:val="24"/>
          <w:szCs w:val="24"/>
          <w:highlight w:val="none"/>
          <w:lang w:val="en-US" w:eastAsia="zh-CN"/>
        </w:rPr>
        <w:t>厂区内</w:t>
      </w:r>
      <w:r>
        <w:rPr>
          <w:rFonts w:hint="eastAsia" w:ascii="Times New Roman" w:hAnsi="Times New Roman" w:eastAsia="宋体" w:cs="Times New Roman"/>
          <w:color w:val="auto"/>
          <w:sz w:val="24"/>
          <w:szCs w:val="24"/>
          <w:highlight w:val="none"/>
          <w:lang w:val="en-US" w:eastAsia="zh-CN"/>
        </w:rPr>
        <w:t>储煤场四周设置防风抑尘网</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碎煤机室</w:t>
      </w:r>
      <w:r>
        <w:rPr>
          <w:rFonts w:hint="default" w:ascii="Times New Roman" w:hAnsi="Times New Roman" w:eastAsia="宋体" w:cs="Times New Roman"/>
          <w:color w:val="auto"/>
          <w:sz w:val="24"/>
          <w:szCs w:val="24"/>
          <w:highlight w:val="none"/>
          <w:lang w:val="en-US" w:eastAsia="zh-CN"/>
        </w:rPr>
        <w:t>全封闭</w:t>
      </w:r>
      <w:r>
        <w:rPr>
          <w:rFonts w:hint="eastAsia" w:ascii="Times New Roman" w:hAnsi="Times New Roman" w:eastAsia="宋体" w:cs="Times New Roman"/>
          <w:color w:val="auto"/>
          <w:sz w:val="24"/>
          <w:szCs w:val="24"/>
          <w:highlight w:val="none"/>
          <w:lang w:val="en-US" w:eastAsia="zh-CN"/>
        </w:rPr>
        <w:t>并设置布袋除尘器，处理后废气车间内无组织排放</w:t>
      </w:r>
      <w:r>
        <w:rPr>
          <w:rFonts w:hint="default" w:ascii="Times New Roman" w:hAnsi="Times New Roman" w:eastAsia="宋体" w:cs="Times New Roman"/>
          <w:color w:val="auto"/>
          <w:sz w:val="24"/>
          <w:szCs w:val="24"/>
          <w:highlight w:val="none"/>
        </w:rPr>
        <w:t>。输煤栈桥采用全封闭布置，采用钢筋混凝土基础砖墙围护，预制盖板封顶并上铺彩钢瓦，窗采用塑钢窗。</w:t>
      </w:r>
      <w:r>
        <w:rPr>
          <w:rFonts w:hint="default" w:ascii="Times New Roman" w:hAnsi="Times New Roman" w:eastAsia="宋体" w:cs="Times New Roman"/>
          <w:color w:val="auto"/>
          <w:sz w:val="24"/>
          <w:szCs w:val="24"/>
          <w:highlight w:val="none"/>
          <w:lang w:val="en-US" w:eastAsia="zh-CN"/>
        </w:rPr>
        <w:t>输送皮带上方设有喷淋水管用于燃料干燥时的加湿。本项目</w:t>
      </w:r>
      <w:r>
        <w:rPr>
          <w:rFonts w:hint="eastAsia" w:ascii="Times New Roman" w:hAnsi="Times New Roman" w:eastAsia="宋体" w:cs="Times New Roman"/>
          <w:color w:val="auto"/>
          <w:sz w:val="24"/>
          <w:szCs w:val="24"/>
          <w:highlight w:val="none"/>
          <w:lang w:val="en-US" w:eastAsia="zh-CN"/>
        </w:rPr>
        <w:t>现有工程已建设</w:t>
      </w:r>
      <w:r>
        <w:rPr>
          <w:rFonts w:hint="default" w:ascii="Times New Roman" w:hAnsi="Times New Roman" w:eastAsia="宋体" w:cs="Times New Roman"/>
          <w:color w:val="auto"/>
          <w:sz w:val="24"/>
          <w:szCs w:val="24"/>
          <w:highlight w:val="none"/>
          <w:lang w:val="en-US" w:eastAsia="zh-CN"/>
        </w:rPr>
        <w:t>封闭式渣库，定期洒水降尘。</w:t>
      </w:r>
      <w:r>
        <w:rPr>
          <w:rFonts w:hint="default" w:ascii="Times New Roman" w:hAnsi="Times New Roman" w:eastAsia="宋体" w:cs="Times New Roman"/>
          <w:color w:val="auto"/>
          <w:sz w:val="24"/>
          <w:szCs w:val="24"/>
          <w:highlight w:val="none"/>
        </w:rPr>
        <w:t>采取上述措施，可保证厂界无组织颗粒物的浓度满足《大气污染物综合排放标准》</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GB16297-1996</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中无组织排放监控浓度限值（1.0mg/m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）要求</w:t>
      </w:r>
      <w:r>
        <w:rPr>
          <w:rFonts w:hint="default" w:ascii="Times New Roman" w:hAnsi="Times New Roman" w:eastAsia="宋体" w:cs="Times New Roman"/>
          <w:color w:val="auto"/>
          <w:spacing w:val="0"/>
          <w:sz w:val="24"/>
          <w:szCs w:val="24"/>
          <w:highlight w:val="none"/>
          <w:lang w:eastAsia="zh-CN"/>
        </w:rPr>
        <w:t>。</w:t>
      </w:r>
    </w:p>
    <w:bookmarkEnd w:id="641"/>
    <w:p w14:paraId="3AC25633">
      <w:pPr>
        <w:keepNext/>
        <w:keepLines/>
        <w:widowControl w:val="0"/>
        <w:bidi w:val="0"/>
        <w:spacing w:before="100" w:after="100" w:line="240" w:lineRule="auto"/>
        <w:ind w:firstLine="0" w:firstLineChars="0"/>
        <w:jc w:val="both"/>
        <w:outlineLvl w:val="2"/>
        <w:rPr>
          <w:rFonts w:hint="default" w:ascii="Times New Roman" w:hAnsi="Times New Roman" w:eastAsia="宋体" w:cs="Times New Roman"/>
          <w:b/>
          <w:bCs/>
          <w:color w:val="auto"/>
          <w:kern w:val="2"/>
          <w:sz w:val="28"/>
          <w:szCs w:val="28"/>
          <w:highlight w:val="none"/>
          <w:lang w:val="en-US" w:eastAsia="zh-CN" w:bidi="ar-SA"/>
        </w:rPr>
      </w:pPr>
      <w:bookmarkStart w:id="662" w:name="_Toc18599"/>
      <w:bookmarkStart w:id="663" w:name="_Toc26714"/>
      <w:bookmarkStart w:id="664" w:name="_Toc16347"/>
      <w:r>
        <w:rPr>
          <w:rFonts w:hint="default" w:ascii="Times New Roman" w:hAnsi="Times New Roman" w:eastAsia="宋体" w:cs="Times New Roman"/>
          <w:b/>
          <w:bCs/>
          <w:color w:val="auto"/>
          <w:kern w:val="2"/>
          <w:sz w:val="28"/>
          <w:szCs w:val="28"/>
          <w:highlight w:val="none"/>
          <w:lang w:val="en-US" w:eastAsia="zh-CN" w:bidi="ar-SA"/>
        </w:rPr>
        <w:t>10.6.2 废水污染防治措施</w:t>
      </w:r>
      <w:bookmarkEnd w:id="662"/>
      <w:bookmarkEnd w:id="663"/>
      <w:bookmarkEnd w:id="664"/>
    </w:p>
    <w:p w14:paraId="25FEC4B7">
      <w:pPr>
        <w:keepNext w:val="0"/>
        <w:keepLines w:val="0"/>
        <w:pageBreakBefore w:val="0"/>
        <w:widowControl w:val="0"/>
        <w:numPr>
          <w:ilvl w:val="0"/>
          <w:numId w:val="0"/>
        </w:numPr>
        <w:kinsoku/>
        <w:wordWrap/>
        <w:overflowPunct/>
        <w:topLinePunct w:val="0"/>
        <w:autoSpaceDE w:val="0"/>
        <w:autoSpaceDN w:val="0"/>
        <w:bidi w:val="0"/>
        <w:adjustRightInd w:val="0"/>
        <w:snapToGrid/>
        <w:spacing w:line="480" w:lineRule="exact"/>
        <w:ind w:firstLine="480" w:firstLineChars="200"/>
        <w:jc w:val="both"/>
        <w:textAlignment w:val="auto"/>
        <w:outlineLvl w:val="9"/>
        <w:rPr>
          <w:rFonts w:hint="default" w:ascii="Times New Roman" w:hAnsi="Times New Roman" w:eastAsia="宋体" w:cs="Times New Roman"/>
          <w:color w:val="auto"/>
          <w:spacing w:val="0"/>
          <w:kern w:val="0"/>
          <w:sz w:val="24"/>
          <w:szCs w:val="24"/>
          <w:highlight w:val="none"/>
          <w:lang w:val="en-US" w:eastAsia="zh-CN" w:bidi="ar-SA"/>
        </w:rPr>
      </w:pPr>
      <w:bookmarkStart w:id="665" w:name="_Toc337734556"/>
      <w:bookmarkStart w:id="666" w:name="_Toc355942137"/>
      <w:r>
        <w:rPr>
          <w:rFonts w:hint="default" w:ascii="Times New Roman" w:hAnsi="Times New Roman" w:eastAsia="宋体" w:cs="Times New Roman"/>
          <w:color w:val="auto"/>
          <w:spacing w:val="0"/>
          <w:kern w:val="0"/>
          <w:sz w:val="24"/>
          <w:szCs w:val="24"/>
          <w:highlight w:val="none"/>
          <w:lang w:val="en-US" w:eastAsia="zh-CN" w:bidi="ar-SA"/>
        </w:rPr>
        <w:t>（1）地表水</w:t>
      </w:r>
      <w:r>
        <w:rPr>
          <w:rFonts w:hint="eastAsia" w:ascii="Times New Roman" w:hAnsi="Times New Roman" w:eastAsia="宋体" w:cs="Times New Roman"/>
          <w:color w:val="auto"/>
          <w:spacing w:val="0"/>
          <w:kern w:val="0"/>
          <w:sz w:val="24"/>
          <w:szCs w:val="24"/>
          <w:highlight w:val="none"/>
          <w:lang w:val="en-US" w:eastAsia="zh-CN" w:bidi="ar-SA"/>
        </w:rPr>
        <w:t>污</w:t>
      </w:r>
      <w:r>
        <w:rPr>
          <w:rFonts w:hint="default" w:ascii="Times New Roman" w:hAnsi="Times New Roman" w:eastAsia="宋体" w:cs="Times New Roman"/>
          <w:color w:val="auto"/>
          <w:spacing w:val="0"/>
          <w:kern w:val="0"/>
          <w:sz w:val="24"/>
          <w:szCs w:val="24"/>
          <w:highlight w:val="none"/>
          <w:lang w:val="en-US" w:eastAsia="zh-CN" w:bidi="ar-SA"/>
        </w:rPr>
        <w:t>染防治措施</w:t>
      </w:r>
    </w:p>
    <w:p w14:paraId="47A8EB7D">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outlineLvl w:val="9"/>
        <w:rPr>
          <w:rFonts w:hint="default" w:ascii="Times New Roman" w:hAnsi="Times New Roman" w:eastAsia="宋体" w:cs="Times New Roman"/>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lang w:val="en-US" w:eastAsia="zh-CN"/>
        </w:rPr>
        <w:t>脱硫废水经曝气、沉淀后用于脱硝补水和输煤系统除尘、除渣用水。含煤废水经厂区内现有污水处理间处理，处理工艺为过滤+沉淀+气浮，处理后的废水进入地下水池回用。锅炉排污水、软化水处理废水、处理后的含煤废水用于输煤栈桥冲洗、输煤系统除尘水、</w:t>
      </w:r>
      <w:r>
        <w:rPr>
          <w:rFonts w:hint="eastAsia" w:ascii="Times New Roman" w:hAnsi="Times New Roman" w:eastAsia="宋体" w:cs="Times New Roman"/>
          <w:color w:val="auto"/>
          <w:sz w:val="24"/>
          <w:szCs w:val="24"/>
          <w:highlight w:val="none"/>
          <w:lang w:val="en-US" w:eastAsia="zh-CN"/>
        </w:rPr>
        <w:t>渣库降尘等工序</w:t>
      </w:r>
      <w:r>
        <w:rPr>
          <w:rFonts w:hint="default" w:ascii="Times New Roman" w:hAnsi="Times New Roman" w:eastAsia="宋体" w:cs="Times New Roman"/>
          <w:color w:val="auto"/>
          <w:sz w:val="24"/>
          <w:szCs w:val="24"/>
          <w:highlight w:val="none"/>
          <w:lang w:val="en-US" w:eastAsia="zh-CN"/>
        </w:rPr>
        <w:t>，不外排</w:t>
      </w:r>
      <w:r>
        <w:rPr>
          <w:rFonts w:hint="default" w:ascii="Times New Roman" w:hAnsi="Times New Roman" w:eastAsia="宋体" w:cs="Times New Roman"/>
          <w:color w:val="auto"/>
          <w:highlight w:val="none"/>
          <w:lang w:val="en-US" w:eastAsia="zh-CN"/>
        </w:rPr>
        <w:t>。</w:t>
      </w:r>
    </w:p>
    <w:p w14:paraId="32F10082">
      <w:pPr>
        <w:keepNext w:val="0"/>
        <w:keepLines w:val="0"/>
        <w:pageBreakBefore w:val="0"/>
        <w:widowControl w:val="0"/>
        <w:numPr>
          <w:ilvl w:val="0"/>
          <w:numId w:val="0"/>
        </w:numPr>
        <w:kinsoku/>
        <w:wordWrap/>
        <w:overflowPunct/>
        <w:topLinePunct w:val="0"/>
        <w:autoSpaceDE w:val="0"/>
        <w:autoSpaceDN w:val="0"/>
        <w:bidi w:val="0"/>
        <w:adjustRightInd/>
        <w:snapToGrid/>
        <w:spacing w:line="480" w:lineRule="exact"/>
        <w:ind w:firstLine="480" w:firstLineChars="200"/>
        <w:jc w:val="both"/>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本项目无新增员工，厂区不新增生活污水排放量，厂区现有生活污水污染物浓度满足</w:t>
      </w:r>
      <w:r>
        <w:rPr>
          <w:rFonts w:hint="eastAsia" w:ascii="Times New Roman" w:hAnsi="Times New Roman" w:eastAsia="宋体" w:cs="Times New Roman"/>
          <w:color w:val="auto"/>
          <w:kern w:val="2"/>
          <w:sz w:val="24"/>
          <w:szCs w:val="24"/>
          <w:highlight w:val="none"/>
          <w:lang w:val="en-US" w:eastAsia="zh-CN" w:bidi="ar-SA"/>
        </w:rPr>
        <w:t>佳木斯西区污水处理厂</w:t>
      </w:r>
      <w:r>
        <w:rPr>
          <w:rFonts w:hint="default" w:ascii="Times New Roman" w:hAnsi="Times New Roman" w:eastAsia="宋体" w:cs="Times New Roman"/>
          <w:color w:val="auto"/>
          <w:kern w:val="2"/>
          <w:sz w:val="24"/>
          <w:szCs w:val="24"/>
          <w:highlight w:val="none"/>
          <w:lang w:val="en-US" w:eastAsia="zh-CN" w:bidi="ar-SA"/>
        </w:rPr>
        <w:t>进水水质指标后，经市政污水管网，排入</w:t>
      </w:r>
      <w:r>
        <w:rPr>
          <w:rFonts w:hint="eastAsia" w:ascii="Times New Roman" w:hAnsi="Times New Roman" w:eastAsia="宋体" w:cs="Times New Roman"/>
          <w:color w:val="auto"/>
          <w:kern w:val="2"/>
          <w:sz w:val="24"/>
          <w:szCs w:val="24"/>
          <w:highlight w:val="none"/>
          <w:lang w:val="en-US" w:eastAsia="zh-CN" w:bidi="ar-SA"/>
        </w:rPr>
        <w:t>佳木斯西区污水处理厂</w:t>
      </w:r>
      <w:r>
        <w:rPr>
          <w:rFonts w:hint="default" w:ascii="Times New Roman" w:hAnsi="Times New Roman" w:eastAsia="宋体" w:cs="Times New Roman"/>
          <w:color w:val="auto"/>
          <w:kern w:val="2"/>
          <w:sz w:val="24"/>
          <w:szCs w:val="24"/>
          <w:highlight w:val="none"/>
          <w:lang w:val="en-US" w:eastAsia="zh-CN" w:bidi="ar-SA"/>
        </w:rPr>
        <w:t>，经处理后污水排放浓度达到《城镇污水处理厂污染物排放标准》（GB18918-2002）一级A标准后排入</w:t>
      </w:r>
      <w:r>
        <w:rPr>
          <w:rFonts w:hint="eastAsia" w:ascii="Times New Roman" w:hAnsi="Times New Roman" w:eastAsia="宋体" w:cs="Times New Roman"/>
          <w:color w:val="auto"/>
          <w:kern w:val="2"/>
          <w:sz w:val="24"/>
          <w:szCs w:val="24"/>
          <w:highlight w:val="none"/>
          <w:lang w:val="en-US" w:eastAsia="zh-CN" w:bidi="ar-SA"/>
        </w:rPr>
        <w:t>松花江</w:t>
      </w:r>
      <w:r>
        <w:rPr>
          <w:rFonts w:hint="default" w:ascii="Times New Roman" w:hAnsi="Times New Roman" w:eastAsia="宋体" w:cs="Times New Roman"/>
          <w:color w:val="auto"/>
          <w:kern w:val="2"/>
          <w:sz w:val="24"/>
          <w:szCs w:val="24"/>
          <w:highlight w:val="none"/>
          <w:lang w:val="en-US" w:eastAsia="zh-CN" w:bidi="ar-SA"/>
        </w:rPr>
        <w:t>。</w:t>
      </w:r>
    </w:p>
    <w:p w14:paraId="7812D993">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outlineLvl w:val="9"/>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highlight w:val="none"/>
          <w:lang w:val="en-US" w:eastAsia="zh-CN"/>
        </w:rPr>
        <w:t>佳木斯西区污水处理厂</w:t>
      </w:r>
      <w:r>
        <w:rPr>
          <w:rFonts w:hint="default" w:ascii="Times New Roman" w:hAnsi="Times New Roman" w:eastAsia="宋体" w:cs="Times New Roman"/>
          <w:color w:val="auto"/>
          <w:highlight w:val="none"/>
          <w:lang w:val="en-US" w:eastAsia="zh-CN"/>
        </w:rPr>
        <w:t>进水水质指标满足</w:t>
      </w:r>
      <w:r>
        <w:rPr>
          <w:rFonts w:hint="eastAsia" w:ascii="Times New Roman" w:hAnsi="Times New Roman" w:eastAsia="宋体" w:cs="Times New Roman"/>
          <w:color w:val="auto"/>
          <w:highlight w:val="none"/>
          <w:lang w:val="en-US" w:eastAsia="zh-CN"/>
        </w:rPr>
        <w:t>佳木斯西区污水处理厂</w:t>
      </w:r>
      <w:r>
        <w:rPr>
          <w:rFonts w:hint="default" w:ascii="Times New Roman" w:hAnsi="Times New Roman" w:eastAsia="宋体" w:cs="Times New Roman"/>
          <w:color w:val="auto"/>
          <w:highlight w:val="none"/>
          <w:lang w:val="en-US" w:eastAsia="zh-CN"/>
        </w:rPr>
        <w:t>进水水质指标</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污水处理厂出水水质达到</w:t>
      </w:r>
      <w:r>
        <w:rPr>
          <w:rFonts w:hint="default" w:ascii="Times New Roman" w:hAnsi="Times New Roman" w:eastAsia="宋体" w:cs="Times New Roman"/>
          <w:color w:val="auto"/>
          <w:highlight w:val="none"/>
        </w:rPr>
        <w:t>《城镇污水处理厂污染物排放标准》（GB18918</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2002）</w:t>
      </w:r>
      <w:r>
        <w:rPr>
          <w:rFonts w:hint="default" w:ascii="Times New Roman" w:hAnsi="Times New Roman" w:eastAsia="宋体" w:cs="Times New Roman"/>
          <w:color w:val="auto"/>
          <w:highlight w:val="none"/>
          <w:lang w:val="en-US" w:eastAsia="zh-CN"/>
        </w:rPr>
        <w:t>表1基本控制项目最高允许排放浓度（日均值）中的</w:t>
      </w:r>
      <w:r>
        <w:rPr>
          <w:rFonts w:hint="default" w:ascii="Times New Roman" w:hAnsi="Times New Roman" w:eastAsia="宋体" w:cs="Times New Roman"/>
          <w:color w:val="auto"/>
          <w:highlight w:val="none"/>
        </w:rPr>
        <w:t>一级</w:t>
      </w:r>
      <w:r>
        <w:rPr>
          <w:rFonts w:hint="default" w:ascii="Times New Roman" w:hAnsi="Times New Roman" w:eastAsia="宋体" w:cs="Times New Roman"/>
          <w:color w:val="auto"/>
          <w:highlight w:val="none"/>
          <w:lang w:val="en-US" w:eastAsia="zh-CN"/>
        </w:rPr>
        <w:t>A</w:t>
      </w:r>
      <w:r>
        <w:rPr>
          <w:rFonts w:hint="default" w:ascii="Times New Roman" w:hAnsi="Times New Roman" w:eastAsia="宋体" w:cs="Times New Roman"/>
          <w:color w:val="auto"/>
          <w:highlight w:val="none"/>
        </w:rPr>
        <w:t>标准</w:t>
      </w:r>
      <w:r>
        <w:rPr>
          <w:rFonts w:hint="default" w:ascii="Times New Roman" w:hAnsi="Times New Roman" w:eastAsia="宋体" w:cs="Times New Roman"/>
          <w:color w:val="auto"/>
          <w:highlight w:val="none"/>
          <w:lang w:val="en-US" w:eastAsia="zh-CN"/>
        </w:rPr>
        <w:t>后排入</w:t>
      </w:r>
      <w:r>
        <w:rPr>
          <w:rFonts w:hint="eastAsia" w:ascii="Times New Roman" w:hAnsi="Times New Roman" w:eastAsia="宋体" w:cs="Times New Roman"/>
          <w:color w:val="auto"/>
          <w:highlight w:val="none"/>
          <w:lang w:val="en-US" w:eastAsia="zh-CN"/>
        </w:rPr>
        <w:t>松花江</w:t>
      </w:r>
      <w:r>
        <w:rPr>
          <w:rFonts w:hint="default"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lang w:val="en-US" w:eastAsia="zh-CN"/>
        </w:rPr>
        <w:t>佳木斯西区污水处理厂</w:t>
      </w:r>
      <w:r>
        <w:rPr>
          <w:rFonts w:hint="default" w:ascii="Times New Roman" w:hAnsi="Times New Roman" w:eastAsia="宋体" w:cs="Times New Roman"/>
          <w:color w:val="auto"/>
          <w:highlight w:val="none"/>
          <w:lang w:eastAsia="zh-CN"/>
        </w:rPr>
        <w:t>的处理能力能够满足本项目</w:t>
      </w:r>
      <w:r>
        <w:rPr>
          <w:rFonts w:hint="default" w:ascii="Times New Roman" w:hAnsi="Times New Roman" w:eastAsia="宋体" w:cs="Times New Roman"/>
          <w:color w:val="auto"/>
          <w:highlight w:val="none"/>
        </w:rPr>
        <w:t>废水处理的需求</w:t>
      </w:r>
      <w:r>
        <w:rPr>
          <w:rFonts w:hint="default" w:ascii="Times New Roman" w:hAnsi="Times New Roman" w:eastAsia="宋体" w:cs="Times New Roman"/>
          <w:color w:val="auto"/>
          <w:highlight w:val="none"/>
          <w:lang w:eastAsia="zh-CN"/>
        </w:rPr>
        <w:t>，因此本项目依托</w:t>
      </w:r>
      <w:r>
        <w:rPr>
          <w:rFonts w:hint="eastAsia" w:ascii="Times New Roman" w:hAnsi="Times New Roman" w:eastAsia="宋体" w:cs="Times New Roman"/>
          <w:color w:val="auto"/>
          <w:highlight w:val="none"/>
          <w:lang w:val="en-US" w:eastAsia="zh-CN"/>
        </w:rPr>
        <w:t>佳木斯西区污水处理厂</w:t>
      </w:r>
      <w:r>
        <w:rPr>
          <w:rFonts w:hint="default" w:ascii="Times New Roman" w:hAnsi="Times New Roman" w:eastAsia="宋体" w:cs="Times New Roman"/>
          <w:color w:val="auto"/>
          <w:highlight w:val="none"/>
          <w:lang w:val="en-US" w:eastAsia="zh-CN"/>
        </w:rPr>
        <w:t>处理废水是可行的。</w:t>
      </w:r>
    </w:p>
    <w:p w14:paraId="726AB1F8">
      <w:pPr>
        <w:keepNext w:val="0"/>
        <w:keepLines w:val="0"/>
        <w:pageBreakBefore w:val="0"/>
        <w:widowControl w:val="0"/>
        <w:numPr>
          <w:ilvl w:val="0"/>
          <w:numId w:val="0"/>
        </w:numPr>
        <w:kinsoku/>
        <w:wordWrap/>
        <w:overflowPunct/>
        <w:topLinePunct w:val="0"/>
        <w:autoSpaceDE w:val="0"/>
        <w:autoSpaceDN w:val="0"/>
        <w:bidi w:val="0"/>
        <w:adjustRightInd w:val="0"/>
        <w:snapToGrid/>
        <w:spacing w:line="480" w:lineRule="exact"/>
        <w:ind w:firstLine="480" w:firstLineChars="200"/>
        <w:jc w:val="both"/>
        <w:textAlignment w:val="auto"/>
        <w:outlineLvl w:val="9"/>
        <w:rPr>
          <w:rFonts w:hint="default" w:ascii="Times New Roman" w:hAnsi="Times New Roman" w:eastAsia="宋体" w:cs="Times New Roman"/>
          <w:color w:val="auto"/>
          <w:spacing w:val="0"/>
          <w:kern w:val="2"/>
          <w:sz w:val="24"/>
          <w:szCs w:val="24"/>
          <w:highlight w:val="none"/>
          <w:lang w:val="en-US" w:eastAsia="zh-CN" w:bidi="ar-SA"/>
        </w:rPr>
      </w:pPr>
      <w:r>
        <w:rPr>
          <w:rFonts w:hint="default" w:ascii="Times New Roman" w:hAnsi="Times New Roman" w:eastAsia="宋体" w:cs="Times New Roman"/>
          <w:color w:val="auto"/>
          <w:spacing w:val="0"/>
          <w:kern w:val="2"/>
          <w:sz w:val="24"/>
          <w:szCs w:val="24"/>
          <w:highlight w:val="none"/>
          <w:lang w:val="en-US" w:eastAsia="zh-CN" w:bidi="ar-SA"/>
        </w:rPr>
        <w:t>（2）地下水污染防治措施</w:t>
      </w:r>
    </w:p>
    <w:bookmarkEnd w:id="665"/>
    <w:bookmarkEnd w:id="666"/>
    <w:p w14:paraId="4D383F4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color w:val="auto"/>
          <w:spacing w:val="0"/>
          <w:kern w:val="2"/>
          <w:sz w:val="24"/>
          <w:szCs w:val="24"/>
          <w:highlight w:val="none"/>
          <w:lang w:val="en-US" w:eastAsia="zh-CN"/>
        </w:rPr>
        <w:t>烟气治理设施底部、储煤场、污水处理间、化学水处理间、锅炉房、汽机间、升压站、冷却塔、初期雨水收集池为一般防渗，地面采用抗渗混凝土进行防渗；厂区道路、碎煤机室等其他区域为简单防渗区，采取水泥地面硬化的防渗措施</w:t>
      </w:r>
      <w:r>
        <w:rPr>
          <w:rFonts w:hint="eastAsia" w:ascii="Times New Roman" w:hAnsi="Times New Roman" w:eastAsia="宋体" w:cs="Times New Roman"/>
          <w:color w:val="auto"/>
          <w:spacing w:val="0"/>
          <w:kern w:val="2"/>
          <w:sz w:val="24"/>
          <w:szCs w:val="24"/>
          <w:highlight w:val="none"/>
          <w:lang w:val="en-US" w:eastAsia="zh-CN"/>
        </w:rPr>
        <w:t>，</w:t>
      </w:r>
      <w:r>
        <w:rPr>
          <w:rFonts w:hint="default" w:ascii="Times New Roman" w:hAnsi="Times New Roman" w:eastAsia="宋体" w:cs="Times New Roman"/>
          <w:color w:val="auto"/>
          <w:spacing w:val="0"/>
          <w:kern w:val="2"/>
          <w:sz w:val="24"/>
          <w:szCs w:val="24"/>
          <w:highlight w:val="none"/>
          <w:lang w:val="en-US" w:eastAsia="zh-CN"/>
        </w:rPr>
        <w:t>满足《环境影响评价技术导则 地下水环境》</w:t>
      </w:r>
      <w:r>
        <w:rPr>
          <w:rFonts w:hint="eastAsia" w:ascii="Times New Roman" w:hAnsi="Times New Roman" w:eastAsia="宋体" w:cs="Times New Roman"/>
          <w:color w:val="auto"/>
          <w:spacing w:val="0"/>
          <w:kern w:val="2"/>
          <w:sz w:val="24"/>
          <w:szCs w:val="24"/>
          <w:highlight w:val="none"/>
          <w:lang w:val="en-US" w:eastAsia="zh-CN"/>
        </w:rPr>
        <w:t>（</w:t>
      </w:r>
      <w:r>
        <w:rPr>
          <w:rFonts w:hint="default" w:ascii="Times New Roman" w:hAnsi="Times New Roman" w:eastAsia="宋体" w:cs="Times New Roman"/>
          <w:color w:val="auto"/>
          <w:spacing w:val="0"/>
          <w:kern w:val="2"/>
          <w:sz w:val="24"/>
          <w:szCs w:val="24"/>
          <w:highlight w:val="none"/>
          <w:lang w:val="en-US" w:eastAsia="zh-CN"/>
        </w:rPr>
        <w:t>HJ610-2016</w:t>
      </w:r>
      <w:r>
        <w:rPr>
          <w:rFonts w:hint="eastAsia" w:ascii="Times New Roman" w:hAnsi="Times New Roman" w:eastAsia="宋体" w:cs="Times New Roman"/>
          <w:color w:val="auto"/>
          <w:spacing w:val="0"/>
          <w:kern w:val="2"/>
          <w:sz w:val="24"/>
          <w:szCs w:val="24"/>
          <w:highlight w:val="none"/>
          <w:lang w:val="en-US" w:eastAsia="zh-CN"/>
        </w:rPr>
        <w:t>）</w:t>
      </w:r>
      <w:r>
        <w:rPr>
          <w:rFonts w:hint="default" w:ascii="Times New Roman" w:hAnsi="Times New Roman" w:eastAsia="宋体" w:cs="Times New Roman"/>
          <w:color w:val="auto"/>
          <w:spacing w:val="0"/>
          <w:kern w:val="2"/>
          <w:sz w:val="24"/>
          <w:szCs w:val="24"/>
          <w:highlight w:val="none"/>
          <w:lang w:val="en-US" w:eastAsia="zh-CN"/>
        </w:rPr>
        <w:t>表7地下水污染防渗分区参照表中</w:t>
      </w:r>
      <w:r>
        <w:rPr>
          <w:rFonts w:hint="eastAsia" w:ascii="Times New Roman" w:hAnsi="Times New Roman" w:eastAsia="宋体" w:cs="Times New Roman"/>
          <w:color w:val="auto"/>
          <w:spacing w:val="0"/>
          <w:kern w:val="2"/>
          <w:sz w:val="24"/>
          <w:szCs w:val="24"/>
          <w:highlight w:val="none"/>
          <w:lang w:val="en-US" w:eastAsia="zh-CN"/>
        </w:rPr>
        <w:t>一般防渗区和</w:t>
      </w:r>
      <w:r>
        <w:rPr>
          <w:rFonts w:hint="default" w:ascii="Times New Roman" w:hAnsi="Times New Roman" w:eastAsia="宋体" w:cs="Times New Roman"/>
          <w:color w:val="auto"/>
          <w:spacing w:val="0"/>
          <w:kern w:val="2"/>
          <w:sz w:val="24"/>
          <w:szCs w:val="24"/>
          <w:highlight w:val="none"/>
          <w:lang w:val="en-US" w:eastAsia="zh-CN"/>
        </w:rPr>
        <w:t>简单防渗区防渗技术要求</w:t>
      </w:r>
      <w:r>
        <w:rPr>
          <w:rFonts w:hint="eastAsia" w:ascii="Times New Roman" w:hAnsi="Times New Roman" w:eastAsia="宋体" w:cs="Times New Roman"/>
          <w:color w:val="auto"/>
          <w:spacing w:val="0"/>
          <w:kern w:val="2"/>
          <w:sz w:val="24"/>
          <w:szCs w:val="24"/>
          <w:highlight w:val="none"/>
          <w:lang w:val="en-US" w:eastAsia="zh-CN"/>
        </w:rPr>
        <w:t>。</w:t>
      </w:r>
    </w:p>
    <w:p w14:paraId="37666E7D">
      <w:pPr>
        <w:keepNext/>
        <w:keepLines/>
        <w:widowControl w:val="0"/>
        <w:bidi w:val="0"/>
        <w:spacing w:before="100" w:after="100" w:line="240" w:lineRule="auto"/>
        <w:ind w:firstLine="0" w:firstLineChars="0"/>
        <w:jc w:val="both"/>
        <w:outlineLvl w:val="2"/>
        <w:rPr>
          <w:rFonts w:hint="default" w:ascii="Times New Roman" w:hAnsi="Times New Roman" w:eastAsia="宋体" w:cs="Times New Roman"/>
          <w:b/>
          <w:bCs/>
          <w:color w:val="auto"/>
          <w:kern w:val="2"/>
          <w:sz w:val="28"/>
          <w:szCs w:val="28"/>
          <w:highlight w:val="none"/>
          <w:lang w:val="en-US" w:eastAsia="zh-CN" w:bidi="ar-SA"/>
        </w:rPr>
      </w:pPr>
      <w:bookmarkStart w:id="667" w:name="_Toc15777"/>
      <w:bookmarkStart w:id="668" w:name="_Toc15642"/>
      <w:bookmarkStart w:id="669" w:name="_Toc12078"/>
      <w:r>
        <w:rPr>
          <w:rFonts w:hint="default" w:ascii="Times New Roman" w:hAnsi="Times New Roman" w:eastAsia="宋体" w:cs="Times New Roman"/>
          <w:b/>
          <w:bCs/>
          <w:color w:val="auto"/>
          <w:kern w:val="2"/>
          <w:sz w:val="28"/>
          <w:szCs w:val="28"/>
          <w:highlight w:val="none"/>
          <w:lang w:val="en-US" w:eastAsia="zh-CN" w:bidi="ar-SA"/>
        </w:rPr>
        <w:t>10.6.3 噪声污染防治措施</w:t>
      </w:r>
      <w:bookmarkEnd w:id="667"/>
      <w:bookmarkEnd w:id="668"/>
      <w:bookmarkEnd w:id="669"/>
    </w:p>
    <w:p w14:paraId="361F2E86">
      <w:pPr>
        <w:widowControl w:val="0"/>
        <w:autoSpaceDE w:val="0"/>
        <w:autoSpaceDN w:val="0"/>
        <w:adjustRightInd w:val="0"/>
        <w:snapToGrid w:val="0"/>
        <w:spacing w:line="480" w:lineRule="exact"/>
        <w:ind w:firstLine="480" w:firstLineChars="200"/>
        <w:jc w:val="both"/>
        <w:textAlignment w:val="bottom"/>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bidi="ar-SA"/>
        </w:rPr>
        <w:t>对引风机管道外壳阻尼；在一次风机、二次风机</w:t>
      </w:r>
      <w:r>
        <w:rPr>
          <w:rFonts w:hint="eastAsia" w:ascii="Times New Roman" w:hAnsi="Times New Roman" w:eastAsia="宋体" w:cs="Times New Roman"/>
          <w:color w:val="auto"/>
          <w:sz w:val="24"/>
          <w:szCs w:val="24"/>
          <w:highlight w:val="none"/>
          <w:lang w:val="en-US" w:eastAsia="zh-CN" w:bidi="ar-SA"/>
        </w:rPr>
        <w:t>等风机</w:t>
      </w:r>
      <w:r>
        <w:rPr>
          <w:rFonts w:hint="default" w:ascii="Times New Roman" w:hAnsi="Times New Roman" w:eastAsia="宋体" w:cs="Times New Roman"/>
          <w:color w:val="auto"/>
          <w:sz w:val="24"/>
          <w:szCs w:val="24"/>
          <w:highlight w:val="none"/>
          <w:lang w:val="en-US" w:eastAsia="zh-CN" w:bidi="ar-SA"/>
        </w:rPr>
        <w:t>进风口处安装消声器；各类泵安装时采取基础减振措施；应建设独立的空压间，并对机房采用隔声门窗，机组安装时可在进风口安装消声器；汽轮机和发电机在安装时可在其外部加上隔声罩壳；冷却塔安装倒流消声片；同时，通过采取厂房隔声和距离衰减</w:t>
      </w:r>
      <w:r>
        <w:rPr>
          <w:rFonts w:hint="eastAsia" w:ascii="Times New Roman" w:hAnsi="Times New Roman" w:eastAsia="宋体" w:cs="Times New Roman"/>
          <w:color w:val="auto"/>
          <w:sz w:val="24"/>
          <w:szCs w:val="24"/>
          <w:highlight w:val="none"/>
          <w:lang w:val="en-US" w:eastAsia="zh-CN" w:bidi="ar-SA"/>
        </w:rPr>
        <w:t>，</w:t>
      </w:r>
      <w:r>
        <w:rPr>
          <w:rFonts w:hint="default" w:ascii="Times New Roman" w:hAnsi="Times New Roman" w:eastAsia="宋体" w:cs="Times New Roman"/>
          <w:color w:val="auto"/>
          <w:kern w:val="0"/>
          <w:sz w:val="24"/>
          <w:szCs w:val="24"/>
          <w:highlight w:val="none"/>
        </w:rPr>
        <w:t>厂界噪声可满足《工业企业厂界环境噪声排放标准》（GB12348-2008）中</w:t>
      </w:r>
      <w:r>
        <w:rPr>
          <w:rFonts w:hint="eastAsia" w:ascii="Times New Roman" w:hAnsi="Times New Roman" w:eastAsia="宋体" w:cs="Times New Roman"/>
          <w:color w:val="auto"/>
          <w:kern w:val="0"/>
          <w:sz w:val="24"/>
          <w:szCs w:val="24"/>
          <w:highlight w:val="none"/>
          <w:lang w:val="en-US" w:eastAsia="zh-CN"/>
        </w:rPr>
        <w:t>3类</w:t>
      </w:r>
      <w:r>
        <w:rPr>
          <w:rFonts w:hint="default" w:ascii="Times New Roman" w:hAnsi="Times New Roman" w:eastAsia="宋体" w:cs="Times New Roman"/>
          <w:color w:val="auto"/>
          <w:sz w:val="24"/>
          <w:szCs w:val="24"/>
          <w:highlight w:val="none"/>
          <w:shd w:val="clear" w:color="auto" w:fill="FFFFFF"/>
        </w:rPr>
        <w:t>。</w:t>
      </w:r>
    </w:p>
    <w:p w14:paraId="6E1B6F7E">
      <w:pPr>
        <w:keepNext/>
        <w:keepLines/>
        <w:widowControl w:val="0"/>
        <w:bidi w:val="0"/>
        <w:spacing w:before="100" w:after="100" w:line="240" w:lineRule="auto"/>
        <w:ind w:firstLine="0" w:firstLineChars="0"/>
        <w:jc w:val="both"/>
        <w:outlineLvl w:val="2"/>
        <w:rPr>
          <w:rFonts w:hint="default" w:ascii="Times New Roman" w:hAnsi="Times New Roman" w:eastAsia="宋体" w:cs="Times New Roman"/>
          <w:b/>
          <w:bCs/>
          <w:color w:val="auto"/>
          <w:kern w:val="2"/>
          <w:sz w:val="28"/>
          <w:szCs w:val="28"/>
          <w:highlight w:val="none"/>
          <w:lang w:val="en-US" w:eastAsia="zh-CN" w:bidi="ar-SA"/>
        </w:rPr>
      </w:pPr>
      <w:bookmarkStart w:id="670" w:name="_Toc4399"/>
      <w:bookmarkStart w:id="671" w:name="_Toc9204"/>
      <w:bookmarkStart w:id="672" w:name="_Toc9822"/>
      <w:r>
        <w:rPr>
          <w:rFonts w:hint="default" w:ascii="Times New Roman" w:hAnsi="Times New Roman" w:eastAsia="宋体" w:cs="Times New Roman"/>
          <w:b/>
          <w:bCs/>
          <w:color w:val="auto"/>
          <w:kern w:val="2"/>
          <w:sz w:val="28"/>
          <w:szCs w:val="28"/>
          <w:highlight w:val="none"/>
          <w:lang w:val="en-US" w:eastAsia="zh-CN" w:bidi="ar-SA"/>
        </w:rPr>
        <w:t>10.6.4 固体废物防治措施</w:t>
      </w:r>
      <w:bookmarkEnd w:id="670"/>
      <w:bookmarkEnd w:id="671"/>
      <w:bookmarkEnd w:id="672"/>
    </w:p>
    <w:p w14:paraId="59CA87B3">
      <w:pPr>
        <w:widowControl w:val="0"/>
        <w:autoSpaceDE w:val="0"/>
        <w:autoSpaceDN w:val="0"/>
        <w:adjustRightInd w:val="0"/>
        <w:snapToGrid w:val="0"/>
        <w:spacing w:line="480" w:lineRule="exact"/>
        <w:ind w:firstLine="480" w:firstLineChars="200"/>
        <w:jc w:val="both"/>
        <w:textAlignment w:val="bottom"/>
        <w:rPr>
          <w:rFonts w:hint="default" w:ascii="Times New Roman" w:hAnsi="Times New Roman" w:eastAsia="宋体" w:cs="Times New Roman"/>
          <w:color w:val="auto"/>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bidi="ar-SA"/>
        </w:rPr>
        <w:t>本项目飞灰、炉渣外售综合利用；废布袋由厂家回收，不在厂区内堆存；</w:t>
      </w:r>
      <w:r>
        <w:rPr>
          <w:rFonts w:hint="eastAsia" w:ascii="Times New Roman" w:hAnsi="Times New Roman" w:eastAsia="宋体" w:cs="Times New Roman"/>
          <w:color w:val="auto"/>
          <w:sz w:val="24"/>
          <w:szCs w:val="24"/>
          <w:highlight w:val="none"/>
          <w:lang w:val="en-US" w:eastAsia="zh-CN" w:bidi="ar-SA"/>
        </w:rPr>
        <w:t>灰库</w:t>
      </w:r>
      <w:r>
        <w:rPr>
          <w:rFonts w:hint="default" w:ascii="Times New Roman" w:hAnsi="Times New Roman" w:eastAsia="宋体" w:cs="Times New Roman"/>
          <w:color w:val="auto"/>
          <w:sz w:val="24"/>
          <w:szCs w:val="24"/>
          <w:highlight w:val="none"/>
          <w:lang w:val="en-US" w:eastAsia="zh-CN" w:bidi="ar-SA"/>
        </w:rPr>
        <w:t>除尘器收尘外售综合利用；</w:t>
      </w:r>
      <w:r>
        <w:rPr>
          <w:rFonts w:hint="eastAsia" w:ascii="Times New Roman" w:hAnsi="Times New Roman" w:eastAsia="宋体" w:cs="Times New Roman"/>
          <w:color w:val="auto"/>
          <w:sz w:val="24"/>
          <w:szCs w:val="24"/>
          <w:highlight w:val="none"/>
          <w:lang w:val="en-US" w:eastAsia="zh-CN" w:bidi="ar-SA"/>
        </w:rPr>
        <w:t>生石灰</w:t>
      </w:r>
      <w:r>
        <w:rPr>
          <w:rFonts w:hint="default" w:ascii="Times New Roman" w:hAnsi="Times New Roman" w:eastAsia="宋体" w:cs="Times New Roman"/>
          <w:color w:val="auto"/>
          <w:sz w:val="24"/>
          <w:szCs w:val="24"/>
          <w:highlight w:val="none"/>
          <w:lang w:val="en-US" w:eastAsia="zh-CN" w:bidi="ar-SA"/>
        </w:rPr>
        <w:t>粉仓除尘器收尘回用于脱硫工序；碎煤机除尘器收尘作为燃料入炉燃烧；</w:t>
      </w:r>
      <w:r>
        <w:rPr>
          <w:rFonts w:hint="eastAsia" w:ascii="Times New Roman" w:hAnsi="Times New Roman" w:eastAsia="宋体" w:cs="Times New Roman"/>
          <w:color w:val="auto"/>
          <w:sz w:val="24"/>
          <w:szCs w:val="24"/>
          <w:highlight w:val="none"/>
          <w:lang w:val="en-US" w:eastAsia="zh-CN" w:bidi="ar-SA"/>
        </w:rPr>
        <w:t>沉渣</w:t>
      </w:r>
      <w:r>
        <w:rPr>
          <w:rFonts w:hint="default" w:ascii="Times New Roman" w:hAnsi="Times New Roman" w:eastAsia="宋体" w:cs="Times New Roman"/>
          <w:color w:val="auto"/>
          <w:sz w:val="24"/>
          <w:szCs w:val="24"/>
          <w:highlight w:val="none"/>
          <w:lang w:val="en-US" w:eastAsia="zh-CN" w:bidi="ar-SA"/>
        </w:rPr>
        <w:t>定期清掏作为燃料入炉燃烧；废矿物油暂存于现有工程危废暂存间内，委托有资质单位处置</w:t>
      </w:r>
      <w:r>
        <w:rPr>
          <w:rFonts w:hint="eastAsia" w:ascii="Times New Roman" w:hAnsi="Times New Roman" w:eastAsia="宋体" w:cs="Times New Roman"/>
          <w:color w:val="auto"/>
          <w:sz w:val="24"/>
          <w:szCs w:val="24"/>
          <w:highlight w:val="none"/>
          <w:lang w:val="en-US" w:eastAsia="zh-CN" w:bidi="ar-SA"/>
        </w:rPr>
        <w:t>。</w:t>
      </w:r>
    </w:p>
    <w:p w14:paraId="7152A262">
      <w:pPr>
        <w:keepNext/>
        <w:keepLines/>
        <w:widowControl w:val="0"/>
        <w:bidi w:val="0"/>
        <w:spacing w:before="200" w:after="200" w:line="240" w:lineRule="auto"/>
        <w:ind w:firstLine="0" w:firstLineChars="0"/>
        <w:jc w:val="both"/>
        <w:outlineLvl w:val="1"/>
        <w:rPr>
          <w:rFonts w:hint="default" w:ascii="Times New Roman" w:hAnsi="Times New Roman" w:eastAsia="宋体" w:cs="Times New Roman"/>
          <w:b/>
          <w:bCs/>
          <w:color w:val="auto"/>
          <w:kern w:val="2"/>
          <w:sz w:val="30"/>
          <w:szCs w:val="30"/>
          <w:highlight w:val="none"/>
          <w:lang w:val="en-US" w:eastAsia="zh-CN" w:bidi="ar-SA"/>
        </w:rPr>
      </w:pPr>
      <w:bookmarkStart w:id="673" w:name="_Toc25090"/>
      <w:bookmarkStart w:id="674" w:name="_Toc12556"/>
      <w:bookmarkStart w:id="675" w:name="_Toc27434"/>
      <w:r>
        <w:rPr>
          <w:rFonts w:hint="default" w:ascii="Times New Roman" w:hAnsi="Times New Roman" w:eastAsia="宋体" w:cs="Times New Roman"/>
          <w:b/>
          <w:bCs/>
          <w:color w:val="auto"/>
          <w:kern w:val="2"/>
          <w:sz w:val="30"/>
          <w:szCs w:val="30"/>
          <w:highlight w:val="none"/>
          <w:lang w:val="en-US" w:eastAsia="zh-CN" w:bidi="ar-SA"/>
        </w:rPr>
        <w:t>10.7 环境影响预测分析结论</w:t>
      </w:r>
      <w:bookmarkEnd w:id="673"/>
      <w:bookmarkEnd w:id="674"/>
      <w:bookmarkEnd w:id="675"/>
    </w:p>
    <w:p w14:paraId="4E1AFE55">
      <w:pPr>
        <w:keepNext/>
        <w:keepLines/>
        <w:widowControl w:val="0"/>
        <w:bidi w:val="0"/>
        <w:spacing w:before="100" w:after="100" w:line="240" w:lineRule="auto"/>
        <w:ind w:firstLine="0" w:firstLineChars="0"/>
        <w:jc w:val="both"/>
        <w:outlineLvl w:val="2"/>
        <w:rPr>
          <w:rFonts w:hint="eastAsia" w:ascii="Times New Roman" w:hAnsi="Times New Roman" w:eastAsia="宋体" w:cs="Times New Roman"/>
          <w:b/>
          <w:bCs/>
          <w:color w:val="auto"/>
          <w:kern w:val="2"/>
          <w:sz w:val="28"/>
          <w:szCs w:val="28"/>
          <w:highlight w:val="none"/>
          <w:lang w:val="en-US" w:eastAsia="zh-CN" w:bidi="ar-SA"/>
        </w:rPr>
      </w:pPr>
      <w:bookmarkStart w:id="676" w:name="_Toc276"/>
      <w:bookmarkStart w:id="677" w:name="_Toc20069"/>
      <w:bookmarkStart w:id="678" w:name="_Toc9285"/>
      <w:r>
        <w:rPr>
          <w:rFonts w:hint="default" w:ascii="Times New Roman" w:hAnsi="Times New Roman" w:eastAsia="宋体" w:cs="Times New Roman"/>
          <w:b/>
          <w:bCs/>
          <w:color w:val="auto"/>
          <w:kern w:val="2"/>
          <w:sz w:val="28"/>
          <w:szCs w:val="28"/>
          <w:highlight w:val="none"/>
          <w:lang w:val="en-US" w:eastAsia="zh-CN" w:bidi="ar-SA"/>
        </w:rPr>
        <w:t xml:space="preserve">10.7.1 </w:t>
      </w:r>
      <w:r>
        <w:rPr>
          <w:rFonts w:hint="eastAsia" w:ascii="Times New Roman" w:hAnsi="Times New Roman" w:eastAsia="宋体" w:cs="Times New Roman"/>
          <w:b/>
          <w:bCs/>
          <w:color w:val="auto"/>
          <w:kern w:val="2"/>
          <w:sz w:val="28"/>
          <w:szCs w:val="28"/>
          <w:highlight w:val="none"/>
          <w:lang w:val="en-US" w:eastAsia="zh-CN" w:bidi="ar-SA"/>
        </w:rPr>
        <w:t>环境空气</w:t>
      </w:r>
      <w:r>
        <w:rPr>
          <w:rFonts w:hint="default" w:ascii="Times New Roman" w:hAnsi="Times New Roman" w:eastAsia="宋体" w:cs="Times New Roman"/>
          <w:b/>
          <w:bCs/>
          <w:color w:val="auto"/>
          <w:kern w:val="2"/>
          <w:sz w:val="28"/>
          <w:szCs w:val="28"/>
          <w:highlight w:val="none"/>
          <w:lang w:val="en-US" w:eastAsia="zh-CN" w:bidi="ar-SA"/>
        </w:rPr>
        <w:t>影响分析</w:t>
      </w:r>
      <w:bookmarkEnd w:id="676"/>
      <w:bookmarkEnd w:id="677"/>
      <w:bookmarkEnd w:id="678"/>
      <w:r>
        <w:rPr>
          <w:rFonts w:hint="eastAsia" w:ascii="Times New Roman" w:hAnsi="Times New Roman" w:eastAsia="宋体" w:cs="Times New Roman"/>
          <w:b/>
          <w:bCs/>
          <w:color w:val="auto"/>
          <w:kern w:val="2"/>
          <w:sz w:val="28"/>
          <w:szCs w:val="28"/>
          <w:highlight w:val="none"/>
          <w:lang w:val="en-US" w:eastAsia="zh-CN" w:bidi="ar-SA"/>
        </w:rPr>
        <w:t>结论</w:t>
      </w:r>
    </w:p>
    <w:bookmarkEnd w:id="642"/>
    <w:p w14:paraId="10825FD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本</w:t>
      </w:r>
      <w:r>
        <w:rPr>
          <w:rFonts w:hint="default" w:ascii="Times New Roman" w:hAnsi="Times New Roman" w:eastAsia="宋体" w:cs="Times New Roman"/>
          <w:color w:val="auto"/>
          <w:sz w:val="24"/>
          <w:szCs w:val="24"/>
          <w:highlight w:val="none"/>
        </w:rPr>
        <w:t>项目位于</w:t>
      </w:r>
      <w:r>
        <w:rPr>
          <w:rFonts w:hint="default" w:ascii="Times New Roman" w:hAnsi="Times New Roman" w:eastAsia="宋体" w:cs="Times New Roman"/>
          <w:color w:val="auto"/>
          <w:sz w:val="24"/>
          <w:szCs w:val="24"/>
          <w:highlight w:val="none"/>
          <w:lang w:eastAsia="zh-CN"/>
        </w:rPr>
        <w:t>环境空气二类区的</w:t>
      </w:r>
      <w:r>
        <w:rPr>
          <w:rFonts w:hint="default" w:ascii="Times New Roman" w:hAnsi="Times New Roman" w:eastAsia="宋体" w:cs="Times New Roman"/>
          <w:color w:val="auto"/>
          <w:sz w:val="24"/>
          <w:szCs w:val="24"/>
          <w:highlight w:val="none"/>
        </w:rPr>
        <w:t>环境空气质量达标区，评价范围内无一类区</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大气环境影响评价结论如下：</w:t>
      </w:r>
    </w:p>
    <w:p w14:paraId="45C8C07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（1）由预测结果可知，本项目正常工况下</w:t>
      </w:r>
      <w:r>
        <w:rPr>
          <w:rFonts w:hint="default" w:ascii="Times New Roman" w:hAnsi="Times New Roman" w:eastAsia="宋体" w:cs="Times New Roman"/>
          <w:color w:val="auto"/>
          <w:sz w:val="24"/>
          <w:szCs w:val="24"/>
          <w:highlight w:val="none"/>
        </w:rPr>
        <w:t>新增</w:t>
      </w:r>
      <w:r>
        <w:rPr>
          <w:rFonts w:hint="default" w:ascii="Times New Roman" w:hAnsi="Times New Roman" w:eastAsia="宋体" w:cs="Times New Roman"/>
          <w:color w:val="auto"/>
          <w:sz w:val="24"/>
          <w:szCs w:val="24"/>
          <w:highlight w:val="none"/>
          <w:lang w:val="en-US" w:eastAsia="zh-CN"/>
        </w:rPr>
        <w:t>各污染物</w:t>
      </w:r>
      <w:r>
        <w:rPr>
          <w:rFonts w:hint="default" w:ascii="Times New Roman" w:hAnsi="Times New Roman" w:eastAsia="宋体" w:cs="Times New Roman"/>
          <w:color w:val="auto"/>
          <w:sz w:val="24"/>
          <w:szCs w:val="24"/>
          <w:highlight w:val="none"/>
        </w:rPr>
        <w:t>PM</w:t>
      </w:r>
      <w:r>
        <w:rPr>
          <w:rFonts w:hint="default" w:ascii="Times New Roman" w:hAnsi="Times New Roman" w:eastAsia="宋体" w:cs="Times New Roman"/>
          <w:color w:val="auto"/>
          <w:sz w:val="24"/>
          <w:szCs w:val="24"/>
          <w:highlight w:val="none"/>
          <w:vertAlign w:val="subscript"/>
        </w:rPr>
        <w:t>10</w:t>
      </w:r>
      <w:r>
        <w:rPr>
          <w:rFonts w:hint="default" w:ascii="Times New Roman" w:hAnsi="Times New Roman" w:eastAsia="宋体" w:cs="Times New Roman"/>
          <w:color w:val="auto"/>
          <w:sz w:val="24"/>
          <w:szCs w:val="24"/>
          <w:highlight w:val="none"/>
        </w:rPr>
        <w:t>、PM</w:t>
      </w:r>
      <w:r>
        <w:rPr>
          <w:rFonts w:hint="default" w:ascii="Times New Roman" w:hAnsi="Times New Roman" w:eastAsia="宋体" w:cs="Times New Roman"/>
          <w:color w:val="auto"/>
          <w:sz w:val="24"/>
          <w:szCs w:val="24"/>
          <w:highlight w:val="none"/>
          <w:vertAlign w:val="subscript"/>
        </w:rPr>
        <w:t>2.5</w:t>
      </w:r>
      <w:r>
        <w:rPr>
          <w:rFonts w:hint="default" w:ascii="Times New Roman" w:hAnsi="Times New Roman" w:eastAsia="宋体" w:cs="Times New Roman"/>
          <w:color w:val="auto"/>
          <w:sz w:val="24"/>
          <w:szCs w:val="24"/>
          <w:highlight w:val="none"/>
        </w:rPr>
        <w:t>、SO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、NO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lang w:val="en-US" w:eastAsia="zh-CN"/>
        </w:rPr>
        <w:t>、NH</w:t>
      </w:r>
      <w:r>
        <w:rPr>
          <w:rFonts w:hint="default" w:ascii="Times New Roman" w:hAnsi="Times New Roman" w:eastAsia="宋体" w:cs="Times New Roman"/>
          <w:color w:val="auto"/>
          <w:sz w:val="24"/>
          <w:szCs w:val="24"/>
          <w:highlight w:val="none"/>
          <w:vertAlign w:val="subscript"/>
          <w:lang w:val="en-US" w:eastAsia="zh-CN"/>
        </w:rPr>
        <w:t>3</w:t>
      </w:r>
      <w:r>
        <w:rPr>
          <w:rFonts w:hint="default" w:ascii="Times New Roman" w:hAnsi="Times New Roman" w:eastAsia="宋体" w:cs="Times New Roman"/>
          <w:color w:val="auto"/>
          <w:sz w:val="24"/>
          <w:szCs w:val="24"/>
          <w:highlight w:val="none"/>
          <w:lang w:val="en-US" w:eastAsia="zh-CN"/>
        </w:rPr>
        <w:t>、Hg、TSP短期</w:t>
      </w:r>
      <w:r>
        <w:rPr>
          <w:rFonts w:hint="default" w:ascii="Times New Roman" w:hAnsi="Times New Roman" w:eastAsia="宋体" w:cs="Times New Roman"/>
          <w:color w:val="auto"/>
          <w:sz w:val="24"/>
          <w:szCs w:val="24"/>
          <w:highlight w:val="none"/>
        </w:rPr>
        <w:t>浓度贡献值的最大落地浓度占标均≤100%。</w:t>
      </w:r>
    </w:p>
    <w:p w14:paraId="515BB9D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由预测可知，本项目正常工况下</w:t>
      </w:r>
      <w:r>
        <w:rPr>
          <w:rFonts w:hint="default" w:ascii="Times New Roman" w:hAnsi="Times New Roman" w:eastAsia="宋体" w:cs="Times New Roman"/>
          <w:color w:val="auto"/>
          <w:sz w:val="24"/>
          <w:szCs w:val="24"/>
          <w:highlight w:val="none"/>
        </w:rPr>
        <w:t>新增污染</w:t>
      </w:r>
      <w:r>
        <w:rPr>
          <w:rFonts w:hint="default" w:ascii="Times New Roman" w:hAnsi="Times New Roman" w:eastAsia="宋体" w:cs="Times New Roman"/>
          <w:color w:val="auto"/>
          <w:sz w:val="24"/>
          <w:szCs w:val="24"/>
          <w:highlight w:val="none"/>
          <w:lang w:val="en-US" w:eastAsia="zh-CN"/>
        </w:rPr>
        <w:t>物</w:t>
      </w:r>
      <w:r>
        <w:rPr>
          <w:rFonts w:hint="default" w:ascii="Times New Roman" w:hAnsi="Times New Roman" w:eastAsia="宋体" w:cs="Times New Roman"/>
          <w:color w:val="auto"/>
          <w:sz w:val="24"/>
          <w:szCs w:val="24"/>
          <w:highlight w:val="none"/>
        </w:rPr>
        <w:t>PM</w:t>
      </w:r>
      <w:r>
        <w:rPr>
          <w:rFonts w:hint="default" w:ascii="Times New Roman" w:hAnsi="Times New Roman" w:eastAsia="宋体" w:cs="Times New Roman"/>
          <w:color w:val="auto"/>
          <w:sz w:val="24"/>
          <w:szCs w:val="24"/>
          <w:highlight w:val="none"/>
          <w:vertAlign w:val="subscript"/>
        </w:rPr>
        <w:t>10</w:t>
      </w:r>
      <w:r>
        <w:rPr>
          <w:rFonts w:hint="default" w:ascii="Times New Roman" w:hAnsi="Times New Roman" w:eastAsia="宋体" w:cs="Times New Roman"/>
          <w:color w:val="auto"/>
          <w:sz w:val="24"/>
          <w:szCs w:val="24"/>
          <w:highlight w:val="none"/>
        </w:rPr>
        <w:t>、PM</w:t>
      </w:r>
      <w:r>
        <w:rPr>
          <w:rFonts w:hint="default" w:ascii="Times New Roman" w:hAnsi="Times New Roman" w:eastAsia="宋体" w:cs="Times New Roman"/>
          <w:color w:val="auto"/>
          <w:sz w:val="24"/>
          <w:szCs w:val="24"/>
          <w:highlight w:val="none"/>
          <w:vertAlign w:val="subscript"/>
        </w:rPr>
        <w:t>2.5</w:t>
      </w:r>
      <w:r>
        <w:rPr>
          <w:rFonts w:hint="default" w:ascii="Times New Roman" w:hAnsi="Times New Roman" w:eastAsia="宋体" w:cs="Times New Roman"/>
          <w:color w:val="auto"/>
          <w:sz w:val="24"/>
          <w:szCs w:val="24"/>
          <w:highlight w:val="none"/>
        </w:rPr>
        <w:t>、SO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、NO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年</w:t>
      </w:r>
      <w:r>
        <w:rPr>
          <w:rFonts w:hint="default" w:ascii="Times New Roman" w:hAnsi="Times New Roman" w:eastAsia="宋体" w:cs="Times New Roman"/>
          <w:color w:val="auto"/>
          <w:sz w:val="24"/>
          <w:szCs w:val="24"/>
          <w:highlight w:val="none"/>
          <w:lang w:val="en-US" w:eastAsia="zh-CN"/>
        </w:rPr>
        <w:t>均</w:t>
      </w:r>
      <w:r>
        <w:rPr>
          <w:rFonts w:hint="default" w:ascii="Times New Roman" w:hAnsi="Times New Roman" w:eastAsia="宋体" w:cs="Times New Roman"/>
          <w:color w:val="auto"/>
          <w:sz w:val="24"/>
          <w:szCs w:val="24"/>
          <w:highlight w:val="none"/>
        </w:rPr>
        <w:t>浓度贡献值的最大落地浓度占标均≤30%。</w:t>
      </w:r>
    </w:p>
    <w:p w14:paraId="1842A0A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val="en-US" w:eastAsia="zh-CN" w:bidi="ar-SA"/>
        </w:rPr>
        <w:t>（3）</w:t>
      </w:r>
      <w:r>
        <w:rPr>
          <w:rFonts w:hint="default" w:ascii="Times New Roman" w:hAnsi="Times New Roman" w:eastAsia="宋体" w:cs="Times New Roman"/>
          <w:color w:val="auto"/>
          <w:sz w:val="24"/>
          <w:szCs w:val="24"/>
          <w:highlight w:val="none"/>
          <w:lang w:val="en-US" w:eastAsia="zh-CN"/>
        </w:rPr>
        <w:t>本</w:t>
      </w:r>
      <w:r>
        <w:rPr>
          <w:rFonts w:hint="default" w:ascii="Times New Roman" w:hAnsi="Times New Roman" w:eastAsia="宋体" w:cs="Times New Roman"/>
          <w:color w:val="auto"/>
          <w:sz w:val="24"/>
          <w:szCs w:val="24"/>
          <w:highlight w:val="none"/>
        </w:rPr>
        <w:t>项目环境影响符合区域环境功能区划。</w:t>
      </w:r>
    </w:p>
    <w:p w14:paraId="6339CD4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highlight w:val="none"/>
          <w:lang w:val="en-US"/>
        </w:rPr>
      </w:pP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pacing w:val="0"/>
          <w:sz w:val="24"/>
          <w:szCs w:val="24"/>
          <w:highlight w:val="none"/>
          <w:lang w:val="en-US" w:eastAsia="zh-CN"/>
        </w:rPr>
        <w:t>根据预测结果可知，</w:t>
      </w:r>
      <w:r>
        <w:rPr>
          <w:rFonts w:hint="default" w:ascii="Times New Roman" w:hAnsi="Times New Roman" w:eastAsia="宋体" w:cs="Times New Roman"/>
          <w:color w:val="auto"/>
          <w:sz w:val="24"/>
          <w:szCs w:val="24"/>
          <w:highlight w:val="none"/>
        </w:rPr>
        <w:t>叠加现状</w:t>
      </w:r>
      <w:r>
        <w:rPr>
          <w:rFonts w:hint="default" w:ascii="Times New Roman" w:hAnsi="Times New Roman" w:eastAsia="宋体" w:cs="Times New Roman"/>
          <w:color w:val="auto"/>
          <w:sz w:val="24"/>
          <w:szCs w:val="24"/>
          <w:highlight w:val="none"/>
          <w:lang w:val="en-US" w:eastAsia="zh-CN"/>
        </w:rPr>
        <w:t>背景</w:t>
      </w:r>
      <w:r>
        <w:rPr>
          <w:rFonts w:hint="default" w:ascii="Times New Roman" w:hAnsi="Times New Roman" w:eastAsia="宋体" w:cs="Times New Roman"/>
          <w:color w:val="auto"/>
          <w:sz w:val="24"/>
          <w:szCs w:val="24"/>
          <w:highlight w:val="none"/>
        </w:rPr>
        <w:t>浓度</w:t>
      </w:r>
      <w:r>
        <w:rPr>
          <w:rFonts w:hint="default" w:ascii="Times New Roman" w:hAnsi="Times New Roman" w:eastAsia="宋体" w:cs="Times New Roman"/>
          <w:color w:val="auto"/>
          <w:sz w:val="24"/>
          <w:szCs w:val="24"/>
          <w:highlight w:val="none"/>
          <w:lang w:eastAsia="zh-CN"/>
        </w:rPr>
        <w:t>、区域拟建</w:t>
      </w:r>
      <w:r>
        <w:rPr>
          <w:rFonts w:hint="default" w:ascii="Times New Roman" w:hAnsi="Times New Roman" w:eastAsia="宋体" w:cs="Times New Roman"/>
          <w:color w:val="auto"/>
          <w:sz w:val="24"/>
          <w:szCs w:val="24"/>
          <w:highlight w:val="none"/>
          <w:lang w:val="en-US" w:eastAsia="zh-CN"/>
        </w:rPr>
        <w:t>在建</w:t>
      </w:r>
      <w:r>
        <w:rPr>
          <w:rFonts w:hint="default" w:ascii="Times New Roman" w:hAnsi="Times New Roman" w:eastAsia="宋体" w:cs="Times New Roman"/>
          <w:color w:val="auto"/>
          <w:sz w:val="24"/>
          <w:szCs w:val="24"/>
          <w:highlight w:val="none"/>
          <w:lang w:eastAsia="zh-CN"/>
        </w:rPr>
        <w:t>污染源贡献浓度、</w:t>
      </w:r>
      <w:r>
        <w:rPr>
          <w:rFonts w:hint="default" w:ascii="Times New Roman" w:hAnsi="Times New Roman" w:eastAsia="宋体" w:cs="Times New Roman"/>
          <w:color w:val="auto"/>
          <w:sz w:val="24"/>
          <w:szCs w:val="24"/>
          <w:highlight w:val="none"/>
          <w:lang w:val="en-US" w:eastAsia="zh-CN"/>
        </w:rPr>
        <w:t>区域以新带老削减源浓度后，</w:t>
      </w:r>
      <w:r>
        <w:rPr>
          <w:rFonts w:hint="default" w:ascii="Times New Roman" w:hAnsi="Times New Roman" w:eastAsia="宋体" w:cs="Times New Roman"/>
          <w:color w:val="auto"/>
          <w:sz w:val="24"/>
          <w:szCs w:val="24"/>
          <w:highlight w:val="none"/>
        </w:rPr>
        <w:t>污染物PM</w:t>
      </w:r>
      <w:r>
        <w:rPr>
          <w:rFonts w:hint="default" w:ascii="Times New Roman" w:hAnsi="Times New Roman" w:eastAsia="宋体" w:cs="Times New Roman"/>
          <w:color w:val="auto"/>
          <w:sz w:val="24"/>
          <w:szCs w:val="24"/>
          <w:highlight w:val="none"/>
          <w:vertAlign w:val="subscript"/>
        </w:rPr>
        <w:t>10</w:t>
      </w:r>
      <w:r>
        <w:rPr>
          <w:rFonts w:hint="default" w:ascii="Times New Roman" w:hAnsi="Times New Roman" w:eastAsia="宋体" w:cs="Times New Roman"/>
          <w:color w:val="auto"/>
          <w:sz w:val="24"/>
          <w:szCs w:val="24"/>
          <w:highlight w:val="none"/>
        </w:rPr>
        <w:t>、SO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、NO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lang w:val="en-US" w:eastAsia="zh-CN"/>
        </w:rPr>
        <w:t>保</w:t>
      </w:r>
      <w:r>
        <w:rPr>
          <w:rFonts w:hint="default" w:ascii="Times New Roman" w:hAnsi="Times New Roman" w:eastAsia="宋体" w:cs="Times New Roman"/>
          <w:color w:val="auto"/>
          <w:sz w:val="24"/>
          <w:szCs w:val="24"/>
          <w:highlight w:val="none"/>
        </w:rPr>
        <w:t>证率日平均质量浓度和年平均质量浓度均</w:t>
      </w:r>
      <w:r>
        <w:rPr>
          <w:rFonts w:hint="default" w:ascii="Times New Roman" w:hAnsi="Times New Roman" w:eastAsia="宋体" w:cs="Times New Roman"/>
          <w:color w:val="auto"/>
          <w:sz w:val="24"/>
          <w:szCs w:val="24"/>
          <w:highlight w:val="none"/>
          <w:lang w:val="en-US" w:eastAsia="zh-CN"/>
        </w:rPr>
        <w:t>满足</w:t>
      </w:r>
      <w:r>
        <w:rPr>
          <w:rFonts w:hint="default" w:ascii="Times New Roman" w:hAnsi="Times New Roman" w:eastAsia="宋体" w:cs="Times New Roman"/>
          <w:color w:val="auto"/>
          <w:sz w:val="24"/>
          <w:szCs w:val="24"/>
          <w:highlight w:val="none"/>
        </w:rPr>
        <w:t>《环境空气质量标准》（GB3095-2012）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iCs/>
          <w:color w:val="auto"/>
          <w:spacing w:val="0"/>
          <w:sz w:val="24"/>
          <w:szCs w:val="24"/>
          <w:highlight w:val="none"/>
          <w:lang w:val="en-US" w:eastAsia="zh-CN"/>
        </w:rPr>
        <w:t>NH</w:t>
      </w:r>
      <w:r>
        <w:rPr>
          <w:rFonts w:hint="default" w:ascii="Times New Roman" w:hAnsi="Times New Roman" w:eastAsia="宋体" w:cs="Times New Roman"/>
          <w:iCs/>
          <w:color w:val="auto"/>
          <w:spacing w:val="0"/>
          <w:sz w:val="24"/>
          <w:szCs w:val="24"/>
          <w:highlight w:val="none"/>
          <w:vertAlign w:val="subscript"/>
          <w:lang w:val="en-US" w:eastAsia="zh-CN"/>
        </w:rPr>
        <w:t>3</w:t>
      </w:r>
      <w:r>
        <w:rPr>
          <w:rFonts w:hint="default" w:ascii="Times New Roman" w:hAnsi="Times New Roman" w:eastAsia="宋体" w:cs="Times New Roman"/>
          <w:iCs/>
          <w:color w:val="auto"/>
          <w:spacing w:val="0"/>
          <w:sz w:val="24"/>
          <w:szCs w:val="24"/>
          <w:highlight w:val="none"/>
          <w:lang w:val="en-US" w:eastAsia="zh-CN"/>
        </w:rPr>
        <w:t>的叠加浓度满足</w:t>
      </w:r>
      <w:r>
        <w:rPr>
          <w:rFonts w:hint="default" w:ascii="Times New Roman" w:hAnsi="Times New Roman" w:eastAsia="宋体" w:cs="Times New Roman"/>
          <w:color w:val="auto"/>
          <w:spacing w:val="0"/>
          <w:sz w:val="24"/>
          <w:szCs w:val="24"/>
          <w:highlight w:val="none"/>
        </w:rPr>
        <w:t>《环境影响评价技术导则 大气环境》（HJ2.2-2018）附录D</w:t>
      </w:r>
      <w:r>
        <w:rPr>
          <w:rFonts w:hint="default" w:ascii="Times New Roman" w:hAnsi="Times New Roman" w:eastAsia="宋体" w:cs="Times New Roman"/>
          <w:color w:val="auto"/>
          <w:spacing w:val="0"/>
          <w:sz w:val="24"/>
          <w:szCs w:val="24"/>
          <w:highlight w:val="none"/>
          <w:lang w:eastAsia="zh-CN"/>
        </w:rPr>
        <w:t>限值，</w:t>
      </w:r>
      <w:r>
        <w:rPr>
          <w:rFonts w:hint="default" w:ascii="Times New Roman" w:hAnsi="Times New Roman" w:eastAsia="宋体" w:cs="Times New Roman"/>
          <w:color w:val="auto"/>
          <w:sz w:val="24"/>
          <w:szCs w:val="24"/>
          <w:highlight w:val="none"/>
          <w:lang w:val="en-US" w:eastAsia="zh-CN"/>
        </w:rPr>
        <w:t>TSP</w:t>
      </w:r>
      <w:r>
        <w:rPr>
          <w:rFonts w:hint="default" w:ascii="Times New Roman" w:hAnsi="Times New Roman" w:eastAsia="宋体" w:cs="Times New Roman"/>
          <w:iCs/>
          <w:color w:val="auto"/>
          <w:spacing w:val="0"/>
          <w:sz w:val="24"/>
          <w:szCs w:val="24"/>
          <w:highlight w:val="none"/>
          <w:lang w:val="en-US" w:eastAsia="zh-CN"/>
        </w:rPr>
        <w:t>的叠加浓度</w:t>
      </w:r>
      <w:r>
        <w:rPr>
          <w:rFonts w:hint="default" w:ascii="Times New Roman" w:hAnsi="Times New Roman" w:eastAsia="宋体" w:cs="Times New Roman"/>
          <w:color w:val="auto"/>
          <w:sz w:val="24"/>
          <w:szCs w:val="24"/>
          <w:highlight w:val="none"/>
          <w:lang w:val="en-US" w:eastAsia="zh-CN"/>
        </w:rPr>
        <w:t>满足</w:t>
      </w:r>
      <w:r>
        <w:rPr>
          <w:rFonts w:hint="default" w:ascii="Times New Roman" w:hAnsi="Times New Roman" w:eastAsia="宋体" w:cs="Times New Roman"/>
          <w:color w:val="auto"/>
          <w:sz w:val="24"/>
          <w:szCs w:val="24"/>
          <w:highlight w:val="none"/>
        </w:rPr>
        <w:t>《环境空气质量标准》（GB3095-2012）</w:t>
      </w:r>
      <w:r>
        <w:rPr>
          <w:rFonts w:hint="default" w:ascii="Times New Roman" w:hAnsi="Times New Roman" w:eastAsia="宋体" w:cs="Times New Roman"/>
          <w:color w:val="auto"/>
          <w:sz w:val="24"/>
          <w:szCs w:val="24"/>
          <w:highlight w:val="none"/>
          <w:lang w:val="en-US" w:eastAsia="zh-CN"/>
        </w:rPr>
        <w:t>要求</w:t>
      </w:r>
      <w:r>
        <w:rPr>
          <w:rFonts w:hint="default" w:ascii="Times New Roman" w:hAnsi="Times New Roman" w:eastAsia="宋体" w:cs="Times New Roman"/>
          <w:color w:val="auto"/>
          <w:spacing w:val="0"/>
          <w:sz w:val="24"/>
          <w:szCs w:val="24"/>
          <w:highlight w:val="none"/>
          <w:lang w:eastAsia="zh-CN"/>
        </w:rPr>
        <w:t>。</w:t>
      </w:r>
    </w:p>
    <w:p w14:paraId="76C98467">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jc w:val="both"/>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（5）经计算本项目厂界线外部没有超标点，无须设大气环境防护距离。</w:t>
      </w:r>
    </w:p>
    <w:p w14:paraId="2CE33AF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因此，本项目建成后，大气环境影响可接受，大气污染物排放方案可行。</w:t>
      </w:r>
    </w:p>
    <w:p w14:paraId="09AF0FFA">
      <w:pPr>
        <w:keepNext/>
        <w:keepLines/>
        <w:widowControl w:val="0"/>
        <w:bidi w:val="0"/>
        <w:spacing w:before="100" w:after="100" w:line="240" w:lineRule="auto"/>
        <w:ind w:firstLine="0" w:firstLineChars="0"/>
        <w:jc w:val="both"/>
        <w:outlineLvl w:val="2"/>
        <w:rPr>
          <w:rFonts w:hint="eastAsia" w:ascii="Times New Roman" w:hAnsi="Times New Roman" w:eastAsia="宋体" w:cs="Times New Roman"/>
          <w:b/>
          <w:bCs/>
          <w:color w:val="auto"/>
          <w:kern w:val="2"/>
          <w:sz w:val="28"/>
          <w:szCs w:val="28"/>
          <w:highlight w:val="none"/>
          <w:lang w:val="en-US" w:eastAsia="zh-CN" w:bidi="ar-SA"/>
        </w:rPr>
      </w:pPr>
      <w:bookmarkStart w:id="679" w:name="_Toc337734561"/>
      <w:bookmarkStart w:id="680" w:name="_Toc355942143"/>
      <w:bookmarkStart w:id="681" w:name="_Toc2011"/>
      <w:bookmarkStart w:id="682" w:name="_Toc29227"/>
      <w:bookmarkStart w:id="683" w:name="_Toc14776"/>
      <w:r>
        <w:rPr>
          <w:rFonts w:hint="default" w:ascii="Times New Roman" w:hAnsi="Times New Roman" w:eastAsia="宋体" w:cs="Times New Roman"/>
          <w:b/>
          <w:bCs/>
          <w:color w:val="auto"/>
          <w:kern w:val="2"/>
          <w:sz w:val="28"/>
          <w:szCs w:val="28"/>
          <w:highlight w:val="none"/>
          <w:lang w:val="en-US" w:eastAsia="zh-CN" w:bidi="ar-SA"/>
        </w:rPr>
        <w:t>10.7.2 地表水环境影响</w:t>
      </w:r>
      <w:bookmarkEnd w:id="679"/>
      <w:bookmarkEnd w:id="680"/>
      <w:r>
        <w:rPr>
          <w:rFonts w:hint="default" w:ascii="Times New Roman" w:hAnsi="Times New Roman" w:eastAsia="宋体" w:cs="Times New Roman"/>
          <w:b/>
          <w:bCs/>
          <w:color w:val="auto"/>
          <w:kern w:val="2"/>
          <w:sz w:val="28"/>
          <w:szCs w:val="28"/>
          <w:highlight w:val="none"/>
          <w:lang w:val="en-US" w:eastAsia="zh-CN" w:bidi="ar-SA"/>
        </w:rPr>
        <w:t>分析</w:t>
      </w:r>
      <w:bookmarkEnd w:id="681"/>
      <w:bookmarkEnd w:id="682"/>
      <w:bookmarkEnd w:id="683"/>
      <w:r>
        <w:rPr>
          <w:rFonts w:hint="eastAsia" w:ascii="Times New Roman" w:hAnsi="Times New Roman" w:eastAsia="宋体" w:cs="Times New Roman"/>
          <w:b/>
          <w:bCs/>
          <w:color w:val="auto"/>
          <w:kern w:val="2"/>
          <w:sz w:val="28"/>
          <w:szCs w:val="28"/>
          <w:highlight w:val="none"/>
          <w:lang w:val="en-US" w:eastAsia="zh-CN" w:bidi="ar-SA"/>
        </w:rPr>
        <w:t>结论</w:t>
      </w:r>
    </w:p>
    <w:p w14:paraId="5F7B7E32">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本项目不新增工作人员，不新增生活污水。锅炉用水来自</w:t>
      </w:r>
      <w:r>
        <w:rPr>
          <w:rFonts w:hint="eastAsia" w:ascii="Times New Roman" w:hAnsi="Times New Roman" w:eastAsia="宋体" w:cs="Times New Roman"/>
          <w:color w:val="auto"/>
          <w:sz w:val="24"/>
          <w:szCs w:val="24"/>
          <w:highlight w:val="none"/>
          <w:lang w:val="en-US" w:eastAsia="zh-CN"/>
        </w:rPr>
        <w:t>佳木斯中恒热电有限公司</w:t>
      </w:r>
      <w:r>
        <w:rPr>
          <w:rFonts w:hint="default" w:ascii="Times New Roman" w:hAnsi="Times New Roman" w:eastAsia="宋体" w:cs="Times New Roman"/>
          <w:color w:val="auto"/>
          <w:sz w:val="24"/>
          <w:szCs w:val="24"/>
          <w:highlight w:val="none"/>
          <w:lang w:val="en-US" w:eastAsia="zh-CN"/>
        </w:rPr>
        <w:t>主热源</w:t>
      </w:r>
      <w:r>
        <w:rPr>
          <w:rFonts w:hint="eastAsia" w:ascii="Times New Roman" w:hAnsi="Times New Roman" w:eastAsia="宋体" w:cs="Times New Roman"/>
          <w:color w:val="auto"/>
          <w:sz w:val="24"/>
          <w:szCs w:val="24"/>
          <w:highlight w:val="none"/>
          <w:lang w:val="en-US" w:eastAsia="zh-CN"/>
        </w:rPr>
        <w:t>现有制</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补水系统。</w:t>
      </w:r>
      <w:r>
        <w:rPr>
          <w:rFonts w:hint="default" w:ascii="Times New Roman" w:hAnsi="Times New Roman" w:eastAsia="宋体" w:cs="Times New Roman"/>
          <w:color w:val="auto"/>
          <w:sz w:val="24"/>
          <w:szCs w:val="24"/>
          <w:highlight w:val="none"/>
          <w:lang w:val="en-US" w:eastAsia="zh-CN"/>
        </w:rPr>
        <w:t>脱硫废水经曝气、沉淀后用于脱硝补水和输煤系统除尘、除渣用水。含煤废水经厂区内现有污水处理间处理，处理工艺为过滤+沉淀+气浮，处理后的废水进入地下水池回用。锅炉排污水、软化水处理废水、处理后的含煤废水用于输煤栈桥冲洗、输煤系统除尘水、</w:t>
      </w:r>
      <w:r>
        <w:rPr>
          <w:rFonts w:hint="eastAsia" w:ascii="Times New Roman" w:hAnsi="Times New Roman" w:eastAsia="宋体" w:cs="Times New Roman"/>
          <w:color w:val="auto"/>
          <w:sz w:val="24"/>
          <w:szCs w:val="24"/>
          <w:highlight w:val="none"/>
          <w:lang w:val="en-US" w:eastAsia="zh-CN"/>
        </w:rPr>
        <w:t>渣库降尘等工序</w:t>
      </w:r>
      <w:r>
        <w:rPr>
          <w:rFonts w:hint="default" w:ascii="Times New Roman" w:hAnsi="Times New Roman" w:eastAsia="宋体" w:cs="Times New Roman"/>
          <w:color w:val="auto"/>
          <w:sz w:val="24"/>
          <w:szCs w:val="24"/>
          <w:highlight w:val="none"/>
          <w:lang w:val="en-US" w:eastAsia="zh-CN"/>
        </w:rPr>
        <w:t>，不外排</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sz w:val="24"/>
          <w:szCs w:val="24"/>
          <w:highlight w:val="none"/>
          <w:lang w:val="en-US" w:eastAsia="zh-CN"/>
        </w:rPr>
        <w:t>厂区现有生活污水污染物浓度满足</w:t>
      </w:r>
      <w:r>
        <w:rPr>
          <w:rFonts w:hint="eastAsia" w:ascii="Times New Roman" w:hAnsi="Times New Roman" w:eastAsia="宋体" w:cs="Times New Roman"/>
          <w:color w:val="auto"/>
          <w:sz w:val="24"/>
          <w:szCs w:val="24"/>
          <w:highlight w:val="none"/>
          <w:lang w:val="en-US" w:eastAsia="zh-CN"/>
        </w:rPr>
        <w:t>佳木斯西区污水处理厂</w:t>
      </w:r>
      <w:r>
        <w:rPr>
          <w:rFonts w:hint="default" w:ascii="Times New Roman" w:hAnsi="Times New Roman" w:eastAsia="宋体" w:cs="Times New Roman"/>
          <w:color w:val="auto"/>
          <w:sz w:val="24"/>
          <w:szCs w:val="24"/>
          <w:highlight w:val="none"/>
          <w:lang w:val="en-US" w:eastAsia="zh-CN"/>
        </w:rPr>
        <w:t>进水水质指标后经市政污水管网排入</w:t>
      </w:r>
      <w:r>
        <w:rPr>
          <w:rFonts w:hint="eastAsia" w:ascii="Times New Roman" w:hAnsi="Times New Roman" w:eastAsia="宋体" w:cs="Times New Roman"/>
          <w:color w:val="auto"/>
          <w:sz w:val="24"/>
          <w:szCs w:val="24"/>
          <w:highlight w:val="none"/>
          <w:lang w:val="en-US" w:eastAsia="zh-CN"/>
        </w:rPr>
        <w:t>佳木斯西区污水处理厂</w:t>
      </w:r>
      <w:r>
        <w:rPr>
          <w:rFonts w:hint="default" w:ascii="Times New Roman" w:hAnsi="Times New Roman" w:eastAsia="宋体" w:cs="Times New Roman"/>
          <w:color w:val="auto"/>
          <w:sz w:val="24"/>
          <w:szCs w:val="24"/>
          <w:highlight w:val="none"/>
          <w:lang w:val="en-US" w:eastAsia="zh-CN"/>
        </w:rPr>
        <w:t>，经处理后污水排放浓度达到《城镇污水处理厂污染物排放标准》（GB18918-2002）一级A标准后排入</w:t>
      </w:r>
      <w:r>
        <w:rPr>
          <w:rFonts w:hint="eastAsia" w:ascii="Times New Roman" w:hAnsi="Times New Roman" w:eastAsia="宋体" w:cs="Times New Roman"/>
          <w:color w:val="auto"/>
          <w:sz w:val="24"/>
          <w:szCs w:val="24"/>
          <w:highlight w:val="none"/>
          <w:lang w:val="en-US" w:eastAsia="zh-CN"/>
        </w:rPr>
        <w:t>松花江</w:t>
      </w:r>
      <w:r>
        <w:rPr>
          <w:rFonts w:hint="default" w:ascii="Times New Roman" w:hAnsi="Times New Roman" w:eastAsia="宋体" w:cs="Times New Roman"/>
          <w:color w:val="auto"/>
          <w:sz w:val="24"/>
          <w:szCs w:val="24"/>
          <w:highlight w:val="none"/>
          <w:lang w:val="en-US" w:eastAsia="zh-CN"/>
        </w:rPr>
        <w:t>。综合分析，本项目对地表水环境影响较小</w:t>
      </w:r>
      <w:r>
        <w:rPr>
          <w:rFonts w:hint="default" w:ascii="Times New Roman" w:hAnsi="Times New Roman" w:eastAsia="宋体" w:cs="Times New Roman"/>
          <w:b w:val="0"/>
          <w:bCs w:val="0"/>
          <w:color w:val="auto"/>
          <w:spacing w:val="0"/>
          <w:w w:val="100"/>
          <w:sz w:val="21"/>
          <w:szCs w:val="21"/>
          <w:highlight w:val="none"/>
          <w:lang w:val="en-US" w:eastAsia="zh-CN"/>
        </w:rPr>
        <w:t>。</w:t>
      </w:r>
    </w:p>
    <w:p w14:paraId="09C2F92C">
      <w:pPr>
        <w:keepNext/>
        <w:keepLines/>
        <w:widowControl w:val="0"/>
        <w:bidi w:val="0"/>
        <w:spacing w:before="100" w:after="100" w:line="240" w:lineRule="auto"/>
        <w:ind w:firstLine="0" w:firstLineChars="0"/>
        <w:jc w:val="both"/>
        <w:outlineLvl w:val="2"/>
        <w:rPr>
          <w:rFonts w:hint="eastAsia" w:ascii="Times New Roman" w:hAnsi="Times New Roman" w:eastAsia="宋体" w:cs="Times New Roman"/>
          <w:b/>
          <w:bCs/>
          <w:color w:val="auto"/>
          <w:kern w:val="2"/>
          <w:sz w:val="28"/>
          <w:szCs w:val="28"/>
          <w:highlight w:val="none"/>
          <w:lang w:val="en-US" w:eastAsia="zh-CN" w:bidi="ar-SA"/>
        </w:rPr>
      </w:pPr>
      <w:bookmarkStart w:id="684" w:name="_Toc337734563"/>
      <w:bookmarkStart w:id="685" w:name="_Toc355942145"/>
      <w:bookmarkStart w:id="686" w:name="_Toc13658"/>
      <w:bookmarkStart w:id="687" w:name="_Toc18650"/>
      <w:bookmarkStart w:id="688" w:name="_Toc10021"/>
      <w:r>
        <w:rPr>
          <w:rFonts w:hint="default" w:ascii="Times New Roman" w:hAnsi="Times New Roman" w:eastAsia="宋体" w:cs="Times New Roman"/>
          <w:b/>
          <w:bCs/>
          <w:color w:val="auto"/>
          <w:kern w:val="2"/>
          <w:sz w:val="28"/>
          <w:szCs w:val="28"/>
          <w:highlight w:val="none"/>
          <w:lang w:val="en-US" w:eastAsia="zh-CN" w:bidi="ar-SA"/>
        </w:rPr>
        <w:t>10.7.3 声环境影响</w:t>
      </w:r>
      <w:bookmarkEnd w:id="684"/>
      <w:bookmarkEnd w:id="685"/>
      <w:r>
        <w:rPr>
          <w:rFonts w:hint="default" w:ascii="Times New Roman" w:hAnsi="Times New Roman" w:eastAsia="宋体" w:cs="Times New Roman"/>
          <w:b/>
          <w:bCs/>
          <w:color w:val="auto"/>
          <w:kern w:val="2"/>
          <w:sz w:val="28"/>
          <w:szCs w:val="28"/>
          <w:highlight w:val="none"/>
          <w:lang w:val="en-US" w:eastAsia="zh-CN" w:bidi="ar-SA"/>
        </w:rPr>
        <w:t>分析</w:t>
      </w:r>
      <w:bookmarkEnd w:id="686"/>
      <w:bookmarkEnd w:id="687"/>
      <w:bookmarkEnd w:id="688"/>
      <w:r>
        <w:rPr>
          <w:rFonts w:hint="eastAsia" w:ascii="Times New Roman" w:hAnsi="Times New Roman" w:eastAsia="宋体" w:cs="Times New Roman"/>
          <w:b/>
          <w:bCs/>
          <w:color w:val="auto"/>
          <w:kern w:val="2"/>
          <w:sz w:val="28"/>
          <w:szCs w:val="28"/>
          <w:highlight w:val="none"/>
          <w:lang w:val="en-US" w:eastAsia="zh-CN" w:bidi="ar-SA"/>
        </w:rPr>
        <w:t>结论</w:t>
      </w:r>
    </w:p>
    <w:p w14:paraId="3B3EB35C">
      <w:pPr>
        <w:adjustRightInd w:val="0"/>
        <w:snapToGrid w:val="0"/>
        <w:spacing w:line="480" w:lineRule="exact"/>
        <w:ind w:firstLine="480" w:firstLineChars="200"/>
        <w:rPr>
          <w:rFonts w:hint="eastAsia"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szCs w:val="24"/>
          <w:highlight w:val="none"/>
        </w:rPr>
        <w:t>本项目投产后厂界昼夜间噪声预测值满足《工业企业厂界环境噪声排放标准》（GB12348-2008）表1工业企业厂界环境噪声排放限值中</w:t>
      </w:r>
      <w:r>
        <w:rPr>
          <w:rFonts w:hint="eastAsia" w:ascii="Times New Roman" w:hAnsi="Times New Roman" w:eastAsia="宋体" w:cs="Times New Roman"/>
          <w:color w:val="auto"/>
          <w:sz w:val="24"/>
          <w:szCs w:val="24"/>
          <w:highlight w:val="none"/>
          <w:lang w:eastAsia="zh-CN"/>
        </w:rPr>
        <w:t>3类</w:t>
      </w:r>
      <w:r>
        <w:rPr>
          <w:rFonts w:hint="default" w:ascii="Times New Roman" w:hAnsi="Times New Roman" w:eastAsia="宋体" w:cs="Times New Roman"/>
          <w:color w:val="auto"/>
          <w:sz w:val="24"/>
          <w:szCs w:val="24"/>
          <w:highlight w:val="none"/>
        </w:rPr>
        <w:t>声环境功能区标准</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声环境</w:t>
      </w:r>
      <w:r>
        <w:rPr>
          <w:rFonts w:hint="eastAsia" w:ascii="Times New Roman" w:hAnsi="Times New Roman" w:eastAsia="宋体" w:cs="Times New Roman"/>
          <w:color w:val="auto"/>
          <w:sz w:val="24"/>
          <w:szCs w:val="24"/>
          <w:highlight w:val="none"/>
          <w:lang w:eastAsia="zh-CN"/>
        </w:rPr>
        <w:t>敏感</w:t>
      </w:r>
      <w:r>
        <w:rPr>
          <w:rFonts w:hint="default" w:ascii="Times New Roman" w:hAnsi="Times New Roman" w:eastAsia="宋体" w:cs="Times New Roman"/>
          <w:color w:val="auto"/>
          <w:sz w:val="24"/>
          <w:szCs w:val="24"/>
          <w:highlight w:val="none"/>
        </w:rPr>
        <w:t>目标昼夜间噪声预测值满足《声环境质量标准》表1环境噪声限值中的</w:t>
      </w:r>
      <w:r>
        <w:rPr>
          <w:rFonts w:hint="eastAsia" w:ascii="Times New Roman" w:hAnsi="Times New Roman" w:eastAsia="宋体" w:cs="Times New Roman"/>
          <w:color w:val="auto"/>
          <w:sz w:val="24"/>
          <w:szCs w:val="24"/>
          <w:highlight w:val="none"/>
          <w:lang w:val="en-US" w:eastAsia="zh-CN"/>
        </w:rPr>
        <w:t>2</w:t>
      </w:r>
      <w:r>
        <w:rPr>
          <w:rFonts w:hint="eastAsia" w:ascii="Times New Roman" w:hAnsi="Times New Roman" w:eastAsia="宋体" w:cs="Times New Roman"/>
          <w:color w:val="auto"/>
          <w:sz w:val="24"/>
          <w:szCs w:val="24"/>
          <w:highlight w:val="none"/>
          <w:lang w:eastAsia="zh-CN"/>
        </w:rPr>
        <w:t>类</w:t>
      </w:r>
      <w:r>
        <w:rPr>
          <w:rFonts w:hint="default" w:ascii="Times New Roman" w:hAnsi="Times New Roman" w:eastAsia="宋体" w:cs="Times New Roman"/>
          <w:color w:val="auto"/>
          <w:sz w:val="24"/>
          <w:szCs w:val="24"/>
          <w:highlight w:val="none"/>
        </w:rPr>
        <w:t>标准</w:t>
      </w:r>
      <w:r>
        <w:rPr>
          <w:rFonts w:hint="eastAsia" w:ascii="Times New Roman" w:hAnsi="Times New Roman" w:eastAsia="宋体" w:cs="Times New Roman"/>
          <w:color w:val="auto"/>
          <w:sz w:val="24"/>
          <w:szCs w:val="24"/>
          <w:highlight w:val="none"/>
          <w:lang w:eastAsia="zh-CN"/>
        </w:rPr>
        <w:t>。</w:t>
      </w:r>
    </w:p>
    <w:p w14:paraId="39C2140D">
      <w:pPr>
        <w:keepNext/>
        <w:keepLines/>
        <w:widowControl w:val="0"/>
        <w:bidi w:val="0"/>
        <w:spacing w:before="100" w:after="100" w:line="240" w:lineRule="auto"/>
        <w:ind w:firstLine="0" w:firstLineChars="0"/>
        <w:jc w:val="both"/>
        <w:outlineLvl w:val="2"/>
        <w:rPr>
          <w:rFonts w:hint="eastAsia" w:ascii="Times New Roman" w:hAnsi="Times New Roman" w:eastAsia="宋体" w:cs="Times New Roman"/>
          <w:b/>
          <w:bCs/>
          <w:color w:val="auto"/>
          <w:kern w:val="2"/>
          <w:sz w:val="28"/>
          <w:szCs w:val="28"/>
          <w:highlight w:val="none"/>
          <w:lang w:val="en-US" w:eastAsia="zh-CN" w:bidi="ar-SA"/>
        </w:rPr>
      </w:pPr>
      <w:bookmarkStart w:id="689" w:name="_Toc7784"/>
      <w:bookmarkStart w:id="690" w:name="_Toc355942146"/>
      <w:bookmarkStart w:id="691" w:name="_Toc337734564"/>
      <w:bookmarkStart w:id="692" w:name="_Toc23668"/>
      <w:bookmarkStart w:id="693" w:name="_Toc15847"/>
      <w:r>
        <w:rPr>
          <w:rFonts w:hint="default" w:ascii="Times New Roman" w:hAnsi="Times New Roman" w:eastAsia="宋体" w:cs="Times New Roman"/>
          <w:b/>
          <w:bCs/>
          <w:color w:val="auto"/>
          <w:kern w:val="2"/>
          <w:sz w:val="28"/>
          <w:szCs w:val="28"/>
          <w:highlight w:val="none"/>
          <w:lang w:val="en-US" w:eastAsia="zh-CN" w:bidi="ar-SA"/>
        </w:rPr>
        <w:t>10.7.4 固体废物环境影响分析</w:t>
      </w:r>
      <w:bookmarkEnd w:id="689"/>
      <w:bookmarkEnd w:id="690"/>
      <w:bookmarkEnd w:id="691"/>
      <w:bookmarkEnd w:id="692"/>
      <w:bookmarkEnd w:id="693"/>
      <w:r>
        <w:rPr>
          <w:rFonts w:hint="eastAsia" w:ascii="Times New Roman" w:hAnsi="Times New Roman" w:eastAsia="宋体" w:cs="Times New Roman"/>
          <w:b/>
          <w:bCs/>
          <w:color w:val="auto"/>
          <w:kern w:val="2"/>
          <w:sz w:val="28"/>
          <w:szCs w:val="28"/>
          <w:highlight w:val="none"/>
          <w:lang w:val="en-US" w:eastAsia="zh-CN" w:bidi="ar-SA"/>
        </w:rPr>
        <w:t>结论</w:t>
      </w:r>
    </w:p>
    <w:p w14:paraId="079A432C">
      <w:pPr>
        <w:adjustRightInd w:val="0"/>
        <w:snapToGrid w:val="0"/>
        <w:spacing w:line="480" w:lineRule="exact"/>
        <w:ind w:firstLine="480" w:firstLineChars="200"/>
        <w:rPr>
          <w:rFonts w:hint="default" w:ascii="Times New Roman" w:hAnsi="Times New Roman" w:eastAsia="宋体" w:cs="Times New Roman"/>
          <w:color w:val="auto"/>
          <w:sz w:val="24"/>
          <w:highlight w:val="none"/>
        </w:rPr>
      </w:pPr>
      <w:bookmarkStart w:id="694" w:name="_Toc355942148"/>
      <w:bookmarkStart w:id="695" w:name="_Toc185048005"/>
      <w:bookmarkStart w:id="696" w:name="_Toc337734566"/>
      <w:r>
        <w:rPr>
          <w:rFonts w:hint="default" w:ascii="Times New Roman" w:hAnsi="Times New Roman" w:eastAsia="宋体" w:cs="Times New Roman"/>
          <w:color w:val="auto"/>
          <w:sz w:val="24"/>
          <w:szCs w:val="24"/>
          <w:highlight w:val="none"/>
          <w:lang w:val="en-US" w:eastAsia="zh-CN"/>
        </w:rPr>
        <w:t>本项目飞灰、炉渣外售综合利用；废布袋由厂家回收，不在厂区内堆存；灰库除尘器收尘外售综合利用；生石灰粉仓除尘器收尘回用于脱硫工序；碎煤机除尘器收尘作为燃料入炉燃烧；沉渣定期清掏作为燃料入炉燃烧；废矿物油暂存于现有工程危废暂存间内，委托有资质单位处置；</w:t>
      </w:r>
      <w:r>
        <w:rPr>
          <w:rFonts w:hint="eastAsia" w:ascii="Times New Roman" w:hAnsi="Times New Roman" w:eastAsia="宋体" w:cs="Times New Roman"/>
          <w:color w:val="auto"/>
          <w:sz w:val="24"/>
          <w:szCs w:val="24"/>
          <w:highlight w:val="none"/>
          <w:lang w:val="en-US" w:eastAsia="zh-CN"/>
        </w:rPr>
        <w:t>本项目</w:t>
      </w:r>
      <w:r>
        <w:rPr>
          <w:rFonts w:hint="default" w:ascii="Times New Roman" w:hAnsi="Times New Roman" w:eastAsia="宋体" w:cs="Times New Roman"/>
          <w:color w:val="auto"/>
          <w:sz w:val="24"/>
          <w:szCs w:val="24"/>
          <w:highlight w:val="none"/>
          <w:lang w:val="en-US" w:eastAsia="zh-CN"/>
        </w:rPr>
        <w:t>不新增</w:t>
      </w:r>
      <w:r>
        <w:rPr>
          <w:rFonts w:hint="default" w:ascii="Times New Roman" w:hAnsi="Times New Roman" w:eastAsia="宋体" w:cs="Times New Roman"/>
          <w:color w:val="auto"/>
          <w:sz w:val="24"/>
          <w:szCs w:val="24"/>
          <w:highlight w:val="none"/>
          <w:lang w:eastAsia="zh-CN"/>
        </w:rPr>
        <w:t>工作人员，</w:t>
      </w:r>
      <w:r>
        <w:rPr>
          <w:rFonts w:hint="default" w:ascii="Times New Roman" w:hAnsi="Times New Roman" w:eastAsia="宋体" w:cs="Times New Roman"/>
          <w:color w:val="auto"/>
          <w:sz w:val="24"/>
          <w:szCs w:val="24"/>
          <w:highlight w:val="none"/>
          <w:lang w:val="en-US" w:eastAsia="zh-CN"/>
        </w:rPr>
        <w:t>因此不新增</w:t>
      </w:r>
      <w:r>
        <w:rPr>
          <w:rFonts w:hint="default" w:ascii="Times New Roman" w:hAnsi="Times New Roman" w:eastAsia="宋体" w:cs="Times New Roman"/>
          <w:color w:val="auto"/>
          <w:kern w:val="0"/>
          <w:sz w:val="24"/>
          <w:szCs w:val="24"/>
          <w:highlight w:val="none"/>
        </w:rPr>
        <w:t>生活垃圾</w:t>
      </w:r>
      <w:r>
        <w:rPr>
          <w:rFonts w:hint="default" w:ascii="Times New Roman" w:hAnsi="Times New Roman" w:eastAsia="宋体" w:cs="Times New Roman"/>
          <w:color w:val="auto"/>
          <w:sz w:val="24"/>
          <w:highlight w:val="none"/>
        </w:rPr>
        <w:t>。</w:t>
      </w:r>
      <w:r>
        <w:rPr>
          <w:color w:val="auto"/>
          <w:sz w:val="24"/>
          <w:highlight w:val="none"/>
        </w:rPr>
        <w:t>本工程的固体废物均能综合利用或无害化处置</w:t>
      </w:r>
      <w:r>
        <w:rPr>
          <w:rFonts w:hint="eastAsia" w:eastAsiaTheme="minorEastAsia"/>
          <w:color w:val="auto"/>
          <w:sz w:val="24"/>
          <w:highlight w:val="none"/>
          <w:lang w:eastAsia="zh-CN"/>
        </w:rPr>
        <w:t>，</w:t>
      </w:r>
      <w:r>
        <w:rPr>
          <w:rFonts w:hint="default" w:ascii="Times New Roman" w:hAnsi="Times New Roman" w:eastAsia="宋体" w:cs="Times New Roman"/>
          <w:color w:val="auto"/>
          <w:sz w:val="24"/>
          <w:highlight w:val="none"/>
        </w:rPr>
        <w:t>固废处置率100%。</w:t>
      </w:r>
    </w:p>
    <w:p w14:paraId="0118C983">
      <w:pPr>
        <w:keepNext/>
        <w:keepLines/>
        <w:widowControl w:val="0"/>
        <w:bidi w:val="0"/>
        <w:spacing w:before="100" w:after="100" w:line="240" w:lineRule="auto"/>
        <w:ind w:firstLine="0" w:firstLineChars="0"/>
        <w:jc w:val="both"/>
        <w:outlineLvl w:val="2"/>
        <w:rPr>
          <w:rFonts w:hint="eastAsia" w:ascii="Times New Roman" w:hAnsi="Times New Roman" w:eastAsia="宋体" w:cs="Times New Roman"/>
          <w:b/>
          <w:bCs/>
          <w:color w:val="auto"/>
          <w:kern w:val="2"/>
          <w:sz w:val="28"/>
          <w:szCs w:val="28"/>
          <w:highlight w:val="none"/>
          <w:lang w:val="en-US" w:eastAsia="zh-CN" w:bidi="ar-SA"/>
        </w:rPr>
      </w:pPr>
      <w:bookmarkStart w:id="697" w:name="_Toc30230"/>
      <w:bookmarkStart w:id="698" w:name="_Toc28503"/>
      <w:bookmarkStart w:id="699" w:name="_Toc10552"/>
      <w:r>
        <w:rPr>
          <w:rFonts w:hint="default" w:ascii="Times New Roman" w:hAnsi="Times New Roman" w:eastAsia="宋体" w:cs="Times New Roman"/>
          <w:b/>
          <w:bCs/>
          <w:color w:val="auto"/>
          <w:kern w:val="2"/>
          <w:sz w:val="28"/>
          <w:szCs w:val="28"/>
          <w:highlight w:val="none"/>
          <w:lang w:val="en-US" w:eastAsia="zh-CN" w:bidi="ar-SA"/>
        </w:rPr>
        <w:t>10.7.5 土壤环境影响分析</w:t>
      </w:r>
      <w:bookmarkEnd w:id="697"/>
      <w:bookmarkEnd w:id="698"/>
      <w:bookmarkEnd w:id="699"/>
      <w:r>
        <w:rPr>
          <w:rFonts w:hint="eastAsia" w:ascii="Times New Roman" w:hAnsi="Times New Roman" w:eastAsia="宋体" w:cs="Times New Roman"/>
          <w:b/>
          <w:bCs/>
          <w:color w:val="auto"/>
          <w:kern w:val="2"/>
          <w:sz w:val="28"/>
          <w:szCs w:val="28"/>
          <w:highlight w:val="none"/>
          <w:lang w:val="en-US" w:eastAsia="zh-CN" w:bidi="ar-SA"/>
        </w:rPr>
        <w:t>结论</w:t>
      </w:r>
    </w:p>
    <w:p w14:paraId="1E7B18B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生产运行过程中，在保证厂区防渗措施良好的前提下，项目厂区及周围土壤环境的影响很小建设用地各监测点位各项指标均达到《土壤环境质量 建设用地土壤污染风险管控标准（试行）》（GB36600-2018）</w:t>
      </w:r>
      <w:r>
        <w:rPr>
          <w:rFonts w:hint="eastAsia" w:ascii="Times New Roman" w:hAnsi="Times New Roman" w:eastAsia="宋体" w:cs="Times New Roman"/>
          <w:color w:val="auto"/>
          <w:sz w:val="24"/>
          <w:szCs w:val="24"/>
          <w:highlight w:val="none"/>
          <w:lang w:val="en-US" w:eastAsia="zh-CN"/>
        </w:rPr>
        <w:t>第一类和</w:t>
      </w:r>
      <w:r>
        <w:rPr>
          <w:rFonts w:hint="default" w:ascii="Times New Roman" w:hAnsi="Times New Roman" w:eastAsia="宋体" w:cs="Times New Roman"/>
          <w:color w:val="auto"/>
          <w:sz w:val="24"/>
          <w:szCs w:val="24"/>
          <w:highlight w:val="none"/>
          <w:lang w:val="en-US" w:eastAsia="zh-CN"/>
        </w:rPr>
        <w:t>第二类用地筛选值中的标准限值；农用地监测点位各指标均达到《土壤环境质量 农用地土壤污染风险管控标准</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试行</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GB 15618-2018</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土壤污染风险筛选值</w:t>
      </w:r>
      <w:r>
        <w:rPr>
          <w:rFonts w:hint="eastAsia"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z w:val="24"/>
          <w:highlight w:val="none"/>
        </w:rPr>
        <w:t>经20年沉降累积土壤中Hg增量甚微，</w:t>
      </w:r>
      <w:r>
        <w:rPr>
          <w:rFonts w:hint="default" w:ascii="Times New Roman" w:hAnsi="Times New Roman" w:eastAsia="宋体" w:cs="Times New Roman"/>
          <w:color w:val="auto"/>
          <w:sz w:val="24"/>
          <w:highlight w:val="none"/>
          <w:lang w:val="en-US" w:eastAsia="zh-CN"/>
        </w:rPr>
        <w:t>对</w:t>
      </w:r>
      <w:r>
        <w:rPr>
          <w:rFonts w:hint="default" w:ascii="Times New Roman" w:hAnsi="Times New Roman" w:eastAsia="宋体" w:cs="Times New Roman"/>
          <w:color w:val="auto"/>
          <w:sz w:val="24"/>
          <w:highlight w:val="none"/>
        </w:rPr>
        <w:t>周边土壤影响</w:t>
      </w:r>
      <w:r>
        <w:rPr>
          <w:rFonts w:hint="default" w:ascii="Times New Roman" w:hAnsi="Times New Roman" w:eastAsia="宋体" w:cs="Times New Roman"/>
          <w:color w:val="auto"/>
          <w:sz w:val="24"/>
          <w:highlight w:val="none"/>
          <w:lang w:val="en-US" w:eastAsia="zh-CN"/>
        </w:rPr>
        <w:t>较小</w:t>
      </w:r>
      <w:r>
        <w:rPr>
          <w:rFonts w:hint="default" w:ascii="Times New Roman" w:hAnsi="Times New Roman" w:eastAsia="宋体" w:cs="Times New Roman"/>
          <w:color w:val="auto"/>
          <w:sz w:val="24"/>
          <w:highlight w:val="none"/>
        </w:rPr>
        <w:t>，土壤累积污染在可接受范围内</w:t>
      </w:r>
      <w:r>
        <w:rPr>
          <w:rFonts w:hint="default" w:ascii="Times New Roman" w:hAnsi="Times New Roman" w:eastAsia="宋体" w:cs="Times New Roman"/>
          <w:color w:val="auto"/>
          <w:sz w:val="24"/>
          <w:szCs w:val="24"/>
          <w:highlight w:val="none"/>
        </w:rPr>
        <w:t>，在大气沉降过程中对土壤环境影响</w:t>
      </w:r>
      <w:r>
        <w:rPr>
          <w:rFonts w:hint="default" w:ascii="Times New Roman" w:hAnsi="Times New Roman" w:eastAsia="宋体" w:cs="Times New Roman"/>
          <w:color w:val="auto"/>
          <w:sz w:val="24"/>
          <w:szCs w:val="24"/>
          <w:highlight w:val="none"/>
          <w:lang w:val="en-US" w:eastAsia="zh-CN"/>
        </w:rPr>
        <w:t>减小。</w:t>
      </w:r>
    </w:p>
    <w:bookmarkEnd w:id="694"/>
    <w:bookmarkEnd w:id="695"/>
    <w:bookmarkEnd w:id="696"/>
    <w:p w14:paraId="75C09B6A">
      <w:pPr>
        <w:keepNext/>
        <w:keepLines/>
        <w:widowControl w:val="0"/>
        <w:bidi w:val="0"/>
        <w:spacing w:before="200" w:after="200" w:line="240" w:lineRule="auto"/>
        <w:ind w:firstLine="0" w:firstLineChars="0"/>
        <w:jc w:val="both"/>
        <w:outlineLvl w:val="1"/>
        <w:rPr>
          <w:rFonts w:hint="eastAsia" w:ascii="Times New Roman" w:hAnsi="Times New Roman" w:eastAsia="宋体" w:cs="Times New Roman"/>
          <w:b/>
          <w:bCs/>
          <w:color w:val="auto"/>
          <w:kern w:val="2"/>
          <w:sz w:val="30"/>
          <w:szCs w:val="30"/>
          <w:highlight w:val="none"/>
          <w:lang w:val="en-US" w:eastAsia="zh-CN" w:bidi="ar-SA"/>
        </w:rPr>
      </w:pPr>
      <w:bookmarkStart w:id="700" w:name="_Toc337734567"/>
      <w:bookmarkStart w:id="701" w:name="_Toc355942149"/>
      <w:bookmarkStart w:id="702" w:name="_Toc185048006"/>
      <w:bookmarkStart w:id="703" w:name="_Toc26651"/>
      <w:bookmarkStart w:id="704" w:name="_Toc23435"/>
      <w:bookmarkStart w:id="705" w:name="_Toc13253"/>
      <w:r>
        <w:rPr>
          <w:rFonts w:hint="default" w:ascii="Times New Roman" w:hAnsi="Times New Roman" w:eastAsia="宋体" w:cs="Times New Roman"/>
          <w:b/>
          <w:bCs/>
          <w:color w:val="auto"/>
          <w:kern w:val="2"/>
          <w:sz w:val="30"/>
          <w:szCs w:val="30"/>
          <w:highlight w:val="none"/>
          <w:lang w:val="en-US" w:eastAsia="zh-CN" w:bidi="ar-SA"/>
        </w:rPr>
        <w:t>10.8 总量控制</w:t>
      </w:r>
      <w:bookmarkEnd w:id="700"/>
      <w:bookmarkEnd w:id="701"/>
      <w:bookmarkEnd w:id="702"/>
      <w:bookmarkEnd w:id="703"/>
      <w:bookmarkEnd w:id="704"/>
      <w:r>
        <w:rPr>
          <w:rFonts w:hint="eastAsia" w:ascii="Times New Roman" w:hAnsi="Times New Roman" w:eastAsia="宋体" w:cs="Times New Roman"/>
          <w:b/>
          <w:bCs/>
          <w:color w:val="auto"/>
          <w:kern w:val="2"/>
          <w:sz w:val="30"/>
          <w:szCs w:val="30"/>
          <w:highlight w:val="none"/>
          <w:lang w:val="en-US" w:eastAsia="zh-CN" w:bidi="ar-SA"/>
        </w:rPr>
        <w:t>结论</w:t>
      </w:r>
      <w:bookmarkEnd w:id="705"/>
    </w:p>
    <w:p w14:paraId="66E64DC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default" w:ascii="Times New Roman" w:hAnsi="Times New Roman" w:eastAsia="宋体" w:cs="Times New Roman"/>
          <w:snapToGrid w:val="0"/>
          <w:color w:val="auto"/>
          <w:kern w:val="0"/>
          <w:sz w:val="24"/>
          <w:szCs w:val="24"/>
          <w:highlight w:val="none"/>
          <w:lang w:eastAsia="zh-CN"/>
        </w:rPr>
      </w:pPr>
      <w:r>
        <w:rPr>
          <w:rFonts w:hint="default" w:ascii="Times New Roman" w:hAnsi="Times New Roman" w:eastAsia="宋体" w:cs="Times New Roman"/>
          <w:snapToGrid w:val="0"/>
          <w:color w:val="auto"/>
          <w:sz w:val="24"/>
          <w:szCs w:val="24"/>
          <w:highlight w:val="none"/>
          <w:lang w:val="en-US" w:eastAsia="zh-CN"/>
        </w:rPr>
        <w:t>本项目</w:t>
      </w:r>
      <w:r>
        <w:rPr>
          <w:rFonts w:hint="eastAsia" w:ascii="Times New Roman" w:hAnsi="Times New Roman" w:eastAsia="宋体" w:cs="Times New Roman"/>
          <w:snapToGrid w:val="0"/>
          <w:color w:val="auto"/>
          <w:sz w:val="24"/>
          <w:szCs w:val="24"/>
          <w:highlight w:val="none"/>
          <w:lang w:val="en-US" w:eastAsia="zh-CN"/>
        </w:rPr>
        <w:t>建设</w:t>
      </w:r>
      <w:r>
        <w:rPr>
          <w:rFonts w:hint="default" w:ascii="Times New Roman" w:hAnsi="Times New Roman" w:eastAsia="宋体" w:cs="Times New Roman"/>
          <w:snapToGrid w:val="0"/>
          <w:color w:val="auto"/>
          <w:sz w:val="24"/>
          <w:szCs w:val="24"/>
          <w:highlight w:val="none"/>
          <w:lang w:val="en-US" w:eastAsia="zh-CN"/>
        </w:rPr>
        <w:t>的</w:t>
      </w:r>
      <w:r>
        <w:rPr>
          <w:rFonts w:hint="eastAsia" w:ascii="Times New Roman" w:hAnsi="Times New Roman" w:eastAsia="宋体" w:cs="Times New Roman"/>
          <w:snapToGrid w:val="0"/>
          <w:color w:val="auto"/>
          <w:sz w:val="24"/>
          <w:szCs w:val="24"/>
          <w:highlight w:val="none"/>
          <w:lang w:val="en-US" w:eastAsia="zh-CN"/>
        </w:rPr>
        <w:t>1台58MW</w:t>
      </w:r>
      <w:r>
        <w:rPr>
          <w:rFonts w:hint="default" w:ascii="Times New Roman" w:hAnsi="Times New Roman" w:eastAsia="宋体" w:cs="Times New Roman"/>
          <w:snapToGrid w:val="0"/>
          <w:color w:val="auto"/>
          <w:sz w:val="24"/>
          <w:szCs w:val="24"/>
          <w:highlight w:val="none"/>
          <w:lang w:val="en-US" w:eastAsia="zh-CN"/>
        </w:rPr>
        <w:t>热水锅炉</w:t>
      </w:r>
      <w:r>
        <w:rPr>
          <w:rFonts w:hint="default" w:ascii="Times New Roman" w:hAnsi="Times New Roman" w:eastAsia="宋体" w:cs="Times New Roman"/>
          <w:snapToGrid w:val="0"/>
          <w:color w:val="auto"/>
          <w:sz w:val="24"/>
          <w:szCs w:val="24"/>
          <w:highlight w:val="none"/>
          <w:lang w:val="zh-CN" w:eastAsia="zh-CN"/>
        </w:rPr>
        <w:t>烟气治理措施采用</w:t>
      </w:r>
      <w:r>
        <w:rPr>
          <w:rFonts w:hint="default" w:ascii="Times New Roman" w:hAnsi="Times New Roman" w:eastAsia="宋体" w:cs="Times New Roman"/>
          <w:snapToGrid w:val="0"/>
          <w:color w:val="auto"/>
          <w:sz w:val="24"/>
          <w:szCs w:val="24"/>
          <w:highlight w:val="none"/>
          <w:lang w:val="en-US" w:eastAsia="zh-CN"/>
        </w:rPr>
        <w:t>“</w:t>
      </w:r>
      <w:r>
        <w:rPr>
          <w:rFonts w:hint="eastAsia" w:ascii="Times New Roman" w:hAnsi="Times New Roman" w:eastAsia="宋体" w:cs="Times New Roman"/>
          <w:snapToGrid w:val="0"/>
          <w:color w:val="auto"/>
          <w:sz w:val="24"/>
          <w:szCs w:val="24"/>
          <w:highlight w:val="none"/>
          <w:lang w:val="zh-CN" w:eastAsia="zh-CN"/>
        </w:rPr>
        <w:t>炉内喷钙+氨法脱硫+SNCR+亚氯酸钠脱硝+袋式除尘器</w:t>
      </w:r>
      <w:r>
        <w:rPr>
          <w:rFonts w:hint="default" w:ascii="Times New Roman" w:hAnsi="Times New Roman" w:eastAsia="宋体" w:cs="Times New Roman"/>
          <w:snapToGrid w:val="0"/>
          <w:color w:val="auto"/>
          <w:sz w:val="24"/>
          <w:szCs w:val="24"/>
          <w:highlight w:val="none"/>
          <w:lang w:val="zh-CN" w:eastAsia="zh-CN"/>
        </w:rPr>
        <w:t>”</w:t>
      </w:r>
      <w:r>
        <w:rPr>
          <w:rFonts w:hint="default" w:ascii="Times New Roman" w:hAnsi="Times New Roman" w:eastAsia="宋体" w:cs="Times New Roman"/>
          <w:snapToGrid w:val="0"/>
          <w:color w:val="auto"/>
          <w:sz w:val="24"/>
          <w:szCs w:val="24"/>
          <w:highlight w:val="none"/>
          <w:lang w:val="en-US" w:eastAsia="zh-CN"/>
        </w:rPr>
        <w:t>，满足“超低排放”要求，</w:t>
      </w:r>
      <w:r>
        <w:rPr>
          <w:rFonts w:hint="default" w:ascii="Times New Roman" w:hAnsi="Times New Roman" w:eastAsia="宋体" w:cs="Times New Roman"/>
          <w:snapToGrid w:val="0"/>
          <w:color w:val="auto"/>
          <w:sz w:val="24"/>
          <w:szCs w:val="24"/>
          <w:highlight w:val="none"/>
          <w:lang w:val="zh-CN" w:eastAsia="zh-CN"/>
        </w:rPr>
        <w:t>颗粒物</w:t>
      </w:r>
      <w:r>
        <w:rPr>
          <w:rFonts w:hint="default" w:ascii="Times New Roman" w:hAnsi="Times New Roman" w:eastAsia="宋体" w:cs="Times New Roman"/>
          <w:snapToGrid w:val="0"/>
          <w:color w:val="auto"/>
          <w:sz w:val="24"/>
          <w:szCs w:val="24"/>
          <w:highlight w:val="none"/>
          <w:lang w:val="en-US" w:eastAsia="zh-CN"/>
        </w:rPr>
        <w:t>、二</w:t>
      </w:r>
      <w:r>
        <w:rPr>
          <w:rFonts w:hint="default" w:ascii="Times New Roman" w:hAnsi="Times New Roman" w:eastAsia="宋体" w:cs="Times New Roman"/>
          <w:snapToGrid w:val="0"/>
          <w:color w:val="auto"/>
          <w:sz w:val="24"/>
          <w:szCs w:val="24"/>
          <w:highlight w:val="none"/>
          <w:lang w:val="zh-CN" w:eastAsia="zh-CN"/>
        </w:rPr>
        <w:t>氧化硫、氮氧化物等</w:t>
      </w:r>
      <w:r>
        <w:rPr>
          <w:rFonts w:hint="eastAsia" w:ascii="Times New Roman" w:hAnsi="Times New Roman" w:eastAsia="宋体" w:cs="Times New Roman"/>
          <w:snapToGrid w:val="0"/>
          <w:color w:val="auto"/>
          <w:sz w:val="24"/>
          <w:szCs w:val="24"/>
          <w:highlight w:val="none"/>
          <w:lang w:val="zh-CN" w:eastAsia="zh-CN"/>
        </w:rPr>
        <w:t>许可</w:t>
      </w:r>
      <w:r>
        <w:rPr>
          <w:rFonts w:hint="default" w:ascii="Times New Roman" w:hAnsi="Times New Roman" w:eastAsia="宋体" w:cs="Times New Roman"/>
          <w:snapToGrid w:val="0"/>
          <w:color w:val="auto"/>
          <w:sz w:val="24"/>
          <w:szCs w:val="24"/>
          <w:highlight w:val="none"/>
          <w:lang w:val="zh-CN" w:eastAsia="zh-CN"/>
        </w:rPr>
        <w:t>排放总量为：颗粒物</w:t>
      </w:r>
      <w:r>
        <w:rPr>
          <w:rFonts w:hint="eastAsia" w:ascii="Times New Roman" w:hAnsi="Times New Roman" w:eastAsia="宋体" w:cs="Times New Roman"/>
          <w:snapToGrid w:val="0"/>
          <w:color w:val="auto"/>
          <w:sz w:val="24"/>
          <w:szCs w:val="24"/>
          <w:highlight w:val="none"/>
          <w:lang w:val="en-US" w:eastAsia="zh-CN"/>
        </w:rPr>
        <w:t>1.01</w:t>
      </w:r>
      <w:r>
        <w:rPr>
          <w:rFonts w:hint="default" w:ascii="Times New Roman" w:hAnsi="Times New Roman" w:eastAsia="宋体" w:cs="Times New Roman"/>
          <w:snapToGrid w:val="0"/>
          <w:color w:val="auto"/>
          <w:sz w:val="24"/>
          <w:szCs w:val="24"/>
          <w:highlight w:val="none"/>
          <w:lang w:val="zh-CN" w:eastAsia="zh-CN"/>
        </w:rPr>
        <w:t>t/a、二氧化硫</w:t>
      </w:r>
      <w:r>
        <w:rPr>
          <w:rFonts w:hint="eastAsia" w:ascii="Times New Roman" w:hAnsi="Times New Roman" w:eastAsia="宋体" w:cs="Times New Roman"/>
          <w:snapToGrid w:val="0"/>
          <w:color w:val="auto"/>
          <w:sz w:val="24"/>
          <w:szCs w:val="24"/>
          <w:highlight w:val="none"/>
          <w:lang w:val="en-US" w:eastAsia="zh-CN"/>
        </w:rPr>
        <w:t>3.56</w:t>
      </w:r>
      <w:r>
        <w:rPr>
          <w:rFonts w:hint="default" w:ascii="Times New Roman" w:hAnsi="Times New Roman" w:eastAsia="宋体" w:cs="Times New Roman"/>
          <w:snapToGrid w:val="0"/>
          <w:color w:val="auto"/>
          <w:sz w:val="24"/>
          <w:szCs w:val="24"/>
          <w:highlight w:val="none"/>
          <w:lang w:val="zh-CN" w:eastAsia="zh-CN"/>
        </w:rPr>
        <w:t>t/a、氮氧化物</w:t>
      </w:r>
      <w:r>
        <w:rPr>
          <w:rFonts w:hint="eastAsia" w:ascii="Times New Roman" w:hAnsi="Times New Roman" w:eastAsia="宋体" w:cs="Times New Roman"/>
          <w:snapToGrid w:val="0"/>
          <w:color w:val="auto"/>
          <w:sz w:val="24"/>
          <w:szCs w:val="24"/>
          <w:highlight w:val="none"/>
          <w:lang w:val="en-US" w:eastAsia="zh-CN"/>
        </w:rPr>
        <w:t>5.08</w:t>
      </w:r>
      <w:r>
        <w:rPr>
          <w:rFonts w:hint="default" w:ascii="Times New Roman" w:hAnsi="Times New Roman" w:eastAsia="宋体" w:cs="Times New Roman"/>
          <w:snapToGrid w:val="0"/>
          <w:color w:val="auto"/>
          <w:sz w:val="24"/>
          <w:szCs w:val="24"/>
          <w:highlight w:val="none"/>
          <w:lang w:val="zh-CN" w:eastAsia="zh-CN"/>
        </w:rPr>
        <w:t>t/a。</w:t>
      </w:r>
    </w:p>
    <w:p w14:paraId="3B7B8193">
      <w:pPr>
        <w:keepNext/>
        <w:keepLines/>
        <w:widowControl w:val="0"/>
        <w:bidi w:val="0"/>
        <w:spacing w:before="200" w:after="200" w:line="240" w:lineRule="auto"/>
        <w:ind w:firstLine="0" w:firstLineChars="0"/>
        <w:jc w:val="both"/>
        <w:outlineLvl w:val="1"/>
        <w:rPr>
          <w:rFonts w:hint="eastAsia" w:ascii="Times New Roman" w:hAnsi="Times New Roman" w:eastAsia="宋体" w:cs="Times New Roman"/>
          <w:b/>
          <w:bCs/>
          <w:color w:val="auto"/>
          <w:kern w:val="2"/>
          <w:sz w:val="30"/>
          <w:szCs w:val="30"/>
          <w:highlight w:val="none"/>
          <w:lang w:val="en-US" w:eastAsia="zh-CN" w:bidi="ar-SA"/>
        </w:rPr>
      </w:pPr>
      <w:bookmarkStart w:id="706" w:name="_Toc30587"/>
      <w:bookmarkStart w:id="707" w:name="_Toc185048009"/>
      <w:bookmarkStart w:id="708" w:name="_Toc337734570"/>
      <w:bookmarkStart w:id="709" w:name="_Toc355942152"/>
      <w:bookmarkStart w:id="710" w:name="_Toc29236"/>
      <w:bookmarkStart w:id="711" w:name="_Toc4167"/>
      <w:r>
        <w:rPr>
          <w:rFonts w:hint="default" w:ascii="Times New Roman" w:hAnsi="Times New Roman" w:eastAsia="宋体" w:cs="Times New Roman"/>
          <w:b/>
          <w:bCs/>
          <w:color w:val="auto"/>
          <w:kern w:val="2"/>
          <w:sz w:val="30"/>
          <w:szCs w:val="30"/>
          <w:highlight w:val="none"/>
          <w:lang w:val="en-US" w:eastAsia="zh-CN" w:bidi="ar-SA"/>
        </w:rPr>
        <w:t>10.</w:t>
      </w:r>
      <w:r>
        <w:rPr>
          <w:rFonts w:hint="eastAsia" w:ascii="Times New Roman" w:hAnsi="Times New Roman" w:eastAsia="宋体" w:cs="Times New Roman"/>
          <w:b/>
          <w:bCs/>
          <w:color w:val="auto"/>
          <w:kern w:val="2"/>
          <w:sz w:val="30"/>
          <w:szCs w:val="30"/>
          <w:highlight w:val="none"/>
          <w:lang w:val="en-US" w:eastAsia="zh-CN" w:bidi="ar-SA"/>
        </w:rPr>
        <w:t>9公众参与采纳说明</w:t>
      </w:r>
      <w:bookmarkEnd w:id="706"/>
    </w:p>
    <w:p w14:paraId="2E4DDF5D">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Times New Roman" w:hAnsi="Times New Roman" w:cs="Times New Roman" w:eastAsiaTheme="minorEastAsia"/>
          <w:b/>
          <w:bCs/>
          <w:color w:val="auto"/>
          <w:highlight w:val="none"/>
          <w:lang w:val="en-US" w:eastAsia="zh-CN"/>
        </w:rPr>
      </w:pPr>
      <w:r>
        <w:rPr>
          <w:rFonts w:hint="eastAsia" w:ascii="Times New Roman" w:hAnsi="Times New Roman" w:eastAsia="宋体" w:cs="Times New Roman"/>
          <w:snapToGrid w:val="0"/>
          <w:color w:val="auto"/>
          <w:sz w:val="24"/>
          <w:szCs w:val="24"/>
          <w:highlight w:val="none"/>
          <w:lang w:val="en-US" w:eastAsia="zh-CN"/>
        </w:rPr>
        <w:t>在项目环评报告编制期间，</w:t>
      </w:r>
      <w:r>
        <w:rPr>
          <w:rFonts w:hint="eastAsia" w:eastAsiaTheme="minorEastAsia"/>
          <w:color w:val="auto"/>
          <w:szCs w:val="21"/>
          <w:highlight w:val="none"/>
          <w:lang w:eastAsia="zh-CN"/>
        </w:rPr>
        <w:t>佳木斯中恒热电有限公司组织开展了公众参与工作，</w:t>
      </w:r>
      <w:r>
        <w:rPr>
          <w:rFonts w:hint="eastAsia" w:ascii="Times New Roman" w:hAnsi="Times New Roman" w:eastAsia="宋体" w:cs="Times New Roman"/>
          <w:snapToGrid w:val="0"/>
          <w:color w:val="auto"/>
          <w:sz w:val="24"/>
          <w:szCs w:val="24"/>
          <w:highlight w:val="none"/>
          <w:lang w:val="en-US" w:eastAsia="zh-CN"/>
        </w:rPr>
        <w:t>建设单位于2025年12月10日在黑龙江新闻网首次公开了本项目环境影响评价信息。2025年12月25日公开了在黑龙江新闻网首次公开了本项目环境影响报告书征求意见稿，并于2025年12月31日和2026年1月8日在黑龙江日报上发布了本项目的报纸公示信息，2026年1月15日进行了本项目环境影响报告书报批前信息公开。在信息公开阶段未收到任何反对意见，本项目拟选厂址所在地区的公众对本项目无反对意见。建设单位对以上信息公开内容进行了整理总结，</w:t>
      </w:r>
      <w:r>
        <w:rPr>
          <w:rFonts w:hint="default" w:ascii="Times New Roman" w:hAnsi="Times New Roman" w:eastAsia="宋体" w:cs="Times New Roman"/>
          <w:snapToGrid w:val="0"/>
          <w:color w:val="auto"/>
          <w:sz w:val="24"/>
          <w:szCs w:val="24"/>
          <w:highlight w:val="none"/>
          <w:lang w:val="en-US" w:eastAsia="zh-CN"/>
        </w:rPr>
        <w:t>编制了</w:t>
      </w:r>
      <w:r>
        <w:rPr>
          <w:rFonts w:hint="default" w:ascii="Times New Roman" w:hAnsi="Times New Roman" w:cs="Times New Roman"/>
          <w:snapToGrid w:val="0"/>
          <w:color w:val="auto"/>
          <w:kern w:val="0"/>
          <w:highlight w:val="none"/>
        </w:rPr>
        <w:t>《</w:t>
      </w:r>
      <w:r>
        <w:rPr>
          <w:rFonts w:hint="eastAsia" w:ascii="Times New Roman" w:hAnsi="Times New Roman" w:cs="Times New Roman"/>
          <w:snapToGrid w:val="0"/>
          <w:color w:val="auto"/>
          <w:kern w:val="0"/>
          <w:highlight w:val="none"/>
          <w:lang w:eastAsia="zh-CN"/>
        </w:rPr>
        <w:t>佳木斯中恒热电有限公司新建、扩建锅炉房工程（二期1×58MW锅炉重新报批）环境影响报告书</w:t>
      </w:r>
      <w:r>
        <w:rPr>
          <w:rFonts w:hint="default" w:ascii="Times New Roman" w:hAnsi="Times New Roman" w:eastAsia="宋体" w:cs="Times New Roman"/>
          <w:color w:val="auto"/>
          <w:highlight w:val="none"/>
          <w:lang w:eastAsia="zh-CN"/>
        </w:rPr>
        <w:t>环境影响评价公众参与说明</w:t>
      </w:r>
      <w:r>
        <w:rPr>
          <w:rFonts w:hint="default" w:ascii="Times New Roman" w:hAnsi="Times New Roman" w:cs="Times New Roman"/>
          <w:snapToGrid w:val="0"/>
          <w:color w:val="auto"/>
          <w:kern w:val="0"/>
          <w:highlight w:val="none"/>
        </w:rPr>
        <w:t>》</w:t>
      </w:r>
      <w:r>
        <w:rPr>
          <w:rFonts w:hint="default" w:ascii="Times New Roman" w:hAnsi="Times New Roman" w:cs="Times New Roman"/>
          <w:snapToGrid w:val="0"/>
          <w:color w:val="auto"/>
          <w:kern w:val="0"/>
          <w:highlight w:val="none"/>
          <w:lang w:eastAsia="zh-CN"/>
        </w:rPr>
        <w:t>。</w:t>
      </w:r>
    </w:p>
    <w:p w14:paraId="65567485">
      <w:pPr>
        <w:keepNext/>
        <w:keepLines/>
        <w:widowControl w:val="0"/>
        <w:bidi w:val="0"/>
        <w:spacing w:before="200" w:after="200" w:line="240" w:lineRule="auto"/>
        <w:ind w:firstLine="0" w:firstLineChars="0"/>
        <w:jc w:val="both"/>
        <w:outlineLvl w:val="1"/>
        <w:rPr>
          <w:rFonts w:hint="default" w:ascii="Times New Roman" w:hAnsi="Times New Roman" w:eastAsia="宋体" w:cs="Times New Roman"/>
          <w:b/>
          <w:bCs/>
          <w:color w:val="auto"/>
          <w:kern w:val="2"/>
          <w:sz w:val="30"/>
          <w:szCs w:val="30"/>
          <w:highlight w:val="none"/>
          <w:lang w:val="en-US" w:eastAsia="zh-CN" w:bidi="ar-SA"/>
        </w:rPr>
      </w:pPr>
      <w:bookmarkStart w:id="712" w:name="_Toc12215"/>
      <w:r>
        <w:rPr>
          <w:rFonts w:hint="default" w:ascii="Times New Roman" w:hAnsi="Times New Roman" w:eastAsia="宋体" w:cs="Times New Roman"/>
          <w:b/>
          <w:bCs/>
          <w:color w:val="auto"/>
          <w:kern w:val="2"/>
          <w:sz w:val="30"/>
          <w:szCs w:val="30"/>
          <w:highlight w:val="none"/>
          <w:lang w:val="en-US" w:eastAsia="zh-CN" w:bidi="ar-SA"/>
        </w:rPr>
        <w:t>10.</w:t>
      </w:r>
      <w:bookmarkEnd w:id="707"/>
      <w:bookmarkEnd w:id="708"/>
      <w:bookmarkEnd w:id="709"/>
      <w:bookmarkStart w:id="713" w:name="_Toc185048010"/>
      <w:bookmarkStart w:id="714" w:name="_Toc337734571"/>
      <w:bookmarkStart w:id="715" w:name="_Toc355942153"/>
      <w:r>
        <w:rPr>
          <w:rFonts w:hint="eastAsia" w:ascii="Times New Roman" w:hAnsi="Times New Roman" w:eastAsia="宋体" w:cs="Times New Roman"/>
          <w:b/>
          <w:bCs/>
          <w:color w:val="auto"/>
          <w:kern w:val="2"/>
          <w:sz w:val="30"/>
          <w:szCs w:val="30"/>
          <w:highlight w:val="none"/>
          <w:lang w:val="en-US" w:eastAsia="zh-CN" w:bidi="ar-SA"/>
        </w:rPr>
        <w:t>10</w:t>
      </w:r>
      <w:r>
        <w:rPr>
          <w:rFonts w:hint="default" w:ascii="Times New Roman" w:hAnsi="Times New Roman" w:eastAsia="宋体" w:cs="Times New Roman"/>
          <w:b/>
          <w:bCs/>
          <w:color w:val="auto"/>
          <w:kern w:val="2"/>
          <w:sz w:val="30"/>
          <w:szCs w:val="30"/>
          <w:highlight w:val="none"/>
          <w:lang w:val="en-US" w:eastAsia="zh-CN" w:bidi="ar-SA"/>
        </w:rPr>
        <w:t>综合评价结论</w:t>
      </w:r>
      <w:bookmarkEnd w:id="710"/>
      <w:bookmarkEnd w:id="711"/>
      <w:bookmarkEnd w:id="712"/>
      <w:bookmarkEnd w:id="713"/>
      <w:bookmarkEnd w:id="714"/>
      <w:bookmarkEnd w:id="715"/>
    </w:p>
    <w:p w14:paraId="4B83DF66">
      <w:pPr>
        <w:ind w:firstLine="480"/>
        <w:rPr>
          <w:rFonts w:hint="default" w:ascii="Times New Roman" w:hAnsi="Times New Roman" w:eastAsia="宋体" w:cs="Times New Roman"/>
          <w:snapToGrid w:val="0"/>
          <w:color w:val="auto"/>
          <w:sz w:val="24"/>
          <w:szCs w:val="24"/>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ascii="Times New Roman" w:hAnsi="Times New Roman" w:eastAsia="宋体" w:cs="Times New Roman"/>
          <w:color w:val="auto"/>
          <w:sz w:val="24"/>
          <w:szCs w:val="24"/>
          <w:highlight w:val="none"/>
        </w:rPr>
        <w:t>本项目建设内容符合《产业结构调整指导目录（20</w:t>
      </w:r>
      <w:r>
        <w:rPr>
          <w:rFonts w:hint="default" w:ascii="Times New Roman" w:hAnsi="Times New Roman" w:eastAsia="宋体" w:cs="Times New Roman"/>
          <w:color w:val="auto"/>
          <w:sz w:val="24"/>
          <w:szCs w:val="24"/>
          <w:highlight w:val="none"/>
          <w:lang w:val="en-US" w:eastAsia="zh-CN"/>
        </w:rPr>
        <w:t>24</w:t>
      </w:r>
      <w:r>
        <w:rPr>
          <w:rFonts w:hint="default" w:ascii="Times New Roman" w:hAnsi="Times New Roman" w:eastAsia="宋体" w:cs="Times New Roman"/>
          <w:color w:val="auto"/>
          <w:sz w:val="24"/>
          <w:szCs w:val="24"/>
          <w:highlight w:val="none"/>
        </w:rPr>
        <w:t>年本）》</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本</w:t>
      </w:r>
      <w:r>
        <w:rPr>
          <w:rFonts w:hint="default" w:ascii="Times New Roman" w:hAnsi="Times New Roman" w:eastAsia="宋体" w:cs="Times New Roman"/>
          <w:snapToGrid w:val="0"/>
          <w:color w:val="auto"/>
          <w:sz w:val="24"/>
          <w:szCs w:val="24"/>
          <w:highlight w:val="none"/>
        </w:rPr>
        <w:t>项目运营期对周围环境的影响主要表现在对大气环境、地表水环境、地下水环境、声环境、固体废物影响，</w:t>
      </w:r>
      <w:r>
        <w:rPr>
          <w:rFonts w:hint="default" w:ascii="Times New Roman" w:hAnsi="Times New Roman" w:eastAsia="宋体" w:cs="Times New Roman"/>
          <w:color w:val="auto"/>
          <w:sz w:val="24"/>
          <w:szCs w:val="24"/>
          <w:highlight w:val="none"/>
        </w:rPr>
        <w:t>通过采取相应的环境污染防治措施后能够实现污染物达标排放，从而降低对周围环境及敏感目标的影响。经</w:t>
      </w:r>
      <w:r>
        <w:rPr>
          <w:rFonts w:hint="default" w:ascii="Times New Roman" w:hAnsi="Times New Roman" w:eastAsia="宋体" w:cs="Times New Roman"/>
          <w:color w:val="auto"/>
          <w:sz w:val="24"/>
          <w:szCs w:val="24"/>
          <w:highlight w:val="none"/>
          <w:lang w:val="en-US" w:eastAsia="zh-CN"/>
        </w:rPr>
        <w:t>过</w:t>
      </w:r>
      <w:r>
        <w:rPr>
          <w:rFonts w:hint="default" w:ascii="Times New Roman" w:hAnsi="Times New Roman" w:eastAsia="宋体" w:cs="Times New Roman"/>
          <w:color w:val="auto"/>
          <w:sz w:val="24"/>
          <w:szCs w:val="24"/>
          <w:highlight w:val="none"/>
        </w:rPr>
        <w:t>预测分析，本项目建设对外环境影响较小，总量控制指标能够落实</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综上所述，</w:t>
      </w:r>
      <w:r>
        <w:rPr>
          <w:rFonts w:hint="default" w:ascii="Times New Roman" w:hAnsi="Times New Roman" w:eastAsia="宋体" w:cs="Times New Roman"/>
          <w:color w:val="auto"/>
          <w:sz w:val="24"/>
          <w:szCs w:val="24"/>
          <w:highlight w:val="none"/>
          <w:lang w:eastAsia="zh-CN"/>
        </w:rPr>
        <w:t>项目</w:t>
      </w:r>
      <w:r>
        <w:rPr>
          <w:rFonts w:hint="eastAsia" w:ascii="Times New Roman" w:hAnsi="Times New Roman" w:eastAsia="宋体" w:cs="Times New Roman"/>
          <w:color w:val="auto"/>
          <w:sz w:val="24"/>
          <w:szCs w:val="24"/>
          <w:highlight w:val="none"/>
          <w:lang w:eastAsia="zh-CN"/>
        </w:rPr>
        <w:t>建设</w:t>
      </w:r>
      <w:r>
        <w:rPr>
          <w:rFonts w:hint="default" w:ascii="Times New Roman" w:hAnsi="Times New Roman" w:eastAsia="宋体" w:cs="Times New Roman"/>
          <w:snapToGrid w:val="0"/>
          <w:color w:val="auto"/>
          <w:sz w:val="24"/>
          <w:szCs w:val="24"/>
          <w:highlight w:val="none"/>
          <w:lang w:val="en-US" w:eastAsia="zh-CN"/>
        </w:rPr>
        <w:t>合理可行</w:t>
      </w:r>
      <w:r>
        <w:rPr>
          <w:rFonts w:hint="eastAsia" w:ascii="Times New Roman" w:hAnsi="Times New Roman" w:eastAsia="宋体" w:cs="Times New Roman"/>
          <w:snapToGrid w:val="0"/>
          <w:color w:val="auto"/>
          <w:sz w:val="24"/>
          <w:szCs w:val="24"/>
          <w:highlight w:val="none"/>
          <w:lang w:val="en-US" w:eastAsia="zh-CN"/>
        </w:rPr>
        <w:t>。</w:t>
      </w:r>
    </w:p>
    <w:p w14:paraId="7B593241">
      <w:pPr>
        <w:keepNext w:val="0"/>
        <w:keepLines w:val="0"/>
        <w:pageBreakBefore w:val="0"/>
        <w:widowControl w:val="0"/>
        <w:kinsoku/>
        <w:wordWrap/>
        <w:overflowPunct/>
        <w:topLinePunct w:val="0"/>
        <w:bidi w:val="0"/>
        <w:snapToGrid/>
        <w:spacing w:line="480" w:lineRule="exact"/>
        <w:jc w:val="center"/>
        <w:textAlignment w:val="auto"/>
        <w:outlineLvl w:val="9"/>
        <w:rPr>
          <w:rFonts w:hint="default" w:ascii="Times New Roman" w:hAnsi="Times New Roman" w:eastAsia="黑体" w:cs="Times New Roman"/>
          <w:color w:val="auto"/>
          <w:sz w:val="24"/>
          <w:szCs w:val="24"/>
          <w:highlight w:val="none"/>
        </w:rPr>
      </w:pPr>
      <w:r>
        <w:rPr>
          <w:rFonts w:hint="eastAsia" w:ascii="Times New Roman" w:hAnsi="Times New Roman" w:eastAsia="黑体" w:cs="Times New Roman"/>
          <w:color w:val="auto"/>
          <w:sz w:val="24"/>
          <w:szCs w:val="24"/>
          <w:highlight w:val="none"/>
          <w:lang w:val="en-US" w:eastAsia="zh-CN"/>
        </w:rPr>
        <w:t>附表1</w:t>
      </w:r>
      <w:r>
        <w:rPr>
          <w:rFonts w:hint="default" w:ascii="Times New Roman" w:hAnsi="Times New Roman" w:eastAsia="黑体" w:cs="Times New Roman"/>
          <w:color w:val="auto"/>
          <w:sz w:val="24"/>
          <w:szCs w:val="24"/>
          <w:highlight w:val="none"/>
          <w:lang w:val="en-US" w:eastAsia="zh-CN"/>
        </w:rPr>
        <w:t xml:space="preserve">  </w:t>
      </w:r>
      <w:r>
        <w:rPr>
          <w:rFonts w:hint="default" w:ascii="Times New Roman" w:hAnsi="Times New Roman" w:eastAsia="黑体" w:cs="Times New Roman"/>
          <w:color w:val="auto"/>
          <w:sz w:val="24"/>
          <w:szCs w:val="24"/>
          <w:highlight w:val="none"/>
        </w:rPr>
        <w:t>建设项目大气环境影响评价自查表</w:t>
      </w:r>
    </w:p>
    <w:tbl>
      <w:tblPr>
        <w:tblStyle w:val="3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1496"/>
        <w:gridCol w:w="1089"/>
        <w:gridCol w:w="425"/>
        <w:gridCol w:w="758"/>
        <w:gridCol w:w="256"/>
        <w:gridCol w:w="365"/>
        <w:gridCol w:w="149"/>
        <w:gridCol w:w="543"/>
        <w:gridCol w:w="83"/>
        <w:gridCol w:w="341"/>
        <w:gridCol w:w="1"/>
        <w:gridCol w:w="490"/>
        <w:gridCol w:w="1"/>
        <w:gridCol w:w="202"/>
        <w:gridCol w:w="231"/>
        <w:gridCol w:w="211"/>
        <w:gridCol w:w="936"/>
      </w:tblGrid>
      <w:tr w14:paraId="67DE4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41" w:type="dxa"/>
            <w:gridSpan w:val="2"/>
            <w:noWrap w:val="0"/>
            <w:vAlign w:val="center"/>
          </w:tcPr>
          <w:p w14:paraId="705E361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工作内容</w:t>
            </w:r>
          </w:p>
        </w:tc>
        <w:tc>
          <w:tcPr>
            <w:tcW w:w="6081" w:type="dxa"/>
            <w:gridSpan w:val="16"/>
            <w:noWrap w:val="0"/>
            <w:vAlign w:val="center"/>
          </w:tcPr>
          <w:p w14:paraId="2DC27ED7">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自查项目</w:t>
            </w:r>
          </w:p>
        </w:tc>
      </w:tr>
      <w:tr w14:paraId="002AE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5" w:type="dxa"/>
            <w:vMerge w:val="restart"/>
            <w:noWrap w:val="0"/>
            <w:vAlign w:val="center"/>
          </w:tcPr>
          <w:p w14:paraId="7AEFE69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评价等级与范围</w:t>
            </w:r>
          </w:p>
        </w:tc>
        <w:tc>
          <w:tcPr>
            <w:tcW w:w="1496" w:type="dxa"/>
            <w:noWrap w:val="0"/>
            <w:vAlign w:val="center"/>
          </w:tcPr>
          <w:p w14:paraId="31945E5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评价等级</w:t>
            </w:r>
          </w:p>
        </w:tc>
        <w:tc>
          <w:tcPr>
            <w:tcW w:w="2272" w:type="dxa"/>
            <w:gridSpan w:val="3"/>
            <w:noWrap w:val="0"/>
            <w:vAlign w:val="center"/>
          </w:tcPr>
          <w:p w14:paraId="22CB23E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一级</w:t>
            </w:r>
            <w:r>
              <w:rPr>
                <w:rFonts w:hint="default" w:ascii="Times New Roman" w:hAnsi="Times New Roman" w:eastAsia="宋体" w:cs="Times New Roman"/>
                <w:bCs/>
                <w:color w:val="auto"/>
                <w:kern w:val="0"/>
                <w:sz w:val="21"/>
                <w:szCs w:val="21"/>
                <w:highlight w:val="none"/>
              </w:rPr>
              <w:sym w:font="Wingdings 2" w:char="0052"/>
            </w:r>
          </w:p>
        </w:tc>
        <w:tc>
          <w:tcPr>
            <w:tcW w:w="1738" w:type="dxa"/>
            <w:gridSpan w:val="7"/>
            <w:noWrap w:val="0"/>
            <w:vAlign w:val="center"/>
          </w:tcPr>
          <w:p w14:paraId="121AE1CF">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二级</w:t>
            </w:r>
            <w:r>
              <w:rPr>
                <w:rFonts w:hint="default" w:ascii="Times New Roman" w:hAnsi="Times New Roman" w:eastAsia="宋体" w:cs="Times New Roman"/>
                <w:color w:val="auto"/>
                <w:kern w:val="0"/>
                <w:sz w:val="21"/>
                <w:szCs w:val="21"/>
                <w:highlight w:val="none"/>
              </w:rPr>
              <w:sym w:font="Wingdings 2" w:char="00A3"/>
            </w:r>
          </w:p>
        </w:tc>
        <w:tc>
          <w:tcPr>
            <w:tcW w:w="2071" w:type="dxa"/>
            <w:gridSpan w:val="6"/>
            <w:noWrap w:val="0"/>
            <w:vAlign w:val="center"/>
          </w:tcPr>
          <w:p w14:paraId="717A5DBC">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三级</w:t>
            </w:r>
            <w:r>
              <w:rPr>
                <w:rFonts w:hint="default" w:ascii="Times New Roman" w:hAnsi="Times New Roman" w:eastAsia="宋体" w:cs="Times New Roman"/>
                <w:bCs/>
                <w:color w:val="auto"/>
                <w:kern w:val="0"/>
                <w:sz w:val="21"/>
                <w:szCs w:val="21"/>
                <w:highlight w:val="none"/>
              </w:rPr>
              <w:t>□</w:t>
            </w:r>
          </w:p>
        </w:tc>
      </w:tr>
      <w:tr w14:paraId="70134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5" w:type="dxa"/>
            <w:vMerge w:val="continue"/>
            <w:noWrap w:val="0"/>
            <w:vAlign w:val="center"/>
          </w:tcPr>
          <w:p w14:paraId="0A62D0C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496" w:type="dxa"/>
            <w:noWrap w:val="0"/>
            <w:vAlign w:val="center"/>
          </w:tcPr>
          <w:p w14:paraId="4280FCD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评价范围</w:t>
            </w:r>
          </w:p>
        </w:tc>
        <w:tc>
          <w:tcPr>
            <w:tcW w:w="2272" w:type="dxa"/>
            <w:gridSpan w:val="3"/>
            <w:noWrap w:val="0"/>
            <w:vAlign w:val="center"/>
          </w:tcPr>
          <w:p w14:paraId="737ED93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边长=50km</w:t>
            </w:r>
            <w:r>
              <w:rPr>
                <w:rFonts w:hint="default" w:ascii="Times New Roman" w:hAnsi="Times New Roman" w:eastAsia="宋体" w:cs="Times New Roman"/>
                <w:color w:val="000000"/>
                <w:kern w:val="0"/>
                <w:sz w:val="21"/>
                <w:szCs w:val="21"/>
                <w:highlight w:val="none"/>
              </w:rPr>
              <w:sym w:font="Wingdings 2" w:char="00A3"/>
            </w:r>
          </w:p>
        </w:tc>
        <w:tc>
          <w:tcPr>
            <w:tcW w:w="1738" w:type="dxa"/>
            <w:gridSpan w:val="7"/>
            <w:noWrap w:val="0"/>
            <w:vAlign w:val="center"/>
          </w:tcPr>
          <w:p w14:paraId="1586960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边长5～50km</w:t>
            </w:r>
            <w:r>
              <w:rPr>
                <w:rFonts w:hint="default" w:ascii="Times New Roman" w:hAnsi="Times New Roman" w:eastAsia="宋体" w:cs="Times New Roman"/>
                <w:color w:val="000000"/>
                <w:kern w:val="0"/>
                <w:sz w:val="21"/>
                <w:szCs w:val="21"/>
                <w:highlight w:val="none"/>
              </w:rPr>
              <w:sym w:font="Wingdings 2" w:char="00A3"/>
            </w:r>
          </w:p>
        </w:tc>
        <w:tc>
          <w:tcPr>
            <w:tcW w:w="2071" w:type="dxa"/>
            <w:gridSpan w:val="6"/>
            <w:noWrap w:val="0"/>
            <w:vAlign w:val="center"/>
          </w:tcPr>
          <w:p w14:paraId="46FBAAC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边长=5km</w:t>
            </w:r>
            <w:r>
              <w:rPr>
                <w:rFonts w:hint="default" w:ascii="Times New Roman" w:hAnsi="Times New Roman" w:eastAsia="宋体" w:cs="Times New Roman"/>
                <w:color w:val="000000"/>
                <w:kern w:val="0"/>
                <w:sz w:val="21"/>
                <w:szCs w:val="21"/>
                <w:highlight w:val="none"/>
              </w:rPr>
              <w:sym w:font="Wingdings 2" w:char="0052"/>
            </w:r>
          </w:p>
        </w:tc>
      </w:tr>
      <w:tr w14:paraId="5FF4F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5" w:type="dxa"/>
            <w:vMerge w:val="restart"/>
            <w:noWrap w:val="0"/>
            <w:vAlign w:val="center"/>
          </w:tcPr>
          <w:p w14:paraId="425D5CD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评价因子</w:t>
            </w:r>
          </w:p>
        </w:tc>
        <w:tc>
          <w:tcPr>
            <w:tcW w:w="1496" w:type="dxa"/>
            <w:noWrap w:val="0"/>
            <w:vAlign w:val="center"/>
          </w:tcPr>
          <w:p w14:paraId="7FDA146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SO</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+NO</w:t>
            </w:r>
            <w:r>
              <w:rPr>
                <w:rFonts w:hint="default" w:ascii="Times New Roman" w:hAnsi="Times New Roman" w:eastAsia="宋体" w:cs="Times New Roman"/>
                <w:color w:val="auto"/>
                <w:sz w:val="21"/>
                <w:szCs w:val="21"/>
                <w:highlight w:val="none"/>
                <w:vertAlign w:val="subscript"/>
              </w:rPr>
              <w:t>X</w:t>
            </w:r>
          </w:p>
        </w:tc>
        <w:tc>
          <w:tcPr>
            <w:tcW w:w="2272" w:type="dxa"/>
            <w:gridSpan w:val="3"/>
            <w:noWrap w:val="0"/>
            <w:vAlign w:val="center"/>
          </w:tcPr>
          <w:p w14:paraId="2B425D20">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≥2000t/a</w:t>
            </w:r>
            <w:r>
              <w:rPr>
                <w:rFonts w:hint="default" w:ascii="Times New Roman" w:hAnsi="Times New Roman" w:eastAsia="宋体" w:cs="Times New Roman"/>
                <w:color w:val="auto"/>
                <w:kern w:val="0"/>
                <w:sz w:val="21"/>
                <w:szCs w:val="21"/>
                <w:highlight w:val="none"/>
              </w:rPr>
              <w:t>□</w:t>
            </w:r>
          </w:p>
        </w:tc>
        <w:tc>
          <w:tcPr>
            <w:tcW w:w="1738" w:type="dxa"/>
            <w:gridSpan w:val="7"/>
            <w:noWrap w:val="0"/>
            <w:vAlign w:val="center"/>
          </w:tcPr>
          <w:p w14:paraId="7614CBC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500</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200</w:t>
            </w:r>
            <w:r>
              <w:rPr>
                <w:rFonts w:hint="default" w:ascii="Times New Roman" w:hAnsi="Times New Roman" w:eastAsia="宋体" w:cs="Times New Roman"/>
                <w:color w:val="auto"/>
                <w:sz w:val="21"/>
                <w:szCs w:val="21"/>
                <w:highlight w:val="none"/>
                <w:lang w:val="en-US" w:eastAsia="zh-CN"/>
              </w:rPr>
              <w:t>0</w:t>
            </w:r>
            <w:r>
              <w:rPr>
                <w:rFonts w:hint="default" w:ascii="Times New Roman" w:hAnsi="Times New Roman" w:eastAsia="宋体" w:cs="Times New Roman"/>
                <w:color w:val="auto"/>
                <w:sz w:val="21"/>
                <w:szCs w:val="21"/>
                <w:highlight w:val="none"/>
              </w:rPr>
              <w:t>t/a</w:t>
            </w:r>
            <w:r>
              <w:rPr>
                <w:rFonts w:hint="default" w:ascii="Times New Roman" w:hAnsi="Times New Roman" w:eastAsia="宋体" w:cs="Times New Roman"/>
                <w:color w:val="auto"/>
                <w:kern w:val="0"/>
                <w:sz w:val="21"/>
                <w:szCs w:val="21"/>
                <w:highlight w:val="none"/>
              </w:rPr>
              <w:sym w:font="Wingdings 2" w:char="00A3"/>
            </w:r>
          </w:p>
        </w:tc>
        <w:tc>
          <w:tcPr>
            <w:tcW w:w="2071" w:type="dxa"/>
            <w:gridSpan w:val="6"/>
            <w:noWrap w:val="0"/>
            <w:vAlign w:val="center"/>
          </w:tcPr>
          <w:p w14:paraId="253EBD7E">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＜500t/a</w:t>
            </w:r>
            <w:r>
              <w:rPr>
                <w:rFonts w:hint="default" w:ascii="Times New Roman" w:hAnsi="Times New Roman" w:eastAsia="宋体" w:cs="Times New Roman"/>
                <w:color w:val="auto"/>
                <w:kern w:val="0"/>
                <w:sz w:val="21"/>
                <w:szCs w:val="21"/>
                <w:highlight w:val="none"/>
              </w:rPr>
              <w:sym w:font="Wingdings 2" w:char="0052"/>
            </w:r>
          </w:p>
        </w:tc>
      </w:tr>
      <w:tr w14:paraId="4D8FA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5" w:type="dxa"/>
            <w:vMerge w:val="continue"/>
            <w:noWrap w:val="0"/>
            <w:vAlign w:val="center"/>
          </w:tcPr>
          <w:p w14:paraId="7FCDE04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496" w:type="dxa"/>
            <w:noWrap w:val="0"/>
            <w:vAlign w:val="center"/>
          </w:tcPr>
          <w:p w14:paraId="218A80B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评价因子</w:t>
            </w:r>
          </w:p>
        </w:tc>
        <w:tc>
          <w:tcPr>
            <w:tcW w:w="3668" w:type="dxa"/>
            <w:gridSpan w:val="8"/>
            <w:noWrap w:val="0"/>
            <w:vAlign w:val="center"/>
          </w:tcPr>
          <w:p w14:paraId="244DE3B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基本污染物（PM</w:t>
            </w:r>
            <w:r>
              <w:rPr>
                <w:rFonts w:hint="default" w:ascii="Times New Roman" w:hAnsi="Times New Roman" w:eastAsia="宋体" w:cs="Times New Roman"/>
                <w:color w:val="auto"/>
                <w:sz w:val="21"/>
                <w:szCs w:val="21"/>
                <w:highlight w:val="none"/>
                <w:vertAlign w:val="subscript"/>
              </w:rPr>
              <w:t>10</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PM</w:t>
            </w:r>
            <w:r>
              <w:rPr>
                <w:rFonts w:hint="default" w:ascii="Times New Roman" w:hAnsi="Times New Roman" w:eastAsia="宋体" w:cs="Times New Roman"/>
                <w:color w:val="auto"/>
                <w:sz w:val="21"/>
                <w:szCs w:val="21"/>
                <w:highlight w:val="none"/>
                <w:vertAlign w:val="subscript"/>
                <w:lang w:val="en-US" w:eastAsia="zh-CN"/>
              </w:rPr>
              <w:t>2.5</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SO</w:t>
            </w:r>
            <w:r>
              <w:rPr>
                <w:rFonts w:hint="default" w:ascii="Times New Roman" w:hAnsi="Times New Roman" w:eastAsia="宋体" w:cs="Times New Roman"/>
                <w:color w:val="auto"/>
                <w:sz w:val="21"/>
                <w:szCs w:val="21"/>
                <w:highlight w:val="none"/>
                <w:vertAlign w:val="subscript"/>
                <w:lang w:val="en-US" w:eastAsia="zh-CN"/>
              </w:rPr>
              <w:t>2</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NO</w:t>
            </w:r>
            <w:r>
              <w:rPr>
                <w:rFonts w:hint="default" w:ascii="Times New Roman" w:hAnsi="Times New Roman" w:eastAsia="宋体" w:cs="Times New Roman"/>
                <w:color w:val="auto"/>
                <w:sz w:val="21"/>
                <w:szCs w:val="21"/>
                <w:highlight w:val="none"/>
                <w:vertAlign w:val="subscript"/>
                <w:lang w:val="en-US" w:eastAsia="zh-CN"/>
              </w:rPr>
              <w:t>2</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CO</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O</w:t>
            </w:r>
            <w:r>
              <w:rPr>
                <w:rFonts w:hint="default" w:ascii="Times New Roman" w:hAnsi="Times New Roman" w:eastAsia="宋体" w:cs="Times New Roman"/>
                <w:color w:val="auto"/>
                <w:sz w:val="21"/>
                <w:szCs w:val="21"/>
                <w:highlight w:val="none"/>
                <w:vertAlign w:val="subscript"/>
                <w:lang w:val="en-US" w:eastAsia="zh-CN"/>
              </w:rPr>
              <w:t>3</w:t>
            </w:r>
            <w:r>
              <w:rPr>
                <w:rFonts w:hint="default" w:ascii="Times New Roman" w:hAnsi="Times New Roman" w:eastAsia="宋体" w:cs="Times New Roman"/>
                <w:color w:val="auto"/>
                <w:sz w:val="21"/>
                <w:szCs w:val="21"/>
                <w:highlight w:val="none"/>
                <w:vertAlign w:val="subscript"/>
              </w:rPr>
              <w:t xml:space="preserve"> </w:t>
            </w:r>
            <w:r>
              <w:rPr>
                <w:rFonts w:hint="default" w:ascii="Times New Roman" w:hAnsi="Times New Roman" w:eastAsia="宋体" w:cs="Times New Roman"/>
                <w:color w:val="auto"/>
                <w:sz w:val="21"/>
                <w:szCs w:val="21"/>
                <w:highlight w:val="none"/>
              </w:rPr>
              <w:t>）其他污染物（</w:t>
            </w:r>
            <w:r>
              <w:rPr>
                <w:rFonts w:hint="eastAsia" w:ascii="Times New Roman" w:hAnsi="Calibri" w:eastAsia="仿宋_GB2312" w:cs="Times New Roman"/>
                <w:color w:val="auto"/>
                <w:sz w:val="21"/>
                <w:szCs w:val="21"/>
                <w:highlight w:val="none"/>
                <w:lang w:val="en-US" w:eastAsia="zh-CN"/>
              </w:rPr>
              <w:t>TS</w:t>
            </w:r>
            <w:r>
              <w:rPr>
                <w:rFonts w:hint="eastAsia" w:ascii="宋体" w:hAnsi="宋体" w:eastAsia="宋体" w:cs="宋体"/>
                <w:color w:val="auto"/>
                <w:sz w:val="21"/>
                <w:szCs w:val="21"/>
                <w:highlight w:val="none"/>
                <w:lang w:val="en-US" w:eastAsia="zh-CN"/>
              </w:rPr>
              <w:t>P、</w:t>
            </w:r>
            <w:r>
              <w:rPr>
                <w:rFonts w:hint="eastAsia" w:ascii="Calibri" w:hAnsi="宋体" w:eastAsia="宋体" w:cs="宋体"/>
                <w:color w:val="auto"/>
                <w:sz w:val="21"/>
                <w:szCs w:val="21"/>
                <w:highlight w:val="none"/>
                <w:lang w:val="en-US" w:eastAsia="zh-CN"/>
              </w:rPr>
              <w:t>氨、汞</w:t>
            </w:r>
            <w:r>
              <w:rPr>
                <w:rFonts w:hint="default" w:ascii="Times New Roman" w:hAnsi="Calibri" w:eastAsia="仿宋_GB2312" w:cs="Times New Roman"/>
                <w:color w:val="auto"/>
                <w:sz w:val="21"/>
                <w:szCs w:val="21"/>
                <w:highlight w:val="none"/>
                <w:lang w:val="en-US" w:eastAsia="zh-CN"/>
              </w:rPr>
              <w:t>）</w:t>
            </w:r>
          </w:p>
        </w:tc>
        <w:tc>
          <w:tcPr>
            <w:tcW w:w="2413" w:type="dxa"/>
            <w:gridSpan w:val="8"/>
            <w:noWrap w:val="0"/>
            <w:vAlign w:val="center"/>
          </w:tcPr>
          <w:p w14:paraId="016EEA9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rPr>
              <w:t>包括二次PM</w:t>
            </w:r>
            <w:r>
              <w:rPr>
                <w:rFonts w:hint="default" w:ascii="Times New Roman" w:hAnsi="Times New Roman" w:eastAsia="宋体" w:cs="Times New Roman"/>
                <w:color w:val="auto"/>
                <w:sz w:val="21"/>
                <w:szCs w:val="21"/>
                <w:highlight w:val="none"/>
                <w:vertAlign w:val="subscript"/>
              </w:rPr>
              <w:t>2.5</w:t>
            </w:r>
            <w:r>
              <w:rPr>
                <w:rFonts w:hint="default" w:ascii="Times New Roman" w:hAnsi="Times New Roman" w:eastAsia="宋体" w:cs="Times New Roman"/>
                <w:color w:val="auto"/>
                <w:kern w:val="0"/>
                <w:sz w:val="21"/>
                <w:szCs w:val="21"/>
                <w:highlight w:val="none"/>
              </w:rPr>
              <w:sym w:font="Wingdings 2" w:char="00A3"/>
            </w:r>
          </w:p>
          <w:p w14:paraId="1F44374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rPr>
              <w:t>不包括二次PM</w:t>
            </w:r>
            <w:r>
              <w:rPr>
                <w:rFonts w:hint="default" w:ascii="Times New Roman" w:hAnsi="Times New Roman" w:eastAsia="宋体" w:cs="Times New Roman"/>
                <w:color w:val="auto"/>
                <w:sz w:val="21"/>
                <w:szCs w:val="21"/>
                <w:highlight w:val="none"/>
                <w:vertAlign w:val="subscript"/>
              </w:rPr>
              <w:t>2.5</w:t>
            </w:r>
            <w:r>
              <w:rPr>
                <w:rFonts w:hint="default" w:ascii="Times New Roman" w:hAnsi="Times New Roman" w:eastAsia="宋体" w:cs="Times New Roman"/>
                <w:color w:val="auto"/>
                <w:kern w:val="0"/>
                <w:sz w:val="21"/>
                <w:szCs w:val="21"/>
                <w:highlight w:val="none"/>
              </w:rPr>
              <w:sym w:font="Wingdings 2" w:char="0052"/>
            </w:r>
          </w:p>
        </w:tc>
      </w:tr>
      <w:tr w14:paraId="69D81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5" w:type="dxa"/>
            <w:noWrap w:val="0"/>
            <w:vAlign w:val="center"/>
          </w:tcPr>
          <w:p w14:paraId="712D154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评价标准</w:t>
            </w:r>
          </w:p>
        </w:tc>
        <w:tc>
          <w:tcPr>
            <w:tcW w:w="1496" w:type="dxa"/>
            <w:noWrap w:val="0"/>
            <w:vAlign w:val="center"/>
          </w:tcPr>
          <w:p w14:paraId="65DD1E9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评价标准</w:t>
            </w:r>
          </w:p>
        </w:tc>
        <w:tc>
          <w:tcPr>
            <w:tcW w:w="2272" w:type="dxa"/>
            <w:gridSpan w:val="3"/>
            <w:noWrap w:val="0"/>
            <w:vAlign w:val="center"/>
          </w:tcPr>
          <w:p w14:paraId="3DF64BC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国家标准</w:t>
            </w:r>
            <w:r>
              <w:rPr>
                <w:rFonts w:hint="default" w:ascii="Times New Roman" w:hAnsi="Times New Roman" w:eastAsia="宋体" w:cs="Times New Roman"/>
                <w:color w:val="000000"/>
                <w:sz w:val="21"/>
                <w:szCs w:val="21"/>
                <w:highlight w:val="none"/>
              </w:rPr>
              <w:sym w:font="Wingdings 2" w:char="0052"/>
            </w:r>
          </w:p>
        </w:tc>
        <w:tc>
          <w:tcPr>
            <w:tcW w:w="1396" w:type="dxa"/>
            <w:gridSpan w:val="5"/>
            <w:noWrap w:val="0"/>
            <w:vAlign w:val="center"/>
          </w:tcPr>
          <w:p w14:paraId="0432630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地方标准□</w:t>
            </w:r>
          </w:p>
        </w:tc>
        <w:tc>
          <w:tcPr>
            <w:tcW w:w="1035" w:type="dxa"/>
            <w:gridSpan w:val="5"/>
            <w:noWrap w:val="0"/>
            <w:vAlign w:val="center"/>
          </w:tcPr>
          <w:p w14:paraId="741492A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附录D</w:t>
            </w:r>
            <w:r>
              <w:rPr>
                <w:rFonts w:hint="default" w:ascii="Times New Roman" w:hAnsi="Times New Roman" w:eastAsia="宋体" w:cs="Times New Roman"/>
                <w:color w:val="000000"/>
                <w:sz w:val="21"/>
                <w:szCs w:val="21"/>
                <w:highlight w:val="none"/>
              </w:rPr>
              <w:sym w:font="Wingdings 2" w:char="0052"/>
            </w:r>
          </w:p>
        </w:tc>
        <w:tc>
          <w:tcPr>
            <w:tcW w:w="1378" w:type="dxa"/>
            <w:gridSpan w:val="3"/>
            <w:noWrap w:val="0"/>
            <w:vAlign w:val="center"/>
          </w:tcPr>
          <w:p w14:paraId="28BE518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其他标准</w:t>
            </w:r>
            <w:r>
              <w:rPr>
                <w:rFonts w:hint="default" w:ascii="Times New Roman" w:hAnsi="Times New Roman" w:eastAsia="宋体" w:cs="Times New Roman"/>
                <w:color w:val="000000"/>
                <w:sz w:val="21"/>
                <w:szCs w:val="21"/>
                <w:highlight w:val="none"/>
              </w:rPr>
              <w:sym w:font="Wingdings 2" w:char="0052"/>
            </w:r>
          </w:p>
        </w:tc>
      </w:tr>
      <w:tr w14:paraId="59C38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5" w:type="dxa"/>
            <w:vMerge w:val="restart"/>
            <w:noWrap w:val="0"/>
            <w:vAlign w:val="center"/>
          </w:tcPr>
          <w:p w14:paraId="2985DFA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现状评价</w:t>
            </w:r>
          </w:p>
        </w:tc>
        <w:tc>
          <w:tcPr>
            <w:tcW w:w="1496" w:type="dxa"/>
            <w:noWrap w:val="0"/>
            <w:vAlign w:val="center"/>
          </w:tcPr>
          <w:p w14:paraId="5C755AF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环境功能区</w:t>
            </w:r>
          </w:p>
        </w:tc>
        <w:tc>
          <w:tcPr>
            <w:tcW w:w="2272" w:type="dxa"/>
            <w:gridSpan w:val="3"/>
            <w:noWrap w:val="0"/>
            <w:vAlign w:val="center"/>
          </w:tcPr>
          <w:p w14:paraId="54F7199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一类区</w:t>
            </w:r>
            <w:r>
              <w:rPr>
                <w:rFonts w:hint="default" w:ascii="Times New Roman" w:hAnsi="Times New Roman" w:eastAsia="宋体" w:cs="Times New Roman"/>
                <w:color w:val="000000"/>
                <w:sz w:val="21"/>
                <w:szCs w:val="21"/>
                <w:highlight w:val="none"/>
              </w:rPr>
              <w:sym w:font="Wingdings 2" w:char="00A3"/>
            </w:r>
          </w:p>
        </w:tc>
        <w:tc>
          <w:tcPr>
            <w:tcW w:w="1737" w:type="dxa"/>
            <w:gridSpan w:val="6"/>
            <w:noWrap w:val="0"/>
            <w:vAlign w:val="center"/>
          </w:tcPr>
          <w:p w14:paraId="6EAE01B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二类区</w:t>
            </w:r>
            <w:r>
              <w:rPr>
                <w:rFonts w:hint="default" w:ascii="Times New Roman" w:hAnsi="Times New Roman" w:eastAsia="宋体" w:cs="Times New Roman"/>
                <w:color w:val="000000"/>
                <w:sz w:val="21"/>
                <w:szCs w:val="21"/>
                <w:highlight w:val="none"/>
              </w:rPr>
              <w:sym w:font="Wingdings 2" w:char="0052"/>
            </w:r>
          </w:p>
        </w:tc>
        <w:tc>
          <w:tcPr>
            <w:tcW w:w="2072" w:type="dxa"/>
            <w:gridSpan w:val="7"/>
            <w:noWrap w:val="0"/>
            <w:vAlign w:val="center"/>
          </w:tcPr>
          <w:p w14:paraId="35FD2B2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一类区和二类区</w:t>
            </w:r>
            <w:r>
              <w:rPr>
                <w:rFonts w:hint="default" w:ascii="Times New Roman" w:hAnsi="Times New Roman" w:eastAsia="宋体" w:cs="Times New Roman"/>
                <w:color w:val="000000"/>
                <w:sz w:val="21"/>
                <w:szCs w:val="21"/>
                <w:highlight w:val="none"/>
              </w:rPr>
              <w:sym w:font="Wingdings 2" w:char="00A3"/>
            </w:r>
          </w:p>
        </w:tc>
      </w:tr>
      <w:tr w14:paraId="7444E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5" w:type="dxa"/>
            <w:vMerge w:val="continue"/>
            <w:noWrap w:val="0"/>
            <w:vAlign w:val="center"/>
          </w:tcPr>
          <w:p w14:paraId="39412C9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496" w:type="dxa"/>
            <w:noWrap w:val="0"/>
            <w:vAlign w:val="center"/>
          </w:tcPr>
          <w:p w14:paraId="5669A21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评价基准年</w:t>
            </w:r>
          </w:p>
        </w:tc>
        <w:tc>
          <w:tcPr>
            <w:tcW w:w="6081" w:type="dxa"/>
            <w:gridSpan w:val="16"/>
            <w:noWrap w:val="0"/>
            <w:vAlign w:val="center"/>
          </w:tcPr>
          <w:p w14:paraId="6881EC4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（20</w:t>
            </w:r>
            <w:r>
              <w:rPr>
                <w:rFonts w:hint="eastAsia" w:ascii="Times New Roman" w:hAnsi="Calibri" w:eastAsia="宋体" w:cs="Times New Roman"/>
                <w:color w:val="000000"/>
                <w:sz w:val="21"/>
                <w:szCs w:val="21"/>
                <w:highlight w:val="none"/>
                <w:lang w:val="en-US" w:eastAsia="zh-CN"/>
              </w:rPr>
              <w:t>25</w:t>
            </w:r>
            <w:r>
              <w:rPr>
                <w:rFonts w:hint="default" w:ascii="Times New Roman" w:hAnsi="Times New Roman" w:eastAsia="宋体" w:cs="Times New Roman"/>
                <w:color w:val="000000"/>
                <w:sz w:val="21"/>
                <w:szCs w:val="21"/>
                <w:highlight w:val="none"/>
              </w:rPr>
              <w:t>）年</w:t>
            </w:r>
          </w:p>
        </w:tc>
      </w:tr>
      <w:tr w14:paraId="02244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5" w:type="dxa"/>
            <w:vMerge w:val="continue"/>
            <w:noWrap w:val="0"/>
            <w:vAlign w:val="center"/>
          </w:tcPr>
          <w:p w14:paraId="172F433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496" w:type="dxa"/>
            <w:noWrap w:val="0"/>
            <w:vAlign w:val="center"/>
          </w:tcPr>
          <w:p w14:paraId="4869E9D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环境空气质量现状调查数据来源</w:t>
            </w:r>
          </w:p>
        </w:tc>
        <w:tc>
          <w:tcPr>
            <w:tcW w:w="2272" w:type="dxa"/>
            <w:gridSpan w:val="3"/>
            <w:noWrap w:val="0"/>
            <w:vAlign w:val="center"/>
          </w:tcPr>
          <w:p w14:paraId="42C4C78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长期例行监测数据</w:t>
            </w:r>
            <w:r>
              <w:rPr>
                <w:rFonts w:hint="default" w:ascii="Times New Roman" w:hAnsi="Times New Roman" w:eastAsia="宋体" w:cs="Times New Roman"/>
                <w:color w:val="000000"/>
                <w:sz w:val="21"/>
                <w:szCs w:val="21"/>
                <w:highlight w:val="none"/>
              </w:rPr>
              <w:sym w:font="Wingdings 2" w:char="00A3"/>
            </w:r>
          </w:p>
        </w:tc>
        <w:tc>
          <w:tcPr>
            <w:tcW w:w="2229" w:type="dxa"/>
            <w:gridSpan w:val="9"/>
            <w:noWrap w:val="0"/>
            <w:vAlign w:val="center"/>
          </w:tcPr>
          <w:p w14:paraId="658B08D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主管部门发布的数据</w:t>
            </w:r>
            <w:r>
              <w:rPr>
                <w:rFonts w:hint="default" w:ascii="Times New Roman" w:hAnsi="Times New Roman" w:eastAsia="宋体" w:cs="Times New Roman"/>
                <w:color w:val="000000"/>
                <w:sz w:val="21"/>
                <w:szCs w:val="21"/>
                <w:highlight w:val="none"/>
              </w:rPr>
              <w:sym w:font="Wingdings 2" w:char="0052"/>
            </w:r>
          </w:p>
        </w:tc>
        <w:tc>
          <w:tcPr>
            <w:tcW w:w="1580" w:type="dxa"/>
            <w:gridSpan w:val="4"/>
            <w:noWrap w:val="0"/>
            <w:vAlign w:val="center"/>
          </w:tcPr>
          <w:p w14:paraId="2EB42AF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现状补充监测</w:t>
            </w:r>
            <w:r>
              <w:rPr>
                <w:rFonts w:hint="default" w:ascii="Times New Roman" w:hAnsi="Times New Roman" w:eastAsia="宋体" w:cs="Times New Roman"/>
                <w:color w:val="000000"/>
                <w:sz w:val="21"/>
                <w:szCs w:val="21"/>
                <w:highlight w:val="none"/>
              </w:rPr>
              <w:sym w:font="Wingdings 2" w:char="0052"/>
            </w:r>
          </w:p>
        </w:tc>
      </w:tr>
      <w:tr w14:paraId="1BFF6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5" w:type="dxa"/>
            <w:vMerge w:val="continue"/>
            <w:noWrap w:val="0"/>
            <w:vAlign w:val="center"/>
          </w:tcPr>
          <w:p w14:paraId="72D3864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496" w:type="dxa"/>
            <w:noWrap w:val="0"/>
            <w:vAlign w:val="center"/>
          </w:tcPr>
          <w:p w14:paraId="2E100F3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现状评价</w:t>
            </w:r>
          </w:p>
        </w:tc>
        <w:tc>
          <w:tcPr>
            <w:tcW w:w="3668" w:type="dxa"/>
            <w:gridSpan w:val="8"/>
            <w:noWrap w:val="0"/>
            <w:vAlign w:val="center"/>
          </w:tcPr>
          <w:p w14:paraId="03185DA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达标区</w:t>
            </w:r>
            <w:r>
              <w:rPr>
                <w:rFonts w:hint="default" w:ascii="Times New Roman" w:hAnsi="Times New Roman" w:eastAsia="宋体" w:cs="Times New Roman"/>
                <w:color w:val="000000"/>
                <w:sz w:val="21"/>
                <w:szCs w:val="21"/>
                <w:highlight w:val="none"/>
              </w:rPr>
              <w:sym w:font="Wingdings 2" w:char="0052"/>
            </w:r>
          </w:p>
        </w:tc>
        <w:tc>
          <w:tcPr>
            <w:tcW w:w="2413" w:type="dxa"/>
            <w:gridSpan w:val="8"/>
            <w:noWrap w:val="0"/>
            <w:vAlign w:val="center"/>
          </w:tcPr>
          <w:p w14:paraId="3210D29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不达标区</w:t>
            </w:r>
            <w:r>
              <w:rPr>
                <w:rFonts w:hint="default" w:ascii="Times New Roman" w:hAnsi="Times New Roman" w:eastAsia="宋体" w:cs="Times New Roman"/>
                <w:color w:val="000000"/>
                <w:sz w:val="21"/>
                <w:szCs w:val="21"/>
                <w:highlight w:val="none"/>
              </w:rPr>
              <w:sym w:font="Wingdings 2" w:char="00A3"/>
            </w:r>
          </w:p>
        </w:tc>
      </w:tr>
      <w:tr w14:paraId="6F48A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5" w:type="dxa"/>
            <w:noWrap w:val="0"/>
            <w:vAlign w:val="center"/>
          </w:tcPr>
          <w:p w14:paraId="2F094F4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污染源</w:t>
            </w:r>
          </w:p>
          <w:p w14:paraId="74AB900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调查</w:t>
            </w:r>
          </w:p>
        </w:tc>
        <w:tc>
          <w:tcPr>
            <w:tcW w:w="1496" w:type="dxa"/>
            <w:noWrap w:val="0"/>
            <w:vAlign w:val="center"/>
          </w:tcPr>
          <w:p w14:paraId="161D155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调查内容</w:t>
            </w:r>
          </w:p>
        </w:tc>
        <w:tc>
          <w:tcPr>
            <w:tcW w:w="2272" w:type="dxa"/>
            <w:gridSpan w:val="3"/>
            <w:noWrap w:val="0"/>
            <w:vAlign w:val="center"/>
          </w:tcPr>
          <w:p w14:paraId="2D34916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本项目正常排放源</w:t>
            </w:r>
            <w:r>
              <w:rPr>
                <w:rFonts w:hint="default" w:ascii="Times New Roman" w:hAnsi="Times New Roman" w:eastAsia="宋体" w:cs="Times New Roman"/>
                <w:color w:val="000000"/>
                <w:sz w:val="21"/>
                <w:szCs w:val="21"/>
                <w:highlight w:val="none"/>
              </w:rPr>
              <w:sym w:font="Wingdings 2" w:char="0052"/>
            </w:r>
          </w:p>
          <w:p w14:paraId="3511BF4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本项目非正常排放源</w:t>
            </w:r>
            <w:r>
              <w:rPr>
                <w:rFonts w:hint="default" w:ascii="Times New Roman" w:hAnsi="Times New Roman" w:eastAsia="宋体" w:cs="Times New Roman"/>
                <w:color w:val="000000"/>
                <w:sz w:val="21"/>
                <w:szCs w:val="21"/>
                <w:highlight w:val="none"/>
              </w:rPr>
              <w:sym w:font="Wingdings 2" w:char="0052"/>
            </w:r>
          </w:p>
          <w:p w14:paraId="4044BCF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现有污染源</w:t>
            </w:r>
            <w:r>
              <w:rPr>
                <w:rFonts w:hint="default" w:ascii="Times New Roman" w:hAnsi="Times New Roman" w:eastAsia="宋体" w:cs="Times New Roman"/>
                <w:color w:val="000000"/>
                <w:sz w:val="21"/>
                <w:szCs w:val="21"/>
                <w:highlight w:val="none"/>
              </w:rPr>
              <w:sym w:font="Wingdings 2" w:char="0052"/>
            </w:r>
          </w:p>
        </w:tc>
        <w:tc>
          <w:tcPr>
            <w:tcW w:w="1396" w:type="dxa"/>
            <w:gridSpan w:val="5"/>
            <w:noWrap w:val="0"/>
            <w:vAlign w:val="center"/>
          </w:tcPr>
          <w:p w14:paraId="54EE65E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拟替代的污染源</w:t>
            </w:r>
            <w:r>
              <w:rPr>
                <w:rFonts w:hint="default" w:ascii="Times New Roman" w:hAnsi="Times New Roman" w:eastAsia="宋体" w:cs="Times New Roman"/>
                <w:color w:val="000000"/>
                <w:sz w:val="21"/>
                <w:szCs w:val="21"/>
                <w:highlight w:val="none"/>
              </w:rPr>
              <w:sym w:font="Wingdings 2" w:char="0052"/>
            </w:r>
          </w:p>
        </w:tc>
        <w:tc>
          <w:tcPr>
            <w:tcW w:w="1035" w:type="dxa"/>
            <w:gridSpan w:val="5"/>
            <w:noWrap w:val="0"/>
            <w:vAlign w:val="center"/>
          </w:tcPr>
          <w:p w14:paraId="34106F6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其他在建、拟建项目污染源</w:t>
            </w:r>
            <w:r>
              <w:rPr>
                <w:rFonts w:hint="default" w:ascii="Times New Roman" w:hAnsi="Times New Roman" w:eastAsia="宋体" w:cs="Times New Roman"/>
                <w:color w:val="000000"/>
                <w:sz w:val="21"/>
                <w:szCs w:val="21"/>
                <w:highlight w:val="none"/>
              </w:rPr>
              <w:sym w:font="Wingdings 2" w:char="0052"/>
            </w:r>
          </w:p>
        </w:tc>
        <w:tc>
          <w:tcPr>
            <w:tcW w:w="1378" w:type="dxa"/>
            <w:gridSpan w:val="3"/>
            <w:noWrap w:val="0"/>
            <w:vAlign w:val="center"/>
          </w:tcPr>
          <w:p w14:paraId="7E2F2DA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区域污染源</w:t>
            </w:r>
            <w:r>
              <w:rPr>
                <w:rFonts w:hint="default" w:ascii="Times New Roman" w:hAnsi="Times New Roman" w:eastAsia="宋体" w:cs="Times New Roman"/>
                <w:color w:val="000000"/>
                <w:sz w:val="21"/>
                <w:szCs w:val="21"/>
                <w:highlight w:val="none"/>
              </w:rPr>
              <w:sym w:font="Wingdings 2" w:char="0052"/>
            </w:r>
          </w:p>
        </w:tc>
      </w:tr>
      <w:tr w14:paraId="4FE45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5" w:type="dxa"/>
            <w:vMerge w:val="restart"/>
            <w:noWrap w:val="0"/>
            <w:vAlign w:val="center"/>
          </w:tcPr>
          <w:p w14:paraId="3A50312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大气环境影响预测与评价</w:t>
            </w:r>
          </w:p>
        </w:tc>
        <w:tc>
          <w:tcPr>
            <w:tcW w:w="1496" w:type="dxa"/>
            <w:noWrap w:val="0"/>
            <w:vAlign w:val="center"/>
          </w:tcPr>
          <w:p w14:paraId="76B80B7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预测模型</w:t>
            </w:r>
          </w:p>
        </w:tc>
        <w:tc>
          <w:tcPr>
            <w:tcW w:w="1089" w:type="dxa"/>
            <w:noWrap w:val="0"/>
            <w:vAlign w:val="center"/>
          </w:tcPr>
          <w:p w14:paraId="4CEE40F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AERMOD</w:t>
            </w:r>
            <w:r>
              <w:rPr>
                <w:rFonts w:hint="default" w:ascii="Times New Roman" w:hAnsi="Times New Roman" w:eastAsia="宋体" w:cs="Times New Roman"/>
                <w:color w:val="000000"/>
                <w:sz w:val="21"/>
                <w:szCs w:val="21"/>
                <w:highlight w:val="none"/>
              </w:rPr>
              <w:sym w:font="Wingdings 2" w:char="0052"/>
            </w:r>
          </w:p>
        </w:tc>
        <w:tc>
          <w:tcPr>
            <w:tcW w:w="1183" w:type="dxa"/>
            <w:gridSpan w:val="2"/>
            <w:noWrap w:val="0"/>
            <w:vAlign w:val="center"/>
          </w:tcPr>
          <w:p w14:paraId="080D3E3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ADMS□</w:t>
            </w:r>
          </w:p>
        </w:tc>
        <w:tc>
          <w:tcPr>
            <w:tcW w:w="621" w:type="dxa"/>
            <w:gridSpan w:val="2"/>
            <w:noWrap w:val="0"/>
            <w:vAlign w:val="center"/>
          </w:tcPr>
          <w:p w14:paraId="552253C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AUSTAL2000□</w:t>
            </w:r>
          </w:p>
        </w:tc>
        <w:tc>
          <w:tcPr>
            <w:tcW w:w="775" w:type="dxa"/>
            <w:gridSpan w:val="3"/>
            <w:noWrap w:val="0"/>
            <w:vAlign w:val="center"/>
          </w:tcPr>
          <w:p w14:paraId="3CA3863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EDMS/AEDT□</w:t>
            </w:r>
          </w:p>
        </w:tc>
        <w:tc>
          <w:tcPr>
            <w:tcW w:w="832" w:type="dxa"/>
            <w:gridSpan w:val="3"/>
            <w:noWrap w:val="0"/>
            <w:vAlign w:val="center"/>
          </w:tcPr>
          <w:p w14:paraId="13DD058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CALPUFF□</w:t>
            </w:r>
          </w:p>
        </w:tc>
        <w:tc>
          <w:tcPr>
            <w:tcW w:w="645" w:type="dxa"/>
            <w:gridSpan w:val="4"/>
            <w:noWrap w:val="0"/>
            <w:vAlign w:val="center"/>
          </w:tcPr>
          <w:p w14:paraId="19CDE52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网络</w:t>
            </w:r>
          </w:p>
          <w:p w14:paraId="7AFE996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模型</w:t>
            </w:r>
          </w:p>
          <w:p w14:paraId="1FB5642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w:t>
            </w:r>
          </w:p>
        </w:tc>
        <w:tc>
          <w:tcPr>
            <w:tcW w:w="936" w:type="dxa"/>
            <w:noWrap w:val="0"/>
            <w:vAlign w:val="center"/>
          </w:tcPr>
          <w:p w14:paraId="5BE377E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其他</w:t>
            </w:r>
          </w:p>
          <w:p w14:paraId="54E3A1D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w:t>
            </w:r>
          </w:p>
        </w:tc>
      </w:tr>
      <w:tr w14:paraId="0C6C4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5" w:type="dxa"/>
            <w:vMerge w:val="continue"/>
            <w:noWrap w:val="0"/>
            <w:vAlign w:val="center"/>
          </w:tcPr>
          <w:p w14:paraId="0D10DB9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496" w:type="dxa"/>
            <w:noWrap w:val="0"/>
            <w:vAlign w:val="center"/>
          </w:tcPr>
          <w:p w14:paraId="6F304ED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预测范围</w:t>
            </w:r>
          </w:p>
        </w:tc>
        <w:tc>
          <w:tcPr>
            <w:tcW w:w="2272" w:type="dxa"/>
            <w:gridSpan w:val="3"/>
            <w:noWrap w:val="0"/>
            <w:vAlign w:val="center"/>
          </w:tcPr>
          <w:p w14:paraId="2A91D06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边长≥50km□</w:t>
            </w:r>
          </w:p>
        </w:tc>
        <w:tc>
          <w:tcPr>
            <w:tcW w:w="1737" w:type="dxa"/>
            <w:gridSpan w:val="6"/>
            <w:noWrap w:val="0"/>
            <w:vAlign w:val="center"/>
          </w:tcPr>
          <w:p w14:paraId="6BE03EB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边长5～50km</w:t>
            </w:r>
            <w:r>
              <w:rPr>
                <w:rFonts w:hint="default" w:ascii="Times New Roman" w:hAnsi="Times New Roman" w:eastAsia="宋体" w:cs="Times New Roman"/>
                <w:color w:val="auto"/>
                <w:sz w:val="21"/>
                <w:szCs w:val="21"/>
                <w:highlight w:val="none"/>
              </w:rPr>
              <w:sym w:font="Wingdings 2" w:char="00A3"/>
            </w:r>
          </w:p>
        </w:tc>
        <w:tc>
          <w:tcPr>
            <w:tcW w:w="2072" w:type="dxa"/>
            <w:gridSpan w:val="7"/>
            <w:noWrap w:val="0"/>
            <w:vAlign w:val="center"/>
          </w:tcPr>
          <w:p w14:paraId="56F6E9A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边长=5km</w:t>
            </w:r>
            <w:r>
              <w:rPr>
                <w:rFonts w:hint="default" w:ascii="Times New Roman" w:hAnsi="Times New Roman" w:eastAsia="宋体" w:cs="Times New Roman"/>
                <w:color w:val="auto"/>
                <w:sz w:val="21"/>
                <w:szCs w:val="21"/>
                <w:highlight w:val="none"/>
              </w:rPr>
              <w:sym w:font="Wingdings 2" w:char="0052"/>
            </w:r>
          </w:p>
        </w:tc>
      </w:tr>
      <w:tr w14:paraId="2514C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5" w:type="dxa"/>
            <w:vMerge w:val="continue"/>
            <w:noWrap w:val="0"/>
            <w:vAlign w:val="center"/>
          </w:tcPr>
          <w:p w14:paraId="67563A7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496" w:type="dxa"/>
            <w:noWrap w:val="0"/>
            <w:vAlign w:val="center"/>
          </w:tcPr>
          <w:p w14:paraId="1E6085D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预测因子</w:t>
            </w:r>
          </w:p>
        </w:tc>
        <w:tc>
          <w:tcPr>
            <w:tcW w:w="3585" w:type="dxa"/>
            <w:gridSpan w:val="7"/>
            <w:noWrap w:val="0"/>
            <w:vAlign w:val="center"/>
          </w:tcPr>
          <w:p w14:paraId="0D7DD9A1">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预测因子（PM</w:t>
            </w:r>
            <w:r>
              <w:rPr>
                <w:rFonts w:hint="default" w:ascii="Times New Roman" w:hAnsi="Times New Roman" w:eastAsia="宋体" w:cs="Times New Roman"/>
                <w:color w:val="auto"/>
                <w:sz w:val="21"/>
                <w:szCs w:val="21"/>
                <w:highlight w:val="none"/>
                <w:vertAlign w:val="subscript"/>
              </w:rPr>
              <w:t>10</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PM</w:t>
            </w:r>
            <w:r>
              <w:rPr>
                <w:rFonts w:hint="default" w:ascii="Times New Roman" w:hAnsi="Times New Roman" w:eastAsia="宋体" w:cs="Times New Roman"/>
                <w:color w:val="auto"/>
                <w:sz w:val="21"/>
                <w:szCs w:val="21"/>
                <w:highlight w:val="none"/>
                <w:vertAlign w:val="subscript"/>
                <w:lang w:val="en-US" w:eastAsia="zh-CN"/>
              </w:rPr>
              <w:t>2.5</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SO</w:t>
            </w:r>
            <w:r>
              <w:rPr>
                <w:rFonts w:hint="default" w:ascii="Times New Roman" w:hAnsi="Times New Roman" w:eastAsia="宋体" w:cs="Times New Roman"/>
                <w:color w:val="auto"/>
                <w:sz w:val="21"/>
                <w:szCs w:val="21"/>
                <w:highlight w:val="none"/>
                <w:vertAlign w:val="subscript"/>
                <w:lang w:val="en-US" w:eastAsia="zh-CN"/>
              </w:rPr>
              <w:t>2</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NO</w:t>
            </w:r>
            <w:r>
              <w:rPr>
                <w:rFonts w:hint="default" w:ascii="Times New Roman" w:hAnsi="Times New Roman" w:eastAsia="宋体" w:cs="Times New Roman"/>
                <w:color w:val="auto"/>
                <w:sz w:val="21"/>
                <w:szCs w:val="21"/>
                <w:highlight w:val="none"/>
                <w:vertAlign w:val="subscript"/>
                <w:lang w:val="en-US" w:eastAsia="zh-CN"/>
              </w:rPr>
              <w:t>2</w:t>
            </w:r>
            <w:r>
              <w:rPr>
                <w:rFonts w:hint="default" w:ascii="Times New Roman" w:hAnsi="Times New Roman" w:eastAsia="宋体" w:cs="Times New Roman"/>
                <w:color w:val="auto"/>
                <w:sz w:val="21"/>
                <w:szCs w:val="21"/>
                <w:highlight w:val="none"/>
                <w:lang w:eastAsia="zh-CN"/>
              </w:rPr>
              <w:t>、</w:t>
            </w:r>
            <w:r>
              <w:rPr>
                <w:rFonts w:hint="eastAsia" w:ascii="Times New Roman" w:hAnsi="Calibri" w:eastAsia="仿宋_GB2312" w:cs="Times New Roman"/>
                <w:color w:val="auto"/>
                <w:sz w:val="21"/>
                <w:szCs w:val="21"/>
                <w:highlight w:val="none"/>
                <w:lang w:val="en-US" w:eastAsia="zh-CN"/>
              </w:rPr>
              <w:t>TS</w:t>
            </w:r>
            <w:r>
              <w:rPr>
                <w:rFonts w:hint="eastAsia" w:ascii="宋体" w:hAnsi="宋体" w:eastAsia="宋体" w:cs="宋体"/>
                <w:color w:val="auto"/>
                <w:sz w:val="21"/>
                <w:szCs w:val="21"/>
                <w:highlight w:val="none"/>
                <w:lang w:val="en-US" w:eastAsia="zh-CN"/>
              </w:rPr>
              <w:t>P、</w:t>
            </w:r>
            <w:r>
              <w:rPr>
                <w:rFonts w:hint="eastAsia" w:ascii="Calibri" w:hAnsi="宋体" w:eastAsia="宋体" w:cs="宋体"/>
                <w:color w:val="auto"/>
                <w:sz w:val="21"/>
                <w:szCs w:val="21"/>
                <w:highlight w:val="none"/>
                <w:lang w:val="en-US" w:eastAsia="zh-CN"/>
              </w:rPr>
              <w:t>氨、汞</w:t>
            </w:r>
            <w:r>
              <w:rPr>
                <w:rFonts w:hint="default" w:ascii="Times New Roman" w:hAnsi="Times New Roman" w:eastAsia="宋体" w:cs="Times New Roman"/>
                <w:color w:val="auto"/>
                <w:sz w:val="21"/>
                <w:szCs w:val="21"/>
                <w:highlight w:val="none"/>
              </w:rPr>
              <w:t>）</w:t>
            </w:r>
          </w:p>
        </w:tc>
        <w:tc>
          <w:tcPr>
            <w:tcW w:w="2496" w:type="dxa"/>
            <w:gridSpan w:val="9"/>
            <w:noWrap w:val="0"/>
            <w:vAlign w:val="center"/>
          </w:tcPr>
          <w:p w14:paraId="0A0D7C2B">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rPr>
              <w:t>包括二次PM</w:t>
            </w:r>
            <w:r>
              <w:rPr>
                <w:rFonts w:hint="default" w:ascii="Times New Roman" w:hAnsi="Times New Roman" w:eastAsia="宋体" w:cs="Times New Roman"/>
                <w:color w:val="auto"/>
                <w:sz w:val="21"/>
                <w:szCs w:val="21"/>
                <w:highlight w:val="none"/>
                <w:vertAlign w:val="subscript"/>
              </w:rPr>
              <w:t>2.5</w:t>
            </w:r>
            <w:r>
              <w:rPr>
                <w:rFonts w:hint="default" w:ascii="Times New Roman" w:hAnsi="Times New Roman" w:eastAsia="宋体" w:cs="Times New Roman"/>
                <w:color w:val="auto"/>
                <w:kern w:val="0"/>
                <w:sz w:val="21"/>
                <w:szCs w:val="21"/>
                <w:highlight w:val="none"/>
              </w:rPr>
              <w:sym w:font="Wingdings 2" w:char="00A3"/>
            </w:r>
          </w:p>
          <w:p w14:paraId="280C15A0">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不包括二次PM</w:t>
            </w:r>
            <w:r>
              <w:rPr>
                <w:rFonts w:hint="default" w:ascii="Times New Roman" w:hAnsi="Times New Roman" w:eastAsia="宋体" w:cs="Times New Roman"/>
                <w:color w:val="auto"/>
                <w:sz w:val="21"/>
                <w:szCs w:val="21"/>
                <w:highlight w:val="none"/>
                <w:vertAlign w:val="subscript"/>
              </w:rPr>
              <w:t>2.5</w:t>
            </w:r>
            <w:r>
              <w:rPr>
                <w:rFonts w:hint="default" w:ascii="Times New Roman" w:hAnsi="Times New Roman" w:eastAsia="宋体" w:cs="Times New Roman"/>
                <w:color w:val="auto"/>
                <w:kern w:val="0"/>
                <w:sz w:val="21"/>
                <w:szCs w:val="21"/>
                <w:highlight w:val="none"/>
              </w:rPr>
              <w:sym w:font="Wingdings 2" w:char="0052"/>
            </w:r>
          </w:p>
        </w:tc>
      </w:tr>
      <w:tr w14:paraId="08F9D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5" w:type="dxa"/>
            <w:vMerge w:val="continue"/>
            <w:noWrap w:val="0"/>
            <w:vAlign w:val="center"/>
          </w:tcPr>
          <w:p w14:paraId="0710AA1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496" w:type="dxa"/>
            <w:noWrap w:val="0"/>
            <w:vAlign w:val="center"/>
          </w:tcPr>
          <w:p w14:paraId="3E59B27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正常排放短期浓度贡献值</w:t>
            </w:r>
          </w:p>
        </w:tc>
        <w:tc>
          <w:tcPr>
            <w:tcW w:w="3585" w:type="dxa"/>
            <w:gridSpan w:val="7"/>
            <w:noWrap w:val="0"/>
            <w:vAlign w:val="center"/>
          </w:tcPr>
          <w:p w14:paraId="0C8556EF">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w:t>
            </w:r>
            <w:r>
              <w:rPr>
                <w:rFonts w:hint="default" w:ascii="Times New Roman" w:hAnsi="Times New Roman" w:eastAsia="宋体" w:cs="Times New Roman"/>
                <w:color w:val="auto"/>
                <w:sz w:val="21"/>
                <w:szCs w:val="21"/>
                <w:highlight w:val="none"/>
                <w:vertAlign w:val="subscript"/>
              </w:rPr>
              <w:t>本项目</w:t>
            </w:r>
            <w:r>
              <w:rPr>
                <w:rFonts w:hint="default" w:ascii="Times New Roman" w:hAnsi="Times New Roman" w:eastAsia="宋体" w:cs="Times New Roman"/>
                <w:color w:val="auto"/>
                <w:sz w:val="21"/>
                <w:szCs w:val="21"/>
                <w:highlight w:val="none"/>
              </w:rPr>
              <w:t>最大占标率≤100%</w:t>
            </w:r>
            <w:r>
              <w:rPr>
                <w:rFonts w:hint="default" w:ascii="Times New Roman" w:hAnsi="Times New Roman" w:eastAsia="宋体" w:cs="Times New Roman"/>
                <w:color w:val="auto"/>
                <w:kern w:val="0"/>
                <w:sz w:val="21"/>
                <w:szCs w:val="21"/>
                <w:highlight w:val="none"/>
              </w:rPr>
              <w:sym w:font="Wingdings 2" w:char="0052"/>
            </w:r>
          </w:p>
        </w:tc>
        <w:tc>
          <w:tcPr>
            <w:tcW w:w="2496" w:type="dxa"/>
            <w:gridSpan w:val="9"/>
            <w:noWrap w:val="0"/>
            <w:vAlign w:val="center"/>
          </w:tcPr>
          <w:p w14:paraId="32E4194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w:t>
            </w:r>
            <w:r>
              <w:rPr>
                <w:rFonts w:hint="default" w:ascii="Times New Roman" w:hAnsi="Times New Roman" w:eastAsia="宋体" w:cs="Times New Roman"/>
                <w:color w:val="auto"/>
                <w:sz w:val="21"/>
                <w:szCs w:val="21"/>
                <w:highlight w:val="none"/>
                <w:vertAlign w:val="subscript"/>
              </w:rPr>
              <w:t>本项目</w:t>
            </w:r>
            <w:r>
              <w:rPr>
                <w:rFonts w:hint="default" w:ascii="Times New Roman" w:hAnsi="Times New Roman" w:eastAsia="宋体" w:cs="Times New Roman"/>
                <w:color w:val="auto"/>
                <w:sz w:val="21"/>
                <w:szCs w:val="21"/>
                <w:highlight w:val="none"/>
              </w:rPr>
              <w:t>最大占标率＞100%</w:t>
            </w:r>
            <w:r>
              <w:rPr>
                <w:rFonts w:hint="default" w:ascii="Times New Roman" w:hAnsi="Times New Roman" w:eastAsia="宋体" w:cs="Times New Roman"/>
                <w:color w:val="auto"/>
                <w:kern w:val="0"/>
                <w:sz w:val="21"/>
                <w:szCs w:val="21"/>
                <w:highlight w:val="none"/>
              </w:rPr>
              <w:t>□</w:t>
            </w:r>
          </w:p>
        </w:tc>
      </w:tr>
      <w:tr w14:paraId="3E408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5" w:type="dxa"/>
            <w:vMerge w:val="continue"/>
            <w:noWrap w:val="0"/>
            <w:vAlign w:val="center"/>
          </w:tcPr>
          <w:p w14:paraId="3FB1B84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496" w:type="dxa"/>
            <w:vMerge w:val="restart"/>
            <w:noWrap w:val="0"/>
            <w:vAlign w:val="center"/>
          </w:tcPr>
          <w:p w14:paraId="2AF607E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正常排放年均浓度贡献值</w:t>
            </w:r>
          </w:p>
        </w:tc>
        <w:tc>
          <w:tcPr>
            <w:tcW w:w="1089" w:type="dxa"/>
            <w:noWrap w:val="0"/>
            <w:vAlign w:val="center"/>
          </w:tcPr>
          <w:p w14:paraId="51C6C8B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一类区</w:t>
            </w:r>
          </w:p>
        </w:tc>
        <w:tc>
          <w:tcPr>
            <w:tcW w:w="2496" w:type="dxa"/>
            <w:gridSpan w:val="6"/>
            <w:noWrap w:val="0"/>
            <w:vAlign w:val="center"/>
          </w:tcPr>
          <w:p w14:paraId="4CD2EC6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w:t>
            </w:r>
            <w:r>
              <w:rPr>
                <w:rFonts w:hint="default" w:ascii="Times New Roman" w:hAnsi="Times New Roman" w:eastAsia="宋体" w:cs="Times New Roman"/>
                <w:color w:val="auto"/>
                <w:sz w:val="21"/>
                <w:szCs w:val="21"/>
                <w:highlight w:val="none"/>
                <w:vertAlign w:val="subscript"/>
              </w:rPr>
              <w:t>本项目</w:t>
            </w:r>
            <w:r>
              <w:rPr>
                <w:rFonts w:hint="default" w:ascii="Times New Roman" w:hAnsi="Times New Roman" w:eastAsia="宋体" w:cs="Times New Roman"/>
                <w:color w:val="auto"/>
                <w:sz w:val="21"/>
                <w:szCs w:val="21"/>
                <w:highlight w:val="none"/>
              </w:rPr>
              <w:t>最大占标率≤10%</w:t>
            </w:r>
            <w:r>
              <w:rPr>
                <w:rFonts w:hint="default" w:ascii="Times New Roman" w:hAnsi="Times New Roman" w:eastAsia="宋体" w:cs="Times New Roman"/>
                <w:color w:val="auto"/>
                <w:kern w:val="0"/>
                <w:sz w:val="21"/>
                <w:szCs w:val="21"/>
                <w:highlight w:val="none"/>
              </w:rPr>
              <w:sym w:font="Wingdings 2" w:char="00A3"/>
            </w:r>
          </w:p>
        </w:tc>
        <w:tc>
          <w:tcPr>
            <w:tcW w:w="2496" w:type="dxa"/>
            <w:gridSpan w:val="9"/>
            <w:noWrap w:val="0"/>
            <w:vAlign w:val="center"/>
          </w:tcPr>
          <w:p w14:paraId="315ABF4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w:t>
            </w:r>
            <w:r>
              <w:rPr>
                <w:rFonts w:hint="default" w:ascii="Times New Roman" w:hAnsi="Times New Roman" w:eastAsia="宋体" w:cs="Times New Roman"/>
                <w:color w:val="auto"/>
                <w:sz w:val="21"/>
                <w:szCs w:val="21"/>
                <w:highlight w:val="none"/>
                <w:vertAlign w:val="subscript"/>
              </w:rPr>
              <w:t>本项目</w:t>
            </w:r>
            <w:r>
              <w:rPr>
                <w:rFonts w:hint="default" w:ascii="Times New Roman" w:hAnsi="Times New Roman" w:eastAsia="宋体" w:cs="Times New Roman"/>
                <w:color w:val="auto"/>
                <w:sz w:val="21"/>
                <w:szCs w:val="21"/>
                <w:highlight w:val="none"/>
              </w:rPr>
              <w:t>最大占标率＞10%</w:t>
            </w:r>
            <w:r>
              <w:rPr>
                <w:rFonts w:hint="default" w:ascii="Times New Roman" w:hAnsi="Times New Roman" w:eastAsia="宋体" w:cs="Times New Roman"/>
                <w:color w:val="auto"/>
                <w:kern w:val="0"/>
                <w:sz w:val="21"/>
                <w:szCs w:val="21"/>
                <w:highlight w:val="none"/>
              </w:rPr>
              <w:t>□</w:t>
            </w:r>
          </w:p>
        </w:tc>
      </w:tr>
      <w:tr w14:paraId="35355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5" w:type="dxa"/>
            <w:vMerge w:val="continue"/>
            <w:noWrap w:val="0"/>
            <w:vAlign w:val="center"/>
          </w:tcPr>
          <w:p w14:paraId="24B3042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496" w:type="dxa"/>
            <w:vMerge w:val="continue"/>
            <w:noWrap w:val="0"/>
            <w:vAlign w:val="center"/>
          </w:tcPr>
          <w:p w14:paraId="6CB99B6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089" w:type="dxa"/>
            <w:noWrap w:val="0"/>
            <w:vAlign w:val="center"/>
          </w:tcPr>
          <w:p w14:paraId="18CED16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二类区</w:t>
            </w:r>
          </w:p>
        </w:tc>
        <w:tc>
          <w:tcPr>
            <w:tcW w:w="2496" w:type="dxa"/>
            <w:gridSpan w:val="6"/>
            <w:noWrap w:val="0"/>
            <w:vAlign w:val="center"/>
          </w:tcPr>
          <w:p w14:paraId="5FCF408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w:t>
            </w:r>
            <w:r>
              <w:rPr>
                <w:rFonts w:hint="default" w:ascii="Times New Roman" w:hAnsi="Times New Roman" w:eastAsia="宋体" w:cs="Times New Roman"/>
                <w:color w:val="auto"/>
                <w:sz w:val="21"/>
                <w:szCs w:val="21"/>
                <w:highlight w:val="none"/>
                <w:vertAlign w:val="subscript"/>
              </w:rPr>
              <w:t>本项目</w:t>
            </w:r>
            <w:r>
              <w:rPr>
                <w:rFonts w:hint="default" w:ascii="Times New Roman" w:hAnsi="Times New Roman" w:eastAsia="宋体" w:cs="Times New Roman"/>
                <w:color w:val="auto"/>
                <w:sz w:val="21"/>
                <w:szCs w:val="21"/>
                <w:highlight w:val="none"/>
              </w:rPr>
              <w:t>最大占标率≤30%</w:t>
            </w:r>
            <w:r>
              <w:rPr>
                <w:rFonts w:hint="default" w:ascii="Times New Roman" w:hAnsi="Times New Roman" w:eastAsia="宋体" w:cs="Times New Roman"/>
                <w:color w:val="auto"/>
                <w:kern w:val="0"/>
                <w:sz w:val="21"/>
                <w:szCs w:val="21"/>
                <w:highlight w:val="none"/>
              </w:rPr>
              <w:sym w:font="Wingdings 2" w:char="0052"/>
            </w:r>
          </w:p>
        </w:tc>
        <w:tc>
          <w:tcPr>
            <w:tcW w:w="2496" w:type="dxa"/>
            <w:gridSpan w:val="9"/>
            <w:noWrap w:val="0"/>
            <w:vAlign w:val="center"/>
          </w:tcPr>
          <w:p w14:paraId="2AD1FC7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w:t>
            </w:r>
            <w:r>
              <w:rPr>
                <w:rFonts w:hint="default" w:ascii="Times New Roman" w:hAnsi="Times New Roman" w:eastAsia="宋体" w:cs="Times New Roman"/>
                <w:color w:val="auto"/>
                <w:sz w:val="21"/>
                <w:szCs w:val="21"/>
                <w:highlight w:val="none"/>
                <w:vertAlign w:val="subscript"/>
              </w:rPr>
              <w:t>本项目</w:t>
            </w:r>
            <w:r>
              <w:rPr>
                <w:rFonts w:hint="default" w:ascii="Times New Roman" w:hAnsi="Times New Roman" w:eastAsia="宋体" w:cs="Times New Roman"/>
                <w:color w:val="auto"/>
                <w:sz w:val="21"/>
                <w:szCs w:val="21"/>
                <w:highlight w:val="none"/>
              </w:rPr>
              <w:t>最大占标率＞30%</w:t>
            </w:r>
            <w:r>
              <w:rPr>
                <w:rFonts w:hint="default" w:ascii="Times New Roman" w:hAnsi="Times New Roman" w:eastAsia="宋体" w:cs="Times New Roman"/>
                <w:color w:val="auto"/>
                <w:kern w:val="0"/>
                <w:sz w:val="21"/>
                <w:szCs w:val="21"/>
                <w:highlight w:val="none"/>
              </w:rPr>
              <w:t>□</w:t>
            </w:r>
          </w:p>
        </w:tc>
      </w:tr>
      <w:tr w14:paraId="62F4D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5" w:type="dxa"/>
            <w:vMerge w:val="continue"/>
            <w:noWrap w:val="0"/>
            <w:vAlign w:val="center"/>
          </w:tcPr>
          <w:p w14:paraId="5718981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496" w:type="dxa"/>
            <w:noWrap w:val="0"/>
            <w:vAlign w:val="center"/>
          </w:tcPr>
          <w:p w14:paraId="7E58336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非正常排放1h浓度贡献值</w:t>
            </w:r>
          </w:p>
        </w:tc>
        <w:tc>
          <w:tcPr>
            <w:tcW w:w="2272" w:type="dxa"/>
            <w:gridSpan w:val="3"/>
            <w:noWrap w:val="0"/>
            <w:vAlign w:val="center"/>
          </w:tcPr>
          <w:p w14:paraId="7EB3C61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非正常持续时长（</w:t>
            </w:r>
            <w:r>
              <w:rPr>
                <w:rFonts w:hint="eastAsia" w:ascii="Times New Roman" w:hAnsi="Times New Roman" w:eastAsia="宋体" w:cs="Times New Roman"/>
                <w:color w:val="000000"/>
                <w:sz w:val="21"/>
                <w:szCs w:val="21"/>
                <w:highlight w:val="none"/>
                <w:lang w:val="en-US" w:eastAsia="zh-CN"/>
              </w:rPr>
              <w:t>1</w:t>
            </w:r>
            <w:r>
              <w:rPr>
                <w:rFonts w:hint="default" w:ascii="Times New Roman" w:hAnsi="Times New Roman" w:eastAsia="宋体" w:cs="Times New Roman"/>
                <w:color w:val="000000"/>
                <w:sz w:val="21"/>
                <w:szCs w:val="21"/>
                <w:highlight w:val="none"/>
              </w:rPr>
              <w:t>）h</w:t>
            </w:r>
          </w:p>
        </w:tc>
        <w:tc>
          <w:tcPr>
            <w:tcW w:w="1738" w:type="dxa"/>
            <w:gridSpan w:val="7"/>
            <w:noWrap w:val="0"/>
            <w:vAlign w:val="center"/>
          </w:tcPr>
          <w:p w14:paraId="37B640B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C</w:t>
            </w:r>
            <w:r>
              <w:rPr>
                <w:rFonts w:hint="default" w:ascii="Times New Roman" w:hAnsi="Times New Roman" w:eastAsia="宋体" w:cs="Times New Roman"/>
                <w:color w:val="000000"/>
                <w:sz w:val="21"/>
                <w:szCs w:val="21"/>
                <w:highlight w:val="none"/>
                <w:vertAlign w:val="subscript"/>
              </w:rPr>
              <w:t>本项目</w:t>
            </w:r>
            <w:r>
              <w:rPr>
                <w:rFonts w:hint="default" w:ascii="Times New Roman" w:hAnsi="Times New Roman" w:eastAsia="宋体" w:cs="Times New Roman"/>
                <w:color w:val="000000"/>
                <w:sz w:val="21"/>
                <w:szCs w:val="21"/>
                <w:highlight w:val="none"/>
              </w:rPr>
              <w:t>最大占标率≤100%</w:t>
            </w:r>
            <w:r>
              <w:rPr>
                <w:rFonts w:hint="default" w:ascii="Times New Roman" w:hAnsi="Times New Roman" w:eastAsia="宋体" w:cs="Times New Roman"/>
                <w:color w:val="000000"/>
                <w:kern w:val="0"/>
                <w:sz w:val="21"/>
                <w:szCs w:val="21"/>
                <w:highlight w:val="none"/>
              </w:rPr>
              <w:sym w:font="Wingdings 2" w:char="0052"/>
            </w:r>
          </w:p>
        </w:tc>
        <w:tc>
          <w:tcPr>
            <w:tcW w:w="2071" w:type="dxa"/>
            <w:gridSpan w:val="6"/>
            <w:noWrap w:val="0"/>
            <w:vAlign w:val="center"/>
          </w:tcPr>
          <w:p w14:paraId="658EF3E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C</w:t>
            </w:r>
            <w:r>
              <w:rPr>
                <w:rFonts w:hint="default" w:ascii="Times New Roman" w:hAnsi="Times New Roman" w:eastAsia="宋体" w:cs="Times New Roman"/>
                <w:color w:val="000000"/>
                <w:sz w:val="21"/>
                <w:szCs w:val="21"/>
                <w:highlight w:val="none"/>
                <w:vertAlign w:val="subscript"/>
              </w:rPr>
              <w:t>本项目</w:t>
            </w:r>
            <w:r>
              <w:rPr>
                <w:rFonts w:hint="default" w:ascii="Times New Roman" w:hAnsi="Times New Roman" w:eastAsia="宋体" w:cs="Times New Roman"/>
                <w:color w:val="000000"/>
                <w:sz w:val="21"/>
                <w:szCs w:val="21"/>
                <w:highlight w:val="none"/>
              </w:rPr>
              <w:t>最大占标率＞100%</w:t>
            </w:r>
            <w:r>
              <w:rPr>
                <w:rFonts w:hint="default" w:ascii="Times New Roman" w:hAnsi="Times New Roman" w:eastAsia="宋体" w:cs="Times New Roman"/>
                <w:color w:val="000000"/>
                <w:kern w:val="0"/>
                <w:sz w:val="21"/>
                <w:szCs w:val="21"/>
                <w:highlight w:val="none"/>
              </w:rPr>
              <w:t>□</w:t>
            </w:r>
          </w:p>
        </w:tc>
      </w:tr>
      <w:tr w14:paraId="71F35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5" w:type="dxa"/>
            <w:vMerge w:val="continue"/>
            <w:noWrap w:val="0"/>
            <w:vAlign w:val="center"/>
          </w:tcPr>
          <w:p w14:paraId="27621C9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496" w:type="dxa"/>
            <w:noWrap w:val="0"/>
            <w:vAlign w:val="center"/>
          </w:tcPr>
          <w:p w14:paraId="48FFBFA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保证率日平均浓度和年平均浓度叠加值</w:t>
            </w:r>
          </w:p>
        </w:tc>
        <w:tc>
          <w:tcPr>
            <w:tcW w:w="3042" w:type="dxa"/>
            <w:gridSpan w:val="6"/>
            <w:noWrap w:val="0"/>
            <w:vAlign w:val="center"/>
          </w:tcPr>
          <w:p w14:paraId="3E76D828">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C</w:t>
            </w:r>
            <w:r>
              <w:rPr>
                <w:rFonts w:hint="default" w:ascii="Times New Roman" w:hAnsi="Times New Roman" w:eastAsia="宋体" w:cs="Times New Roman"/>
                <w:color w:val="000000"/>
                <w:sz w:val="21"/>
                <w:szCs w:val="21"/>
                <w:highlight w:val="none"/>
                <w:vertAlign w:val="subscript"/>
              </w:rPr>
              <w:t>叠加</w:t>
            </w:r>
            <w:r>
              <w:rPr>
                <w:rFonts w:hint="default" w:ascii="Times New Roman" w:hAnsi="Times New Roman" w:eastAsia="宋体" w:cs="Times New Roman"/>
                <w:color w:val="000000"/>
                <w:sz w:val="21"/>
                <w:szCs w:val="21"/>
                <w:highlight w:val="none"/>
              </w:rPr>
              <w:t>达标</w:t>
            </w:r>
            <w:r>
              <w:rPr>
                <w:rFonts w:hint="default" w:ascii="Times New Roman" w:hAnsi="Times New Roman" w:eastAsia="宋体" w:cs="Times New Roman"/>
                <w:color w:val="000000"/>
                <w:kern w:val="0"/>
                <w:sz w:val="21"/>
                <w:szCs w:val="21"/>
                <w:highlight w:val="none"/>
              </w:rPr>
              <w:sym w:font="Wingdings 2" w:char="0052"/>
            </w:r>
          </w:p>
        </w:tc>
        <w:tc>
          <w:tcPr>
            <w:tcW w:w="3039" w:type="dxa"/>
            <w:gridSpan w:val="10"/>
            <w:noWrap w:val="0"/>
            <w:vAlign w:val="center"/>
          </w:tcPr>
          <w:p w14:paraId="4920152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C</w:t>
            </w:r>
            <w:r>
              <w:rPr>
                <w:rFonts w:hint="default" w:ascii="Times New Roman" w:hAnsi="Times New Roman" w:eastAsia="宋体" w:cs="Times New Roman"/>
                <w:color w:val="000000"/>
                <w:sz w:val="21"/>
                <w:szCs w:val="21"/>
                <w:highlight w:val="none"/>
                <w:vertAlign w:val="subscript"/>
              </w:rPr>
              <w:t>叠加</w:t>
            </w:r>
            <w:r>
              <w:rPr>
                <w:rFonts w:hint="default" w:ascii="Times New Roman" w:hAnsi="Times New Roman" w:eastAsia="宋体" w:cs="Times New Roman"/>
                <w:color w:val="000000"/>
                <w:sz w:val="21"/>
                <w:szCs w:val="21"/>
                <w:highlight w:val="none"/>
              </w:rPr>
              <w:t>不达标</w:t>
            </w:r>
            <w:r>
              <w:rPr>
                <w:rFonts w:hint="default" w:ascii="Times New Roman" w:hAnsi="Times New Roman" w:eastAsia="宋体" w:cs="Times New Roman"/>
                <w:color w:val="000000"/>
                <w:kern w:val="0"/>
                <w:sz w:val="21"/>
                <w:szCs w:val="21"/>
                <w:highlight w:val="none"/>
              </w:rPr>
              <w:t>□</w:t>
            </w:r>
          </w:p>
        </w:tc>
      </w:tr>
      <w:tr w14:paraId="5F580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5" w:type="dxa"/>
            <w:vMerge w:val="continue"/>
            <w:noWrap w:val="0"/>
            <w:vAlign w:val="center"/>
          </w:tcPr>
          <w:p w14:paraId="5E826F8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496" w:type="dxa"/>
            <w:noWrap w:val="0"/>
            <w:vAlign w:val="center"/>
          </w:tcPr>
          <w:p w14:paraId="34664D7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区域环境质量的整体变化情况</w:t>
            </w:r>
          </w:p>
        </w:tc>
        <w:tc>
          <w:tcPr>
            <w:tcW w:w="3042" w:type="dxa"/>
            <w:gridSpan w:val="6"/>
            <w:noWrap w:val="0"/>
            <w:vAlign w:val="center"/>
          </w:tcPr>
          <w:p w14:paraId="104427FF">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k≤-20%</w:t>
            </w:r>
            <w:r>
              <w:rPr>
                <w:rFonts w:hint="default" w:ascii="Times New Roman" w:hAnsi="Times New Roman" w:eastAsia="宋体" w:cs="Times New Roman"/>
                <w:color w:val="000000"/>
                <w:kern w:val="0"/>
                <w:sz w:val="21"/>
                <w:szCs w:val="21"/>
                <w:highlight w:val="none"/>
              </w:rPr>
              <w:sym w:font="Wingdings 2" w:char="0052"/>
            </w:r>
          </w:p>
        </w:tc>
        <w:tc>
          <w:tcPr>
            <w:tcW w:w="3039" w:type="dxa"/>
            <w:gridSpan w:val="10"/>
            <w:noWrap w:val="0"/>
            <w:vAlign w:val="center"/>
          </w:tcPr>
          <w:p w14:paraId="5E479CB7">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k</w:t>
            </w:r>
            <w:r>
              <w:rPr>
                <w:rFonts w:hint="eastAsia" w:ascii="Times New Roman" w:hAnsi="Times New Roman" w:eastAsia="宋体" w:cs="Times New Roman"/>
                <w:color w:val="000000"/>
                <w:sz w:val="21"/>
                <w:szCs w:val="21"/>
                <w:highlight w:val="none"/>
                <w:lang w:eastAsia="zh-CN"/>
              </w:rPr>
              <w:t>&gt;</w:t>
            </w:r>
            <w:r>
              <w:rPr>
                <w:rFonts w:hint="default" w:ascii="Times New Roman" w:hAnsi="Times New Roman" w:eastAsia="宋体" w:cs="Times New Roman"/>
                <w:color w:val="000000"/>
                <w:sz w:val="21"/>
                <w:szCs w:val="21"/>
                <w:highlight w:val="none"/>
              </w:rPr>
              <w:t>-20%</w:t>
            </w:r>
            <w:r>
              <w:rPr>
                <w:rFonts w:hint="default" w:ascii="Times New Roman" w:hAnsi="Times New Roman" w:eastAsia="宋体" w:cs="Times New Roman"/>
                <w:color w:val="000000"/>
                <w:kern w:val="0"/>
                <w:sz w:val="21"/>
                <w:szCs w:val="21"/>
                <w:highlight w:val="none"/>
              </w:rPr>
              <w:t>□</w:t>
            </w:r>
          </w:p>
        </w:tc>
      </w:tr>
      <w:tr w14:paraId="33898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5" w:type="dxa"/>
            <w:vMerge w:val="restart"/>
            <w:noWrap w:val="0"/>
            <w:vAlign w:val="center"/>
          </w:tcPr>
          <w:p w14:paraId="5F7F85D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环境监测计划</w:t>
            </w:r>
          </w:p>
        </w:tc>
        <w:tc>
          <w:tcPr>
            <w:tcW w:w="1496" w:type="dxa"/>
            <w:noWrap w:val="0"/>
            <w:vAlign w:val="center"/>
          </w:tcPr>
          <w:p w14:paraId="202B889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污染源监测</w:t>
            </w:r>
          </w:p>
        </w:tc>
        <w:tc>
          <w:tcPr>
            <w:tcW w:w="2528" w:type="dxa"/>
            <w:gridSpan w:val="4"/>
            <w:noWrap w:val="0"/>
            <w:vAlign w:val="center"/>
          </w:tcPr>
          <w:p w14:paraId="5845F0D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监测因子：</w:t>
            </w:r>
          </w:p>
          <w:p w14:paraId="0061F06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（PM</w:t>
            </w:r>
            <w:r>
              <w:rPr>
                <w:rFonts w:hint="default" w:ascii="Times New Roman" w:hAnsi="Times New Roman" w:eastAsia="宋体" w:cs="Times New Roman"/>
                <w:color w:val="auto"/>
                <w:sz w:val="21"/>
                <w:szCs w:val="21"/>
                <w:highlight w:val="none"/>
                <w:vertAlign w:val="subscript"/>
              </w:rPr>
              <w:t>10</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PM</w:t>
            </w:r>
            <w:r>
              <w:rPr>
                <w:rFonts w:hint="default" w:ascii="Times New Roman" w:hAnsi="Times New Roman" w:eastAsia="宋体" w:cs="Times New Roman"/>
                <w:color w:val="auto"/>
                <w:sz w:val="21"/>
                <w:szCs w:val="21"/>
                <w:highlight w:val="none"/>
                <w:vertAlign w:val="subscript"/>
                <w:lang w:val="en-US" w:eastAsia="zh-CN"/>
              </w:rPr>
              <w:t>2.5</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SO</w:t>
            </w:r>
            <w:r>
              <w:rPr>
                <w:rFonts w:hint="default" w:ascii="Times New Roman" w:hAnsi="Times New Roman" w:eastAsia="宋体" w:cs="Times New Roman"/>
                <w:color w:val="auto"/>
                <w:sz w:val="21"/>
                <w:szCs w:val="21"/>
                <w:highlight w:val="none"/>
                <w:vertAlign w:val="subscript"/>
                <w:lang w:val="en-US" w:eastAsia="zh-CN"/>
              </w:rPr>
              <w:t>2</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NO</w:t>
            </w:r>
            <w:r>
              <w:rPr>
                <w:rFonts w:hint="default" w:ascii="Times New Roman" w:hAnsi="Times New Roman" w:eastAsia="宋体" w:cs="Times New Roman"/>
                <w:color w:val="auto"/>
                <w:sz w:val="21"/>
                <w:szCs w:val="21"/>
                <w:highlight w:val="none"/>
                <w:vertAlign w:val="subscript"/>
                <w:lang w:val="en-US" w:eastAsia="zh-CN"/>
              </w:rPr>
              <w:t>2</w:t>
            </w:r>
            <w:r>
              <w:rPr>
                <w:rFonts w:hint="default" w:ascii="Times New Roman" w:hAnsi="Times New Roman" w:eastAsia="宋体" w:cs="Times New Roman"/>
                <w:color w:val="auto"/>
                <w:sz w:val="21"/>
                <w:szCs w:val="21"/>
                <w:highlight w:val="none"/>
                <w:lang w:eastAsia="zh-CN"/>
              </w:rPr>
              <w:t>、</w:t>
            </w:r>
            <w:r>
              <w:rPr>
                <w:rFonts w:hint="eastAsia" w:ascii="Times New Roman" w:hAnsi="Calibri" w:eastAsia="仿宋_GB2312" w:cs="Times New Roman"/>
                <w:color w:val="auto"/>
                <w:sz w:val="21"/>
                <w:szCs w:val="21"/>
                <w:highlight w:val="none"/>
                <w:lang w:val="en-US" w:eastAsia="zh-CN"/>
              </w:rPr>
              <w:t>TS</w:t>
            </w:r>
            <w:r>
              <w:rPr>
                <w:rFonts w:hint="eastAsia" w:ascii="宋体" w:hAnsi="宋体" w:eastAsia="宋体" w:cs="宋体"/>
                <w:color w:val="auto"/>
                <w:sz w:val="21"/>
                <w:szCs w:val="21"/>
                <w:highlight w:val="none"/>
                <w:lang w:val="en-US" w:eastAsia="zh-CN"/>
              </w:rPr>
              <w:t>P、</w:t>
            </w:r>
            <w:r>
              <w:rPr>
                <w:rFonts w:hint="eastAsia" w:ascii="Calibri" w:hAnsi="宋体" w:eastAsia="宋体" w:cs="宋体"/>
                <w:color w:val="auto"/>
                <w:sz w:val="21"/>
                <w:szCs w:val="21"/>
                <w:highlight w:val="none"/>
                <w:lang w:val="en-US" w:eastAsia="zh-CN"/>
              </w:rPr>
              <w:t>氨、汞及其化合物</w:t>
            </w:r>
            <w:r>
              <w:rPr>
                <w:rFonts w:hint="default" w:ascii="Times New Roman" w:hAnsi="Times New Roman" w:eastAsia="宋体" w:cs="Times New Roman"/>
                <w:color w:val="auto"/>
                <w:sz w:val="21"/>
                <w:szCs w:val="21"/>
                <w:highlight w:val="none"/>
              </w:rPr>
              <w:t>）</w:t>
            </w:r>
          </w:p>
        </w:tc>
        <w:tc>
          <w:tcPr>
            <w:tcW w:w="2406" w:type="dxa"/>
            <w:gridSpan w:val="10"/>
            <w:noWrap w:val="0"/>
            <w:vAlign w:val="center"/>
          </w:tcPr>
          <w:p w14:paraId="5CD2B6D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rPr>
              <w:t>有组织废气监测</w:t>
            </w:r>
            <w:r>
              <w:rPr>
                <w:rFonts w:hint="default" w:ascii="Times New Roman" w:hAnsi="Times New Roman" w:eastAsia="宋体" w:cs="Times New Roman"/>
                <w:color w:val="auto"/>
                <w:kern w:val="0"/>
                <w:sz w:val="21"/>
                <w:szCs w:val="21"/>
                <w:highlight w:val="none"/>
              </w:rPr>
              <w:sym w:font="Wingdings 2" w:char="0052"/>
            </w:r>
          </w:p>
          <w:p w14:paraId="606ECBB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无组织废气监测</w:t>
            </w:r>
            <w:r>
              <w:rPr>
                <w:rFonts w:hint="default" w:ascii="Times New Roman" w:hAnsi="Times New Roman" w:eastAsia="宋体" w:cs="Times New Roman"/>
                <w:color w:val="auto"/>
                <w:kern w:val="0"/>
                <w:sz w:val="21"/>
                <w:szCs w:val="21"/>
                <w:highlight w:val="none"/>
              </w:rPr>
              <w:sym w:font="Wingdings 2" w:char="0052"/>
            </w:r>
          </w:p>
        </w:tc>
        <w:tc>
          <w:tcPr>
            <w:tcW w:w="1147" w:type="dxa"/>
            <w:gridSpan w:val="2"/>
            <w:noWrap w:val="0"/>
            <w:vAlign w:val="center"/>
          </w:tcPr>
          <w:p w14:paraId="1881B11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无检测</w:t>
            </w:r>
            <w:r>
              <w:rPr>
                <w:rFonts w:hint="default" w:ascii="Times New Roman" w:hAnsi="Times New Roman" w:eastAsia="宋体" w:cs="Times New Roman"/>
                <w:color w:val="auto"/>
                <w:kern w:val="0"/>
                <w:sz w:val="21"/>
                <w:szCs w:val="21"/>
                <w:highlight w:val="none"/>
              </w:rPr>
              <w:t>□</w:t>
            </w:r>
          </w:p>
        </w:tc>
      </w:tr>
      <w:tr w14:paraId="1EF02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5" w:type="dxa"/>
            <w:vMerge w:val="continue"/>
            <w:noWrap w:val="0"/>
            <w:vAlign w:val="center"/>
          </w:tcPr>
          <w:p w14:paraId="69A4213E">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color w:val="auto"/>
                <w:sz w:val="21"/>
                <w:szCs w:val="21"/>
                <w:highlight w:val="none"/>
              </w:rPr>
            </w:pPr>
          </w:p>
        </w:tc>
        <w:tc>
          <w:tcPr>
            <w:tcW w:w="1496" w:type="dxa"/>
            <w:noWrap w:val="0"/>
            <w:vAlign w:val="center"/>
          </w:tcPr>
          <w:p w14:paraId="1F416CC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环境质量监测</w:t>
            </w:r>
          </w:p>
        </w:tc>
        <w:tc>
          <w:tcPr>
            <w:tcW w:w="2528" w:type="dxa"/>
            <w:gridSpan w:val="4"/>
            <w:noWrap w:val="0"/>
            <w:vAlign w:val="center"/>
          </w:tcPr>
          <w:p w14:paraId="6FCFD0F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监测因子：（</w:t>
            </w:r>
            <w:r>
              <w:rPr>
                <w:rFonts w:hint="eastAsia" w:ascii="Calibri" w:hAnsi="宋体" w:eastAsia="宋体" w:cs="宋体"/>
                <w:color w:val="auto"/>
                <w:sz w:val="21"/>
                <w:szCs w:val="21"/>
                <w:highlight w:val="none"/>
                <w:lang w:val="en-US" w:eastAsia="zh-CN"/>
              </w:rPr>
              <w:t>氨、汞及其化合物</w:t>
            </w:r>
            <w:r>
              <w:rPr>
                <w:rFonts w:hint="default" w:ascii="Times New Roman" w:hAnsi="Times New Roman" w:eastAsia="宋体" w:cs="Times New Roman"/>
                <w:color w:val="auto"/>
                <w:sz w:val="21"/>
                <w:szCs w:val="21"/>
                <w:highlight w:val="none"/>
              </w:rPr>
              <w:t>）</w:t>
            </w:r>
          </w:p>
        </w:tc>
        <w:tc>
          <w:tcPr>
            <w:tcW w:w="2406" w:type="dxa"/>
            <w:gridSpan w:val="10"/>
            <w:noWrap w:val="0"/>
            <w:vAlign w:val="center"/>
          </w:tcPr>
          <w:p w14:paraId="398F6D5F">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监测点位数（ </w:t>
            </w:r>
            <w:r>
              <w:rPr>
                <w:rFonts w:hint="eastAsia" w:ascii="Times New Roman" w:hAnsi="Calibri" w:eastAsia="宋体" w:cs="Times New Roman"/>
                <w:color w:val="auto"/>
                <w:sz w:val="21"/>
                <w:szCs w:val="21"/>
                <w:highlight w:val="none"/>
                <w:lang w:val="en-US" w:eastAsia="zh-CN"/>
              </w:rPr>
              <w:t xml:space="preserve">1 </w:t>
            </w:r>
            <w:r>
              <w:rPr>
                <w:rFonts w:hint="default" w:ascii="Times New Roman" w:hAnsi="Times New Roman" w:eastAsia="宋体" w:cs="Times New Roman"/>
                <w:color w:val="auto"/>
                <w:sz w:val="21"/>
                <w:szCs w:val="21"/>
                <w:highlight w:val="none"/>
              </w:rPr>
              <w:t>）</w:t>
            </w:r>
          </w:p>
        </w:tc>
        <w:tc>
          <w:tcPr>
            <w:tcW w:w="1147" w:type="dxa"/>
            <w:gridSpan w:val="2"/>
            <w:noWrap w:val="0"/>
            <w:vAlign w:val="center"/>
          </w:tcPr>
          <w:p w14:paraId="7634750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无检测</w:t>
            </w:r>
            <w:r>
              <w:rPr>
                <w:rFonts w:hint="default" w:ascii="Times New Roman" w:hAnsi="Times New Roman" w:eastAsia="宋体" w:cs="Times New Roman"/>
                <w:color w:val="auto"/>
                <w:kern w:val="0"/>
                <w:sz w:val="21"/>
                <w:szCs w:val="21"/>
                <w:highlight w:val="none"/>
              </w:rPr>
              <w:t>□</w:t>
            </w:r>
          </w:p>
        </w:tc>
      </w:tr>
      <w:tr w14:paraId="4CA4B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5" w:type="dxa"/>
            <w:vMerge w:val="restart"/>
            <w:noWrap w:val="0"/>
            <w:vAlign w:val="center"/>
          </w:tcPr>
          <w:p w14:paraId="14DD44D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w:t>
            </w:r>
          </w:p>
          <w:p w14:paraId="0E2259F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结论</w:t>
            </w:r>
          </w:p>
        </w:tc>
        <w:tc>
          <w:tcPr>
            <w:tcW w:w="1496" w:type="dxa"/>
            <w:noWrap w:val="0"/>
            <w:vAlign w:val="center"/>
          </w:tcPr>
          <w:p w14:paraId="3BDBDA8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环境影响</w:t>
            </w:r>
          </w:p>
        </w:tc>
        <w:tc>
          <w:tcPr>
            <w:tcW w:w="6081" w:type="dxa"/>
            <w:gridSpan w:val="16"/>
            <w:noWrap w:val="0"/>
            <w:vAlign w:val="center"/>
          </w:tcPr>
          <w:p w14:paraId="53E733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可以接受</w:t>
            </w:r>
            <w:r>
              <w:rPr>
                <w:rFonts w:hint="default" w:ascii="Times New Roman" w:hAnsi="Times New Roman" w:eastAsia="宋体" w:cs="Times New Roman"/>
                <w:color w:val="auto"/>
                <w:kern w:val="0"/>
                <w:sz w:val="21"/>
                <w:szCs w:val="21"/>
                <w:highlight w:val="none"/>
              </w:rPr>
              <w:sym w:font="Wingdings 2" w:char="0052"/>
            </w:r>
            <w:r>
              <w:rPr>
                <w:rFonts w:hint="default" w:ascii="Times New Roman" w:hAnsi="Times New Roman" w:eastAsia="宋体" w:cs="Times New Roman"/>
                <w:color w:val="auto"/>
                <w:kern w:val="0"/>
                <w:sz w:val="21"/>
                <w:szCs w:val="21"/>
                <w:highlight w:val="none"/>
              </w:rPr>
              <w:t xml:space="preserve">       不可以接受□</w:t>
            </w:r>
          </w:p>
        </w:tc>
      </w:tr>
      <w:tr w14:paraId="6AD4E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5" w:type="dxa"/>
            <w:vMerge w:val="continue"/>
            <w:noWrap w:val="0"/>
            <w:vAlign w:val="center"/>
          </w:tcPr>
          <w:p w14:paraId="019ADB7E">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color w:val="auto"/>
                <w:sz w:val="21"/>
                <w:szCs w:val="21"/>
                <w:highlight w:val="none"/>
              </w:rPr>
            </w:pPr>
          </w:p>
        </w:tc>
        <w:tc>
          <w:tcPr>
            <w:tcW w:w="1496" w:type="dxa"/>
            <w:noWrap w:val="0"/>
            <w:vAlign w:val="center"/>
          </w:tcPr>
          <w:p w14:paraId="40587C8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大气环境</w:t>
            </w:r>
          </w:p>
          <w:p w14:paraId="052B1D3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防护距离</w:t>
            </w:r>
          </w:p>
        </w:tc>
        <w:tc>
          <w:tcPr>
            <w:tcW w:w="6081" w:type="dxa"/>
            <w:gridSpan w:val="16"/>
            <w:noWrap w:val="0"/>
            <w:vAlign w:val="center"/>
          </w:tcPr>
          <w:p w14:paraId="34997F8E">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距</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 xml:space="preserve"> ）厂界最远（  </w:t>
            </w:r>
            <w:r>
              <w:rPr>
                <w:rFonts w:hint="eastAsia" w:ascii="Times New Roman" w:hAnsi="Calibri"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rPr>
              <w:t xml:space="preserve">  ）m</w:t>
            </w:r>
          </w:p>
        </w:tc>
      </w:tr>
      <w:tr w14:paraId="6180D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5" w:type="dxa"/>
            <w:vMerge w:val="continue"/>
            <w:noWrap w:val="0"/>
            <w:vAlign w:val="center"/>
          </w:tcPr>
          <w:p w14:paraId="0DC16CF2">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color w:val="auto"/>
                <w:sz w:val="21"/>
                <w:szCs w:val="21"/>
                <w:highlight w:val="none"/>
              </w:rPr>
            </w:pPr>
          </w:p>
        </w:tc>
        <w:tc>
          <w:tcPr>
            <w:tcW w:w="1496" w:type="dxa"/>
            <w:noWrap w:val="0"/>
            <w:vAlign w:val="center"/>
          </w:tcPr>
          <w:p w14:paraId="5C6C955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污染源</w:t>
            </w:r>
          </w:p>
          <w:p w14:paraId="6DFE050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年排放量</w:t>
            </w:r>
          </w:p>
        </w:tc>
        <w:tc>
          <w:tcPr>
            <w:tcW w:w="1514" w:type="dxa"/>
            <w:gridSpan w:val="2"/>
            <w:noWrap w:val="0"/>
            <w:vAlign w:val="center"/>
          </w:tcPr>
          <w:p w14:paraId="3C97174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SO</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eastAsia="zh-CN"/>
              </w:rPr>
              <w:t>(</w:t>
            </w:r>
            <w:r>
              <w:rPr>
                <w:rFonts w:hint="eastAsia" w:ascii="Times New Roman" w:hAnsi="Calibri" w:eastAsia="宋体" w:cs="Times New Roman"/>
                <w:color w:val="auto"/>
                <w:sz w:val="21"/>
                <w:szCs w:val="21"/>
                <w:highlight w:val="none"/>
                <w:lang w:val="en-US" w:eastAsia="zh-CN"/>
              </w:rPr>
              <w:t>2.48)</w:t>
            </w:r>
            <w:r>
              <w:rPr>
                <w:rFonts w:hint="default" w:ascii="Times New Roman" w:hAnsi="Times New Roman" w:eastAsia="宋体" w:cs="Times New Roman"/>
                <w:color w:val="auto"/>
                <w:sz w:val="21"/>
                <w:szCs w:val="21"/>
                <w:highlight w:val="none"/>
              </w:rPr>
              <w:t>t/a</w:t>
            </w:r>
          </w:p>
        </w:tc>
        <w:tc>
          <w:tcPr>
            <w:tcW w:w="1528" w:type="dxa"/>
            <w:gridSpan w:val="4"/>
            <w:noWrap w:val="0"/>
            <w:vAlign w:val="center"/>
          </w:tcPr>
          <w:p w14:paraId="1B26CC7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NO</w:t>
            </w:r>
            <w:r>
              <w:rPr>
                <w:rFonts w:hint="default" w:ascii="Times New Roman" w:hAnsi="Times New Roman" w:eastAsia="宋体" w:cs="Times New Roman"/>
                <w:color w:val="auto"/>
                <w:sz w:val="21"/>
                <w:szCs w:val="21"/>
                <w:highlight w:val="none"/>
                <w:vertAlign w:val="subscript"/>
              </w:rPr>
              <w:t>X</w:t>
            </w:r>
            <w:r>
              <w:rPr>
                <w:rFonts w:hint="default"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eastAsia="zh-CN"/>
              </w:rPr>
              <w:t>(</w:t>
            </w:r>
            <w:r>
              <w:rPr>
                <w:rFonts w:hint="eastAsia" w:ascii="Times New Roman" w:hAnsi="Calibri" w:eastAsia="宋体" w:cs="Times New Roman"/>
                <w:color w:val="auto"/>
                <w:sz w:val="21"/>
                <w:szCs w:val="21"/>
                <w:highlight w:val="none"/>
                <w:lang w:val="en-US" w:eastAsia="zh-CN"/>
              </w:rPr>
              <w:t>3.94)</w:t>
            </w:r>
            <w:r>
              <w:rPr>
                <w:rFonts w:hint="default" w:ascii="Times New Roman" w:hAnsi="Times New Roman" w:eastAsia="宋体" w:cs="Times New Roman"/>
                <w:color w:val="auto"/>
                <w:sz w:val="21"/>
                <w:szCs w:val="21"/>
                <w:highlight w:val="none"/>
              </w:rPr>
              <w:t>t/a</w:t>
            </w:r>
          </w:p>
        </w:tc>
        <w:tc>
          <w:tcPr>
            <w:tcW w:w="1661" w:type="dxa"/>
            <w:gridSpan w:val="7"/>
            <w:noWrap w:val="0"/>
            <w:vAlign w:val="center"/>
          </w:tcPr>
          <w:p w14:paraId="3381604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颗粒物</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vertAlign w:val="baseline"/>
                <w:lang w:val="en-US" w:eastAsia="zh-CN"/>
              </w:rPr>
              <w:t>0.59</w:t>
            </w:r>
            <w:r>
              <w:rPr>
                <w:rFonts w:hint="default" w:ascii="Times New Roman" w:hAnsi="Times New Roman" w:eastAsia="宋体" w:cs="Times New Roman"/>
                <w:color w:val="auto"/>
                <w:sz w:val="21"/>
                <w:szCs w:val="21"/>
                <w:highlight w:val="none"/>
              </w:rPr>
              <w:t>）t/a</w:t>
            </w:r>
          </w:p>
        </w:tc>
        <w:tc>
          <w:tcPr>
            <w:tcW w:w="1378" w:type="dxa"/>
            <w:gridSpan w:val="3"/>
            <w:noWrap w:val="0"/>
            <w:vAlign w:val="center"/>
          </w:tcPr>
          <w:p w14:paraId="56C0215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VOC</w:t>
            </w:r>
            <w:r>
              <w:rPr>
                <w:rFonts w:hint="default" w:ascii="Times New Roman" w:hAnsi="Times New Roman" w:eastAsia="宋体" w:cs="Times New Roman"/>
                <w:color w:val="auto"/>
                <w:sz w:val="21"/>
                <w:szCs w:val="21"/>
                <w:highlight w:val="none"/>
                <w:vertAlign w:val="subscript"/>
              </w:rPr>
              <w:t>S</w:t>
            </w:r>
            <w:r>
              <w:rPr>
                <w:rFonts w:hint="default"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t/a</w:t>
            </w:r>
          </w:p>
        </w:tc>
      </w:tr>
      <w:tr w14:paraId="7DB86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22" w:type="dxa"/>
            <w:gridSpan w:val="18"/>
            <w:noWrap w:val="0"/>
            <w:vAlign w:val="center"/>
          </w:tcPr>
          <w:p w14:paraId="0FFE1AE8">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注：“□”为勾选项，填“√”；“（   ）”为内容填写项</w:t>
            </w:r>
          </w:p>
        </w:tc>
      </w:tr>
    </w:tbl>
    <w:p w14:paraId="4E1F3D78">
      <w:pPr>
        <w:keepNext w:val="0"/>
        <w:keepLines w:val="0"/>
        <w:pageBreakBefore w:val="0"/>
        <w:widowControl w:val="0"/>
        <w:kinsoku/>
        <w:wordWrap/>
        <w:overflowPunct/>
        <w:topLinePunct w:val="0"/>
        <w:bidi w:val="0"/>
        <w:snapToGrid/>
        <w:spacing w:line="480" w:lineRule="exact"/>
        <w:jc w:val="center"/>
        <w:textAlignment w:val="auto"/>
        <w:outlineLvl w:val="9"/>
        <w:rPr>
          <w:rFonts w:hint="eastAsia" w:ascii="Times New Roman" w:hAnsi="Times New Roman" w:eastAsia="黑体" w:cs="Times New Roman"/>
          <w:color w:val="000000"/>
          <w:sz w:val="24"/>
          <w:szCs w:val="24"/>
          <w:highlight w:val="none"/>
          <w:lang w:eastAsia="zh-CN"/>
        </w:rPr>
        <w:sectPr>
          <w:pgSz w:w="11906" w:h="16838"/>
          <w:pgMar w:top="1440" w:right="1803" w:bottom="1440" w:left="1803" w:header="851" w:footer="992" w:gutter="0"/>
          <w:pgBorders>
            <w:top w:val="none" w:sz="0" w:space="0"/>
            <w:left w:val="none" w:sz="0" w:space="0"/>
            <w:bottom w:val="none" w:sz="0" w:space="0"/>
            <w:right w:val="none" w:sz="0" w:space="0"/>
          </w:pgBorders>
          <w:cols w:space="720" w:num="1"/>
          <w:rtlGutter w:val="0"/>
          <w:docGrid w:type="lines" w:linePitch="332" w:charSpace="0"/>
        </w:sectPr>
      </w:pPr>
    </w:p>
    <w:p w14:paraId="0D4C138B">
      <w:pPr>
        <w:keepNext w:val="0"/>
        <w:keepLines w:val="0"/>
        <w:pageBreakBefore w:val="0"/>
        <w:widowControl w:val="0"/>
        <w:kinsoku/>
        <w:wordWrap/>
        <w:overflowPunct/>
        <w:topLinePunct w:val="0"/>
        <w:bidi w:val="0"/>
        <w:snapToGrid/>
        <w:spacing w:line="480" w:lineRule="exact"/>
        <w:jc w:val="center"/>
        <w:textAlignment w:val="auto"/>
        <w:outlineLvl w:val="9"/>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黑体" w:cs="Times New Roman"/>
          <w:color w:val="auto"/>
          <w:sz w:val="24"/>
          <w:szCs w:val="24"/>
          <w:highlight w:val="none"/>
          <w:lang w:eastAsia="zh-CN"/>
        </w:rPr>
        <w:t>附</w:t>
      </w:r>
      <w:r>
        <w:rPr>
          <w:rFonts w:hint="default" w:ascii="Times New Roman" w:hAnsi="Times New Roman" w:eastAsia="黑体" w:cs="Times New Roman"/>
          <w:color w:val="auto"/>
          <w:sz w:val="24"/>
          <w:szCs w:val="24"/>
          <w:highlight w:val="none"/>
          <w:lang w:eastAsia="zh-CN"/>
        </w:rPr>
        <w:t>表</w:t>
      </w:r>
      <w:r>
        <w:rPr>
          <w:rFonts w:hint="eastAsia" w:ascii="Times New Roman" w:hAnsi="Times New Roman" w:eastAsia="黑体" w:cs="Times New Roman"/>
          <w:color w:val="auto"/>
          <w:sz w:val="24"/>
          <w:szCs w:val="24"/>
          <w:highlight w:val="none"/>
          <w:lang w:val="en-US" w:eastAsia="zh-CN"/>
        </w:rPr>
        <w:t>2</w:t>
      </w:r>
      <w:r>
        <w:rPr>
          <w:rFonts w:hint="default" w:ascii="Times New Roman" w:hAnsi="Times New Roman" w:eastAsia="黑体" w:cs="Times New Roman"/>
          <w:color w:val="auto"/>
          <w:sz w:val="24"/>
          <w:szCs w:val="24"/>
          <w:highlight w:val="none"/>
          <w:lang w:val="en-US" w:eastAsia="zh-CN"/>
        </w:rPr>
        <w:t xml:space="preserve">  </w:t>
      </w:r>
      <w:r>
        <w:rPr>
          <w:rFonts w:hint="default" w:ascii="Times New Roman" w:hAnsi="Times New Roman" w:eastAsia="黑体" w:cs="Times New Roman"/>
          <w:color w:val="auto"/>
          <w:sz w:val="24"/>
          <w:szCs w:val="24"/>
          <w:highlight w:val="none"/>
        </w:rPr>
        <w:t>建设项目</w:t>
      </w:r>
      <w:r>
        <w:rPr>
          <w:rFonts w:hint="eastAsia" w:ascii="Times New Roman" w:hAnsi="Times New Roman" w:eastAsia="黑体" w:cs="Times New Roman"/>
          <w:color w:val="auto"/>
          <w:sz w:val="24"/>
          <w:szCs w:val="24"/>
          <w:highlight w:val="none"/>
          <w:lang w:eastAsia="zh-CN"/>
        </w:rPr>
        <w:t>地表水</w:t>
      </w:r>
      <w:r>
        <w:rPr>
          <w:rFonts w:hint="default" w:ascii="Times New Roman" w:hAnsi="Times New Roman" w:eastAsia="黑体" w:cs="Times New Roman"/>
          <w:color w:val="auto"/>
          <w:sz w:val="24"/>
          <w:szCs w:val="24"/>
          <w:highlight w:val="none"/>
        </w:rPr>
        <w:t>环境影响评价自查表</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5"/>
        <w:gridCol w:w="1862"/>
        <w:gridCol w:w="2138"/>
        <w:gridCol w:w="950"/>
        <w:gridCol w:w="675"/>
        <w:gridCol w:w="512"/>
        <w:gridCol w:w="1050"/>
        <w:gridCol w:w="1125"/>
        <w:gridCol w:w="1313"/>
        <w:gridCol w:w="462"/>
        <w:gridCol w:w="550"/>
        <w:gridCol w:w="63"/>
        <w:gridCol w:w="3039"/>
      </w:tblGrid>
      <w:tr w14:paraId="0BC1D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297" w:type="dxa"/>
            <w:gridSpan w:val="2"/>
            <w:tcBorders>
              <w:tl2br w:val="nil"/>
              <w:tr2bl w:val="nil"/>
            </w:tcBorders>
            <w:noWrap w:val="0"/>
            <w:vAlign w:val="center"/>
          </w:tcPr>
          <w:p w14:paraId="6A2C315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工作内容</w:t>
            </w:r>
          </w:p>
        </w:tc>
        <w:tc>
          <w:tcPr>
            <w:tcW w:w="11877" w:type="dxa"/>
            <w:gridSpan w:val="11"/>
            <w:tcBorders>
              <w:tl2br w:val="nil"/>
              <w:tr2bl w:val="nil"/>
            </w:tcBorders>
            <w:noWrap w:val="0"/>
            <w:vAlign w:val="center"/>
          </w:tcPr>
          <w:p w14:paraId="2F8A4E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自查项目</w:t>
            </w:r>
          </w:p>
        </w:tc>
      </w:tr>
      <w:tr w14:paraId="664D9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dxa"/>
            <w:vMerge w:val="restart"/>
            <w:tcBorders>
              <w:tl2br w:val="nil"/>
              <w:tr2bl w:val="nil"/>
            </w:tcBorders>
            <w:noWrap w:val="0"/>
            <w:vAlign w:val="center"/>
          </w:tcPr>
          <w:p w14:paraId="2B72F9A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影响识别</w:t>
            </w:r>
          </w:p>
        </w:tc>
        <w:tc>
          <w:tcPr>
            <w:tcW w:w="1862" w:type="dxa"/>
            <w:tcBorders>
              <w:tl2br w:val="nil"/>
              <w:tr2bl w:val="nil"/>
            </w:tcBorders>
            <w:noWrap w:val="0"/>
            <w:vAlign w:val="center"/>
          </w:tcPr>
          <w:p w14:paraId="3AB51E5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影响类型</w:t>
            </w:r>
          </w:p>
        </w:tc>
        <w:tc>
          <w:tcPr>
            <w:tcW w:w="11877" w:type="dxa"/>
            <w:gridSpan w:val="11"/>
            <w:tcBorders>
              <w:tl2br w:val="nil"/>
              <w:tr2bl w:val="nil"/>
            </w:tcBorders>
            <w:noWrap w:val="0"/>
            <w:vAlign w:val="center"/>
          </w:tcPr>
          <w:p w14:paraId="0F7B3FD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水污染影响型</w:t>
            </w:r>
            <w:r>
              <w:rPr>
                <w:rFonts w:ascii="Calibri" w:hAnsi="Calibri" w:eastAsia="宋体" w:cs="Times New Roman"/>
                <w:color w:val="auto"/>
                <w:sz w:val="21"/>
                <w:szCs w:val="21"/>
                <w:highlight w:val="none"/>
              </w:rPr>
              <w:t>√</w:t>
            </w:r>
            <w:r>
              <w:rPr>
                <w:rFonts w:hint="default" w:ascii="Times New Roman" w:hAnsi="Times New Roman" w:eastAsia="宋体" w:cs="Times New Roman"/>
                <w:color w:val="auto"/>
                <w:sz w:val="21"/>
                <w:szCs w:val="21"/>
                <w:highlight w:val="none"/>
                <w:vertAlign w:val="baseline"/>
                <w:lang w:val="en-US" w:eastAsia="zh-CN"/>
              </w:rPr>
              <w:t>；水文要素影响型</w:t>
            </w:r>
            <w:r>
              <w:rPr>
                <w:rFonts w:hint="default" w:ascii="Times New Roman" w:hAnsi="Times New Roman" w:eastAsia="宋体" w:cs="Times New Roman"/>
                <w:color w:val="auto"/>
                <w:sz w:val="21"/>
                <w:szCs w:val="21"/>
                <w:highlight w:val="none"/>
                <w:vertAlign w:val="baseline"/>
                <w:lang w:val="en-US" w:eastAsia="zh-CN"/>
              </w:rPr>
              <w:sym w:font="Wingdings 2" w:char="00A3"/>
            </w:r>
          </w:p>
        </w:tc>
      </w:tr>
      <w:tr w14:paraId="55DF1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dxa"/>
            <w:vMerge w:val="continue"/>
            <w:tcBorders>
              <w:tl2br w:val="nil"/>
              <w:tr2bl w:val="nil"/>
            </w:tcBorders>
            <w:noWrap w:val="0"/>
            <w:vAlign w:val="center"/>
          </w:tcPr>
          <w:p w14:paraId="7E901F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1862" w:type="dxa"/>
            <w:tcBorders>
              <w:tl2br w:val="nil"/>
              <w:tr2bl w:val="nil"/>
            </w:tcBorders>
            <w:noWrap w:val="0"/>
            <w:vAlign w:val="center"/>
          </w:tcPr>
          <w:p w14:paraId="28D9F4E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水环境保护目标</w:t>
            </w:r>
          </w:p>
        </w:tc>
        <w:tc>
          <w:tcPr>
            <w:tcW w:w="11877" w:type="dxa"/>
            <w:gridSpan w:val="11"/>
            <w:tcBorders>
              <w:tl2br w:val="nil"/>
              <w:tr2bl w:val="nil"/>
            </w:tcBorders>
            <w:noWrap w:val="0"/>
            <w:vAlign w:val="center"/>
          </w:tcPr>
          <w:p w14:paraId="7A6823A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饮用水水源保护区</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；饮用水取水口</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；涉水的自然保护区</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；重要湿地</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w:t>
            </w:r>
          </w:p>
          <w:p w14:paraId="1FB7066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重点保护与珍稀水生生物的栖息地</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；重要水生生物的自然产卵场及索饵场、越冬场和洄游通道、天然渔场等渔业水体</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；涉水的风景名胜区</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；其他</w:t>
            </w:r>
            <w:r>
              <w:rPr>
                <w:rFonts w:hint="default" w:ascii="Times New Roman" w:hAnsi="Times New Roman" w:eastAsia="宋体" w:cs="Times New Roman"/>
                <w:color w:val="auto"/>
                <w:sz w:val="21"/>
                <w:szCs w:val="21"/>
                <w:highlight w:val="none"/>
                <w:vertAlign w:val="baseline"/>
                <w:lang w:val="en-US" w:eastAsia="zh-CN"/>
              </w:rPr>
              <w:sym w:font="Wingdings 2" w:char="00A3"/>
            </w:r>
          </w:p>
        </w:tc>
      </w:tr>
      <w:tr w14:paraId="6C8A9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435" w:type="dxa"/>
            <w:vMerge w:val="continue"/>
            <w:tcBorders>
              <w:tl2br w:val="nil"/>
              <w:tr2bl w:val="nil"/>
            </w:tcBorders>
            <w:noWrap w:val="0"/>
            <w:vAlign w:val="center"/>
          </w:tcPr>
          <w:p w14:paraId="2F574B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1862" w:type="dxa"/>
            <w:vMerge w:val="restart"/>
            <w:tcBorders>
              <w:tl2br w:val="nil"/>
              <w:tr2bl w:val="nil"/>
            </w:tcBorders>
            <w:noWrap w:val="0"/>
            <w:vAlign w:val="center"/>
          </w:tcPr>
          <w:p w14:paraId="19932A9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影响途径</w:t>
            </w:r>
          </w:p>
        </w:tc>
        <w:tc>
          <w:tcPr>
            <w:tcW w:w="5325" w:type="dxa"/>
            <w:gridSpan w:val="5"/>
            <w:tcBorders>
              <w:tl2br w:val="nil"/>
              <w:tr2bl w:val="nil"/>
            </w:tcBorders>
            <w:noWrap w:val="0"/>
            <w:vAlign w:val="center"/>
          </w:tcPr>
          <w:p w14:paraId="7E5E2E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水污染影响型</w:t>
            </w:r>
          </w:p>
        </w:tc>
        <w:tc>
          <w:tcPr>
            <w:tcW w:w="6552" w:type="dxa"/>
            <w:gridSpan w:val="6"/>
            <w:tcBorders>
              <w:tl2br w:val="nil"/>
              <w:tr2bl w:val="nil"/>
            </w:tcBorders>
            <w:noWrap w:val="0"/>
            <w:vAlign w:val="center"/>
          </w:tcPr>
          <w:p w14:paraId="245F875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水文要素影响型</w:t>
            </w:r>
          </w:p>
        </w:tc>
      </w:tr>
      <w:tr w14:paraId="489AF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35" w:type="dxa"/>
            <w:vMerge w:val="continue"/>
            <w:tcBorders>
              <w:tl2br w:val="nil"/>
              <w:tr2bl w:val="nil"/>
            </w:tcBorders>
            <w:noWrap w:val="0"/>
            <w:vAlign w:val="center"/>
          </w:tcPr>
          <w:p w14:paraId="444FF9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1862" w:type="dxa"/>
            <w:vMerge w:val="continue"/>
            <w:tcBorders>
              <w:tl2br w:val="nil"/>
              <w:tr2bl w:val="nil"/>
            </w:tcBorders>
            <w:noWrap w:val="0"/>
            <w:vAlign w:val="center"/>
          </w:tcPr>
          <w:p w14:paraId="1D68D96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5325" w:type="dxa"/>
            <w:gridSpan w:val="5"/>
            <w:tcBorders>
              <w:tl2br w:val="nil"/>
              <w:tr2bl w:val="nil"/>
            </w:tcBorders>
            <w:noWrap w:val="0"/>
            <w:vAlign w:val="center"/>
          </w:tcPr>
          <w:p w14:paraId="0F884E3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直接排放</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；间接排放</w:t>
            </w:r>
            <w:r>
              <w:rPr>
                <w:rFonts w:hint="default" w:ascii="Times New Roman" w:hAnsi="Times New Roman" w:eastAsia="宋体" w:cs="Times New Roman"/>
                <w:color w:val="auto"/>
                <w:sz w:val="21"/>
                <w:szCs w:val="21"/>
                <w:highlight w:val="none"/>
                <w:vertAlign w:val="baseline"/>
                <w:lang w:val="en-US" w:eastAsia="zh-CN"/>
              </w:rPr>
              <w:sym w:font="Wingdings 2" w:char="0052"/>
            </w:r>
            <w:r>
              <w:rPr>
                <w:rFonts w:hint="default" w:ascii="Times New Roman" w:hAnsi="Times New Roman" w:eastAsia="宋体" w:cs="Times New Roman"/>
                <w:color w:val="auto"/>
                <w:sz w:val="21"/>
                <w:szCs w:val="21"/>
                <w:highlight w:val="none"/>
                <w:vertAlign w:val="baseline"/>
                <w:lang w:val="en-US" w:eastAsia="zh-CN"/>
              </w:rPr>
              <w:t>；其他</w:t>
            </w:r>
            <w:r>
              <w:rPr>
                <w:rFonts w:hint="default" w:ascii="Times New Roman" w:hAnsi="Times New Roman" w:eastAsia="宋体" w:cs="Times New Roman"/>
                <w:color w:val="auto"/>
                <w:sz w:val="21"/>
                <w:szCs w:val="21"/>
                <w:highlight w:val="none"/>
                <w:vertAlign w:val="baseline"/>
                <w:lang w:val="en-US" w:eastAsia="zh-CN"/>
              </w:rPr>
              <w:sym w:font="Wingdings 2" w:char="00A3"/>
            </w:r>
          </w:p>
        </w:tc>
        <w:tc>
          <w:tcPr>
            <w:tcW w:w="6552" w:type="dxa"/>
            <w:gridSpan w:val="6"/>
            <w:tcBorders>
              <w:tl2br w:val="nil"/>
              <w:tr2bl w:val="nil"/>
            </w:tcBorders>
            <w:noWrap w:val="0"/>
            <w:vAlign w:val="center"/>
          </w:tcPr>
          <w:p w14:paraId="3DA5812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水温</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；径流</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；水域面积</w:t>
            </w:r>
            <w:r>
              <w:rPr>
                <w:rFonts w:hint="default" w:ascii="Times New Roman" w:hAnsi="Times New Roman" w:eastAsia="宋体" w:cs="Times New Roman"/>
                <w:color w:val="auto"/>
                <w:sz w:val="21"/>
                <w:szCs w:val="21"/>
                <w:highlight w:val="none"/>
                <w:vertAlign w:val="baseline"/>
                <w:lang w:val="en-US" w:eastAsia="zh-CN"/>
              </w:rPr>
              <w:sym w:font="Wingdings 2" w:char="00A3"/>
            </w:r>
          </w:p>
        </w:tc>
      </w:tr>
      <w:tr w14:paraId="791A6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dxa"/>
            <w:vMerge w:val="continue"/>
            <w:tcBorders>
              <w:tl2br w:val="nil"/>
              <w:tr2bl w:val="nil"/>
            </w:tcBorders>
            <w:noWrap w:val="0"/>
            <w:vAlign w:val="center"/>
          </w:tcPr>
          <w:p w14:paraId="3AFAC8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1862" w:type="dxa"/>
            <w:tcBorders>
              <w:tl2br w:val="nil"/>
              <w:tr2bl w:val="nil"/>
            </w:tcBorders>
            <w:noWrap w:val="0"/>
            <w:vAlign w:val="center"/>
          </w:tcPr>
          <w:p w14:paraId="08A8D2C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影响因子</w:t>
            </w:r>
          </w:p>
        </w:tc>
        <w:tc>
          <w:tcPr>
            <w:tcW w:w="5325" w:type="dxa"/>
            <w:gridSpan w:val="5"/>
            <w:tcBorders>
              <w:tl2br w:val="nil"/>
              <w:tr2bl w:val="nil"/>
            </w:tcBorders>
            <w:noWrap w:val="0"/>
            <w:vAlign w:val="center"/>
          </w:tcPr>
          <w:p w14:paraId="4297D0B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持久性污染物</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；有毒有害污染物</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；非持久性污染物</w:t>
            </w:r>
            <w:r>
              <w:rPr>
                <w:rFonts w:hint="default" w:ascii="Times New Roman" w:hAnsi="Times New Roman" w:eastAsia="宋体" w:cs="Times New Roman"/>
                <w:color w:val="auto"/>
                <w:sz w:val="21"/>
                <w:szCs w:val="21"/>
                <w:highlight w:val="none"/>
                <w:vertAlign w:val="baseline"/>
                <w:lang w:val="en-US" w:eastAsia="zh-CN"/>
              </w:rPr>
              <w:sym w:font="Wingdings 2" w:char="0052"/>
            </w:r>
            <w:r>
              <w:rPr>
                <w:rFonts w:hint="default" w:ascii="Times New Roman" w:hAnsi="Times New Roman" w:eastAsia="宋体" w:cs="Times New Roman"/>
                <w:color w:val="auto"/>
                <w:sz w:val="21"/>
                <w:szCs w:val="21"/>
                <w:highlight w:val="none"/>
                <w:vertAlign w:val="baseline"/>
                <w:lang w:val="en-US" w:eastAsia="zh-CN"/>
              </w:rPr>
              <w:t>；pH值</w:t>
            </w:r>
            <w:r>
              <w:rPr>
                <w:rFonts w:hint="default" w:ascii="Times New Roman" w:hAnsi="Times New Roman" w:eastAsia="宋体" w:cs="Times New Roman"/>
                <w:color w:val="auto"/>
                <w:sz w:val="21"/>
                <w:szCs w:val="21"/>
                <w:highlight w:val="none"/>
                <w:vertAlign w:val="baseline"/>
                <w:lang w:val="en-US" w:eastAsia="zh-CN"/>
              </w:rPr>
              <w:sym w:font="Wingdings 2" w:char="0052"/>
            </w:r>
            <w:r>
              <w:rPr>
                <w:rFonts w:hint="default" w:ascii="Times New Roman" w:hAnsi="Times New Roman" w:eastAsia="宋体" w:cs="Times New Roman"/>
                <w:color w:val="auto"/>
                <w:sz w:val="21"/>
                <w:szCs w:val="21"/>
                <w:highlight w:val="none"/>
                <w:vertAlign w:val="baseline"/>
                <w:lang w:val="en-US" w:eastAsia="zh-CN"/>
              </w:rPr>
              <w:t>；热污染</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；富营养化</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；其他</w:t>
            </w:r>
            <w:r>
              <w:rPr>
                <w:rFonts w:hint="default" w:ascii="Times New Roman" w:hAnsi="Times New Roman" w:eastAsia="宋体" w:cs="Times New Roman"/>
                <w:color w:val="auto"/>
                <w:sz w:val="21"/>
                <w:szCs w:val="21"/>
                <w:highlight w:val="none"/>
                <w:vertAlign w:val="baseline"/>
                <w:lang w:val="en-US" w:eastAsia="zh-CN"/>
              </w:rPr>
              <w:sym w:font="Wingdings 2" w:char="00A3"/>
            </w:r>
          </w:p>
        </w:tc>
        <w:tc>
          <w:tcPr>
            <w:tcW w:w="6552" w:type="dxa"/>
            <w:gridSpan w:val="6"/>
            <w:tcBorders>
              <w:tl2br w:val="nil"/>
              <w:tr2bl w:val="nil"/>
            </w:tcBorders>
            <w:noWrap w:val="0"/>
            <w:vAlign w:val="center"/>
          </w:tcPr>
          <w:p w14:paraId="0535F4E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水温</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；水位（水深）</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；流速</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；流量</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；其他</w:t>
            </w:r>
            <w:r>
              <w:rPr>
                <w:rFonts w:hint="default" w:ascii="Times New Roman" w:hAnsi="Times New Roman" w:eastAsia="宋体" w:cs="Times New Roman"/>
                <w:color w:val="auto"/>
                <w:sz w:val="21"/>
                <w:szCs w:val="21"/>
                <w:highlight w:val="none"/>
                <w:vertAlign w:val="baseline"/>
                <w:lang w:val="en-US" w:eastAsia="zh-CN"/>
              </w:rPr>
              <w:sym w:font="Wingdings 2" w:char="00A3"/>
            </w:r>
          </w:p>
        </w:tc>
      </w:tr>
      <w:tr w14:paraId="4F263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2297" w:type="dxa"/>
            <w:gridSpan w:val="2"/>
            <w:vMerge w:val="restart"/>
            <w:tcBorders>
              <w:tl2br w:val="nil"/>
              <w:tr2bl w:val="nil"/>
            </w:tcBorders>
            <w:noWrap w:val="0"/>
            <w:vAlign w:val="center"/>
          </w:tcPr>
          <w:p w14:paraId="2A0ED0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评价等级</w:t>
            </w:r>
          </w:p>
        </w:tc>
        <w:tc>
          <w:tcPr>
            <w:tcW w:w="5325" w:type="dxa"/>
            <w:gridSpan w:val="5"/>
            <w:tcBorders>
              <w:tl2br w:val="nil"/>
              <w:tr2bl w:val="nil"/>
            </w:tcBorders>
            <w:noWrap w:val="0"/>
            <w:vAlign w:val="center"/>
          </w:tcPr>
          <w:p w14:paraId="7A7C21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水污染影响型</w:t>
            </w:r>
          </w:p>
        </w:tc>
        <w:tc>
          <w:tcPr>
            <w:tcW w:w="6552" w:type="dxa"/>
            <w:gridSpan w:val="6"/>
            <w:tcBorders>
              <w:tl2br w:val="nil"/>
              <w:tr2bl w:val="nil"/>
            </w:tcBorders>
            <w:noWrap w:val="0"/>
            <w:vAlign w:val="center"/>
          </w:tcPr>
          <w:p w14:paraId="740F05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水文要素影响型</w:t>
            </w:r>
          </w:p>
        </w:tc>
      </w:tr>
      <w:tr w14:paraId="535FD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trPr>
        <w:tc>
          <w:tcPr>
            <w:tcW w:w="2297" w:type="dxa"/>
            <w:gridSpan w:val="2"/>
            <w:vMerge w:val="continue"/>
            <w:tcBorders>
              <w:tl2br w:val="nil"/>
              <w:tr2bl w:val="nil"/>
            </w:tcBorders>
            <w:noWrap w:val="0"/>
            <w:vAlign w:val="center"/>
          </w:tcPr>
          <w:p w14:paraId="7A958D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5325" w:type="dxa"/>
            <w:gridSpan w:val="5"/>
            <w:tcBorders>
              <w:tl2br w:val="nil"/>
              <w:tr2bl w:val="nil"/>
            </w:tcBorders>
            <w:noWrap w:val="0"/>
            <w:vAlign w:val="center"/>
          </w:tcPr>
          <w:p w14:paraId="73D79C3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一级</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；二级</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；三级A</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；三级B</w:t>
            </w:r>
            <w:r>
              <w:rPr>
                <w:rFonts w:hint="default" w:ascii="Times New Roman" w:hAnsi="Times New Roman" w:eastAsia="宋体" w:cs="Times New Roman"/>
                <w:color w:val="auto"/>
                <w:sz w:val="21"/>
                <w:szCs w:val="21"/>
                <w:highlight w:val="none"/>
                <w:vertAlign w:val="baseline"/>
                <w:lang w:val="en-US" w:eastAsia="zh-CN"/>
              </w:rPr>
              <w:sym w:font="Wingdings 2" w:char="0052"/>
            </w:r>
          </w:p>
        </w:tc>
        <w:tc>
          <w:tcPr>
            <w:tcW w:w="6552" w:type="dxa"/>
            <w:gridSpan w:val="6"/>
            <w:tcBorders>
              <w:tl2br w:val="nil"/>
              <w:tr2bl w:val="nil"/>
            </w:tcBorders>
            <w:noWrap w:val="0"/>
            <w:vAlign w:val="center"/>
          </w:tcPr>
          <w:p w14:paraId="3112708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一级</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；二级</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；三级</w:t>
            </w:r>
          </w:p>
        </w:tc>
      </w:tr>
      <w:tr w14:paraId="7E119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435" w:type="dxa"/>
            <w:vMerge w:val="restart"/>
            <w:tcBorders>
              <w:tl2br w:val="nil"/>
              <w:tr2bl w:val="nil"/>
            </w:tcBorders>
            <w:noWrap w:val="0"/>
            <w:vAlign w:val="center"/>
          </w:tcPr>
          <w:p w14:paraId="6435132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现状调查</w:t>
            </w:r>
          </w:p>
        </w:tc>
        <w:tc>
          <w:tcPr>
            <w:tcW w:w="1862" w:type="dxa"/>
            <w:vMerge w:val="restart"/>
            <w:tcBorders>
              <w:tl2br w:val="nil"/>
              <w:tr2bl w:val="nil"/>
            </w:tcBorders>
            <w:noWrap w:val="0"/>
            <w:vAlign w:val="center"/>
          </w:tcPr>
          <w:p w14:paraId="070FCBD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区域污染源</w:t>
            </w:r>
          </w:p>
        </w:tc>
        <w:tc>
          <w:tcPr>
            <w:tcW w:w="5325" w:type="dxa"/>
            <w:gridSpan w:val="5"/>
            <w:tcBorders>
              <w:tl2br w:val="nil"/>
              <w:tr2bl w:val="nil"/>
            </w:tcBorders>
            <w:noWrap w:val="0"/>
            <w:vAlign w:val="center"/>
          </w:tcPr>
          <w:p w14:paraId="58671B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调查项目</w:t>
            </w:r>
          </w:p>
        </w:tc>
        <w:tc>
          <w:tcPr>
            <w:tcW w:w="6552" w:type="dxa"/>
            <w:gridSpan w:val="6"/>
            <w:tcBorders>
              <w:tl2br w:val="nil"/>
              <w:tr2bl w:val="nil"/>
            </w:tcBorders>
            <w:noWrap w:val="0"/>
            <w:vAlign w:val="center"/>
          </w:tcPr>
          <w:p w14:paraId="057EB2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数据来源</w:t>
            </w:r>
          </w:p>
        </w:tc>
      </w:tr>
      <w:tr w14:paraId="23516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435" w:type="dxa"/>
            <w:vMerge w:val="continue"/>
            <w:tcBorders>
              <w:tl2br w:val="nil"/>
              <w:tr2bl w:val="nil"/>
            </w:tcBorders>
            <w:noWrap w:val="0"/>
            <w:vAlign w:val="center"/>
          </w:tcPr>
          <w:p w14:paraId="7BDD3E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1862" w:type="dxa"/>
            <w:vMerge w:val="continue"/>
            <w:tcBorders>
              <w:tl2br w:val="nil"/>
              <w:tr2bl w:val="nil"/>
            </w:tcBorders>
            <w:noWrap w:val="0"/>
            <w:vAlign w:val="center"/>
          </w:tcPr>
          <w:p w14:paraId="3A24AC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5325" w:type="dxa"/>
            <w:gridSpan w:val="5"/>
            <w:tcBorders>
              <w:tl2br w:val="nil"/>
              <w:tr2bl w:val="nil"/>
            </w:tcBorders>
            <w:noWrap w:val="0"/>
            <w:vAlign w:val="center"/>
          </w:tcPr>
          <w:p w14:paraId="170D929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已建</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；在建</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；拟建</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；其他</w:t>
            </w:r>
            <w:r>
              <w:rPr>
                <w:rFonts w:hint="default" w:ascii="Times New Roman" w:hAnsi="Times New Roman" w:eastAsia="宋体" w:cs="Times New Roman"/>
                <w:color w:val="auto"/>
                <w:sz w:val="21"/>
                <w:szCs w:val="21"/>
                <w:highlight w:val="none"/>
                <w:vertAlign w:val="baseline"/>
                <w:lang w:val="en-US" w:eastAsia="zh-CN"/>
              </w:rPr>
              <w:sym w:font="Wingdings 2" w:char="00A3"/>
            </w:r>
          </w:p>
        </w:tc>
        <w:tc>
          <w:tcPr>
            <w:tcW w:w="6552" w:type="dxa"/>
            <w:gridSpan w:val="6"/>
            <w:tcBorders>
              <w:tl2br w:val="nil"/>
              <w:tr2bl w:val="nil"/>
            </w:tcBorders>
            <w:noWrap w:val="0"/>
            <w:vAlign w:val="center"/>
          </w:tcPr>
          <w:p w14:paraId="1F1F6F7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排污许可证</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；环评</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；环保验收</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；既有实测</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；现场监测</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；入河排放口数据</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；其他</w:t>
            </w:r>
            <w:r>
              <w:rPr>
                <w:rFonts w:hint="default" w:ascii="Times New Roman" w:hAnsi="Times New Roman" w:eastAsia="宋体" w:cs="Times New Roman"/>
                <w:color w:val="auto"/>
                <w:sz w:val="21"/>
                <w:szCs w:val="21"/>
                <w:highlight w:val="none"/>
                <w:vertAlign w:val="baseline"/>
                <w:lang w:val="en-US" w:eastAsia="zh-CN"/>
              </w:rPr>
              <w:sym w:font="Wingdings 2" w:char="00A3"/>
            </w:r>
          </w:p>
        </w:tc>
      </w:tr>
      <w:tr w14:paraId="70B8B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435" w:type="dxa"/>
            <w:vMerge w:val="continue"/>
            <w:tcBorders>
              <w:tl2br w:val="nil"/>
              <w:tr2bl w:val="nil"/>
            </w:tcBorders>
            <w:noWrap w:val="0"/>
            <w:vAlign w:val="center"/>
          </w:tcPr>
          <w:p w14:paraId="4E3DB3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1862" w:type="dxa"/>
            <w:vMerge w:val="restart"/>
            <w:tcBorders>
              <w:tl2br w:val="nil"/>
              <w:tr2bl w:val="nil"/>
            </w:tcBorders>
            <w:noWrap w:val="0"/>
            <w:vAlign w:val="center"/>
          </w:tcPr>
          <w:p w14:paraId="6564172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受影响水体环境质量</w:t>
            </w:r>
          </w:p>
        </w:tc>
        <w:tc>
          <w:tcPr>
            <w:tcW w:w="5325" w:type="dxa"/>
            <w:gridSpan w:val="5"/>
            <w:tcBorders>
              <w:tl2br w:val="nil"/>
              <w:tr2bl w:val="nil"/>
            </w:tcBorders>
            <w:noWrap w:val="0"/>
            <w:vAlign w:val="center"/>
          </w:tcPr>
          <w:p w14:paraId="2C39CC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调查时期</w:t>
            </w:r>
          </w:p>
        </w:tc>
        <w:tc>
          <w:tcPr>
            <w:tcW w:w="6552" w:type="dxa"/>
            <w:gridSpan w:val="6"/>
            <w:tcBorders>
              <w:tl2br w:val="nil"/>
              <w:tr2bl w:val="nil"/>
            </w:tcBorders>
            <w:noWrap w:val="0"/>
            <w:vAlign w:val="center"/>
          </w:tcPr>
          <w:p w14:paraId="64249E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数据来源</w:t>
            </w:r>
          </w:p>
        </w:tc>
      </w:tr>
      <w:tr w14:paraId="62B70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435" w:type="dxa"/>
            <w:vMerge w:val="continue"/>
            <w:tcBorders>
              <w:tl2br w:val="nil"/>
              <w:tr2bl w:val="nil"/>
            </w:tcBorders>
            <w:noWrap w:val="0"/>
            <w:vAlign w:val="center"/>
          </w:tcPr>
          <w:p w14:paraId="31A26EC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1862" w:type="dxa"/>
            <w:vMerge w:val="continue"/>
            <w:tcBorders>
              <w:tl2br w:val="nil"/>
              <w:tr2bl w:val="nil"/>
            </w:tcBorders>
            <w:noWrap w:val="0"/>
            <w:vAlign w:val="center"/>
          </w:tcPr>
          <w:p w14:paraId="2DDC3B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5325" w:type="dxa"/>
            <w:gridSpan w:val="5"/>
            <w:tcBorders>
              <w:tl2br w:val="nil"/>
              <w:tr2bl w:val="nil"/>
            </w:tcBorders>
            <w:noWrap w:val="0"/>
            <w:vAlign w:val="center"/>
          </w:tcPr>
          <w:p w14:paraId="5DA671C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丰水期</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；平水期</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；枯水期</w:t>
            </w:r>
            <w:r>
              <w:rPr>
                <w:rFonts w:hint="default" w:ascii="Times New Roman" w:hAnsi="Times New Roman" w:eastAsia="宋体" w:cs="Times New Roman"/>
                <w:color w:val="auto"/>
                <w:sz w:val="21"/>
                <w:szCs w:val="21"/>
                <w:highlight w:val="none"/>
                <w:vertAlign w:val="baseline"/>
                <w:lang w:val="en-US" w:eastAsia="zh-CN"/>
              </w:rPr>
              <w:sym w:font="Wingdings 2" w:char="0052"/>
            </w:r>
            <w:r>
              <w:rPr>
                <w:rFonts w:hint="default" w:ascii="Times New Roman" w:hAnsi="Times New Roman" w:eastAsia="宋体" w:cs="Times New Roman"/>
                <w:color w:val="auto"/>
                <w:sz w:val="21"/>
                <w:szCs w:val="21"/>
                <w:highlight w:val="none"/>
                <w:vertAlign w:val="baseline"/>
                <w:lang w:val="en-US" w:eastAsia="zh-CN"/>
              </w:rPr>
              <w:t>；冰封期</w:t>
            </w:r>
            <w:r>
              <w:rPr>
                <w:rFonts w:hint="default" w:ascii="Times New Roman" w:hAnsi="Times New Roman" w:eastAsia="宋体" w:cs="Times New Roman"/>
                <w:color w:val="auto"/>
                <w:sz w:val="21"/>
                <w:szCs w:val="21"/>
                <w:highlight w:val="none"/>
                <w:vertAlign w:val="baseline"/>
                <w:lang w:val="en-US" w:eastAsia="zh-CN"/>
              </w:rPr>
              <w:sym w:font="Wingdings 2" w:char="00A3"/>
            </w:r>
          </w:p>
          <w:p w14:paraId="7EC02F4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春季</w:t>
            </w:r>
            <w:r>
              <w:rPr>
                <w:rFonts w:hint="default" w:ascii="Times New Roman" w:hAnsi="Times New Roman" w:eastAsia="宋体" w:cs="Times New Roman"/>
                <w:color w:val="auto"/>
                <w:sz w:val="21"/>
                <w:szCs w:val="21"/>
                <w:highlight w:val="none"/>
                <w:vertAlign w:val="baseline"/>
                <w:lang w:val="en-US" w:eastAsia="zh-CN"/>
              </w:rPr>
              <w:sym w:font="Wingdings 2" w:char="0052"/>
            </w:r>
            <w:r>
              <w:rPr>
                <w:rFonts w:hint="default" w:ascii="Times New Roman" w:hAnsi="Times New Roman" w:eastAsia="宋体" w:cs="Times New Roman"/>
                <w:color w:val="auto"/>
                <w:sz w:val="21"/>
                <w:szCs w:val="21"/>
                <w:highlight w:val="none"/>
                <w:vertAlign w:val="baseline"/>
                <w:lang w:val="en-US" w:eastAsia="zh-CN"/>
              </w:rPr>
              <w:t>；夏季</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；秋季</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；冬季</w:t>
            </w:r>
            <w:r>
              <w:rPr>
                <w:rFonts w:hint="default" w:ascii="Times New Roman" w:hAnsi="Times New Roman" w:eastAsia="宋体" w:cs="Times New Roman"/>
                <w:color w:val="auto"/>
                <w:sz w:val="21"/>
                <w:szCs w:val="21"/>
                <w:highlight w:val="none"/>
                <w:vertAlign w:val="baseline"/>
                <w:lang w:val="en-US" w:eastAsia="zh-CN"/>
              </w:rPr>
              <w:sym w:font="Wingdings 2" w:char="00A3"/>
            </w:r>
          </w:p>
        </w:tc>
        <w:tc>
          <w:tcPr>
            <w:tcW w:w="6552" w:type="dxa"/>
            <w:gridSpan w:val="6"/>
            <w:tcBorders>
              <w:tl2br w:val="nil"/>
              <w:tr2bl w:val="nil"/>
            </w:tcBorders>
            <w:noWrap w:val="0"/>
            <w:vAlign w:val="center"/>
          </w:tcPr>
          <w:p w14:paraId="115A774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生态环境保护主管部门</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；补充监测</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；其他</w:t>
            </w:r>
            <w:r>
              <w:rPr>
                <w:rFonts w:hint="default" w:ascii="Times New Roman" w:hAnsi="Times New Roman" w:eastAsia="宋体" w:cs="Times New Roman"/>
                <w:color w:val="auto"/>
                <w:sz w:val="21"/>
                <w:szCs w:val="21"/>
                <w:highlight w:val="none"/>
                <w:vertAlign w:val="baseline"/>
                <w:lang w:val="en-US" w:eastAsia="zh-CN"/>
              </w:rPr>
              <w:sym w:font="Wingdings 2" w:char="0052"/>
            </w:r>
          </w:p>
        </w:tc>
      </w:tr>
      <w:tr w14:paraId="16F55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dxa"/>
            <w:vMerge w:val="continue"/>
            <w:tcBorders>
              <w:tl2br w:val="nil"/>
              <w:tr2bl w:val="nil"/>
            </w:tcBorders>
            <w:noWrap w:val="0"/>
            <w:vAlign w:val="center"/>
          </w:tcPr>
          <w:p w14:paraId="7D48B4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1862" w:type="dxa"/>
            <w:tcBorders>
              <w:tl2br w:val="nil"/>
              <w:tr2bl w:val="nil"/>
            </w:tcBorders>
            <w:noWrap w:val="0"/>
            <w:vAlign w:val="center"/>
          </w:tcPr>
          <w:p w14:paraId="22796D7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区域水资源开发利用情况</w:t>
            </w:r>
          </w:p>
        </w:tc>
        <w:tc>
          <w:tcPr>
            <w:tcW w:w="11877" w:type="dxa"/>
            <w:gridSpan w:val="11"/>
            <w:tcBorders>
              <w:tl2br w:val="nil"/>
              <w:tr2bl w:val="nil"/>
            </w:tcBorders>
            <w:noWrap w:val="0"/>
            <w:vAlign w:val="center"/>
          </w:tcPr>
          <w:p w14:paraId="7E54996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未开发</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；开发量40%以下</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；开发量40%以上</w:t>
            </w:r>
            <w:r>
              <w:rPr>
                <w:rFonts w:hint="default" w:ascii="Times New Roman" w:hAnsi="Times New Roman" w:eastAsia="宋体" w:cs="Times New Roman"/>
                <w:color w:val="auto"/>
                <w:sz w:val="21"/>
                <w:szCs w:val="21"/>
                <w:highlight w:val="none"/>
                <w:vertAlign w:val="baseline"/>
                <w:lang w:val="en-US" w:eastAsia="zh-CN"/>
              </w:rPr>
              <w:sym w:font="Wingdings 2" w:char="00A3"/>
            </w:r>
          </w:p>
        </w:tc>
      </w:tr>
      <w:tr w14:paraId="6AF76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435" w:type="dxa"/>
            <w:vMerge w:val="continue"/>
            <w:tcBorders>
              <w:tl2br w:val="nil"/>
              <w:tr2bl w:val="nil"/>
            </w:tcBorders>
            <w:noWrap w:val="0"/>
            <w:vAlign w:val="center"/>
          </w:tcPr>
          <w:p w14:paraId="4DC225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1862" w:type="dxa"/>
            <w:vMerge w:val="restart"/>
            <w:tcBorders>
              <w:tl2br w:val="nil"/>
              <w:tr2bl w:val="nil"/>
            </w:tcBorders>
            <w:noWrap w:val="0"/>
            <w:vAlign w:val="center"/>
          </w:tcPr>
          <w:p w14:paraId="5516BB8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水文情势调查</w:t>
            </w:r>
          </w:p>
        </w:tc>
        <w:tc>
          <w:tcPr>
            <w:tcW w:w="5325" w:type="dxa"/>
            <w:gridSpan w:val="5"/>
            <w:tcBorders>
              <w:tl2br w:val="nil"/>
              <w:tr2bl w:val="nil"/>
            </w:tcBorders>
            <w:noWrap w:val="0"/>
            <w:vAlign w:val="center"/>
          </w:tcPr>
          <w:p w14:paraId="155815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调查时期</w:t>
            </w:r>
          </w:p>
        </w:tc>
        <w:tc>
          <w:tcPr>
            <w:tcW w:w="6552" w:type="dxa"/>
            <w:gridSpan w:val="6"/>
            <w:tcBorders>
              <w:tl2br w:val="nil"/>
              <w:tr2bl w:val="nil"/>
            </w:tcBorders>
            <w:noWrap w:val="0"/>
            <w:vAlign w:val="center"/>
          </w:tcPr>
          <w:p w14:paraId="291C89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数据来源</w:t>
            </w:r>
          </w:p>
        </w:tc>
      </w:tr>
      <w:tr w14:paraId="66857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435" w:type="dxa"/>
            <w:vMerge w:val="continue"/>
            <w:tcBorders>
              <w:tl2br w:val="nil"/>
              <w:tr2bl w:val="nil"/>
            </w:tcBorders>
            <w:noWrap w:val="0"/>
            <w:vAlign w:val="center"/>
          </w:tcPr>
          <w:p w14:paraId="7E38DF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1862" w:type="dxa"/>
            <w:vMerge w:val="continue"/>
            <w:tcBorders>
              <w:tl2br w:val="nil"/>
              <w:tr2bl w:val="nil"/>
            </w:tcBorders>
            <w:noWrap w:val="0"/>
            <w:vAlign w:val="center"/>
          </w:tcPr>
          <w:p w14:paraId="69C716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5325" w:type="dxa"/>
            <w:gridSpan w:val="5"/>
            <w:tcBorders>
              <w:tl2br w:val="nil"/>
              <w:tr2bl w:val="nil"/>
            </w:tcBorders>
            <w:noWrap w:val="0"/>
            <w:vAlign w:val="center"/>
          </w:tcPr>
          <w:p w14:paraId="721E50D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丰水期</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；平水期</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；枯水期</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；冰封期</w:t>
            </w:r>
            <w:r>
              <w:rPr>
                <w:rFonts w:hint="default" w:ascii="Times New Roman" w:hAnsi="Times New Roman" w:eastAsia="宋体" w:cs="Times New Roman"/>
                <w:color w:val="auto"/>
                <w:sz w:val="21"/>
                <w:szCs w:val="21"/>
                <w:highlight w:val="none"/>
                <w:vertAlign w:val="baseline"/>
                <w:lang w:val="en-US" w:eastAsia="zh-CN"/>
              </w:rPr>
              <w:sym w:font="Wingdings 2" w:char="00A3"/>
            </w:r>
          </w:p>
          <w:p w14:paraId="4882F2A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春季</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；夏季</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；秋季</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；冬季</w:t>
            </w:r>
            <w:r>
              <w:rPr>
                <w:rFonts w:hint="default" w:ascii="Times New Roman" w:hAnsi="Times New Roman" w:eastAsia="宋体" w:cs="Times New Roman"/>
                <w:color w:val="auto"/>
                <w:sz w:val="21"/>
                <w:szCs w:val="21"/>
                <w:highlight w:val="none"/>
                <w:vertAlign w:val="baseline"/>
                <w:lang w:val="en-US" w:eastAsia="zh-CN"/>
              </w:rPr>
              <w:sym w:font="Wingdings 2" w:char="00A3"/>
            </w:r>
          </w:p>
        </w:tc>
        <w:tc>
          <w:tcPr>
            <w:tcW w:w="6552" w:type="dxa"/>
            <w:gridSpan w:val="6"/>
            <w:tcBorders>
              <w:tl2br w:val="nil"/>
              <w:tr2bl w:val="nil"/>
            </w:tcBorders>
            <w:noWrap w:val="0"/>
            <w:vAlign w:val="center"/>
          </w:tcPr>
          <w:p w14:paraId="57F1874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水行政主管部门</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；补充监测</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；其他</w:t>
            </w:r>
            <w:r>
              <w:rPr>
                <w:rFonts w:hint="default" w:ascii="Times New Roman" w:hAnsi="Times New Roman" w:eastAsia="宋体" w:cs="Times New Roman"/>
                <w:color w:val="auto"/>
                <w:sz w:val="21"/>
                <w:szCs w:val="21"/>
                <w:highlight w:val="none"/>
                <w:vertAlign w:val="baseline"/>
                <w:lang w:val="en-US" w:eastAsia="zh-CN"/>
              </w:rPr>
              <w:sym w:font="Wingdings 2" w:char="00A3"/>
            </w:r>
          </w:p>
        </w:tc>
      </w:tr>
      <w:tr w14:paraId="687D7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 w:hRule="atLeast"/>
        </w:trPr>
        <w:tc>
          <w:tcPr>
            <w:tcW w:w="435" w:type="dxa"/>
            <w:vMerge w:val="continue"/>
            <w:tcBorders>
              <w:tl2br w:val="nil"/>
              <w:tr2bl w:val="nil"/>
            </w:tcBorders>
            <w:noWrap w:val="0"/>
            <w:vAlign w:val="center"/>
          </w:tcPr>
          <w:p w14:paraId="4CA63B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DD1FDB"/>
                <w:sz w:val="21"/>
                <w:szCs w:val="21"/>
                <w:highlight w:val="none"/>
                <w:vertAlign w:val="baseline"/>
                <w:lang w:val="en-US" w:eastAsia="zh-CN"/>
              </w:rPr>
            </w:pPr>
          </w:p>
        </w:tc>
        <w:tc>
          <w:tcPr>
            <w:tcW w:w="1862" w:type="dxa"/>
            <w:vMerge w:val="restart"/>
            <w:tcBorders>
              <w:tl2br w:val="nil"/>
              <w:tr2bl w:val="nil"/>
            </w:tcBorders>
            <w:noWrap w:val="0"/>
            <w:vAlign w:val="center"/>
          </w:tcPr>
          <w:p w14:paraId="3534C23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补充监测</w:t>
            </w:r>
          </w:p>
        </w:tc>
        <w:tc>
          <w:tcPr>
            <w:tcW w:w="5325" w:type="dxa"/>
            <w:gridSpan w:val="5"/>
            <w:tcBorders>
              <w:tl2br w:val="nil"/>
              <w:tr2bl w:val="nil"/>
            </w:tcBorders>
            <w:noWrap w:val="0"/>
            <w:vAlign w:val="center"/>
          </w:tcPr>
          <w:p w14:paraId="5BFABC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监测时期</w:t>
            </w:r>
          </w:p>
        </w:tc>
        <w:tc>
          <w:tcPr>
            <w:tcW w:w="3513" w:type="dxa"/>
            <w:gridSpan w:val="5"/>
            <w:tcBorders>
              <w:tl2br w:val="nil"/>
              <w:tr2bl w:val="nil"/>
            </w:tcBorders>
            <w:noWrap w:val="0"/>
            <w:vAlign w:val="center"/>
          </w:tcPr>
          <w:p w14:paraId="591DA3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监测因子</w:t>
            </w:r>
          </w:p>
        </w:tc>
        <w:tc>
          <w:tcPr>
            <w:tcW w:w="3039" w:type="dxa"/>
            <w:tcBorders>
              <w:tl2br w:val="nil"/>
              <w:tr2bl w:val="nil"/>
            </w:tcBorders>
            <w:noWrap w:val="0"/>
            <w:vAlign w:val="center"/>
          </w:tcPr>
          <w:p w14:paraId="52C096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监测断面或点位</w:t>
            </w:r>
          </w:p>
        </w:tc>
      </w:tr>
      <w:tr w14:paraId="1D111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435" w:type="dxa"/>
            <w:vMerge w:val="continue"/>
            <w:tcBorders>
              <w:tl2br w:val="nil"/>
              <w:tr2bl w:val="nil"/>
            </w:tcBorders>
            <w:noWrap w:val="0"/>
            <w:vAlign w:val="center"/>
          </w:tcPr>
          <w:p w14:paraId="576B07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DD1FDB"/>
                <w:sz w:val="21"/>
                <w:szCs w:val="21"/>
                <w:highlight w:val="none"/>
                <w:vertAlign w:val="baseline"/>
                <w:lang w:val="en-US" w:eastAsia="zh-CN"/>
              </w:rPr>
            </w:pPr>
          </w:p>
        </w:tc>
        <w:tc>
          <w:tcPr>
            <w:tcW w:w="1862" w:type="dxa"/>
            <w:vMerge w:val="continue"/>
            <w:tcBorders>
              <w:tl2br w:val="nil"/>
              <w:tr2bl w:val="nil"/>
            </w:tcBorders>
            <w:noWrap w:val="0"/>
            <w:vAlign w:val="center"/>
          </w:tcPr>
          <w:p w14:paraId="7FFC45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5325" w:type="dxa"/>
            <w:gridSpan w:val="5"/>
            <w:tcBorders>
              <w:tl2br w:val="nil"/>
              <w:tr2bl w:val="nil"/>
            </w:tcBorders>
            <w:noWrap w:val="0"/>
            <w:vAlign w:val="center"/>
          </w:tcPr>
          <w:p w14:paraId="49AF436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丰水期</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；平水期</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；枯水期</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；冰封期</w:t>
            </w:r>
            <w:r>
              <w:rPr>
                <w:rFonts w:hint="default" w:ascii="Times New Roman" w:hAnsi="Times New Roman" w:eastAsia="宋体" w:cs="Times New Roman"/>
                <w:color w:val="auto"/>
                <w:sz w:val="21"/>
                <w:szCs w:val="21"/>
                <w:highlight w:val="none"/>
                <w:vertAlign w:val="baseline"/>
                <w:lang w:val="en-US" w:eastAsia="zh-CN"/>
              </w:rPr>
              <w:sym w:font="Wingdings 2" w:char="00A3"/>
            </w:r>
          </w:p>
          <w:p w14:paraId="5F9EA64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春季</w:t>
            </w:r>
            <w:r>
              <w:rPr>
                <w:rFonts w:hint="default" w:ascii="Times New Roman" w:hAnsi="Times New Roman" w:eastAsia="宋体" w:cs="Times New Roman"/>
                <w:color w:val="auto"/>
                <w:sz w:val="21"/>
                <w:szCs w:val="21"/>
                <w:highlight w:val="none"/>
                <w:vertAlign w:val="baseline"/>
                <w:lang w:val="en-US" w:eastAsia="zh-CN"/>
              </w:rPr>
              <w:sym w:font="Wingdings 2" w:char="0052"/>
            </w:r>
            <w:r>
              <w:rPr>
                <w:rFonts w:hint="default" w:ascii="Times New Roman" w:hAnsi="Times New Roman" w:eastAsia="宋体" w:cs="Times New Roman"/>
                <w:color w:val="auto"/>
                <w:sz w:val="21"/>
                <w:szCs w:val="21"/>
                <w:highlight w:val="none"/>
                <w:vertAlign w:val="baseline"/>
                <w:lang w:val="en-US" w:eastAsia="zh-CN"/>
              </w:rPr>
              <w:t>；夏季</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；秋季</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；冬季</w:t>
            </w:r>
            <w:r>
              <w:rPr>
                <w:rFonts w:hint="default" w:ascii="Times New Roman" w:hAnsi="Times New Roman" w:eastAsia="宋体" w:cs="Times New Roman"/>
                <w:color w:val="auto"/>
                <w:sz w:val="21"/>
                <w:szCs w:val="21"/>
                <w:highlight w:val="none"/>
                <w:vertAlign w:val="baseline"/>
                <w:lang w:val="en-US" w:eastAsia="zh-CN"/>
              </w:rPr>
              <w:sym w:font="Wingdings 2" w:char="00A3"/>
            </w:r>
          </w:p>
        </w:tc>
        <w:tc>
          <w:tcPr>
            <w:tcW w:w="3513" w:type="dxa"/>
            <w:gridSpan w:val="5"/>
            <w:tcBorders>
              <w:tl2br w:val="nil"/>
              <w:tr2bl w:val="nil"/>
            </w:tcBorders>
            <w:noWrap w:val="0"/>
            <w:vAlign w:val="center"/>
          </w:tcPr>
          <w:p w14:paraId="184604A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w:t>
            </w:r>
          </w:p>
        </w:tc>
        <w:tc>
          <w:tcPr>
            <w:tcW w:w="3039" w:type="dxa"/>
            <w:tcBorders>
              <w:tl2br w:val="nil"/>
              <w:tr2bl w:val="nil"/>
            </w:tcBorders>
            <w:noWrap w:val="0"/>
            <w:vAlign w:val="center"/>
          </w:tcPr>
          <w:p w14:paraId="04BE983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监测断面或点位（）个</w:t>
            </w:r>
          </w:p>
        </w:tc>
      </w:tr>
      <w:tr w14:paraId="51817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435" w:type="dxa"/>
            <w:vMerge w:val="restart"/>
            <w:tcBorders>
              <w:tl2br w:val="nil"/>
              <w:tr2bl w:val="nil"/>
            </w:tcBorders>
            <w:noWrap w:val="0"/>
            <w:vAlign w:val="center"/>
          </w:tcPr>
          <w:p w14:paraId="4DDBB2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现</w:t>
            </w:r>
            <w:r>
              <w:rPr>
                <w:rFonts w:hint="default" w:ascii="Times New Roman" w:hAnsi="Times New Roman" w:eastAsia="宋体" w:cs="Times New Roman"/>
                <w:color w:val="auto"/>
                <w:sz w:val="21"/>
                <w:szCs w:val="21"/>
                <w:highlight w:val="none"/>
                <w:vertAlign w:val="baseline"/>
                <w:lang w:val="en-US" w:eastAsia="zh-CN"/>
              </w:rPr>
              <w:t>状评价</w:t>
            </w:r>
          </w:p>
        </w:tc>
        <w:tc>
          <w:tcPr>
            <w:tcW w:w="1862" w:type="dxa"/>
            <w:tcBorders>
              <w:tl2br w:val="nil"/>
              <w:tr2bl w:val="nil"/>
            </w:tcBorders>
            <w:noWrap w:val="0"/>
            <w:vAlign w:val="center"/>
          </w:tcPr>
          <w:p w14:paraId="638822D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评价范围</w:t>
            </w:r>
          </w:p>
        </w:tc>
        <w:tc>
          <w:tcPr>
            <w:tcW w:w="11877" w:type="dxa"/>
            <w:gridSpan w:val="11"/>
            <w:tcBorders>
              <w:tl2br w:val="nil"/>
              <w:tr2bl w:val="nil"/>
            </w:tcBorders>
            <w:noWrap w:val="0"/>
            <w:vAlign w:val="center"/>
          </w:tcPr>
          <w:p w14:paraId="3FD0BBD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河流：长度（</w:t>
            </w:r>
            <w:r>
              <w:rPr>
                <w:rFonts w:hint="eastAsia" w:ascii="Times New Roman" w:hAnsi="Calibri" w:eastAsia="宋体" w:cs="Times New Roman"/>
                <w:color w:val="auto"/>
                <w:sz w:val="21"/>
                <w:szCs w:val="21"/>
                <w:highlight w:val="none"/>
                <w:vertAlign w:val="baseline"/>
                <w:lang w:val="en-US" w:eastAsia="zh-CN"/>
              </w:rPr>
              <w:t>15.9</w:t>
            </w:r>
            <w:r>
              <w:rPr>
                <w:rFonts w:hint="default" w:ascii="Times New Roman" w:hAnsi="Times New Roman" w:eastAsia="宋体" w:cs="Times New Roman"/>
                <w:color w:val="auto"/>
                <w:sz w:val="21"/>
                <w:szCs w:val="21"/>
                <w:highlight w:val="none"/>
                <w:vertAlign w:val="baseline"/>
                <w:lang w:val="en-US" w:eastAsia="zh-CN"/>
              </w:rPr>
              <w:t>）km；湖库、河口及近岸海域：面积（）km</w:t>
            </w:r>
            <w:r>
              <w:rPr>
                <w:rFonts w:hint="default" w:ascii="Times New Roman" w:hAnsi="Times New Roman" w:eastAsia="宋体" w:cs="Times New Roman"/>
                <w:color w:val="auto"/>
                <w:sz w:val="21"/>
                <w:szCs w:val="21"/>
                <w:highlight w:val="none"/>
                <w:vertAlign w:val="superscript"/>
                <w:lang w:val="en-US" w:eastAsia="zh-CN"/>
              </w:rPr>
              <w:t>2</w:t>
            </w:r>
          </w:p>
        </w:tc>
      </w:tr>
      <w:tr w14:paraId="2D8D2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435" w:type="dxa"/>
            <w:vMerge w:val="continue"/>
            <w:tcBorders>
              <w:tl2br w:val="nil"/>
              <w:tr2bl w:val="nil"/>
            </w:tcBorders>
            <w:noWrap w:val="0"/>
            <w:vAlign w:val="center"/>
          </w:tcPr>
          <w:p w14:paraId="61C928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1862" w:type="dxa"/>
            <w:tcBorders>
              <w:tl2br w:val="nil"/>
              <w:tr2bl w:val="nil"/>
            </w:tcBorders>
            <w:noWrap w:val="0"/>
            <w:vAlign w:val="center"/>
          </w:tcPr>
          <w:p w14:paraId="63D307C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评价因子</w:t>
            </w:r>
          </w:p>
        </w:tc>
        <w:tc>
          <w:tcPr>
            <w:tcW w:w="11877" w:type="dxa"/>
            <w:gridSpan w:val="11"/>
            <w:tcBorders>
              <w:tl2br w:val="nil"/>
              <w:tr2bl w:val="nil"/>
            </w:tcBorders>
            <w:noWrap w:val="0"/>
            <w:vAlign w:val="center"/>
          </w:tcPr>
          <w:p w14:paraId="5ABC646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w:t>
            </w:r>
            <w:r>
              <w:rPr>
                <w:rFonts w:hint="default" w:ascii="Times New Roman" w:hAnsi="Times New Roman" w:eastAsia="宋体" w:cs="Times New Roman"/>
                <w:color w:val="auto"/>
                <w:spacing w:val="14"/>
                <w:sz w:val="21"/>
                <w:szCs w:val="21"/>
                <w:highlight w:val="none"/>
              </w:rPr>
              <w:t>pH、COD、BOD</w:t>
            </w:r>
            <w:r>
              <w:rPr>
                <w:rFonts w:hint="default" w:ascii="Times New Roman" w:hAnsi="Times New Roman" w:eastAsia="宋体" w:cs="Times New Roman"/>
                <w:color w:val="auto"/>
                <w:spacing w:val="14"/>
                <w:sz w:val="21"/>
                <w:szCs w:val="21"/>
                <w:highlight w:val="none"/>
                <w:vertAlign w:val="subscript"/>
              </w:rPr>
              <w:t>5</w:t>
            </w:r>
            <w:r>
              <w:rPr>
                <w:rFonts w:hint="default" w:ascii="Times New Roman" w:hAnsi="Times New Roman" w:eastAsia="宋体" w:cs="Times New Roman"/>
                <w:color w:val="auto"/>
                <w:spacing w:val="14"/>
                <w:sz w:val="21"/>
                <w:szCs w:val="21"/>
                <w:highlight w:val="none"/>
              </w:rPr>
              <w:t>、氨氮、总磷、总氮、</w:t>
            </w:r>
            <w:r>
              <w:rPr>
                <w:rFonts w:hint="eastAsia" w:ascii="Times New Roman" w:hAnsi="Calibri" w:eastAsia="宋体" w:cs="Times New Roman"/>
                <w:color w:val="auto"/>
                <w:spacing w:val="14"/>
                <w:sz w:val="21"/>
                <w:szCs w:val="21"/>
                <w:highlight w:val="none"/>
                <w:lang w:val="en-US" w:eastAsia="zh-CN"/>
              </w:rPr>
              <w:t>SS</w:t>
            </w:r>
            <w:r>
              <w:rPr>
                <w:rFonts w:hint="default" w:ascii="Times New Roman" w:hAnsi="Times New Roman" w:eastAsia="宋体" w:cs="Times New Roman"/>
                <w:color w:val="auto"/>
                <w:sz w:val="21"/>
                <w:szCs w:val="21"/>
                <w:highlight w:val="none"/>
                <w:vertAlign w:val="baseline"/>
                <w:lang w:val="en-US" w:eastAsia="zh-CN"/>
              </w:rPr>
              <w:t>）</w:t>
            </w:r>
          </w:p>
        </w:tc>
      </w:tr>
      <w:tr w14:paraId="7B34A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 w:hRule="atLeast"/>
        </w:trPr>
        <w:tc>
          <w:tcPr>
            <w:tcW w:w="435" w:type="dxa"/>
            <w:vMerge w:val="continue"/>
            <w:tcBorders>
              <w:tl2br w:val="nil"/>
              <w:tr2bl w:val="nil"/>
            </w:tcBorders>
            <w:noWrap w:val="0"/>
            <w:vAlign w:val="center"/>
          </w:tcPr>
          <w:p w14:paraId="6B3A71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1862" w:type="dxa"/>
            <w:tcBorders>
              <w:tl2br w:val="nil"/>
              <w:tr2bl w:val="nil"/>
            </w:tcBorders>
            <w:noWrap w:val="0"/>
            <w:vAlign w:val="center"/>
          </w:tcPr>
          <w:p w14:paraId="3A491B3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评价标准</w:t>
            </w:r>
          </w:p>
        </w:tc>
        <w:tc>
          <w:tcPr>
            <w:tcW w:w="11877" w:type="dxa"/>
            <w:gridSpan w:val="11"/>
            <w:tcBorders>
              <w:tl2br w:val="nil"/>
              <w:tr2bl w:val="nil"/>
            </w:tcBorders>
            <w:noWrap w:val="0"/>
            <w:vAlign w:val="center"/>
          </w:tcPr>
          <w:p w14:paraId="068778F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河流、湖库、河口：Ⅰ类</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；Ⅱ类</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；Ⅲ类</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；Ⅳ类</w:t>
            </w:r>
            <w:r>
              <w:rPr>
                <w:rFonts w:hint="default" w:ascii="Times New Roman" w:hAnsi="Times New Roman" w:eastAsia="宋体" w:cs="Times New Roman"/>
                <w:color w:val="auto"/>
                <w:sz w:val="21"/>
                <w:szCs w:val="21"/>
                <w:highlight w:val="none"/>
                <w:vertAlign w:val="baseline"/>
                <w:lang w:val="en-US" w:eastAsia="zh-CN"/>
              </w:rPr>
              <w:sym w:font="Wingdings 2" w:char="0052"/>
            </w:r>
            <w:r>
              <w:rPr>
                <w:rFonts w:hint="default" w:ascii="Times New Roman" w:hAnsi="Times New Roman" w:eastAsia="宋体" w:cs="Times New Roman"/>
                <w:color w:val="auto"/>
                <w:sz w:val="21"/>
                <w:szCs w:val="21"/>
                <w:highlight w:val="none"/>
                <w:vertAlign w:val="baseline"/>
                <w:lang w:val="en-US" w:eastAsia="zh-CN"/>
              </w:rPr>
              <w:t>；Ⅴ类</w:t>
            </w:r>
            <w:r>
              <w:rPr>
                <w:rFonts w:hint="default" w:ascii="Times New Roman" w:hAnsi="Times New Roman" w:eastAsia="宋体" w:cs="Times New Roman"/>
                <w:color w:val="auto"/>
                <w:sz w:val="21"/>
                <w:szCs w:val="21"/>
                <w:highlight w:val="none"/>
                <w:vertAlign w:val="baseline"/>
                <w:lang w:val="en-US" w:eastAsia="zh-CN"/>
              </w:rPr>
              <w:sym w:font="Wingdings 2" w:char="00A3"/>
            </w:r>
          </w:p>
          <w:p w14:paraId="62BDB29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近岸海域：第一类</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；第二类</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；第三类</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；第四类</w:t>
            </w:r>
            <w:r>
              <w:rPr>
                <w:rFonts w:hint="default" w:ascii="Times New Roman" w:hAnsi="Times New Roman" w:eastAsia="宋体" w:cs="Times New Roman"/>
                <w:color w:val="auto"/>
                <w:sz w:val="21"/>
                <w:szCs w:val="21"/>
                <w:highlight w:val="none"/>
                <w:vertAlign w:val="baseline"/>
                <w:lang w:val="en-US" w:eastAsia="zh-CN"/>
              </w:rPr>
              <w:sym w:font="Wingdings 2" w:char="00A3"/>
            </w:r>
          </w:p>
          <w:p w14:paraId="2D20FA7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规划年评价标准（Ⅲ）</w:t>
            </w:r>
          </w:p>
        </w:tc>
      </w:tr>
      <w:tr w14:paraId="4C2AB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435" w:type="dxa"/>
            <w:vMerge w:val="continue"/>
            <w:tcBorders>
              <w:tl2br w:val="nil"/>
              <w:tr2bl w:val="nil"/>
            </w:tcBorders>
            <w:noWrap w:val="0"/>
            <w:vAlign w:val="center"/>
          </w:tcPr>
          <w:p w14:paraId="523F1C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1862" w:type="dxa"/>
            <w:tcBorders>
              <w:tl2br w:val="nil"/>
              <w:tr2bl w:val="nil"/>
            </w:tcBorders>
            <w:noWrap w:val="0"/>
            <w:vAlign w:val="center"/>
          </w:tcPr>
          <w:p w14:paraId="1F8ED16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评价时期</w:t>
            </w:r>
          </w:p>
        </w:tc>
        <w:tc>
          <w:tcPr>
            <w:tcW w:w="11877" w:type="dxa"/>
            <w:gridSpan w:val="11"/>
            <w:tcBorders>
              <w:tl2br w:val="nil"/>
              <w:tr2bl w:val="nil"/>
            </w:tcBorders>
            <w:noWrap w:val="0"/>
            <w:vAlign w:val="center"/>
          </w:tcPr>
          <w:p w14:paraId="61A6374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丰水期</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；平水期</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；枯水期</w:t>
            </w:r>
            <w:r>
              <w:rPr>
                <w:rFonts w:hint="default" w:ascii="Times New Roman" w:hAnsi="Times New Roman" w:eastAsia="宋体" w:cs="Times New Roman"/>
                <w:color w:val="auto"/>
                <w:sz w:val="21"/>
                <w:szCs w:val="21"/>
                <w:highlight w:val="none"/>
                <w:vertAlign w:val="baseline"/>
                <w:lang w:val="en-US" w:eastAsia="zh-CN"/>
              </w:rPr>
              <w:sym w:font="Wingdings 2" w:char="0052"/>
            </w:r>
            <w:r>
              <w:rPr>
                <w:rFonts w:hint="default" w:ascii="Times New Roman" w:hAnsi="Times New Roman" w:eastAsia="宋体" w:cs="Times New Roman"/>
                <w:color w:val="auto"/>
                <w:sz w:val="21"/>
                <w:szCs w:val="21"/>
                <w:highlight w:val="none"/>
                <w:vertAlign w:val="baseline"/>
                <w:lang w:val="en-US" w:eastAsia="zh-CN"/>
              </w:rPr>
              <w:t>；冰封期</w:t>
            </w:r>
            <w:r>
              <w:rPr>
                <w:rFonts w:hint="default" w:ascii="Times New Roman" w:hAnsi="Times New Roman" w:eastAsia="宋体" w:cs="Times New Roman"/>
                <w:color w:val="auto"/>
                <w:sz w:val="21"/>
                <w:szCs w:val="21"/>
                <w:highlight w:val="none"/>
                <w:vertAlign w:val="baseline"/>
                <w:lang w:val="en-US" w:eastAsia="zh-CN"/>
              </w:rPr>
              <w:sym w:font="Wingdings 2" w:char="00A3"/>
            </w:r>
          </w:p>
          <w:p w14:paraId="4525BBB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春季</w:t>
            </w:r>
            <w:r>
              <w:rPr>
                <w:rFonts w:hint="default" w:ascii="Times New Roman" w:hAnsi="Times New Roman" w:eastAsia="宋体" w:cs="Times New Roman"/>
                <w:color w:val="auto"/>
                <w:sz w:val="21"/>
                <w:szCs w:val="21"/>
                <w:highlight w:val="none"/>
                <w:vertAlign w:val="baseline"/>
                <w:lang w:val="en-US" w:eastAsia="zh-CN"/>
              </w:rPr>
              <w:sym w:font="Wingdings 2" w:char="0052"/>
            </w:r>
            <w:r>
              <w:rPr>
                <w:rFonts w:hint="default" w:ascii="Times New Roman" w:hAnsi="Times New Roman" w:eastAsia="宋体" w:cs="Times New Roman"/>
                <w:color w:val="auto"/>
                <w:sz w:val="21"/>
                <w:szCs w:val="21"/>
                <w:highlight w:val="none"/>
                <w:vertAlign w:val="baseline"/>
                <w:lang w:val="en-US" w:eastAsia="zh-CN"/>
              </w:rPr>
              <w:t>；夏季</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；秋季</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；冬季</w:t>
            </w:r>
            <w:r>
              <w:rPr>
                <w:rFonts w:hint="default" w:ascii="Times New Roman" w:hAnsi="Times New Roman" w:eastAsia="宋体" w:cs="Times New Roman"/>
                <w:color w:val="auto"/>
                <w:sz w:val="21"/>
                <w:szCs w:val="21"/>
                <w:highlight w:val="none"/>
                <w:vertAlign w:val="baseline"/>
                <w:lang w:val="en-US" w:eastAsia="zh-CN"/>
              </w:rPr>
              <w:sym w:font="Wingdings 2" w:char="00A3"/>
            </w:r>
          </w:p>
        </w:tc>
      </w:tr>
      <w:tr w14:paraId="6200A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trPr>
        <w:tc>
          <w:tcPr>
            <w:tcW w:w="435" w:type="dxa"/>
            <w:vMerge w:val="continue"/>
            <w:tcBorders>
              <w:tl2br w:val="nil"/>
              <w:tr2bl w:val="nil"/>
            </w:tcBorders>
            <w:noWrap w:val="0"/>
            <w:vAlign w:val="center"/>
          </w:tcPr>
          <w:p w14:paraId="7C328F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1862" w:type="dxa"/>
            <w:tcBorders>
              <w:tl2br w:val="nil"/>
              <w:tr2bl w:val="nil"/>
            </w:tcBorders>
            <w:noWrap w:val="0"/>
            <w:vAlign w:val="center"/>
          </w:tcPr>
          <w:p w14:paraId="04F0E83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评价结论</w:t>
            </w:r>
          </w:p>
        </w:tc>
        <w:tc>
          <w:tcPr>
            <w:tcW w:w="8838" w:type="dxa"/>
            <w:gridSpan w:val="10"/>
            <w:tcBorders>
              <w:tl2br w:val="nil"/>
              <w:tr2bl w:val="nil"/>
            </w:tcBorders>
            <w:noWrap w:val="0"/>
            <w:vAlign w:val="center"/>
          </w:tcPr>
          <w:p w14:paraId="2BA2A4D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水环境功能区或水功能区、近岸海域环境功能区水质达标状况</w:t>
            </w:r>
            <w:r>
              <w:rPr>
                <w:rFonts w:hint="default" w:ascii="Times New Roman" w:hAnsi="Times New Roman" w:eastAsia="宋体" w:cs="Times New Roman"/>
                <w:color w:val="auto"/>
                <w:sz w:val="21"/>
                <w:szCs w:val="21"/>
                <w:highlight w:val="none"/>
                <w:vertAlign w:val="baseline"/>
                <w:lang w:val="en-US" w:eastAsia="zh-CN"/>
              </w:rPr>
              <w:sym w:font="Wingdings 2" w:char="0052"/>
            </w:r>
            <w:r>
              <w:rPr>
                <w:rFonts w:hint="default" w:ascii="Times New Roman" w:hAnsi="Times New Roman" w:eastAsia="宋体" w:cs="Times New Roman"/>
                <w:color w:val="auto"/>
                <w:sz w:val="21"/>
                <w:szCs w:val="21"/>
                <w:highlight w:val="none"/>
                <w:vertAlign w:val="baseline"/>
                <w:lang w:val="en-US" w:eastAsia="zh-CN"/>
              </w:rPr>
              <w:t>：达标</w:t>
            </w:r>
            <w:r>
              <w:rPr>
                <w:rFonts w:hint="default" w:ascii="Times New Roman" w:hAnsi="Times New Roman" w:eastAsia="宋体" w:cs="Times New Roman"/>
                <w:color w:val="auto"/>
                <w:sz w:val="21"/>
                <w:szCs w:val="21"/>
                <w:highlight w:val="none"/>
                <w:vertAlign w:val="baseline"/>
                <w:lang w:val="en-US" w:eastAsia="zh-CN"/>
              </w:rPr>
              <w:sym w:font="Wingdings 2" w:char="0052"/>
            </w:r>
            <w:r>
              <w:rPr>
                <w:rFonts w:hint="default" w:ascii="Times New Roman" w:hAnsi="Times New Roman" w:eastAsia="宋体" w:cs="Times New Roman"/>
                <w:color w:val="auto"/>
                <w:sz w:val="21"/>
                <w:szCs w:val="21"/>
                <w:highlight w:val="none"/>
                <w:vertAlign w:val="baseline"/>
                <w:lang w:val="en-US" w:eastAsia="zh-CN"/>
              </w:rPr>
              <w:t>；不达标</w:t>
            </w:r>
            <w:r>
              <w:rPr>
                <w:rFonts w:hint="default" w:ascii="Times New Roman" w:hAnsi="Times New Roman" w:eastAsia="宋体" w:cs="Times New Roman"/>
                <w:color w:val="auto"/>
                <w:sz w:val="21"/>
                <w:szCs w:val="21"/>
                <w:highlight w:val="none"/>
                <w:vertAlign w:val="baseline"/>
                <w:lang w:val="en-US" w:eastAsia="zh-CN"/>
              </w:rPr>
              <w:sym w:font="Wingdings 2" w:char="00A3"/>
            </w:r>
          </w:p>
          <w:p w14:paraId="73B999E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水环境控制单元或断面水质达标情况</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：达标</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；不达标</w:t>
            </w:r>
            <w:r>
              <w:rPr>
                <w:rFonts w:hint="default" w:ascii="Times New Roman" w:hAnsi="Times New Roman" w:eastAsia="宋体" w:cs="Times New Roman"/>
                <w:color w:val="auto"/>
                <w:sz w:val="21"/>
                <w:szCs w:val="21"/>
                <w:highlight w:val="none"/>
                <w:vertAlign w:val="baseline"/>
                <w:lang w:val="en-US" w:eastAsia="zh-CN"/>
              </w:rPr>
              <w:sym w:font="Wingdings 2" w:char="00A3"/>
            </w:r>
          </w:p>
          <w:p w14:paraId="5222A44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对照断面、控制断面等代表性断面的水质状况</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：达标</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；不达标</w:t>
            </w:r>
            <w:r>
              <w:rPr>
                <w:rFonts w:hint="default" w:ascii="Times New Roman" w:hAnsi="Times New Roman" w:eastAsia="宋体" w:cs="Times New Roman"/>
                <w:color w:val="auto"/>
                <w:sz w:val="21"/>
                <w:szCs w:val="21"/>
                <w:highlight w:val="none"/>
                <w:vertAlign w:val="baseline"/>
                <w:lang w:val="en-US" w:eastAsia="zh-CN"/>
              </w:rPr>
              <w:sym w:font="Wingdings 2" w:char="00A3"/>
            </w:r>
          </w:p>
          <w:p w14:paraId="6FA75F2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水环境保护目标质量状况</w:t>
            </w:r>
            <w:r>
              <w:rPr>
                <w:rFonts w:hint="default" w:ascii="Times New Roman" w:hAnsi="Times New Roman" w:eastAsia="宋体" w:cs="Times New Roman"/>
                <w:color w:val="auto"/>
                <w:sz w:val="21"/>
                <w:szCs w:val="21"/>
                <w:highlight w:val="none"/>
                <w:vertAlign w:val="baseline"/>
                <w:lang w:val="en-US" w:eastAsia="zh-CN"/>
              </w:rPr>
              <w:sym w:font="Wingdings 2" w:char="0052"/>
            </w:r>
            <w:r>
              <w:rPr>
                <w:rFonts w:hint="default" w:ascii="Times New Roman" w:hAnsi="Times New Roman" w:eastAsia="宋体" w:cs="Times New Roman"/>
                <w:color w:val="auto"/>
                <w:sz w:val="21"/>
                <w:szCs w:val="21"/>
                <w:highlight w:val="none"/>
                <w:vertAlign w:val="baseline"/>
                <w:lang w:val="en-US" w:eastAsia="zh-CN"/>
              </w:rPr>
              <w:t>：达标</w:t>
            </w:r>
            <w:r>
              <w:rPr>
                <w:rFonts w:hint="default" w:ascii="Times New Roman" w:hAnsi="Times New Roman" w:eastAsia="宋体" w:cs="Times New Roman"/>
                <w:color w:val="auto"/>
                <w:sz w:val="21"/>
                <w:szCs w:val="21"/>
                <w:highlight w:val="none"/>
                <w:vertAlign w:val="baseline"/>
                <w:lang w:val="en-US" w:eastAsia="zh-CN"/>
              </w:rPr>
              <w:sym w:font="Wingdings 2" w:char="0052"/>
            </w:r>
            <w:r>
              <w:rPr>
                <w:rFonts w:hint="default" w:ascii="Times New Roman" w:hAnsi="Times New Roman" w:eastAsia="宋体" w:cs="Times New Roman"/>
                <w:color w:val="auto"/>
                <w:sz w:val="21"/>
                <w:szCs w:val="21"/>
                <w:highlight w:val="none"/>
                <w:vertAlign w:val="baseline"/>
                <w:lang w:val="en-US" w:eastAsia="zh-CN"/>
              </w:rPr>
              <w:t>；不达标</w:t>
            </w:r>
            <w:r>
              <w:rPr>
                <w:rFonts w:hint="default" w:ascii="Times New Roman" w:hAnsi="Times New Roman" w:eastAsia="宋体" w:cs="Times New Roman"/>
                <w:color w:val="auto"/>
                <w:sz w:val="21"/>
                <w:szCs w:val="21"/>
                <w:highlight w:val="none"/>
                <w:vertAlign w:val="baseline"/>
                <w:lang w:val="en-US" w:eastAsia="zh-CN"/>
              </w:rPr>
              <w:sym w:font="Wingdings 2" w:char="00A3"/>
            </w:r>
          </w:p>
          <w:p w14:paraId="45A7C83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底泥污染评价</w:t>
            </w:r>
            <w:r>
              <w:rPr>
                <w:rFonts w:hint="default" w:ascii="Times New Roman" w:hAnsi="Times New Roman" w:eastAsia="宋体" w:cs="Times New Roman"/>
                <w:color w:val="auto"/>
                <w:sz w:val="21"/>
                <w:szCs w:val="21"/>
                <w:highlight w:val="none"/>
                <w:vertAlign w:val="baseline"/>
                <w:lang w:val="en-US" w:eastAsia="zh-CN"/>
              </w:rPr>
              <w:sym w:font="Wingdings 2" w:char="00A3"/>
            </w:r>
          </w:p>
          <w:p w14:paraId="51B105C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水资源与开发利用程度及其水文情势评价</w:t>
            </w:r>
            <w:r>
              <w:rPr>
                <w:rFonts w:hint="default" w:ascii="Times New Roman" w:hAnsi="Times New Roman" w:eastAsia="宋体" w:cs="Times New Roman"/>
                <w:color w:val="auto"/>
                <w:sz w:val="21"/>
                <w:szCs w:val="21"/>
                <w:highlight w:val="none"/>
                <w:vertAlign w:val="baseline"/>
                <w:lang w:val="en-US" w:eastAsia="zh-CN"/>
              </w:rPr>
              <w:sym w:font="Wingdings 2" w:char="00A3"/>
            </w:r>
          </w:p>
          <w:p w14:paraId="6302CB0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水环境质量回顾评价</w:t>
            </w:r>
            <w:r>
              <w:rPr>
                <w:rFonts w:hint="default" w:ascii="Times New Roman" w:hAnsi="Times New Roman" w:eastAsia="宋体" w:cs="Times New Roman"/>
                <w:color w:val="auto"/>
                <w:sz w:val="21"/>
                <w:szCs w:val="21"/>
                <w:highlight w:val="none"/>
                <w:vertAlign w:val="baseline"/>
                <w:lang w:val="en-US" w:eastAsia="zh-CN"/>
              </w:rPr>
              <w:sym w:font="Wingdings 2" w:char="00A3"/>
            </w:r>
          </w:p>
          <w:p w14:paraId="3793E7A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流域（区域）水资源（包括水能资源）与开发利用总体状况、生态流量管理要求与现状满足程度、建设项目占用水域空间的水流状况与河湖演变状况</w:t>
            </w:r>
            <w:r>
              <w:rPr>
                <w:rFonts w:hint="default" w:ascii="Times New Roman" w:hAnsi="Times New Roman" w:eastAsia="宋体" w:cs="Times New Roman"/>
                <w:color w:val="auto"/>
                <w:sz w:val="21"/>
                <w:szCs w:val="21"/>
                <w:highlight w:val="none"/>
                <w:vertAlign w:val="baseline"/>
                <w:lang w:val="en-US" w:eastAsia="zh-CN"/>
              </w:rPr>
              <w:sym w:font="Wingdings 2" w:char="00A3"/>
            </w:r>
          </w:p>
        </w:tc>
        <w:tc>
          <w:tcPr>
            <w:tcW w:w="3039" w:type="dxa"/>
            <w:tcBorders>
              <w:tl2br w:val="nil"/>
              <w:tr2bl w:val="nil"/>
            </w:tcBorders>
            <w:noWrap w:val="0"/>
            <w:vAlign w:val="center"/>
          </w:tcPr>
          <w:p w14:paraId="356DBB4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达标区</w:t>
            </w:r>
            <w:r>
              <w:rPr>
                <w:rFonts w:hint="default" w:ascii="Times New Roman" w:hAnsi="Times New Roman" w:eastAsia="宋体" w:cs="Times New Roman"/>
                <w:color w:val="auto"/>
                <w:sz w:val="21"/>
                <w:szCs w:val="21"/>
                <w:highlight w:val="none"/>
                <w:vertAlign w:val="baseline"/>
                <w:lang w:val="en-US" w:eastAsia="zh-CN"/>
              </w:rPr>
              <w:sym w:font="Wingdings 2" w:char="0052"/>
            </w:r>
          </w:p>
          <w:p w14:paraId="134D696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不达标区</w:t>
            </w:r>
            <w:r>
              <w:rPr>
                <w:rFonts w:hint="default" w:ascii="Times New Roman" w:hAnsi="Times New Roman" w:eastAsia="宋体" w:cs="Times New Roman"/>
                <w:color w:val="auto"/>
                <w:sz w:val="21"/>
                <w:szCs w:val="21"/>
                <w:highlight w:val="none"/>
                <w:vertAlign w:val="baseline"/>
                <w:lang w:val="en-US" w:eastAsia="zh-CN"/>
              </w:rPr>
              <w:sym w:font="Wingdings 2" w:char="00A3"/>
            </w:r>
          </w:p>
        </w:tc>
      </w:tr>
      <w:tr w14:paraId="36747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435" w:type="dxa"/>
            <w:vMerge w:val="restart"/>
            <w:tcBorders>
              <w:tl2br w:val="nil"/>
              <w:tr2bl w:val="nil"/>
            </w:tcBorders>
            <w:noWrap w:val="0"/>
            <w:vAlign w:val="center"/>
          </w:tcPr>
          <w:p w14:paraId="35ABC0C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影</w:t>
            </w:r>
            <w:r>
              <w:rPr>
                <w:rFonts w:hint="default" w:ascii="Times New Roman" w:hAnsi="Times New Roman" w:eastAsia="宋体" w:cs="Times New Roman"/>
                <w:color w:val="auto"/>
                <w:sz w:val="21"/>
                <w:szCs w:val="21"/>
                <w:highlight w:val="none"/>
                <w:vertAlign w:val="baseline"/>
                <w:lang w:val="en-US" w:eastAsia="zh-CN"/>
              </w:rPr>
              <w:t>响预测</w:t>
            </w:r>
          </w:p>
        </w:tc>
        <w:tc>
          <w:tcPr>
            <w:tcW w:w="1862" w:type="dxa"/>
            <w:tcBorders>
              <w:tl2br w:val="nil"/>
              <w:tr2bl w:val="nil"/>
            </w:tcBorders>
            <w:noWrap w:val="0"/>
            <w:vAlign w:val="center"/>
          </w:tcPr>
          <w:p w14:paraId="7081C34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预测范围</w:t>
            </w:r>
          </w:p>
        </w:tc>
        <w:tc>
          <w:tcPr>
            <w:tcW w:w="11877" w:type="dxa"/>
            <w:gridSpan w:val="11"/>
            <w:tcBorders>
              <w:tl2br w:val="nil"/>
              <w:tr2bl w:val="nil"/>
            </w:tcBorders>
            <w:noWrap w:val="0"/>
            <w:vAlign w:val="center"/>
          </w:tcPr>
          <w:p w14:paraId="12C66CE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河流：长度（）km；湖库、河口及近岸海域：面积（）km</w:t>
            </w:r>
            <w:r>
              <w:rPr>
                <w:rFonts w:hint="default" w:ascii="Times New Roman" w:hAnsi="Times New Roman" w:eastAsia="宋体" w:cs="Times New Roman"/>
                <w:color w:val="auto"/>
                <w:sz w:val="21"/>
                <w:szCs w:val="21"/>
                <w:highlight w:val="none"/>
                <w:vertAlign w:val="superscript"/>
                <w:lang w:val="en-US" w:eastAsia="zh-CN"/>
              </w:rPr>
              <w:t>2</w:t>
            </w:r>
          </w:p>
        </w:tc>
      </w:tr>
      <w:tr w14:paraId="05404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435" w:type="dxa"/>
            <w:vMerge w:val="continue"/>
            <w:tcBorders>
              <w:tl2br w:val="nil"/>
              <w:tr2bl w:val="nil"/>
            </w:tcBorders>
            <w:noWrap w:val="0"/>
            <w:vAlign w:val="center"/>
          </w:tcPr>
          <w:p w14:paraId="333191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DD1FDB"/>
                <w:sz w:val="21"/>
                <w:szCs w:val="21"/>
                <w:highlight w:val="none"/>
                <w:vertAlign w:val="baseline"/>
                <w:lang w:val="en-US" w:eastAsia="zh-CN"/>
              </w:rPr>
            </w:pPr>
          </w:p>
        </w:tc>
        <w:tc>
          <w:tcPr>
            <w:tcW w:w="1862" w:type="dxa"/>
            <w:tcBorders>
              <w:tl2br w:val="nil"/>
              <w:tr2bl w:val="nil"/>
            </w:tcBorders>
            <w:noWrap w:val="0"/>
            <w:vAlign w:val="center"/>
          </w:tcPr>
          <w:p w14:paraId="2CBD1A6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预测因子</w:t>
            </w:r>
          </w:p>
        </w:tc>
        <w:tc>
          <w:tcPr>
            <w:tcW w:w="11877" w:type="dxa"/>
            <w:gridSpan w:val="11"/>
            <w:tcBorders>
              <w:tl2br w:val="nil"/>
              <w:tr2bl w:val="nil"/>
            </w:tcBorders>
            <w:noWrap w:val="0"/>
            <w:vAlign w:val="center"/>
          </w:tcPr>
          <w:p w14:paraId="2F988A1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w:t>
            </w:r>
          </w:p>
        </w:tc>
      </w:tr>
      <w:tr w14:paraId="7D5E0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435" w:type="dxa"/>
            <w:vMerge w:val="continue"/>
            <w:tcBorders>
              <w:tl2br w:val="nil"/>
              <w:tr2bl w:val="nil"/>
            </w:tcBorders>
            <w:noWrap w:val="0"/>
            <w:vAlign w:val="center"/>
          </w:tcPr>
          <w:p w14:paraId="7A1C6E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DD1FDB"/>
                <w:sz w:val="21"/>
                <w:szCs w:val="21"/>
                <w:highlight w:val="none"/>
                <w:vertAlign w:val="baseline"/>
                <w:lang w:val="en-US" w:eastAsia="zh-CN"/>
              </w:rPr>
            </w:pPr>
          </w:p>
        </w:tc>
        <w:tc>
          <w:tcPr>
            <w:tcW w:w="1862" w:type="dxa"/>
            <w:tcBorders>
              <w:tl2br w:val="nil"/>
              <w:tr2bl w:val="nil"/>
            </w:tcBorders>
            <w:noWrap w:val="0"/>
            <w:vAlign w:val="center"/>
          </w:tcPr>
          <w:p w14:paraId="260FED5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预测时期</w:t>
            </w:r>
          </w:p>
        </w:tc>
        <w:tc>
          <w:tcPr>
            <w:tcW w:w="11877" w:type="dxa"/>
            <w:gridSpan w:val="11"/>
            <w:tcBorders>
              <w:tl2br w:val="nil"/>
              <w:tr2bl w:val="nil"/>
            </w:tcBorders>
            <w:noWrap w:val="0"/>
            <w:vAlign w:val="center"/>
          </w:tcPr>
          <w:p w14:paraId="39C4295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丰水期</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；平水期</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；枯水期</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；冰封期</w:t>
            </w:r>
            <w:r>
              <w:rPr>
                <w:rFonts w:hint="default" w:ascii="Times New Roman" w:hAnsi="Times New Roman" w:eastAsia="宋体" w:cs="Times New Roman"/>
                <w:color w:val="auto"/>
                <w:sz w:val="21"/>
                <w:szCs w:val="21"/>
                <w:highlight w:val="none"/>
                <w:vertAlign w:val="baseline"/>
                <w:lang w:val="en-US" w:eastAsia="zh-CN"/>
              </w:rPr>
              <w:sym w:font="Wingdings 2" w:char="00A3"/>
            </w:r>
          </w:p>
          <w:p w14:paraId="3010FDC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春季</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；夏季</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；秋季</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；冬季</w:t>
            </w:r>
            <w:r>
              <w:rPr>
                <w:rFonts w:hint="default" w:ascii="Times New Roman" w:hAnsi="Times New Roman" w:eastAsia="宋体" w:cs="Times New Roman"/>
                <w:color w:val="auto"/>
                <w:sz w:val="21"/>
                <w:szCs w:val="21"/>
                <w:highlight w:val="none"/>
                <w:vertAlign w:val="baseline"/>
                <w:lang w:val="en-US" w:eastAsia="zh-CN"/>
              </w:rPr>
              <w:sym w:font="Wingdings 2" w:char="00A3"/>
            </w:r>
          </w:p>
          <w:p w14:paraId="30EA05C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设计水文条件</w:t>
            </w:r>
            <w:r>
              <w:rPr>
                <w:rFonts w:hint="default" w:ascii="Times New Roman" w:hAnsi="Times New Roman" w:eastAsia="宋体" w:cs="Times New Roman"/>
                <w:color w:val="auto"/>
                <w:sz w:val="21"/>
                <w:szCs w:val="21"/>
                <w:highlight w:val="none"/>
                <w:vertAlign w:val="baseline"/>
                <w:lang w:val="en-US" w:eastAsia="zh-CN"/>
              </w:rPr>
              <w:sym w:font="Wingdings 2" w:char="00A3"/>
            </w:r>
          </w:p>
        </w:tc>
      </w:tr>
      <w:tr w14:paraId="2A8DC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435" w:type="dxa"/>
            <w:vMerge w:val="continue"/>
            <w:tcBorders>
              <w:tl2br w:val="nil"/>
              <w:tr2bl w:val="nil"/>
            </w:tcBorders>
            <w:noWrap w:val="0"/>
            <w:vAlign w:val="center"/>
          </w:tcPr>
          <w:p w14:paraId="1FAE19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DD1FDB"/>
                <w:sz w:val="21"/>
                <w:szCs w:val="21"/>
                <w:highlight w:val="none"/>
                <w:vertAlign w:val="baseline"/>
                <w:lang w:val="en-US" w:eastAsia="zh-CN"/>
              </w:rPr>
            </w:pPr>
          </w:p>
        </w:tc>
        <w:tc>
          <w:tcPr>
            <w:tcW w:w="1862" w:type="dxa"/>
            <w:tcBorders>
              <w:tl2br w:val="nil"/>
              <w:tr2bl w:val="nil"/>
            </w:tcBorders>
            <w:noWrap w:val="0"/>
            <w:vAlign w:val="center"/>
          </w:tcPr>
          <w:p w14:paraId="0BDFA35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预测情景</w:t>
            </w:r>
          </w:p>
        </w:tc>
        <w:tc>
          <w:tcPr>
            <w:tcW w:w="11877" w:type="dxa"/>
            <w:gridSpan w:val="11"/>
            <w:tcBorders>
              <w:tl2br w:val="nil"/>
              <w:tr2bl w:val="nil"/>
            </w:tcBorders>
            <w:noWrap w:val="0"/>
            <w:vAlign w:val="center"/>
          </w:tcPr>
          <w:p w14:paraId="7C5B551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建设期</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；生产运行期</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；服务期满后</w:t>
            </w:r>
            <w:r>
              <w:rPr>
                <w:rFonts w:hint="default" w:ascii="Times New Roman" w:hAnsi="Times New Roman" w:eastAsia="宋体" w:cs="Times New Roman"/>
                <w:color w:val="auto"/>
                <w:sz w:val="21"/>
                <w:szCs w:val="21"/>
                <w:highlight w:val="none"/>
                <w:vertAlign w:val="baseline"/>
                <w:lang w:val="en-US" w:eastAsia="zh-CN"/>
              </w:rPr>
              <w:sym w:font="Wingdings 2" w:char="00A3"/>
            </w:r>
          </w:p>
          <w:p w14:paraId="7216C83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正常工况</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；非正常工况</w:t>
            </w:r>
            <w:r>
              <w:rPr>
                <w:rFonts w:hint="default" w:ascii="Times New Roman" w:hAnsi="Times New Roman" w:eastAsia="宋体" w:cs="Times New Roman"/>
                <w:color w:val="auto"/>
                <w:sz w:val="21"/>
                <w:szCs w:val="21"/>
                <w:highlight w:val="none"/>
                <w:vertAlign w:val="baseline"/>
                <w:lang w:val="en-US" w:eastAsia="zh-CN"/>
              </w:rPr>
              <w:sym w:font="Wingdings 2" w:char="00A3"/>
            </w:r>
          </w:p>
          <w:p w14:paraId="32630E3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污染控制和减缓措施方案</w:t>
            </w:r>
            <w:r>
              <w:rPr>
                <w:rFonts w:hint="default" w:ascii="Times New Roman" w:hAnsi="Times New Roman" w:eastAsia="宋体" w:cs="Times New Roman"/>
                <w:color w:val="auto"/>
                <w:sz w:val="21"/>
                <w:szCs w:val="21"/>
                <w:highlight w:val="none"/>
                <w:vertAlign w:val="baseline"/>
                <w:lang w:val="en-US" w:eastAsia="zh-CN"/>
              </w:rPr>
              <w:sym w:font="Wingdings 2" w:char="00A3"/>
            </w:r>
          </w:p>
          <w:p w14:paraId="2996446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区（流）域环境质量改善目标要求情景</w:t>
            </w:r>
            <w:r>
              <w:rPr>
                <w:rFonts w:hint="default" w:ascii="Times New Roman" w:hAnsi="Times New Roman" w:eastAsia="宋体" w:cs="Times New Roman"/>
                <w:color w:val="auto"/>
                <w:sz w:val="21"/>
                <w:szCs w:val="21"/>
                <w:highlight w:val="none"/>
                <w:vertAlign w:val="baseline"/>
                <w:lang w:val="en-US" w:eastAsia="zh-CN"/>
              </w:rPr>
              <w:sym w:font="Wingdings 2" w:char="00A3"/>
            </w:r>
          </w:p>
        </w:tc>
      </w:tr>
      <w:tr w14:paraId="25F4B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435" w:type="dxa"/>
            <w:vMerge w:val="continue"/>
            <w:tcBorders>
              <w:tl2br w:val="nil"/>
              <w:tr2bl w:val="nil"/>
            </w:tcBorders>
            <w:noWrap w:val="0"/>
            <w:vAlign w:val="center"/>
          </w:tcPr>
          <w:p w14:paraId="6EBD91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DD1FDB"/>
                <w:sz w:val="21"/>
                <w:szCs w:val="21"/>
                <w:highlight w:val="none"/>
                <w:vertAlign w:val="baseline"/>
                <w:lang w:val="en-US" w:eastAsia="zh-CN"/>
              </w:rPr>
            </w:pPr>
          </w:p>
        </w:tc>
        <w:tc>
          <w:tcPr>
            <w:tcW w:w="1862" w:type="dxa"/>
            <w:tcBorders>
              <w:tl2br w:val="nil"/>
              <w:tr2bl w:val="nil"/>
            </w:tcBorders>
            <w:noWrap w:val="0"/>
            <w:vAlign w:val="center"/>
          </w:tcPr>
          <w:p w14:paraId="62D36B1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预测方法</w:t>
            </w:r>
          </w:p>
        </w:tc>
        <w:tc>
          <w:tcPr>
            <w:tcW w:w="11877" w:type="dxa"/>
            <w:gridSpan w:val="11"/>
            <w:tcBorders>
              <w:tl2br w:val="nil"/>
              <w:tr2bl w:val="nil"/>
            </w:tcBorders>
            <w:noWrap w:val="0"/>
            <w:vAlign w:val="center"/>
          </w:tcPr>
          <w:p w14:paraId="660AA7A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数值解</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；解析解</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；其他</w:t>
            </w:r>
            <w:r>
              <w:rPr>
                <w:rFonts w:hint="default" w:ascii="Times New Roman" w:hAnsi="Times New Roman" w:eastAsia="宋体" w:cs="Times New Roman"/>
                <w:color w:val="auto"/>
                <w:sz w:val="21"/>
                <w:szCs w:val="21"/>
                <w:highlight w:val="none"/>
                <w:vertAlign w:val="baseline"/>
                <w:lang w:val="en-US" w:eastAsia="zh-CN"/>
              </w:rPr>
              <w:sym w:font="Wingdings 2" w:char="00A3"/>
            </w:r>
          </w:p>
          <w:p w14:paraId="512955A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导则推荐模式</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；其他</w:t>
            </w:r>
            <w:r>
              <w:rPr>
                <w:rFonts w:hint="default" w:ascii="Times New Roman" w:hAnsi="Times New Roman" w:eastAsia="宋体" w:cs="Times New Roman"/>
                <w:color w:val="auto"/>
                <w:sz w:val="21"/>
                <w:szCs w:val="21"/>
                <w:highlight w:val="none"/>
                <w:vertAlign w:val="baseline"/>
                <w:lang w:val="en-US" w:eastAsia="zh-CN"/>
              </w:rPr>
              <w:sym w:font="Wingdings 2" w:char="00A3"/>
            </w:r>
          </w:p>
        </w:tc>
      </w:tr>
      <w:tr w14:paraId="1476E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435" w:type="dxa"/>
            <w:vMerge w:val="restart"/>
            <w:tcBorders>
              <w:tl2br w:val="nil"/>
              <w:tr2bl w:val="nil"/>
            </w:tcBorders>
            <w:noWrap w:val="0"/>
            <w:vAlign w:val="center"/>
          </w:tcPr>
          <w:p w14:paraId="2956C0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DD1FDB"/>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影</w:t>
            </w:r>
            <w:r>
              <w:rPr>
                <w:rFonts w:hint="default" w:ascii="Times New Roman" w:hAnsi="Times New Roman" w:eastAsia="宋体" w:cs="Times New Roman"/>
                <w:color w:val="auto"/>
                <w:sz w:val="21"/>
                <w:szCs w:val="21"/>
                <w:highlight w:val="none"/>
                <w:vertAlign w:val="baseline"/>
                <w:lang w:val="en-US" w:eastAsia="zh-CN"/>
              </w:rPr>
              <w:t>响评价</w:t>
            </w:r>
          </w:p>
        </w:tc>
        <w:tc>
          <w:tcPr>
            <w:tcW w:w="1862" w:type="dxa"/>
            <w:tcBorders>
              <w:tl2br w:val="nil"/>
              <w:tr2bl w:val="nil"/>
            </w:tcBorders>
            <w:noWrap w:val="0"/>
            <w:vAlign w:val="center"/>
          </w:tcPr>
          <w:p w14:paraId="5224714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水污染控制和水环境影响减缓措施有效性评价</w:t>
            </w:r>
          </w:p>
        </w:tc>
        <w:tc>
          <w:tcPr>
            <w:tcW w:w="11877" w:type="dxa"/>
            <w:gridSpan w:val="11"/>
            <w:tcBorders>
              <w:tl2br w:val="nil"/>
              <w:tr2bl w:val="nil"/>
            </w:tcBorders>
            <w:noWrap w:val="0"/>
            <w:vAlign w:val="center"/>
          </w:tcPr>
          <w:p w14:paraId="07B821A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流域（区域）水环境质量改善目标</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；替代消减源</w:t>
            </w:r>
            <w:r>
              <w:rPr>
                <w:rFonts w:hint="default" w:ascii="Times New Roman" w:hAnsi="Times New Roman" w:eastAsia="宋体" w:cs="Times New Roman"/>
                <w:color w:val="auto"/>
                <w:sz w:val="21"/>
                <w:szCs w:val="21"/>
                <w:highlight w:val="none"/>
                <w:vertAlign w:val="baseline"/>
                <w:lang w:val="en-US" w:eastAsia="zh-CN"/>
              </w:rPr>
              <w:sym w:font="Wingdings 2" w:char="00A3"/>
            </w:r>
          </w:p>
        </w:tc>
      </w:tr>
      <w:tr w14:paraId="0A26C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435" w:type="dxa"/>
            <w:vMerge w:val="continue"/>
            <w:tcBorders>
              <w:tl2br w:val="nil"/>
              <w:tr2bl w:val="nil"/>
            </w:tcBorders>
            <w:noWrap w:val="0"/>
            <w:vAlign w:val="center"/>
          </w:tcPr>
          <w:p w14:paraId="6EA8A4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DD1FDB"/>
                <w:sz w:val="21"/>
                <w:szCs w:val="21"/>
                <w:highlight w:val="none"/>
                <w:vertAlign w:val="baseline"/>
                <w:lang w:val="en-US" w:eastAsia="zh-CN"/>
              </w:rPr>
            </w:pPr>
          </w:p>
        </w:tc>
        <w:tc>
          <w:tcPr>
            <w:tcW w:w="1862" w:type="dxa"/>
            <w:tcBorders>
              <w:tl2br w:val="nil"/>
              <w:tr2bl w:val="nil"/>
            </w:tcBorders>
            <w:noWrap w:val="0"/>
            <w:vAlign w:val="center"/>
          </w:tcPr>
          <w:p w14:paraId="10A646F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水环境影响评价</w:t>
            </w:r>
          </w:p>
        </w:tc>
        <w:tc>
          <w:tcPr>
            <w:tcW w:w="11877" w:type="dxa"/>
            <w:gridSpan w:val="11"/>
            <w:tcBorders>
              <w:tl2br w:val="nil"/>
              <w:tr2bl w:val="nil"/>
            </w:tcBorders>
            <w:noWrap w:val="0"/>
            <w:vAlign w:val="center"/>
          </w:tcPr>
          <w:p w14:paraId="6C74EFB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排放口混合区外满足水环境管理要求</w:t>
            </w:r>
            <w:r>
              <w:rPr>
                <w:rFonts w:hint="default" w:ascii="Times New Roman" w:hAnsi="Times New Roman" w:eastAsia="宋体" w:cs="Times New Roman"/>
                <w:color w:val="auto"/>
                <w:sz w:val="21"/>
                <w:szCs w:val="21"/>
                <w:highlight w:val="none"/>
                <w:vertAlign w:val="baseline"/>
                <w:lang w:val="en-US" w:eastAsia="zh-CN"/>
              </w:rPr>
              <w:sym w:font="Wingdings 2" w:char="00A3"/>
            </w:r>
          </w:p>
          <w:p w14:paraId="7558467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水环境功能区或水功能区、近岸海域环境功能区水质达标</w:t>
            </w:r>
            <w:r>
              <w:rPr>
                <w:rFonts w:hint="default" w:ascii="Times New Roman" w:hAnsi="Times New Roman" w:eastAsia="宋体" w:cs="Times New Roman"/>
                <w:color w:val="auto"/>
                <w:sz w:val="21"/>
                <w:szCs w:val="21"/>
                <w:highlight w:val="none"/>
                <w:vertAlign w:val="baseline"/>
                <w:lang w:val="en-US" w:eastAsia="zh-CN"/>
              </w:rPr>
              <w:sym w:font="Wingdings 2" w:char="00A3"/>
            </w:r>
          </w:p>
          <w:p w14:paraId="16A2ED8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满足水环境保护目标水域水环境质量要求</w:t>
            </w:r>
            <w:r>
              <w:rPr>
                <w:rFonts w:hint="default" w:ascii="Times New Roman" w:hAnsi="Times New Roman" w:eastAsia="宋体" w:cs="Times New Roman"/>
                <w:color w:val="auto"/>
                <w:sz w:val="21"/>
                <w:szCs w:val="21"/>
                <w:highlight w:val="none"/>
                <w:vertAlign w:val="baseline"/>
                <w:lang w:val="en-US" w:eastAsia="zh-CN"/>
              </w:rPr>
              <w:sym w:font="Wingdings 2" w:char="00A3"/>
            </w:r>
          </w:p>
          <w:p w14:paraId="465072B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水环境控制单元与断面水质达标</w:t>
            </w:r>
            <w:r>
              <w:rPr>
                <w:rFonts w:hint="default" w:ascii="Times New Roman" w:hAnsi="Times New Roman" w:eastAsia="宋体" w:cs="Times New Roman"/>
                <w:color w:val="auto"/>
                <w:sz w:val="21"/>
                <w:szCs w:val="21"/>
                <w:highlight w:val="none"/>
                <w:vertAlign w:val="baseline"/>
                <w:lang w:val="en-US" w:eastAsia="zh-CN"/>
              </w:rPr>
              <w:sym w:font="Wingdings 2" w:char="00A3"/>
            </w:r>
          </w:p>
          <w:p w14:paraId="78FDDDD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满足重点水污染物排放总量控制指标要求，重点行业建设项目；主要污染物排放满足等量或减量替代要求</w:t>
            </w:r>
            <w:r>
              <w:rPr>
                <w:rFonts w:hint="default" w:ascii="Times New Roman" w:hAnsi="Times New Roman" w:eastAsia="宋体" w:cs="Times New Roman"/>
                <w:color w:val="auto"/>
                <w:sz w:val="21"/>
                <w:szCs w:val="21"/>
                <w:highlight w:val="none"/>
                <w:vertAlign w:val="baseline"/>
                <w:lang w:val="en-US" w:eastAsia="zh-CN"/>
              </w:rPr>
              <w:sym w:font="Wingdings 2" w:char="00A3"/>
            </w:r>
          </w:p>
          <w:p w14:paraId="20EF25D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满足区（流）域水环境质量改善目标要求</w:t>
            </w:r>
            <w:r>
              <w:rPr>
                <w:rFonts w:hint="default" w:ascii="Times New Roman" w:hAnsi="Times New Roman" w:eastAsia="宋体" w:cs="Times New Roman"/>
                <w:color w:val="auto"/>
                <w:sz w:val="21"/>
                <w:szCs w:val="21"/>
                <w:highlight w:val="none"/>
                <w:vertAlign w:val="baseline"/>
                <w:lang w:val="en-US" w:eastAsia="zh-CN"/>
              </w:rPr>
              <w:sym w:font="Wingdings 2" w:char="00A3"/>
            </w:r>
          </w:p>
          <w:p w14:paraId="2D8FBFB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水文要素影响型建设项目同时应包括水文情势变化评价、主要水文特征值影响评价、生态流量符合性评价</w:t>
            </w:r>
            <w:r>
              <w:rPr>
                <w:rFonts w:hint="default" w:ascii="Times New Roman" w:hAnsi="Times New Roman" w:eastAsia="宋体" w:cs="Times New Roman"/>
                <w:color w:val="auto"/>
                <w:sz w:val="21"/>
                <w:szCs w:val="21"/>
                <w:highlight w:val="none"/>
                <w:vertAlign w:val="baseline"/>
                <w:lang w:val="en-US" w:eastAsia="zh-CN"/>
              </w:rPr>
              <w:sym w:font="Wingdings 2" w:char="00A3"/>
            </w:r>
          </w:p>
          <w:p w14:paraId="5C02CD7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对于新设或调整入河（湖库、近岸海域）排放口的建设项目，应包括排放口设置的环境</w:t>
            </w:r>
            <w:r>
              <w:rPr>
                <w:rFonts w:hint="eastAsia" w:ascii="Times New Roman" w:hAnsi="Times New Roman" w:eastAsia="宋体" w:cs="Times New Roman"/>
                <w:color w:val="auto"/>
                <w:sz w:val="21"/>
                <w:szCs w:val="21"/>
                <w:highlight w:val="none"/>
                <w:vertAlign w:val="baseline"/>
                <w:lang w:val="en-US" w:eastAsia="zh-CN"/>
              </w:rPr>
              <w:t>合理性</w:t>
            </w:r>
            <w:r>
              <w:rPr>
                <w:rFonts w:hint="default" w:ascii="Times New Roman" w:hAnsi="Times New Roman" w:eastAsia="宋体" w:cs="Times New Roman"/>
                <w:color w:val="auto"/>
                <w:sz w:val="21"/>
                <w:szCs w:val="21"/>
                <w:highlight w:val="none"/>
                <w:vertAlign w:val="baseline"/>
                <w:lang w:val="en-US" w:eastAsia="zh-CN"/>
              </w:rPr>
              <w:t>评价</w:t>
            </w:r>
            <w:r>
              <w:rPr>
                <w:rFonts w:hint="default" w:ascii="Times New Roman" w:hAnsi="Times New Roman" w:eastAsia="宋体" w:cs="Times New Roman"/>
                <w:color w:val="auto"/>
                <w:sz w:val="21"/>
                <w:szCs w:val="21"/>
                <w:highlight w:val="none"/>
                <w:vertAlign w:val="baseline"/>
                <w:lang w:val="en-US" w:eastAsia="zh-CN"/>
              </w:rPr>
              <w:sym w:font="Wingdings 2" w:char="00A3"/>
            </w:r>
          </w:p>
          <w:p w14:paraId="3172C81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满足生态保护红线、水环境质量底线、资源利用上线和环境准入清单管理要求</w:t>
            </w:r>
            <w:r>
              <w:rPr>
                <w:rFonts w:hint="default" w:ascii="Times New Roman" w:hAnsi="Times New Roman" w:eastAsia="宋体" w:cs="Times New Roman"/>
                <w:color w:val="auto"/>
                <w:sz w:val="21"/>
                <w:szCs w:val="21"/>
                <w:highlight w:val="none"/>
                <w:vertAlign w:val="baseline"/>
                <w:lang w:val="en-US" w:eastAsia="zh-CN"/>
              </w:rPr>
              <w:sym w:font="Wingdings 2" w:char="00A3"/>
            </w:r>
          </w:p>
        </w:tc>
      </w:tr>
      <w:tr w14:paraId="5C0FB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435" w:type="dxa"/>
            <w:vMerge w:val="continue"/>
            <w:tcBorders>
              <w:tl2br w:val="nil"/>
              <w:tr2bl w:val="nil"/>
            </w:tcBorders>
            <w:noWrap w:val="0"/>
            <w:vAlign w:val="center"/>
          </w:tcPr>
          <w:p w14:paraId="02F43E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DD1FDB"/>
                <w:sz w:val="21"/>
                <w:szCs w:val="21"/>
                <w:highlight w:val="none"/>
                <w:vertAlign w:val="baseline"/>
                <w:lang w:val="en-US" w:eastAsia="zh-CN"/>
              </w:rPr>
            </w:pPr>
          </w:p>
        </w:tc>
        <w:tc>
          <w:tcPr>
            <w:tcW w:w="1862" w:type="dxa"/>
            <w:vMerge w:val="restart"/>
            <w:tcBorders>
              <w:tl2br w:val="nil"/>
              <w:tr2bl w:val="nil"/>
            </w:tcBorders>
            <w:noWrap w:val="0"/>
            <w:vAlign w:val="center"/>
          </w:tcPr>
          <w:p w14:paraId="710D3C3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污染源排放量核算</w:t>
            </w:r>
          </w:p>
        </w:tc>
        <w:tc>
          <w:tcPr>
            <w:tcW w:w="3088" w:type="dxa"/>
            <w:gridSpan w:val="2"/>
            <w:tcBorders>
              <w:tl2br w:val="nil"/>
              <w:tr2bl w:val="nil"/>
            </w:tcBorders>
            <w:noWrap w:val="0"/>
            <w:vAlign w:val="center"/>
          </w:tcPr>
          <w:p w14:paraId="11D1B8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污染物名称</w:t>
            </w:r>
          </w:p>
        </w:tc>
        <w:tc>
          <w:tcPr>
            <w:tcW w:w="4675" w:type="dxa"/>
            <w:gridSpan w:val="5"/>
            <w:tcBorders>
              <w:tl2br w:val="nil"/>
              <w:tr2bl w:val="nil"/>
            </w:tcBorders>
            <w:noWrap w:val="0"/>
            <w:vAlign w:val="center"/>
          </w:tcPr>
          <w:p w14:paraId="54856A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排放量/（t/a）</w:t>
            </w:r>
          </w:p>
        </w:tc>
        <w:tc>
          <w:tcPr>
            <w:tcW w:w="4114" w:type="dxa"/>
            <w:gridSpan w:val="4"/>
            <w:tcBorders>
              <w:tl2br w:val="nil"/>
              <w:tr2bl w:val="nil"/>
            </w:tcBorders>
            <w:noWrap w:val="0"/>
            <w:vAlign w:val="center"/>
          </w:tcPr>
          <w:p w14:paraId="14A185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排放浓度/（mg/L）</w:t>
            </w:r>
          </w:p>
        </w:tc>
      </w:tr>
      <w:tr w14:paraId="4D2FA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435" w:type="dxa"/>
            <w:vMerge w:val="continue"/>
            <w:tcBorders>
              <w:tl2br w:val="nil"/>
              <w:tr2bl w:val="nil"/>
            </w:tcBorders>
            <w:noWrap w:val="0"/>
            <w:vAlign w:val="center"/>
          </w:tcPr>
          <w:p w14:paraId="44C24C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DD1FDB"/>
                <w:sz w:val="21"/>
                <w:szCs w:val="21"/>
                <w:highlight w:val="none"/>
                <w:vertAlign w:val="baseline"/>
                <w:lang w:val="en-US" w:eastAsia="zh-CN"/>
              </w:rPr>
            </w:pPr>
          </w:p>
        </w:tc>
        <w:tc>
          <w:tcPr>
            <w:tcW w:w="1862" w:type="dxa"/>
            <w:vMerge w:val="continue"/>
            <w:tcBorders>
              <w:tl2br w:val="nil"/>
              <w:tr2bl w:val="nil"/>
            </w:tcBorders>
            <w:noWrap w:val="0"/>
            <w:vAlign w:val="center"/>
          </w:tcPr>
          <w:p w14:paraId="00C5ADF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3088" w:type="dxa"/>
            <w:gridSpan w:val="2"/>
            <w:tcBorders>
              <w:tl2br w:val="nil"/>
              <w:tr2bl w:val="nil"/>
            </w:tcBorders>
            <w:noWrap w:val="0"/>
            <w:vAlign w:val="center"/>
          </w:tcPr>
          <w:p w14:paraId="2A2159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w:t>
            </w:r>
          </w:p>
        </w:tc>
        <w:tc>
          <w:tcPr>
            <w:tcW w:w="4675" w:type="dxa"/>
            <w:gridSpan w:val="5"/>
            <w:tcBorders>
              <w:tl2br w:val="nil"/>
              <w:tr2bl w:val="nil"/>
            </w:tcBorders>
            <w:noWrap w:val="0"/>
            <w:vAlign w:val="center"/>
          </w:tcPr>
          <w:p w14:paraId="5BA6B8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w:t>
            </w:r>
          </w:p>
        </w:tc>
        <w:tc>
          <w:tcPr>
            <w:tcW w:w="4114" w:type="dxa"/>
            <w:gridSpan w:val="4"/>
            <w:tcBorders>
              <w:tl2br w:val="nil"/>
              <w:tr2bl w:val="nil"/>
            </w:tcBorders>
            <w:noWrap w:val="0"/>
            <w:vAlign w:val="center"/>
          </w:tcPr>
          <w:p w14:paraId="5F1132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w:t>
            </w:r>
          </w:p>
        </w:tc>
      </w:tr>
      <w:tr w14:paraId="5A908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trPr>
        <w:tc>
          <w:tcPr>
            <w:tcW w:w="435" w:type="dxa"/>
            <w:vMerge w:val="continue"/>
            <w:tcBorders>
              <w:tl2br w:val="nil"/>
              <w:tr2bl w:val="nil"/>
            </w:tcBorders>
            <w:noWrap w:val="0"/>
            <w:vAlign w:val="center"/>
          </w:tcPr>
          <w:p w14:paraId="624498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DD1FDB"/>
                <w:sz w:val="21"/>
                <w:szCs w:val="21"/>
                <w:highlight w:val="none"/>
                <w:vertAlign w:val="baseline"/>
                <w:lang w:val="en-US" w:eastAsia="zh-CN"/>
              </w:rPr>
            </w:pPr>
          </w:p>
        </w:tc>
        <w:tc>
          <w:tcPr>
            <w:tcW w:w="1862" w:type="dxa"/>
            <w:vMerge w:val="restart"/>
            <w:tcBorders>
              <w:tl2br w:val="nil"/>
              <w:tr2bl w:val="nil"/>
            </w:tcBorders>
            <w:noWrap w:val="0"/>
            <w:vAlign w:val="center"/>
          </w:tcPr>
          <w:p w14:paraId="22B256C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替代源排放情况</w:t>
            </w:r>
          </w:p>
        </w:tc>
        <w:tc>
          <w:tcPr>
            <w:tcW w:w="2138" w:type="dxa"/>
            <w:tcBorders>
              <w:tl2br w:val="nil"/>
              <w:tr2bl w:val="nil"/>
            </w:tcBorders>
            <w:noWrap w:val="0"/>
            <w:vAlign w:val="center"/>
          </w:tcPr>
          <w:p w14:paraId="3E57D8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污染源名称</w:t>
            </w:r>
          </w:p>
        </w:tc>
        <w:tc>
          <w:tcPr>
            <w:tcW w:w="2137" w:type="dxa"/>
            <w:gridSpan w:val="3"/>
            <w:tcBorders>
              <w:tl2br w:val="nil"/>
              <w:tr2bl w:val="nil"/>
            </w:tcBorders>
            <w:noWrap w:val="0"/>
            <w:vAlign w:val="center"/>
          </w:tcPr>
          <w:p w14:paraId="3263D3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排污许可证编号</w:t>
            </w:r>
          </w:p>
        </w:tc>
        <w:tc>
          <w:tcPr>
            <w:tcW w:w="2175" w:type="dxa"/>
            <w:gridSpan w:val="2"/>
            <w:tcBorders>
              <w:tl2br w:val="nil"/>
              <w:tr2bl w:val="nil"/>
            </w:tcBorders>
            <w:noWrap w:val="0"/>
            <w:vAlign w:val="center"/>
          </w:tcPr>
          <w:p w14:paraId="4DCBB8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污染物名称</w:t>
            </w:r>
          </w:p>
        </w:tc>
        <w:tc>
          <w:tcPr>
            <w:tcW w:w="2325" w:type="dxa"/>
            <w:gridSpan w:val="3"/>
            <w:tcBorders>
              <w:tl2br w:val="nil"/>
              <w:tr2bl w:val="nil"/>
            </w:tcBorders>
            <w:noWrap w:val="0"/>
            <w:vAlign w:val="center"/>
          </w:tcPr>
          <w:p w14:paraId="2521B0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排放量/（t/a）</w:t>
            </w:r>
          </w:p>
        </w:tc>
        <w:tc>
          <w:tcPr>
            <w:tcW w:w="3102" w:type="dxa"/>
            <w:gridSpan w:val="2"/>
            <w:tcBorders>
              <w:tl2br w:val="nil"/>
              <w:tr2bl w:val="nil"/>
            </w:tcBorders>
            <w:noWrap w:val="0"/>
            <w:vAlign w:val="center"/>
          </w:tcPr>
          <w:p w14:paraId="504635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排放浓度/（mg/L）</w:t>
            </w:r>
          </w:p>
        </w:tc>
      </w:tr>
      <w:tr w14:paraId="3EC0B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435" w:type="dxa"/>
            <w:vMerge w:val="continue"/>
            <w:tcBorders>
              <w:tl2br w:val="nil"/>
              <w:tr2bl w:val="nil"/>
            </w:tcBorders>
            <w:noWrap w:val="0"/>
            <w:vAlign w:val="center"/>
          </w:tcPr>
          <w:p w14:paraId="41FCA7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1862" w:type="dxa"/>
            <w:vMerge w:val="continue"/>
            <w:tcBorders>
              <w:tl2br w:val="nil"/>
              <w:tr2bl w:val="nil"/>
            </w:tcBorders>
            <w:noWrap w:val="0"/>
            <w:vAlign w:val="center"/>
          </w:tcPr>
          <w:p w14:paraId="4D2558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2138" w:type="dxa"/>
            <w:tcBorders>
              <w:tl2br w:val="nil"/>
              <w:tr2bl w:val="nil"/>
            </w:tcBorders>
            <w:noWrap w:val="0"/>
            <w:vAlign w:val="center"/>
          </w:tcPr>
          <w:p w14:paraId="5A6740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w:t>
            </w:r>
          </w:p>
        </w:tc>
        <w:tc>
          <w:tcPr>
            <w:tcW w:w="2137" w:type="dxa"/>
            <w:gridSpan w:val="3"/>
            <w:tcBorders>
              <w:tl2br w:val="nil"/>
              <w:tr2bl w:val="nil"/>
            </w:tcBorders>
            <w:noWrap w:val="0"/>
            <w:vAlign w:val="center"/>
          </w:tcPr>
          <w:p w14:paraId="6B8762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w:t>
            </w:r>
          </w:p>
        </w:tc>
        <w:tc>
          <w:tcPr>
            <w:tcW w:w="2175" w:type="dxa"/>
            <w:gridSpan w:val="2"/>
            <w:tcBorders>
              <w:tl2br w:val="nil"/>
              <w:tr2bl w:val="nil"/>
            </w:tcBorders>
            <w:noWrap w:val="0"/>
            <w:vAlign w:val="center"/>
          </w:tcPr>
          <w:p w14:paraId="0C9055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w:t>
            </w:r>
          </w:p>
        </w:tc>
        <w:tc>
          <w:tcPr>
            <w:tcW w:w="2325" w:type="dxa"/>
            <w:gridSpan w:val="3"/>
            <w:tcBorders>
              <w:tl2br w:val="nil"/>
              <w:tr2bl w:val="nil"/>
            </w:tcBorders>
            <w:noWrap w:val="0"/>
            <w:vAlign w:val="center"/>
          </w:tcPr>
          <w:p w14:paraId="70100C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w:t>
            </w:r>
          </w:p>
        </w:tc>
        <w:tc>
          <w:tcPr>
            <w:tcW w:w="3102" w:type="dxa"/>
            <w:gridSpan w:val="2"/>
            <w:tcBorders>
              <w:tl2br w:val="nil"/>
              <w:tr2bl w:val="nil"/>
            </w:tcBorders>
            <w:noWrap w:val="0"/>
            <w:vAlign w:val="center"/>
          </w:tcPr>
          <w:p w14:paraId="3CAFB3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w:t>
            </w:r>
          </w:p>
        </w:tc>
      </w:tr>
      <w:tr w14:paraId="784D7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435" w:type="dxa"/>
            <w:vMerge w:val="continue"/>
            <w:tcBorders>
              <w:tl2br w:val="nil"/>
              <w:tr2bl w:val="nil"/>
            </w:tcBorders>
            <w:noWrap w:val="0"/>
            <w:vAlign w:val="center"/>
          </w:tcPr>
          <w:p w14:paraId="66BFEE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1862" w:type="dxa"/>
            <w:tcBorders>
              <w:tl2br w:val="nil"/>
              <w:tr2bl w:val="nil"/>
            </w:tcBorders>
            <w:noWrap w:val="0"/>
            <w:vAlign w:val="center"/>
          </w:tcPr>
          <w:p w14:paraId="5E92076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生态流量确定</w:t>
            </w:r>
          </w:p>
        </w:tc>
        <w:tc>
          <w:tcPr>
            <w:tcW w:w="11877" w:type="dxa"/>
            <w:gridSpan w:val="11"/>
            <w:tcBorders>
              <w:tl2br w:val="nil"/>
              <w:tr2bl w:val="nil"/>
            </w:tcBorders>
            <w:noWrap w:val="0"/>
            <w:vAlign w:val="center"/>
          </w:tcPr>
          <w:p w14:paraId="3C01FF0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生态流量：一般水期（）m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vertAlign w:val="baseline"/>
                <w:lang w:val="en-US" w:eastAsia="zh-CN"/>
              </w:rPr>
              <w:t>/s；鱼类繁殖期（）m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vertAlign w:val="baseline"/>
                <w:lang w:val="en-US" w:eastAsia="zh-CN"/>
              </w:rPr>
              <w:t>/s；其他m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vertAlign w:val="baseline"/>
                <w:lang w:val="en-US" w:eastAsia="zh-CN"/>
              </w:rPr>
              <w:t>/s</w:t>
            </w:r>
          </w:p>
          <w:p w14:paraId="29629FF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生态水位：一般水期（）m；鱼类繁殖期（）m；其他m</w:t>
            </w:r>
          </w:p>
        </w:tc>
      </w:tr>
      <w:tr w14:paraId="72648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trPr>
        <w:tc>
          <w:tcPr>
            <w:tcW w:w="435" w:type="dxa"/>
            <w:vMerge w:val="restart"/>
            <w:tcBorders>
              <w:tl2br w:val="nil"/>
              <w:tr2bl w:val="nil"/>
            </w:tcBorders>
            <w:noWrap w:val="0"/>
            <w:vAlign w:val="center"/>
          </w:tcPr>
          <w:p w14:paraId="711501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防</w:t>
            </w:r>
            <w:r>
              <w:rPr>
                <w:rFonts w:hint="default" w:ascii="Times New Roman" w:hAnsi="Times New Roman" w:eastAsia="宋体" w:cs="Times New Roman"/>
                <w:color w:val="auto"/>
                <w:sz w:val="21"/>
                <w:szCs w:val="21"/>
                <w:highlight w:val="none"/>
                <w:vertAlign w:val="baseline"/>
                <w:lang w:val="en-US" w:eastAsia="zh-CN"/>
              </w:rPr>
              <w:t>治措施</w:t>
            </w:r>
          </w:p>
        </w:tc>
        <w:tc>
          <w:tcPr>
            <w:tcW w:w="1862" w:type="dxa"/>
            <w:tcBorders>
              <w:tl2br w:val="nil"/>
              <w:tr2bl w:val="nil"/>
            </w:tcBorders>
            <w:noWrap w:val="0"/>
            <w:vAlign w:val="center"/>
          </w:tcPr>
          <w:p w14:paraId="59E961B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环保措施</w:t>
            </w:r>
          </w:p>
        </w:tc>
        <w:tc>
          <w:tcPr>
            <w:tcW w:w="11877" w:type="dxa"/>
            <w:gridSpan w:val="11"/>
            <w:tcBorders>
              <w:tl2br w:val="nil"/>
              <w:tr2bl w:val="nil"/>
            </w:tcBorders>
            <w:noWrap w:val="0"/>
            <w:vAlign w:val="center"/>
          </w:tcPr>
          <w:p w14:paraId="1A4853E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污水处理设施</w:t>
            </w:r>
            <w:r>
              <w:rPr>
                <w:rFonts w:hint="default" w:ascii="Times New Roman" w:hAnsi="Times New Roman" w:eastAsia="宋体" w:cs="Times New Roman"/>
                <w:color w:val="auto"/>
                <w:sz w:val="21"/>
                <w:szCs w:val="21"/>
                <w:highlight w:val="none"/>
                <w:vertAlign w:val="baseline"/>
                <w:lang w:val="en-US" w:eastAsia="zh-CN"/>
              </w:rPr>
              <w:sym w:font="Wingdings 2" w:char="0052"/>
            </w:r>
            <w:r>
              <w:rPr>
                <w:rFonts w:hint="default" w:ascii="Times New Roman" w:hAnsi="Times New Roman" w:eastAsia="宋体" w:cs="Times New Roman"/>
                <w:color w:val="auto"/>
                <w:sz w:val="21"/>
                <w:szCs w:val="21"/>
                <w:highlight w:val="none"/>
                <w:vertAlign w:val="baseline"/>
                <w:lang w:val="en-US" w:eastAsia="zh-CN"/>
              </w:rPr>
              <w:t>；水文减缓设施</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；生态流量保障设施</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；区域削减</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；依托其他工程措施</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；其他</w:t>
            </w:r>
            <w:r>
              <w:rPr>
                <w:rFonts w:hint="default" w:ascii="Times New Roman" w:hAnsi="Times New Roman" w:eastAsia="宋体" w:cs="Times New Roman"/>
                <w:color w:val="auto"/>
                <w:sz w:val="21"/>
                <w:szCs w:val="21"/>
                <w:highlight w:val="none"/>
                <w:vertAlign w:val="baseline"/>
                <w:lang w:val="en-US" w:eastAsia="zh-CN"/>
              </w:rPr>
              <w:sym w:font="Wingdings 2" w:char="00A3"/>
            </w:r>
          </w:p>
        </w:tc>
      </w:tr>
      <w:tr w14:paraId="7C006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435" w:type="dxa"/>
            <w:vMerge w:val="continue"/>
            <w:tcBorders>
              <w:tl2br w:val="nil"/>
              <w:tr2bl w:val="nil"/>
            </w:tcBorders>
            <w:noWrap w:val="0"/>
            <w:vAlign w:val="center"/>
          </w:tcPr>
          <w:p w14:paraId="3FED05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1862" w:type="dxa"/>
            <w:vMerge w:val="restart"/>
            <w:tcBorders>
              <w:tl2br w:val="nil"/>
              <w:tr2bl w:val="nil"/>
            </w:tcBorders>
            <w:noWrap w:val="0"/>
            <w:vAlign w:val="center"/>
          </w:tcPr>
          <w:p w14:paraId="76637C0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监测计划</w:t>
            </w:r>
          </w:p>
        </w:tc>
        <w:tc>
          <w:tcPr>
            <w:tcW w:w="3763" w:type="dxa"/>
            <w:gridSpan w:val="3"/>
            <w:tcBorders>
              <w:tl2br w:val="nil"/>
              <w:tr2bl w:val="nil"/>
            </w:tcBorders>
            <w:noWrap w:val="0"/>
            <w:vAlign w:val="center"/>
          </w:tcPr>
          <w:p w14:paraId="5FB15F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4462" w:type="dxa"/>
            <w:gridSpan w:val="5"/>
            <w:tcBorders>
              <w:tl2br w:val="nil"/>
              <w:tr2bl w:val="nil"/>
            </w:tcBorders>
            <w:noWrap w:val="0"/>
            <w:vAlign w:val="center"/>
          </w:tcPr>
          <w:p w14:paraId="5476AC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环境质量</w:t>
            </w:r>
          </w:p>
        </w:tc>
        <w:tc>
          <w:tcPr>
            <w:tcW w:w="3652" w:type="dxa"/>
            <w:gridSpan w:val="3"/>
            <w:tcBorders>
              <w:tl2br w:val="nil"/>
              <w:tr2bl w:val="nil"/>
            </w:tcBorders>
            <w:noWrap w:val="0"/>
            <w:vAlign w:val="center"/>
          </w:tcPr>
          <w:p w14:paraId="12293E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污染源</w:t>
            </w:r>
          </w:p>
        </w:tc>
      </w:tr>
      <w:tr w14:paraId="33E7D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435" w:type="dxa"/>
            <w:vMerge w:val="continue"/>
            <w:tcBorders>
              <w:tl2br w:val="nil"/>
              <w:tr2bl w:val="nil"/>
            </w:tcBorders>
            <w:noWrap w:val="0"/>
            <w:vAlign w:val="center"/>
          </w:tcPr>
          <w:p w14:paraId="5CAD2C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1862" w:type="dxa"/>
            <w:vMerge w:val="continue"/>
            <w:tcBorders>
              <w:tl2br w:val="nil"/>
              <w:tr2bl w:val="nil"/>
            </w:tcBorders>
            <w:noWrap w:val="0"/>
            <w:vAlign w:val="center"/>
          </w:tcPr>
          <w:p w14:paraId="535F98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3763" w:type="dxa"/>
            <w:gridSpan w:val="3"/>
            <w:tcBorders>
              <w:tl2br w:val="nil"/>
              <w:tr2bl w:val="nil"/>
            </w:tcBorders>
            <w:noWrap w:val="0"/>
            <w:vAlign w:val="center"/>
          </w:tcPr>
          <w:p w14:paraId="615DB6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监测方式</w:t>
            </w:r>
          </w:p>
        </w:tc>
        <w:tc>
          <w:tcPr>
            <w:tcW w:w="4462" w:type="dxa"/>
            <w:gridSpan w:val="5"/>
            <w:tcBorders>
              <w:tl2br w:val="nil"/>
              <w:tr2bl w:val="nil"/>
            </w:tcBorders>
            <w:noWrap w:val="0"/>
            <w:vAlign w:val="center"/>
          </w:tcPr>
          <w:p w14:paraId="7A9B4E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手动</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；自动</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；无监测</w:t>
            </w:r>
            <w:r>
              <w:rPr>
                <w:rFonts w:hint="default" w:ascii="Times New Roman" w:hAnsi="Times New Roman" w:eastAsia="宋体" w:cs="Times New Roman"/>
                <w:color w:val="auto"/>
                <w:sz w:val="21"/>
                <w:szCs w:val="21"/>
                <w:highlight w:val="none"/>
                <w:vertAlign w:val="baseline"/>
                <w:lang w:val="en-US" w:eastAsia="zh-CN"/>
              </w:rPr>
              <w:sym w:font="Wingdings 2" w:char="0052"/>
            </w:r>
          </w:p>
        </w:tc>
        <w:tc>
          <w:tcPr>
            <w:tcW w:w="3652" w:type="dxa"/>
            <w:gridSpan w:val="3"/>
            <w:tcBorders>
              <w:tl2br w:val="nil"/>
              <w:tr2bl w:val="nil"/>
            </w:tcBorders>
            <w:noWrap w:val="0"/>
            <w:vAlign w:val="center"/>
          </w:tcPr>
          <w:p w14:paraId="1E44E9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手动</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；自动</w:t>
            </w:r>
            <w:r>
              <w:rPr>
                <w:rFonts w:hint="default" w:ascii="Times New Roman" w:hAnsi="Times New Roman" w:eastAsia="宋体" w:cs="Times New Roman"/>
                <w:color w:val="auto"/>
                <w:sz w:val="21"/>
                <w:szCs w:val="21"/>
                <w:highlight w:val="none"/>
                <w:vertAlign w:val="baseline"/>
                <w:lang w:val="en-US" w:eastAsia="zh-CN"/>
              </w:rPr>
              <w:sym w:font="Wingdings 2" w:char="00A3"/>
            </w:r>
            <w:r>
              <w:rPr>
                <w:rFonts w:hint="default" w:ascii="Times New Roman" w:hAnsi="Times New Roman" w:eastAsia="宋体" w:cs="Times New Roman"/>
                <w:color w:val="auto"/>
                <w:sz w:val="21"/>
                <w:szCs w:val="21"/>
                <w:highlight w:val="none"/>
                <w:vertAlign w:val="baseline"/>
                <w:lang w:val="en-US" w:eastAsia="zh-CN"/>
              </w:rPr>
              <w:t>；无监测</w:t>
            </w:r>
            <w:r>
              <w:rPr>
                <w:rFonts w:hint="default" w:ascii="Times New Roman" w:hAnsi="Times New Roman" w:eastAsia="宋体" w:cs="Times New Roman"/>
                <w:color w:val="auto"/>
                <w:sz w:val="21"/>
                <w:szCs w:val="21"/>
                <w:highlight w:val="none"/>
                <w:vertAlign w:val="baseline"/>
                <w:lang w:val="en-US" w:eastAsia="zh-CN"/>
              </w:rPr>
              <w:sym w:font="Wingdings 2" w:char="00A3"/>
            </w:r>
          </w:p>
        </w:tc>
      </w:tr>
      <w:tr w14:paraId="0CEE9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435" w:type="dxa"/>
            <w:vMerge w:val="continue"/>
            <w:tcBorders>
              <w:tl2br w:val="nil"/>
              <w:tr2bl w:val="nil"/>
            </w:tcBorders>
            <w:noWrap w:val="0"/>
            <w:vAlign w:val="center"/>
          </w:tcPr>
          <w:p w14:paraId="5FB1EB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1862" w:type="dxa"/>
            <w:vMerge w:val="continue"/>
            <w:tcBorders>
              <w:tl2br w:val="nil"/>
              <w:tr2bl w:val="nil"/>
            </w:tcBorders>
            <w:noWrap w:val="0"/>
            <w:vAlign w:val="center"/>
          </w:tcPr>
          <w:p w14:paraId="0DED5D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3763" w:type="dxa"/>
            <w:gridSpan w:val="3"/>
            <w:tcBorders>
              <w:tl2br w:val="nil"/>
              <w:tr2bl w:val="nil"/>
            </w:tcBorders>
            <w:noWrap w:val="0"/>
            <w:vAlign w:val="center"/>
          </w:tcPr>
          <w:p w14:paraId="68CAFD4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监测点位</w:t>
            </w:r>
          </w:p>
        </w:tc>
        <w:tc>
          <w:tcPr>
            <w:tcW w:w="4462" w:type="dxa"/>
            <w:gridSpan w:val="5"/>
            <w:tcBorders>
              <w:tl2br w:val="nil"/>
              <w:tr2bl w:val="nil"/>
            </w:tcBorders>
            <w:noWrap w:val="0"/>
            <w:vAlign w:val="center"/>
          </w:tcPr>
          <w:p w14:paraId="0AD408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w:t>
            </w:r>
          </w:p>
        </w:tc>
        <w:tc>
          <w:tcPr>
            <w:tcW w:w="3652" w:type="dxa"/>
            <w:gridSpan w:val="3"/>
            <w:tcBorders>
              <w:tl2br w:val="nil"/>
              <w:tr2bl w:val="nil"/>
            </w:tcBorders>
            <w:noWrap w:val="0"/>
            <w:vAlign w:val="center"/>
          </w:tcPr>
          <w:p w14:paraId="6EB92C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w:t>
            </w:r>
          </w:p>
        </w:tc>
      </w:tr>
      <w:tr w14:paraId="24E0E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trPr>
        <w:tc>
          <w:tcPr>
            <w:tcW w:w="435" w:type="dxa"/>
            <w:vMerge w:val="continue"/>
            <w:tcBorders>
              <w:tl2br w:val="nil"/>
              <w:tr2bl w:val="nil"/>
            </w:tcBorders>
            <w:noWrap w:val="0"/>
            <w:vAlign w:val="center"/>
          </w:tcPr>
          <w:p w14:paraId="0079C16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1862" w:type="dxa"/>
            <w:vMerge w:val="continue"/>
            <w:tcBorders>
              <w:tl2br w:val="nil"/>
              <w:tr2bl w:val="nil"/>
            </w:tcBorders>
            <w:noWrap w:val="0"/>
            <w:vAlign w:val="center"/>
          </w:tcPr>
          <w:p w14:paraId="7F63F1B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3763" w:type="dxa"/>
            <w:gridSpan w:val="3"/>
            <w:tcBorders>
              <w:tl2br w:val="nil"/>
              <w:tr2bl w:val="nil"/>
            </w:tcBorders>
            <w:noWrap w:val="0"/>
            <w:vAlign w:val="center"/>
          </w:tcPr>
          <w:p w14:paraId="3B130F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监测因子</w:t>
            </w:r>
          </w:p>
        </w:tc>
        <w:tc>
          <w:tcPr>
            <w:tcW w:w="4462" w:type="dxa"/>
            <w:gridSpan w:val="5"/>
            <w:tcBorders>
              <w:tl2br w:val="nil"/>
              <w:tr2bl w:val="nil"/>
            </w:tcBorders>
            <w:noWrap w:val="0"/>
            <w:vAlign w:val="center"/>
          </w:tcPr>
          <w:p w14:paraId="125E2B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w:t>
            </w:r>
          </w:p>
        </w:tc>
        <w:tc>
          <w:tcPr>
            <w:tcW w:w="3652" w:type="dxa"/>
            <w:gridSpan w:val="3"/>
            <w:tcBorders>
              <w:tl2br w:val="nil"/>
              <w:tr2bl w:val="nil"/>
            </w:tcBorders>
            <w:noWrap w:val="0"/>
            <w:vAlign w:val="center"/>
          </w:tcPr>
          <w:p w14:paraId="0CEDE03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both"/>
              <w:textAlignment w:val="baseline"/>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w:t>
            </w:r>
          </w:p>
        </w:tc>
      </w:tr>
      <w:tr w14:paraId="61CA1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435" w:type="dxa"/>
            <w:vMerge w:val="continue"/>
            <w:tcBorders>
              <w:tl2br w:val="nil"/>
              <w:tr2bl w:val="nil"/>
            </w:tcBorders>
            <w:noWrap w:val="0"/>
            <w:vAlign w:val="center"/>
          </w:tcPr>
          <w:p w14:paraId="3047C5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1862" w:type="dxa"/>
            <w:tcBorders>
              <w:tl2br w:val="nil"/>
              <w:tr2bl w:val="nil"/>
            </w:tcBorders>
            <w:noWrap w:val="0"/>
            <w:vAlign w:val="center"/>
          </w:tcPr>
          <w:p w14:paraId="140F6E9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污染物排放清单</w:t>
            </w:r>
          </w:p>
        </w:tc>
        <w:tc>
          <w:tcPr>
            <w:tcW w:w="11877" w:type="dxa"/>
            <w:gridSpan w:val="11"/>
            <w:tcBorders>
              <w:tl2br w:val="nil"/>
              <w:tr2bl w:val="nil"/>
            </w:tcBorders>
            <w:noWrap w:val="0"/>
            <w:vAlign w:val="center"/>
          </w:tcPr>
          <w:p w14:paraId="57D120C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sym w:font="Wingdings 2" w:char="00A3"/>
            </w:r>
          </w:p>
        </w:tc>
      </w:tr>
      <w:tr w14:paraId="189C5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trPr>
        <w:tc>
          <w:tcPr>
            <w:tcW w:w="2297" w:type="dxa"/>
            <w:gridSpan w:val="2"/>
            <w:tcBorders>
              <w:tl2br w:val="nil"/>
              <w:tr2bl w:val="nil"/>
            </w:tcBorders>
            <w:noWrap w:val="0"/>
            <w:vAlign w:val="center"/>
          </w:tcPr>
          <w:p w14:paraId="7E57FD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评价结论</w:t>
            </w:r>
          </w:p>
        </w:tc>
        <w:tc>
          <w:tcPr>
            <w:tcW w:w="11877" w:type="dxa"/>
            <w:gridSpan w:val="11"/>
            <w:tcBorders>
              <w:tl2br w:val="nil"/>
              <w:tr2bl w:val="nil"/>
            </w:tcBorders>
            <w:noWrap w:val="0"/>
            <w:vAlign w:val="center"/>
          </w:tcPr>
          <w:p w14:paraId="1AE3456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可以接受</w:t>
            </w:r>
            <w:r>
              <w:rPr>
                <w:rFonts w:ascii="Calibri" w:hAnsi="Calibri" w:eastAsia="宋体" w:cs="Times New Roman"/>
                <w:color w:val="auto"/>
                <w:sz w:val="21"/>
                <w:szCs w:val="21"/>
                <w:highlight w:val="none"/>
              </w:rPr>
              <w:t>√</w:t>
            </w:r>
            <w:r>
              <w:rPr>
                <w:rFonts w:hint="default" w:ascii="Times New Roman" w:hAnsi="Times New Roman" w:eastAsia="宋体" w:cs="Times New Roman"/>
                <w:color w:val="auto"/>
                <w:sz w:val="21"/>
                <w:szCs w:val="21"/>
                <w:highlight w:val="none"/>
                <w:vertAlign w:val="baseline"/>
                <w:lang w:val="en-US" w:eastAsia="zh-CN"/>
              </w:rPr>
              <w:t>；不可以接受</w:t>
            </w:r>
            <w:r>
              <w:rPr>
                <w:rFonts w:hint="default" w:ascii="Times New Roman" w:hAnsi="Times New Roman" w:eastAsia="宋体" w:cs="Times New Roman"/>
                <w:color w:val="auto"/>
                <w:sz w:val="21"/>
                <w:szCs w:val="21"/>
                <w:highlight w:val="none"/>
                <w:vertAlign w:val="baseline"/>
                <w:lang w:val="en-US" w:eastAsia="zh-CN"/>
              </w:rPr>
              <w:sym w:font="Wingdings 2" w:char="00A3"/>
            </w:r>
          </w:p>
        </w:tc>
      </w:tr>
    </w:tbl>
    <w:p w14:paraId="26A90C89">
      <w:pPr>
        <w:keepNext w:val="0"/>
        <w:keepLines w:val="0"/>
        <w:pageBreakBefore w:val="0"/>
        <w:widowControl w:val="0"/>
        <w:kinsoku/>
        <w:wordWrap/>
        <w:overflowPunct/>
        <w:topLinePunct w:val="0"/>
        <w:bidi w:val="0"/>
        <w:snapToGrid/>
        <w:spacing w:line="480" w:lineRule="exact"/>
        <w:jc w:val="center"/>
        <w:textAlignment w:val="auto"/>
        <w:outlineLvl w:val="9"/>
        <w:rPr>
          <w:rFonts w:hint="eastAsia" w:ascii="Times New Roman" w:hAnsi="Calibri" w:eastAsia="黑体" w:cs="Times New Roman"/>
          <w:color w:val="DD1FDB"/>
          <w:sz w:val="24"/>
          <w:szCs w:val="24"/>
          <w:highlight w:val="none"/>
          <w:lang w:eastAsia="zh-CN"/>
        </w:rPr>
      </w:pPr>
    </w:p>
    <w:p w14:paraId="1ED084B6">
      <w:pPr>
        <w:keepNext w:val="0"/>
        <w:keepLines w:val="0"/>
        <w:pageBreakBefore w:val="0"/>
        <w:widowControl w:val="0"/>
        <w:kinsoku/>
        <w:wordWrap/>
        <w:overflowPunct/>
        <w:topLinePunct w:val="0"/>
        <w:bidi w:val="0"/>
        <w:snapToGrid/>
        <w:spacing w:line="480" w:lineRule="exact"/>
        <w:jc w:val="center"/>
        <w:textAlignment w:val="auto"/>
        <w:outlineLvl w:val="9"/>
        <w:rPr>
          <w:rFonts w:hint="eastAsia" w:ascii="Times New Roman" w:hAnsi="Calibri" w:eastAsia="黑体" w:cs="Times New Roman"/>
          <w:color w:val="DD1FDB"/>
          <w:sz w:val="24"/>
          <w:szCs w:val="24"/>
          <w:highlight w:val="none"/>
          <w:lang w:eastAsia="zh-CN"/>
        </w:rPr>
      </w:pPr>
    </w:p>
    <w:p w14:paraId="36338CE2">
      <w:pPr>
        <w:keepNext w:val="0"/>
        <w:keepLines w:val="0"/>
        <w:pageBreakBefore w:val="0"/>
        <w:widowControl w:val="0"/>
        <w:kinsoku/>
        <w:wordWrap/>
        <w:overflowPunct/>
        <w:topLinePunct w:val="0"/>
        <w:bidi w:val="0"/>
        <w:snapToGrid/>
        <w:spacing w:line="480" w:lineRule="exact"/>
        <w:jc w:val="center"/>
        <w:textAlignment w:val="auto"/>
        <w:outlineLvl w:val="9"/>
        <w:rPr>
          <w:rFonts w:hint="eastAsia" w:ascii="Times New Roman" w:hAnsi="Calibri" w:eastAsia="黑体" w:cs="Times New Roman"/>
          <w:color w:val="DD1FDB"/>
          <w:sz w:val="24"/>
          <w:szCs w:val="24"/>
          <w:highlight w:val="none"/>
          <w:lang w:eastAsia="zh-CN"/>
        </w:rPr>
      </w:pPr>
    </w:p>
    <w:p w14:paraId="5D3E9FDE">
      <w:pPr>
        <w:keepNext w:val="0"/>
        <w:keepLines w:val="0"/>
        <w:pageBreakBefore w:val="0"/>
        <w:widowControl w:val="0"/>
        <w:kinsoku/>
        <w:wordWrap/>
        <w:overflowPunct/>
        <w:topLinePunct w:val="0"/>
        <w:bidi w:val="0"/>
        <w:snapToGrid/>
        <w:spacing w:line="480" w:lineRule="exact"/>
        <w:jc w:val="center"/>
        <w:textAlignment w:val="auto"/>
        <w:outlineLvl w:val="9"/>
        <w:rPr>
          <w:rFonts w:hint="eastAsia" w:ascii="Times New Roman" w:hAnsi="Calibri" w:eastAsia="黑体" w:cs="Times New Roman"/>
          <w:color w:val="DD1FDB"/>
          <w:sz w:val="24"/>
          <w:szCs w:val="24"/>
          <w:highlight w:val="none"/>
          <w:lang w:eastAsia="zh-CN"/>
        </w:rPr>
      </w:pPr>
    </w:p>
    <w:p w14:paraId="4A99A912">
      <w:pPr>
        <w:keepNext w:val="0"/>
        <w:keepLines w:val="0"/>
        <w:pageBreakBefore w:val="0"/>
        <w:widowControl w:val="0"/>
        <w:kinsoku/>
        <w:wordWrap/>
        <w:overflowPunct/>
        <w:topLinePunct w:val="0"/>
        <w:bidi w:val="0"/>
        <w:snapToGrid/>
        <w:spacing w:line="480" w:lineRule="exact"/>
        <w:jc w:val="center"/>
        <w:textAlignment w:val="auto"/>
        <w:outlineLvl w:val="9"/>
        <w:rPr>
          <w:rFonts w:hint="eastAsia" w:ascii="Times New Roman" w:hAnsi="Calibri" w:eastAsia="黑体" w:cs="Times New Roman"/>
          <w:color w:val="DD1FDB"/>
          <w:sz w:val="24"/>
          <w:szCs w:val="24"/>
          <w:highlight w:val="none"/>
          <w:lang w:eastAsia="zh-CN"/>
        </w:rPr>
      </w:pPr>
    </w:p>
    <w:p w14:paraId="06938FFF">
      <w:pPr>
        <w:keepNext w:val="0"/>
        <w:keepLines w:val="0"/>
        <w:pageBreakBefore w:val="0"/>
        <w:widowControl w:val="0"/>
        <w:kinsoku/>
        <w:wordWrap/>
        <w:overflowPunct/>
        <w:topLinePunct w:val="0"/>
        <w:bidi w:val="0"/>
        <w:snapToGrid/>
        <w:spacing w:line="480" w:lineRule="exact"/>
        <w:ind w:left="0" w:leftChars="0" w:firstLine="0" w:firstLineChars="0"/>
        <w:jc w:val="both"/>
        <w:textAlignment w:val="auto"/>
        <w:outlineLvl w:val="9"/>
        <w:rPr>
          <w:rFonts w:hint="eastAsia" w:ascii="Times New Roman" w:hAnsi="Times New Roman" w:eastAsia="黑体" w:cs="Times New Roman"/>
          <w:color w:val="DD1FDB"/>
          <w:sz w:val="24"/>
          <w:szCs w:val="24"/>
          <w:highlight w:val="none"/>
          <w:lang w:eastAsia="zh-CN"/>
        </w:rPr>
      </w:pPr>
    </w:p>
    <w:p w14:paraId="728CC56C">
      <w:pPr>
        <w:keepNext w:val="0"/>
        <w:keepLines w:val="0"/>
        <w:pageBreakBefore w:val="0"/>
        <w:widowControl w:val="0"/>
        <w:kinsoku/>
        <w:wordWrap/>
        <w:overflowPunct/>
        <w:topLinePunct w:val="0"/>
        <w:bidi w:val="0"/>
        <w:snapToGrid/>
        <w:spacing w:line="480" w:lineRule="exact"/>
        <w:jc w:val="center"/>
        <w:textAlignment w:val="auto"/>
        <w:outlineLvl w:val="9"/>
        <w:rPr>
          <w:rFonts w:hint="eastAsia" w:ascii="Times New Roman" w:hAnsi="Times New Roman" w:eastAsia="黑体" w:cs="Times New Roman"/>
          <w:color w:val="DD1FDB"/>
          <w:sz w:val="24"/>
          <w:szCs w:val="24"/>
          <w:highlight w:val="none"/>
          <w:lang w:eastAsia="zh-CN"/>
        </w:rPr>
      </w:pPr>
    </w:p>
    <w:p w14:paraId="10FE031E">
      <w:pPr>
        <w:keepNext w:val="0"/>
        <w:keepLines w:val="0"/>
        <w:pageBreakBefore w:val="0"/>
        <w:widowControl w:val="0"/>
        <w:kinsoku/>
        <w:wordWrap/>
        <w:overflowPunct/>
        <w:topLinePunct w:val="0"/>
        <w:bidi w:val="0"/>
        <w:snapToGrid/>
        <w:spacing w:line="480" w:lineRule="exact"/>
        <w:jc w:val="center"/>
        <w:textAlignment w:val="auto"/>
        <w:outlineLvl w:val="9"/>
        <w:rPr>
          <w:rFonts w:hint="eastAsia" w:ascii="Times New Roman" w:hAnsi="Times New Roman" w:eastAsia="黑体" w:cs="Times New Roman"/>
          <w:color w:val="DD1FDB"/>
          <w:sz w:val="24"/>
          <w:szCs w:val="24"/>
          <w:highlight w:val="none"/>
          <w:lang w:eastAsia="zh-CN"/>
        </w:rPr>
      </w:pPr>
    </w:p>
    <w:p w14:paraId="3162F548">
      <w:pPr>
        <w:keepNext w:val="0"/>
        <w:keepLines w:val="0"/>
        <w:pageBreakBefore w:val="0"/>
        <w:widowControl w:val="0"/>
        <w:kinsoku/>
        <w:wordWrap/>
        <w:overflowPunct/>
        <w:topLinePunct w:val="0"/>
        <w:bidi w:val="0"/>
        <w:snapToGrid/>
        <w:spacing w:line="480" w:lineRule="exact"/>
        <w:jc w:val="both"/>
        <w:textAlignment w:val="auto"/>
        <w:outlineLvl w:val="9"/>
        <w:rPr>
          <w:rFonts w:hint="eastAsia" w:eastAsia="黑体" w:cs="Times New Roman"/>
          <w:color w:val="000000"/>
          <w:sz w:val="24"/>
          <w:szCs w:val="24"/>
          <w:highlight w:val="none"/>
          <w:lang w:val="en-US" w:eastAsia="zh-CN"/>
        </w:rPr>
        <w:sectPr>
          <w:pgSz w:w="16838" w:h="11906" w:orient="landscape"/>
          <w:pgMar w:top="1803" w:right="1440" w:bottom="1803" w:left="1440" w:header="851" w:footer="992" w:gutter="0"/>
          <w:pgBorders>
            <w:top w:val="none" w:sz="0" w:space="0"/>
            <w:left w:val="none" w:sz="0" w:space="0"/>
            <w:bottom w:val="none" w:sz="0" w:space="0"/>
            <w:right w:val="none" w:sz="0" w:space="0"/>
          </w:pgBorders>
          <w:cols w:space="720" w:num="1"/>
          <w:rtlGutter w:val="0"/>
          <w:docGrid w:type="lines" w:linePitch="332" w:charSpace="0"/>
        </w:sectPr>
      </w:pPr>
    </w:p>
    <w:p w14:paraId="5B311E12">
      <w:pPr>
        <w:jc w:val="center"/>
        <w:rPr>
          <w:rFonts w:ascii="黑体" w:hAnsi="黑体" w:eastAsia="黑体" w:cs="Times New Roman"/>
          <w:sz w:val="28"/>
          <w:szCs w:val="28"/>
          <w:highlight w:val="none"/>
        </w:rPr>
      </w:pPr>
      <w:r>
        <w:rPr>
          <w:rFonts w:hint="eastAsia" w:ascii="黑体" w:hAnsi="黑体" w:eastAsia="黑体" w:cs="Times New Roman"/>
          <w:sz w:val="28"/>
          <w:szCs w:val="28"/>
          <w:highlight w:val="none"/>
          <w:lang w:val="en-US" w:eastAsia="zh-CN"/>
        </w:rPr>
        <w:t xml:space="preserve"> 附表3  </w:t>
      </w:r>
      <w:r>
        <w:rPr>
          <w:rFonts w:hint="eastAsia" w:ascii="黑体" w:hAnsi="黑体" w:eastAsia="黑体" w:cs="Times New Roman"/>
          <w:sz w:val="28"/>
          <w:szCs w:val="28"/>
          <w:highlight w:val="none"/>
        </w:rPr>
        <w:t>声环境影响评价自查表</w:t>
      </w:r>
    </w:p>
    <w:tbl>
      <w:tblPr>
        <w:tblStyle w:val="37"/>
        <w:tblW w:w="89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7"/>
        <w:gridCol w:w="1413"/>
        <w:gridCol w:w="1090"/>
        <w:gridCol w:w="547"/>
        <w:gridCol w:w="315"/>
        <w:gridCol w:w="232"/>
        <w:gridCol w:w="6"/>
        <w:gridCol w:w="99"/>
        <w:gridCol w:w="477"/>
        <w:gridCol w:w="458"/>
        <w:gridCol w:w="58"/>
        <w:gridCol w:w="659"/>
        <w:gridCol w:w="38"/>
        <w:gridCol w:w="394"/>
        <w:gridCol w:w="114"/>
        <w:gridCol w:w="433"/>
        <w:gridCol w:w="468"/>
        <w:gridCol w:w="77"/>
        <w:gridCol w:w="1087"/>
      </w:tblGrid>
      <w:tr w14:paraId="4E9C8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2410" w:type="dxa"/>
            <w:gridSpan w:val="2"/>
            <w:noWrap w:val="0"/>
            <w:vAlign w:val="center"/>
          </w:tcPr>
          <w:p w14:paraId="630F0C60">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工作内容</w:t>
            </w:r>
          </w:p>
        </w:tc>
        <w:tc>
          <w:tcPr>
            <w:tcW w:w="6552" w:type="dxa"/>
            <w:gridSpan w:val="17"/>
            <w:noWrap w:val="0"/>
            <w:vAlign w:val="center"/>
          </w:tcPr>
          <w:p w14:paraId="0061C98E">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自查项目</w:t>
            </w:r>
          </w:p>
        </w:tc>
      </w:tr>
      <w:tr w14:paraId="2074B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997" w:type="dxa"/>
            <w:vMerge w:val="restart"/>
            <w:noWrap w:val="0"/>
            <w:vAlign w:val="center"/>
          </w:tcPr>
          <w:p w14:paraId="32A59122">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评价等级与范围</w:t>
            </w:r>
          </w:p>
        </w:tc>
        <w:tc>
          <w:tcPr>
            <w:tcW w:w="1413" w:type="dxa"/>
            <w:noWrap w:val="0"/>
            <w:vAlign w:val="center"/>
          </w:tcPr>
          <w:p w14:paraId="0E08CE24">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评价等级</w:t>
            </w:r>
          </w:p>
        </w:tc>
        <w:tc>
          <w:tcPr>
            <w:tcW w:w="6552" w:type="dxa"/>
            <w:gridSpan w:val="17"/>
            <w:noWrap w:val="0"/>
            <w:vAlign w:val="center"/>
          </w:tcPr>
          <w:p w14:paraId="04FB167F">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一级</w:t>
            </w:r>
            <w:r>
              <w:rPr>
                <w:rFonts w:hint="default" w:ascii="Times New Roman" w:hAnsi="Times New Roman" w:eastAsia="宋体" w:cs="Times New Roman"/>
                <w:kern w:val="2"/>
                <w:sz w:val="18"/>
                <w:szCs w:val="21"/>
                <w:highlight w:val="none"/>
              </w:rPr>
              <w:sym w:font="Wingdings 2" w:char="00A3"/>
            </w:r>
            <w:r>
              <w:rPr>
                <w:rFonts w:hint="default" w:ascii="Times New Roman" w:hAnsi="Times New Roman" w:eastAsia="宋体" w:cs="Times New Roman"/>
                <w:kern w:val="2"/>
                <w:sz w:val="18"/>
                <w:szCs w:val="21"/>
                <w:highlight w:val="none"/>
              </w:rPr>
              <w:t xml:space="preserve">                 二级</w:t>
            </w:r>
            <w:r>
              <w:rPr>
                <w:rFonts w:hint="default" w:ascii="Times New Roman" w:hAnsi="Times New Roman" w:eastAsia="宋体" w:cs="Times New Roman"/>
                <w:kern w:val="2"/>
                <w:sz w:val="18"/>
                <w:szCs w:val="21"/>
                <w:highlight w:val="none"/>
              </w:rPr>
              <w:sym w:font="Wingdings 2" w:char="00A3"/>
            </w:r>
            <w:r>
              <w:rPr>
                <w:rFonts w:hint="default" w:ascii="Times New Roman" w:hAnsi="Times New Roman" w:eastAsia="宋体" w:cs="Times New Roman"/>
                <w:kern w:val="2"/>
                <w:sz w:val="18"/>
                <w:szCs w:val="21"/>
                <w:highlight w:val="none"/>
              </w:rPr>
              <w:t xml:space="preserve">           三级</w:t>
            </w:r>
            <w:r>
              <w:rPr>
                <w:rFonts w:hint="default" w:ascii="Times New Roman" w:hAnsi="Times New Roman" w:eastAsia="宋体" w:cs="Times New Roman"/>
                <w:kern w:val="2"/>
                <w:sz w:val="18"/>
                <w:szCs w:val="21"/>
                <w:highlight w:val="none"/>
              </w:rPr>
              <w:sym w:font="Wingdings 2" w:char="0052"/>
            </w:r>
          </w:p>
        </w:tc>
      </w:tr>
      <w:tr w14:paraId="24618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97" w:type="dxa"/>
            <w:vMerge w:val="continue"/>
            <w:noWrap w:val="0"/>
            <w:vAlign w:val="center"/>
          </w:tcPr>
          <w:p w14:paraId="4F6BF1FA">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rPr>
            </w:pPr>
          </w:p>
        </w:tc>
        <w:tc>
          <w:tcPr>
            <w:tcW w:w="1413" w:type="dxa"/>
            <w:noWrap w:val="0"/>
            <w:vAlign w:val="center"/>
          </w:tcPr>
          <w:p w14:paraId="75DED0A2">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评价范围</w:t>
            </w:r>
          </w:p>
        </w:tc>
        <w:tc>
          <w:tcPr>
            <w:tcW w:w="6552" w:type="dxa"/>
            <w:gridSpan w:val="17"/>
            <w:noWrap w:val="0"/>
            <w:vAlign w:val="center"/>
          </w:tcPr>
          <w:p w14:paraId="6F016C1D">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200 m</w:t>
            </w:r>
            <w:r>
              <w:rPr>
                <w:rFonts w:hint="default" w:ascii="Times New Roman" w:hAnsi="Times New Roman" w:eastAsia="宋体" w:cs="Times New Roman"/>
                <w:kern w:val="2"/>
                <w:sz w:val="18"/>
                <w:szCs w:val="21"/>
                <w:highlight w:val="none"/>
              </w:rPr>
              <w:sym w:font="Wingdings 2" w:char="0052"/>
            </w:r>
            <w:r>
              <w:rPr>
                <w:rFonts w:hint="default" w:ascii="Times New Roman" w:hAnsi="Times New Roman" w:eastAsia="宋体" w:cs="Times New Roman"/>
                <w:kern w:val="2"/>
                <w:sz w:val="18"/>
                <w:szCs w:val="21"/>
                <w:highlight w:val="none"/>
              </w:rPr>
              <w:t xml:space="preserve">                 大于200 m□                   小于200 m□</w:t>
            </w:r>
          </w:p>
        </w:tc>
      </w:tr>
      <w:tr w14:paraId="39E89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997" w:type="dxa"/>
            <w:noWrap w:val="0"/>
            <w:vAlign w:val="center"/>
          </w:tcPr>
          <w:p w14:paraId="451C3B90">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评价因子</w:t>
            </w:r>
          </w:p>
        </w:tc>
        <w:tc>
          <w:tcPr>
            <w:tcW w:w="1413" w:type="dxa"/>
            <w:noWrap w:val="0"/>
            <w:vAlign w:val="center"/>
          </w:tcPr>
          <w:p w14:paraId="6A23E94D">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评价因子</w:t>
            </w:r>
          </w:p>
        </w:tc>
        <w:tc>
          <w:tcPr>
            <w:tcW w:w="2289" w:type="dxa"/>
            <w:gridSpan w:val="6"/>
            <w:noWrap w:val="0"/>
            <w:vAlign w:val="center"/>
          </w:tcPr>
          <w:p w14:paraId="537A6144">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等效连续A声级</w:t>
            </w:r>
            <w:r>
              <w:rPr>
                <w:rFonts w:hint="default" w:ascii="Times New Roman" w:hAnsi="Times New Roman" w:eastAsia="宋体" w:cs="Times New Roman"/>
                <w:kern w:val="2"/>
                <w:sz w:val="18"/>
                <w:szCs w:val="21"/>
                <w:highlight w:val="none"/>
              </w:rPr>
              <w:sym w:font="Wingdings 2" w:char="0052"/>
            </w:r>
          </w:p>
        </w:tc>
        <w:tc>
          <w:tcPr>
            <w:tcW w:w="1690" w:type="dxa"/>
            <w:gridSpan w:val="5"/>
            <w:noWrap w:val="0"/>
            <w:vAlign w:val="center"/>
          </w:tcPr>
          <w:p w14:paraId="3C134536">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最大A声级□</w:t>
            </w:r>
          </w:p>
        </w:tc>
        <w:tc>
          <w:tcPr>
            <w:tcW w:w="2573" w:type="dxa"/>
            <w:gridSpan w:val="6"/>
            <w:noWrap w:val="0"/>
            <w:vAlign w:val="center"/>
          </w:tcPr>
          <w:p w14:paraId="7F54C3E6">
            <w:pPr>
              <w:topLinePunct w:val="0"/>
              <w:adjustRightInd/>
              <w:spacing w:before="31" w:beforeLines="10" w:after="31" w:afterLines="10" w:line="0" w:lineRule="atLeast"/>
              <w:ind w:left="0" w:leftChars="0" w:firstLine="0" w:firstLineChars="0"/>
              <w:jc w:val="both"/>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计权等效连续感觉噪声级□</w:t>
            </w:r>
          </w:p>
        </w:tc>
      </w:tr>
      <w:tr w14:paraId="2678F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997" w:type="dxa"/>
            <w:noWrap w:val="0"/>
            <w:vAlign w:val="center"/>
          </w:tcPr>
          <w:p w14:paraId="4E2B8148">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评价标准</w:t>
            </w:r>
          </w:p>
        </w:tc>
        <w:tc>
          <w:tcPr>
            <w:tcW w:w="1413" w:type="dxa"/>
            <w:noWrap w:val="0"/>
            <w:vAlign w:val="center"/>
          </w:tcPr>
          <w:p w14:paraId="04BE0B13">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评价标准</w:t>
            </w:r>
          </w:p>
        </w:tc>
        <w:tc>
          <w:tcPr>
            <w:tcW w:w="2289" w:type="dxa"/>
            <w:gridSpan w:val="6"/>
            <w:noWrap w:val="0"/>
            <w:vAlign w:val="center"/>
          </w:tcPr>
          <w:p w14:paraId="48FC82F7">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国家标准</w:t>
            </w:r>
            <w:r>
              <w:rPr>
                <w:rFonts w:hint="default" w:ascii="Times New Roman" w:hAnsi="Times New Roman" w:eastAsia="宋体" w:cs="Times New Roman"/>
                <w:kern w:val="2"/>
                <w:sz w:val="18"/>
                <w:szCs w:val="21"/>
                <w:highlight w:val="none"/>
              </w:rPr>
              <w:sym w:font="Wingdings 2" w:char="0052"/>
            </w:r>
          </w:p>
        </w:tc>
        <w:tc>
          <w:tcPr>
            <w:tcW w:w="1690" w:type="dxa"/>
            <w:gridSpan w:val="5"/>
            <w:noWrap w:val="0"/>
            <w:vAlign w:val="center"/>
          </w:tcPr>
          <w:p w14:paraId="6C577C25">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地方标准□</w:t>
            </w:r>
          </w:p>
        </w:tc>
        <w:tc>
          <w:tcPr>
            <w:tcW w:w="1409" w:type="dxa"/>
            <w:gridSpan w:val="4"/>
            <w:noWrap w:val="0"/>
            <w:vAlign w:val="center"/>
          </w:tcPr>
          <w:p w14:paraId="5947D556">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rPr>
            </w:pPr>
          </w:p>
        </w:tc>
        <w:tc>
          <w:tcPr>
            <w:tcW w:w="1164" w:type="dxa"/>
            <w:gridSpan w:val="2"/>
            <w:noWrap w:val="0"/>
            <w:vAlign w:val="center"/>
          </w:tcPr>
          <w:p w14:paraId="145BD2AA">
            <w:pPr>
              <w:topLinePunct w:val="0"/>
              <w:adjustRightInd/>
              <w:spacing w:before="31" w:beforeLines="10" w:after="31" w:afterLines="10" w:line="0" w:lineRule="atLeast"/>
              <w:ind w:left="0" w:leftChars="0" w:firstLine="0" w:firstLineChars="0"/>
              <w:jc w:val="both"/>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国外标准□</w:t>
            </w:r>
          </w:p>
        </w:tc>
      </w:tr>
      <w:tr w14:paraId="19B28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997" w:type="dxa"/>
            <w:vMerge w:val="restart"/>
            <w:noWrap w:val="0"/>
            <w:vAlign w:val="center"/>
          </w:tcPr>
          <w:p w14:paraId="5C77658A">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现状评价</w:t>
            </w:r>
          </w:p>
        </w:tc>
        <w:tc>
          <w:tcPr>
            <w:tcW w:w="1413" w:type="dxa"/>
            <w:noWrap w:val="0"/>
            <w:vAlign w:val="center"/>
          </w:tcPr>
          <w:p w14:paraId="74C42775">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环境功能区</w:t>
            </w:r>
          </w:p>
        </w:tc>
        <w:tc>
          <w:tcPr>
            <w:tcW w:w="1090" w:type="dxa"/>
            <w:noWrap w:val="0"/>
            <w:vAlign w:val="center"/>
          </w:tcPr>
          <w:p w14:paraId="0C05F5D2">
            <w:pPr>
              <w:topLinePunct w:val="0"/>
              <w:adjustRightInd/>
              <w:spacing w:before="31" w:beforeLines="10" w:after="31" w:afterLines="10" w:line="0" w:lineRule="atLeast"/>
              <w:ind w:left="0" w:leftChars="0" w:firstLine="0" w:firstLineChars="0"/>
              <w:jc w:val="both"/>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0类区□</w:t>
            </w:r>
          </w:p>
        </w:tc>
        <w:tc>
          <w:tcPr>
            <w:tcW w:w="1094" w:type="dxa"/>
            <w:gridSpan w:val="3"/>
            <w:noWrap w:val="0"/>
            <w:vAlign w:val="center"/>
          </w:tcPr>
          <w:p w14:paraId="4510737C">
            <w:pPr>
              <w:topLinePunct w:val="0"/>
              <w:adjustRightInd/>
              <w:spacing w:before="31" w:beforeLines="10" w:after="31" w:afterLines="10" w:line="0" w:lineRule="atLeast"/>
              <w:ind w:left="0" w:leftChars="0" w:firstLine="0" w:firstLineChars="0"/>
              <w:jc w:val="both"/>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1类区</w:t>
            </w:r>
            <w:r>
              <w:rPr>
                <w:rFonts w:hint="default" w:ascii="Times New Roman" w:hAnsi="Times New Roman" w:eastAsia="宋体" w:cs="Times New Roman"/>
                <w:kern w:val="2"/>
                <w:sz w:val="18"/>
                <w:szCs w:val="21"/>
                <w:highlight w:val="none"/>
              </w:rPr>
              <w:sym w:font="Wingdings 2" w:char="00A3"/>
            </w:r>
          </w:p>
        </w:tc>
        <w:tc>
          <w:tcPr>
            <w:tcW w:w="1098" w:type="dxa"/>
            <w:gridSpan w:val="5"/>
            <w:noWrap w:val="0"/>
            <w:vAlign w:val="center"/>
          </w:tcPr>
          <w:p w14:paraId="42464703">
            <w:pPr>
              <w:topLinePunct w:val="0"/>
              <w:adjustRightInd/>
              <w:spacing w:before="31" w:beforeLines="10" w:after="31" w:afterLines="10" w:line="0" w:lineRule="atLeast"/>
              <w:ind w:left="0" w:leftChars="0" w:firstLine="0" w:firstLineChars="0"/>
              <w:jc w:val="both"/>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2类区</w:t>
            </w:r>
            <w:r>
              <w:rPr>
                <w:rFonts w:hint="default" w:ascii="Times New Roman" w:hAnsi="Times New Roman" w:eastAsia="宋体" w:cs="Times New Roman"/>
                <w:kern w:val="2"/>
                <w:sz w:val="18"/>
                <w:szCs w:val="21"/>
                <w:highlight w:val="none"/>
              </w:rPr>
              <w:sym w:font="Wingdings 2" w:char="0052"/>
            </w:r>
          </w:p>
        </w:tc>
        <w:tc>
          <w:tcPr>
            <w:tcW w:w="1091" w:type="dxa"/>
            <w:gridSpan w:val="3"/>
            <w:noWrap w:val="0"/>
            <w:vAlign w:val="center"/>
          </w:tcPr>
          <w:p w14:paraId="2D20AB00">
            <w:pPr>
              <w:topLinePunct w:val="0"/>
              <w:adjustRightInd/>
              <w:spacing w:before="31" w:beforeLines="10" w:after="31" w:afterLines="10" w:line="0" w:lineRule="atLeast"/>
              <w:ind w:left="0" w:leftChars="0" w:firstLine="0" w:firstLineChars="0"/>
              <w:jc w:val="both"/>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3类区</w:t>
            </w:r>
            <w:r>
              <w:rPr>
                <w:rFonts w:hint="default" w:ascii="Times New Roman" w:hAnsi="Times New Roman" w:eastAsia="宋体" w:cs="Times New Roman"/>
                <w:kern w:val="2"/>
                <w:sz w:val="18"/>
                <w:szCs w:val="21"/>
                <w:highlight w:val="none"/>
              </w:rPr>
              <w:sym w:font="Wingdings 2" w:char="0052"/>
            </w:r>
          </w:p>
        </w:tc>
        <w:tc>
          <w:tcPr>
            <w:tcW w:w="1092" w:type="dxa"/>
            <w:gridSpan w:val="4"/>
            <w:noWrap w:val="0"/>
            <w:vAlign w:val="center"/>
          </w:tcPr>
          <w:p w14:paraId="62A7169E">
            <w:pPr>
              <w:topLinePunct w:val="0"/>
              <w:adjustRightInd/>
              <w:spacing w:before="31" w:beforeLines="10" w:after="31" w:afterLines="10" w:line="0" w:lineRule="atLeast"/>
              <w:ind w:left="0" w:leftChars="0" w:firstLine="0" w:firstLineChars="0"/>
              <w:jc w:val="both"/>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4a类区</w:t>
            </w:r>
            <w:r>
              <w:rPr>
                <w:rFonts w:hint="default" w:ascii="Times New Roman" w:hAnsi="Times New Roman" w:eastAsia="宋体" w:cs="Times New Roman"/>
                <w:kern w:val="2"/>
                <w:sz w:val="18"/>
                <w:szCs w:val="21"/>
                <w:highlight w:val="none"/>
              </w:rPr>
              <w:sym w:font="Wingdings 2" w:char="00A3"/>
            </w:r>
          </w:p>
        </w:tc>
        <w:tc>
          <w:tcPr>
            <w:tcW w:w="1087" w:type="dxa"/>
            <w:noWrap w:val="0"/>
            <w:vAlign w:val="center"/>
          </w:tcPr>
          <w:p w14:paraId="72E1D115">
            <w:pPr>
              <w:topLinePunct w:val="0"/>
              <w:adjustRightInd/>
              <w:spacing w:before="31" w:beforeLines="10" w:after="31" w:afterLines="10" w:line="0" w:lineRule="atLeast"/>
              <w:ind w:left="0" w:leftChars="0" w:firstLine="0" w:firstLineChars="0"/>
              <w:jc w:val="both"/>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4b类区□</w:t>
            </w:r>
          </w:p>
        </w:tc>
      </w:tr>
      <w:tr w14:paraId="27F4F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997" w:type="dxa"/>
            <w:vMerge w:val="continue"/>
            <w:noWrap w:val="0"/>
            <w:vAlign w:val="center"/>
          </w:tcPr>
          <w:p w14:paraId="7B78ACC8">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1413" w:type="dxa"/>
            <w:noWrap w:val="0"/>
            <w:vAlign w:val="center"/>
          </w:tcPr>
          <w:p w14:paraId="2EFB1D47">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评价年度</w:t>
            </w:r>
          </w:p>
        </w:tc>
        <w:tc>
          <w:tcPr>
            <w:tcW w:w="1637" w:type="dxa"/>
            <w:gridSpan w:val="2"/>
            <w:noWrap w:val="0"/>
            <w:vAlign w:val="center"/>
          </w:tcPr>
          <w:p w14:paraId="0B33A5BA">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初期□</w:t>
            </w:r>
          </w:p>
        </w:tc>
        <w:tc>
          <w:tcPr>
            <w:tcW w:w="1645" w:type="dxa"/>
            <w:gridSpan w:val="7"/>
            <w:noWrap w:val="0"/>
            <w:vAlign w:val="center"/>
          </w:tcPr>
          <w:p w14:paraId="6CE256AD">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近期</w:t>
            </w:r>
            <w:r>
              <w:rPr>
                <w:rFonts w:hint="default" w:ascii="Times New Roman" w:hAnsi="Times New Roman" w:eastAsia="宋体" w:cs="Times New Roman"/>
                <w:kern w:val="2"/>
                <w:sz w:val="18"/>
                <w:szCs w:val="21"/>
                <w:highlight w:val="none"/>
              </w:rPr>
              <w:sym w:font="Wingdings 2" w:char="0052"/>
            </w:r>
          </w:p>
        </w:tc>
        <w:tc>
          <w:tcPr>
            <w:tcW w:w="1638" w:type="dxa"/>
            <w:gridSpan w:val="5"/>
            <w:noWrap w:val="0"/>
            <w:vAlign w:val="center"/>
          </w:tcPr>
          <w:p w14:paraId="6422A5EF">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中期□</w:t>
            </w:r>
          </w:p>
        </w:tc>
        <w:tc>
          <w:tcPr>
            <w:tcW w:w="1632" w:type="dxa"/>
            <w:gridSpan w:val="3"/>
            <w:noWrap w:val="0"/>
            <w:vAlign w:val="center"/>
          </w:tcPr>
          <w:p w14:paraId="03F99F89">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远期□</w:t>
            </w:r>
          </w:p>
        </w:tc>
      </w:tr>
      <w:tr w14:paraId="61F0A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97" w:type="dxa"/>
            <w:vMerge w:val="continue"/>
            <w:noWrap w:val="0"/>
            <w:vAlign w:val="center"/>
          </w:tcPr>
          <w:p w14:paraId="6B059A73">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1413" w:type="dxa"/>
            <w:noWrap w:val="0"/>
            <w:vAlign w:val="center"/>
          </w:tcPr>
          <w:p w14:paraId="654329B0">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现状调查方法</w:t>
            </w:r>
          </w:p>
        </w:tc>
        <w:tc>
          <w:tcPr>
            <w:tcW w:w="2766" w:type="dxa"/>
            <w:gridSpan w:val="7"/>
            <w:noWrap w:val="0"/>
            <w:vAlign w:val="center"/>
          </w:tcPr>
          <w:p w14:paraId="79361D38">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现场实测法</w:t>
            </w:r>
            <w:r>
              <w:rPr>
                <w:rFonts w:hint="default" w:ascii="Times New Roman" w:hAnsi="Times New Roman" w:eastAsia="宋体" w:cs="Times New Roman"/>
                <w:kern w:val="2"/>
                <w:sz w:val="18"/>
                <w:szCs w:val="21"/>
                <w:highlight w:val="none"/>
              </w:rPr>
              <w:sym w:font="Wingdings 2" w:char="00A3"/>
            </w:r>
          </w:p>
        </w:tc>
        <w:tc>
          <w:tcPr>
            <w:tcW w:w="2154" w:type="dxa"/>
            <w:gridSpan w:val="7"/>
            <w:noWrap w:val="0"/>
            <w:vAlign w:val="center"/>
          </w:tcPr>
          <w:p w14:paraId="67B1EF32">
            <w:pPr>
              <w:topLinePunct w:val="0"/>
              <w:adjustRightInd/>
              <w:spacing w:before="31" w:beforeLines="10" w:after="31" w:afterLines="10" w:line="0" w:lineRule="atLeast"/>
              <w:ind w:firstLine="0"/>
              <w:jc w:val="center"/>
              <w:rPr>
                <w:rFonts w:hint="eastAsia" w:ascii="Times New Roman" w:hAnsi="Times New Roman" w:eastAsia="宋体" w:cs="Times New Roman"/>
                <w:kern w:val="2"/>
                <w:sz w:val="18"/>
                <w:szCs w:val="21"/>
                <w:highlight w:val="none"/>
                <w:lang w:eastAsia="zh-CN"/>
              </w:rPr>
            </w:pPr>
            <w:r>
              <w:rPr>
                <w:rFonts w:hint="default" w:ascii="Times New Roman" w:hAnsi="Times New Roman" w:eastAsia="宋体" w:cs="Times New Roman"/>
                <w:kern w:val="2"/>
                <w:sz w:val="18"/>
                <w:szCs w:val="21"/>
                <w:highlight w:val="none"/>
              </w:rPr>
              <w:t>现场实测加模型计算法</w:t>
            </w:r>
            <w:r>
              <w:rPr>
                <w:rFonts w:hint="eastAsia" w:ascii="Times New Roman" w:hAnsi="Times New Roman" w:eastAsia="宋体" w:cs="Times New Roman"/>
                <w:kern w:val="2"/>
                <w:sz w:val="18"/>
                <w:szCs w:val="21"/>
                <w:highlight w:val="none"/>
                <w:lang w:eastAsia="zh-CN"/>
              </w:rPr>
              <w:t>☑</w:t>
            </w:r>
          </w:p>
        </w:tc>
        <w:tc>
          <w:tcPr>
            <w:tcW w:w="1632" w:type="dxa"/>
            <w:gridSpan w:val="3"/>
            <w:noWrap w:val="0"/>
            <w:vAlign w:val="center"/>
          </w:tcPr>
          <w:p w14:paraId="142A25B3">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收集资料□</w:t>
            </w:r>
          </w:p>
        </w:tc>
      </w:tr>
      <w:tr w14:paraId="05ACB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997" w:type="dxa"/>
            <w:vMerge w:val="continue"/>
            <w:noWrap w:val="0"/>
            <w:vAlign w:val="center"/>
          </w:tcPr>
          <w:p w14:paraId="33AFE2B9">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1413" w:type="dxa"/>
            <w:noWrap w:val="0"/>
            <w:vAlign w:val="center"/>
          </w:tcPr>
          <w:p w14:paraId="4D5730B4">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现状评价</w:t>
            </w:r>
          </w:p>
        </w:tc>
        <w:tc>
          <w:tcPr>
            <w:tcW w:w="1952" w:type="dxa"/>
            <w:gridSpan w:val="3"/>
            <w:noWrap w:val="0"/>
            <w:vAlign w:val="center"/>
          </w:tcPr>
          <w:p w14:paraId="74CA0477">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达标百分比</w:t>
            </w:r>
          </w:p>
        </w:tc>
        <w:tc>
          <w:tcPr>
            <w:tcW w:w="4600" w:type="dxa"/>
            <w:gridSpan w:val="14"/>
            <w:noWrap w:val="0"/>
            <w:vAlign w:val="center"/>
          </w:tcPr>
          <w:p w14:paraId="1274DB22">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lang w:val="en-US" w:eastAsia="zh-CN"/>
              </w:rPr>
            </w:pPr>
            <w:r>
              <w:rPr>
                <w:rFonts w:hint="default" w:ascii="Times New Roman" w:hAnsi="Times New Roman" w:eastAsia="宋体" w:cs="Times New Roman"/>
                <w:kern w:val="2"/>
                <w:sz w:val="18"/>
                <w:szCs w:val="21"/>
                <w:highlight w:val="none"/>
                <w:lang w:val="en-US" w:eastAsia="zh-CN"/>
              </w:rPr>
              <w:t>100%</w:t>
            </w:r>
          </w:p>
        </w:tc>
      </w:tr>
      <w:tr w14:paraId="78F15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997" w:type="dxa"/>
            <w:noWrap w:val="0"/>
            <w:vAlign w:val="center"/>
          </w:tcPr>
          <w:p w14:paraId="59BFFC31">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噪声源</w:t>
            </w:r>
          </w:p>
          <w:p w14:paraId="5FFE83E0">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调查</w:t>
            </w:r>
          </w:p>
        </w:tc>
        <w:tc>
          <w:tcPr>
            <w:tcW w:w="1413" w:type="dxa"/>
            <w:noWrap w:val="0"/>
            <w:vAlign w:val="center"/>
          </w:tcPr>
          <w:p w14:paraId="1CD9AFF8">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噪声源调查方法</w:t>
            </w:r>
          </w:p>
        </w:tc>
        <w:tc>
          <w:tcPr>
            <w:tcW w:w="1952" w:type="dxa"/>
            <w:gridSpan w:val="3"/>
            <w:noWrap w:val="0"/>
            <w:vAlign w:val="center"/>
          </w:tcPr>
          <w:p w14:paraId="0DA84DA6">
            <w:pPr>
              <w:topLinePunct w:val="0"/>
              <w:adjustRightInd/>
              <w:spacing w:before="31" w:beforeLines="10" w:after="31" w:afterLines="10" w:line="0" w:lineRule="atLeast"/>
              <w:ind w:firstLine="0"/>
              <w:jc w:val="center"/>
              <w:rPr>
                <w:rFonts w:hint="eastAsia" w:ascii="Times New Roman" w:hAnsi="Times New Roman" w:eastAsia="宋体" w:cs="Times New Roman"/>
                <w:kern w:val="2"/>
                <w:sz w:val="18"/>
                <w:szCs w:val="21"/>
                <w:highlight w:val="none"/>
                <w:lang w:eastAsia="zh-CN"/>
              </w:rPr>
            </w:pPr>
            <w:r>
              <w:rPr>
                <w:rFonts w:hint="default" w:ascii="Times New Roman" w:hAnsi="Times New Roman" w:eastAsia="宋体" w:cs="Times New Roman"/>
                <w:kern w:val="2"/>
                <w:sz w:val="18"/>
                <w:szCs w:val="21"/>
                <w:highlight w:val="none"/>
              </w:rPr>
              <w:t>现场实测</w:t>
            </w:r>
            <w:r>
              <w:rPr>
                <w:rFonts w:hint="eastAsia" w:ascii="Times New Roman" w:hAnsi="Times New Roman" w:eastAsia="宋体" w:cs="Times New Roman"/>
                <w:kern w:val="2"/>
                <w:sz w:val="18"/>
                <w:szCs w:val="21"/>
                <w:highlight w:val="none"/>
                <w:lang w:eastAsia="zh-CN"/>
              </w:rPr>
              <w:t>☑</w:t>
            </w:r>
          </w:p>
        </w:tc>
        <w:tc>
          <w:tcPr>
            <w:tcW w:w="2535" w:type="dxa"/>
            <w:gridSpan w:val="10"/>
            <w:noWrap w:val="0"/>
            <w:vAlign w:val="center"/>
          </w:tcPr>
          <w:p w14:paraId="268C767D">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已有资料</w:t>
            </w:r>
            <w:r>
              <w:rPr>
                <w:rFonts w:hint="default" w:ascii="Times New Roman" w:hAnsi="Times New Roman" w:eastAsia="宋体" w:cs="Times New Roman"/>
                <w:kern w:val="2"/>
                <w:sz w:val="18"/>
                <w:szCs w:val="21"/>
                <w:highlight w:val="none"/>
              </w:rPr>
              <w:sym w:font="Wingdings 2" w:char="00A3"/>
            </w:r>
          </w:p>
        </w:tc>
        <w:tc>
          <w:tcPr>
            <w:tcW w:w="2065" w:type="dxa"/>
            <w:gridSpan w:val="4"/>
            <w:noWrap w:val="0"/>
            <w:vAlign w:val="center"/>
          </w:tcPr>
          <w:p w14:paraId="24900407">
            <w:pPr>
              <w:widowControl/>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研究成果</w:t>
            </w:r>
            <w:r>
              <w:rPr>
                <w:rFonts w:hint="default" w:ascii="Times New Roman" w:hAnsi="Times New Roman" w:eastAsia="宋体" w:cs="Times New Roman"/>
                <w:kern w:val="2"/>
                <w:sz w:val="18"/>
                <w:szCs w:val="21"/>
                <w:highlight w:val="none"/>
              </w:rPr>
              <w:sym w:font="Wingdings 2" w:char="00A3"/>
            </w:r>
          </w:p>
        </w:tc>
      </w:tr>
      <w:tr w14:paraId="0F01B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997" w:type="dxa"/>
            <w:vMerge w:val="restart"/>
            <w:noWrap w:val="0"/>
            <w:vAlign w:val="center"/>
          </w:tcPr>
          <w:p w14:paraId="1A2E0A4B">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声环境影响预测与评价</w:t>
            </w:r>
          </w:p>
        </w:tc>
        <w:tc>
          <w:tcPr>
            <w:tcW w:w="1413" w:type="dxa"/>
            <w:noWrap w:val="0"/>
            <w:vAlign w:val="center"/>
          </w:tcPr>
          <w:p w14:paraId="71D2423A">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预测模型</w:t>
            </w:r>
          </w:p>
        </w:tc>
        <w:tc>
          <w:tcPr>
            <w:tcW w:w="1952" w:type="dxa"/>
            <w:gridSpan w:val="3"/>
            <w:noWrap w:val="0"/>
            <w:vAlign w:val="center"/>
          </w:tcPr>
          <w:p w14:paraId="302A3618">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18"/>
                <w:highlight w:val="none"/>
              </w:rPr>
              <w:t>导则推荐模型</w:t>
            </w:r>
            <w:r>
              <w:rPr>
                <w:rFonts w:hint="default" w:ascii="Times New Roman" w:hAnsi="Times New Roman" w:eastAsia="宋体" w:cs="Times New Roman"/>
                <w:kern w:val="2"/>
                <w:sz w:val="18"/>
                <w:szCs w:val="21"/>
                <w:highlight w:val="none"/>
              </w:rPr>
              <w:sym w:font="Wingdings 2" w:char="0052"/>
            </w:r>
          </w:p>
        </w:tc>
        <w:tc>
          <w:tcPr>
            <w:tcW w:w="4600" w:type="dxa"/>
            <w:gridSpan w:val="14"/>
            <w:noWrap w:val="0"/>
            <w:vAlign w:val="center"/>
          </w:tcPr>
          <w:p w14:paraId="0B665058">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其他□</w:t>
            </w:r>
            <w:r>
              <w:rPr>
                <w:rFonts w:hint="default" w:ascii="Times New Roman" w:hAnsi="Times New Roman" w:eastAsia="宋体" w:cs="Times New Roman"/>
                <w:kern w:val="2"/>
                <w:sz w:val="18"/>
                <w:szCs w:val="21"/>
                <w:highlight w:val="none"/>
                <w:u w:val="single"/>
              </w:rPr>
              <w:t xml:space="preserve">           </w:t>
            </w:r>
            <w:r>
              <w:rPr>
                <w:rFonts w:hint="default" w:ascii="Times New Roman" w:hAnsi="Times New Roman" w:eastAsia="宋体" w:cs="Times New Roman"/>
                <w:kern w:val="2"/>
                <w:sz w:val="18"/>
                <w:szCs w:val="21"/>
                <w:highlight w:val="none"/>
              </w:rPr>
              <w:t xml:space="preserve"> </w:t>
            </w:r>
          </w:p>
        </w:tc>
      </w:tr>
      <w:tr w14:paraId="3314C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997" w:type="dxa"/>
            <w:vMerge w:val="continue"/>
            <w:noWrap w:val="0"/>
            <w:vAlign w:val="center"/>
          </w:tcPr>
          <w:p w14:paraId="5B467AFD">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1413" w:type="dxa"/>
            <w:noWrap w:val="0"/>
            <w:vAlign w:val="center"/>
          </w:tcPr>
          <w:p w14:paraId="4A5EB36D">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预测范围</w:t>
            </w:r>
          </w:p>
        </w:tc>
        <w:tc>
          <w:tcPr>
            <w:tcW w:w="2190" w:type="dxa"/>
            <w:gridSpan w:val="5"/>
            <w:noWrap w:val="0"/>
            <w:vAlign w:val="center"/>
          </w:tcPr>
          <w:p w14:paraId="612563F5">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18"/>
                <w:highlight w:val="none"/>
              </w:rPr>
            </w:pPr>
            <w:r>
              <w:rPr>
                <w:rFonts w:hint="default" w:ascii="Times New Roman" w:hAnsi="Times New Roman" w:eastAsia="宋体" w:cs="Times New Roman"/>
                <w:kern w:val="2"/>
                <w:sz w:val="18"/>
                <w:szCs w:val="21"/>
                <w:highlight w:val="none"/>
              </w:rPr>
              <w:t>200 m</w:t>
            </w:r>
            <w:r>
              <w:rPr>
                <w:rFonts w:hint="default" w:ascii="Times New Roman" w:hAnsi="Times New Roman" w:eastAsia="宋体" w:cs="Times New Roman"/>
                <w:kern w:val="2"/>
                <w:sz w:val="18"/>
                <w:szCs w:val="21"/>
                <w:highlight w:val="none"/>
              </w:rPr>
              <w:sym w:font="Wingdings 2" w:char="0052"/>
            </w:r>
          </w:p>
        </w:tc>
        <w:tc>
          <w:tcPr>
            <w:tcW w:w="1751" w:type="dxa"/>
            <w:gridSpan w:val="5"/>
            <w:noWrap w:val="0"/>
            <w:vAlign w:val="center"/>
          </w:tcPr>
          <w:p w14:paraId="548BB1DC">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大于200 m□</w:t>
            </w:r>
          </w:p>
        </w:tc>
        <w:tc>
          <w:tcPr>
            <w:tcW w:w="2611" w:type="dxa"/>
            <w:gridSpan w:val="7"/>
            <w:noWrap w:val="0"/>
            <w:vAlign w:val="center"/>
          </w:tcPr>
          <w:p w14:paraId="0D7EB6E7">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小于200 m□</w:t>
            </w:r>
          </w:p>
        </w:tc>
      </w:tr>
      <w:tr w14:paraId="5ECB6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997" w:type="dxa"/>
            <w:vMerge w:val="continue"/>
            <w:noWrap w:val="0"/>
            <w:vAlign w:val="center"/>
          </w:tcPr>
          <w:p w14:paraId="3CCEE7E2">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1413" w:type="dxa"/>
            <w:noWrap w:val="0"/>
            <w:vAlign w:val="center"/>
          </w:tcPr>
          <w:p w14:paraId="5E305C13">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预测因子</w:t>
            </w:r>
          </w:p>
        </w:tc>
        <w:tc>
          <w:tcPr>
            <w:tcW w:w="1952" w:type="dxa"/>
            <w:gridSpan w:val="3"/>
            <w:noWrap w:val="0"/>
            <w:vAlign w:val="center"/>
          </w:tcPr>
          <w:p w14:paraId="41892FD3">
            <w:pPr>
              <w:topLinePunct w:val="0"/>
              <w:adjustRightInd/>
              <w:spacing w:before="31" w:beforeLines="10" w:after="31" w:afterLines="10" w:line="0" w:lineRule="atLeast"/>
              <w:ind w:left="0" w:leftChars="0" w:firstLine="0" w:firstLineChars="0"/>
              <w:jc w:val="both"/>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等效连续A声级</w:t>
            </w:r>
            <w:r>
              <w:rPr>
                <w:rFonts w:hint="default" w:ascii="Times New Roman" w:hAnsi="Times New Roman" w:eastAsia="宋体" w:cs="Times New Roman"/>
                <w:kern w:val="2"/>
                <w:sz w:val="18"/>
                <w:szCs w:val="21"/>
                <w:highlight w:val="none"/>
              </w:rPr>
              <w:sym w:font="Wingdings 2" w:char="0052"/>
            </w:r>
          </w:p>
        </w:tc>
        <w:tc>
          <w:tcPr>
            <w:tcW w:w="1989" w:type="dxa"/>
            <w:gridSpan w:val="7"/>
            <w:noWrap w:val="0"/>
            <w:vAlign w:val="center"/>
          </w:tcPr>
          <w:p w14:paraId="02B60404">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最大A声级□</w:t>
            </w:r>
          </w:p>
        </w:tc>
        <w:tc>
          <w:tcPr>
            <w:tcW w:w="2611" w:type="dxa"/>
            <w:gridSpan w:val="7"/>
            <w:noWrap w:val="0"/>
            <w:vAlign w:val="center"/>
          </w:tcPr>
          <w:p w14:paraId="65E35EC0">
            <w:pPr>
              <w:topLinePunct w:val="0"/>
              <w:adjustRightInd/>
              <w:spacing w:before="31" w:beforeLines="10" w:after="31" w:afterLines="10" w:line="0" w:lineRule="atLeast"/>
              <w:ind w:left="0" w:leftChars="0" w:firstLine="0" w:firstLineChars="0"/>
              <w:jc w:val="both"/>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计权等效连续感觉噪声级□</w:t>
            </w:r>
          </w:p>
        </w:tc>
      </w:tr>
      <w:tr w14:paraId="78B7B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97" w:type="dxa"/>
            <w:vMerge w:val="continue"/>
            <w:noWrap w:val="0"/>
            <w:vAlign w:val="center"/>
          </w:tcPr>
          <w:p w14:paraId="417A42D5">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1413" w:type="dxa"/>
            <w:noWrap w:val="0"/>
            <w:vAlign w:val="center"/>
          </w:tcPr>
          <w:p w14:paraId="67447921">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厂界噪声贡献值</w:t>
            </w:r>
          </w:p>
        </w:tc>
        <w:tc>
          <w:tcPr>
            <w:tcW w:w="3224" w:type="dxa"/>
            <w:gridSpan w:val="8"/>
            <w:noWrap w:val="0"/>
            <w:vAlign w:val="center"/>
          </w:tcPr>
          <w:p w14:paraId="5D008952">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达标 </w:t>
            </w:r>
            <w:r>
              <w:rPr>
                <w:rFonts w:hint="default" w:ascii="Times New Roman" w:hAnsi="Times New Roman" w:eastAsia="宋体" w:cs="Times New Roman"/>
                <w:kern w:val="2"/>
                <w:sz w:val="18"/>
                <w:szCs w:val="21"/>
                <w:highlight w:val="none"/>
              </w:rPr>
              <w:sym w:font="Wingdings 2" w:char="0052"/>
            </w:r>
          </w:p>
        </w:tc>
        <w:tc>
          <w:tcPr>
            <w:tcW w:w="3328" w:type="dxa"/>
            <w:gridSpan w:val="9"/>
            <w:noWrap w:val="0"/>
            <w:vAlign w:val="center"/>
          </w:tcPr>
          <w:p w14:paraId="2AB17A73">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不达标□</w:t>
            </w:r>
          </w:p>
        </w:tc>
      </w:tr>
      <w:tr w14:paraId="51F94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97" w:type="dxa"/>
            <w:vMerge w:val="continue"/>
            <w:noWrap w:val="0"/>
            <w:vAlign w:val="center"/>
          </w:tcPr>
          <w:p w14:paraId="03746271">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1413" w:type="dxa"/>
            <w:noWrap w:val="0"/>
            <w:vAlign w:val="center"/>
          </w:tcPr>
          <w:p w14:paraId="537FF538">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声环境保护目标处噪声值</w:t>
            </w:r>
          </w:p>
        </w:tc>
        <w:tc>
          <w:tcPr>
            <w:tcW w:w="3224" w:type="dxa"/>
            <w:gridSpan w:val="8"/>
            <w:noWrap w:val="0"/>
            <w:vAlign w:val="center"/>
          </w:tcPr>
          <w:p w14:paraId="0AE2038D">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达标</w:t>
            </w:r>
            <w:r>
              <w:rPr>
                <w:rFonts w:hint="default" w:ascii="Times New Roman" w:hAnsi="Times New Roman" w:eastAsia="宋体" w:cs="Times New Roman"/>
                <w:kern w:val="2"/>
                <w:sz w:val="18"/>
                <w:szCs w:val="21"/>
                <w:highlight w:val="none"/>
              </w:rPr>
              <w:sym w:font="Wingdings 2" w:char="0052"/>
            </w:r>
          </w:p>
        </w:tc>
        <w:tc>
          <w:tcPr>
            <w:tcW w:w="3328" w:type="dxa"/>
            <w:gridSpan w:val="9"/>
            <w:noWrap w:val="0"/>
            <w:vAlign w:val="center"/>
          </w:tcPr>
          <w:p w14:paraId="18CF6371">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不达标□</w:t>
            </w:r>
          </w:p>
        </w:tc>
      </w:tr>
      <w:tr w14:paraId="1ED1E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997" w:type="dxa"/>
            <w:vMerge w:val="restart"/>
            <w:noWrap w:val="0"/>
            <w:vAlign w:val="center"/>
          </w:tcPr>
          <w:p w14:paraId="0B0C194B">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环境监测计划</w:t>
            </w:r>
          </w:p>
        </w:tc>
        <w:tc>
          <w:tcPr>
            <w:tcW w:w="1413" w:type="dxa"/>
            <w:noWrap w:val="0"/>
            <w:vAlign w:val="center"/>
          </w:tcPr>
          <w:p w14:paraId="68EBB67B">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排放监测</w:t>
            </w:r>
          </w:p>
        </w:tc>
        <w:tc>
          <w:tcPr>
            <w:tcW w:w="3224" w:type="dxa"/>
            <w:gridSpan w:val="8"/>
            <w:noWrap w:val="0"/>
            <w:vAlign w:val="center"/>
          </w:tcPr>
          <w:p w14:paraId="505F28E2">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厂界监测</w:t>
            </w:r>
            <w:r>
              <w:rPr>
                <w:rFonts w:hint="default" w:ascii="Times New Roman" w:hAnsi="Times New Roman" w:eastAsia="宋体" w:cs="Times New Roman"/>
                <w:kern w:val="2"/>
                <w:sz w:val="18"/>
                <w:szCs w:val="21"/>
                <w:highlight w:val="none"/>
              </w:rPr>
              <w:sym w:font="Wingdings 2" w:char="0052"/>
            </w:r>
            <w:r>
              <w:rPr>
                <w:rFonts w:hint="default" w:ascii="Times New Roman" w:hAnsi="Times New Roman" w:eastAsia="宋体" w:cs="Times New Roman"/>
                <w:kern w:val="2"/>
                <w:sz w:val="18"/>
                <w:szCs w:val="21"/>
                <w:highlight w:val="none"/>
              </w:rPr>
              <w:t xml:space="preserve">    固定位置监测</w:t>
            </w:r>
            <w:r>
              <w:rPr>
                <w:rFonts w:hint="default" w:ascii="Times New Roman" w:hAnsi="Times New Roman" w:eastAsia="宋体" w:cs="Times New Roman"/>
                <w:kern w:val="2"/>
                <w:sz w:val="18"/>
                <w:szCs w:val="21"/>
                <w:highlight w:val="none"/>
              </w:rPr>
              <w:sym w:font="Wingdings 2" w:char="0052"/>
            </w:r>
          </w:p>
        </w:tc>
        <w:tc>
          <w:tcPr>
            <w:tcW w:w="2164" w:type="dxa"/>
            <w:gridSpan w:val="7"/>
            <w:noWrap w:val="0"/>
            <w:vAlign w:val="center"/>
          </w:tcPr>
          <w:p w14:paraId="1AD27C10">
            <w:pPr>
              <w:topLinePunct w:val="0"/>
              <w:adjustRightInd/>
              <w:spacing w:before="31" w:beforeLines="10" w:after="31" w:afterLines="10" w:line="0" w:lineRule="atLeast"/>
              <w:ind w:left="0" w:leftChars="0" w:firstLine="0" w:firstLineChars="0"/>
              <w:jc w:val="both"/>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自动监测□ 手动监测</w:t>
            </w:r>
            <w:r>
              <w:rPr>
                <w:rFonts w:hint="default" w:ascii="Times New Roman" w:hAnsi="Times New Roman" w:eastAsia="宋体" w:cs="Times New Roman"/>
                <w:kern w:val="2"/>
                <w:sz w:val="18"/>
                <w:szCs w:val="21"/>
                <w:highlight w:val="none"/>
              </w:rPr>
              <w:sym w:font="Wingdings 2" w:char="0052"/>
            </w:r>
          </w:p>
        </w:tc>
        <w:tc>
          <w:tcPr>
            <w:tcW w:w="1164" w:type="dxa"/>
            <w:gridSpan w:val="2"/>
            <w:noWrap w:val="0"/>
            <w:vAlign w:val="center"/>
          </w:tcPr>
          <w:p w14:paraId="24004152">
            <w:pPr>
              <w:topLinePunct w:val="0"/>
              <w:adjustRightInd/>
              <w:spacing w:before="31" w:beforeLines="10" w:after="31" w:afterLines="10" w:line="0" w:lineRule="atLeast"/>
              <w:ind w:left="0" w:leftChars="0" w:firstLine="0" w:firstLineChars="0"/>
              <w:jc w:val="both"/>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无监测</w:t>
            </w:r>
            <w:r>
              <w:rPr>
                <w:rFonts w:hint="default" w:ascii="Times New Roman" w:hAnsi="Times New Roman" w:eastAsia="宋体" w:cs="Times New Roman"/>
                <w:kern w:val="2"/>
                <w:sz w:val="18"/>
                <w:szCs w:val="21"/>
                <w:highlight w:val="none"/>
              </w:rPr>
              <w:sym w:font="Wingdings 2" w:char="00A3"/>
            </w:r>
          </w:p>
        </w:tc>
      </w:tr>
      <w:tr w14:paraId="5E888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997" w:type="dxa"/>
            <w:vMerge w:val="continue"/>
            <w:noWrap w:val="0"/>
            <w:vAlign w:val="center"/>
          </w:tcPr>
          <w:p w14:paraId="55FBC2C2">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1413" w:type="dxa"/>
            <w:noWrap w:val="0"/>
            <w:vAlign w:val="center"/>
          </w:tcPr>
          <w:p w14:paraId="597FB4F4">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声环境保护目标处噪声监测</w:t>
            </w:r>
          </w:p>
        </w:tc>
        <w:tc>
          <w:tcPr>
            <w:tcW w:w="3224" w:type="dxa"/>
            <w:gridSpan w:val="8"/>
            <w:noWrap w:val="0"/>
            <w:vAlign w:val="center"/>
          </w:tcPr>
          <w:p w14:paraId="62E4BDD7">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监测因子：（等效连续A声级）</w:t>
            </w:r>
          </w:p>
        </w:tc>
        <w:tc>
          <w:tcPr>
            <w:tcW w:w="2164" w:type="dxa"/>
            <w:gridSpan w:val="7"/>
            <w:noWrap w:val="0"/>
            <w:vAlign w:val="center"/>
          </w:tcPr>
          <w:p w14:paraId="4DA47E86">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监测点位数（ </w:t>
            </w:r>
            <w:r>
              <w:rPr>
                <w:rFonts w:hint="eastAsia" w:ascii="Times New Roman" w:hAnsi="Times New Roman" w:eastAsia="宋体" w:cs="Times New Roman"/>
                <w:kern w:val="2"/>
                <w:sz w:val="18"/>
                <w:szCs w:val="21"/>
                <w:highlight w:val="none"/>
                <w:lang w:val="en-US" w:eastAsia="zh-CN"/>
              </w:rPr>
              <w:t>4</w:t>
            </w:r>
            <w:r>
              <w:rPr>
                <w:rFonts w:hint="default" w:ascii="Times New Roman" w:hAnsi="Times New Roman" w:eastAsia="宋体" w:cs="Times New Roman"/>
                <w:kern w:val="2"/>
                <w:sz w:val="18"/>
                <w:szCs w:val="21"/>
                <w:highlight w:val="none"/>
              </w:rPr>
              <w:t xml:space="preserve"> ）</w:t>
            </w:r>
          </w:p>
        </w:tc>
        <w:tc>
          <w:tcPr>
            <w:tcW w:w="1164" w:type="dxa"/>
            <w:gridSpan w:val="2"/>
            <w:noWrap w:val="0"/>
            <w:vAlign w:val="center"/>
          </w:tcPr>
          <w:p w14:paraId="46798C7F">
            <w:pPr>
              <w:topLinePunct w:val="0"/>
              <w:adjustRightInd/>
              <w:spacing w:before="31" w:beforeLines="10" w:after="31" w:afterLines="10" w:line="0" w:lineRule="atLeast"/>
              <w:ind w:left="0" w:leftChars="0" w:firstLine="0" w:firstLineChars="0"/>
              <w:jc w:val="both"/>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无监测□</w:t>
            </w:r>
          </w:p>
        </w:tc>
      </w:tr>
      <w:tr w14:paraId="0565E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997" w:type="dxa"/>
            <w:noWrap w:val="0"/>
            <w:vAlign w:val="center"/>
          </w:tcPr>
          <w:p w14:paraId="6ECA6B58">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评价结论</w:t>
            </w:r>
          </w:p>
        </w:tc>
        <w:tc>
          <w:tcPr>
            <w:tcW w:w="1413" w:type="dxa"/>
            <w:noWrap w:val="0"/>
            <w:vAlign w:val="center"/>
          </w:tcPr>
          <w:p w14:paraId="54D4B74E">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环境影响</w:t>
            </w:r>
          </w:p>
        </w:tc>
        <w:tc>
          <w:tcPr>
            <w:tcW w:w="6552" w:type="dxa"/>
            <w:gridSpan w:val="17"/>
            <w:noWrap w:val="0"/>
            <w:vAlign w:val="center"/>
          </w:tcPr>
          <w:p w14:paraId="4A82E3F5">
            <w:pPr>
              <w:topLinePunct w:val="0"/>
              <w:adjustRightInd/>
              <w:spacing w:before="31" w:beforeLines="10" w:after="31" w:afterLines="10" w:line="0" w:lineRule="atLeast"/>
              <w:ind w:firstLine="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可行</w:t>
            </w:r>
            <w:r>
              <w:rPr>
                <w:rFonts w:hint="default" w:ascii="Times New Roman" w:hAnsi="Times New Roman" w:eastAsia="宋体" w:cs="Times New Roman"/>
                <w:kern w:val="2"/>
                <w:sz w:val="18"/>
                <w:szCs w:val="21"/>
                <w:highlight w:val="none"/>
              </w:rPr>
              <w:sym w:font="Wingdings 2" w:char="0052"/>
            </w:r>
            <w:r>
              <w:rPr>
                <w:rFonts w:hint="default" w:ascii="Times New Roman" w:hAnsi="Times New Roman" w:eastAsia="宋体" w:cs="Times New Roman"/>
                <w:kern w:val="2"/>
                <w:sz w:val="18"/>
                <w:szCs w:val="21"/>
                <w:highlight w:val="none"/>
              </w:rPr>
              <w:t xml:space="preserve">       不可行□</w:t>
            </w:r>
          </w:p>
        </w:tc>
      </w:tr>
      <w:tr w14:paraId="46E9F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962" w:type="dxa"/>
            <w:gridSpan w:val="19"/>
            <w:noWrap w:val="0"/>
            <w:vAlign w:val="center"/>
          </w:tcPr>
          <w:p w14:paraId="21C57C08">
            <w:pPr>
              <w:topLinePunct w:val="0"/>
              <w:adjustRightInd/>
              <w:spacing w:before="31" w:beforeLines="10" w:after="31" w:afterLines="10" w:line="0" w:lineRule="atLeast"/>
              <w:ind w:firstLine="0"/>
              <w:jc w:val="left"/>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注：“□” 为勾选项 ，可√ ；“（   ）” 为内容填写项。</w:t>
            </w:r>
          </w:p>
        </w:tc>
      </w:tr>
    </w:tbl>
    <w:p w14:paraId="4B048C2A">
      <w:pPr>
        <w:rPr>
          <w:rFonts w:ascii="Times New Roman" w:hAnsi="Times New Roman" w:eastAsia="宋体" w:cs="Times New Roman"/>
          <w:b/>
          <w:color w:val="auto"/>
          <w:sz w:val="21"/>
          <w:szCs w:val="21"/>
          <w:highlight w:val="none"/>
        </w:rPr>
      </w:pPr>
    </w:p>
    <w:p w14:paraId="68C01A09">
      <w:pPr>
        <w:rPr>
          <w:rFonts w:ascii="Times New Roman" w:hAnsi="Times New Roman" w:eastAsia="宋体" w:cs="Times New Roman"/>
          <w:b/>
          <w:color w:val="auto"/>
          <w:sz w:val="21"/>
          <w:szCs w:val="21"/>
          <w:highlight w:val="none"/>
        </w:rPr>
      </w:pPr>
    </w:p>
    <w:p w14:paraId="3EAA117C">
      <w:pPr>
        <w:rPr>
          <w:rFonts w:ascii="Times New Roman" w:hAnsi="Times New Roman" w:eastAsia="宋体" w:cs="Times New Roman"/>
          <w:b/>
          <w:color w:val="auto"/>
          <w:sz w:val="21"/>
          <w:szCs w:val="21"/>
          <w:highlight w:val="none"/>
        </w:rPr>
      </w:pPr>
    </w:p>
    <w:p w14:paraId="3A362CEB">
      <w:pPr>
        <w:rPr>
          <w:rFonts w:ascii="Times New Roman" w:hAnsi="Times New Roman" w:eastAsia="宋体" w:cs="Times New Roman"/>
          <w:b/>
          <w:color w:val="auto"/>
          <w:sz w:val="21"/>
          <w:szCs w:val="21"/>
          <w:highlight w:val="none"/>
        </w:rPr>
      </w:pPr>
    </w:p>
    <w:p w14:paraId="7D35584C">
      <w:pPr>
        <w:rPr>
          <w:rFonts w:ascii="Times New Roman" w:hAnsi="Times New Roman" w:eastAsia="宋体" w:cs="Times New Roman"/>
          <w:b/>
          <w:color w:val="auto"/>
          <w:sz w:val="21"/>
          <w:szCs w:val="21"/>
          <w:highlight w:val="none"/>
        </w:rPr>
      </w:pPr>
    </w:p>
    <w:p w14:paraId="5506B325">
      <w:pPr>
        <w:rPr>
          <w:rFonts w:ascii="Times New Roman" w:hAnsi="Times New Roman" w:eastAsia="宋体" w:cs="Times New Roman"/>
          <w:b/>
          <w:color w:val="auto"/>
          <w:sz w:val="21"/>
          <w:szCs w:val="21"/>
          <w:highlight w:val="none"/>
        </w:rPr>
      </w:pPr>
    </w:p>
    <w:p w14:paraId="0446542B">
      <w:pPr>
        <w:rPr>
          <w:rFonts w:ascii="Times New Roman" w:hAnsi="Times New Roman" w:eastAsia="宋体" w:cs="Times New Roman"/>
          <w:b/>
          <w:color w:val="auto"/>
          <w:sz w:val="21"/>
          <w:szCs w:val="21"/>
          <w:highlight w:val="none"/>
        </w:rPr>
      </w:pPr>
    </w:p>
    <w:p w14:paraId="540819C6">
      <w:pPr>
        <w:rPr>
          <w:rFonts w:ascii="Times New Roman" w:hAnsi="Times New Roman" w:eastAsia="宋体" w:cs="Times New Roman"/>
          <w:b/>
          <w:color w:val="auto"/>
          <w:sz w:val="21"/>
          <w:szCs w:val="21"/>
          <w:highlight w:val="none"/>
        </w:rPr>
      </w:pPr>
    </w:p>
    <w:p w14:paraId="4674FCB0">
      <w:pPr>
        <w:rPr>
          <w:rFonts w:ascii="Times New Roman" w:hAnsi="Times New Roman" w:eastAsia="宋体" w:cs="Times New Roman"/>
          <w:b/>
          <w:color w:val="auto"/>
          <w:sz w:val="21"/>
          <w:szCs w:val="21"/>
          <w:highlight w:val="none"/>
        </w:rPr>
      </w:pPr>
    </w:p>
    <w:p w14:paraId="6A88CA14">
      <w:pPr>
        <w:rPr>
          <w:rFonts w:ascii="Times New Roman" w:hAnsi="Times New Roman" w:eastAsia="宋体" w:cs="Times New Roman"/>
          <w:b/>
          <w:color w:val="auto"/>
          <w:sz w:val="21"/>
          <w:szCs w:val="21"/>
          <w:highlight w:val="none"/>
        </w:rPr>
      </w:pPr>
    </w:p>
    <w:p w14:paraId="49D0E4F6">
      <w:pPr>
        <w:jc w:val="center"/>
        <w:rPr>
          <w:rFonts w:hint="default" w:ascii="Times New Roman" w:hAnsi="Times New Roman" w:eastAsia="黑体" w:cs="Times New Roman"/>
          <w:sz w:val="28"/>
          <w:szCs w:val="28"/>
          <w:highlight w:val="none"/>
          <w:lang w:val="en-US" w:eastAsia="zh-CN"/>
        </w:rPr>
      </w:pPr>
    </w:p>
    <w:p w14:paraId="7D3C04A9">
      <w:pPr>
        <w:jc w:val="center"/>
        <w:rPr>
          <w:rFonts w:hint="default" w:ascii="Times New Roman" w:hAnsi="Times New Roman" w:eastAsia="黑体" w:cs="Times New Roman"/>
          <w:sz w:val="28"/>
          <w:szCs w:val="28"/>
          <w:highlight w:val="none"/>
          <w:lang w:val="en-US" w:eastAsia="zh-CN"/>
        </w:rPr>
      </w:pPr>
      <w:r>
        <w:rPr>
          <w:rFonts w:hint="default" w:ascii="Times New Roman" w:hAnsi="Times New Roman" w:eastAsia="黑体" w:cs="Times New Roman"/>
          <w:sz w:val="28"/>
          <w:szCs w:val="28"/>
          <w:highlight w:val="none"/>
          <w:lang w:val="en-US" w:eastAsia="zh-CN"/>
        </w:rPr>
        <w:t>附表</w:t>
      </w:r>
      <w:r>
        <w:rPr>
          <w:rFonts w:hint="eastAsia" w:ascii="Times New Roman" w:hAnsi="Times New Roman" w:eastAsia="黑体" w:cs="Times New Roman"/>
          <w:sz w:val="28"/>
          <w:szCs w:val="28"/>
          <w:highlight w:val="none"/>
          <w:lang w:val="en-US" w:eastAsia="zh-CN"/>
        </w:rPr>
        <w:t xml:space="preserve">4 </w:t>
      </w:r>
      <w:r>
        <w:rPr>
          <w:rFonts w:hint="default" w:ascii="Times New Roman" w:hAnsi="Times New Roman" w:eastAsia="黑体" w:cs="Times New Roman"/>
          <w:sz w:val="28"/>
          <w:szCs w:val="28"/>
          <w:highlight w:val="none"/>
          <w:lang w:val="en-US" w:eastAsia="zh-CN"/>
        </w:rPr>
        <w:t xml:space="preserve"> 生态影响评价自查表</w:t>
      </w:r>
    </w:p>
    <w:tbl>
      <w:tblPr>
        <w:tblStyle w:val="37"/>
        <w:tblW w:w="5034" w:type="pct"/>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autofit"/>
        <w:tblCellMar>
          <w:top w:w="0" w:type="dxa"/>
          <w:left w:w="0" w:type="dxa"/>
          <w:bottom w:w="0" w:type="dxa"/>
          <w:right w:w="0" w:type="dxa"/>
        </w:tblCellMar>
      </w:tblPr>
      <w:tblGrid>
        <w:gridCol w:w="940"/>
        <w:gridCol w:w="1165"/>
        <w:gridCol w:w="6288"/>
      </w:tblGrid>
      <w:tr w14:paraId="6C443FE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96" w:hRule="atLeast"/>
          <w:jc w:val="center"/>
        </w:trPr>
        <w:tc>
          <w:tcPr>
            <w:tcW w:w="1254" w:type="pct"/>
            <w:gridSpan w:val="2"/>
            <w:tcBorders>
              <w:right w:val="single" w:color="000000" w:sz="4" w:space="0"/>
            </w:tcBorders>
            <w:noWrap w:val="0"/>
            <w:vAlign w:val="center"/>
          </w:tcPr>
          <w:p w14:paraId="0C0AFDAA">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工作内容</w:t>
            </w:r>
          </w:p>
        </w:tc>
        <w:tc>
          <w:tcPr>
            <w:tcW w:w="3745" w:type="pct"/>
            <w:tcBorders>
              <w:left w:val="single" w:color="000000" w:sz="4" w:space="0"/>
            </w:tcBorders>
            <w:noWrap w:val="0"/>
            <w:vAlign w:val="center"/>
          </w:tcPr>
          <w:p w14:paraId="1774B6E9">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自查项目</w:t>
            </w:r>
          </w:p>
        </w:tc>
      </w:tr>
      <w:tr w14:paraId="0453C08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62" w:hRule="atLeast"/>
          <w:jc w:val="center"/>
        </w:trPr>
        <w:tc>
          <w:tcPr>
            <w:tcW w:w="560" w:type="pct"/>
            <w:vMerge w:val="restart"/>
            <w:tcBorders>
              <w:bottom w:val="single" w:color="000000" w:sz="4" w:space="0"/>
              <w:right w:val="single" w:color="000000" w:sz="4" w:space="0"/>
            </w:tcBorders>
            <w:noWrap w:val="0"/>
            <w:vAlign w:val="center"/>
          </w:tcPr>
          <w:p w14:paraId="1EE24AD8">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生态影响</w:t>
            </w:r>
          </w:p>
          <w:p w14:paraId="14794A64">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识别</w:t>
            </w:r>
          </w:p>
        </w:tc>
        <w:tc>
          <w:tcPr>
            <w:tcW w:w="694" w:type="pct"/>
            <w:tcBorders>
              <w:left w:val="single" w:color="000000" w:sz="4" w:space="0"/>
              <w:bottom w:val="single" w:color="000000" w:sz="4" w:space="0"/>
              <w:right w:val="single" w:color="000000" w:sz="4" w:space="0"/>
            </w:tcBorders>
            <w:noWrap w:val="0"/>
            <w:vAlign w:val="center"/>
          </w:tcPr>
          <w:p w14:paraId="3940C04A">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both"/>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生态保护目标</w:t>
            </w:r>
          </w:p>
        </w:tc>
        <w:tc>
          <w:tcPr>
            <w:tcW w:w="3745" w:type="pct"/>
            <w:tcBorders>
              <w:left w:val="single" w:color="000000" w:sz="4" w:space="0"/>
              <w:bottom w:val="single" w:color="000000" w:sz="4" w:space="0"/>
            </w:tcBorders>
            <w:noWrap w:val="0"/>
            <w:vAlign w:val="center"/>
          </w:tcPr>
          <w:p w14:paraId="1267C074">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both"/>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重要物种□；国家公园□；自然保护区□；自然公园□；世界自然遗产□；生态保护红线□；重要生境□；其他具有重要生态功能、对保护生物多样性具有重要意义的区域□；其他</w:t>
            </w:r>
            <w:r>
              <w:rPr>
                <w:rFonts w:hint="default" w:ascii="Times New Roman" w:hAnsi="Times New Roman" w:eastAsia="Times New Roman" w:cs="Times New Roman"/>
                <w:kern w:val="0"/>
                <w:sz w:val="18"/>
                <w:szCs w:val="22"/>
                <w:highlight w:val="none"/>
                <w:lang w:val="en-US" w:eastAsia="en-US" w:bidi="ar-SA"/>
              </w:rPr>
              <w:sym w:font="Wingdings 2" w:char="0052"/>
            </w:r>
          </w:p>
        </w:tc>
      </w:tr>
      <w:tr w14:paraId="4C7F659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94" w:hRule="atLeast"/>
          <w:jc w:val="center"/>
        </w:trPr>
        <w:tc>
          <w:tcPr>
            <w:tcW w:w="560" w:type="pct"/>
            <w:vMerge w:val="continue"/>
            <w:tcBorders>
              <w:top w:val="nil"/>
              <w:bottom w:val="single" w:color="000000" w:sz="4" w:space="0"/>
              <w:right w:val="single" w:color="000000" w:sz="4" w:space="0"/>
            </w:tcBorders>
            <w:noWrap w:val="0"/>
            <w:vAlign w:val="center"/>
          </w:tcPr>
          <w:p w14:paraId="012D8899">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default" w:ascii="Times New Roman" w:hAnsi="Times New Roman" w:eastAsia="宋体" w:cs="Times New Roman"/>
                <w:sz w:val="2"/>
                <w:szCs w:val="2"/>
                <w:highlight w:val="none"/>
              </w:rPr>
            </w:pPr>
          </w:p>
        </w:tc>
        <w:tc>
          <w:tcPr>
            <w:tcW w:w="694" w:type="pct"/>
            <w:tcBorders>
              <w:top w:val="single" w:color="000000" w:sz="4" w:space="0"/>
              <w:left w:val="single" w:color="000000" w:sz="4" w:space="0"/>
              <w:bottom w:val="single" w:color="000000" w:sz="4" w:space="0"/>
              <w:right w:val="single" w:color="000000" w:sz="4" w:space="0"/>
            </w:tcBorders>
            <w:noWrap w:val="0"/>
            <w:vAlign w:val="center"/>
          </w:tcPr>
          <w:p w14:paraId="1F95776D">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影响方式</w:t>
            </w:r>
          </w:p>
        </w:tc>
        <w:tc>
          <w:tcPr>
            <w:tcW w:w="3745" w:type="pct"/>
            <w:tcBorders>
              <w:top w:val="single" w:color="000000" w:sz="4" w:space="0"/>
              <w:left w:val="single" w:color="000000" w:sz="4" w:space="0"/>
              <w:bottom w:val="single" w:color="000000" w:sz="4" w:space="0"/>
            </w:tcBorders>
            <w:noWrap w:val="0"/>
            <w:vAlign w:val="center"/>
          </w:tcPr>
          <w:p w14:paraId="20DE0AD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工程占用</w:t>
            </w:r>
            <w:r>
              <w:rPr>
                <w:rFonts w:hint="default" w:ascii="Times New Roman" w:hAnsi="Times New Roman" w:eastAsia="Times New Roman" w:cs="Times New Roman"/>
                <w:kern w:val="0"/>
                <w:sz w:val="18"/>
                <w:szCs w:val="22"/>
                <w:highlight w:val="none"/>
                <w:lang w:val="en-US" w:eastAsia="en-US" w:bidi="ar-SA"/>
              </w:rPr>
              <w:sym w:font="Wingdings 2" w:char="00A3"/>
            </w:r>
            <w:r>
              <w:rPr>
                <w:rFonts w:hint="default" w:ascii="Times New Roman" w:hAnsi="Times New Roman" w:eastAsia="Times New Roman" w:cs="Times New Roman"/>
                <w:kern w:val="0"/>
                <w:sz w:val="18"/>
                <w:szCs w:val="22"/>
                <w:highlight w:val="none"/>
                <w:lang w:val="en-US" w:eastAsia="en-US" w:bidi="ar-SA"/>
              </w:rPr>
              <w:t>；施工活动干扰</w:t>
            </w:r>
            <w:r>
              <w:rPr>
                <w:rFonts w:hint="default" w:ascii="Times New Roman" w:hAnsi="Times New Roman" w:eastAsia="Times New Roman" w:cs="Times New Roman"/>
                <w:kern w:val="0"/>
                <w:sz w:val="18"/>
                <w:szCs w:val="22"/>
                <w:highlight w:val="none"/>
                <w:lang w:val="en-US" w:eastAsia="en-US" w:bidi="ar-SA"/>
              </w:rPr>
              <w:sym w:font="Wingdings 2" w:char="0052"/>
            </w:r>
            <w:r>
              <w:rPr>
                <w:rFonts w:hint="default" w:ascii="Times New Roman" w:hAnsi="Times New Roman" w:eastAsia="Times New Roman" w:cs="Times New Roman"/>
                <w:kern w:val="0"/>
                <w:sz w:val="18"/>
                <w:szCs w:val="22"/>
                <w:highlight w:val="none"/>
                <w:lang w:val="en-US" w:eastAsia="en-US" w:bidi="ar-SA"/>
              </w:rPr>
              <w:t>；改变环境条件□；其他□</w:t>
            </w:r>
          </w:p>
        </w:tc>
      </w:tr>
      <w:tr w14:paraId="09C6211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412" w:hRule="atLeast"/>
          <w:jc w:val="center"/>
        </w:trPr>
        <w:tc>
          <w:tcPr>
            <w:tcW w:w="560" w:type="pct"/>
            <w:vMerge w:val="continue"/>
            <w:tcBorders>
              <w:top w:val="nil"/>
              <w:bottom w:val="single" w:color="000000" w:sz="4" w:space="0"/>
              <w:right w:val="single" w:color="000000" w:sz="4" w:space="0"/>
            </w:tcBorders>
            <w:noWrap w:val="0"/>
            <w:vAlign w:val="center"/>
          </w:tcPr>
          <w:p w14:paraId="0EE8A0AD">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default" w:ascii="Times New Roman" w:hAnsi="Times New Roman" w:eastAsia="宋体" w:cs="Times New Roman"/>
                <w:sz w:val="2"/>
                <w:szCs w:val="2"/>
                <w:highlight w:val="none"/>
              </w:rPr>
            </w:pPr>
          </w:p>
        </w:tc>
        <w:tc>
          <w:tcPr>
            <w:tcW w:w="694" w:type="pct"/>
            <w:tcBorders>
              <w:top w:val="single" w:color="000000" w:sz="4" w:space="0"/>
              <w:left w:val="single" w:color="000000" w:sz="4" w:space="0"/>
              <w:bottom w:val="single" w:color="000000" w:sz="4" w:space="0"/>
              <w:right w:val="single" w:color="000000" w:sz="4" w:space="0"/>
            </w:tcBorders>
            <w:noWrap w:val="0"/>
            <w:vAlign w:val="center"/>
          </w:tcPr>
          <w:p w14:paraId="1D779D2D">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评价因子</w:t>
            </w:r>
          </w:p>
        </w:tc>
        <w:tc>
          <w:tcPr>
            <w:tcW w:w="3745" w:type="pct"/>
            <w:tcBorders>
              <w:top w:val="single" w:color="000000" w:sz="4" w:space="0"/>
              <w:left w:val="single" w:color="000000" w:sz="4" w:space="0"/>
              <w:bottom w:val="single" w:color="000000" w:sz="4" w:space="0"/>
            </w:tcBorders>
            <w:noWrap w:val="0"/>
            <w:vAlign w:val="center"/>
          </w:tcPr>
          <w:p w14:paraId="206F7A4C">
            <w:pPr>
              <w:keepNext w:val="0"/>
              <w:keepLines w:val="0"/>
              <w:pageBreakBefore w:val="0"/>
              <w:widowControl w:val="0"/>
              <w:tabs>
                <w:tab w:val="left" w:pos="3092"/>
              </w:tabs>
              <w:kinsoku/>
              <w:wordWrap/>
              <w:overflowPunct/>
              <w:topLinePunct w:val="0"/>
              <w:autoSpaceDE/>
              <w:autoSpaceDN/>
              <w:bidi w:val="0"/>
              <w:adjustRightInd/>
              <w:snapToGrid/>
              <w:spacing w:line="240" w:lineRule="auto"/>
              <w:ind w:left="0" w:right="0" w:firstLine="0" w:firstLineChars="0"/>
              <w:jc w:val="left"/>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物种□（</w:t>
            </w:r>
            <w:r>
              <w:rPr>
                <w:rFonts w:hint="default" w:ascii="Times New Roman" w:hAnsi="Times New Roman" w:eastAsia="Times New Roman" w:cs="Times New Roman"/>
                <w:kern w:val="0"/>
                <w:sz w:val="18"/>
                <w:szCs w:val="22"/>
                <w:highlight w:val="none"/>
                <w:lang w:val="en-US" w:eastAsia="en-US" w:bidi="ar-SA"/>
              </w:rPr>
              <w:tab/>
            </w:r>
            <w:r>
              <w:rPr>
                <w:rFonts w:hint="default" w:ascii="Times New Roman" w:hAnsi="Times New Roman" w:eastAsia="Times New Roman" w:cs="Times New Roman"/>
                <w:kern w:val="0"/>
                <w:sz w:val="18"/>
                <w:szCs w:val="22"/>
                <w:highlight w:val="none"/>
                <w:lang w:val="en-US" w:eastAsia="en-US" w:bidi="ar-SA"/>
              </w:rPr>
              <w:t>）</w:t>
            </w:r>
          </w:p>
          <w:p w14:paraId="5CF62338">
            <w:pPr>
              <w:keepNext w:val="0"/>
              <w:keepLines w:val="0"/>
              <w:pageBreakBefore w:val="0"/>
              <w:widowControl w:val="0"/>
              <w:tabs>
                <w:tab w:val="left" w:pos="3092"/>
              </w:tabs>
              <w:kinsoku/>
              <w:wordWrap/>
              <w:overflowPunct/>
              <w:topLinePunct w:val="0"/>
              <w:autoSpaceDE/>
              <w:autoSpaceDN/>
              <w:bidi w:val="0"/>
              <w:adjustRightInd/>
              <w:snapToGrid/>
              <w:spacing w:line="240" w:lineRule="auto"/>
              <w:ind w:left="0" w:right="0" w:firstLine="0" w:firstLineChars="0"/>
              <w:jc w:val="left"/>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生境□（</w:t>
            </w:r>
            <w:r>
              <w:rPr>
                <w:rFonts w:hint="default" w:ascii="Times New Roman" w:hAnsi="Times New Roman" w:eastAsia="Times New Roman" w:cs="Times New Roman"/>
                <w:kern w:val="0"/>
                <w:sz w:val="18"/>
                <w:szCs w:val="22"/>
                <w:highlight w:val="none"/>
                <w:lang w:val="en-US" w:eastAsia="en-US" w:bidi="ar-SA"/>
              </w:rPr>
              <w:tab/>
            </w:r>
            <w:r>
              <w:rPr>
                <w:rFonts w:hint="default" w:ascii="Times New Roman" w:hAnsi="Times New Roman" w:eastAsia="Times New Roman" w:cs="Times New Roman"/>
                <w:kern w:val="0"/>
                <w:sz w:val="18"/>
                <w:szCs w:val="22"/>
                <w:highlight w:val="none"/>
                <w:lang w:val="en-US" w:eastAsia="en-US" w:bidi="ar-SA"/>
              </w:rPr>
              <w:t>）</w:t>
            </w:r>
          </w:p>
          <w:p w14:paraId="13ADE3D9">
            <w:pPr>
              <w:keepNext w:val="0"/>
              <w:keepLines w:val="0"/>
              <w:pageBreakBefore w:val="0"/>
              <w:widowControl w:val="0"/>
              <w:tabs>
                <w:tab w:val="left" w:pos="3092"/>
              </w:tabs>
              <w:kinsoku/>
              <w:wordWrap/>
              <w:overflowPunct/>
              <w:topLinePunct w:val="0"/>
              <w:autoSpaceDE/>
              <w:autoSpaceDN/>
              <w:bidi w:val="0"/>
              <w:adjustRightInd/>
              <w:snapToGrid/>
              <w:spacing w:line="240" w:lineRule="auto"/>
              <w:ind w:left="0" w:right="0" w:firstLine="0" w:firstLineChars="0"/>
              <w:jc w:val="left"/>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生物群落□（</w:t>
            </w:r>
            <w:r>
              <w:rPr>
                <w:rFonts w:hint="default" w:ascii="Times New Roman" w:hAnsi="Times New Roman" w:eastAsia="Times New Roman" w:cs="Times New Roman"/>
                <w:kern w:val="0"/>
                <w:sz w:val="18"/>
                <w:szCs w:val="22"/>
                <w:highlight w:val="none"/>
                <w:lang w:val="en-US" w:eastAsia="en-US" w:bidi="ar-SA"/>
              </w:rPr>
              <w:tab/>
            </w:r>
            <w:r>
              <w:rPr>
                <w:rFonts w:hint="default" w:ascii="Times New Roman" w:hAnsi="Times New Roman" w:eastAsia="Times New Roman" w:cs="Times New Roman"/>
                <w:kern w:val="0"/>
                <w:sz w:val="18"/>
                <w:szCs w:val="22"/>
                <w:highlight w:val="none"/>
                <w:lang w:val="en-US" w:eastAsia="en-US" w:bidi="ar-SA"/>
              </w:rPr>
              <w:t>）</w:t>
            </w:r>
          </w:p>
          <w:p w14:paraId="22972B9C">
            <w:pPr>
              <w:keepNext w:val="0"/>
              <w:keepLines w:val="0"/>
              <w:pageBreakBefore w:val="0"/>
              <w:widowControl w:val="0"/>
              <w:tabs>
                <w:tab w:val="left" w:pos="3092"/>
              </w:tabs>
              <w:kinsoku/>
              <w:wordWrap/>
              <w:overflowPunct/>
              <w:topLinePunct w:val="0"/>
              <w:autoSpaceDE/>
              <w:autoSpaceDN/>
              <w:bidi w:val="0"/>
              <w:adjustRightInd/>
              <w:snapToGrid/>
              <w:spacing w:line="240" w:lineRule="auto"/>
              <w:ind w:left="0" w:right="0" w:firstLine="0" w:firstLineChars="0"/>
              <w:jc w:val="left"/>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生态系统□（</w:t>
            </w:r>
            <w:r>
              <w:rPr>
                <w:rFonts w:hint="default" w:ascii="Times New Roman" w:hAnsi="Times New Roman" w:eastAsia="Times New Roman" w:cs="Times New Roman"/>
                <w:kern w:val="0"/>
                <w:sz w:val="18"/>
                <w:szCs w:val="22"/>
                <w:highlight w:val="none"/>
                <w:lang w:val="en-US" w:eastAsia="en-US" w:bidi="ar-SA"/>
              </w:rPr>
              <w:tab/>
            </w:r>
            <w:r>
              <w:rPr>
                <w:rFonts w:hint="default" w:ascii="Times New Roman" w:hAnsi="Times New Roman" w:eastAsia="Times New Roman" w:cs="Times New Roman"/>
                <w:kern w:val="0"/>
                <w:sz w:val="18"/>
                <w:szCs w:val="22"/>
                <w:highlight w:val="none"/>
                <w:lang w:val="en-US" w:eastAsia="en-US" w:bidi="ar-SA"/>
              </w:rPr>
              <w:t>）</w:t>
            </w:r>
          </w:p>
          <w:p w14:paraId="2344C343">
            <w:pPr>
              <w:keepNext w:val="0"/>
              <w:keepLines w:val="0"/>
              <w:pageBreakBefore w:val="0"/>
              <w:widowControl w:val="0"/>
              <w:tabs>
                <w:tab w:val="left" w:pos="3092"/>
              </w:tabs>
              <w:kinsoku/>
              <w:wordWrap/>
              <w:overflowPunct/>
              <w:topLinePunct w:val="0"/>
              <w:autoSpaceDE/>
              <w:autoSpaceDN/>
              <w:bidi w:val="0"/>
              <w:adjustRightInd/>
              <w:snapToGrid/>
              <w:spacing w:line="240" w:lineRule="auto"/>
              <w:ind w:left="0" w:right="0" w:firstLine="0" w:firstLineChars="0"/>
              <w:jc w:val="left"/>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生物多样性□（</w:t>
            </w:r>
            <w:r>
              <w:rPr>
                <w:rFonts w:hint="default" w:ascii="Times New Roman" w:hAnsi="Times New Roman" w:eastAsia="Times New Roman" w:cs="Times New Roman"/>
                <w:kern w:val="0"/>
                <w:sz w:val="18"/>
                <w:szCs w:val="22"/>
                <w:highlight w:val="none"/>
                <w:lang w:val="en-US" w:eastAsia="en-US" w:bidi="ar-SA"/>
              </w:rPr>
              <w:tab/>
            </w:r>
            <w:r>
              <w:rPr>
                <w:rFonts w:hint="default" w:ascii="Times New Roman" w:hAnsi="Times New Roman" w:eastAsia="Times New Roman" w:cs="Times New Roman"/>
                <w:kern w:val="0"/>
                <w:sz w:val="18"/>
                <w:szCs w:val="22"/>
                <w:highlight w:val="none"/>
                <w:lang w:val="en-US" w:eastAsia="en-US" w:bidi="ar-SA"/>
              </w:rPr>
              <w:t>）</w:t>
            </w:r>
          </w:p>
          <w:p w14:paraId="6846ADE7">
            <w:pPr>
              <w:keepNext w:val="0"/>
              <w:keepLines w:val="0"/>
              <w:pageBreakBefore w:val="0"/>
              <w:widowControl w:val="0"/>
              <w:tabs>
                <w:tab w:val="left" w:pos="3092"/>
              </w:tabs>
              <w:kinsoku/>
              <w:wordWrap/>
              <w:overflowPunct/>
              <w:topLinePunct w:val="0"/>
              <w:autoSpaceDE/>
              <w:autoSpaceDN/>
              <w:bidi w:val="0"/>
              <w:adjustRightInd/>
              <w:snapToGrid/>
              <w:spacing w:line="240" w:lineRule="auto"/>
              <w:ind w:left="0" w:right="0" w:firstLine="0" w:firstLineChars="0"/>
              <w:jc w:val="left"/>
              <w:textAlignment w:val="auto"/>
              <w:rPr>
                <w:rFonts w:hint="default" w:ascii="Times New Roman" w:hAnsi="Times New Roman" w:eastAsia="宋体" w:cs="Times New Roman"/>
                <w:kern w:val="0"/>
                <w:sz w:val="18"/>
                <w:szCs w:val="22"/>
                <w:highlight w:val="none"/>
                <w:lang w:val="en-US" w:eastAsia="zh-CN" w:bidi="ar-SA"/>
              </w:rPr>
            </w:pPr>
            <w:r>
              <w:rPr>
                <w:rFonts w:hint="default" w:ascii="Times New Roman" w:hAnsi="Times New Roman" w:eastAsia="Times New Roman" w:cs="Times New Roman"/>
                <w:kern w:val="0"/>
                <w:sz w:val="18"/>
                <w:szCs w:val="22"/>
                <w:highlight w:val="none"/>
                <w:lang w:val="en-US" w:eastAsia="en-US" w:bidi="ar-SA"/>
              </w:rPr>
              <w:t>生态敏感区□（</w:t>
            </w:r>
            <w:r>
              <w:rPr>
                <w:rFonts w:hint="default" w:ascii="Times New Roman" w:hAnsi="Times New Roman" w:eastAsia="Times New Roman" w:cs="Times New Roman"/>
                <w:kern w:val="0"/>
                <w:sz w:val="18"/>
                <w:szCs w:val="22"/>
                <w:highlight w:val="none"/>
                <w:lang w:val="en-US" w:eastAsia="en-US" w:bidi="ar-SA"/>
              </w:rPr>
              <w:tab/>
            </w:r>
            <w:r>
              <w:rPr>
                <w:rFonts w:hint="default" w:ascii="Times New Roman" w:hAnsi="Times New Roman" w:eastAsia="Times New Roman" w:cs="Times New Roman"/>
                <w:kern w:val="0"/>
                <w:sz w:val="18"/>
                <w:szCs w:val="22"/>
                <w:highlight w:val="none"/>
                <w:lang w:val="en-US" w:eastAsia="zh-CN" w:bidi="ar-SA"/>
              </w:rPr>
              <w:t>）</w:t>
            </w:r>
          </w:p>
          <w:p w14:paraId="6819C1F1">
            <w:pPr>
              <w:keepNext w:val="0"/>
              <w:keepLines w:val="0"/>
              <w:pageBreakBefore w:val="0"/>
              <w:widowControl w:val="0"/>
              <w:tabs>
                <w:tab w:val="left" w:pos="3092"/>
              </w:tabs>
              <w:kinsoku/>
              <w:wordWrap/>
              <w:overflowPunct/>
              <w:topLinePunct w:val="0"/>
              <w:autoSpaceDE/>
              <w:autoSpaceDN/>
              <w:bidi w:val="0"/>
              <w:adjustRightInd/>
              <w:snapToGrid/>
              <w:spacing w:line="240" w:lineRule="auto"/>
              <w:ind w:left="0" w:right="0" w:firstLine="0" w:firstLineChars="0"/>
              <w:jc w:val="left"/>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自然景观□（</w:t>
            </w:r>
            <w:r>
              <w:rPr>
                <w:rFonts w:hint="default" w:ascii="Times New Roman" w:hAnsi="Times New Roman" w:eastAsia="Times New Roman" w:cs="Times New Roman"/>
                <w:kern w:val="0"/>
                <w:sz w:val="18"/>
                <w:szCs w:val="22"/>
                <w:highlight w:val="none"/>
                <w:lang w:val="en-US" w:eastAsia="en-US" w:bidi="ar-SA"/>
              </w:rPr>
              <w:tab/>
            </w:r>
            <w:r>
              <w:rPr>
                <w:rFonts w:hint="default" w:ascii="Times New Roman" w:hAnsi="Times New Roman" w:eastAsia="Times New Roman" w:cs="Times New Roman"/>
                <w:kern w:val="0"/>
                <w:sz w:val="18"/>
                <w:szCs w:val="22"/>
                <w:highlight w:val="none"/>
                <w:lang w:val="en-US" w:eastAsia="en-US" w:bidi="ar-SA"/>
              </w:rPr>
              <w:t>）</w:t>
            </w:r>
          </w:p>
          <w:p w14:paraId="08B8493F">
            <w:pPr>
              <w:keepNext w:val="0"/>
              <w:keepLines w:val="0"/>
              <w:pageBreakBefore w:val="0"/>
              <w:widowControl w:val="0"/>
              <w:tabs>
                <w:tab w:val="left" w:pos="3092"/>
              </w:tabs>
              <w:kinsoku/>
              <w:wordWrap/>
              <w:overflowPunct/>
              <w:topLinePunct w:val="0"/>
              <w:autoSpaceDE/>
              <w:autoSpaceDN/>
              <w:bidi w:val="0"/>
              <w:adjustRightInd/>
              <w:snapToGrid/>
              <w:spacing w:line="240" w:lineRule="auto"/>
              <w:ind w:left="0" w:right="0" w:firstLine="0" w:firstLineChars="0"/>
              <w:jc w:val="left"/>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自然遗迹□（</w:t>
            </w:r>
            <w:r>
              <w:rPr>
                <w:rFonts w:hint="default" w:ascii="Times New Roman" w:hAnsi="Times New Roman" w:eastAsia="Times New Roman" w:cs="Times New Roman"/>
                <w:kern w:val="0"/>
                <w:sz w:val="18"/>
                <w:szCs w:val="22"/>
                <w:highlight w:val="none"/>
                <w:lang w:val="en-US" w:eastAsia="en-US" w:bidi="ar-SA"/>
              </w:rPr>
              <w:tab/>
            </w:r>
            <w:r>
              <w:rPr>
                <w:rFonts w:hint="default" w:ascii="Times New Roman" w:hAnsi="Times New Roman" w:eastAsia="Times New Roman" w:cs="Times New Roman"/>
                <w:kern w:val="0"/>
                <w:sz w:val="18"/>
                <w:szCs w:val="22"/>
                <w:highlight w:val="none"/>
                <w:lang w:val="en-US" w:eastAsia="en-US" w:bidi="ar-SA"/>
              </w:rPr>
              <w:t>）</w:t>
            </w:r>
          </w:p>
          <w:p w14:paraId="5E9A85B8">
            <w:pPr>
              <w:keepNext w:val="0"/>
              <w:keepLines w:val="0"/>
              <w:pageBreakBefore w:val="0"/>
              <w:widowControl w:val="0"/>
              <w:tabs>
                <w:tab w:val="left" w:pos="3092"/>
              </w:tabs>
              <w:kinsoku/>
              <w:wordWrap/>
              <w:overflowPunct/>
              <w:topLinePunct w:val="0"/>
              <w:autoSpaceDE/>
              <w:autoSpaceDN/>
              <w:bidi w:val="0"/>
              <w:adjustRightInd/>
              <w:snapToGrid/>
              <w:spacing w:line="240" w:lineRule="auto"/>
              <w:ind w:left="0" w:right="0" w:firstLine="0" w:firstLineChars="0"/>
              <w:jc w:val="left"/>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其他</w:t>
            </w:r>
            <w:r>
              <w:rPr>
                <w:rFonts w:hint="default" w:ascii="Times New Roman" w:hAnsi="Times New Roman" w:eastAsia="Times New Roman" w:cs="Times New Roman"/>
                <w:kern w:val="0"/>
                <w:sz w:val="18"/>
                <w:szCs w:val="22"/>
                <w:highlight w:val="none"/>
                <w:lang w:val="en-US" w:eastAsia="en-US" w:bidi="ar-SA"/>
              </w:rPr>
              <w:sym w:font="Wingdings 2" w:char="0052"/>
            </w:r>
            <w:r>
              <w:rPr>
                <w:rFonts w:hint="default" w:ascii="Times New Roman" w:hAnsi="Times New Roman" w:eastAsia="Times New Roman" w:cs="Times New Roman"/>
                <w:kern w:val="0"/>
                <w:sz w:val="18"/>
                <w:szCs w:val="22"/>
                <w:highlight w:val="none"/>
                <w:lang w:val="en-US" w:eastAsia="en-US" w:bidi="ar-SA"/>
              </w:rPr>
              <w:t>（</w:t>
            </w:r>
            <w:r>
              <w:rPr>
                <w:rFonts w:hint="default" w:ascii="Times New Roman" w:hAnsi="Times New Roman" w:eastAsia="Times New Roman" w:cs="Times New Roman"/>
                <w:kern w:val="0"/>
                <w:sz w:val="18"/>
                <w:szCs w:val="22"/>
                <w:highlight w:val="none"/>
                <w:lang w:val="en-US" w:eastAsia="en-US" w:bidi="ar-SA"/>
              </w:rPr>
              <w:tab/>
            </w:r>
            <w:r>
              <w:rPr>
                <w:rFonts w:hint="default" w:ascii="Times New Roman" w:hAnsi="Times New Roman" w:eastAsia="Times New Roman" w:cs="Times New Roman"/>
                <w:kern w:val="0"/>
                <w:sz w:val="18"/>
                <w:szCs w:val="22"/>
                <w:highlight w:val="none"/>
                <w:lang w:val="en-US" w:eastAsia="en-US" w:bidi="ar-SA"/>
              </w:rPr>
              <w:t>）</w:t>
            </w:r>
          </w:p>
        </w:tc>
      </w:tr>
      <w:tr w14:paraId="29BBE77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94" w:hRule="atLeast"/>
          <w:jc w:val="center"/>
        </w:trPr>
        <w:tc>
          <w:tcPr>
            <w:tcW w:w="1254" w:type="pct"/>
            <w:gridSpan w:val="2"/>
            <w:tcBorders>
              <w:top w:val="single" w:color="000000" w:sz="4" w:space="0"/>
              <w:bottom w:val="single" w:color="000000" w:sz="4" w:space="0"/>
              <w:right w:val="single" w:color="000000" w:sz="4" w:space="0"/>
            </w:tcBorders>
            <w:noWrap w:val="0"/>
            <w:vAlign w:val="center"/>
          </w:tcPr>
          <w:p w14:paraId="5C4F3727">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评价等级</w:t>
            </w:r>
          </w:p>
        </w:tc>
        <w:tc>
          <w:tcPr>
            <w:tcW w:w="3745" w:type="pct"/>
            <w:tcBorders>
              <w:top w:val="single" w:color="000000" w:sz="4" w:space="0"/>
              <w:left w:val="single" w:color="000000" w:sz="4" w:space="0"/>
              <w:bottom w:val="single" w:color="000000" w:sz="4" w:space="0"/>
            </w:tcBorders>
            <w:noWrap w:val="0"/>
            <w:vAlign w:val="center"/>
          </w:tcPr>
          <w:p w14:paraId="124AAF7E">
            <w:pPr>
              <w:keepNext w:val="0"/>
              <w:keepLines w:val="0"/>
              <w:pageBreakBefore w:val="0"/>
              <w:widowControl w:val="0"/>
              <w:tabs>
                <w:tab w:val="left" w:pos="1471"/>
                <w:tab w:val="left" w:pos="2823"/>
              </w:tabs>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一级□</w:t>
            </w:r>
            <w:r>
              <w:rPr>
                <w:rFonts w:hint="default" w:ascii="Times New Roman" w:hAnsi="Times New Roman" w:eastAsia="Times New Roman" w:cs="Times New Roman"/>
                <w:kern w:val="0"/>
                <w:sz w:val="18"/>
                <w:szCs w:val="22"/>
                <w:highlight w:val="none"/>
                <w:lang w:val="en-US" w:eastAsia="zh-CN" w:bidi="ar-SA"/>
              </w:rPr>
              <w:t xml:space="preserve">  </w:t>
            </w:r>
            <w:r>
              <w:rPr>
                <w:rFonts w:hint="default" w:ascii="Times New Roman" w:hAnsi="Times New Roman" w:eastAsia="Times New Roman" w:cs="Times New Roman"/>
                <w:kern w:val="0"/>
                <w:sz w:val="18"/>
                <w:szCs w:val="22"/>
                <w:highlight w:val="none"/>
                <w:lang w:val="en-US" w:eastAsia="en-US" w:bidi="ar-SA"/>
              </w:rPr>
              <w:t>二级□</w:t>
            </w:r>
            <w:r>
              <w:rPr>
                <w:rFonts w:hint="default" w:ascii="Times New Roman" w:hAnsi="Times New Roman" w:eastAsia="Times New Roman" w:cs="Times New Roman"/>
                <w:kern w:val="0"/>
                <w:sz w:val="18"/>
                <w:szCs w:val="22"/>
                <w:highlight w:val="none"/>
                <w:lang w:val="en-US" w:eastAsia="zh-CN" w:bidi="ar-SA"/>
              </w:rPr>
              <w:t xml:space="preserve">  </w:t>
            </w:r>
            <w:r>
              <w:rPr>
                <w:rFonts w:hint="default" w:ascii="Times New Roman" w:hAnsi="Times New Roman" w:eastAsia="Times New Roman" w:cs="Times New Roman"/>
                <w:kern w:val="0"/>
                <w:sz w:val="18"/>
                <w:szCs w:val="22"/>
                <w:highlight w:val="none"/>
                <w:lang w:val="en-US" w:eastAsia="en-US" w:bidi="ar-SA"/>
              </w:rPr>
              <w:t>三级</w:t>
            </w:r>
            <w:r>
              <w:rPr>
                <w:rFonts w:hint="default" w:ascii="Times New Roman" w:hAnsi="Times New Roman" w:eastAsia="Times New Roman" w:cs="Times New Roman"/>
                <w:kern w:val="0"/>
                <w:sz w:val="18"/>
                <w:szCs w:val="22"/>
                <w:highlight w:val="none"/>
                <w:lang w:val="en-US" w:eastAsia="en-US" w:bidi="ar-SA"/>
              </w:rPr>
              <w:sym w:font="Wingdings 2" w:char="00A3"/>
            </w:r>
            <w:r>
              <w:rPr>
                <w:rFonts w:hint="default" w:ascii="Times New Roman" w:hAnsi="Times New Roman" w:eastAsia="Times New Roman" w:cs="Times New Roman"/>
                <w:kern w:val="0"/>
                <w:sz w:val="18"/>
                <w:szCs w:val="22"/>
                <w:highlight w:val="none"/>
                <w:lang w:val="en-US" w:eastAsia="zh-CN" w:bidi="ar-SA"/>
              </w:rPr>
              <w:t xml:space="preserve">         </w:t>
            </w:r>
            <w:r>
              <w:rPr>
                <w:rFonts w:hint="default" w:ascii="Times New Roman" w:hAnsi="Times New Roman" w:eastAsia="Times New Roman" w:cs="Times New Roman"/>
                <w:kern w:val="0"/>
                <w:sz w:val="18"/>
                <w:szCs w:val="22"/>
                <w:highlight w:val="none"/>
                <w:lang w:val="en-US" w:eastAsia="en-US" w:bidi="ar-SA"/>
              </w:rPr>
              <w:t>生态影响简单分析</w:t>
            </w:r>
            <w:r>
              <w:rPr>
                <w:rFonts w:hint="default" w:ascii="Times New Roman" w:hAnsi="Times New Roman" w:eastAsia="Times New Roman" w:cs="Times New Roman"/>
                <w:kern w:val="0"/>
                <w:sz w:val="18"/>
                <w:szCs w:val="22"/>
                <w:highlight w:val="none"/>
                <w:lang w:val="en-US" w:eastAsia="en-US" w:bidi="ar-SA"/>
              </w:rPr>
              <w:sym w:font="Wingdings 2" w:char="0052"/>
            </w:r>
          </w:p>
        </w:tc>
      </w:tr>
      <w:tr w14:paraId="3095A6D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94" w:hRule="atLeast"/>
          <w:jc w:val="center"/>
        </w:trPr>
        <w:tc>
          <w:tcPr>
            <w:tcW w:w="1254" w:type="pct"/>
            <w:gridSpan w:val="2"/>
            <w:tcBorders>
              <w:top w:val="single" w:color="000000" w:sz="4" w:space="0"/>
              <w:bottom w:val="single" w:color="000000" w:sz="4" w:space="0"/>
              <w:right w:val="single" w:color="000000" w:sz="4" w:space="0"/>
            </w:tcBorders>
            <w:noWrap w:val="0"/>
            <w:vAlign w:val="center"/>
          </w:tcPr>
          <w:p w14:paraId="0635159F">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评价范围</w:t>
            </w:r>
          </w:p>
        </w:tc>
        <w:tc>
          <w:tcPr>
            <w:tcW w:w="3745" w:type="pct"/>
            <w:tcBorders>
              <w:top w:val="single" w:color="000000" w:sz="4" w:space="0"/>
              <w:left w:val="single" w:color="000000" w:sz="4" w:space="0"/>
              <w:bottom w:val="single" w:color="000000" w:sz="4" w:space="0"/>
            </w:tcBorders>
            <w:noWrap w:val="0"/>
            <w:vAlign w:val="center"/>
          </w:tcPr>
          <w:p w14:paraId="24EF1BFB">
            <w:pPr>
              <w:keepNext w:val="0"/>
              <w:keepLines w:val="0"/>
              <w:pageBreakBefore w:val="0"/>
              <w:widowControl w:val="0"/>
              <w:tabs>
                <w:tab w:val="left" w:pos="1560"/>
              </w:tabs>
              <w:kinsoku/>
              <w:wordWrap/>
              <w:overflowPunct/>
              <w:topLinePunct w:val="0"/>
              <w:autoSpaceDE/>
              <w:autoSpaceDN/>
              <w:bidi w:val="0"/>
              <w:adjustRightInd/>
              <w:snapToGrid/>
              <w:spacing w:line="240" w:lineRule="auto"/>
              <w:ind w:left="0" w:right="0" w:firstLine="0" w:firstLineChars="0"/>
              <w:jc w:val="left"/>
              <w:textAlignment w:val="auto"/>
              <w:rPr>
                <w:rFonts w:hint="default" w:ascii="Times New Roman" w:hAnsi="Times New Roman" w:eastAsia="宋体" w:cs="Times New Roman"/>
                <w:kern w:val="0"/>
                <w:sz w:val="18"/>
                <w:szCs w:val="22"/>
                <w:highlight w:val="none"/>
                <w:lang w:val="en-US" w:eastAsia="zh-CN" w:bidi="ar-SA"/>
              </w:rPr>
            </w:pPr>
            <w:r>
              <w:rPr>
                <w:rFonts w:hint="default" w:ascii="Times New Roman" w:hAnsi="Times New Roman" w:eastAsia="Times New Roman" w:cs="Times New Roman"/>
                <w:kern w:val="0"/>
                <w:sz w:val="18"/>
                <w:szCs w:val="22"/>
                <w:highlight w:val="none"/>
                <w:lang w:val="en-US" w:eastAsia="en-US" w:bidi="ar-SA"/>
              </w:rPr>
              <w:t>陆域面积</w:t>
            </w:r>
            <w:r>
              <w:rPr>
                <w:rFonts w:hint="default" w:ascii="Times New Roman" w:hAnsi="Times New Roman" w:eastAsia="Times New Roman" w:cs="Times New Roman"/>
                <w:spacing w:val="-92"/>
                <w:kern w:val="0"/>
                <w:sz w:val="18"/>
                <w:szCs w:val="22"/>
                <w:highlight w:val="none"/>
                <w:lang w:val="en-US" w:eastAsia="en-US" w:bidi="ar-SA"/>
              </w:rPr>
              <w:t>：</w:t>
            </w:r>
            <w:r>
              <w:rPr>
                <w:rFonts w:hint="default" w:ascii="Times New Roman" w:hAnsi="Times New Roman" w:eastAsia="Times New Roman" w:cs="Times New Roman"/>
                <w:kern w:val="0"/>
                <w:sz w:val="18"/>
                <w:szCs w:val="22"/>
                <w:highlight w:val="none"/>
                <w:lang w:val="en-US" w:eastAsia="en-US" w:bidi="ar-SA"/>
              </w:rPr>
              <w:t>（</w:t>
            </w:r>
            <w:r>
              <w:rPr>
                <w:rFonts w:hint="eastAsia" w:ascii="Times New Roman" w:hAnsi="Times New Roman" w:eastAsia="Times New Roman" w:cs="Times New Roman"/>
                <w:kern w:val="0"/>
                <w:sz w:val="18"/>
                <w:szCs w:val="22"/>
                <w:highlight w:val="none"/>
                <w:lang w:val="en-US" w:eastAsia="zh-CN" w:bidi="ar-SA"/>
              </w:rPr>
              <w:t>0.3149</w:t>
            </w:r>
            <w:r>
              <w:rPr>
                <w:rFonts w:hint="default" w:ascii="Times New Roman" w:hAnsi="Times New Roman" w:eastAsia="Times New Roman" w:cs="Times New Roman"/>
                <w:kern w:val="0"/>
                <w:sz w:val="18"/>
                <w:szCs w:val="22"/>
                <w:highlight w:val="none"/>
                <w:lang w:val="en-US" w:eastAsia="en-US" w:bidi="ar-SA"/>
              </w:rPr>
              <w:t>）</w:t>
            </w:r>
            <w:r>
              <w:rPr>
                <w:rFonts w:hint="default" w:ascii="Times New Roman" w:hAnsi="Times New Roman" w:eastAsia="Times New Roman" w:cs="Times New Roman"/>
                <w:spacing w:val="-2"/>
                <w:kern w:val="0"/>
                <w:sz w:val="18"/>
                <w:szCs w:val="22"/>
                <w:highlight w:val="none"/>
                <w:lang w:val="en-US" w:eastAsia="en-US" w:bidi="ar-SA"/>
              </w:rPr>
              <w:t>k</w:t>
            </w:r>
            <w:r>
              <w:rPr>
                <w:rFonts w:hint="default" w:ascii="Times New Roman" w:hAnsi="Times New Roman" w:eastAsia="Times New Roman" w:cs="Times New Roman"/>
                <w:spacing w:val="-4"/>
                <w:kern w:val="0"/>
                <w:sz w:val="18"/>
                <w:szCs w:val="22"/>
                <w:highlight w:val="none"/>
                <w:lang w:val="en-US" w:eastAsia="en-US" w:bidi="ar-SA"/>
              </w:rPr>
              <w:t>m</w:t>
            </w:r>
            <w:r>
              <w:rPr>
                <w:rFonts w:hint="default" w:ascii="Times New Roman" w:hAnsi="Times New Roman" w:eastAsia="Times New Roman" w:cs="Times New Roman"/>
                <w:w w:val="97"/>
                <w:kern w:val="0"/>
                <w:sz w:val="18"/>
                <w:szCs w:val="22"/>
                <w:highlight w:val="none"/>
                <w:vertAlign w:val="superscript"/>
                <w:lang w:val="en-US" w:eastAsia="en-US" w:bidi="ar-SA"/>
              </w:rPr>
              <w:t>2</w:t>
            </w:r>
            <w:r>
              <w:rPr>
                <w:rFonts w:hint="default" w:ascii="Times New Roman" w:hAnsi="Times New Roman" w:eastAsia="Times New Roman" w:cs="Times New Roman"/>
                <w:kern w:val="0"/>
                <w:sz w:val="18"/>
                <w:szCs w:val="22"/>
                <w:highlight w:val="none"/>
                <w:vertAlign w:val="baseline"/>
                <w:lang w:val="en-US" w:eastAsia="en-US" w:bidi="ar-SA"/>
              </w:rPr>
              <w:t>；</w:t>
            </w:r>
            <w:r>
              <w:rPr>
                <w:rFonts w:hint="default" w:ascii="Times New Roman" w:hAnsi="Times New Roman" w:eastAsia="Times New Roman" w:cs="Times New Roman"/>
                <w:kern w:val="0"/>
                <w:sz w:val="18"/>
                <w:szCs w:val="22"/>
                <w:highlight w:val="none"/>
                <w:vertAlign w:val="baseline"/>
                <w:lang w:val="en-US" w:eastAsia="zh-CN" w:bidi="ar-SA"/>
              </w:rPr>
              <w:t>水域面积：</w:t>
            </w:r>
            <w:r>
              <w:rPr>
                <w:rFonts w:hint="eastAsia" w:ascii="Times New Roman" w:hAnsi="Times New Roman" w:eastAsia="Times New Roman" w:cs="Times New Roman"/>
                <w:kern w:val="0"/>
                <w:sz w:val="18"/>
                <w:szCs w:val="22"/>
                <w:highlight w:val="none"/>
                <w:vertAlign w:val="baseline"/>
                <w:lang w:val="en-US" w:eastAsia="zh-CN" w:bidi="ar-SA"/>
              </w:rPr>
              <w:t>（</w:t>
            </w:r>
            <w:r>
              <w:rPr>
                <w:rFonts w:hint="default" w:ascii="Times New Roman" w:hAnsi="Times New Roman" w:eastAsia="Times New Roman" w:cs="Times New Roman"/>
                <w:kern w:val="0"/>
                <w:sz w:val="18"/>
                <w:szCs w:val="22"/>
                <w:highlight w:val="none"/>
                <w:vertAlign w:val="baseline"/>
                <w:lang w:val="en-US" w:eastAsia="zh-CN" w:bidi="ar-SA"/>
              </w:rPr>
              <w:t>）</w:t>
            </w:r>
            <w:r>
              <w:rPr>
                <w:rFonts w:hint="default" w:ascii="Times New Roman" w:hAnsi="Times New Roman" w:eastAsia="Times New Roman" w:cs="Times New Roman"/>
                <w:spacing w:val="-2"/>
                <w:kern w:val="0"/>
                <w:sz w:val="18"/>
                <w:szCs w:val="22"/>
                <w:highlight w:val="none"/>
                <w:lang w:val="en-US" w:eastAsia="zh-CN" w:bidi="ar-SA"/>
              </w:rPr>
              <w:t>km</w:t>
            </w:r>
            <w:r>
              <w:rPr>
                <w:rFonts w:hint="default" w:ascii="Times New Roman" w:hAnsi="Times New Roman" w:eastAsia="Times New Roman" w:cs="Times New Roman"/>
                <w:spacing w:val="-2"/>
                <w:kern w:val="0"/>
                <w:sz w:val="18"/>
                <w:szCs w:val="22"/>
                <w:highlight w:val="none"/>
                <w:vertAlign w:val="superscript"/>
                <w:lang w:val="en-US" w:eastAsia="zh-CN" w:bidi="ar-SA"/>
              </w:rPr>
              <w:t>2</w:t>
            </w:r>
          </w:p>
        </w:tc>
      </w:tr>
      <w:tr w14:paraId="585A149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30" w:hRule="atLeast"/>
          <w:jc w:val="center"/>
        </w:trPr>
        <w:tc>
          <w:tcPr>
            <w:tcW w:w="560" w:type="pct"/>
            <w:vMerge w:val="restart"/>
            <w:tcBorders>
              <w:top w:val="single" w:color="000000" w:sz="4" w:space="0"/>
              <w:bottom w:val="single" w:color="000000" w:sz="4" w:space="0"/>
              <w:right w:val="single" w:color="000000" w:sz="4" w:space="0"/>
            </w:tcBorders>
            <w:noWrap w:val="0"/>
            <w:vAlign w:val="center"/>
          </w:tcPr>
          <w:p w14:paraId="7B4EADE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ascii="Times New Roman" w:hAnsi="Times New Roman" w:eastAsia="Times New Roman" w:cs="Times New Roman"/>
                <w:kern w:val="0"/>
                <w:sz w:val="18"/>
                <w:szCs w:val="22"/>
                <w:highlight w:val="none"/>
                <w:lang w:val="en-US" w:eastAsia="en-US" w:bidi="ar-SA"/>
              </w:rPr>
            </w:pPr>
          </w:p>
          <w:p w14:paraId="7BC403F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ascii="Times New Roman" w:hAnsi="Times New Roman" w:eastAsia="Times New Roman" w:cs="Times New Roman"/>
                <w:kern w:val="0"/>
                <w:sz w:val="18"/>
                <w:szCs w:val="22"/>
                <w:highlight w:val="none"/>
                <w:lang w:val="en-US" w:eastAsia="en-US" w:bidi="ar-SA"/>
              </w:rPr>
            </w:pPr>
          </w:p>
          <w:p w14:paraId="6DF27C9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ascii="Times New Roman" w:hAnsi="Times New Roman" w:eastAsia="Times New Roman" w:cs="Times New Roman"/>
                <w:kern w:val="0"/>
                <w:sz w:val="21"/>
                <w:szCs w:val="22"/>
                <w:highlight w:val="none"/>
                <w:lang w:val="en-US" w:eastAsia="en-US" w:bidi="ar-SA"/>
              </w:rPr>
            </w:pPr>
          </w:p>
          <w:p w14:paraId="6A944D91">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both"/>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spacing w:val="-5"/>
                <w:kern w:val="0"/>
                <w:sz w:val="18"/>
                <w:szCs w:val="22"/>
                <w:highlight w:val="none"/>
                <w:lang w:val="en-US" w:eastAsia="en-US" w:bidi="ar-SA"/>
              </w:rPr>
              <w:t>生态现状</w:t>
            </w:r>
            <w:r>
              <w:rPr>
                <w:rFonts w:hint="default" w:ascii="Times New Roman" w:hAnsi="Times New Roman" w:eastAsia="Times New Roman" w:cs="Times New Roman"/>
                <w:kern w:val="0"/>
                <w:sz w:val="18"/>
                <w:szCs w:val="22"/>
                <w:highlight w:val="none"/>
                <w:lang w:val="en-US" w:eastAsia="en-US" w:bidi="ar-SA"/>
              </w:rPr>
              <w:t>调查与评价</w:t>
            </w:r>
          </w:p>
        </w:tc>
        <w:tc>
          <w:tcPr>
            <w:tcW w:w="694" w:type="pct"/>
            <w:tcBorders>
              <w:top w:val="single" w:color="000000" w:sz="4" w:space="0"/>
              <w:left w:val="single" w:color="000000" w:sz="4" w:space="0"/>
              <w:bottom w:val="single" w:color="000000" w:sz="4" w:space="0"/>
              <w:right w:val="single" w:color="000000" w:sz="4" w:space="0"/>
            </w:tcBorders>
            <w:noWrap w:val="0"/>
            <w:vAlign w:val="center"/>
          </w:tcPr>
          <w:p w14:paraId="610B9611">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调查方法</w:t>
            </w:r>
          </w:p>
        </w:tc>
        <w:tc>
          <w:tcPr>
            <w:tcW w:w="3745" w:type="pct"/>
            <w:tcBorders>
              <w:top w:val="single" w:color="000000" w:sz="4" w:space="0"/>
              <w:left w:val="single" w:color="000000" w:sz="4" w:space="0"/>
              <w:bottom w:val="single" w:color="000000" w:sz="4" w:space="0"/>
            </w:tcBorders>
            <w:noWrap w:val="0"/>
            <w:vAlign w:val="center"/>
          </w:tcPr>
          <w:p w14:paraId="0F454719">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资料收集</w:t>
            </w:r>
            <w:r>
              <w:rPr>
                <w:rFonts w:hint="default" w:ascii="Times New Roman" w:hAnsi="Times New Roman" w:eastAsia="Times New Roman" w:cs="Times New Roman"/>
                <w:kern w:val="0"/>
                <w:sz w:val="18"/>
                <w:szCs w:val="22"/>
                <w:highlight w:val="none"/>
                <w:lang w:val="en-US" w:eastAsia="en-US" w:bidi="ar-SA"/>
              </w:rPr>
              <w:sym w:font="Wingdings 2" w:char="0052"/>
            </w:r>
            <w:r>
              <w:rPr>
                <w:rFonts w:hint="default" w:ascii="Times New Roman" w:hAnsi="Times New Roman" w:eastAsia="Times New Roman" w:cs="Times New Roman"/>
                <w:kern w:val="0"/>
                <w:sz w:val="18"/>
                <w:szCs w:val="22"/>
                <w:highlight w:val="none"/>
                <w:lang w:val="en-US" w:eastAsia="en-US" w:bidi="ar-SA"/>
              </w:rPr>
              <w:t>；遥感调查□；调查样方、样线□；调查点位、断面□；专家和公众咨询法□；其他□</w:t>
            </w:r>
          </w:p>
        </w:tc>
      </w:tr>
      <w:tr w14:paraId="325A453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8" w:hRule="atLeast"/>
          <w:jc w:val="center"/>
        </w:trPr>
        <w:tc>
          <w:tcPr>
            <w:tcW w:w="560" w:type="pct"/>
            <w:vMerge w:val="continue"/>
            <w:tcBorders>
              <w:top w:val="nil"/>
              <w:bottom w:val="single" w:color="000000" w:sz="4" w:space="0"/>
              <w:right w:val="single" w:color="000000" w:sz="4" w:space="0"/>
            </w:tcBorders>
            <w:noWrap w:val="0"/>
            <w:vAlign w:val="center"/>
          </w:tcPr>
          <w:p w14:paraId="48AF2E79">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default" w:ascii="Times New Roman" w:hAnsi="Times New Roman" w:eastAsia="宋体" w:cs="Times New Roman"/>
                <w:sz w:val="2"/>
                <w:szCs w:val="2"/>
                <w:highlight w:val="none"/>
              </w:rPr>
            </w:pPr>
          </w:p>
        </w:tc>
        <w:tc>
          <w:tcPr>
            <w:tcW w:w="694" w:type="pct"/>
            <w:tcBorders>
              <w:top w:val="single" w:color="000000" w:sz="4" w:space="0"/>
              <w:left w:val="single" w:color="000000" w:sz="4" w:space="0"/>
              <w:bottom w:val="single" w:color="000000" w:sz="4" w:space="0"/>
              <w:right w:val="single" w:color="000000" w:sz="4" w:space="0"/>
            </w:tcBorders>
            <w:noWrap w:val="0"/>
            <w:vAlign w:val="center"/>
          </w:tcPr>
          <w:p w14:paraId="25D6705D">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调查时间</w:t>
            </w:r>
          </w:p>
        </w:tc>
        <w:tc>
          <w:tcPr>
            <w:tcW w:w="3745" w:type="pct"/>
            <w:tcBorders>
              <w:top w:val="single" w:color="000000" w:sz="4" w:space="0"/>
              <w:left w:val="single" w:color="000000" w:sz="4" w:space="0"/>
              <w:bottom w:val="single" w:color="000000" w:sz="4" w:space="0"/>
            </w:tcBorders>
            <w:noWrap w:val="0"/>
            <w:vAlign w:val="center"/>
          </w:tcPr>
          <w:p w14:paraId="76A4F1D1">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both"/>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春季</w:t>
            </w:r>
            <w:r>
              <w:rPr>
                <w:rFonts w:hint="default" w:ascii="Times New Roman" w:hAnsi="Times New Roman" w:eastAsia="Times New Roman" w:cs="Times New Roman"/>
                <w:kern w:val="0"/>
                <w:sz w:val="18"/>
                <w:szCs w:val="22"/>
                <w:highlight w:val="none"/>
                <w:lang w:val="en-US" w:eastAsia="en-US" w:bidi="ar-SA"/>
              </w:rPr>
              <w:sym w:font="Wingdings 2" w:char="00A3"/>
            </w:r>
            <w:r>
              <w:rPr>
                <w:rFonts w:hint="default" w:ascii="Times New Roman" w:hAnsi="Times New Roman" w:eastAsia="Times New Roman" w:cs="Times New Roman"/>
                <w:kern w:val="0"/>
                <w:sz w:val="18"/>
                <w:szCs w:val="22"/>
                <w:highlight w:val="none"/>
                <w:lang w:val="en-US" w:eastAsia="en-US" w:bidi="ar-SA"/>
              </w:rPr>
              <w:t>；夏季</w:t>
            </w:r>
            <w:r>
              <w:rPr>
                <w:rFonts w:hint="default" w:ascii="Times New Roman" w:hAnsi="Times New Roman" w:eastAsia="Times New Roman" w:cs="Times New Roman"/>
                <w:kern w:val="0"/>
                <w:sz w:val="18"/>
                <w:szCs w:val="22"/>
                <w:highlight w:val="none"/>
                <w:lang w:val="en-US" w:eastAsia="en-US" w:bidi="ar-SA"/>
              </w:rPr>
              <w:sym w:font="Wingdings 2" w:char="00A3"/>
            </w:r>
            <w:r>
              <w:rPr>
                <w:rFonts w:hint="default" w:ascii="Times New Roman" w:hAnsi="Times New Roman" w:eastAsia="Times New Roman" w:cs="Times New Roman"/>
                <w:kern w:val="0"/>
                <w:sz w:val="18"/>
                <w:szCs w:val="22"/>
                <w:highlight w:val="none"/>
                <w:lang w:val="en-US" w:eastAsia="en-US" w:bidi="ar-SA"/>
              </w:rPr>
              <w:t>；秋季</w:t>
            </w:r>
            <w:r>
              <w:rPr>
                <w:rFonts w:hint="eastAsia" w:ascii="Times New Roman" w:hAnsi="Times New Roman" w:eastAsia="宋体" w:cs="Times New Roman"/>
                <w:kern w:val="0"/>
                <w:sz w:val="18"/>
                <w:szCs w:val="22"/>
                <w:highlight w:val="none"/>
                <w:lang w:val="en-US" w:eastAsia="zh-CN" w:bidi="ar-SA"/>
              </w:rPr>
              <w:t>☑</w:t>
            </w:r>
            <w:r>
              <w:rPr>
                <w:rFonts w:hint="default" w:ascii="Times New Roman" w:hAnsi="Times New Roman" w:eastAsia="Times New Roman" w:cs="Times New Roman"/>
                <w:kern w:val="0"/>
                <w:sz w:val="18"/>
                <w:szCs w:val="22"/>
                <w:highlight w:val="none"/>
                <w:lang w:val="en-US" w:eastAsia="en-US" w:bidi="ar-SA"/>
              </w:rPr>
              <w:t>；冬季</w:t>
            </w:r>
            <w:r>
              <w:rPr>
                <w:rFonts w:hint="eastAsia" w:ascii="Times New Roman" w:hAnsi="Times New Roman" w:eastAsia="宋体" w:cs="Times New Roman"/>
                <w:kern w:val="0"/>
                <w:sz w:val="18"/>
                <w:szCs w:val="22"/>
                <w:highlight w:val="none"/>
                <w:lang w:val="en-US" w:eastAsia="zh-CN" w:bidi="ar-SA"/>
              </w:rPr>
              <w:t>☑</w:t>
            </w:r>
            <w:r>
              <w:rPr>
                <w:rFonts w:hint="default" w:ascii="Times New Roman" w:hAnsi="Times New Roman" w:eastAsia="Times New Roman" w:cs="Times New Roman"/>
                <w:kern w:val="0"/>
                <w:sz w:val="18"/>
                <w:szCs w:val="22"/>
                <w:highlight w:val="none"/>
                <w:lang w:val="en-US" w:eastAsia="en-US" w:bidi="ar-SA"/>
              </w:rPr>
              <w:t xml:space="preserve"> </w:t>
            </w:r>
          </w:p>
          <w:p w14:paraId="400D4D36">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both"/>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丰水期□；枯水期□；平水期□</w:t>
            </w:r>
          </w:p>
        </w:tc>
      </w:tr>
      <w:tr w14:paraId="10BB36A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1" w:hRule="atLeast"/>
          <w:jc w:val="center"/>
        </w:trPr>
        <w:tc>
          <w:tcPr>
            <w:tcW w:w="560" w:type="pct"/>
            <w:vMerge w:val="continue"/>
            <w:tcBorders>
              <w:top w:val="nil"/>
              <w:bottom w:val="single" w:color="000000" w:sz="4" w:space="0"/>
              <w:right w:val="single" w:color="000000" w:sz="4" w:space="0"/>
            </w:tcBorders>
            <w:noWrap w:val="0"/>
            <w:vAlign w:val="center"/>
          </w:tcPr>
          <w:p w14:paraId="580FD636">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default" w:ascii="Times New Roman" w:hAnsi="Times New Roman" w:eastAsia="宋体" w:cs="Times New Roman"/>
                <w:sz w:val="2"/>
                <w:szCs w:val="2"/>
                <w:highlight w:val="none"/>
              </w:rPr>
            </w:pPr>
          </w:p>
        </w:tc>
        <w:tc>
          <w:tcPr>
            <w:tcW w:w="694" w:type="pct"/>
            <w:tcBorders>
              <w:top w:val="single" w:color="000000" w:sz="4" w:space="0"/>
              <w:left w:val="single" w:color="000000" w:sz="4" w:space="0"/>
              <w:bottom w:val="single" w:color="000000" w:sz="4" w:space="0"/>
              <w:right w:val="single" w:color="000000" w:sz="4" w:space="0"/>
            </w:tcBorders>
            <w:noWrap w:val="0"/>
            <w:vAlign w:val="center"/>
          </w:tcPr>
          <w:p w14:paraId="383374A4">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所在区域的生态问题</w:t>
            </w:r>
          </w:p>
        </w:tc>
        <w:tc>
          <w:tcPr>
            <w:tcW w:w="3745" w:type="pct"/>
            <w:tcBorders>
              <w:top w:val="single" w:color="000000" w:sz="4" w:space="0"/>
              <w:left w:val="single" w:color="000000" w:sz="4" w:space="0"/>
              <w:bottom w:val="single" w:color="000000" w:sz="4" w:space="0"/>
            </w:tcBorders>
            <w:noWrap w:val="0"/>
            <w:vAlign w:val="center"/>
          </w:tcPr>
          <w:p w14:paraId="1EA420E4">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水土流失□；沙漠化□；石漠化□；盐渍化□；生物入侵□；污染危害□；其他</w:t>
            </w:r>
            <w:r>
              <w:rPr>
                <w:rFonts w:hint="default" w:ascii="Times New Roman" w:hAnsi="Times New Roman" w:eastAsia="Times New Roman" w:cs="Times New Roman"/>
                <w:kern w:val="0"/>
                <w:sz w:val="18"/>
                <w:szCs w:val="22"/>
                <w:highlight w:val="none"/>
                <w:lang w:val="en-US" w:eastAsia="en-US" w:bidi="ar-SA"/>
              </w:rPr>
              <w:sym w:font="Wingdings 2" w:char="0052"/>
            </w:r>
          </w:p>
        </w:tc>
      </w:tr>
      <w:tr w14:paraId="21DD511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27" w:hRule="atLeast"/>
          <w:jc w:val="center"/>
        </w:trPr>
        <w:tc>
          <w:tcPr>
            <w:tcW w:w="560" w:type="pct"/>
            <w:vMerge w:val="continue"/>
            <w:tcBorders>
              <w:top w:val="nil"/>
              <w:bottom w:val="single" w:color="000000" w:sz="4" w:space="0"/>
              <w:right w:val="single" w:color="000000" w:sz="4" w:space="0"/>
            </w:tcBorders>
            <w:noWrap w:val="0"/>
            <w:vAlign w:val="center"/>
          </w:tcPr>
          <w:p w14:paraId="0C149A55">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default" w:ascii="Times New Roman" w:hAnsi="Times New Roman" w:eastAsia="宋体" w:cs="Times New Roman"/>
                <w:sz w:val="2"/>
                <w:szCs w:val="2"/>
                <w:highlight w:val="none"/>
              </w:rPr>
            </w:pPr>
          </w:p>
        </w:tc>
        <w:tc>
          <w:tcPr>
            <w:tcW w:w="694" w:type="pct"/>
            <w:tcBorders>
              <w:top w:val="single" w:color="000000" w:sz="4" w:space="0"/>
              <w:left w:val="single" w:color="000000" w:sz="4" w:space="0"/>
              <w:bottom w:val="single" w:color="000000" w:sz="4" w:space="0"/>
              <w:right w:val="single" w:color="000000" w:sz="4" w:space="0"/>
            </w:tcBorders>
            <w:noWrap w:val="0"/>
            <w:vAlign w:val="center"/>
          </w:tcPr>
          <w:p w14:paraId="79BB48F6">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评价内容</w:t>
            </w:r>
          </w:p>
        </w:tc>
        <w:tc>
          <w:tcPr>
            <w:tcW w:w="3745" w:type="pct"/>
            <w:tcBorders>
              <w:top w:val="single" w:color="000000" w:sz="4" w:space="0"/>
              <w:left w:val="single" w:color="000000" w:sz="4" w:space="0"/>
              <w:bottom w:val="single" w:color="000000" w:sz="4" w:space="0"/>
            </w:tcBorders>
            <w:noWrap w:val="0"/>
            <w:vAlign w:val="center"/>
          </w:tcPr>
          <w:p w14:paraId="1CB53E41">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植被/植物群落□；土地利用□；生态系统□；生物多样性□；重要物种□；生态敏感区□；其他</w:t>
            </w:r>
            <w:r>
              <w:rPr>
                <w:rFonts w:hint="default" w:ascii="Times New Roman" w:hAnsi="Times New Roman" w:eastAsia="Times New Roman" w:cs="Times New Roman"/>
                <w:kern w:val="0"/>
                <w:sz w:val="18"/>
                <w:szCs w:val="22"/>
                <w:highlight w:val="none"/>
                <w:lang w:val="en-US" w:eastAsia="en-US" w:bidi="ar-SA"/>
              </w:rPr>
              <w:sym w:font="Wingdings 2" w:char="0052"/>
            </w:r>
          </w:p>
        </w:tc>
      </w:tr>
      <w:tr w14:paraId="4FF3ACF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97" w:hRule="atLeast"/>
          <w:jc w:val="center"/>
        </w:trPr>
        <w:tc>
          <w:tcPr>
            <w:tcW w:w="560" w:type="pct"/>
            <w:vMerge w:val="restart"/>
            <w:tcBorders>
              <w:top w:val="single" w:color="000000" w:sz="4" w:space="0"/>
              <w:bottom w:val="single" w:color="000000" w:sz="4" w:space="0"/>
              <w:right w:val="single" w:color="000000" w:sz="4" w:space="0"/>
            </w:tcBorders>
            <w:noWrap w:val="0"/>
            <w:vAlign w:val="center"/>
          </w:tcPr>
          <w:p w14:paraId="35AB39F5">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both"/>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spacing w:val="-5"/>
                <w:kern w:val="0"/>
                <w:sz w:val="18"/>
                <w:szCs w:val="22"/>
                <w:highlight w:val="none"/>
                <w:lang w:val="en-US" w:eastAsia="en-US" w:bidi="ar-SA"/>
              </w:rPr>
              <w:t>生态影响</w:t>
            </w:r>
            <w:r>
              <w:rPr>
                <w:rFonts w:hint="default" w:ascii="Times New Roman" w:hAnsi="Times New Roman" w:eastAsia="Times New Roman" w:cs="Times New Roman"/>
                <w:kern w:val="0"/>
                <w:sz w:val="18"/>
                <w:szCs w:val="22"/>
                <w:highlight w:val="none"/>
                <w:lang w:val="en-US" w:eastAsia="en-US" w:bidi="ar-SA"/>
              </w:rPr>
              <w:t>预测与 评价</w:t>
            </w:r>
          </w:p>
        </w:tc>
        <w:tc>
          <w:tcPr>
            <w:tcW w:w="694" w:type="pct"/>
            <w:tcBorders>
              <w:top w:val="single" w:color="000000" w:sz="4" w:space="0"/>
              <w:left w:val="single" w:color="000000" w:sz="4" w:space="0"/>
              <w:bottom w:val="single" w:color="000000" w:sz="4" w:space="0"/>
              <w:right w:val="single" w:color="000000" w:sz="4" w:space="0"/>
            </w:tcBorders>
            <w:noWrap w:val="0"/>
            <w:vAlign w:val="center"/>
          </w:tcPr>
          <w:p w14:paraId="023BD252">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评价方法</w:t>
            </w:r>
          </w:p>
        </w:tc>
        <w:tc>
          <w:tcPr>
            <w:tcW w:w="3745" w:type="pct"/>
            <w:tcBorders>
              <w:top w:val="single" w:color="000000" w:sz="4" w:space="0"/>
              <w:left w:val="single" w:color="000000" w:sz="4" w:space="0"/>
              <w:bottom w:val="single" w:color="000000" w:sz="4" w:space="0"/>
            </w:tcBorders>
            <w:noWrap w:val="0"/>
            <w:vAlign w:val="center"/>
          </w:tcPr>
          <w:p w14:paraId="3DD7995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定性</w:t>
            </w:r>
            <w:r>
              <w:rPr>
                <w:rFonts w:hint="default" w:ascii="Times New Roman" w:hAnsi="Times New Roman" w:eastAsia="Times New Roman" w:cs="Times New Roman"/>
                <w:kern w:val="0"/>
                <w:sz w:val="18"/>
                <w:szCs w:val="22"/>
                <w:highlight w:val="none"/>
                <w:lang w:val="en-US" w:eastAsia="en-US" w:bidi="ar-SA"/>
              </w:rPr>
              <w:sym w:font="Wingdings 2" w:char="00A3"/>
            </w:r>
            <w:r>
              <w:rPr>
                <w:rFonts w:hint="default" w:ascii="Times New Roman" w:hAnsi="Times New Roman" w:eastAsia="Times New Roman" w:cs="Times New Roman"/>
                <w:kern w:val="0"/>
                <w:sz w:val="18"/>
                <w:szCs w:val="22"/>
                <w:highlight w:val="none"/>
                <w:lang w:val="en-US" w:eastAsia="en-US" w:bidi="ar-SA"/>
              </w:rPr>
              <w:t>；定性和定量□</w:t>
            </w:r>
          </w:p>
        </w:tc>
      </w:tr>
      <w:tr w14:paraId="70D1B99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27" w:hRule="atLeast"/>
          <w:jc w:val="center"/>
        </w:trPr>
        <w:tc>
          <w:tcPr>
            <w:tcW w:w="560" w:type="pct"/>
            <w:vMerge w:val="continue"/>
            <w:tcBorders>
              <w:top w:val="nil"/>
              <w:bottom w:val="single" w:color="000000" w:sz="4" w:space="0"/>
              <w:right w:val="single" w:color="000000" w:sz="4" w:space="0"/>
            </w:tcBorders>
            <w:noWrap w:val="0"/>
            <w:vAlign w:val="center"/>
          </w:tcPr>
          <w:p w14:paraId="272C8B16">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default" w:ascii="Times New Roman" w:hAnsi="Times New Roman" w:eastAsia="宋体" w:cs="Times New Roman"/>
                <w:sz w:val="2"/>
                <w:szCs w:val="2"/>
                <w:highlight w:val="none"/>
              </w:rPr>
            </w:pPr>
          </w:p>
        </w:tc>
        <w:tc>
          <w:tcPr>
            <w:tcW w:w="694" w:type="pct"/>
            <w:tcBorders>
              <w:top w:val="single" w:color="000000" w:sz="4" w:space="0"/>
              <w:left w:val="single" w:color="000000" w:sz="4" w:space="0"/>
              <w:bottom w:val="single" w:color="000000" w:sz="4" w:space="0"/>
              <w:right w:val="single" w:color="000000" w:sz="4" w:space="0"/>
            </w:tcBorders>
            <w:noWrap w:val="0"/>
            <w:vAlign w:val="center"/>
          </w:tcPr>
          <w:p w14:paraId="2E5F764D">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评价内容</w:t>
            </w:r>
          </w:p>
        </w:tc>
        <w:tc>
          <w:tcPr>
            <w:tcW w:w="3745" w:type="pct"/>
            <w:tcBorders>
              <w:top w:val="single" w:color="000000" w:sz="4" w:space="0"/>
              <w:left w:val="single" w:color="000000" w:sz="4" w:space="0"/>
              <w:bottom w:val="single" w:color="000000" w:sz="4" w:space="0"/>
            </w:tcBorders>
            <w:noWrap w:val="0"/>
            <w:vAlign w:val="center"/>
          </w:tcPr>
          <w:p w14:paraId="0D812A24">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植被/植物群落□；土地利用□；生态系统□；生物多样性□；重要物种□；生态敏感区□；生物入侵风险□；其他</w:t>
            </w:r>
            <w:r>
              <w:rPr>
                <w:rFonts w:hint="default" w:ascii="Times New Roman" w:hAnsi="Times New Roman" w:eastAsia="Times New Roman" w:cs="Times New Roman"/>
                <w:kern w:val="0"/>
                <w:sz w:val="18"/>
                <w:szCs w:val="22"/>
                <w:highlight w:val="none"/>
                <w:lang w:val="en-US" w:eastAsia="en-US" w:bidi="ar-SA"/>
              </w:rPr>
              <w:sym w:font="Wingdings 2" w:char="0052"/>
            </w:r>
          </w:p>
        </w:tc>
      </w:tr>
      <w:tr w14:paraId="4015E97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94" w:hRule="atLeast"/>
          <w:jc w:val="center"/>
        </w:trPr>
        <w:tc>
          <w:tcPr>
            <w:tcW w:w="560" w:type="pct"/>
            <w:vMerge w:val="restart"/>
            <w:tcBorders>
              <w:top w:val="single" w:color="000000" w:sz="4" w:space="0"/>
              <w:bottom w:val="single" w:color="000000" w:sz="4" w:space="0"/>
              <w:right w:val="single" w:color="000000" w:sz="4" w:space="0"/>
            </w:tcBorders>
            <w:noWrap w:val="0"/>
            <w:vAlign w:val="center"/>
          </w:tcPr>
          <w:p w14:paraId="30814735">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生态保护对策措施</w:t>
            </w:r>
          </w:p>
        </w:tc>
        <w:tc>
          <w:tcPr>
            <w:tcW w:w="694" w:type="pct"/>
            <w:tcBorders>
              <w:top w:val="single" w:color="000000" w:sz="4" w:space="0"/>
              <w:left w:val="single" w:color="000000" w:sz="4" w:space="0"/>
              <w:bottom w:val="single" w:color="000000" w:sz="4" w:space="0"/>
              <w:right w:val="single" w:color="000000" w:sz="4" w:space="0"/>
            </w:tcBorders>
            <w:noWrap w:val="0"/>
            <w:vAlign w:val="center"/>
          </w:tcPr>
          <w:p w14:paraId="7F0BC0F2">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对策措施</w:t>
            </w:r>
          </w:p>
        </w:tc>
        <w:tc>
          <w:tcPr>
            <w:tcW w:w="3745" w:type="pct"/>
            <w:tcBorders>
              <w:top w:val="single" w:color="000000" w:sz="4" w:space="0"/>
              <w:left w:val="single" w:color="000000" w:sz="4" w:space="0"/>
              <w:bottom w:val="single" w:color="000000" w:sz="4" w:space="0"/>
            </w:tcBorders>
            <w:noWrap w:val="0"/>
            <w:vAlign w:val="center"/>
          </w:tcPr>
          <w:p w14:paraId="6AA8BB7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避让</w:t>
            </w:r>
            <w:r>
              <w:rPr>
                <w:rFonts w:hint="default" w:ascii="Times New Roman" w:hAnsi="Times New Roman" w:eastAsia="Times New Roman" w:cs="Times New Roman"/>
                <w:kern w:val="0"/>
                <w:sz w:val="18"/>
                <w:szCs w:val="22"/>
                <w:highlight w:val="none"/>
                <w:lang w:val="en-US" w:eastAsia="en-US" w:bidi="ar-SA"/>
              </w:rPr>
              <w:sym w:font="Wingdings 2" w:char="0052"/>
            </w:r>
            <w:r>
              <w:rPr>
                <w:rFonts w:hint="default" w:ascii="Times New Roman" w:hAnsi="Times New Roman" w:eastAsia="Times New Roman" w:cs="Times New Roman"/>
                <w:kern w:val="0"/>
                <w:sz w:val="18"/>
                <w:szCs w:val="22"/>
                <w:highlight w:val="none"/>
                <w:lang w:val="en-US" w:eastAsia="en-US" w:bidi="ar-SA"/>
              </w:rPr>
              <w:t>；减缓</w:t>
            </w:r>
            <w:r>
              <w:rPr>
                <w:rFonts w:hint="default" w:ascii="Times New Roman" w:hAnsi="Times New Roman" w:eastAsia="Times New Roman" w:cs="Times New Roman"/>
                <w:kern w:val="0"/>
                <w:sz w:val="18"/>
                <w:szCs w:val="22"/>
                <w:highlight w:val="none"/>
                <w:lang w:val="en-US" w:eastAsia="en-US" w:bidi="ar-SA"/>
              </w:rPr>
              <w:sym w:font="Wingdings 2" w:char="0052"/>
            </w:r>
            <w:r>
              <w:rPr>
                <w:rFonts w:hint="default" w:ascii="Times New Roman" w:hAnsi="Times New Roman" w:eastAsia="Times New Roman" w:cs="Times New Roman"/>
                <w:kern w:val="0"/>
                <w:sz w:val="18"/>
                <w:szCs w:val="22"/>
                <w:highlight w:val="none"/>
                <w:lang w:val="en-US" w:eastAsia="en-US" w:bidi="ar-SA"/>
              </w:rPr>
              <w:t>；生态修复□；生态补偿□；科研□；其他□</w:t>
            </w:r>
          </w:p>
        </w:tc>
      </w:tr>
      <w:tr w14:paraId="76F122B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97" w:hRule="atLeast"/>
          <w:jc w:val="center"/>
        </w:trPr>
        <w:tc>
          <w:tcPr>
            <w:tcW w:w="560" w:type="pct"/>
            <w:vMerge w:val="continue"/>
            <w:tcBorders>
              <w:top w:val="nil"/>
              <w:bottom w:val="single" w:color="000000" w:sz="4" w:space="0"/>
              <w:right w:val="single" w:color="000000" w:sz="4" w:space="0"/>
            </w:tcBorders>
            <w:noWrap w:val="0"/>
            <w:vAlign w:val="center"/>
          </w:tcPr>
          <w:p w14:paraId="01B55127">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default" w:ascii="Times New Roman" w:hAnsi="Times New Roman" w:eastAsia="宋体" w:cs="Times New Roman"/>
                <w:sz w:val="2"/>
                <w:szCs w:val="2"/>
                <w:highlight w:val="none"/>
              </w:rPr>
            </w:pPr>
          </w:p>
        </w:tc>
        <w:tc>
          <w:tcPr>
            <w:tcW w:w="694" w:type="pct"/>
            <w:tcBorders>
              <w:top w:val="single" w:color="000000" w:sz="4" w:space="0"/>
              <w:left w:val="single" w:color="000000" w:sz="4" w:space="0"/>
              <w:bottom w:val="single" w:color="000000" w:sz="4" w:space="0"/>
              <w:right w:val="single" w:color="000000" w:sz="4" w:space="0"/>
            </w:tcBorders>
            <w:noWrap w:val="0"/>
            <w:vAlign w:val="center"/>
          </w:tcPr>
          <w:p w14:paraId="581C73B4">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生态监测计划</w:t>
            </w:r>
          </w:p>
        </w:tc>
        <w:tc>
          <w:tcPr>
            <w:tcW w:w="3745" w:type="pct"/>
            <w:tcBorders>
              <w:top w:val="single" w:color="000000" w:sz="4" w:space="0"/>
              <w:left w:val="single" w:color="000000" w:sz="4" w:space="0"/>
              <w:bottom w:val="single" w:color="000000" w:sz="4" w:space="0"/>
            </w:tcBorders>
            <w:noWrap w:val="0"/>
            <w:vAlign w:val="center"/>
          </w:tcPr>
          <w:p w14:paraId="4E19538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全生命周期□；长期跟踪□；常规□；无</w:t>
            </w:r>
            <w:r>
              <w:rPr>
                <w:rFonts w:hint="default" w:ascii="Times New Roman" w:hAnsi="Times New Roman" w:eastAsia="Times New Roman" w:cs="Times New Roman"/>
                <w:kern w:val="0"/>
                <w:sz w:val="18"/>
                <w:szCs w:val="22"/>
                <w:highlight w:val="none"/>
                <w:lang w:val="en-US" w:eastAsia="en-US" w:bidi="ar-SA"/>
              </w:rPr>
              <w:sym w:font="Wingdings 2" w:char="0052"/>
            </w:r>
          </w:p>
        </w:tc>
      </w:tr>
      <w:tr w14:paraId="2677745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94" w:hRule="atLeast"/>
          <w:jc w:val="center"/>
        </w:trPr>
        <w:tc>
          <w:tcPr>
            <w:tcW w:w="560" w:type="pct"/>
            <w:vMerge w:val="continue"/>
            <w:tcBorders>
              <w:top w:val="nil"/>
              <w:bottom w:val="single" w:color="000000" w:sz="4" w:space="0"/>
              <w:right w:val="single" w:color="000000" w:sz="4" w:space="0"/>
            </w:tcBorders>
            <w:noWrap w:val="0"/>
            <w:vAlign w:val="center"/>
          </w:tcPr>
          <w:p w14:paraId="3EED6E45">
            <w:pPr>
              <w:keepNext w:val="0"/>
              <w:keepLines w:val="0"/>
              <w:pageBreakBefore w:val="0"/>
              <w:widowControl w:val="0"/>
              <w:kinsoku/>
              <w:wordWrap/>
              <w:overflowPunct/>
              <w:topLinePunct w:val="0"/>
              <w:autoSpaceDE/>
              <w:autoSpaceDN/>
              <w:bidi w:val="0"/>
              <w:adjustRightInd/>
              <w:snapToGrid/>
              <w:spacing w:line="240" w:lineRule="auto"/>
              <w:ind w:left="0" w:right="0"/>
              <w:textAlignment w:val="auto"/>
              <w:rPr>
                <w:rFonts w:hint="default" w:ascii="Times New Roman" w:hAnsi="Times New Roman" w:eastAsia="宋体" w:cs="Times New Roman"/>
                <w:sz w:val="2"/>
                <w:szCs w:val="2"/>
                <w:highlight w:val="none"/>
              </w:rPr>
            </w:pPr>
          </w:p>
        </w:tc>
        <w:tc>
          <w:tcPr>
            <w:tcW w:w="694" w:type="pct"/>
            <w:tcBorders>
              <w:top w:val="single" w:color="000000" w:sz="4" w:space="0"/>
              <w:left w:val="single" w:color="000000" w:sz="4" w:space="0"/>
              <w:bottom w:val="single" w:color="000000" w:sz="4" w:space="0"/>
              <w:right w:val="single" w:color="000000" w:sz="4" w:space="0"/>
            </w:tcBorders>
            <w:noWrap w:val="0"/>
            <w:vAlign w:val="center"/>
          </w:tcPr>
          <w:p w14:paraId="5B6322A0">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环境管理</w:t>
            </w:r>
          </w:p>
        </w:tc>
        <w:tc>
          <w:tcPr>
            <w:tcW w:w="3745" w:type="pct"/>
            <w:tcBorders>
              <w:top w:val="single" w:color="000000" w:sz="4" w:space="0"/>
              <w:left w:val="single" w:color="000000" w:sz="4" w:space="0"/>
              <w:bottom w:val="single" w:color="000000" w:sz="4" w:space="0"/>
            </w:tcBorders>
            <w:noWrap w:val="0"/>
            <w:vAlign w:val="center"/>
          </w:tcPr>
          <w:p w14:paraId="268196E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环境监理□；环境影响后评价□；其他</w:t>
            </w:r>
            <w:r>
              <w:rPr>
                <w:rFonts w:hint="default" w:ascii="Times New Roman" w:hAnsi="Times New Roman" w:eastAsia="Times New Roman" w:cs="Times New Roman"/>
                <w:kern w:val="0"/>
                <w:sz w:val="18"/>
                <w:szCs w:val="22"/>
                <w:highlight w:val="none"/>
                <w:lang w:val="en-US" w:eastAsia="en-US" w:bidi="ar-SA"/>
              </w:rPr>
              <w:sym w:font="Wingdings 2" w:char="0052"/>
            </w:r>
          </w:p>
        </w:tc>
      </w:tr>
      <w:tr w14:paraId="4504EA9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94" w:hRule="atLeast"/>
          <w:jc w:val="center"/>
        </w:trPr>
        <w:tc>
          <w:tcPr>
            <w:tcW w:w="560" w:type="pct"/>
            <w:tcBorders>
              <w:top w:val="single" w:color="000000" w:sz="4" w:space="0"/>
              <w:bottom w:val="single" w:color="000000" w:sz="8" w:space="0"/>
              <w:right w:val="single" w:color="000000" w:sz="4" w:space="0"/>
            </w:tcBorders>
            <w:noWrap w:val="0"/>
            <w:vAlign w:val="center"/>
          </w:tcPr>
          <w:p w14:paraId="6B83C879">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left"/>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评价结论</w:t>
            </w:r>
          </w:p>
        </w:tc>
        <w:tc>
          <w:tcPr>
            <w:tcW w:w="694" w:type="pct"/>
            <w:tcBorders>
              <w:top w:val="single" w:color="000000" w:sz="4" w:space="0"/>
              <w:left w:val="single" w:color="000000" w:sz="4" w:space="0"/>
              <w:bottom w:val="single" w:color="000000" w:sz="8" w:space="0"/>
              <w:right w:val="single" w:color="000000" w:sz="4" w:space="0"/>
            </w:tcBorders>
            <w:noWrap w:val="0"/>
            <w:vAlign w:val="center"/>
          </w:tcPr>
          <w:p w14:paraId="2EAFFAC0">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生态影响</w:t>
            </w:r>
          </w:p>
        </w:tc>
        <w:tc>
          <w:tcPr>
            <w:tcW w:w="3745" w:type="pct"/>
            <w:tcBorders>
              <w:top w:val="single" w:color="000000" w:sz="4" w:space="0"/>
              <w:left w:val="single" w:color="000000" w:sz="4" w:space="0"/>
              <w:bottom w:val="single" w:color="000000" w:sz="8" w:space="0"/>
            </w:tcBorders>
            <w:noWrap w:val="0"/>
            <w:vAlign w:val="center"/>
          </w:tcPr>
          <w:p w14:paraId="2D68D1C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可行</w:t>
            </w:r>
            <w:r>
              <w:rPr>
                <w:rFonts w:hint="default" w:ascii="Times New Roman" w:hAnsi="Times New Roman" w:eastAsia="Times New Roman" w:cs="Times New Roman"/>
                <w:kern w:val="0"/>
                <w:sz w:val="18"/>
                <w:szCs w:val="22"/>
                <w:highlight w:val="none"/>
                <w:lang w:val="en-US" w:eastAsia="en-US" w:bidi="ar-SA"/>
              </w:rPr>
              <w:sym w:font="Wingdings 2" w:char="0052"/>
            </w:r>
            <w:r>
              <w:rPr>
                <w:rFonts w:hint="default" w:ascii="Times New Roman" w:hAnsi="Times New Roman" w:eastAsia="Times New Roman" w:cs="Times New Roman"/>
                <w:kern w:val="0"/>
                <w:sz w:val="18"/>
                <w:szCs w:val="22"/>
                <w:highlight w:val="none"/>
                <w:lang w:val="en-US" w:eastAsia="en-US" w:bidi="ar-SA"/>
              </w:rPr>
              <w:t>；不可行□</w:t>
            </w:r>
          </w:p>
        </w:tc>
      </w:tr>
      <w:tr w14:paraId="5C9B97C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96" w:hRule="atLeast"/>
          <w:jc w:val="center"/>
        </w:trPr>
        <w:tc>
          <w:tcPr>
            <w:tcW w:w="5000" w:type="pct"/>
            <w:gridSpan w:val="3"/>
            <w:tcBorders>
              <w:top w:val="single" w:color="000000" w:sz="8" w:space="0"/>
            </w:tcBorders>
            <w:noWrap w:val="0"/>
            <w:vAlign w:val="center"/>
          </w:tcPr>
          <w:p w14:paraId="4E8784A8">
            <w:pPr>
              <w:keepNext w:val="0"/>
              <w:keepLines w:val="0"/>
              <w:pageBreakBefore w:val="0"/>
              <w:widowControl w:val="0"/>
              <w:tabs>
                <w:tab w:val="left" w:pos="3259"/>
              </w:tabs>
              <w:kinsoku/>
              <w:wordWrap/>
              <w:overflowPunct/>
              <w:topLinePunct w:val="0"/>
              <w:autoSpaceDE/>
              <w:autoSpaceDN/>
              <w:bidi w:val="0"/>
              <w:adjustRightInd/>
              <w:snapToGrid/>
              <w:spacing w:line="240" w:lineRule="auto"/>
              <w:ind w:left="0" w:right="0" w:firstLine="0" w:firstLineChars="0"/>
              <w:jc w:val="left"/>
              <w:textAlignment w:val="auto"/>
              <w:rPr>
                <w:rFonts w:hint="default" w:ascii="Times New Roman" w:hAnsi="Times New Roman" w:eastAsia="Times New Roman" w:cs="Times New Roman"/>
                <w:kern w:val="0"/>
                <w:sz w:val="18"/>
                <w:szCs w:val="22"/>
                <w:highlight w:val="none"/>
                <w:lang w:val="en-US" w:eastAsia="en-US" w:bidi="ar-SA"/>
              </w:rPr>
            </w:pPr>
            <w:r>
              <w:rPr>
                <w:rFonts w:hint="default" w:ascii="Times New Roman" w:hAnsi="Times New Roman" w:eastAsia="Times New Roman" w:cs="Times New Roman"/>
                <w:kern w:val="0"/>
                <w:sz w:val="18"/>
                <w:szCs w:val="22"/>
                <w:highlight w:val="none"/>
                <w:lang w:val="en-US" w:eastAsia="en-US" w:bidi="ar-SA"/>
              </w:rPr>
              <w:t>注：</w:t>
            </w:r>
            <w:r>
              <w:rPr>
                <w:rFonts w:hint="default" w:ascii="Times New Roman" w:hAnsi="Times New Roman" w:eastAsia="Times New Roman" w:cs="Times New Roman"/>
                <w:spacing w:val="1"/>
                <w:kern w:val="0"/>
                <w:sz w:val="18"/>
                <w:szCs w:val="22"/>
                <w:highlight w:val="none"/>
                <w:lang w:val="en-US" w:eastAsia="en-US" w:bidi="ar-SA"/>
              </w:rPr>
              <w:t xml:space="preserve"> </w:t>
            </w:r>
            <w:r>
              <w:rPr>
                <w:rFonts w:hint="default" w:ascii="Times New Roman" w:hAnsi="Times New Roman" w:eastAsia="Times New Roman" w:cs="Times New Roman"/>
                <w:kern w:val="0"/>
                <w:sz w:val="18"/>
                <w:szCs w:val="22"/>
                <w:highlight w:val="none"/>
                <w:lang w:val="en-US" w:eastAsia="en-US" w:bidi="ar-SA"/>
              </w:rPr>
              <w:t>“□”</w:t>
            </w:r>
            <w:r>
              <w:rPr>
                <w:rFonts w:hint="default" w:ascii="Times New Roman" w:hAnsi="Times New Roman" w:eastAsia="Times New Roman" w:cs="Times New Roman"/>
                <w:spacing w:val="1"/>
                <w:kern w:val="0"/>
                <w:sz w:val="18"/>
                <w:szCs w:val="22"/>
                <w:highlight w:val="none"/>
                <w:lang w:val="en-US" w:eastAsia="en-US" w:bidi="ar-SA"/>
              </w:rPr>
              <w:t xml:space="preserve"> </w:t>
            </w:r>
            <w:r>
              <w:rPr>
                <w:rFonts w:hint="default" w:ascii="Times New Roman" w:hAnsi="Times New Roman" w:eastAsia="Times New Roman" w:cs="Times New Roman"/>
                <w:kern w:val="0"/>
                <w:sz w:val="18"/>
                <w:szCs w:val="22"/>
                <w:highlight w:val="none"/>
                <w:lang w:val="en-US" w:eastAsia="en-US" w:bidi="ar-SA"/>
              </w:rPr>
              <w:t>为勾选项</w:t>
            </w:r>
            <w:r>
              <w:rPr>
                <w:rFonts w:hint="default" w:ascii="Times New Roman" w:hAnsi="Times New Roman" w:eastAsia="Times New Roman" w:cs="Times New Roman"/>
                <w:spacing w:val="1"/>
                <w:kern w:val="0"/>
                <w:sz w:val="18"/>
                <w:szCs w:val="22"/>
                <w:highlight w:val="none"/>
                <w:lang w:val="en-US" w:eastAsia="en-US" w:bidi="ar-SA"/>
              </w:rPr>
              <w:t xml:space="preserve"> </w:t>
            </w:r>
            <w:r>
              <w:rPr>
                <w:rFonts w:hint="default" w:ascii="Times New Roman" w:hAnsi="Times New Roman" w:eastAsia="Times New Roman" w:cs="Times New Roman"/>
                <w:kern w:val="0"/>
                <w:sz w:val="18"/>
                <w:szCs w:val="22"/>
                <w:highlight w:val="none"/>
                <w:lang w:val="en-US" w:eastAsia="en-US" w:bidi="ar-SA"/>
              </w:rPr>
              <w:t>，可√</w:t>
            </w:r>
            <w:r>
              <w:rPr>
                <w:rFonts w:hint="default" w:ascii="Times New Roman" w:hAnsi="Times New Roman" w:eastAsia="Times New Roman" w:cs="Times New Roman"/>
                <w:spacing w:val="-1"/>
                <w:kern w:val="0"/>
                <w:sz w:val="18"/>
                <w:szCs w:val="22"/>
                <w:highlight w:val="none"/>
                <w:lang w:val="en-US" w:eastAsia="en-US" w:bidi="ar-SA"/>
              </w:rPr>
              <w:t xml:space="preserve"> </w:t>
            </w:r>
            <w:r>
              <w:rPr>
                <w:rFonts w:hint="default" w:ascii="Times New Roman" w:hAnsi="Times New Roman" w:eastAsia="Times New Roman" w:cs="Times New Roman"/>
                <w:spacing w:val="-92"/>
                <w:kern w:val="0"/>
                <w:sz w:val="18"/>
                <w:szCs w:val="22"/>
                <w:highlight w:val="none"/>
                <w:lang w:val="en-US" w:eastAsia="en-US" w:bidi="ar-SA"/>
              </w:rPr>
              <w:t>；“</w:t>
            </w:r>
            <w:r>
              <w:rPr>
                <w:rFonts w:hint="default" w:ascii="Times New Roman" w:hAnsi="Times New Roman" w:eastAsia="Times New Roman" w:cs="Times New Roman"/>
                <w:kern w:val="0"/>
                <w:sz w:val="18"/>
                <w:szCs w:val="22"/>
                <w:highlight w:val="none"/>
                <w:lang w:val="en-US" w:eastAsia="en-US" w:bidi="ar-SA"/>
              </w:rPr>
              <w:t>（</w:t>
            </w:r>
            <w:r>
              <w:rPr>
                <w:rFonts w:hint="default" w:ascii="Times New Roman" w:hAnsi="Times New Roman" w:eastAsia="Times New Roman" w:cs="Times New Roman"/>
                <w:kern w:val="0"/>
                <w:sz w:val="18"/>
                <w:szCs w:val="22"/>
                <w:highlight w:val="none"/>
                <w:lang w:val="en-US" w:eastAsia="en-US" w:bidi="ar-SA"/>
              </w:rPr>
              <w:tab/>
            </w:r>
            <w:r>
              <w:rPr>
                <w:rFonts w:hint="default" w:ascii="Times New Roman" w:hAnsi="Times New Roman" w:eastAsia="Times New Roman" w:cs="Times New Roman"/>
                <w:spacing w:val="-92"/>
                <w:kern w:val="0"/>
                <w:sz w:val="18"/>
                <w:szCs w:val="22"/>
                <w:highlight w:val="none"/>
                <w:lang w:val="en-US" w:eastAsia="en-US" w:bidi="ar-SA"/>
              </w:rPr>
              <w:t>）</w:t>
            </w:r>
            <w:r>
              <w:rPr>
                <w:rFonts w:hint="default" w:ascii="Times New Roman" w:hAnsi="Times New Roman" w:eastAsia="Times New Roman" w:cs="Times New Roman"/>
                <w:kern w:val="0"/>
                <w:sz w:val="18"/>
                <w:szCs w:val="22"/>
                <w:highlight w:val="none"/>
                <w:lang w:val="en-US" w:eastAsia="en-US" w:bidi="ar-SA"/>
              </w:rPr>
              <w:t>”</w:t>
            </w:r>
            <w:r>
              <w:rPr>
                <w:rFonts w:hint="default" w:ascii="Times New Roman" w:hAnsi="Times New Roman" w:eastAsia="Times New Roman" w:cs="Times New Roman"/>
                <w:spacing w:val="1"/>
                <w:kern w:val="0"/>
                <w:sz w:val="18"/>
                <w:szCs w:val="22"/>
                <w:highlight w:val="none"/>
                <w:lang w:val="en-US" w:eastAsia="en-US" w:bidi="ar-SA"/>
              </w:rPr>
              <w:t xml:space="preserve"> </w:t>
            </w:r>
            <w:r>
              <w:rPr>
                <w:rFonts w:hint="default" w:ascii="Times New Roman" w:hAnsi="Times New Roman" w:eastAsia="Times New Roman" w:cs="Times New Roman"/>
                <w:kern w:val="0"/>
                <w:sz w:val="18"/>
                <w:szCs w:val="22"/>
                <w:highlight w:val="none"/>
                <w:lang w:val="en-US" w:eastAsia="en-US" w:bidi="ar-SA"/>
              </w:rPr>
              <w:t>为内容填写项。</w:t>
            </w:r>
          </w:p>
        </w:tc>
      </w:tr>
    </w:tbl>
    <w:p w14:paraId="52B470EB">
      <w:pPr>
        <w:jc w:val="center"/>
        <w:rPr>
          <w:rFonts w:ascii="Times New Roman" w:hAnsi="Times New Roman" w:eastAsia="宋体" w:cs="Times New Roman"/>
          <w:b/>
          <w:color w:val="auto"/>
          <w:sz w:val="21"/>
          <w:szCs w:val="21"/>
          <w:highlight w:val="none"/>
        </w:rPr>
      </w:pPr>
    </w:p>
    <w:p w14:paraId="38A69691">
      <w:pPr>
        <w:widowControl w:val="0"/>
        <w:spacing w:line="440" w:lineRule="exact"/>
        <w:jc w:val="center"/>
        <w:rPr>
          <w:rFonts w:ascii="Times New Roman" w:hAnsi="Times New Roman" w:eastAsia="宋体" w:cs="Times New Roman"/>
          <w:b/>
          <w:color w:val="auto"/>
          <w:kern w:val="2"/>
          <w:sz w:val="21"/>
          <w:szCs w:val="21"/>
          <w:highlight w:val="none"/>
          <w:lang w:val="en-US" w:eastAsia="zh-CN" w:bidi="ar-SA"/>
        </w:rPr>
      </w:pPr>
      <w:r>
        <w:rPr>
          <w:rFonts w:ascii="Times New Roman" w:hAnsi="Times New Roman" w:eastAsia="宋体" w:cs="Times New Roman"/>
          <w:b/>
          <w:color w:val="auto"/>
          <w:kern w:val="2"/>
          <w:sz w:val="21"/>
          <w:szCs w:val="21"/>
          <w:highlight w:val="none"/>
          <w:lang w:val="en-US" w:eastAsia="zh-CN" w:bidi="ar-SA"/>
        </w:rPr>
        <w:t xml:space="preserve"> </w:t>
      </w:r>
    </w:p>
    <w:p w14:paraId="461F6F42">
      <w:pPr>
        <w:widowControl w:val="0"/>
        <w:spacing w:line="440" w:lineRule="exact"/>
        <w:jc w:val="center"/>
        <w:rPr>
          <w:rFonts w:ascii="Times New Roman" w:hAnsi="Times New Roman" w:eastAsia="宋体" w:cs="Times New Roman"/>
          <w:b/>
          <w:color w:val="auto"/>
          <w:kern w:val="2"/>
          <w:sz w:val="21"/>
          <w:szCs w:val="21"/>
          <w:highlight w:val="none"/>
          <w:lang w:val="en-US" w:eastAsia="zh-CN" w:bidi="ar-SA"/>
        </w:rPr>
      </w:pPr>
    </w:p>
    <w:p w14:paraId="2D86BD18">
      <w:pPr>
        <w:widowControl w:val="0"/>
        <w:spacing w:line="440" w:lineRule="exact"/>
        <w:jc w:val="center"/>
        <w:rPr>
          <w:rFonts w:ascii="Times New Roman" w:hAnsi="Times New Roman" w:eastAsia="宋体" w:cs="Times New Roman"/>
          <w:b/>
          <w:color w:val="auto"/>
          <w:kern w:val="2"/>
          <w:sz w:val="21"/>
          <w:szCs w:val="21"/>
          <w:highlight w:val="none"/>
          <w:lang w:val="en-US" w:eastAsia="zh-CN" w:bidi="ar-SA"/>
        </w:rPr>
      </w:pPr>
    </w:p>
    <w:p w14:paraId="2D053065">
      <w:pPr>
        <w:widowControl w:val="0"/>
        <w:spacing w:line="440" w:lineRule="exact"/>
        <w:jc w:val="center"/>
        <w:rPr>
          <w:rFonts w:ascii="Times New Roman" w:hAnsi="Times New Roman" w:eastAsia="宋体" w:cs="Times New Roman"/>
          <w:b/>
          <w:color w:val="auto"/>
          <w:kern w:val="2"/>
          <w:sz w:val="21"/>
          <w:szCs w:val="21"/>
          <w:highlight w:val="none"/>
          <w:lang w:val="en-US" w:eastAsia="zh-CN" w:bidi="ar-SA"/>
        </w:rPr>
      </w:pPr>
    </w:p>
    <w:p w14:paraId="6B84F522">
      <w:pPr>
        <w:widowControl w:val="0"/>
        <w:spacing w:line="440" w:lineRule="exact"/>
        <w:jc w:val="center"/>
        <w:rPr>
          <w:rFonts w:hint="default" w:ascii="Times New Roman" w:hAnsi="Times New Roman" w:eastAsia="黑体" w:cs="Times New Roman"/>
          <w:color w:val="auto"/>
          <w:kern w:val="2"/>
          <w:sz w:val="24"/>
          <w:szCs w:val="24"/>
          <w:highlight w:val="none"/>
          <w:lang w:val="en-US" w:eastAsia="zh-CN" w:bidi="ar-SA"/>
        </w:rPr>
      </w:pPr>
      <w:r>
        <w:rPr>
          <w:rFonts w:hint="default" w:ascii="Times New Roman" w:hAnsi="Times New Roman" w:eastAsia="黑体" w:cs="Times New Roman"/>
          <w:color w:val="auto"/>
          <w:kern w:val="2"/>
          <w:sz w:val="24"/>
          <w:szCs w:val="24"/>
          <w:highlight w:val="none"/>
          <w:lang w:val="en-US" w:eastAsia="zh-CN" w:bidi="ar-SA"/>
        </w:rPr>
        <w:t>附表</w:t>
      </w:r>
      <w:r>
        <w:rPr>
          <w:rFonts w:hint="eastAsia" w:ascii="Times New Roman" w:hAnsi="Times New Roman" w:eastAsia="黑体" w:cs="Times New Roman"/>
          <w:color w:val="auto"/>
          <w:kern w:val="2"/>
          <w:sz w:val="24"/>
          <w:szCs w:val="24"/>
          <w:highlight w:val="none"/>
          <w:lang w:val="en-US" w:eastAsia="zh-CN" w:bidi="ar-SA"/>
        </w:rPr>
        <w:t>5</w:t>
      </w:r>
      <w:r>
        <w:rPr>
          <w:rFonts w:hint="default" w:ascii="Times New Roman" w:hAnsi="Times New Roman" w:eastAsia="黑体" w:cs="Times New Roman"/>
          <w:color w:val="auto"/>
          <w:kern w:val="2"/>
          <w:sz w:val="24"/>
          <w:szCs w:val="24"/>
          <w:highlight w:val="none"/>
          <w:lang w:val="en-US" w:eastAsia="zh-CN" w:bidi="ar-SA"/>
        </w:rPr>
        <w:t xml:space="preserve"> </w:t>
      </w:r>
      <w:r>
        <w:rPr>
          <w:rFonts w:hint="eastAsia" w:ascii="Times New Roman" w:hAnsi="Times New Roman" w:eastAsia="黑体" w:cs="Times New Roman"/>
          <w:color w:val="auto"/>
          <w:kern w:val="2"/>
          <w:sz w:val="24"/>
          <w:szCs w:val="24"/>
          <w:highlight w:val="none"/>
          <w:lang w:val="en-US" w:eastAsia="zh-CN" w:bidi="ar-SA"/>
        </w:rPr>
        <w:t xml:space="preserve"> </w:t>
      </w:r>
      <w:r>
        <w:rPr>
          <w:rFonts w:hint="default" w:ascii="Times New Roman" w:hAnsi="Times New Roman" w:eastAsia="黑体" w:cs="Times New Roman"/>
          <w:color w:val="auto"/>
          <w:kern w:val="2"/>
          <w:sz w:val="24"/>
          <w:szCs w:val="24"/>
          <w:highlight w:val="none"/>
          <w:lang w:val="en-US" w:eastAsia="zh-CN" w:bidi="ar-SA"/>
        </w:rPr>
        <w:t>环境风险自查表</w:t>
      </w:r>
    </w:p>
    <w:tbl>
      <w:tblPr>
        <w:tblStyle w:val="3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2"/>
        <w:gridCol w:w="1307"/>
        <w:gridCol w:w="956"/>
        <w:gridCol w:w="295"/>
        <w:gridCol w:w="315"/>
        <w:gridCol w:w="433"/>
        <w:gridCol w:w="82"/>
        <w:gridCol w:w="404"/>
        <w:gridCol w:w="220"/>
        <w:gridCol w:w="95"/>
        <w:gridCol w:w="327"/>
        <w:gridCol w:w="458"/>
        <w:gridCol w:w="145"/>
        <w:gridCol w:w="422"/>
        <w:gridCol w:w="82"/>
        <w:gridCol w:w="227"/>
        <w:gridCol w:w="218"/>
        <w:gridCol w:w="218"/>
        <w:gridCol w:w="20"/>
        <w:gridCol w:w="56"/>
        <w:gridCol w:w="576"/>
        <w:gridCol w:w="729"/>
      </w:tblGrid>
      <w:tr w14:paraId="0ABEC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1315" w:type="pct"/>
            <w:gridSpan w:val="2"/>
            <w:noWrap w:val="0"/>
            <w:vAlign w:val="center"/>
          </w:tcPr>
          <w:p w14:paraId="45EA8FAA">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工作内容</w:t>
            </w:r>
          </w:p>
        </w:tc>
        <w:tc>
          <w:tcPr>
            <w:tcW w:w="3684" w:type="pct"/>
            <w:gridSpan w:val="20"/>
            <w:noWrap w:val="0"/>
            <w:vAlign w:val="center"/>
          </w:tcPr>
          <w:p w14:paraId="67A7AE7C">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完成情况</w:t>
            </w:r>
          </w:p>
        </w:tc>
      </w:tr>
      <w:tr w14:paraId="6140D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8" w:type="pct"/>
            <w:vMerge w:val="restart"/>
            <w:noWrap w:val="0"/>
            <w:vAlign w:val="center"/>
          </w:tcPr>
          <w:p w14:paraId="35D099A3">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风险调查</w:t>
            </w:r>
          </w:p>
        </w:tc>
        <w:tc>
          <w:tcPr>
            <w:tcW w:w="766" w:type="pct"/>
            <w:vMerge w:val="restart"/>
            <w:noWrap w:val="0"/>
            <w:vAlign w:val="center"/>
          </w:tcPr>
          <w:p w14:paraId="1851CA66">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危险物质</w:t>
            </w:r>
          </w:p>
        </w:tc>
        <w:tc>
          <w:tcPr>
            <w:tcW w:w="561" w:type="pct"/>
            <w:noWrap w:val="0"/>
            <w:vAlign w:val="center"/>
          </w:tcPr>
          <w:p w14:paraId="50CA8E42">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名称</w:t>
            </w:r>
          </w:p>
        </w:tc>
        <w:tc>
          <w:tcPr>
            <w:tcW w:w="612" w:type="pct"/>
            <w:gridSpan w:val="3"/>
            <w:noWrap w:val="0"/>
            <w:vAlign w:val="center"/>
          </w:tcPr>
          <w:p w14:paraId="0FCAABE0">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lang w:val="en-US" w:eastAsia="zh-CN"/>
              </w:rPr>
            </w:pPr>
            <w:r>
              <w:rPr>
                <w:rFonts w:hint="eastAsia" w:ascii="Times New Roman" w:hAnsi="Times New Roman" w:eastAsia="宋体" w:cs="Times New Roman"/>
                <w:kern w:val="2"/>
                <w:sz w:val="18"/>
                <w:szCs w:val="21"/>
                <w:highlight w:val="none"/>
                <w:lang w:val="en-US" w:eastAsia="zh-CN"/>
              </w:rPr>
              <w:t>废矿物油</w:t>
            </w:r>
          </w:p>
        </w:tc>
        <w:tc>
          <w:tcPr>
            <w:tcW w:w="470" w:type="pct"/>
            <w:gridSpan w:val="4"/>
            <w:noWrap w:val="0"/>
            <w:vAlign w:val="center"/>
          </w:tcPr>
          <w:p w14:paraId="62F5EE58">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461" w:type="pct"/>
            <w:gridSpan w:val="2"/>
            <w:noWrap w:val="0"/>
            <w:vAlign w:val="center"/>
          </w:tcPr>
          <w:p w14:paraId="62C29209">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381" w:type="pct"/>
            <w:gridSpan w:val="3"/>
            <w:noWrap w:val="0"/>
            <w:vAlign w:val="center"/>
          </w:tcPr>
          <w:p w14:paraId="724FB03C">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389" w:type="pct"/>
            <w:gridSpan w:val="3"/>
            <w:noWrap w:val="0"/>
            <w:vAlign w:val="center"/>
          </w:tcPr>
          <w:p w14:paraId="58D210B3">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383" w:type="pct"/>
            <w:gridSpan w:val="3"/>
            <w:noWrap w:val="0"/>
            <w:vAlign w:val="center"/>
          </w:tcPr>
          <w:p w14:paraId="5961C770">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426" w:type="pct"/>
            <w:noWrap w:val="0"/>
            <w:vAlign w:val="center"/>
          </w:tcPr>
          <w:p w14:paraId="449A443E">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r>
      <w:tr w14:paraId="5532B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8" w:type="pct"/>
            <w:vMerge w:val="continue"/>
            <w:noWrap w:val="0"/>
            <w:vAlign w:val="center"/>
          </w:tcPr>
          <w:p w14:paraId="0EC3F142">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766" w:type="pct"/>
            <w:vMerge w:val="continue"/>
            <w:noWrap w:val="0"/>
            <w:vAlign w:val="center"/>
          </w:tcPr>
          <w:p w14:paraId="2A5D427D">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561" w:type="pct"/>
            <w:noWrap w:val="0"/>
            <w:vAlign w:val="center"/>
          </w:tcPr>
          <w:p w14:paraId="40F92D27">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存在总量/t</w:t>
            </w:r>
          </w:p>
        </w:tc>
        <w:tc>
          <w:tcPr>
            <w:tcW w:w="612" w:type="pct"/>
            <w:gridSpan w:val="3"/>
            <w:noWrap w:val="0"/>
            <w:vAlign w:val="center"/>
          </w:tcPr>
          <w:p w14:paraId="510F6F2D">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lang w:val="en-US" w:eastAsia="zh-CN"/>
              </w:rPr>
            </w:pPr>
            <w:r>
              <w:rPr>
                <w:rFonts w:hint="eastAsia" w:ascii="Times New Roman" w:hAnsi="Times New Roman" w:eastAsia="宋体" w:cs="Times New Roman"/>
                <w:kern w:val="2"/>
                <w:sz w:val="18"/>
                <w:szCs w:val="21"/>
                <w:highlight w:val="none"/>
                <w:lang w:val="en-US" w:eastAsia="zh-CN"/>
              </w:rPr>
              <w:t>0.1</w:t>
            </w:r>
          </w:p>
        </w:tc>
        <w:tc>
          <w:tcPr>
            <w:tcW w:w="470" w:type="pct"/>
            <w:gridSpan w:val="4"/>
            <w:noWrap w:val="0"/>
            <w:vAlign w:val="center"/>
          </w:tcPr>
          <w:p w14:paraId="25FFBCFD">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461" w:type="pct"/>
            <w:gridSpan w:val="2"/>
            <w:noWrap w:val="0"/>
            <w:vAlign w:val="center"/>
          </w:tcPr>
          <w:p w14:paraId="1CD4087E">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381" w:type="pct"/>
            <w:gridSpan w:val="3"/>
            <w:noWrap w:val="0"/>
            <w:vAlign w:val="center"/>
          </w:tcPr>
          <w:p w14:paraId="4FAD01DE">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389" w:type="pct"/>
            <w:gridSpan w:val="3"/>
            <w:noWrap w:val="0"/>
            <w:vAlign w:val="center"/>
          </w:tcPr>
          <w:p w14:paraId="55F26273">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383" w:type="pct"/>
            <w:gridSpan w:val="3"/>
            <w:noWrap w:val="0"/>
            <w:vAlign w:val="center"/>
          </w:tcPr>
          <w:p w14:paraId="1030513C">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426" w:type="pct"/>
            <w:noWrap w:val="0"/>
            <w:vAlign w:val="center"/>
          </w:tcPr>
          <w:p w14:paraId="5EA02487">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r>
      <w:tr w14:paraId="75C8E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8" w:type="pct"/>
            <w:vMerge w:val="continue"/>
            <w:noWrap w:val="0"/>
            <w:vAlign w:val="center"/>
          </w:tcPr>
          <w:p w14:paraId="4FE9C1D5">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766" w:type="pct"/>
            <w:vMerge w:val="restart"/>
            <w:noWrap w:val="0"/>
            <w:vAlign w:val="center"/>
          </w:tcPr>
          <w:p w14:paraId="29AEF954">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环境敏感性</w:t>
            </w:r>
          </w:p>
        </w:tc>
        <w:tc>
          <w:tcPr>
            <w:tcW w:w="561" w:type="pct"/>
            <w:vMerge w:val="restart"/>
            <w:noWrap w:val="0"/>
            <w:vAlign w:val="center"/>
          </w:tcPr>
          <w:p w14:paraId="7C029938">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大气</w:t>
            </w:r>
          </w:p>
        </w:tc>
        <w:tc>
          <w:tcPr>
            <w:tcW w:w="1543" w:type="pct"/>
            <w:gridSpan w:val="9"/>
            <w:noWrap w:val="0"/>
            <w:vAlign w:val="center"/>
          </w:tcPr>
          <w:p w14:paraId="32EC61A7">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500m范围内人口数   人</w:t>
            </w:r>
          </w:p>
        </w:tc>
        <w:tc>
          <w:tcPr>
            <w:tcW w:w="1579" w:type="pct"/>
            <w:gridSpan w:val="10"/>
            <w:noWrap w:val="0"/>
            <w:vAlign w:val="center"/>
          </w:tcPr>
          <w:p w14:paraId="77CF59FF">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5km范围内人口数  人</w:t>
            </w:r>
          </w:p>
        </w:tc>
      </w:tr>
      <w:tr w14:paraId="2E9E0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8" w:type="pct"/>
            <w:vMerge w:val="continue"/>
            <w:noWrap w:val="0"/>
            <w:vAlign w:val="center"/>
          </w:tcPr>
          <w:p w14:paraId="1BF2A1DD">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766" w:type="pct"/>
            <w:vMerge w:val="continue"/>
            <w:noWrap w:val="0"/>
            <w:vAlign w:val="center"/>
          </w:tcPr>
          <w:p w14:paraId="2628928E">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561" w:type="pct"/>
            <w:vMerge w:val="continue"/>
            <w:noWrap w:val="0"/>
            <w:vAlign w:val="center"/>
          </w:tcPr>
          <w:p w14:paraId="72211350">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2325" w:type="pct"/>
            <w:gridSpan w:val="16"/>
            <w:noWrap w:val="0"/>
            <w:vAlign w:val="center"/>
          </w:tcPr>
          <w:p w14:paraId="67088E99">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每公里管段周边200m范围内人口数（最大）</w:t>
            </w:r>
          </w:p>
        </w:tc>
        <w:tc>
          <w:tcPr>
            <w:tcW w:w="798" w:type="pct"/>
            <w:gridSpan w:val="3"/>
            <w:noWrap w:val="0"/>
            <w:vAlign w:val="center"/>
          </w:tcPr>
          <w:p w14:paraId="1D3B9329">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   </w:t>
            </w:r>
            <w:r>
              <w:rPr>
                <w:rFonts w:hint="default" w:ascii="Times New Roman" w:hAnsi="Times New Roman" w:eastAsia="宋体" w:cs="Times New Roman"/>
                <w:kern w:val="2"/>
                <w:sz w:val="18"/>
                <w:szCs w:val="21"/>
                <w:highlight w:val="none"/>
                <w:lang w:val="en-US" w:eastAsia="zh-CN"/>
              </w:rPr>
              <w:t>/</w:t>
            </w:r>
            <w:r>
              <w:rPr>
                <w:rFonts w:hint="default" w:ascii="Times New Roman" w:hAnsi="Times New Roman" w:eastAsia="宋体" w:cs="Times New Roman"/>
                <w:kern w:val="2"/>
                <w:sz w:val="18"/>
                <w:szCs w:val="21"/>
                <w:highlight w:val="none"/>
              </w:rPr>
              <w:t xml:space="preserve">   人</w:t>
            </w:r>
          </w:p>
        </w:tc>
      </w:tr>
      <w:tr w14:paraId="4A8DC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8" w:type="pct"/>
            <w:vMerge w:val="continue"/>
            <w:noWrap w:val="0"/>
            <w:vAlign w:val="center"/>
          </w:tcPr>
          <w:p w14:paraId="701C1CE6">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766" w:type="pct"/>
            <w:vMerge w:val="continue"/>
            <w:noWrap w:val="0"/>
            <w:vAlign w:val="center"/>
          </w:tcPr>
          <w:p w14:paraId="5597A62B">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561" w:type="pct"/>
            <w:vMerge w:val="restart"/>
            <w:noWrap w:val="0"/>
            <w:vAlign w:val="center"/>
          </w:tcPr>
          <w:p w14:paraId="4A9421EE">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地表水</w:t>
            </w:r>
          </w:p>
        </w:tc>
        <w:tc>
          <w:tcPr>
            <w:tcW w:w="1026" w:type="pct"/>
            <w:gridSpan w:val="6"/>
            <w:noWrap w:val="0"/>
            <w:vAlign w:val="center"/>
          </w:tcPr>
          <w:p w14:paraId="6260E8D2">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地表水功能敏感性</w:t>
            </w:r>
          </w:p>
        </w:tc>
        <w:tc>
          <w:tcPr>
            <w:tcW w:w="517" w:type="pct"/>
            <w:gridSpan w:val="3"/>
            <w:noWrap w:val="0"/>
            <w:vAlign w:val="center"/>
          </w:tcPr>
          <w:p w14:paraId="3B8FC590">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F1 □</w:t>
            </w:r>
          </w:p>
        </w:tc>
        <w:tc>
          <w:tcPr>
            <w:tcW w:w="770" w:type="pct"/>
            <w:gridSpan w:val="6"/>
            <w:noWrap w:val="0"/>
            <w:vAlign w:val="center"/>
          </w:tcPr>
          <w:p w14:paraId="5D536CF7">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F2 □</w:t>
            </w:r>
          </w:p>
        </w:tc>
        <w:tc>
          <w:tcPr>
            <w:tcW w:w="809" w:type="pct"/>
            <w:gridSpan w:val="4"/>
            <w:noWrap w:val="0"/>
            <w:vAlign w:val="center"/>
          </w:tcPr>
          <w:p w14:paraId="7388BE94">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F3 </w:t>
            </w:r>
            <w:r>
              <w:rPr>
                <w:rFonts w:hint="default" w:ascii="Times New Roman" w:hAnsi="Times New Roman" w:eastAsia="宋体" w:cs="Times New Roman"/>
                <w:kern w:val="2"/>
                <w:sz w:val="18"/>
                <w:szCs w:val="21"/>
                <w:highlight w:val="none"/>
              </w:rPr>
              <w:sym w:font="Wingdings 2" w:char="00A3"/>
            </w:r>
          </w:p>
        </w:tc>
      </w:tr>
      <w:tr w14:paraId="6953B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8" w:type="pct"/>
            <w:vMerge w:val="continue"/>
            <w:noWrap w:val="0"/>
            <w:vAlign w:val="center"/>
          </w:tcPr>
          <w:p w14:paraId="48033C20">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766" w:type="pct"/>
            <w:vMerge w:val="continue"/>
            <w:noWrap w:val="0"/>
            <w:vAlign w:val="center"/>
          </w:tcPr>
          <w:p w14:paraId="372A7188">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561" w:type="pct"/>
            <w:vMerge w:val="continue"/>
            <w:noWrap w:val="0"/>
            <w:vAlign w:val="center"/>
          </w:tcPr>
          <w:p w14:paraId="75A37393">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1026" w:type="pct"/>
            <w:gridSpan w:val="6"/>
            <w:noWrap w:val="0"/>
            <w:vAlign w:val="center"/>
          </w:tcPr>
          <w:p w14:paraId="0E40A531">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环境敏感目标分级</w:t>
            </w:r>
          </w:p>
        </w:tc>
        <w:tc>
          <w:tcPr>
            <w:tcW w:w="517" w:type="pct"/>
            <w:gridSpan w:val="3"/>
            <w:noWrap w:val="0"/>
            <w:vAlign w:val="center"/>
          </w:tcPr>
          <w:p w14:paraId="5FEF3540">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S1 □</w:t>
            </w:r>
          </w:p>
        </w:tc>
        <w:tc>
          <w:tcPr>
            <w:tcW w:w="770" w:type="pct"/>
            <w:gridSpan w:val="6"/>
            <w:noWrap w:val="0"/>
            <w:vAlign w:val="center"/>
          </w:tcPr>
          <w:p w14:paraId="539E4CF4">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S2 □</w:t>
            </w:r>
          </w:p>
        </w:tc>
        <w:tc>
          <w:tcPr>
            <w:tcW w:w="809" w:type="pct"/>
            <w:gridSpan w:val="4"/>
            <w:noWrap w:val="0"/>
            <w:vAlign w:val="center"/>
          </w:tcPr>
          <w:p w14:paraId="4E21FE3B">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S3 </w:t>
            </w:r>
            <w:r>
              <w:rPr>
                <w:rFonts w:hint="default" w:ascii="Times New Roman" w:hAnsi="Times New Roman" w:eastAsia="宋体" w:cs="Times New Roman"/>
                <w:kern w:val="2"/>
                <w:sz w:val="18"/>
                <w:szCs w:val="21"/>
                <w:highlight w:val="none"/>
              </w:rPr>
              <w:sym w:font="Wingdings 2" w:char="00A3"/>
            </w:r>
          </w:p>
        </w:tc>
      </w:tr>
      <w:tr w14:paraId="6410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8" w:type="pct"/>
            <w:vMerge w:val="continue"/>
            <w:noWrap w:val="0"/>
            <w:vAlign w:val="center"/>
          </w:tcPr>
          <w:p w14:paraId="46FDEDD1">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766" w:type="pct"/>
            <w:vMerge w:val="continue"/>
            <w:noWrap w:val="0"/>
            <w:vAlign w:val="center"/>
          </w:tcPr>
          <w:p w14:paraId="6AC5DE49">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561" w:type="pct"/>
            <w:vMerge w:val="restart"/>
            <w:noWrap w:val="0"/>
            <w:vAlign w:val="center"/>
          </w:tcPr>
          <w:p w14:paraId="0750F784">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地下水</w:t>
            </w:r>
          </w:p>
        </w:tc>
        <w:tc>
          <w:tcPr>
            <w:tcW w:w="1026" w:type="pct"/>
            <w:gridSpan w:val="6"/>
            <w:noWrap w:val="0"/>
            <w:vAlign w:val="center"/>
          </w:tcPr>
          <w:p w14:paraId="68F606CF">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地下水功能敏感性</w:t>
            </w:r>
          </w:p>
        </w:tc>
        <w:tc>
          <w:tcPr>
            <w:tcW w:w="517" w:type="pct"/>
            <w:gridSpan w:val="3"/>
            <w:noWrap w:val="0"/>
            <w:vAlign w:val="center"/>
          </w:tcPr>
          <w:p w14:paraId="58250469">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G1 □</w:t>
            </w:r>
          </w:p>
        </w:tc>
        <w:tc>
          <w:tcPr>
            <w:tcW w:w="770" w:type="pct"/>
            <w:gridSpan w:val="6"/>
            <w:noWrap w:val="0"/>
            <w:vAlign w:val="center"/>
          </w:tcPr>
          <w:p w14:paraId="14C753E3">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G2 </w:t>
            </w:r>
            <w:r>
              <w:rPr>
                <w:rFonts w:hint="default" w:ascii="Times New Roman" w:hAnsi="Times New Roman" w:eastAsia="宋体" w:cs="Times New Roman"/>
                <w:kern w:val="2"/>
                <w:sz w:val="18"/>
                <w:szCs w:val="21"/>
                <w:highlight w:val="none"/>
              </w:rPr>
              <w:sym w:font="Wingdings 2" w:char="0052"/>
            </w:r>
          </w:p>
        </w:tc>
        <w:tc>
          <w:tcPr>
            <w:tcW w:w="809" w:type="pct"/>
            <w:gridSpan w:val="4"/>
            <w:noWrap w:val="0"/>
            <w:vAlign w:val="center"/>
          </w:tcPr>
          <w:p w14:paraId="3B329820">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G3 </w:t>
            </w:r>
            <w:r>
              <w:rPr>
                <w:rFonts w:hint="default" w:ascii="Times New Roman" w:hAnsi="Times New Roman" w:eastAsia="宋体" w:cs="Times New Roman"/>
                <w:kern w:val="2"/>
                <w:sz w:val="18"/>
                <w:szCs w:val="21"/>
                <w:highlight w:val="none"/>
              </w:rPr>
              <w:sym w:font="Wingdings 2" w:char="00A3"/>
            </w:r>
          </w:p>
        </w:tc>
      </w:tr>
      <w:tr w14:paraId="3FCB0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8" w:type="pct"/>
            <w:vMerge w:val="continue"/>
            <w:noWrap w:val="0"/>
            <w:vAlign w:val="center"/>
          </w:tcPr>
          <w:p w14:paraId="436B1AEC">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766" w:type="pct"/>
            <w:vMerge w:val="continue"/>
            <w:noWrap w:val="0"/>
            <w:vAlign w:val="center"/>
          </w:tcPr>
          <w:p w14:paraId="6E02EACD">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561" w:type="pct"/>
            <w:vMerge w:val="continue"/>
            <w:noWrap w:val="0"/>
            <w:vAlign w:val="center"/>
          </w:tcPr>
          <w:p w14:paraId="3B84AD60">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1026" w:type="pct"/>
            <w:gridSpan w:val="6"/>
            <w:noWrap w:val="0"/>
            <w:vAlign w:val="center"/>
          </w:tcPr>
          <w:p w14:paraId="727B90E6">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包气带防污性能</w:t>
            </w:r>
          </w:p>
        </w:tc>
        <w:tc>
          <w:tcPr>
            <w:tcW w:w="517" w:type="pct"/>
            <w:gridSpan w:val="3"/>
            <w:noWrap w:val="0"/>
            <w:vAlign w:val="center"/>
          </w:tcPr>
          <w:p w14:paraId="6C4B88A9">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D1 □</w:t>
            </w:r>
          </w:p>
        </w:tc>
        <w:tc>
          <w:tcPr>
            <w:tcW w:w="770" w:type="pct"/>
            <w:gridSpan w:val="6"/>
            <w:noWrap w:val="0"/>
            <w:vAlign w:val="center"/>
          </w:tcPr>
          <w:p w14:paraId="00A690C3">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D2 </w:t>
            </w:r>
            <w:r>
              <w:rPr>
                <w:rFonts w:hint="default" w:ascii="Times New Roman" w:hAnsi="Times New Roman" w:eastAsia="宋体" w:cs="Times New Roman"/>
                <w:kern w:val="2"/>
                <w:sz w:val="18"/>
                <w:szCs w:val="21"/>
                <w:highlight w:val="none"/>
              </w:rPr>
              <w:sym w:font="Wingdings 2" w:char="0052"/>
            </w:r>
          </w:p>
        </w:tc>
        <w:tc>
          <w:tcPr>
            <w:tcW w:w="809" w:type="pct"/>
            <w:gridSpan w:val="4"/>
            <w:noWrap w:val="0"/>
            <w:vAlign w:val="center"/>
          </w:tcPr>
          <w:p w14:paraId="01F693B5">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D3 </w:t>
            </w:r>
            <w:r>
              <w:rPr>
                <w:rFonts w:hint="default" w:ascii="Times New Roman" w:hAnsi="Times New Roman" w:eastAsia="宋体" w:cs="Times New Roman"/>
                <w:kern w:val="2"/>
                <w:sz w:val="18"/>
                <w:szCs w:val="21"/>
                <w:highlight w:val="none"/>
              </w:rPr>
              <w:sym w:font="Wingdings 2" w:char="00A3"/>
            </w:r>
          </w:p>
        </w:tc>
      </w:tr>
      <w:tr w14:paraId="3D198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5" w:type="pct"/>
            <w:gridSpan w:val="2"/>
            <w:vMerge w:val="restart"/>
            <w:noWrap w:val="0"/>
            <w:vAlign w:val="center"/>
          </w:tcPr>
          <w:p w14:paraId="024ECD74">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物质及工艺系统危险性</w:t>
            </w:r>
          </w:p>
        </w:tc>
        <w:tc>
          <w:tcPr>
            <w:tcW w:w="561" w:type="pct"/>
            <w:noWrap w:val="0"/>
            <w:vAlign w:val="center"/>
          </w:tcPr>
          <w:p w14:paraId="4E51B028">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Q值</w:t>
            </w:r>
          </w:p>
        </w:tc>
        <w:tc>
          <w:tcPr>
            <w:tcW w:w="1026" w:type="pct"/>
            <w:gridSpan w:val="6"/>
            <w:noWrap w:val="0"/>
            <w:vAlign w:val="center"/>
          </w:tcPr>
          <w:p w14:paraId="55C58A4A">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Q＜1 </w:t>
            </w:r>
            <w:r>
              <w:rPr>
                <w:rFonts w:hint="default" w:ascii="Times New Roman" w:hAnsi="Times New Roman" w:eastAsia="宋体" w:cs="Times New Roman"/>
                <w:kern w:val="2"/>
                <w:sz w:val="18"/>
                <w:szCs w:val="21"/>
                <w:highlight w:val="none"/>
              </w:rPr>
              <w:sym w:font="Wingdings 2" w:char="0052"/>
            </w:r>
          </w:p>
        </w:tc>
        <w:tc>
          <w:tcPr>
            <w:tcW w:w="517" w:type="pct"/>
            <w:gridSpan w:val="3"/>
            <w:noWrap w:val="0"/>
            <w:vAlign w:val="center"/>
          </w:tcPr>
          <w:p w14:paraId="66D4C276">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1≤Q＜10 </w:t>
            </w:r>
            <w:r>
              <w:rPr>
                <w:rFonts w:hint="default" w:ascii="Times New Roman" w:hAnsi="Times New Roman" w:eastAsia="宋体" w:cs="Times New Roman"/>
                <w:kern w:val="2"/>
                <w:sz w:val="18"/>
                <w:szCs w:val="21"/>
                <w:highlight w:val="none"/>
              </w:rPr>
              <w:sym w:font="Wingdings 2" w:char="00A3"/>
            </w:r>
          </w:p>
        </w:tc>
        <w:tc>
          <w:tcPr>
            <w:tcW w:w="770" w:type="pct"/>
            <w:gridSpan w:val="6"/>
            <w:noWrap w:val="0"/>
            <w:vAlign w:val="center"/>
          </w:tcPr>
          <w:p w14:paraId="6A5F1B54">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10≤Q＜100 □</w:t>
            </w:r>
          </w:p>
        </w:tc>
        <w:tc>
          <w:tcPr>
            <w:tcW w:w="809" w:type="pct"/>
            <w:gridSpan w:val="4"/>
            <w:noWrap w:val="0"/>
            <w:vAlign w:val="center"/>
          </w:tcPr>
          <w:p w14:paraId="17A07D83">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Q＞100 □</w:t>
            </w:r>
          </w:p>
        </w:tc>
      </w:tr>
      <w:tr w14:paraId="3758C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5" w:type="pct"/>
            <w:gridSpan w:val="2"/>
            <w:vMerge w:val="continue"/>
            <w:noWrap w:val="0"/>
            <w:vAlign w:val="center"/>
          </w:tcPr>
          <w:p w14:paraId="3CFC7D98">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561" w:type="pct"/>
            <w:noWrap w:val="0"/>
            <w:vAlign w:val="center"/>
          </w:tcPr>
          <w:p w14:paraId="1D1BB8C6">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M值</w:t>
            </w:r>
          </w:p>
        </w:tc>
        <w:tc>
          <w:tcPr>
            <w:tcW w:w="1026" w:type="pct"/>
            <w:gridSpan w:val="6"/>
            <w:noWrap w:val="0"/>
            <w:vAlign w:val="center"/>
          </w:tcPr>
          <w:p w14:paraId="52E6C585">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M1 □</w:t>
            </w:r>
          </w:p>
        </w:tc>
        <w:tc>
          <w:tcPr>
            <w:tcW w:w="517" w:type="pct"/>
            <w:gridSpan w:val="3"/>
            <w:noWrap w:val="0"/>
            <w:vAlign w:val="center"/>
          </w:tcPr>
          <w:p w14:paraId="3BA7629B">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M2 □</w:t>
            </w:r>
          </w:p>
        </w:tc>
        <w:tc>
          <w:tcPr>
            <w:tcW w:w="770" w:type="pct"/>
            <w:gridSpan w:val="6"/>
            <w:noWrap w:val="0"/>
            <w:vAlign w:val="center"/>
          </w:tcPr>
          <w:p w14:paraId="257E5455">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M3 </w:t>
            </w:r>
            <w:r>
              <w:rPr>
                <w:rFonts w:hint="default" w:ascii="Times New Roman" w:hAnsi="Times New Roman" w:eastAsia="宋体" w:cs="Times New Roman"/>
                <w:kern w:val="2"/>
                <w:sz w:val="18"/>
                <w:szCs w:val="21"/>
                <w:highlight w:val="none"/>
              </w:rPr>
              <w:sym w:font="Wingdings 2" w:char="00A3"/>
            </w:r>
          </w:p>
        </w:tc>
        <w:tc>
          <w:tcPr>
            <w:tcW w:w="809" w:type="pct"/>
            <w:gridSpan w:val="4"/>
            <w:noWrap w:val="0"/>
            <w:vAlign w:val="center"/>
          </w:tcPr>
          <w:p w14:paraId="28418FF2">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M4 </w:t>
            </w:r>
            <w:r>
              <w:rPr>
                <w:rFonts w:hint="default" w:ascii="Times New Roman" w:hAnsi="Times New Roman" w:eastAsia="宋体" w:cs="Times New Roman"/>
                <w:kern w:val="2"/>
                <w:sz w:val="18"/>
                <w:szCs w:val="21"/>
                <w:highlight w:val="none"/>
              </w:rPr>
              <w:sym w:font="Wingdings 2" w:char="00A3"/>
            </w:r>
          </w:p>
        </w:tc>
      </w:tr>
      <w:tr w14:paraId="32E65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5" w:type="pct"/>
            <w:gridSpan w:val="2"/>
            <w:vMerge w:val="continue"/>
            <w:noWrap w:val="0"/>
            <w:vAlign w:val="center"/>
          </w:tcPr>
          <w:p w14:paraId="3981269E">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561" w:type="pct"/>
            <w:noWrap w:val="0"/>
            <w:vAlign w:val="center"/>
          </w:tcPr>
          <w:p w14:paraId="2E4AF99C">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P值</w:t>
            </w:r>
          </w:p>
        </w:tc>
        <w:tc>
          <w:tcPr>
            <w:tcW w:w="1026" w:type="pct"/>
            <w:gridSpan w:val="6"/>
            <w:noWrap w:val="0"/>
            <w:vAlign w:val="center"/>
          </w:tcPr>
          <w:p w14:paraId="2532FD6E">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P1 □</w:t>
            </w:r>
          </w:p>
        </w:tc>
        <w:tc>
          <w:tcPr>
            <w:tcW w:w="517" w:type="pct"/>
            <w:gridSpan w:val="3"/>
            <w:noWrap w:val="0"/>
            <w:vAlign w:val="center"/>
          </w:tcPr>
          <w:p w14:paraId="17005ADA">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P2 □</w:t>
            </w:r>
          </w:p>
        </w:tc>
        <w:tc>
          <w:tcPr>
            <w:tcW w:w="770" w:type="pct"/>
            <w:gridSpan w:val="6"/>
            <w:noWrap w:val="0"/>
            <w:vAlign w:val="center"/>
          </w:tcPr>
          <w:p w14:paraId="505DBBBE">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P3 □</w:t>
            </w:r>
          </w:p>
        </w:tc>
        <w:tc>
          <w:tcPr>
            <w:tcW w:w="809" w:type="pct"/>
            <w:gridSpan w:val="4"/>
            <w:noWrap w:val="0"/>
            <w:vAlign w:val="center"/>
          </w:tcPr>
          <w:p w14:paraId="0551EDB5">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P4 </w:t>
            </w:r>
            <w:r>
              <w:rPr>
                <w:rFonts w:hint="default" w:ascii="Times New Roman" w:hAnsi="Times New Roman" w:eastAsia="宋体" w:cs="Times New Roman"/>
                <w:kern w:val="2"/>
                <w:sz w:val="18"/>
                <w:szCs w:val="21"/>
                <w:highlight w:val="none"/>
              </w:rPr>
              <w:sym w:font="Wingdings 2" w:char="00A3"/>
            </w:r>
          </w:p>
        </w:tc>
      </w:tr>
      <w:tr w14:paraId="5A9D8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5" w:type="pct"/>
            <w:gridSpan w:val="2"/>
            <w:vMerge w:val="restart"/>
            <w:noWrap w:val="0"/>
            <w:vAlign w:val="center"/>
          </w:tcPr>
          <w:p w14:paraId="08A24312">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环境敏感程度</w:t>
            </w:r>
          </w:p>
        </w:tc>
        <w:tc>
          <w:tcPr>
            <w:tcW w:w="561" w:type="pct"/>
            <w:noWrap w:val="0"/>
            <w:vAlign w:val="center"/>
          </w:tcPr>
          <w:p w14:paraId="2D6D8203">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大气</w:t>
            </w:r>
          </w:p>
        </w:tc>
        <w:tc>
          <w:tcPr>
            <w:tcW w:w="1026" w:type="pct"/>
            <w:gridSpan w:val="6"/>
            <w:noWrap w:val="0"/>
            <w:vAlign w:val="center"/>
          </w:tcPr>
          <w:p w14:paraId="64700913">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E1 □</w:t>
            </w:r>
          </w:p>
        </w:tc>
        <w:tc>
          <w:tcPr>
            <w:tcW w:w="1031" w:type="pct"/>
            <w:gridSpan w:val="7"/>
            <w:noWrap w:val="0"/>
            <w:vAlign w:val="center"/>
          </w:tcPr>
          <w:p w14:paraId="788712E9">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E2 </w:t>
            </w:r>
            <w:r>
              <w:rPr>
                <w:rFonts w:hint="default" w:ascii="Times New Roman" w:hAnsi="Times New Roman" w:eastAsia="宋体" w:cs="Times New Roman"/>
                <w:kern w:val="2"/>
                <w:sz w:val="18"/>
                <w:szCs w:val="21"/>
                <w:highlight w:val="none"/>
              </w:rPr>
              <w:sym w:font="Wingdings 2" w:char="00A3"/>
            </w:r>
          </w:p>
        </w:tc>
        <w:tc>
          <w:tcPr>
            <w:tcW w:w="1065" w:type="pct"/>
            <w:gridSpan w:val="6"/>
            <w:noWrap w:val="0"/>
            <w:vAlign w:val="center"/>
          </w:tcPr>
          <w:p w14:paraId="659EE11D">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E3 </w:t>
            </w:r>
            <w:r>
              <w:rPr>
                <w:rFonts w:hint="default" w:ascii="Times New Roman" w:hAnsi="Times New Roman" w:eastAsia="宋体" w:cs="Times New Roman"/>
                <w:kern w:val="2"/>
                <w:sz w:val="18"/>
                <w:szCs w:val="21"/>
                <w:highlight w:val="none"/>
              </w:rPr>
              <w:sym w:font="Wingdings 2" w:char="00A3"/>
            </w:r>
          </w:p>
        </w:tc>
      </w:tr>
      <w:tr w14:paraId="4ECCE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5" w:type="pct"/>
            <w:gridSpan w:val="2"/>
            <w:vMerge w:val="continue"/>
            <w:noWrap w:val="0"/>
            <w:vAlign w:val="center"/>
          </w:tcPr>
          <w:p w14:paraId="0F1C0973">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561" w:type="pct"/>
            <w:noWrap w:val="0"/>
            <w:vAlign w:val="center"/>
          </w:tcPr>
          <w:p w14:paraId="3F6677B5">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地表水</w:t>
            </w:r>
          </w:p>
        </w:tc>
        <w:tc>
          <w:tcPr>
            <w:tcW w:w="1026" w:type="pct"/>
            <w:gridSpan w:val="6"/>
            <w:noWrap w:val="0"/>
            <w:vAlign w:val="center"/>
          </w:tcPr>
          <w:p w14:paraId="0A33D28F">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E1 □</w:t>
            </w:r>
          </w:p>
        </w:tc>
        <w:tc>
          <w:tcPr>
            <w:tcW w:w="1031" w:type="pct"/>
            <w:gridSpan w:val="7"/>
            <w:noWrap w:val="0"/>
            <w:vAlign w:val="center"/>
          </w:tcPr>
          <w:p w14:paraId="5926DA59">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E2 □</w:t>
            </w:r>
          </w:p>
        </w:tc>
        <w:tc>
          <w:tcPr>
            <w:tcW w:w="1065" w:type="pct"/>
            <w:gridSpan w:val="6"/>
            <w:noWrap w:val="0"/>
            <w:vAlign w:val="center"/>
          </w:tcPr>
          <w:p w14:paraId="647B6928">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E3 </w:t>
            </w:r>
            <w:r>
              <w:rPr>
                <w:rFonts w:hint="default" w:ascii="Times New Roman" w:hAnsi="Times New Roman" w:eastAsia="宋体" w:cs="Times New Roman"/>
                <w:kern w:val="2"/>
                <w:sz w:val="18"/>
                <w:szCs w:val="21"/>
                <w:highlight w:val="none"/>
              </w:rPr>
              <w:sym w:font="Wingdings 2" w:char="00A3"/>
            </w:r>
          </w:p>
        </w:tc>
      </w:tr>
      <w:tr w14:paraId="18C8A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5" w:type="pct"/>
            <w:gridSpan w:val="2"/>
            <w:vMerge w:val="continue"/>
            <w:noWrap w:val="0"/>
            <w:vAlign w:val="center"/>
          </w:tcPr>
          <w:p w14:paraId="627D53F8">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561" w:type="pct"/>
            <w:noWrap w:val="0"/>
            <w:vAlign w:val="center"/>
          </w:tcPr>
          <w:p w14:paraId="48B06E5A">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地下水</w:t>
            </w:r>
          </w:p>
        </w:tc>
        <w:tc>
          <w:tcPr>
            <w:tcW w:w="1026" w:type="pct"/>
            <w:gridSpan w:val="6"/>
            <w:noWrap w:val="0"/>
            <w:vAlign w:val="center"/>
          </w:tcPr>
          <w:p w14:paraId="6CBDD5B4">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E1 □</w:t>
            </w:r>
          </w:p>
        </w:tc>
        <w:tc>
          <w:tcPr>
            <w:tcW w:w="1031" w:type="pct"/>
            <w:gridSpan w:val="7"/>
            <w:noWrap w:val="0"/>
            <w:vAlign w:val="center"/>
          </w:tcPr>
          <w:p w14:paraId="016601D3">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E2 </w:t>
            </w:r>
            <w:r>
              <w:rPr>
                <w:rFonts w:hint="default" w:ascii="Times New Roman" w:hAnsi="Times New Roman" w:eastAsia="宋体" w:cs="Times New Roman"/>
                <w:kern w:val="2"/>
                <w:sz w:val="18"/>
                <w:szCs w:val="21"/>
                <w:highlight w:val="none"/>
              </w:rPr>
              <w:sym w:font="Wingdings 2" w:char="00A3"/>
            </w:r>
          </w:p>
        </w:tc>
        <w:tc>
          <w:tcPr>
            <w:tcW w:w="1065" w:type="pct"/>
            <w:gridSpan w:val="6"/>
            <w:noWrap w:val="0"/>
            <w:vAlign w:val="center"/>
          </w:tcPr>
          <w:p w14:paraId="2AFFAFA9">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E3 </w:t>
            </w:r>
            <w:r>
              <w:rPr>
                <w:rFonts w:hint="default" w:ascii="Times New Roman" w:hAnsi="Times New Roman" w:eastAsia="宋体" w:cs="Times New Roman"/>
                <w:kern w:val="2"/>
                <w:sz w:val="18"/>
                <w:szCs w:val="21"/>
                <w:highlight w:val="none"/>
              </w:rPr>
              <w:sym w:font="Wingdings 2" w:char="00A3"/>
            </w:r>
          </w:p>
        </w:tc>
      </w:tr>
      <w:tr w14:paraId="499A8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5" w:type="pct"/>
            <w:gridSpan w:val="2"/>
            <w:noWrap w:val="0"/>
            <w:vAlign w:val="center"/>
          </w:tcPr>
          <w:p w14:paraId="2B52F20E">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环境风险潜势</w:t>
            </w:r>
          </w:p>
        </w:tc>
        <w:tc>
          <w:tcPr>
            <w:tcW w:w="734" w:type="pct"/>
            <w:gridSpan w:val="2"/>
            <w:noWrap w:val="0"/>
            <w:vAlign w:val="center"/>
          </w:tcPr>
          <w:p w14:paraId="5223017D">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Ⅳ+ □</w:t>
            </w:r>
          </w:p>
        </w:tc>
        <w:tc>
          <w:tcPr>
            <w:tcW w:w="724" w:type="pct"/>
            <w:gridSpan w:val="4"/>
            <w:noWrap w:val="0"/>
            <w:vAlign w:val="center"/>
          </w:tcPr>
          <w:p w14:paraId="6E76A0F7">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Ⅳ □</w:t>
            </w:r>
          </w:p>
        </w:tc>
        <w:tc>
          <w:tcPr>
            <w:tcW w:w="731" w:type="pct"/>
            <w:gridSpan w:val="5"/>
            <w:noWrap w:val="0"/>
            <w:vAlign w:val="center"/>
          </w:tcPr>
          <w:p w14:paraId="408949CF">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Ⅲ □</w:t>
            </w:r>
          </w:p>
        </w:tc>
        <w:tc>
          <w:tcPr>
            <w:tcW w:w="730" w:type="pct"/>
            <w:gridSpan w:val="7"/>
            <w:noWrap w:val="0"/>
            <w:vAlign w:val="center"/>
          </w:tcPr>
          <w:p w14:paraId="0088EE84">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Ⅱ </w:t>
            </w:r>
            <w:r>
              <w:rPr>
                <w:rFonts w:hint="default" w:ascii="Times New Roman" w:hAnsi="Times New Roman" w:eastAsia="宋体" w:cs="Times New Roman"/>
                <w:kern w:val="2"/>
                <w:sz w:val="18"/>
                <w:szCs w:val="21"/>
                <w:highlight w:val="none"/>
              </w:rPr>
              <w:sym w:font="Wingdings 2" w:char="00A3"/>
            </w:r>
          </w:p>
        </w:tc>
        <w:tc>
          <w:tcPr>
            <w:tcW w:w="764" w:type="pct"/>
            <w:gridSpan w:val="2"/>
            <w:noWrap w:val="0"/>
            <w:vAlign w:val="center"/>
          </w:tcPr>
          <w:p w14:paraId="7CF85864">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I </w:t>
            </w:r>
            <w:r>
              <w:rPr>
                <w:rFonts w:hint="default" w:ascii="Times New Roman" w:hAnsi="Times New Roman" w:eastAsia="宋体" w:cs="Times New Roman"/>
                <w:kern w:val="2"/>
                <w:sz w:val="18"/>
                <w:szCs w:val="21"/>
                <w:highlight w:val="none"/>
              </w:rPr>
              <w:sym w:font="Wingdings 2" w:char="0052"/>
            </w:r>
          </w:p>
        </w:tc>
      </w:tr>
      <w:tr w14:paraId="17BB7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5" w:type="pct"/>
            <w:gridSpan w:val="2"/>
            <w:noWrap w:val="0"/>
            <w:vAlign w:val="center"/>
          </w:tcPr>
          <w:p w14:paraId="5811DB13">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评价等级</w:t>
            </w:r>
          </w:p>
        </w:tc>
        <w:tc>
          <w:tcPr>
            <w:tcW w:w="919" w:type="pct"/>
            <w:gridSpan w:val="3"/>
            <w:noWrap w:val="0"/>
            <w:vAlign w:val="center"/>
          </w:tcPr>
          <w:p w14:paraId="37285CC3">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一级 □</w:t>
            </w:r>
          </w:p>
        </w:tc>
        <w:tc>
          <w:tcPr>
            <w:tcW w:w="916" w:type="pct"/>
            <w:gridSpan w:val="6"/>
            <w:noWrap w:val="0"/>
            <w:vAlign w:val="center"/>
          </w:tcPr>
          <w:p w14:paraId="7681A9CF">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二级 □</w:t>
            </w:r>
          </w:p>
        </w:tc>
        <w:tc>
          <w:tcPr>
            <w:tcW w:w="911" w:type="pct"/>
            <w:gridSpan w:val="6"/>
            <w:noWrap w:val="0"/>
            <w:vAlign w:val="center"/>
          </w:tcPr>
          <w:p w14:paraId="4098F217">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三级 </w:t>
            </w:r>
            <w:r>
              <w:rPr>
                <w:rFonts w:hint="default" w:ascii="Times New Roman" w:hAnsi="Times New Roman" w:eastAsia="宋体" w:cs="Times New Roman"/>
                <w:kern w:val="2"/>
                <w:sz w:val="18"/>
                <w:szCs w:val="21"/>
                <w:highlight w:val="none"/>
              </w:rPr>
              <w:sym w:font="Wingdings 2" w:char="00A3"/>
            </w:r>
          </w:p>
        </w:tc>
        <w:tc>
          <w:tcPr>
            <w:tcW w:w="937" w:type="pct"/>
            <w:gridSpan w:val="5"/>
            <w:noWrap w:val="0"/>
            <w:vAlign w:val="center"/>
          </w:tcPr>
          <w:p w14:paraId="3E8F88F7">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简单分析 </w:t>
            </w:r>
            <w:r>
              <w:rPr>
                <w:rFonts w:hint="default" w:ascii="Times New Roman" w:hAnsi="Times New Roman" w:eastAsia="宋体" w:cs="Times New Roman"/>
                <w:kern w:val="2"/>
                <w:sz w:val="18"/>
                <w:szCs w:val="21"/>
                <w:highlight w:val="none"/>
              </w:rPr>
              <w:sym w:font="Wingdings 2" w:char="0052"/>
            </w:r>
          </w:p>
        </w:tc>
      </w:tr>
      <w:tr w14:paraId="360AB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8" w:type="pct"/>
            <w:vMerge w:val="restart"/>
            <w:noWrap w:val="0"/>
            <w:vAlign w:val="center"/>
          </w:tcPr>
          <w:p w14:paraId="46CCD85D">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风险识别</w:t>
            </w:r>
          </w:p>
        </w:tc>
        <w:tc>
          <w:tcPr>
            <w:tcW w:w="766" w:type="pct"/>
            <w:noWrap w:val="0"/>
            <w:vAlign w:val="center"/>
          </w:tcPr>
          <w:p w14:paraId="5937D72B">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物质危险性</w:t>
            </w:r>
          </w:p>
        </w:tc>
        <w:tc>
          <w:tcPr>
            <w:tcW w:w="1835" w:type="pct"/>
            <w:gridSpan w:val="9"/>
            <w:noWrap w:val="0"/>
            <w:vAlign w:val="center"/>
          </w:tcPr>
          <w:p w14:paraId="324AECA9">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有毒有害 </w:t>
            </w:r>
            <w:r>
              <w:rPr>
                <w:rFonts w:hint="default" w:ascii="Times New Roman" w:hAnsi="Times New Roman" w:eastAsia="宋体" w:cs="Times New Roman"/>
                <w:kern w:val="2"/>
                <w:sz w:val="18"/>
                <w:szCs w:val="21"/>
                <w:highlight w:val="none"/>
              </w:rPr>
              <w:sym w:font="Wingdings 2" w:char="0052"/>
            </w:r>
          </w:p>
        </w:tc>
        <w:tc>
          <w:tcPr>
            <w:tcW w:w="1849" w:type="pct"/>
            <w:gridSpan w:val="11"/>
            <w:noWrap w:val="0"/>
            <w:vAlign w:val="center"/>
          </w:tcPr>
          <w:p w14:paraId="5B080AB5">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易燃易爆 </w:t>
            </w:r>
            <w:r>
              <w:rPr>
                <w:rFonts w:hint="default" w:ascii="Times New Roman" w:hAnsi="Times New Roman" w:eastAsia="宋体" w:cs="Times New Roman"/>
                <w:kern w:val="2"/>
                <w:sz w:val="18"/>
                <w:szCs w:val="21"/>
                <w:highlight w:val="none"/>
              </w:rPr>
              <w:sym w:font="Wingdings 2" w:char="0052"/>
            </w:r>
          </w:p>
        </w:tc>
      </w:tr>
      <w:tr w14:paraId="4C08C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8" w:type="pct"/>
            <w:vMerge w:val="continue"/>
            <w:noWrap w:val="0"/>
            <w:vAlign w:val="center"/>
          </w:tcPr>
          <w:p w14:paraId="5E1418EF">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766" w:type="pct"/>
            <w:noWrap w:val="0"/>
            <w:vAlign w:val="center"/>
          </w:tcPr>
          <w:p w14:paraId="0D156278">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环境风险类型</w:t>
            </w:r>
          </w:p>
        </w:tc>
        <w:tc>
          <w:tcPr>
            <w:tcW w:w="1835" w:type="pct"/>
            <w:gridSpan w:val="9"/>
            <w:noWrap w:val="0"/>
            <w:vAlign w:val="center"/>
          </w:tcPr>
          <w:p w14:paraId="4C206B8E">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泄漏 </w:t>
            </w:r>
            <w:r>
              <w:rPr>
                <w:rFonts w:hint="default" w:ascii="Times New Roman" w:hAnsi="Times New Roman" w:eastAsia="宋体" w:cs="Times New Roman"/>
                <w:kern w:val="2"/>
                <w:sz w:val="18"/>
                <w:szCs w:val="21"/>
                <w:highlight w:val="none"/>
              </w:rPr>
              <w:sym w:font="Wingdings 2" w:char="0052"/>
            </w:r>
            <w:r>
              <w:rPr>
                <w:rFonts w:hint="default" w:ascii="Times New Roman" w:hAnsi="Times New Roman" w:eastAsia="宋体" w:cs="Times New Roman"/>
                <w:kern w:val="2"/>
                <w:sz w:val="18"/>
                <w:szCs w:val="21"/>
                <w:highlight w:val="none"/>
              </w:rPr>
              <w:t xml:space="preserve"> </w:t>
            </w:r>
          </w:p>
        </w:tc>
        <w:tc>
          <w:tcPr>
            <w:tcW w:w="1849" w:type="pct"/>
            <w:gridSpan w:val="11"/>
            <w:noWrap w:val="0"/>
            <w:vAlign w:val="center"/>
          </w:tcPr>
          <w:p w14:paraId="5D9C1A32">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火灾、爆炸引发伴生/次生污染物排放 </w:t>
            </w:r>
            <w:r>
              <w:rPr>
                <w:rFonts w:hint="default" w:ascii="Times New Roman" w:hAnsi="Times New Roman" w:eastAsia="宋体" w:cs="Times New Roman"/>
                <w:kern w:val="2"/>
                <w:sz w:val="18"/>
                <w:szCs w:val="21"/>
                <w:highlight w:val="none"/>
              </w:rPr>
              <w:sym w:font="Wingdings 2" w:char="0052"/>
            </w:r>
          </w:p>
        </w:tc>
      </w:tr>
      <w:tr w14:paraId="3F237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548" w:type="pct"/>
            <w:vMerge w:val="continue"/>
            <w:noWrap w:val="0"/>
            <w:vAlign w:val="center"/>
          </w:tcPr>
          <w:p w14:paraId="307519B4">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766" w:type="pct"/>
            <w:noWrap w:val="0"/>
            <w:vAlign w:val="center"/>
          </w:tcPr>
          <w:p w14:paraId="1BF7F71B">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影响途径</w:t>
            </w:r>
          </w:p>
        </w:tc>
        <w:tc>
          <w:tcPr>
            <w:tcW w:w="1221" w:type="pct"/>
            <w:gridSpan w:val="5"/>
            <w:noWrap w:val="0"/>
            <w:vAlign w:val="center"/>
          </w:tcPr>
          <w:p w14:paraId="2F2556F2">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大气 </w:t>
            </w:r>
            <w:r>
              <w:rPr>
                <w:rFonts w:hint="default" w:ascii="Times New Roman" w:hAnsi="Times New Roman" w:eastAsia="宋体" w:cs="Times New Roman"/>
                <w:kern w:val="2"/>
                <w:sz w:val="18"/>
                <w:szCs w:val="21"/>
                <w:highlight w:val="none"/>
              </w:rPr>
              <w:sym w:font="Wingdings 2" w:char="0052"/>
            </w:r>
          </w:p>
        </w:tc>
        <w:tc>
          <w:tcPr>
            <w:tcW w:w="1216" w:type="pct"/>
            <w:gridSpan w:val="7"/>
            <w:noWrap w:val="0"/>
            <w:vAlign w:val="center"/>
          </w:tcPr>
          <w:p w14:paraId="5613CCEE">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地表水 </w:t>
            </w:r>
            <w:r>
              <w:rPr>
                <w:rFonts w:hint="default" w:ascii="Times New Roman" w:hAnsi="Times New Roman" w:eastAsia="宋体" w:cs="Times New Roman"/>
                <w:kern w:val="2"/>
                <w:sz w:val="18"/>
                <w:szCs w:val="21"/>
                <w:highlight w:val="none"/>
              </w:rPr>
              <w:sym w:font="Wingdings 2" w:char="00A3"/>
            </w:r>
          </w:p>
        </w:tc>
        <w:tc>
          <w:tcPr>
            <w:tcW w:w="1246" w:type="pct"/>
            <w:gridSpan w:val="8"/>
            <w:noWrap w:val="0"/>
            <w:vAlign w:val="center"/>
          </w:tcPr>
          <w:p w14:paraId="3747C530">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地下水 </w:t>
            </w:r>
            <w:r>
              <w:rPr>
                <w:rFonts w:hint="default" w:ascii="Times New Roman" w:hAnsi="Times New Roman" w:eastAsia="宋体" w:cs="Times New Roman"/>
                <w:kern w:val="2"/>
                <w:sz w:val="18"/>
                <w:szCs w:val="21"/>
                <w:highlight w:val="none"/>
              </w:rPr>
              <w:sym w:font="Wingdings 2" w:char="0052"/>
            </w:r>
          </w:p>
        </w:tc>
      </w:tr>
      <w:tr w14:paraId="7F290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315" w:type="pct"/>
            <w:gridSpan w:val="2"/>
            <w:noWrap w:val="0"/>
            <w:vAlign w:val="center"/>
          </w:tcPr>
          <w:p w14:paraId="74936701">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事故情形分析 </w:t>
            </w:r>
          </w:p>
        </w:tc>
        <w:tc>
          <w:tcPr>
            <w:tcW w:w="919" w:type="pct"/>
            <w:gridSpan w:val="3"/>
            <w:noWrap w:val="0"/>
            <w:vAlign w:val="center"/>
          </w:tcPr>
          <w:p w14:paraId="03BBC37D">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源强设定方法</w:t>
            </w:r>
          </w:p>
        </w:tc>
        <w:tc>
          <w:tcPr>
            <w:tcW w:w="916" w:type="pct"/>
            <w:gridSpan w:val="6"/>
            <w:noWrap w:val="0"/>
            <w:vAlign w:val="center"/>
          </w:tcPr>
          <w:p w14:paraId="099FDE84">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计算法 </w:t>
            </w:r>
            <w:r>
              <w:rPr>
                <w:rFonts w:hint="default" w:ascii="Times New Roman" w:hAnsi="Times New Roman" w:eastAsia="宋体" w:cs="Times New Roman"/>
                <w:kern w:val="2"/>
                <w:sz w:val="18"/>
                <w:szCs w:val="21"/>
                <w:highlight w:val="none"/>
              </w:rPr>
              <w:sym w:font="Wingdings 2" w:char="00A3"/>
            </w:r>
          </w:p>
        </w:tc>
        <w:tc>
          <w:tcPr>
            <w:tcW w:w="911" w:type="pct"/>
            <w:gridSpan w:val="6"/>
            <w:noWrap w:val="0"/>
            <w:vAlign w:val="center"/>
          </w:tcPr>
          <w:p w14:paraId="221C2A43">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经验估算法 </w:t>
            </w:r>
            <w:r>
              <w:rPr>
                <w:rFonts w:hint="default" w:ascii="Times New Roman" w:hAnsi="Times New Roman" w:eastAsia="宋体" w:cs="Times New Roman"/>
                <w:kern w:val="2"/>
                <w:sz w:val="18"/>
                <w:szCs w:val="21"/>
                <w:highlight w:val="none"/>
              </w:rPr>
              <w:sym w:font="Wingdings 2" w:char="0052"/>
            </w:r>
          </w:p>
        </w:tc>
        <w:tc>
          <w:tcPr>
            <w:tcW w:w="937" w:type="pct"/>
            <w:gridSpan w:val="5"/>
            <w:noWrap w:val="0"/>
            <w:vAlign w:val="center"/>
          </w:tcPr>
          <w:p w14:paraId="700FFAE1">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其他估算法 □</w:t>
            </w:r>
          </w:p>
        </w:tc>
      </w:tr>
      <w:tr w14:paraId="00DDD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548" w:type="pct"/>
            <w:vMerge w:val="restart"/>
            <w:noWrap w:val="0"/>
            <w:vAlign w:val="center"/>
          </w:tcPr>
          <w:p w14:paraId="764DD181">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风险预测</w:t>
            </w:r>
          </w:p>
          <w:p w14:paraId="3C622CE3">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与评价</w:t>
            </w:r>
          </w:p>
        </w:tc>
        <w:tc>
          <w:tcPr>
            <w:tcW w:w="766" w:type="pct"/>
            <w:vMerge w:val="restart"/>
            <w:noWrap w:val="0"/>
            <w:vAlign w:val="center"/>
          </w:tcPr>
          <w:p w14:paraId="302530A6">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大气</w:t>
            </w:r>
          </w:p>
        </w:tc>
        <w:tc>
          <w:tcPr>
            <w:tcW w:w="919" w:type="pct"/>
            <w:gridSpan w:val="3"/>
            <w:noWrap w:val="0"/>
            <w:vAlign w:val="center"/>
          </w:tcPr>
          <w:p w14:paraId="3245CD03">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预测模型</w:t>
            </w:r>
          </w:p>
        </w:tc>
        <w:tc>
          <w:tcPr>
            <w:tcW w:w="916" w:type="pct"/>
            <w:gridSpan w:val="6"/>
            <w:noWrap w:val="0"/>
            <w:vAlign w:val="center"/>
          </w:tcPr>
          <w:p w14:paraId="2A3A636C">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SLAB □</w:t>
            </w:r>
          </w:p>
        </w:tc>
        <w:tc>
          <w:tcPr>
            <w:tcW w:w="911" w:type="pct"/>
            <w:gridSpan w:val="6"/>
            <w:noWrap w:val="0"/>
            <w:vAlign w:val="center"/>
          </w:tcPr>
          <w:p w14:paraId="6CFC709C">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AFTOX </w:t>
            </w:r>
            <w:r>
              <w:rPr>
                <w:rFonts w:hint="default" w:ascii="Times New Roman" w:hAnsi="Times New Roman" w:eastAsia="宋体" w:cs="Times New Roman"/>
                <w:kern w:val="2"/>
                <w:sz w:val="18"/>
                <w:szCs w:val="21"/>
                <w:highlight w:val="none"/>
              </w:rPr>
              <w:sym w:font="Wingdings 2" w:char="00A3"/>
            </w:r>
          </w:p>
        </w:tc>
        <w:tc>
          <w:tcPr>
            <w:tcW w:w="937" w:type="pct"/>
            <w:gridSpan w:val="5"/>
            <w:noWrap w:val="0"/>
            <w:vAlign w:val="center"/>
          </w:tcPr>
          <w:p w14:paraId="3752E50D">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其他 □</w:t>
            </w:r>
          </w:p>
        </w:tc>
      </w:tr>
      <w:tr w14:paraId="2A735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48" w:type="pct"/>
            <w:vMerge w:val="continue"/>
            <w:noWrap w:val="0"/>
            <w:vAlign w:val="center"/>
          </w:tcPr>
          <w:p w14:paraId="7B3373E7">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766" w:type="pct"/>
            <w:vMerge w:val="continue"/>
            <w:noWrap w:val="0"/>
            <w:vAlign w:val="center"/>
          </w:tcPr>
          <w:p w14:paraId="6392DA9F">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919" w:type="pct"/>
            <w:gridSpan w:val="3"/>
            <w:vMerge w:val="restart"/>
            <w:noWrap w:val="0"/>
            <w:vAlign w:val="center"/>
          </w:tcPr>
          <w:p w14:paraId="24BE3CDD">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预测结果</w:t>
            </w:r>
          </w:p>
        </w:tc>
        <w:tc>
          <w:tcPr>
            <w:tcW w:w="2765" w:type="pct"/>
            <w:gridSpan w:val="17"/>
            <w:noWrap w:val="0"/>
            <w:vAlign w:val="center"/>
          </w:tcPr>
          <w:p w14:paraId="2A57D019">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大气毒性终点浓度-1 最大影响范围  </w:t>
            </w:r>
            <w:r>
              <w:rPr>
                <w:rFonts w:hint="default" w:ascii="Times New Roman" w:hAnsi="Times New Roman" w:eastAsia="宋体" w:cs="Times New Roman"/>
                <w:kern w:val="2"/>
                <w:sz w:val="18"/>
                <w:szCs w:val="21"/>
                <w:highlight w:val="none"/>
                <w:lang w:val="en-US" w:eastAsia="zh-CN"/>
              </w:rPr>
              <w:t xml:space="preserve">/ </w:t>
            </w:r>
            <w:r>
              <w:rPr>
                <w:rFonts w:hint="default" w:ascii="Times New Roman" w:hAnsi="Times New Roman" w:eastAsia="宋体" w:cs="Times New Roman"/>
                <w:kern w:val="2"/>
                <w:sz w:val="18"/>
                <w:szCs w:val="21"/>
                <w:highlight w:val="none"/>
              </w:rPr>
              <w:t xml:space="preserve"> m</w:t>
            </w:r>
          </w:p>
        </w:tc>
      </w:tr>
      <w:tr w14:paraId="0BCE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48" w:type="pct"/>
            <w:vMerge w:val="continue"/>
            <w:noWrap w:val="0"/>
            <w:vAlign w:val="center"/>
          </w:tcPr>
          <w:p w14:paraId="7B2F675A">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766" w:type="pct"/>
            <w:vMerge w:val="continue"/>
            <w:noWrap w:val="0"/>
            <w:vAlign w:val="center"/>
          </w:tcPr>
          <w:p w14:paraId="1BD5B2C5">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919" w:type="pct"/>
            <w:gridSpan w:val="3"/>
            <w:vMerge w:val="continue"/>
            <w:noWrap w:val="0"/>
            <w:vAlign w:val="center"/>
          </w:tcPr>
          <w:p w14:paraId="01D24D5D">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2765" w:type="pct"/>
            <w:gridSpan w:val="17"/>
            <w:noWrap w:val="0"/>
            <w:vAlign w:val="center"/>
          </w:tcPr>
          <w:p w14:paraId="1F2B2C38">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大气毒性终点浓度-2 最大影响范围 </w:t>
            </w:r>
            <w:r>
              <w:rPr>
                <w:rFonts w:hint="default" w:ascii="Times New Roman" w:hAnsi="Times New Roman" w:eastAsia="宋体" w:cs="Times New Roman"/>
                <w:kern w:val="2"/>
                <w:sz w:val="18"/>
                <w:szCs w:val="21"/>
                <w:highlight w:val="none"/>
                <w:lang w:val="en-US" w:eastAsia="zh-CN"/>
              </w:rPr>
              <w:t>/</w:t>
            </w:r>
            <w:r>
              <w:rPr>
                <w:rFonts w:hint="default" w:ascii="Times New Roman" w:hAnsi="Times New Roman" w:eastAsia="宋体" w:cs="Times New Roman"/>
                <w:kern w:val="2"/>
                <w:sz w:val="18"/>
                <w:szCs w:val="21"/>
                <w:highlight w:val="none"/>
              </w:rPr>
              <w:t xml:space="preserve">  m</w:t>
            </w:r>
          </w:p>
        </w:tc>
      </w:tr>
      <w:tr w14:paraId="19E21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8" w:type="pct"/>
            <w:vMerge w:val="continue"/>
            <w:noWrap w:val="0"/>
            <w:vAlign w:val="center"/>
          </w:tcPr>
          <w:p w14:paraId="46687CE9">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766" w:type="pct"/>
            <w:noWrap w:val="0"/>
            <w:vAlign w:val="center"/>
          </w:tcPr>
          <w:p w14:paraId="644AEBE8">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地表水</w:t>
            </w:r>
          </w:p>
        </w:tc>
        <w:tc>
          <w:tcPr>
            <w:tcW w:w="3684" w:type="pct"/>
            <w:gridSpan w:val="20"/>
            <w:noWrap w:val="0"/>
            <w:vAlign w:val="center"/>
          </w:tcPr>
          <w:p w14:paraId="2BECB6CC">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最近环境敏感目标   </w:t>
            </w:r>
            <w:r>
              <w:rPr>
                <w:rFonts w:hint="default" w:ascii="Times New Roman" w:hAnsi="Times New Roman" w:eastAsia="宋体" w:cs="Times New Roman"/>
                <w:kern w:val="2"/>
                <w:sz w:val="18"/>
                <w:szCs w:val="21"/>
                <w:highlight w:val="none"/>
                <w:lang w:val="en-US" w:eastAsia="zh-CN"/>
              </w:rPr>
              <w:t>/</w:t>
            </w:r>
            <w:r>
              <w:rPr>
                <w:rFonts w:hint="default" w:ascii="Times New Roman" w:hAnsi="Times New Roman" w:eastAsia="宋体" w:cs="Times New Roman"/>
                <w:kern w:val="2"/>
                <w:sz w:val="18"/>
                <w:szCs w:val="21"/>
                <w:highlight w:val="none"/>
              </w:rPr>
              <w:t xml:space="preserve">   ，到达时间    </w:t>
            </w:r>
            <w:r>
              <w:rPr>
                <w:rFonts w:hint="default" w:ascii="Times New Roman" w:hAnsi="Times New Roman" w:eastAsia="宋体" w:cs="Times New Roman"/>
                <w:kern w:val="2"/>
                <w:sz w:val="18"/>
                <w:szCs w:val="21"/>
                <w:highlight w:val="none"/>
                <w:lang w:val="en-US" w:eastAsia="zh-CN"/>
              </w:rPr>
              <w:t>/</w:t>
            </w:r>
            <w:r>
              <w:rPr>
                <w:rFonts w:hint="default" w:ascii="Times New Roman" w:hAnsi="Times New Roman" w:eastAsia="宋体" w:cs="Times New Roman"/>
                <w:kern w:val="2"/>
                <w:sz w:val="18"/>
                <w:szCs w:val="21"/>
                <w:highlight w:val="none"/>
              </w:rPr>
              <w:t xml:space="preserve">  h</w:t>
            </w:r>
          </w:p>
        </w:tc>
      </w:tr>
      <w:tr w14:paraId="70DF2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548" w:type="pct"/>
            <w:vMerge w:val="continue"/>
            <w:noWrap w:val="0"/>
            <w:vAlign w:val="center"/>
          </w:tcPr>
          <w:p w14:paraId="1B7FBE82">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766" w:type="pct"/>
            <w:vMerge w:val="restart"/>
            <w:noWrap w:val="0"/>
            <w:vAlign w:val="center"/>
          </w:tcPr>
          <w:p w14:paraId="1C5C6BD8">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地下水</w:t>
            </w:r>
          </w:p>
        </w:tc>
        <w:tc>
          <w:tcPr>
            <w:tcW w:w="3684" w:type="pct"/>
            <w:gridSpan w:val="20"/>
            <w:noWrap w:val="0"/>
            <w:vAlign w:val="center"/>
          </w:tcPr>
          <w:p w14:paraId="57268A7C">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下游厂区边界到达时间   </w:t>
            </w:r>
            <w:r>
              <w:rPr>
                <w:rFonts w:hint="default" w:ascii="Times New Roman" w:hAnsi="Times New Roman" w:eastAsia="宋体" w:cs="Times New Roman"/>
                <w:kern w:val="2"/>
                <w:sz w:val="18"/>
                <w:szCs w:val="21"/>
                <w:highlight w:val="none"/>
                <w:lang w:val="en-US" w:eastAsia="zh-CN"/>
              </w:rPr>
              <w:t>/</w:t>
            </w:r>
            <w:r>
              <w:rPr>
                <w:rFonts w:hint="default" w:ascii="Times New Roman" w:hAnsi="Times New Roman" w:eastAsia="宋体" w:cs="Times New Roman"/>
                <w:kern w:val="2"/>
                <w:sz w:val="18"/>
                <w:szCs w:val="21"/>
                <w:highlight w:val="none"/>
              </w:rPr>
              <w:t xml:space="preserve">   d</w:t>
            </w:r>
          </w:p>
        </w:tc>
      </w:tr>
      <w:tr w14:paraId="27174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548" w:type="pct"/>
            <w:vMerge w:val="continue"/>
            <w:noWrap w:val="0"/>
            <w:vAlign w:val="center"/>
          </w:tcPr>
          <w:p w14:paraId="7CB3137A">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766" w:type="pct"/>
            <w:vMerge w:val="continue"/>
            <w:noWrap w:val="0"/>
            <w:vAlign w:val="center"/>
          </w:tcPr>
          <w:p w14:paraId="5E451F5B">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p>
        </w:tc>
        <w:tc>
          <w:tcPr>
            <w:tcW w:w="3684" w:type="pct"/>
            <w:gridSpan w:val="20"/>
            <w:noWrap w:val="0"/>
            <w:vAlign w:val="center"/>
          </w:tcPr>
          <w:p w14:paraId="62BFF672">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 xml:space="preserve">最近环境敏感目标  </w:t>
            </w:r>
            <w:r>
              <w:rPr>
                <w:rFonts w:hint="default" w:ascii="Times New Roman" w:hAnsi="Times New Roman" w:eastAsia="宋体" w:cs="Times New Roman"/>
                <w:kern w:val="2"/>
                <w:sz w:val="18"/>
                <w:szCs w:val="21"/>
                <w:highlight w:val="none"/>
                <w:lang w:val="en-US" w:eastAsia="zh-CN"/>
              </w:rPr>
              <w:t>/</w:t>
            </w:r>
            <w:r>
              <w:rPr>
                <w:rFonts w:hint="default" w:ascii="Times New Roman" w:hAnsi="Times New Roman" w:eastAsia="宋体" w:cs="Times New Roman"/>
                <w:kern w:val="2"/>
                <w:sz w:val="18"/>
                <w:szCs w:val="21"/>
                <w:highlight w:val="none"/>
              </w:rPr>
              <w:t xml:space="preserve">    ，到达时间  </w:t>
            </w:r>
            <w:r>
              <w:rPr>
                <w:rFonts w:hint="default" w:ascii="Times New Roman" w:hAnsi="Times New Roman" w:eastAsia="宋体" w:cs="Times New Roman"/>
                <w:kern w:val="2"/>
                <w:sz w:val="18"/>
                <w:szCs w:val="21"/>
                <w:highlight w:val="none"/>
                <w:lang w:val="en-US" w:eastAsia="zh-CN"/>
              </w:rPr>
              <w:t>/</w:t>
            </w:r>
            <w:r>
              <w:rPr>
                <w:rFonts w:hint="default" w:ascii="Times New Roman" w:hAnsi="Times New Roman" w:eastAsia="宋体" w:cs="Times New Roman"/>
                <w:kern w:val="2"/>
                <w:sz w:val="18"/>
                <w:szCs w:val="21"/>
                <w:highlight w:val="none"/>
              </w:rPr>
              <w:t xml:space="preserve">    d</w:t>
            </w:r>
          </w:p>
        </w:tc>
      </w:tr>
      <w:tr w14:paraId="64EBE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5" w:type="pct"/>
            <w:gridSpan w:val="2"/>
            <w:noWrap w:val="0"/>
            <w:vAlign w:val="center"/>
          </w:tcPr>
          <w:p w14:paraId="58DBE451">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重点风险防范措施</w:t>
            </w:r>
          </w:p>
        </w:tc>
        <w:tc>
          <w:tcPr>
            <w:tcW w:w="3684" w:type="pct"/>
            <w:gridSpan w:val="20"/>
            <w:noWrap w:val="0"/>
            <w:vAlign w:val="center"/>
          </w:tcPr>
          <w:p w14:paraId="18D0842D">
            <w:pPr>
              <w:topLinePunct w:val="0"/>
              <w:adjustRightInd/>
              <w:spacing w:before="31" w:beforeLines="10" w:after="31" w:afterLines="10" w:line="0" w:lineRule="atLeast"/>
              <w:ind w:left="0" w:leftChars="0" w:firstLine="0" w:firstLineChars="0"/>
              <w:jc w:val="both"/>
              <w:rPr>
                <w:rFonts w:hint="default" w:ascii="Times New Roman" w:hAnsi="Times New Roman" w:eastAsia="宋体" w:cs="Times New Roman"/>
                <w:kern w:val="2"/>
                <w:sz w:val="18"/>
                <w:szCs w:val="21"/>
                <w:highlight w:val="none"/>
                <w:lang w:eastAsia="zh-CN"/>
              </w:rPr>
            </w:pPr>
            <w:r>
              <w:rPr>
                <w:rFonts w:hint="default" w:ascii="Times New Roman" w:hAnsi="Times New Roman" w:eastAsia="宋体" w:cs="Times New Roman"/>
                <w:kern w:val="2"/>
                <w:sz w:val="18"/>
                <w:szCs w:val="21"/>
                <w:highlight w:val="none"/>
                <w:lang w:val="en-US" w:eastAsia="zh-CN"/>
              </w:rPr>
              <w:t>本项目机械维修及拆解过程中会产生废矿物油，废矿物油产生量约0.</w:t>
            </w:r>
            <w:r>
              <w:rPr>
                <w:rFonts w:hint="eastAsia" w:ascii="Times New Roman" w:hAnsi="Times New Roman" w:eastAsia="宋体" w:cs="Times New Roman"/>
                <w:kern w:val="2"/>
                <w:sz w:val="18"/>
                <w:szCs w:val="21"/>
                <w:highlight w:val="none"/>
                <w:lang w:val="en-US" w:eastAsia="zh-CN"/>
              </w:rPr>
              <w:t>1</w:t>
            </w:r>
            <w:r>
              <w:rPr>
                <w:rFonts w:hint="default" w:ascii="Times New Roman" w:hAnsi="Times New Roman" w:eastAsia="宋体" w:cs="Times New Roman"/>
                <w:kern w:val="2"/>
                <w:sz w:val="18"/>
                <w:szCs w:val="21"/>
                <w:highlight w:val="none"/>
                <w:lang w:val="en-US" w:eastAsia="zh-CN"/>
              </w:rPr>
              <w:t>t/a，产生量很小，暂存于</w:t>
            </w:r>
            <w:r>
              <w:rPr>
                <w:rFonts w:hint="eastAsia" w:ascii="Times New Roman" w:hAnsi="Times New Roman" w:eastAsia="宋体" w:cs="Times New Roman"/>
                <w:kern w:val="2"/>
                <w:sz w:val="18"/>
                <w:szCs w:val="21"/>
                <w:highlight w:val="none"/>
                <w:lang w:val="en-US" w:eastAsia="zh-CN"/>
              </w:rPr>
              <w:t>危废贮存库</w:t>
            </w:r>
            <w:r>
              <w:rPr>
                <w:rFonts w:hint="default" w:ascii="Times New Roman" w:hAnsi="Times New Roman" w:eastAsia="宋体" w:cs="Times New Roman"/>
                <w:kern w:val="2"/>
                <w:sz w:val="18"/>
                <w:szCs w:val="21"/>
                <w:highlight w:val="none"/>
                <w:lang w:val="en-US" w:eastAsia="zh-CN"/>
              </w:rPr>
              <w:t>，委托有资质的单位统一处理。</w:t>
            </w:r>
          </w:p>
        </w:tc>
      </w:tr>
      <w:tr w14:paraId="212ED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5" w:type="pct"/>
            <w:gridSpan w:val="2"/>
            <w:noWrap w:val="0"/>
            <w:vAlign w:val="center"/>
          </w:tcPr>
          <w:p w14:paraId="01ED1797">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评价结论与建议</w:t>
            </w:r>
          </w:p>
        </w:tc>
        <w:tc>
          <w:tcPr>
            <w:tcW w:w="3684" w:type="pct"/>
            <w:gridSpan w:val="20"/>
            <w:noWrap w:val="0"/>
            <w:vAlign w:val="center"/>
          </w:tcPr>
          <w:p w14:paraId="27FDC7BD">
            <w:pPr>
              <w:topLinePunct w:val="0"/>
              <w:adjustRightInd/>
              <w:spacing w:before="31" w:beforeLines="10" w:after="31" w:afterLines="10" w:line="0" w:lineRule="atLeast"/>
              <w:ind w:left="0" w:leftChars="0" w:firstLine="0" w:firstLineChars="0"/>
              <w:jc w:val="both"/>
              <w:rPr>
                <w:rFonts w:hint="default" w:ascii="Times New Roman" w:hAnsi="Times New Roman" w:eastAsia="宋体" w:cs="Times New Roman"/>
                <w:kern w:val="2"/>
                <w:sz w:val="18"/>
                <w:szCs w:val="21"/>
                <w:highlight w:val="none"/>
                <w:lang w:eastAsia="zh-CN"/>
              </w:rPr>
            </w:pPr>
            <w:r>
              <w:rPr>
                <w:rFonts w:hint="default" w:ascii="Times New Roman" w:hAnsi="Times New Roman" w:eastAsia="宋体" w:cs="Times New Roman"/>
                <w:kern w:val="2"/>
                <w:sz w:val="18"/>
                <w:szCs w:val="21"/>
                <w:highlight w:val="none"/>
              </w:rPr>
              <w:t>针对各类危险物料的性质和可能发生的事故类型，本评价提出相应的风险防范措施和应急预案，在落实报告书中提出的事故风险防范措施，完善应急</w:t>
            </w:r>
            <w:r>
              <w:rPr>
                <w:rFonts w:hint="eastAsia" w:ascii="Times New Roman" w:hAnsi="Times New Roman" w:eastAsia="宋体" w:cs="Times New Roman"/>
                <w:kern w:val="2"/>
                <w:sz w:val="18"/>
                <w:szCs w:val="21"/>
                <w:highlight w:val="none"/>
                <w:lang w:eastAsia="zh-CN"/>
              </w:rPr>
              <w:t>预案</w:t>
            </w:r>
            <w:r>
              <w:rPr>
                <w:rFonts w:hint="default" w:ascii="Times New Roman" w:hAnsi="Times New Roman" w:eastAsia="宋体" w:cs="Times New Roman"/>
                <w:kern w:val="2"/>
                <w:sz w:val="18"/>
                <w:szCs w:val="21"/>
                <w:highlight w:val="none"/>
              </w:rPr>
              <w:t>，严格执行遵守风险管理制度和操作规程，就能保证本项目生产区及贮存区的环境风险防范水平，满足国家有关环境保护和安全法规、标准的要求，使本项目的环境风险达到可接受的水平，本项目环境风险事故为可接受水平</w:t>
            </w:r>
            <w:r>
              <w:rPr>
                <w:rFonts w:hint="default" w:ascii="Times New Roman" w:hAnsi="Times New Roman" w:eastAsia="宋体" w:cs="Times New Roman"/>
                <w:kern w:val="2"/>
                <w:sz w:val="18"/>
                <w:szCs w:val="21"/>
                <w:highlight w:val="none"/>
                <w:lang w:eastAsia="zh-CN"/>
              </w:rPr>
              <w:t>。</w:t>
            </w:r>
          </w:p>
        </w:tc>
      </w:tr>
      <w:tr w14:paraId="7104B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22"/>
            <w:noWrap w:val="0"/>
            <w:vAlign w:val="center"/>
          </w:tcPr>
          <w:p w14:paraId="11A37014">
            <w:pPr>
              <w:topLinePunct w:val="0"/>
              <w:adjustRightInd/>
              <w:spacing w:before="31" w:beforeLines="10" w:after="31" w:afterLines="10" w:line="0" w:lineRule="atLeast"/>
              <w:ind w:left="0" w:leftChars="0" w:firstLine="0" w:firstLineChars="0"/>
              <w:jc w:val="center"/>
              <w:rPr>
                <w:rFonts w:hint="default" w:ascii="Times New Roman" w:hAnsi="Times New Roman" w:eastAsia="宋体" w:cs="Times New Roman"/>
                <w:kern w:val="2"/>
                <w:sz w:val="18"/>
                <w:szCs w:val="21"/>
                <w:highlight w:val="none"/>
              </w:rPr>
            </w:pPr>
            <w:r>
              <w:rPr>
                <w:rFonts w:hint="default" w:ascii="Times New Roman" w:hAnsi="Times New Roman" w:eastAsia="宋体" w:cs="Times New Roman"/>
                <w:kern w:val="2"/>
                <w:sz w:val="18"/>
                <w:szCs w:val="21"/>
                <w:highlight w:val="none"/>
              </w:rPr>
              <w:t>注：“□”为勾选项，“ ”为填写项。</w:t>
            </w:r>
          </w:p>
        </w:tc>
      </w:tr>
    </w:tbl>
    <w:p w14:paraId="40FC93D3">
      <w:pPr>
        <w:widowControl w:val="0"/>
        <w:adjustRightInd w:val="0"/>
        <w:snapToGrid w:val="0"/>
        <w:spacing w:line="360" w:lineRule="exact"/>
        <w:ind w:firstLine="0"/>
        <w:jc w:val="center"/>
        <w:textAlignment w:val="auto"/>
        <w:rPr>
          <w:rFonts w:hint="eastAsia" w:ascii="Times New Roman" w:hAnsi="Times New Roman" w:eastAsia="宋体" w:cs="Times New Roman"/>
          <w:b/>
          <w:kern w:val="2"/>
          <w:sz w:val="21"/>
          <w:szCs w:val="21"/>
          <w:highlight w:val="none"/>
          <w:lang w:val="en-US" w:eastAsia="zh-CN" w:bidi="ar-SA"/>
        </w:rPr>
      </w:pPr>
    </w:p>
    <w:p w14:paraId="320EDBB2">
      <w:pPr>
        <w:widowControl w:val="0"/>
        <w:adjustRightInd w:val="0"/>
        <w:snapToGrid w:val="0"/>
        <w:spacing w:line="360" w:lineRule="exact"/>
        <w:ind w:firstLine="0"/>
        <w:jc w:val="center"/>
        <w:textAlignment w:val="auto"/>
        <w:rPr>
          <w:rFonts w:hint="eastAsia" w:ascii="Times New Roman" w:hAnsi="Times New Roman" w:eastAsia="宋体" w:cs="Times New Roman"/>
          <w:b/>
          <w:kern w:val="2"/>
          <w:sz w:val="21"/>
          <w:szCs w:val="21"/>
          <w:highlight w:val="none"/>
          <w:lang w:val="en-US" w:eastAsia="zh-CN" w:bidi="ar-SA"/>
        </w:rPr>
      </w:pPr>
    </w:p>
    <w:p w14:paraId="52C9506E">
      <w:pPr>
        <w:widowControl w:val="0"/>
        <w:adjustRightInd w:val="0"/>
        <w:snapToGrid w:val="0"/>
        <w:spacing w:line="360" w:lineRule="exact"/>
        <w:ind w:firstLine="0"/>
        <w:jc w:val="center"/>
        <w:textAlignment w:val="auto"/>
        <w:rPr>
          <w:rFonts w:ascii="Times New Roman" w:hAnsi="Times New Roman" w:eastAsia="宋体" w:cs="Times New Roman"/>
          <w:b/>
          <w:kern w:val="2"/>
          <w:sz w:val="21"/>
          <w:szCs w:val="21"/>
          <w:highlight w:val="none"/>
          <w:lang w:val="en-US" w:eastAsia="zh-CN" w:bidi="ar-SA"/>
        </w:rPr>
      </w:pPr>
      <w:r>
        <w:rPr>
          <w:rFonts w:hint="eastAsia" w:ascii="Times New Roman" w:hAnsi="Times New Roman" w:eastAsia="宋体" w:cs="Times New Roman"/>
          <w:b/>
          <w:kern w:val="2"/>
          <w:sz w:val="21"/>
          <w:szCs w:val="21"/>
          <w:highlight w:val="none"/>
          <w:lang w:val="en-US" w:eastAsia="zh-CN" w:bidi="ar-SA"/>
        </w:rPr>
        <w:t>附表6 土壤</w:t>
      </w:r>
      <w:r>
        <w:rPr>
          <w:rFonts w:ascii="Times New Roman" w:hAnsi="Times New Roman" w:eastAsia="宋体" w:cs="Times New Roman"/>
          <w:b/>
          <w:kern w:val="2"/>
          <w:sz w:val="21"/>
          <w:szCs w:val="21"/>
          <w:highlight w:val="none"/>
          <w:lang w:val="en-US" w:eastAsia="zh-CN" w:bidi="ar-SA"/>
        </w:rPr>
        <w:t>环境影响评价自查表</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
        <w:gridCol w:w="1462"/>
        <w:gridCol w:w="1465"/>
        <w:gridCol w:w="706"/>
        <w:gridCol w:w="886"/>
        <w:gridCol w:w="674"/>
        <w:gridCol w:w="855"/>
        <w:gridCol w:w="984"/>
        <w:gridCol w:w="1"/>
        <w:gridCol w:w="951"/>
      </w:tblGrid>
      <w:tr w14:paraId="2EBE5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000" w:type="dxa"/>
            <w:gridSpan w:val="2"/>
            <w:noWrap w:val="0"/>
            <w:vAlign w:val="center"/>
          </w:tcPr>
          <w:p w14:paraId="3072D106">
            <w:pPr>
              <w:widowControl w:val="0"/>
              <w:adjustRightInd w:val="0"/>
              <w:snapToGrid w:val="0"/>
              <w:spacing w:line="240" w:lineRule="auto"/>
              <w:ind w:firstLine="0"/>
              <w:jc w:val="center"/>
              <w:textAlignment w:val="auto"/>
              <w:rPr>
                <w:rFonts w:ascii="Times New Roman" w:hAnsi="Times New Roman" w:eastAsia="宋体" w:cs="Times New Roman"/>
                <w:b/>
                <w:kern w:val="2"/>
                <w:sz w:val="18"/>
                <w:szCs w:val="18"/>
                <w:highlight w:val="none"/>
                <w:lang w:val="en-US" w:eastAsia="zh-CN" w:bidi="ar-SA"/>
              </w:rPr>
            </w:pPr>
            <w:r>
              <w:rPr>
                <w:rFonts w:ascii="Times New Roman" w:hAnsi="Times New Roman" w:eastAsia="宋体" w:cs="Times New Roman"/>
                <w:b/>
                <w:kern w:val="2"/>
                <w:sz w:val="18"/>
                <w:szCs w:val="18"/>
                <w:highlight w:val="none"/>
                <w:lang w:val="en-US" w:eastAsia="zh-CN" w:bidi="ar-SA"/>
              </w:rPr>
              <w:t>工作内容</w:t>
            </w:r>
          </w:p>
        </w:tc>
        <w:tc>
          <w:tcPr>
            <w:tcW w:w="5571" w:type="dxa"/>
            <w:gridSpan w:val="7"/>
            <w:noWrap w:val="0"/>
            <w:vAlign w:val="center"/>
          </w:tcPr>
          <w:p w14:paraId="468DE8C0">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b/>
                <w:kern w:val="2"/>
                <w:sz w:val="18"/>
                <w:szCs w:val="18"/>
                <w:highlight w:val="none"/>
                <w:lang w:val="en-US" w:eastAsia="zh-CN" w:bidi="ar-SA"/>
              </w:rPr>
            </w:pPr>
            <w:r>
              <w:rPr>
                <w:rFonts w:hint="eastAsia" w:ascii="Times New Roman" w:hAnsi="Times New Roman" w:eastAsia="宋体" w:cs="Times New Roman"/>
                <w:b/>
                <w:kern w:val="2"/>
                <w:sz w:val="18"/>
                <w:szCs w:val="18"/>
                <w:highlight w:val="none"/>
                <w:lang w:val="en-US" w:eastAsia="zh-CN" w:bidi="ar-SA"/>
              </w:rPr>
              <w:t>完成情况</w:t>
            </w:r>
          </w:p>
        </w:tc>
        <w:tc>
          <w:tcPr>
            <w:tcW w:w="951" w:type="dxa"/>
            <w:noWrap w:val="0"/>
            <w:vAlign w:val="center"/>
          </w:tcPr>
          <w:p w14:paraId="1D7ED306">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b/>
                <w:kern w:val="2"/>
                <w:sz w:val="18"/>
                <w:szCs w:val="18"/>
                <w:highlight w:val="none"/>
                <w:lang w:val="en-US" w:eastAsia="zh-CN" w:bidi="ar-SA"/>
              </w:rPr>
            </w:pPr>
            <w:r>
              <w:rPr>
                <w:rFonts w:hint="eastAsia" w:ascii="Times New Roman" w:hAnsi="Times New Roman" w:eastAsia="宋体" w:cs="Times New Roman"/>
                <w:b/>
                <w:kern w:val="2"/>
                <w:sz w:val="18"/>
                <w:szCs w:val="18"/>
                <w:highlight w:val="none"/>
                <w:lang w:val="en-US" w:eastAsia="zh-CN" w:bidi="ar-SA"/>
              </w:rPr>
              <w:t>备注</w:t>
            </w:r>
          </w:p>
        </w:tc>
      </w:tr>
      <w:tr w14:paraId="02049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38" w:type="dxa"/>
            <w:vMerge w:val="restart"/>
            <w:noWrap w:val="0"/>
            <w:vAlign w:val="center"/>
          </w:tcPr>
          <w:p w14:paraId="2DB71B13">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影响识别</w:t>
            </w:r>
          </w:p>
        </w:tc>
        <w:tc>
          <w:tcPr>
            <w:tcW w:w="1462" w:type="dxa"/>
            <w:noWrap w:val="0"/>
            <w:vAlign w:val="center"/>
          </w:tcPr>
          <w:p w14:paraId="6A84300C">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影响类型</w:t>
            </w:r>
          </w:p>
        </w:tc>
        <w:tc>
          <w:tcPr>
            <w:tcW w:w="5571" w:type="dxa"/>
            <w:gridSpan w:val="7"/>
            <w:noWrap w:val="0"/>
            <w:vAlign w:val="center"/>
          </w:tcPr>
          <w:p w14:paraId="66460350">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污染影响型</w:t>
            </w:r>
            <w:r>
              <w:rPr>
                <w:rFonts w:hint="eastAsia" w:ascii="Times New Roman" w:hAnsi="Times New Roman" w:eastAsia="宋体" w:cs="Times New Roman"/>
                <w:kern w:val="2"/>
                <w:sz w:val="18"/>
                <w:szCs w:val="18"/>
                <w:highlight w:val="none"/>
                <w:lang w:val="en-US" w:eastAsia="zh-CN" w:bidi="ar-SA"/>
              </w:rPr>
              <w:sym w:font="Wingdings 2" w:char="0052"/>
            </w:r>
            <w:r>
              <w:rPr>
                <w:rFonts w:hint="eastAsia" w:ascii="Times New Roman" w:hAnsi="Times New Roman" w:eastAsia="宋体" w:cs="Times New Roman"/>
                <w:kern w:val="2"/>
                <w:sz w:val="18"/>
                <w:szCs w:val="18"/>
                <w:highlight w:val="none"/>
                <w:lang w:val="en-US" w:eastAsia="zh-CN" w:bidi="ar-SA"/>
              </w:rPr>
              <w:t>；生态影响型</w:t>
            </w:r>
            <w:r>
              <w:rPr>
                <w:rFonts w:hint="eastAsia" w:ascii="Times New Roman" w:hAnsi="Times New Roman" w:eastAsia="宋体" w:cs="Times New Roman"/>
                <w:kern w:val="2"/>
                <w:sz w:val="18"/>
                <w:szCs w:val="18"/>
                <w:highlight w:val="none"/>
                <w:lang w:val="en-US" w:eastAsia="zh-CN" w:bidi="ar-SA"/>
              </w:rPr>
              <w:sym w:font="Wingdings 2" w:char="00A3"/>
            </w:r>
            <w:r>
              <w:rPr>
                <w:rFonts w:hint="eastAsia" w:ascii="Times New Roman" w:hAnsi="Times New Roman" w:eastAsia="宋体" w:cs="Times New Roman"/>
                <w:kern w:val="2"/>
                <w:sz w:val="18"/>
                <w:szCs w:val="18"/>
                <w:highlight w:val="none"/>
                <w:lang w:val="en-US" w:eastAsia="zh-CN" w:bidi="ar-SA"/>
              </w:rPr>
              <w:t>；两种兼有</w:t>
            </w:r>
            <w:r>
              <w:rPr>
                <w:rFonts w:hint="eastAsia" w:ascii="Times New Roman" w:hAnsi="Times New Roman" w:eastAsia="宋体" w:cs="Times New Roman"/>
                <w:kern w:val="2"/>
                <w:sz w:val="18"/>
                <w:szCs w:val="18"/>
                <w:highlight w:val="none"/>
                <w:lang w:val="en-US" w:eastAsia="zh-CN" w:bidi="ar-SA"/>
              </w:rPr>
              <w:sym w:font="Wingdings 2" w:char="00A3"/>
            </w:r>
          </w:p>
        </w:tc>
        <w:tc>
          <w:tcPr>
            <w:tcW w:w="951" w:type="dxa"/>
            <w:noWrap w:val="0"/>
            <w:vAlign w:val="center"/>
          </w:tcPr>
          <w:p w14:paraId="637A2F62">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r>
      <w:tr w14:paraId="0B106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38" w:type="dxa"/>
            <w:vMerge w:val="continue"/>
            <w:noWrap w:val="0"/>
            <w:vAlign w:val="center"/>
          </w:tcPr>
          <w:p w14:paraId="75BC10C2">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c>
          <w:tcPr>
            <w:tcW w:w="1462" w:type="dxa"/>
            <w:noWrap w:val="0"/>
            <w:vAlign w:val="center"/>
          </w:tcPr>
          <w:p w14:paraId="4157EF11">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土地利用类型</w:t>
            </w:r>
          </w:p>
        </w:tc>
        <w:tc>
          <w:tcPr>
            <w:tcW w:w="5571" w:type="dxa"/>
            <w:gridSpan w:val="7"/>
            <w:noWrap w:val="0"/>
            <w:vAlign w:val="center"/>
          </w:tcPr>
          <w:p w14:paraId="436C4B9B">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建设用地</w:t>
            </w:r>
            <w:r>
              <w:rPr>
                <w:rFonts w:hint="eastAsia" w:ascii="Times New Roman" w:hAnsi="Times New Roman" w:eastAsia="宋体" w:cs="Times New Roman"/>
                <w:kern w:val="2"/>
                <w:sz w:val="18"/>
                <w:szCs w:val="18"/>
                <w:highlight w:val="none"/>
                <w:lang w:val="en-US" w:eastAsia="zh-CN" w:bidi="ar-SA"/>
              </w:rPr>
              <w:sym w:font="Wingdings 2" w:char="0052"/>
            </w:r>
            <w:r>
              <w:rPr>
                <w:rFonts w:hint="eastAsia" w:ascii="Times New Roman" w:hAnsi="Times New Roman" w:eastAsia="宋体" w:cs="Times New Roman"/>
                <w:kern w:val="2"/>
                <w:sz w:val="18"/>
                <w:szCs w:val="18"/>
                <w:highlight w:val="none"/>
                <w:lang w:val="en-US" w:eastAsia="zh-CN" w:bidi="ar-SA"/>
              </w:rPr>
              <w:t>；农用地</w:t>
            </w:r>
            <w:r>
              <w:rPr>
                <w:rFonts w:hint="eastAsia" w:ascii="Times New Roman" w:hAnsi="Times New Roman" w:eastAsia="宋体" w:cs="Times New Roman"/>
                <w:kern w:val="2"/>
                <w:sz w:val="18"/>
                <w:szCs w:val="18"/>
                <w:highlight w:val="none"/>
                <w:lang w:val="en-US" w:eastAsia="zh-CN" w:bidi="ar-SA"/>
              </w:rPr>
              <w:sym w:font="Wingdings 2" w:char="00A3"/>
            </w:r>
            <w:r>
              <w:rPr>
                <w:rFonts w:hint="eastAsia" w:ascii="Times New Roman" w:hAnsi="Times New Roman" w:eastAsia="宋体" w:cs="Times New Roman"/>
                <w:kern w:val="2"/>
                <w:sz w:val="18"/>
                <w:szCs w:val="18"/>
                <w:highlight w:val="none"/>
                <w:lang w:val="en-US" w:eastAsia="zh-CN" w:bidi="ar-SA"/>
              </w:rPr>
              <w:t>；未利用地</w:t>
            </w:r>
            <w:r>
              <w:rPr>
                <w:rFonts w:hint="eastAsia" w:ascii="Times New Roman" w:hAnsi="Times New Roman" w:eastAsia="宋体" w:cs="Times New Roman"/>
                <w:kern w:val="2"/>
                <w:sz w:val="18"/>
                <w:szCs w:val="18"/>
                <w:highlight w:val="none"/>
                <w:lang w:val="en-US" w:eastAsia="zh-CN" w:bidi="ar-SA"/>
              </w:rPr>
              <w:sym w:font="Wingdings 2" w:char="00A3"/>
            </w:r>
          </w:p>
        </w:tc>
        <w:tc>
          <w:tcPr>
            <w:tcW w:w="951" w:type="dxa"/>
            <w:noWrap w:val="0"/>
            <w:vAlign w:val="center"/>
          </w:tcPr>
          <w:p w14:paraId="7CA3CF65">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土地利用类型图</w:t>
            </w:r>
          </w:p>
        </w:tc>
      </w:tr>
      <w:tr w14:paraId="40749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38" w:type="dxa"/>
            <w:vMerge w:val="continue"/>
            <w:noWrap w:val="0"/>
            <w:vAlign w:val="center"/>
          </w:tcPr>
          <w:p w14:paraId="613BE8A6">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c>
          <w:tcPr>
            <w:tcW w:w="1462" w:type="dxa"/>
            <w:noWrap w:val="0"/>
            <w:vAlign w:val="center"/>
          </w:tcPr>
          <w:p w14:paraId="39A6108E">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占地规模</w:t>
            </w:r>
          </w:p>
        </w:tc>
        <w:tc>
          <w:tcPr>
            <w:tcW w:w="5571" w:type="dxa"/>
            <w:gridSpan w:val="7"/>
            <w:noWrap w:val="0"/>
            <w:vAlign w:val="center"/>
          </w:tcPr>
          <w:p w14:paraId="4680C59F">
            <w:pPr>
              <w:widowControl w:val="0"/>
              <w:adjustRightInd w:val="0"/>
              <w:snapToGrid w:val="0"/>
              <w:spacing w:line="240" w:lineRule="auto"/>
              <w:ind w:left="0" w:leftChars="0" w:firstLine="0" w:firstLineChars="0"/>
              <w:jc w:val="center"/>
              <w:textAlignment w:val="auto"/>
              <w:rPr>
                <w:rFonts w:hint="default"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 xml:space="preserve">( </w:t>
            </w:r>
            <w:r>
              <w:rPr>
                <w:rFonts w:hint="eastAsia" w:ascii="Times New Roman" w:hAnsi="Times New Roman" w:eastAsia="仿宋_GB2312" w:cs="Times New Roman"/>
                <w:color w:val="auto"/>
                <w:kern w:val="2"/>
                <w:sz w:val="18"/>
                <w:szCs w:val="18"/>
                <w:highlight w:val="none"/>
                <w:lang w:val="en-US" w:eastAsia="zh-CN" w:bidi="ar-SA"/>
              </w:rPr>
              <w:t>31.4914)</w:t>
            </w:r>
            <w:r>
              <w:rPr>
                <w:rFonts w:hint="eastAsia" w:ascii="Times New Roman" w:hAnsi="Times New Roman" w:eastAsia="宋体" w:cs="Times New Roman"/>
                <w:kern w:val="2"/>
                <w:sz w:val="18"/>
                <w:szCs w:val="18"/>
                <w:highlight w:val="none"/>
                <w:lang w:val="en-US" w:eastAsia="zh-CN" w:bidi="ar-SA"/>
              </w:rPr>
              <w:t>hm</w:t>
            </w:r>
            <w:r>
              <w:rPr>
                <w:rFonts w:hint="eastAsia" w:ascii="Times New Roman" w:hAnsi="Times New Roman" w:eastAsia="宋体" w:cs="Times New Roman"/>
                <w:kern w:val="2"/>
                <w:sz w:val="18"/>
                <w:szCs w:val="18"/>
                <w:highlight w:val="none"/>
                <w:vertAlign w:val="superscript"/>
                <w:lang w:val="en-US" w:eastAsia="zh-CN" w:bidi="ar-SA"/>
              </w:rPr>
              <w:t>2</w:t>
            </w:r>
          </w:p>
        </w:tc>
        <w:tc>
          <w:tcPr>
            <w:tcW w:w="951" w:type="dxa"/>
            <w:noWrap w:val="0"/>
            <w:vAlign w:val="center"/>
          </w:tcPr>
          <w:p w14:paraId="00F3D07C">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r>
      <w:tr w14:paraId="18610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38" w:type="dxa"/>
            <w:vMerge w:val="continue"/>
            <w:noWrap w:val="0"/>
            <w:vAlign w:val="center"/>
          </w:tcPr>
          <w:p w14:paraId="6B2100DA">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c>
          <w:tcPr>
            <w:tcW w:w="1462" w:type="dxa"/>
            <w:noWrap w:val="0"/>
            <w:vAlign w:val="center"/>
          </w:tcPr>
          <w:p w14:paraId="6EB824E6">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敏感目标信息</w:t>
            </w:r>
          </w:p>
        </w:tc>
        <w:tc>
          <w:tcPr>
            <w:tcW w:w="5571" w:type="dxa"/>
            <w:gridSpan w:val="7"/>
            <w:noWrap w:val="0"/>
            <w:vAlign w:val="center"/>
          </w:tcPr>
          <w:p w14:paraId="7CD4A3B8">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敏感目标（居民区）、方位（西）、距离（西侧40m）</w:t>
            </w:r>
          </w:p>
        </w:tc>
        <w:tc>
          <w:tcPr>
            <w:tcW w:w="951" w:type="dxa"/>
            <w:noWrap w:val="0"/>
            <w:vAlign w:val="center"/>
          </w:tcPr>
          <w:p w14:paraId="3BBF05A3">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r>
      <w:tr w14:paraId="467DD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38" w:type="dxa"/>
            <w:vMerge w:val="continue"/>
            <w:noWrap w:val="0"/>
            <w:vAlign w:val="center"/>
          </w:tcPr>
          <w:p w14:paraId="0BD15807">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c>
          <w:tcPr>
            <w:tcW w:w="1462" w:type="dxa"/>
            <w:noWrap w:val="0"/>
            <w:vAlign w:val="center"/>
          </w:tcPr>
          <w:p w14:paraId="052B306A">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影响途径</w:t>
            </w:r>
          </w:p>
        </w:tc>
        <w:tc>
          <w:tcPr>
            <w:tcW w:w="5571" w:type="dxa"/>
            <w:gridSpan w:val="7"/>
            <w:noWrap w:val="0"/>
            <w:vAlign w:val="center"/>
          </w:tcPr>
          <w:p w14:paraId="62C88753">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大气沉降</w:t>
            </w:r>
            <w:r>
              <w:rPr>
                <w:rFonts w:hint="eastAsia" w:ascii="Times New Roman" w:hAnsi="Times New Roman" w:eastAsia="宋体" w:cs="Times New Roman"/>
                <w:kern w:val="2"/>
                <w:sz w:val="18"/>
                <w:szCs w:val="18"/>
                <w:highlight w:val="none"/>
                <w:lang w:val="en-US" w:eastAsia="zh-CN" w:bidi="ar-SA"/>
              </w:rPr>
              <w:sym w:font="Wingdings 2" w:char="0052"/>
            </w:r>
            <w:r>
              <w:rPr>
                <w:rFonts w:hint="eastAsia" w:ascii="Times New Roman" w:hAnsi="Times New Roman" w:eastAsia="宋体" w:cs="Times New Roman"/>
                <w:kern w:val="2"/>
                <w:sz w:val="18"/>
                <w:szCs w:val="18"/>
                <w:highlight w:val="none"/>
                <w:lang w:val="en-US" w:eastAsia="zh-CN" w:bidi="ar-SA"/>
              </w:rPr>
              <w:t>；地面漫流</w:t>
            </w:r>
            <w:r>
              <w:rPr>
                <w:rFonts w:hint="eastAsia" w:ascii="Times New Roman" w:hAnsi="Times New Roman" w:eastAsia="宋体" w:cs="Times New Roman"/>
                <w:kern w:val="2"/>
                <w:sz w:val="18"/>
                <w:szCs w:val="18"/>
                <w:highlight w:val="none"/>
                <w:lang w:val="en-US" w:eastAsia="zh-CN" w:bidi="ar-SA"/>
              </w:rPr>
              <w:sym w:font="Wingdings 2" w:char="00A3"/>
            </w:r>
            <w:r>
              <w:rPr>
                <w:rFonts w:hint="eastAsia" w:ascii="Times New Roman" w:hAnsi="Times New Roman" w:eastAsia="宋体" w:cs="Times New Roman"/>
                <w:kern w:val="2"/>
                <w:sz w:val="18"/>
                <w:szCs w:val="18"/>
                <w:highlight w:val="none"/>
                <w:lang w:val="en-US" w:eastAsia="zh-CN" w:bidi="ar-SA"/>
              </w:rPr>
              <w:t>；垂直入渗</w:t>
            </w:r>
            <w:r>
              <w:rPr>
                <w:rFonts w:hint="eastAsia" w:ascii="Times New Roman" w:hAnsi="Times New Roman" w:eastAsia="宋体" w:cs="Times New Roman"/>
                <w:kern w:val="2"/>
                <w:sz w:val="18"/>
                <w:szCs w:val="18"/>
                <w:highlight w:val="none"/>
                <w:lang w:val="en-US" w:eastAsia="zh-CN" w:bidi="ar-SA"/>
              </w:rPr>
              <w:sym w:font="Wingdings 2" w:char="0052"/>
            </w:r>
            <w:r>
              <w:rPr>
                <w:rFonts w:hint="eastAsia" w:ascii="Times New Roman" w:hAnsi="Times New Roman" w:eastAsia="宋体" w:cs="Times New Roman"/>
                <w:kern w:val="2"/>
                <w:sz w:val="18"/>
                <w:szCs w:val="18"/>
                <w:highlight w:val="none"/>
                <w:lang w:val="en-US" w:eastAsia="zh-CN" w:bidi="ar-SA"/>
              </w:rPr>
              <w:t>；地下水位</w:t>
            </w:r>
            <w:r>
              <w:rPr>
                <w:rFonts w:hint="eastAsia" w:ascii="Times New Roman" w:hAnsi="Times New Roman" w:eastAsia="宋体" w:cs="Times New Roman"/>
                <w:kern w:val="2"/>
                <w:sz w:val="18"/>
                <w:szCs w:val="18"/>
                <w:highlight w:val="none"/>
                <w:lang w:val="en-US" w:eastAsia="zh-CN" w:bidi="ar-SA"/>
              </w:rPr>
              <w:sym w:font="Wingdings 2" w:char="00A3"/>
            </w:r>
            <w:r>
              <w:rPr>
                <w:rFonts w:hint="eastAsia" w:ascii="Times New Roman" w:hAnsi="Times New Roman" w:eastAsia="宋体" w:cs="Times New Roman"/>
                <w:kern w:val="2"/>
                <w:sz w:val="18"/>
                <w:szCs w:val="18"/>
                <w:highlight w:val="none"/>
                <w:lang w:val="en-US" w:eastAsia="zh-CN" w:bidi="ar-SA"/>
              </w:rPr>
              <w:t>；其他（   ）</w:t>
            </w:r>
          </w:p>
        </w:tc>
        <w:tc>
          <w:tcPr>
            <w:tcW w:w="951" w:type="dxa"/>
            <w:noWrap w:val="0"/>
            <w:vAlign w:val="center"/>
          </w:tcPr>
          <w:p w14:paraId="51C9FD95">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r>
      <w:tr w14:paraId="04B47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38" w:type="dxa"/>
            <w:vMerge w:val="continue"/>
            <w:noWrap w:val="0"/>
            <w:vAlign w:val="center"/>
          </w:tcPr>
          <w:p w14:paraId="41F8D510">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c>
          <w:tcPr>
            <w:tcW w:w="1462" w:type="dxa"/>
            <w:noWrap w:val="0"/>
            <w:vAlign w:val="center"/>
          </w:tcPr>
          <w:p w14:paraId="30291DA6">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全部污染物</w:t>
            </w:r>
          </w:p>
        </w:tc>
        <w:tc>
          <w:tcPr>
            <w:tcW w:w="5571" w:type="dxa"/>
            <w:gridSpan w:val="7"/>
            <w:noWrap w:val="0"/>
            <w:vAlign w:val="center"/>
          </w:tcPr>
          <w:p w14:paraId="32880623">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砷、镉、铬（六价）、铜、铅、汞、镍、四氯化碳、氯仿、氯甲烷、1,1-二氯乙烷、1,2-二氯乙烷、1,1-二氯乙烯、顺-1,2-二氯乙烯、反-1,2-二氯乙烯、二氯甲烷、1,2-二氯丙烷、1,1,1,2-四氯乙烷、1,1,2,2-四氯乙烷、四氯乙烯、1,1,1-三氯乙烷、1,1,2-三氯乙烷、三氯乙烯、1,2,3-三氯丙烷、氯乙烯、苯、氯苯、1,2-二氯苯、1,4-二氯苯、乙苯、苯乙烯、甲苯、间二甲苯+对二甲苯、邻二甲苯、硝基苯、苯胺、2-氯酚、苯并[a]蒽、苯并[a]芘、苯并[b]荧蒽、苯并[k]荧蒽、䓛（又名1，2-苯并菲）、二苯并[a,h]蒽、茚并[1,2,3-cd]芘、萘、pH</w:t>
            </w:r>
          </w:p>
        </w:tc>
        <w:tc>
          <w:tcPr>
            <w:tcW w:w="951" w:type="dxa"/>
            <w:noWrap w:val="0"/>
            <w:vAlign w:val="center"/>
          </w:tcPr>
          <w:p w14:paraId="0E78A1A9">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r>
      <w:tr w14:paraId="16AD8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38" w:type="dxa"/>
            <w:vMerge w:val="continue"/>
            <w:noWrap w:val="0"/>
            <w:vAlign w:val="center"/>
          </w:tcPr>
          <w:p w14:paraId="0CC4D99E">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c>
          <w:tcPr>
            <w:tcW w:w="1462" w:type="dxa"/>
            <w:noWrap w:val="0"/>
            <w:vAlign w:val="center"/>
          </w:tcPr>
          <w:p w14:paraId="7BF02EBA">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特征因子</w:t>
            </w:r>
          </w:p>
        </w:tc>
        <w:tc>
          <w:tcPr>
            <w:tcW w:w="5571" w:type="dxa"/>
            <w:gridSpan w:val="7"/>
            <w:noWrap w:val="0"/>
            <w:vAlign w:val="center"/>
          </w:tcPr>
          <w:p w14:paraId="1DBD7EB8">
            <w:pPr>
              <w:widowControl w:val="0"/>
              <w:adjustRightInd w:val="0"/>
              <w:snapToGrid w:val="0"/>
              <w:spacing w:line="240" w:lineRule="auto"/>
              <w:ind w:left="0" w:leftChars="0" w:firstLine="0" w:firstLineChars="0"/>
              <w:jc w:val="center"/>
              <w:textAlignment w:val="auto"/>
              <w:rPr>
                <w:rFonts w:hint="default"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汞</w:t>
            </w:r>
          </w:p>
        </w:tc>
        <w:tc>
          <w:tcPr>
            <w:tcW w:w="951" w:type="dxa"/>
            <w:noWrap w:val="0"/>
            <w:vAlign w:val="center"/>
          </w:tcPr>
          <w:p w14:paraId="2AEBE06B">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r>
      <w:tr w14:paraId="25D69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38" w:type="dxa"/>
            <w:vMerge w:val="continue"/>
            <w:noWrap w:val="0"/>
            <w:vAlign w:val="center"/>
          </w:tcPr>
          <w:p w14:paraId="42526D57">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c>
          <w:tcPr>
            <w:tcW w:w="1462" w:type="dxa"/>
            <w:noWrap w:val="0"/>
            <w:vAlign w:val="center"/>
          </w:tcPr>
          <w:p w14:paraId="34010B8B">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所属土壤环境影响评价项目类别</w:t>
            </w:r>
          </w:p>
        </w:tc>
        <w:tc>
          <w:tcPr>
            <w:tcW w:w="5571" w:type="dxa"/>
            <w:gridSpan w:val="7"/>
            <w:noWrap w:val="0"/>
            <w:vAlign w:val="center"/>
          </w:tcPr>
          <w:p w14:paraId="30E13D29">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Ⅰ类</w:t>
            </w:r>
            <w:r>
              <w:rPr>
                <w:rFonts w:hint="eastAsia" w:ascii="Times New Roman" w:hAnsi="Times New Roman" w:eastAsia="宋体" w:cs="Times New Roman"/>
                <w:kern w:val="2"/>
                <w:sz w:val="18"/>
                <w:szCs w:val="18"/>
                <w:highlight w:val="none"/>
                <w:lang w:val="en-US" w:eastAsia="zh-CN" w:bidi="ar-SA"/>
              </w:rPr>
              <w:sym w:font="Wingdings 2" w:char="00A3"/>
            </w:r>
            <w:r>
              <w:rPr>
                <w:rFonts w:hint="eastAsia" w:ascii="Times New Roman" w:hAnsi="Times New Roman" w:eastAsia="宋体" w:cs="Times New Roman"/>
                <w:kern w:val="2"/>
                <w:sz w:val="18"/>
                <w:szCs w:val="18"/>
                <w:highlight w:val="none"/>
                <w:lang w:val="en-US" w:eastAsia="zh-CN" w:bidi="ar-SA"/>
              </w:rPr>
              <w:t>；Ⅱ类</w:t>
            </w:r>
            <w:r>
              <w:rPr>
                <w:rFonts w:hint="eastAsia" w:ascii="Times New Roman" w:hAnsi="Times New Roman" w:eastAsia="宋体" w:cs="Times New Roman"/>
                <w:kern w:val="2"/>
                <w:sz w:val="18"/>
                <w:szCs w:val="18"/>
                <w:highlight w:val="none"/>
                <w:lang w:val="en-US" w:eastAsia="zh-CN" w:bidi="ar-SA"/>
              </w:rPr>
              <w:sym w:font="Wingdings 2" w:char="00A3"/>
            </w:r>
            <w:r>
              <w:rPr>
                <w:rFonts w:hint="eastAsia" w:ascii="Times New Roman" w:hAnsi="Times New Roman" w:eastAsia="宋体" w:cs="Times New Roman"/>
                <w:kern w:val="2"/>
                <w:sz w:val="18"/>
                <w:szCs w:val="18"/>
                <w:highlight w:val="none"/>
                <w:lang w:val="en-US" w:eastAsia="zh-CN" w:bidi="ar-SA"/>
              </w:rPr>
              <w:t>；Ⅲ类</w:t>
            </w:r>
            <w:r>
              <w:rPr>
                <w:rFonts w:hint="eastAsia" w:ascii="Times New Roman" w:hAnsi="Times New Roman" w:eastAsia="宋体" w:cs="Times New Roman"/>
                <w:kern w:val="2"/>
                <w:sz w:val="18"/>
                <w:szCs w:val="18"/>
                <w:highlight w:val="none"/>
                <w:lang w:val="en-US" w:eastAsia="zh-CN" w:bidi="ar-SA"/>
              </w:rPr>
              <w:sym w:font="Wingdings 2" w:char="0052"/>
            </w:r>
            <w:r>
              <w:rPr>
                <w:rFonts w:hint="eastAsia" w:ascii="Times New Roman" w:hAnsi="Times New Roman" w:eastAsia="宋体" w:cs="Times New Roman"/>
                <w:kern w:val="2"/>
                <w:sz w:val="18"/>
                <w:szCs w:val="18"/>
                <w:highlight w:val="none"/>
                <w:lang w:val="en-US" w:eastAsia="zh-CN" w:bidi="ar-SA"/>
              </w:rPr>
              <w:t>；Ⅳ类</w:t>
            </w:r>
            <w:r>
              <w:rPr>
                <w:rFonts w:hint="eastAsia" w:ascii="Times New Roman" w:hAnsi="Times New Roman" w:eastAsia="宋体" w:cs="Times New Roman"/>
                <w:kern w:val="2"/>
                <w:sz w:val="18"/>
                <w:szCs w:val="18"/>
                <w:highlight w:val="none"/>
                <w:lang w:val="en-US" w:eastAsia="zh-CN" w:bidi="ar-SA"/>
              </w:rPr>
              <w:sym w:font="Wingdings 2" w:char="00A3"/>
            </w:r>
          </w:p>
        </w:tc>
        <w:tc>
          <w:tcPr>
            <w:tcW w:w="951" w:type="dxa"/>
            <w:noWrap w:val="0"/>
            <w:vAlign w:val="center"/>
          </w:tcPr>
          <w:p w14:paraId="644B1111">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r>
      <w:tr w14:paraId="6C35E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38" w:type="dxa"/>
            <w:vMerge w:val="continue"/>
            <w:noWrap w:val="0"/>
            <w:vAlign w:val="center"/>
          </w:tcPr>
          <w:p w14:paraId="37E288EB">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c>
          <w:tcPr>
            <w:tcW w:w="1462" w:type="dxa"/>
            <w:noWrap w:val="0"/>
            <w:vAlign w:val="center"/>
          </w:tcPr>
          <w:p w14:paraId="2F9708A4">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敏感程度</w:t>
            </w:r>
          </w:p>
        </w:tc>
        <w:tc>
          <w:tcPr>
            <w:tcW w:w="5571" w:type="dxa"/>
            <w:gridSpan w:val="7"/>
            <w:noWrap w:val="0"/>
            <w:vAlign w:val="center"/>
          </w:tcPr>
          <w:p w14:paraId="34B44AF6">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敏感</w:t>
            </w:r>
            <w:r>
              <w:rPr>
                <w:rFonts w:hint="eastAsia" w:ascii="Times New Roman" w:hAnsi="Times New Roman" w:eastAsia="宋体" w:cs="Times New Roman"/>
                <w:kern w:val="2"/>
                <w:sz w:val="18"/>
                <w:szCs w:val="18"/>
                <w:highlight w:val="none"/>
                <w:lang w:val="en-US" w:eastAsia="zh-CN" w:bidi="ar-SA"/>
              </w:rPr>
              <w:sym w:font="Wingdings 2" w:char="0052"/>
            </w:r>
            <w:r>
              <w:rPr>
                <w:rFonts w:hint="eastAsia" w:ascii="Times New Roman" w:hAnsi="Times New Roman" w:eastAsia="宋体" w:cs="Times New Roman"/>
                <w:kern w:val="2"/>
                <w:sz w:val="18"/>
                <w:szCs w:val="18"/>
                <w:highlight w:val="none"/>
                <w:lang w:val="en-US" w:eastAsia="zh-CN" w:bidi="ar-SA"/>
              </w:rPr>
              <w:t>；较敏感</w:t>
            </w:r>
            <w:r>
              <w:rPr>
                <w:rFonts w:hint="eastAsia" w:ascii="Times New Roman" w:hAnsi="Times New Roman" w:eastAsia="宋体" w:cs="Times New Roman"/>
                <w:kern w:val="2"/>
                <w:sz w:val="18"/>
                <w:szCs w:val="18"/>
                <w:highlight w:val="none"/>
                <w:lang w:val="en-US" w:eastAsia="zh-CN" w:bidi="ar-SA"/>
              </w:rPr>
              <w:sym w:font="Wingdings 2" w:char="00A3"/>
            </w:r>
            <w:r>
              <w:rPr>
                <w:rFonts w:hint="eastAsia" w:ascii="Times New Roman" w:hAnsi="Times New Roman" w:eastAsia="宋体" w:cs="Times New Roman"/>
                <w:kern w:val="2"/>
                <w:sz w:val="18"/>
                <w:szCs w:val="18"/>
                <w:highlight w:val="none"/>
                <w:lang w:val="en-US" w:eastAsia="zh-CN" w:bidi="ar-SA"/>
              </w:rPr>
              <w:t>；不敏感</w:t>
            </w:r>
            <w:r>
              <w:rPr>
                <w:rFonts w:hint="eastAsia" w:ascii="Times New Roman" w:hAnsi="Times New Roman" w:eastAsia="宋体" w:cs="Times New Roman"/>
                <w:kern w:val="2"/>
                <w:sz w:val="18"/>
                <w:szCs w:val="18"/>
                <w:highlight w:val="none"/>
                <w:lang w:val="en-US" w:eastAsia="zh-CN" w:bidi="ar-SA"/>
              </w:rPr>
              <w:sym w:font="Wingdings 2" w:char="00A3"/>
            </w:r>
          </w:p>
        </w:tc>
        <w:tc>
          <w:tcPr>
            <w:tcW w:w="951" w:type="dxa"/>
            <w:noWrap w:val="0"/>
            <w:vAlign w:val="center"/>
          </w:tcPr>
          <w:p w14:paraId="07D824E9">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r>
      <w:tr w14:paraId="587F9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000" w:type="dxa"/>
            <w:gridSpan w:val="2"/>
            <w:noWrap w:val="0"/>
            <w:vAlign w:val="center"/>
          </w:tcPr>
          <w:p w14:paraId="344F73A0">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评价工作等级</w:t>
            </w:r>
          </w:p>
        </w:tc>
        <w:tc>
          <w:tcPr>
            <w:tcW w:w="5571" w:type="dxa"/>
            <w:gridSpan w:val="7"/>
            <w:noWrap w:val="0"/>
            <w:vAlign w:val="center"/>
          </w:tcPr>
          <w:p w14:paraId="3BAB35AC">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一级</w:t>
            </w:r>
            <w:r>
              <w:rPr>
                <w:rFonts w:hint="eastAsia" w:ascii="Times New Roman" w:hAnsi="Times New Roman" w:eastAsia="宋体" w:cs="Times New Roman"/>
                <w:kern w:val="2"/>
                <w:sz w:val="18"/>
                <w:szCs w:val="18"/>
                <w:highlight w:val="none"/>
                <w:lang w:val="en-US" w:eastAsia="zh-CN" w:bidi="ar-SA"/>
              </w:rPr>
              <w:sym w:font="Wingdings 2" w:char="00A3"/>
            </w:r>
            <w:r>
              <w:rPr>
                <w:rFonts w:hint="eastAsia" w:ascii="Times New Roman" w:hAnsi="Times New Roman" w:eastAsia="宋体" w:cs="Times New Roman"/>
                <w:kern w:val="2"/>
                <w:sz w:val="18"/>
                <w:szCs w:val="18"/>
                <w:highlight w:val="none"/>
                <w:lang w:val="en-US" w:eastAsia="zh-CN" w:bidi="ar-SA"/>
              </w:rPr>
              <w:t>；二级</w:t>
            </w:r>
            <w:r>
              <w:rPr>
                <w:rFonts w:hint="eastAsia" w:ascii="Times New Roman" w:hAnsi="Times New Roman" w:eastAsia="宋体" w:cs="Times New Roman"/>
                <w:kern w:val="2"/>
                <w:sz w:val="18"/>
                <w:szCs w:val="18"/>
                <w:highlight w:val="none"/>
                <w:lang w:val="en-US" w:eastAsia="zh-CN" w:bidi="ar-SA"/>
              </w:rPr>
              <w:sym w:font="Wingdings 2" w:char="00A3"/>
            </w:r>
            <w:r>
              <w:rPr>
                <w:rFonts w:hint="eastAsia" w:ascii="Times New Roman" w:hAnsi="Times New Roman" w:eastAsia="宋体" w:cs="Times New Roman"/>
                <w:kern w:val="2"/>
                <w:sz w:val="18"/>
                <w:szCs w:val="18"/>
                <w:highlight w:val="none"/>
                <w:lang w:val="en-US" w:eastAsia="zh-CN" w:bidi="ar-SA"/>
              </w:rPr>
              <w:t>；三级</w:t>
            </w:r>
            <w:r>
              <w:rPr>
                <w:rFonts w:hint="eastAsia" w:ascii="Times New Roman" w:hAnsi="Times New Roman" w:eastAsia="宋体" w:cs="Times New Roman"/>
                <w:kern w:val="2"/>
                <w:sz w:val="18"/>
                <w:szCs w:val="18"/>
                <w:highlight w:val="none"/>
                <w:lang w:val="en-US" w:eastAsia="zh-CN" w:bidi="ar-SA"/>
              </w:rPr>
              <w:sym w:font="Wingdings 2" w:char="0052"/>
            </w:r>
          </w:p>
        </w:tc>
        <w:tc>
          <w:tcPr>
            <w:tcW w:w="951" w:type="dxa"/>
            <w:noWrap w:val="0"/>
            <w:vAlign w:val="center"/>
          </w:tcPr>
          <w:p w14:paraId="039ECBA2">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r>
      <w:tr w14:paraId="05131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38" w:type="dxa"/>
            <w:vMerge w:val="restart"/>
            <w:noWrap w:val="0"/>
            <w:vAlign w:val="center"/>
          </w:tcPr>
          <w:p w14:paraId="3E59BBA1">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现状调查内容</w:t>
            </w:r>
          </w:p>
        </w:tc>
        <w:tc>
          <w:tcPr>
            <w:tcW w:w="1462" w:type="dxa"/>
            <w:noWrap w:val="0"/>
            <w:vAlign w:val="center"/>
          </w:tcPr>
          <w:p w14:paraId="079B7E27">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资料收集</w:t>
            </w:r>
          </w:p>
        </w:tc>
        <w:tc>
          <w:tcPr>
            <w:tcW w:w="5571" w:type="dxa"/>
            <w:gridSpan w:val="7"/>
            <w:noWrap w:val="0"/>
            <w:vAlign w:val="center"/>
          </w:tcPr>
          <w:p w14:paraId="07358F72">
            <w:pPr>
              <w:widowControl w:val="0"/>
              <w:adjustRightInd w:val="0"/>
              <w:snapToGrid w:val="0"/>
              <w:spacing w:line="240" w:lineRule="auto"/>
              <w:ind w:left="0" w:leftChars="0" w:firstLine="0" w:firstLineChars="0"/>
              <w:jc w:val="center"/>
              <w:textAlignment w:val="auto"/>
              <w:rPr>
                <w:rFonts w:hint="default"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a)</w:t>
            </w:r>
            <w:r>
              <w:rPr>
                <w:rFonts w:hint="eastAsia" w:ascii="Times New Roman" w:hAnsi="Times New Roman" w:eastAsia="宋体" w:cs="Times New Roman"/>
                <w:kern w:val="2"/>
                <w:sz w:val="18"/>
                <w:szCs w:val="18"/>
                <w:highlight w:val="none"/>
                <w:lang w:val="en-US" w:eastAsia="zh-CN" w:bidi="ar-SA"/>
              </w:rPr>
              <w:sym w:font="Wingdings 2" w:char="0052"/>
            </w:r>
            <w:r>
              <w:rPr>
                <w:rFonts w:hint="eastAsia" w:ascii="Times New Roman" w:hAnsi="Times New Roman" w:eastAsia="宋体" w:cs="Times New Roman"/>
                <w:kern w:val="2"/>
                <w:sz w:val="18"/>
                <w:szCs w:val="18"/>
                <w:highlight w:val="none"/>
                <w:lang w:val="en-US" w:eastAsia="zh-CN" w:bidi="ar-SA"/>
              </w:rPr>
              <w:t>; b)</w:t>
            </w:r>
            <w:r>
              <w:rPr>
                <w:rFonts w:hint="eastAsia" w:ascii="Times New Roman" w:hAnsi="Times New Roman" w:eastAsia="宋体" w:cs="Times New Roman"/>
                <w:kern w:val="2"/>
                <w:sz w:val="18"/>
                <w:szCs w:val="18"/>
                <w:highlight w:val="none"/>
                <w:lang w:val="en-US" w:eastAsia="zh-CN" w:bidi="ar-SA"/>
              </w:rPr>
              <w:sym w:font="Wingdings 2" w:char="0052"/>
            </w:r>
            <w:r>
              <w:rPr>
                <w:rFonts w:hint="eastAsia" w:ascii="Times New Roman" w:hAnsi="Times New Roman" w:eastAsia="宋体" w:cs="Times New Roman"/>
                <w:kern w:val="2"/>
                <w:sz w:val="18"/>
                <w:szCs w:val="18"/>
                <w:highlight w:val="none"/>
                <w:lang w:val="en-US" w:eastAsia="zh-CN" w:bidi="ar-SA"/>
              </w:rPr>
              <w:t>; c)</w:t>
            </w:r>
            <w:r>
              <w:rPr>
                <w:rFonts w:hint="eastAsia" w:ascii="Times New Roman" w:hAnsi="Times New Roman" w:eastAsia="宋体" w:cs="Times New Roman"/>
                <w:kern w:val="2"/>
                <w:sz w:val="18"/>
                <w:szCs w:val="18"/>
                <w:highlight w:val="none"/>
                <w:lang w:val="en-US" w:eastAsia="zh-CN" w:bidi="ar-SA"/>
              </w:rPr>
              <w:sym w:font="Wingdings 2" w:char="0052"/>
            </w:r>
            <w:r>
              <w:rPr>
                <w:rFonts w:hint="eastAsia" w:ascii="Times New Roman" w:hAnsi="Times New Roman" w:eastAsia="宋体" w:cs="Times New Roman"/>
                <w:kern w:val="2"/>
                <w:sz w:val="18"/>
                <w:szCs w:val="18"/>
                <w:highlight w:val="none"/>
                <w:lang w:val="en-US" w:eastAsia="zh-CN" w:bidi="ar-SA"/>
              </w:rPr>
              <w:t>; d)</w:t>
            </w:r>
            <w:r>
              <w:rPr>
                <w:rFonts w:hint="eastAsia" w:ascii="Times New Roman" w:hAnsi="Times New Roman" w:eastAsia="宋体" w:cs="Times New Roman"/>
                <w:kern w:val="2"/>
                <w:sz w:val="18"/>
                <w:szCs w:val="18"/>
                <w:highlight w:val="none"/>
                <w:lang w:val="en-US" w:eastAsia="zh-CN" w:bidi="ar-SA"/>
              </w:rPr>
              <w:sym w:font="Wingdings 2" w:char="0052"/>
            </w:r>
          </w:p>
        </w:tc>
        <w:tc>
          <w:tcPr>
            <w:tcW w:w="951" w:type="dxa"/>
            <w:noWrap w:val="0"/>
            <w:vAlign w:val="center"/>
          </w:tcPr>
          <w:p w14:paraId="7F2BE2EF">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r>
      <w:tr w14:paraId="4CB30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38" w:type="dxa"/>
            <w:vMerge w:val="continue"/>
            <w:noWrap w:val="0"/>
            <w:vAlign w:val="center"/>
          </w:tcPr>
          <w:p w14:paraId="7F994BCA">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c>
          <w:tcPr>
            <w:tcW w:w="1462" w:type="dxa"/>
            <w:noWrap w:val="0"/>
            <w:vAlign w:val="center"/>
          </w:tcPr>
          <w:p w14:paraId="71F63838">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理化特性</w:t>
            </w:r>
          </w:p>
        </w:tc>
        <w:tc>
          <w:tcPr>
            <w:tcW w:w="5571" w:type="dxa"/>
            <w:gridSpan w:val="7"/>
            <w:noWrap w:val="0"/>
            <w:vAlign w:val="center"/>
          </w:tcPr>
          <w:p w14:paraId="5AFAC3CB">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黑土</w:t>
            </w:r>
          </w:p>
        </w:tc>
        <w:tc>
          <w:tcPr>
            <w:tcW w:w="951" w:type="dxa"/>
            <w:noWrap w:val="0"/>
            <w:vAlign w:val="center"/>
          </w:tcPr>
          <w:p w14:paraId="5F8D726A">
            <w:pPr>
              <w:widowControl w:val="0"/>
              <w:adjustRightInd w:val="0"/>
              <w:snapToGrid w:val="0"/>
              <w:spacing w:line="240" w:lineRule="auto"/>
              <w:ind w:left="0" w:leftChars="0" w:firstLine="0" w:firstLineChars="0"/>
              <w:jc w:val="center"/>
              <w:textAlignment w:val="auto"/>
              <w:rPr>
                <w:rFonts w:hint="default"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同附录C</w:t>
            </w:r>
          </w:p>
        </w:tc>
      </w:tr>
      <w:tr w14:paraId="3AEDD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38" w:type="dxa"/>
            <w:vMerge w:val="continue"/>
            <w:noWrap w:val="0"/>
            <w:vAlign w:val="center"/>
          </w:tcPr>
          <w:p w14:paraId="1C04DA14">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c>
          <w:tcPr>
            <w:tcW w:w="1462" w:type="dxa"/>
            <w:vMerge w:val="restart"/>
            <w:noWrap w:val="0"/>
            <w:vAlign w:val="center"/>
          </w:tcPr>
          <w:p w14:paraId="48B9E38D">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现状监测点位</w:t>
            </w:r>
          </w:p>
        </w:tc>
        <w:tc>
          <w:tcPr>
            <w:tcW w:w="1465" w:type="dxa"/>
            <w:noWrap w:val="0"/>
            <w:vAlign w:val="center"/>
          </w:tcPr>
          <w:p w14:paraId="6285D7B3">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c>
          <w:tcPr>
            <w:tcW w:w="1592" w:type="dxa"/>
            <w:gridSpan w:val="2"/>
            <w:noWrap w:val="0"/>
            <w:vAlign w:val="center"/>
          </w:tcPr>
          <w:p w14:paraId="578BD9CA">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占地范围内</w:t>
            </w:r>
          </w:p>
        </w:tc>
        <w:tc>
          <w:tcPr>
            <w:tcW w:w="1529" w:type="dxa"/>
            <w:gridSpan w:val="2"/>
            <w:noWrap w:val="0"/>
            <w:vAlign w:val="center"/>
          </w:tcPr>
          <w:p w14:paraId="1D63497A">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占地范围外</w:t>
            </w:r>
          </w:p>
        </w:tc>
        <w:tc>
          <w:tcPr>
            <w:tcW w:w="985" w:type="dxa"/>
            <w:gridSpan w:val="2"/>
            <w:noWrap w:val="0"/>
            <w:vAlign w:val="center"/>
          </w:tcPr>
          <w:p w14:paraId="51075C75">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深度</w:t>
            </w:r>
          </w:p>
        </w:tc>
        <w:tc>
          <w:tcPr>
            <w:tcW w:w="951" w:type="dxa"/>
            <w:vMerge w:val="restart"/>
            <w:noWrap w:val="0"/>
            <w:vAlign w:val="center"/>
          </w:tcPr>
          <w:p w14:paraId="0A36F447">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点位</w:t>
            </w:r>
          </w:p>
          <w:p w14:paraId="501B4378">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布置图</w:t>
            </w:r>
          </w:p>
        </w:tc>
      </w:tr>
      <w:tr w14:paraId="2BD5E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38" w:type="dxa"/>
            <w:vMerge w:val="continue"/>
            <w:noWrap w:val="0"/>
            <w:vAlign w:val="center"/>
          </w:tcPr>
          <w:p w14:paraId="7097DB2A">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c>
          <w:tcPr>
            <w:tcW w:w="1462" w:type="dxa"/>
            <w:vMerge w:val="continue"/>
            <w:noWrap w:val="0"/>
            <w:vAlign w:val="center"/>
          </w:tcPr>
          <w:p w14:paraId="764C84CC">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c>
          <w:tcPr>
            <w:tcW w:w="1465" w:type="dxa"/>
            <w:noWrap w:val="0"/>
            <w:vAlign w:val="center"/>
          </w:tcPr>
          <w:p w14:paraId="5120AAE8">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表层样点数</w:t>
            </w:r>
          </w:p>
        </w:tc>
        <w:tc>
          <w:tcPr>
            <w:tcW w:w="1592" w:type="dxa"/>
            <w:gridSpan w:val="2"/>
            <w:noWrap w:val="0"/>
            <w:vAlign w:val="center"/>
          </w:tcPr>
          <w:p w14:paraId="61E7FFBB">
            <w:pPr>
              <w:widowControl w:val="0"/>
              <w:adjustRightInd w:val="0"/>
              <w:snapToGrid w:val="0"/>
              <w:spacing w:line="240" w:lineRule="auto"/>
              <w:ind w:left="0" w:leftChars="0" w:firstLine="0" w:firstLineChars="0"/>
              <w:jc w:val="center"/>
              <w:textAlignment w:val="auto"/>
              <w:rPr>
                <w:rFonts w:hint="default"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3</w:t>
            </w:r>
          </w:p>
        </w:tc>
        <w:tc>
          <w:tcPr>
            <w:tcW w:w="1529" w:type="dxa"/>
            <w:gridSpan w:val="2"/>
            <w:noWrap w:val="0"/>
            <w:vAlign w:val="center"/>
          </w:tcPr>
          <w:p w14:paraId="2E87B4E9">
            <w:pPr>
              <w:widowControl w:val="0"/>
              <w:adjustRightInd w:val="0"/>
              <w:snapToGrid w:val="0"/>
              <w:spacing w:line="240" w:lineRule="auto"/>
              <w:ind w:left="0" w:leftChars="0" w:firstLine="0" w:firstLineChars="0"/>
              <w:jc w:val="center"/>
              <w:textAlignment w:val="auto"/>
              <w:rPr>
                <w:rFonts w:hint="default"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w:t>
            </w:r>
          </w:p>
        </w:tc>
        <w:tc>
          <w:tcPr>
            <w:tcW w:w="985" w:type="dxa"/>
            <w:gridSpan w:val="2"/>
            <w:noWrap w:val="0"/>
            <w:vAlign w:val="center"/>
          </w:tcPr>
          <w:p w14:paraId="397A0879">
            <w:pPr>
              <w:widowControl w:val="0"/>
              <w:adjustRightInd w:val="0"/>
              <w:snapToGrid w:val="0"/>
              <w:spacing w:line="240" w:lineRule="auto"/>
              <w:ind w:left="0" w:leftChars="0" w:firstLine="0" w:firstLineChars="0"/>
              <w:jc w:val="center"/>
              <w:textAlignment w:val="auto"/>
              <w:rPr>
                <w:rFonts w:hint="default"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0~0.2</w:t>
            </w:r>
          </w:p>
        </w:tc>
        <w:tc>
          <w:tcPr>
            <w:tcW w:w="951" w:type="dxa"/>
            <w:vMerge w:val="continue"/>
            <w:noWrap w:val="0"/>
            <w:vAlign w:val="center"/>
          </w:tcPr>
          <w:p w14:paraId="06348522">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r>
      <w:tr w14:paraId="1C719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38" w:type="dxa"/>
            <w:vMerge w:val="continue"/>
            <w:noWrap w:val="0"/>
            <w:vAlign w:val="center"/>
          </w:tcPr>
          <w:p w14:paraId="1DBF8502">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c>
          <w:tcPr>
            <w:tcW w:w="1462" w:type="dxa"/>
            <w:vMerge w:val="continue"/>
            <w:noWrap w:val="0"/>
            <w:vAlign w:val="center"/>
          </w:tcPr>
          <w:p w14:paraId="4850700D">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c>
          <w:tcPr>
            <w:tcW w:w="1465" w:type="dxa"/>
            <w:noWrap w:val="0"/>
            <w:vAlign w:val="center"/>
          </w:tcPr>
          <w:p w14:paraId="126EB63B">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柱状样点数</w:t>
            </w:r>
          </w:p>
        </w:tc>
        <w:tc>
          <w:tcPr>
            <w:tcW w:w="1592" w:type="dxa"/>
            <w:gridSpan w:val="2"/>
            <w:noWrap w:val="0"/>
            <w:vAlign w:val="center"/>
          </w:tcPr>
          <w:p w14:paraId="0C7B3DA2">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w:t>
            </w:r>
          </w:p>
        </w:tc>
        <w:tc>
          <w:tcPr>
            <w:tcW w:w="1529" w:type="dxa"/>
            <w:gridSpan w:val="2"/>
            <w:noWrap w:val="0"/>
            <w:vAlign w:val="center"/>
          </w:tcPr>
          <w:p w14:paraId="6BD2D68C">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w:t>
            </w:r>
          </w:p>
        </w:tc>
        <w:tc>
          <w:tcPr>
            <w:tcW w:w="985" w:type="dxa"/>
            <w:gridSpan w:val="2"/>
            <w:noWrap w:val="0"/>
            <w:vAlign w:val="center"/>
          </w:tcPr>
          <w:p w14:paraId="2887BFFB">
            <w:pPr>
              <w:widowControl w:val="0"/>
              <w:adjustRightInd w:val="0"/>
              <w:snapToGrid w:val="0"/>
              <w:spacing w:line="240" w:lineRule="auto"/>
              <w:ind w:left="0" w:leftChars="0" w:firstLine="0" w:firstLineChars="0"/>
              <w:jc w:val="center"/>
              <w:textAlignment w:val="auto"/>
              <w:rPr>
                <w:rFonts w:hint="default"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w:t>
            </w:r>
          </w:p>
        </w:tc>
        <w:tc>
          <w:tcPr>
            <w:tcW w:w="951" w:type="dxa"/>
            <w:vMerge w:val="continue"/>
            <w:noWrap w:val="0"/>
            <w:vAlign w:val="center"/>
          </w:tcPr>
          <w:p w14:paraId="69A32E85">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r>
      <w:tr w14:paraId="78CEB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38" w:type="dxa"/>
            <w:vMerge w:val="continue"/>
            <w:noWrap w:val="0"/>
            <w:vAlign w:val="center"/>
          </w:tcPr>
          <w:p w14:paraId="7D98D3F1">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c>
          <w:tcPr>
            <w:tcW w:w="1462" w:type="dxa"/>
            <w:noWrap w:val="0"/>
            <w:vAlign w:val="center"/>
          </w:tcPr>
          <w:p w14:paraId="6E46CEA3">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现状监测因子</w:t>
            </w:r>
          </w:p>
        </w:tc>
        <w:tc>
          <w:tcPr>
            <w:tcW w:w="5571" w:type="dxa"/>
            <w:gridSpan w:val="7"/>
            <w:noWrap w:val="0"/>
            <w:vAlign w:val="center"/>
          </w:tcPr>
          <w:p w14:paraId="7D2B99FF">
            <w:pPr>
              <w:widowControl w:val="0"/>
              <w:adjustRightInd w:val="0"/>
              <w:snapToGrid w:val="0"/>
              <w:spacing w:line="240" w:lineRule="auto"/>
              <w:ind w:left="0" w:leftChars="0" w:firstLine="0" w:firstLineChars="0"/>
              <w:jc w:val="center"/>
              <w:textAlignment w:val="auto"/>
              <w:rPr>
                <w:rFonts w:hint="default"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砷、镉、铬（六价）、铜、铅、汞、镍、四氯化碳、氯仿、氯甲烷、1,1-二氯乙烷、1,2-二氯乙烷、1,1-二氯乙烯、顺-1,2-二氯乙烯、反-1,2-二氯乙烯、二氯甲烷、1,2-二氯丙烷、1,1,1,2-四氯乙烷、1,1,2,2-四氯乙烷、四氯乙烯、1,1,1-三氯乙烷、1,1,2-三氯乙烷、三氯乙烯、1,2,3-三氯丙烷、氯乙烯、苯、氯苯、1,2-二氯苯、1,4-二氯苯、乙苯、苯乙烯、甲苯、间二甲苯+对二甲苯、邻二甲苯、硝基苯、苯胺、2-氯酚、苯并[a]蒽、苯并[a]芘、苯并[b]荧蒽、苯并[k]荧蒽、䓛（又名1，2-苯并菲）、二苯并[a,h]蒽、茚并[1,2,3-cd]芘、萘、pH</w:t>
            </w:r>
          </w:p>
        </w:tc>
        <w:tc>
          <w:tcPr>
            <w:tcW w:w="951" w:type="dxa"/>
            <w:noWrap w:val="0"/>
            <w:vAlign w:val="center"/>
          </w:tcPr>
          <w:p w14:paraId="7389ACD8">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r>
      <w:tr w14:paraId="70905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38" w:type="dxa"/>
            <w:vMerge w:val="restart"/>
            <w:noWrap w:val="0"/>
            <w:vAlign w:val="center"/>
          </w:tcPr>
          <w:p w14:paraId="27E949FC">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现状评价</w:t>
            </w:r>
          </w:p>
        </w:tc>
        <w:tc>
          <w:tcPr>
            <w:tcW w:w="1462" w:type="dxa"/>
            <w:noWrap w:val="0"/>
            <w:vAlign w:val="center"/>
          </w:tcPr>
          <w:p w14:paraId="0F8C6E90">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评价因子</w:t>
            </w:r>
          </w:p>
        </w:tc>
        <w:tc>
          <w:tcPr>
            <w:tcW w:w="5571" w:type="dxa"/>
            <w:gridSpan w:val="7"/>
            <w:noWrap w:val="0"/>
            <w:vAlign w:val="center"/>
          </w:tcPr>
          <w:p w14:paraId="6C70B9C6">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汞</w:t>
            </w:r>
          </w:p>
        </w:tc>
        <w:tc>
          <w:tcPr>
            <w:tcW w:w="951" w:type="dxa"/>
            <w:noWrap w:val="0"/>
            <w:vAlign w:val="center"/>
          </w:tcPr>
          <w:p w14:paraId="628360C1">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r>
      <w:tr w14:paraId="123A2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38" w:type="dxa"/>
            <w:vMerge w:val="continue"/>
            <w:noWrap w:val="0"/>
            <w:vAlign w:val="center"/>
          </w:tcPr>
          <w:p w14:paraId="57A72A7B">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c>
          <w:tcPr>
            <w:tcW w:w="1462" w:type="dxa"/>
            <w:noWrap w:val="0"/>
            <w:vAlign w:val="center"/>
          </w:tcPr>
          <w:p w14:paraId="206E4127">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评价标准</w:t>
            </w:r>
          </w:p>
        </w:tc>
        <w:tc>
          <w:tcPr>
            <w:tcW w:w="5571" w:type="dxa"/>
            <w:gridSpan w:val="7"/>
            <w:noWrap w:val="0"/>
            <w:vAlign w:val="center"/>
          </w:tcPr>
          <w:p w14:paraId="6408947F">
            <w:pPr>
              <w:widowControl w:val="0"/>
              <w:adjustRightInd w:val="0"/>
              <w:snapToGrid w:val="0"/>
              <w:spacing w:line="240" w:lineRule="auto"/>
              <w:ind w:left="0" w:leftChars="0" w:firstLine="0" w:firstLineChars="0"/>
              <w:jc w:val="center"/>
              <w:textAlignment w:val="auto"/>
              <w:rPr>
                <w:rFonts w:hint="default"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GB15618</w:t>
            </w:r>
            <w:r>
              <w:rPr>
                <w:rFonts w:hint="eastAsia" w:ascii="Times New Roman" w:hAnsi="Times New Roman" w:eastAsia="宋体" w:cs="Times New Roman"/>
                <w:kern w:val="2"/>
                <w:sz w:val="18"/>
                <w:szCs w:val="18"/>
                <w:highlight w:val="none"/>
                <w:lang w:val="en-US" w:eastAsia="zh-CN" w:bidi="ar-SA"/>
              </w:rPr>
              <w:sym w:font="Wingdings 2" w:char="0052"/>
            </w:r>
            <w:r>
              <w:rPr>
                <w:rFonts w:hint="eastAsia" w:ascii="Times New Roman" w:hAnsi="Times New Roman" w:eastAsia="宋体" w:cs="Times New Roman"/>
                <w:kern w:val="2"/>
                <w:sz w:val="18"/>
                <w:szCs w:val="18"/>
                <w:highlight w:val="none"/>
                <w:lang w:val="en-US" w:eastAsia="zh-CN" w:bidi="ar-SA"/>
              </w:rPr>
              <w:t>；GB36600</w:t>
            </w:r>
            <w:r>
              <w:rPr>
                <w:rFonts w:hint="eastAsia" w:ascii="Times New Roman" w:hAnsi="Times New Roman" w:eastAsia="宋体" w:cs="Times New Roman"/>
                <w:kern w:val="2"/>
                <w:sz w:val="18"/>
                <w:szCs w:val="18"/>
                <w:highlight w:val="none"/>
                <w:lang w:val="en-US" w:eastAsia="zh-CN" w:bidi="ar-SA"/>
              </w:rPr>
              <w:sym w:font="Wingdings 2" w:char="0052"/>
            </w:r>
            <w:r>
              <w:rPr>
                <w:rFonts w:hint="eastAsia" w:ascii="Times New Roman" w:hAnsi="Times New Roman" w:eastAsia="宋体" w:cs="Times New Roman"/>
                <w:kern w:val="2"/>
                <w:sz w:val="18"/>
                <w:szCs w:val="18"/>
                <w:highlight w:val="none"/>
                <w:lang w:val="en-US" w:eastAsia="zh-CN" w:bidi="ar-SA"/>
              </w:rPr>
              <w:t>；表D.1</w:t>
            </w:r>
            <w:r>
              <w:rPr>
                <w:rFonts w:hint="eastAsia" w:ascii="Times New Roman" w:hAnsi="Times New Roman" w:eastAsia="宋体" w:cs="Times New Roman"/>
                <w:kern w:val="2"/>
                <w:sz w:val="18"/>
                <w:szCs w:val="18"/>
                <w:highlight w:val="none"/>
                <w:lang w:val="en-US" w:eastAsia="zh-CN" w:bidi="ar-SA"/>
              </w:rPr>
              <w:sym w:font="Wingdings 2" w:char="00A3"/>
            </w:r>
            <w:r>
              <w:rPr>
                <w:rFonts w:hint="eastAsia" w:ascii="Times New Roman" w:hAnsi="Times New Roman" w:eastAsia="宋体" w:cs="Times New Roman"/>
                <w:kern w:val="2"/>
                <w:sz w:val="18"/>
                <w:szCs w:val="18"/>
                <w:highlight w:val="none"/>
                <w:lang w:val="en-US" w:eastAsia="zh-CN" w:bidi="ar-SA"/>
              </w:rPr>
              <w:t>；表D.2</w:t>
            </w:r>
            <w:r>
              <w:rPr>
                <w:rFonts w:hint="eastAsia" w:ascii="Times New Roman" w:hAnsi="Times New Roman" w:eastAsia="宋体" w:cs="Times New Roman"/>
                <w:kern w:val="2"/>
                <w:sz w:val="18"/>
                <w:szCs w:val="18"/>
                <w:highlight w:val="none"/>
                <w:lang w:val="en-US" w:eastAsia="zh-CN" w:bidi="ar-SA"/>
              </w:rPr>
              <w:sym w:font="Wingdings 2" w:char="00A3"/>
            </w:r>
            <w:r>
              <w:rPr>
                <w:rFonts w:hint="eastAsia" w:ascii="Times New Roman" w:hAnsi="Times New Roman" w:eastAsia="宋体" w:cs="Times New Roman"/>
                <w:kern w:val="2"/>
                <w:sz w:val="18"/>
                <w:szCs w:val="18"/>
                <w:highlight w:val="none"/>
                <w:lang w:val="en-US" w:eastAsia="zh-CN" w:bidi="ar-SA"/>
              </w:rPr>
              <w:t>；其他（   ）</w:t>
            </w:r>
          </w:p>
        </w:tc>
        <w:tc>
          <w:tcPr>
            <w:tcW w:w="951" w:type="dxa"/>
            <w:noWrap w:val="0"/>
            <w:vAlign w:val="center"/>
          </w:tcPr>
          <w:p w14:paraId="7BB26D95">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r>
      <w:tr w14:paraId="37A5D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538" w:type="dxa"/>
            <w:vMerge w:val="continue"/>
            <w:noWrap w:val="0"/>
            <w:vAlign w:val="center"/>
          </w:tcPr>
          <w:p w14:paraId="1BD6C068">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c>
          <w:tcPr>
            <w:tcW w:w="1462" w:type="dxa"/>
            <w:noWrap w:val="0"/>
            <w:vAlign w:val="center"/>
          </w:tcPr>
          <w:p w14:paraId="74254C2B">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现状评价结论</w:t>
            </w:r>
          </w:p>
        </w:tc>
        <w:tc>
          <w:tcPr>
            <w:tcW w:w="5571" w:type="dxa"/>
            <w:gridSpan w:val="7"/>
            <w:noWrap w:val="0"/>
            <w:vAlign w:val="center"/>
          </w:tcPr>
          <w:p w14:paraId="1D2E2E5C">
            <w:pPr>
              <w:widowControl w:val="0"/>
              <w:adjustRightInd w:val="0"/>
              <w:snapToGrid w:val="0"/>
              <w:spacing w:line="240" w:lineRule="auto"/>
              <w:ind w:left="0" w:leftChars="0" w:firstLine="0" w:firstLineChars="0"/>
              <w:jc w:val="center"/>
              <w:textAlignment w:val="auto"/>
              <w:rPr>
                <w:rFonts w:hint="default"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 xml:space="preserve">达标 </w:t>
            </w:r>
          </w:p>
        </w:tc>
        <w:tc>
          <w:tcPr>
            <w:tcW w:w="951" w:type="dxa"/>
            <w:noWrap w:val="0"/>
            <w:vAlign w:val="center"/>
          </w:tcPr>
          <w:p w14:paraId="7708F5C7">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r>
      <w:tr w14:paraId="18C34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38" w:type="dxa"/>
            <w:vMerge w:val="restart"/>
            <w:noWrap w:val="0"/>
            <w:vAlign w:val="center"/>
          </w:tcPr>
          <w:p w14:paraId="6F7E229A">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影响预测</w:t>
            </w:r>
          </w:p>
        </w:tc>
        <w:tc>
          <w:tcPr>
            <w:tcW w:w="1462" w:type="dxa"/>
            <w:noWrap w:val="0"/>
            <w:vAlign w:val="center"/>
          </w:tcPr>
          <w:p w14:paraId="4FC55A09">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预测因子</w:t>
            </w:r>
          </w:p>
        </w:tc>
        <w:tc>
          <w:tcPr>
            <w:tcW w:w="5571" w:type="dxa"/>
            <w:gridSpan w:val="7"/>
            <w:noWrap w:val="0"/>
            <w:vAlign w:val="center"/>
          </w:tcPr>
          <w:p w14:paraId="6C112F3E">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汞</w:t>
            </w:r>
          </w:p>
        </w:tc>
        <w:tc>
          <w:tcPr>
            <w:tcW w:w="951" w:type="dxa"/>
            <w:noWrap w:val="0"/>
            <w:vAlign w:val="center"/>
          </w:tcPr>
          <w:p w14:paraId="2E0A2810">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r>
      <w:tr w14:paraId="357B9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38" w:type="dxa"/>
            <w:vMerge w:val="continue"/>
            <w:noWrap w:val="0"/>
            <w:vAlign w:val="center"/>
          </w:tcPr>
          <w:p w14:paraId="3D79CAB5">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c>
          <w:tcPr>
            <w:tcW w:w="1462" w:type="dxa"/>
            <w:noWrap w:val="0"/>
            <w:vAlign w:val="center"/>
          </w:tcPr>
          <w:p w14:paraId="3A18235A">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预测方法</w:t>
            </w:r>
          </w:p>
        </w:tc>
        <w:tc>
          <w:tcPr>
            <w:tcW w:w="5571" w:type="dxa"/>
            <w:gridSpan w:val="7"/>
            <w:noWrap w:val="0"/>
            <w:vAlign w:val="center"/>
          </w:tcPr>
          <w:p w14:paraId="7404E774">
            <w:pPr>
              <w:widowControl w:val="0"/>
              <w:adjustRightInd w:val="0"/>
              <w:snapToGrid w:val="0"/>
              <w:spacing w:line="240" w:lineRule="auto"/>
              <w:ind w:left="0" w:leftChars="0" w:firstLine="0" w:firstLineChars="0"/>
              <w:jc w:val="center"/>
              <w:textAlignment w:val="auto"/>
              <w:rPr>
                <w:rFonts w:hint="default"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附录E</w:t>
            </w:r>
            <w:r>
              <w:rPr>
                <w:rFonts w:hint="eastAsia" w:ascii="Times New Roman" w:hAnsi="Times New Roman" w:eastAsia="宋体" w:cs="Times New Roman"/>
                <w:kern w:val="2"/>
                <w:sz w:val="18"/>
                <w:szCs w:val="18"/>
                <w:highlight w:val="none"/>
                <w:lang w:val="en-US" w:eastAsia="zh-CN" w:bidi="ar-SA"/>
              </w:rPr>
              <w:sym w:font="Wingdings 2" w:char="0052"/>
            </w:r>
            <w:r>
              <w:rPr>
                <w:rFonts w:hint="eastAsia" w:ascii="Times New Roman" w:hAnsi="Times New Roman" w:eastAsia="宋体" w:cs="Times New Roman"/>
                <w:kern w:val="2"/>
                <w:sz w:val="18"/>
                <w:szCs w:val="18"/>
                <w:highlight w:val="none"/>
                <w:lang w:val="en-US" w:eastAsia="zh-CN" w:bidi="ar-SA"/>
              </w:rPr>
              <w:t>；附录F</w:t>
            </w:r>
            <w:r>
              <w:rPr>
                <w:rFonts w:hint="eastAsia" w:ascii="Times New Roman" w:hAnsi="Times New Roman" w:eastAsia="宋体" w:cs="Times New Roman"/>
                <w:kern w:val="2"/>
                <w:sz w:val="18"/>
                <w:szCs w:val="18"/>
                <w:highlight w:val="none"/>
                <w:lang w:val="en-US" w:eastAsia="zh-CN" w:bidi="ar-SA"/>
              </w:rPr>
              <w:sym w:font="Wingdings 2" w:char="00A3"/>
            </w:r>
            <w:r>
              <w:rPr>
                <w:rFonts w:hint="eastAsia" w:ascii="Times New Roman" w:hAnsi="Times New Roman" w:eastAsia="宋体" w:cs="Times New Roman"/>
                <w:kern w:val="2"/>
                <w:sz w:val="18"/>
                <w:szCs w:val="18"/>
                <w:highlight w:val="none"/>
                <w:lang w:val="en-US" w:eastAsia="zh-CN" w:bidi="ar-SA"/>
              </w:rPr>
              <w:t>；其他（   ）</w:t>
            </w:r>
          </w:p>
        </w:tc>
        <w:tc>
          <w:tcPr>
            <w:tcW w:w="951" w:type="dxa"/>
            <w:noWrap w:val="0"/>
            <w:vAlign w:val="center"/>
          </w:tcPr>
          <w:p w14:paraId="1CA7844D">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r>
      <w:tr w14:paraId="1EC49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38" w:type="dxa"/>
            <w:vMerge w:val="continue"/>
            <w:noWrap w:val="0"/>
            <w:vAlign w:val="center"/>
          </w:tcPr>
          <w:p w14:paraId="57B00F26">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c>
          <w:tcPr>
            <w:tcW w:w="1462" w:type="dxa"/>
            <w:noWrap w:val="0"/>
            <w:vAlign w:val="center"/>
          </w:tcPr>
          <w:p w14:paraId="3980E2A7">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预测分析内容</w:t>
            </w:r>
          </w:p>
        </w:tc>
        <w:tc>
          <w:tcPr>
            <w:tcW w:w="5571" w:type="dxa"/>
            <w:gridSpan w:val="7"/>
            <w:noWrap w:val="0"/>
            <w:vAlign w:val="center"/>
          </w:tcPr>
          <w:p w14:paraId="337374E3">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影响范围（厂界外0.05km）</w:t>
            </w:r>
          </w:p>
          <w:p w14:paraId="5AC954A6">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影响程度（较小）</w:t>
            </w:r>
          </w:p>
        </w:tc>
        <w:tc>
          <w:tcPr>
            <w:tcW w:w="951" w:type="dxa"/>
            <w:noWrap w:val="0"/>
            <w:vAlign w:val="center"/>
          </w:tcPr>
          <w:p w14:paraId="035763CB">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r>
      <w:tr w14:paraId="4279A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38" w:type="dxa"/>
            <w:vMerge w:val="continue"/>
            <w:noWrap w:val="0"/>
            <w:vAlign w:val="center"/>
          </w:tcPr>
          <w:p w14:paraId="45A04818">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c>
          <w:tcPr>
            <w:tcW w:w="1462" w:type="dxa"/>
            <w:noWrap w:val="0"/>
            <w:vAlign w:val="center"/>
          </w:tcPr>
          <w:p w14:paraId="72B3BF7E">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预测结论</w:t>
            </w:r>
          </w:p>
        </w:tc>
        <w:tc>
          <w:tcPr>
            <w:tcW w:w="5571" w:type="dxa"/>
            <w:gridSpan w:val="7"/>
            <w:noWrap w:val="0"/>
            <w:vAlign w:val="center"/>
          </w:tcPr>
          <w:p w14:paraId="68FBAE88">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达标结论：a）</w:t>
            </w:r>
            <w:r>
              <w:rPr>
                <w:rFonts w:hint="eastAsia" w:ascii="Times New Roman" w:hAnsi="Times New Roman" w:eastAsia="宋体" w:cs="Times New Roman"/>
                <w:kern w:val="2"/>
                <w:sz w:val="18"/>
                <w:szCs w:val="18"/>
                <w:highlight w:val="none"/>
                <w:lang w:val="en-US" w:eastAsia="zh-CN" w:bidi="ar-SA"/>
              </w:rPr>
              <w:sym w:font="Wingdings 2" w:char="0052"/>
            </w:r>
            <w:r>
              <w:rPr>
                <w:rFonts w:hint="eastAsia" w:ascii="Times New Roman" w:hAnsi="Times New Roman" w:eastAsia="宋体" w:cs="Times New Roman"/>
                <w:kern w:val="2"/>
                <w:sz w:val="18"/>
                <w:szCs w:val="18"/>
                <w:highlight w:val="none"/>
                <w:lang w:val="en-US" w:eastAsia="zh-CN" w:bidi="ar-SA"/>
              </w:rPr>
              <w:t>；b）</w:t>
            </w:r>
            <w:r>
              <w:rPr>
                <w:rFonts w:hint="eastAsia" w:ascii="Times New Roman" w:hAnsi="Times New Roman" w:eastAsia="宋体" w:cs="Times New Roman"/>
                <w:kern w:val="2"/>
                <w:sz w:val="18"/>
                <w:szCs w:val="18"/>
                <w:highlight w:val="none"/>
                <w:lang w:val="en-US" w:eastAsia="zh-CN" w:bidi="ar-SA"/>
              </w:rPr>
              <w:sym w:font="Wingdings 2" w:char="00A3"/>
            </w:r>
            <w:r>
              <w:rPr>
                <w:rFonts w:hint="eastAsia" w:ascii="Times New Roman" w:hAnsi="Times New Roman" w:eastAsia="宋体" w:cs="Times New Roman"/>
                <w:kern w:val="2"/>
                <w:sz w:val="18"/>
                <w:szCs w:val="18"/>
                <w:highlight w:val="none"/>
                <w:lang w:val="en-US" w:eastAsia="zh-CN" w:bidi="ar-SA"/>
              </w:rPr>
              <w:t>；c）</w:t>
            </w:r>
            <w:r>
              <w:rPr>
                <w:rFonts w:hint="eastAsia" w:ascii="Times New Roman" w:hAnsi="Times New Roman" w:eastAsia="宋体" w:cs="Times New Roman"/>
                <w:kern w:val="2"/>
                <w:sz w:val="18"/>
                <w:szCs w:val="18"/>
                <w:highlight w:val="none"/>
                <w:lang w:val="en-US" w:eastAsia="zh-CN" w:bidi="ar-SA"/>
              </w:rPr>
              <w:sym w:font="Wingdings 2" w:char="00A3"/>
            </w:r>
          </w:p>
          <w:p w14:paraId="455689BB">
            <w:pPr>
              <w:widowControl w:val="0"/>
              <w:adjustRightInd w:val="0"/>
              <w:snapToGrid w:val="0"/>
              <w:spacing w:line="240" w:lineRule="auto"/>
              <w:ind w:left="0" w:leftChars="0" w:firstLine="0" w:firstLineChars="0"/>
              <w:jc w:val="center"/>
              <w:textAlignment w:val="auto"/>
              <w:rPr>
                <w:rFonts w:hint="default"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不达标结论：a）</w:t>
            </w:r>
            <w:r>
              <w:rPr>
                <w:rFonts w:hint="eastAsia" w:ascii="Times New Roman" w:hAnsi="Times New Roman" w:eastAsia="宋体" w:cs="Times New Roman"/>
                <w:kern w:val="2"/>
                <w:sz w:val="18"/>
                <w:szCs w:val="18"/>
                <w:highlight w:val="none"/>
                <w:lang w:val="en-US" w:eastAsia="zh-CN" w:bidi="ar-SA"/>
              </w:rPr>
              <w:sym w:font="Wingdings 2" w:char="00A3"/>
            </w:r>
            <w:r>
              <w:rPr>
                <w:rFonts w:hint="eastAsia" w:ascii="Times New Roman" w:hAnsi="Times New Roman" w:eastAsia="宋体" w:cs="Times New Roman"/>
                <w:kern w:val="2"/>
                <w:sz w:val="18"/>
                <w:szCs w:val="18"/>
                <w:highlight w:val="none"/>
                <w:lang w:val="en-US" w:eastAsia="zh-CN" w:bidi="ar-SA"/>
              </w:rPr>
              <w:t>；b）</w:t>
            </w:r>
            <w:r>
              <w:rPr>
                <w:rFonts w:hint="eastAsia" w:ascii="Times New Roman" w:hAnsi="Times New Roman" w:eastAsia="宋体" w:cs="Times New Roman"/>
                <w:kern w:val="2"/>
                <w:sz w:val="18"/>
                <w:szCs w:val="18"/>
                <w:highlight w:val="none"/>
                <w:lang w:val="en-US" w:eastAsia="zh-CN" w:bidi="ar-SA"/>
              </w:rPr>
              <w:sym w:font="Wingdings 2" w:char="00A3"/>
            </w:r>
          </w:p>
        </w:tc>
        <w:tc>
          <w:tcPr>
            <w:tcW w:w="951" w:type="dxa"/>
            <w:noWrap w:val="0"/>
            <w:vAlign w:val="center"/>
          </w:tcPr>
          <w:p w14:paraId="5C434650">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r>
      <w:tr w14:paraId="0D164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38" w:type="dxa"/>
            <w:vMerge w:val="restart"/>
            <w:noWrap w:val="0"/>
            <w:vAlign w:val="center"/>
          </w:tcPr>
          <w:p w14:paraId="37E60E41">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防治措施</w:t>
            </w:r>
          </w:p>
        </w:tc>
        <w:tc>
          <w:tcPr>
            <w:tcW w:w="1462" w:type="dxa"/>
            <w:noWrap w:val="0"/>
            <w:vAlign w:val="center"/>
          </w:tcPr>
          <w:p w14:paraId="2EA2E330">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防控措施</w:t>
            </w:r>
          </w:p>
        </w:tc>
        <w:tc>
          <w:tcPr>
            <w:tcW w:w="5571" w:type="dxa"/>
            <w:gridSpan w:val="7"/>
            <w:noWrap w:val="0"/>
            <w:vAlign w:val="center"/>
          </w:tcPr>
          <w:p w14:paraId="78B4EEE1">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土壤环境质量现状保障</w:t>
            </w:r>
            <w:r>
              <w:rPr>
                <w:rFonts w:hint="eastAsia" w:ascii="Times New Roman" w:hAnsi="Times New Roman" w:eastAsia="宋体" w:cs="Times New Roman"/>
                <w:kern w:val="2"/>
                <w:sz w:val="18"/>
                <w:szCs w:val="18"/>
                <w:highlight w:val="none"/>
                <w:lang w:val="en-US" w:eastAsia="zh-CN" w:bidi="ar-SA"/>
              </w:rPr>
              <w:sym w:font="Wingdings 2" w:char="0052"/>
            </w:r>
            <w:r>
              <w:rPr>
                <w:rFonts w:hint="eastAsia" w:ascii="Times New Roman" w:hAnsi="Times New Roman" w:eastAsia="宋体" w:cs="Times New Roman"/>
                <w:kern w:val="2"/>
                <w:sz w:val="18"/>
                <w:szCs w:val="18"/>
                <w:highlight w:val="none"/>
                <w:lang w:val="en-US" w:eastAsia="zh-CN" w:bidi="ar-SA"/>
              </w:rPr>
              <w:t>；源头控制</w:t>
            </w:r>
            <w:r>
              <w:rPr>
                <w:rFonts w:hint="eastAsia" w:ascii="Times New Roman" w:hAnsi="Times New Roman" w:eastAsia="宋体" w:cs="Times New Roman"/>
                <w:kern w:val="2"/>
                <w:sz w:val="18"/>
                <w:szCs w:val="18"/>
                <w:highlight w:val="none"/>
                <w:lang w:val="en-US" w:eastAsia="zh-CN" w:bidi="ar-SA"/>
              </w:rPr>
              <w:sym w:font="Wingdings 2" w:char="0052"/>
            </w:r>
            <w:r>
              <w:rPr>
                <w:rFonts w:hint="eastAsia" w:ascii="Times New Roman" w:hAnsi="Times New Roman" w:eastAsia="宋体" w:cs="Times New Roman"/>
                <w:kern w:val="2"/>
                <w:sz w:val="18"/>
                <w:szCs w:val="18"/>
                <w:highlight w:val="none"/>
                <w:lang w:val="en-US" w:eastAsia="zh-CN" w:bidi="ar-SA"/>
              </w:rPr>
              <w:t>；过程防控</w:t>
            </w:r>
            <w:r>
              <w:rPr>
                <w:rFonts w:hint="eastAsia" w:ascii="Times New Roman" w:hAnsi="Times New Roman" w:eastAsia="宋体" w:cs="Times New Roman"/>
                <w:kern w:val="2"/>
                <w:sz w:val="18"/>
                <w:szCs w:val="18"/>
                <w:highlight w:val="none"/>
                <w:lang w:val="en-US" w:eastAsia="zh-CN" w:bidi="ar-SA"/>
              </w:rPr>
              <w:sym w:font="Wingdings 2" w:char="0052"/>
            </w:r>
            <w:r>
              <w:rPr>
                <w:rFonts w:hint="eastAsia" w:ascii="Times New Roman" w:hAnsi="Times New Roman" w:eastAsia="宋体" w:cs="Times New Roman"/>
                <w:kern w:val="2"/>
                <w:sz w:val="18"/>
                <w:szCs w:val="18"/>
                <w:highlight w:val="none"/>
                <w:lang w:val="en-US" w:eastAsia="zh-CN" w:bidi="ar-SA"/>
              </w:rPr>
              <w:t>；其他（    ）</w:t>
            </w:r>
          </w:p>
        </w:tc>
        <w:tc>
          <w:tcPr>
            <w:tcW w:w="951" w:type="dxa"/>
            <w:noWrap w:val="0"/>
            <w:vAlign w:val="center"/>
          </w:tcPr>
          <w:p w14:paraId="309D4AF4">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r>
      <w:tr w14:paraId="13540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38" w:type="dxa"/>
            <w:vMerge w:val="continue"/>
            <w:noWrap w:val="0"/>
            <w:vAlign w:val="center"/>
          </w:tcPr>
          <w:p w14:paraId="4D132EAE">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c>
          <w:tcPr>
            <w:tcW w:w="1462" w:type="dxa"/>
            <w:vMerge w:val="restart"/>
            <w:noWrap w:val="0"/>
            <w:vAlign w:val="center"/>
          </w:tcPr>
          <w:p w14:paraId="4E09735D">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跟踪监测</w:t>
            </w:r>
          </w:p>
        </w:tc>
        <w:tc>
          <w:tcPr>
            <w:tcW w:w="2171" w:type="dxa"/>
            <w:gridSpan w:val="2"/>
            <w:noWrap w:val="0"/>
            <w:vAlign w:val="center"/>
          </w:tcPr>
          <w:p w14:paraId="50BDE55E">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监测点数</w:t>
            </w:r>
          </w:p>
        </w:tc>
        <w:tc>
          <w:tcPr>
            <w:tcW w:w="1560" w:type="dxa"/>
            <w:gridSpan w:val="2"/>
            <w:noWrap w:val="0"/>
            <w:vAlign w:val="center"/>
          </w:tcPr>
          <w:p w14:paraId="453EE918">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监测指标</w:t>
            </w:r>
          </w:p>
        </w:tc>
        <w:tc>
          <w:tcPr>
            <w:tcW w:w="1840" w:type="dxa"/>
            <w:gridSpan w:val="3"/>
            <w:noWrap w:val="0"/>
            <w:vAlign w:val="center"/>
          </w:tcPr>
          <w:p w14:paraId="3C221658">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监测频次</w:t>
            </w:r>
          </w:p>
        </w:tc>
        <w:tc>
          <w:tcPr>
            <w:tcW w:w="951" w:type="dxa"/>
            <w:noWrap w:val="0"/>
            <w:vAlign w:val="center"/>
          </w:tcPr>
          <w:p w14:paraId="6E6C970A">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r>
      <w:tr w14:paraId="3E653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38" w:type="dxa"/>
            <w:vMerge w:val="continue"/>
            <w:noWrap w:val="0"/>
            <w:vAlign w:val="center"/>
          </w:tcPr>
          <w:p w14:paraId="11CAF2AE">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c>
          <w:tcPr>
            <w:tcW w:w="1462" w:type="dxa"/>
            <w:vMerge w:val="continue"/>
            <w:noWrap w:val="0"/>
            <w:vAlign w:val="center"/>
          </w:tcPr>
          <w:p w14:paraId="675F27E5">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c>
          <w:tcPr>
            <w:tcW w:w="2171" w:type="dxa"/>
            <w:gridSpan w:val="2"/>
            <w:noWrap w:val="0"/>
            <w:vAlign w:val="center"/>
          </w:tcPr>
          <w:p w14:paraId="7DBC2549">
            <w:pPr>
              <w:widowControl w:val="0"/>
              <w:adjustRightInd w:val="0"/>
              <w:snapToGrid w:val="0"/>
              <w:spacing w:line="240" w:lineRule="auto"/>
              <w:ind w:left="0" w:leftChars="0" w:firstLine="0" w:firstLineChars="0"/>
              <w:jc w:val="center"/>
              <w:textAlignment w:val="auto"/>
              <w:rPr>
                <w:rFonts w:hint="default"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1</w:t>
            </w:r>
          </w:p>
        </w:tc>
        <w:tc>
          <w:tcPr>
            <w:tcW w:w="1560" w:type="dxa"/>
            <w:gridSpan w:val="2"/>
            <w:noWrap w:val="0"/>
            <w:vAlign w:val="center"/>
          </w:tcPr>
          <w:p w14:paraId="0ED57532">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汞</w:t>
            </w:r>
          </w:p>
        </w:tc>
        <w:tc>
          <w:tcPr>
            <w:tcW w:w="1840" w:type="dxa"/>
            <w:gridSpan w:val="3"/>
            <w:noWrap w:val="0"/>
            <w:vAlign w:val="center"/>
          </w:tcPr>
          <w:p w14:paraId="0FF04D76">
            <w:pPr>
              <w:widowControl w:val="0"/>
              <w:adjustRightInd w:val="0"/>
              <w:snapToGrid w:val="0"/>
              <w:spacing w:line="240" w:lineRule="auto"/>
              <w:ind w:left="0" w:leftChars="0" w:firstLine="0" w:firstLineChars="0"/>
              <w:jc w:val="center"/>
              <w:textAlignment w:val="auto"/>
              <w:rPr>
                <w:rFonts w:hint="default"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5年一次</w:t>
            </w:r>
          </w:p>
        </w:tc>
        <w:tc>
          <w:tcPr>
            <w:tcW w:w="951" w:type="dxa"/>
            <w:noWrap w:val="0"/>
            <w:vAlign w:val="center"/>
          </w:tcPr>
          <w:p w14:paraId="6D76C5DB">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r>
      <w:tr w14:paraId="2271B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38" w:type="dxa"/>
            <w:vMerge w:val="continue"/>
            <w:noWrap w:val="0"/>
            <w:vAlign w:val="center"/>
          </w:tcPr>
          <w:p w14:paraId="7A5E19B6">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c>
          <w:tcPr>
            <w:tcW w:w="1462" w:type="dxa"/>
            <w:noWrap w:val="0"/>
            <w:vAlign w:val="center"/>
          </w:tcPr>
          <w:p w14:paraId="28CC16F9">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信息公开指标</w:t>
            </w:r>
          </w:p>
        </w:tc>
        <w:tc>
          <w:tcPr>
            <w:tcW w:w="5571" w:type="dxa"/>
            <w:gridSpan w:val="7"/>
            <w:noWrap w:val="0"/>
            <w:vAlign w:val="center"/>
          </w:tcPr>
          <w:p w14:paraId="6431520F">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土壤环境跟踪监测达标情况</w:t>
            </w:r>
          </w:p>
        </w:tc>
        <w:tc>
          <w:tcPr>
            <w:tcW w:w="951" w:type="dxa"/>
            <w:noWrap w:val="0"/>
            <w:vAlign w:val="center"/>
          </w:tcPr>
          <w:p w14:paraId="0E9A4418">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r>
      <w:tr w14:paraId="0FAE4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000" w:type="dxa"/>
            <w:gridSpan w:val="2"/>
            <w:noWrap w:val="0"/>
            <w:vAlign w:val="center"/>
          </w:tcPr>
          <w:p w14:paraId="7FF30B2E">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评价结论</w:t>
            </w:r>
          </w:p>
        </w:tc>
        <w:tc>
          <w:tcPr>
            <w:tcW w:w="5571" w:type="dxa"/>
            <w:gridSpan w:val="7"/>
            <w:noWrap w:val="0"/>
            <w:vAlign w:val="center"/>
          </w:tcPr>
          <w:p w14:paraId="3AFA9EE5">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可接受</w:t>
            </w:r>
          </w:p>
        </w:tc>
        <w:tc>
          <w:tcPr>
            <w:tcW w:w="951" w:type="dxa"/>
            <w:noWrap w:val="0"/>
            <w:vAlign w:val="center"/>
          </w:tcPr>
          <w:p w14:paraId="083F2CEA">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r>
      <w:tr w14:paraId="252B8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7570" w:type="dxa"/>
            <w:gridSpan w:val="8"/>
            <w:noWrap w:val="0"/>
            <w:vAlign w:val="center"/>
          </w:tcPr>
          <w:p w14:paraId="5DA078C8">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注1：“□”为勾选项，可√；“（  ）”为内容填写项；“备注”为其他补充内容。</w:t>
            </w:r>
          </w:p>
          <w:p w14:paraId="3599591B">
            <w:pPr>
              <w:widowControl w:val="0"/>
              <w:adjustRightInd w:val="0"/>
              <w:snapToGrid w:val="0"/>
              <w:spacing w:line="240" w:lineRule="auto"/>
              <w:ind w:left="0" w:leftChars="0" w:firstLine="0" w:firstLineChars="0"/>
              <w:jc w:val="center"/>
              <w:textAlignment w:val="auto"/>
              <w:rPr>
                <w:rFonts w:hint="default" w:ascii="Times New Roman" w:hAnsi="Times New Roman" w:eastAsia="宋体" w:cs="Times New Roman"/>
                <w:kern w:val="2"/>
                <w:sz w:val="18"/>
                <w:szCs w:val="18"/>
                <w:highlight w:val="none"/>
                <w:lang w:val="en-US" w:eastAsia="zh-CN" w:bidi="ar-SA"/>
              </w:rPr>
            </w:pPr>
            <w:r>
              <w:rPr>
                <w:rFonts w:hint="eastAsia" w:ascii="Times New Roman" w:hAnsi="Times New Roman" w:eastAsia="宋体" w:cs="Times New Roman"/>
                <w:kern w:val="2"/>
                <w:sz w:val="18"/>
                <w:szCs w:val="18"/>
                <w:highlight w:val="none"/>
                <w:lang w:val="en-US" w:eastAsia="zh-CN" w:bidi="ar-SA"/>
              </w:rPr>
              <w:t>注2：需要分别开展土壤环境影响评级工作的，分别填写自查表。</w:t>
            </w:r>
          </w:p>
        </w:tc>
        <w:tc>
          <w:tcPr>
            <w:tcW w:w="952" w:type="dxa"/>
            <w:gridSpan w:val="2"/>
            <w:noWrap w:val="0"/>
            <w:vAlign w:val="center"/>
          </w:tcPr>
          <w:p w14:paraId="181BD784">
            <w:pPr>
              <w:widowControl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18"/>
                <w:szCs w:val="18"/>
                <w:highlight w:val="none"/>
                <w:lang w:val="en-US" w:eastAsia="zh-CN" w:bidi="ar-SA"/>
              </w:rPr>
            </w:pPr>
          </w:p>
        </w:tc>
      </w:tr>
    </w:tbl>
    <w:p w14:paraId="0A044432">
      <w:pPr>
        <w:topLinePunct w:val="0"/>
        <w:adjustRightInd/>
        <w:spacing w:before="31" w:beforeLines="10" w:after="31" w:afterLines="10" w:line="0" w:lineRule="atLeast"/>
        <w:ind w:left="0" w:leftChars="0" w:firstLine="0" w:firstLineChars="0"/>
        <w:jc w:val="both"/>
        <w:rPr>
          <w:rFonts w:hint="eastAsia" w:eastAsia="宋体"/>
          <w:color w:val="auto"/>
          <w:highlight w:val="none"/>
          <w:lang w:val="en-US" w:eastAsia="zh-CN"/>
        </w:rPr>
        <w:sectPr>
          <w:headerReference r:id="rId15" w:type="default"/>
          <w:footerReference r:id="rId16"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eastAsia" w:eastAsia="宋体"/>
          <w:color w:val="auto"/>
          <w:highlight w:val="none"/>
          <w:lang w:val="en-US" w:eastAsia="zh-CN"/>
        </w:rPr>
        <w:t xml:space="preserve">  </w:t>
      </w:r>
    </w:p>
    <w:p w14:paraId="37A02C41">
      <w:pPr>
        <w:topLinePunct w:val="0"/>
        <w:adjustRightInd/>
        <w:spacing w:before="31" w:beforeLines="10" w:after="31" w:afterLines="10" w:line="0" w:lineRule="atLeast"/>
        <w:ind w:left="0" w:leftChars="0" w:firstLine="0" w:firstLineChars="0"/>
        <w:jc w:val="both"/>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drawing>
          <wp:anchor distT="0" distB="0" distL="114300" distR="114300" simplePos="0" relativeHeight="251686912" behindDoc="0" locked="0" layoutInCell="1" allowOverlap="1">
            <wp:simplePos x="0" y="0"/>
            <wp:positionH relativeFrom="column">
              <wp:posOffset>644525</wp:posOffset>
            </wp:positionH>
            <wp:positionV relativeFrom="paragraph">
              <wp:posOffset>285750</wp:posOffset>
            </wp:positionV>
            <wp:extent cx="6965950" cy="4858385"/>
            <wp:effectExtent l="0" t="0" r="6350" b="18415"/>
            <wp:wrapTopAndBottom/>
            <wp:docPr id="11" name="图片 11" descr="20d79cbacd212a8aca89b33409f1b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20d79cbacd212a8aca89b33409f1b488"/>
                    <pic:cNvPicPr>
                      <a:picLocks noChangeAspect="1"/>
                    </pic:cNvPicPr>
                  </pic:nvPicPr>
                  <pic:blipFill>
                    <a:blip r:embed="rId142"/>
                    <a:srcRect l="3078" t="4847" r="3146" b="1652"/>
                    <a:stretch>
                      <a:fillRect/>
                    </a:stretch>
                  </pic:blipFill>
                  <pic:spPr>
                    <a:xfrm>
                      <a:off x="0" y="0"/>
                      <a:ext cx="6965950" cy="4858385"/>
                    </a:xfrm>
                    <a:prstGeom prst="rect">
                      <a:avLst/>
                    </a:prstGeom>
                  </pic:spPr>
                </pic:pic>
              </a:graphicData>
            </a:graphic>
          </wp:anchor>
        </w:drawing>
      </w:r>
      <w:r>
        <w:rPr>
          <w:rFonts w:hint="eastAsia" w:ascii="Times New Roman" w:hAnsi="Times New Roman" w:eastAsia="宋体" w:cs="Times New Roman"/>
          <w:b/>
          <w:bCs/>
          <w:color w:val="auto"/>
          <w:highlight w:val="none"/>
          <w:lang w:val="en-US" w:eastAsia="zh-CN"/>
        </w:rPr>
        <w:t>附件1营业执照</w:t>
      </w:r>
    </w:p>
    <w:p w14:paraId="64A2B2D4">
      <w:pPr>
        <w:topLinePunct w:val="0"/>
        <w:adjustRightInd/>
        <w:spacing w:before="31" w:beforeLines="10" w:after="31" w:afterLines="10" w:line="0" w:lineRule="atLeast"/>
        <w:ind w:left="0" w:leftChars="0" w:firstLine="0" w:firstLineChars="0"/>
        <w:jc w:val="both"/>
        <w:rPr>
          <w:rFonts w:hint="eastAsia" w:eastAsia="宋体"/>
          <w:color w:val="auto"/>
          <w:highlight w:val="none"/>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26" w:charSpace="0"/>
        </w:sectPr>
      </w:pPr>
    </w:p>
    <w:p w14:paraId="53BF8384">
      <w:pPr>
        <w:topLinePunct w:val="0"/>
        <w:adjustRightInd/>
        <w:spacing w:before="31" w:beforeLines="10" w:after="31" w:afterLines="10" w:line="0" w:lineRule="atLeast"/>
        <w:ind w:left="0" w:leftChars="0" w:firstLine="0" w:firstLineChars="0"/>
        <w:jc w:val="both"/>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附件2取水许可</w:t>
      </w:r>
    </w:p>
    <w:p w14:paraId="7A51BCDC">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default" w:eastAsia="宋体"/>
          <w:color w:val="auto"/>
          <w:highlight w:val="none"/>
          <w:lang w:val="en-US" w:eastAsia="zh-CN"/>
        </w:rPr>
        <w:drawing>
          <wp:anchor distT="0" distB="0" distL="114300" distR="114300" simplePos="0" relativeHeight="251685888" behindDoc="0" locked="0" layoutInCell="1" allowOverlap="1">
            <wp:simplePos x="0" y="0"/>
            <wp:positionH relativeFrom="column">
              <wp:posOffset>989965</wp:posOffset>
            </wp:positionH>
            <wp:positionV relativeFrom="paragraph">
              <wp:posOffset>14605</wp:posOffset>
            </wp:positionV>
            <wp:extent cx="6861810" cy="4942205"/>
            <wp:effectExtent l="0" t="0" r="15240" b="10795"/>
            <wp:wrapTopAndBottom/>
            <wp:docPr id="7" name="图片 7" descr="取水许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取水许可"/>
                    <pic:cNvPicPr>
                      <a:picLocks noChangeAspect="1"/>
                    </pic:cNvPicPr>
                  </pic:nvPicPr>
                  <pic:blipFill>
                    <a:blip r:embed="rId143"/>
                    <a:srcRect l="1341" r="1217"/>
                    <a:stretch>
                      <a:fillRect/>
                    </a:stretch>
                  </pic:blipFill>
                  <pic:spPr>
                    <a:xfrm>
                      <a:off x="0" y="0"/>
                      <a:ext cx="6861810" cy="4942205"/>
                    </a:xfrm>
                    <a:prstGeom prst="rect">
                      <a:avLst/>
                    </a:prstGeom>
                  </pic:spPr>
                </pic:pic>
              </a:graphicData>
            </a:graphic>
          </wp:anchor>
        </w:drawing>
      </w:r>
    </w:p>
    <w:p w14:paraId="3E8F1790">
      <w:pPr>
        <w:topLinePunct w:val="0"/>
        <w:adjustRightInd/>
        <w:spacing w:before="31" w:beforeLines="10" w:after="31" w:afterLines="10" w:line="0" w:lineRule="atLeast"/>
        <w:ind w:left="0" w:leftChars="0" w:firstLine="0" w:firstLineChars="0"/>
        <w:jc w:val="both"/>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附件3  用地手续</w:t>
      </w:r>
    </w:p>
    <w:p w14:paraId="528790E7">
      <w:pPr>
        <w:topLinePunct w:val="0"/>
        <w:adjustRightInd/>
        <w:spacing w:before="31" w:beforeLines="10" w:after="31" w:afterLines="10" w:line="0" w:lineRule="atLeast"/>
        <w:ind w:left="0" w:leftChars="0" w:firstLine="0" w:firstLineChars="0"/>
        <w:jc w:val="both"/>
        <w:rPr>
          <w:rFonts w:hint="eastAsia" w:eastAsia="宋体"/>
          <w:color w:val="auto"/>
          <w:highlight w:val="none"/>
          <w:lang w:val="en-US" w:eastAsia="zh-CN"/>
        </w:rPr>
      </w:pPr>
      <w:r>
        <w:rPr>
          <w:rFonts w:hint="default" w:eastAsia="宋体"/>
          <w:color w:val="auto"/>
          <w:highlight w:val="none"/>
          <w:lang w:val="en-US" w:eastAsia="zh-CN"/>
        </w:rPr>
        <w:drawing>
          <wp:anchor distT="0" distB="0" distL="114300" distR="114300" simplePos="0" relativeHeight="251687936" behindDoc="0" locked="0" layoutInCell="1" allowOverlap="1">
            <wp:simplePos x="0" y="0"/>
            <wp:positionH relativeFrom="column">
              <wp:posOffset>685800</wp:posOffset>
            </wp:positionH>
            <wp:positionV relativeFrom="paragraph">
              <wp:posOffset>158750</wp:posOffset>
            </wp:positionV>
            <wp:extent cx="6520180" cy="4564380"/>
            <wp:effectExtent l="0" t="0" r="13970" b="7620"/>
            <wp:wrapTopAndBottom/>
            <wp:docPr id="57" name="图片 57" descr="不动产登记证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不动产登记证_01"/>
                    <pic:cNvPicPr>
                      <a:picLocks noChangeAspect="1"/>
                    </pic:cNvPicPr>
                  </pic:nvPicPr>
                  <pic:blipFill>
                    <a:blip r:embed="rId144"/>
                    <a:srcRect t="23157" b="22747"/>
                    <a:stretch>
                      <a:fillRect/>
                    </a:stretch>
                  </pic:blipFill>
                  <pic:spPr>
                    <a:xfrm>
                      <a:off x="0" y="0"/>
                      <a:ext cx="6520180" cy="4564380"/>
                    </a:xfrm>
                    <a:prstGeom prst="rect">
                      <a:avLst/>
                    </a:prstGeom>
                  </pic:spPr>
                </pic:pic>
              </a:graphicData>
            </a:graphic>
          </wp:anchor>
        </w:drawing>
      </w:r>
    </w:p>
    <w:p w14:paraId="585BC4E8">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26" w:charSpace="0"/>
        </w:sectPr>
      </w:pPr>
    </w:p>
    <w:p w14:paraId="3A3DD4D3">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default" w:eastAsia="宋体"/>
          <w:color w:val="auto"/>
          <w:highlight w:val="none"/>
          <w:lang w:val="en-US" w:eastAsia="zh-CN"/>
        </w:rPr>
        <w:drawing>
          <wp:anchor distT="0" distB="0" distL="114300" distR="114300" simplePos="0" relativeHeight="251688960" behindDoc="0" locked="0" layoutInCell="1" allowOverlap="1">
            <wp:simplePos x="0" y="0"/>
            <wp:positionH relativeFrom="column">
              <wp:posOffset>619125</wp:posOffset>
            </wp:positionH>
            <wp:positionV relativeFrom="paragraph">
              <wp:posOffset>38100</wp:posOffset>
            </wp:positionV>
            <wp:extent cx="5685790" cy="5106035"/>
            <wp:effectExtent l="0" t="0" r="10160" b="18415"/>
            <wp:wrapTopAndBottom/>
            <wp:docPr id="45" name="图片 45" descr="不动产登记证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不动产登记证_03"/>
                    <pic:cNvPicPr>
                      <a:picLocks noChangeAspect="1"/>
                    </pic:cNvPicPr>
                  </pic:nvPicPr>
                  <pic:blipFill>
                    <a:blip r:embed="rId145"/>
                    <a:srcRect l="22997" t="23482" b="23084"/>
                    <a:stretch>
                      <a:fillRect/>
                    </a:stretch>
                  </pic:blipFill>
                  <pic:spPr>
                    <a:xfrm>
                      <a:off x="0" y="0"/>
                      <a:ext cx="5685790" cy="5106035"/>
                    </a:xfrm>
                    <a:prstGeom prst="rect">
                      <a:avLst/>
                    </a:prstGeom>
                  </pic:spPr>
                </pic:pic>
              </a:graphicData>
            </a:graphic>
          </wp:anchor>
        </w:drawing>
      </w:r>
    </w:p>
    <w:p w14:paraId="1FABB0F4">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pPr>
      <w:r>
        <w:rPr>
          <w:rFonts w:hint="default" w:eastAsia="宋体"/>
          <w:color w:val="auto"/>
          <w:highlight w:val="none"/>
          <w:lang w:val="en-US" w:eastAsia="zh-CN"/>
        </w:rPr>
        <w:drawing>
          <wp:inline distT="0" distB="0" distL="114300" distR="114300">
            <wp:extent cx="5111115" cy="3645535"/>
            <wp:effectExtent l="0" t="0" r="13335" b="12065"/>
            <wp:docPr id="46" name="图片 46" descr="不动产登记证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不动产登记证_02"/>
                    <pic:cNvPicPr>
                      <a:picLocks noChangeAspect="1"/>
                    </pic:cNvPicPr>
                  </pic:nvPicPr>
                  <pic:blipFill>
                    <a:blip r:embed="rId146"/>
                    <a:srcRect l="22482" t="23518" b="33759"/>
                    <a:stretch>
                      <a:fillRect/>
                    </a:stretch>
                  </pic:blipFill>
                  <pic:spPr>
                    <a:xfrm>
                      <a:off x="0" y="0"/>
                      <a:ext cx="5111115" cy="3645535"/>
                    </a:xfrm>
                    <a:prstGeom prst="rect">
                      <a:avLst/>
                    </a:prstGeom>
                  </pic:spPr>
                </pic:pic>
              </a:graphicData>
            </a:graphic>
          </wp:inline>
        </w:drawing>
      </w:r>
      <w:r>
        <w:rPr>
          <w:rFonts w:hint="default" w:eastAsia="宋体"/>
          <w:color w:val="auto"/>
          <w:highlight w:val="none"/>
          <w:lang w:val="en-US" w:eastAsia="zh-CN"/>
        </w:rPr>
        <w:drawing>
          <wp:inline distT="0" distB="0" distL="114300" distR="114300">
            <wp:extent cx="5107305" cy="3611245"/>
            <wp:effectExtent l="0" t="0" r="17145" b="8255"/>
            <wp:docPr id="22" name="图片 22" descr="不动产登记证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不动产登记证_04"/>
                    <pic:cNvPicPr>
                      <a:picLocks noChangeAspect="1"/>
                    </pic:cNvPicPr>
                  </pic:nvPicPr>
                  <pic:blipFill>
                    <a:blip r:embed="rId147"/>
                    <a:srcRect l="22248" t="23518" b="34000"/>
                    <a:stretch>
                      <a:fillRect/>
                    </a:stretch>
                  </pic:blipFill>
                  <pic:spPr>
                    <a:xfrm>
                      <a:off x="0" y="0"/>
                      <a:ext cx="5107305" cy="3611245"/>
                    </a:xfrm>
                    <a:prstGeom prst="rect">
                      <a:avLst/>
                    </a:prstGeom>
                  </pic:spPr>
                </pic:pic>
              </a:graphicData>
            </a:graphic>
          </wp:inline>
        </w:drawing>
      </w:r>
    </w:p>
    <w:p w14:paraId="25163ECC">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p>
    <w:p w14:paraId="783A15BD">
      <w:pPr>
        <w:topLinePunct w:val="0"/>
        <w:adjustRightInd/>
        <w:spacing w:before="31" w:beforeLines="10" w:after="31" w:afterLines="10" w:line="0" w:lineRule="atLeast"/>
        <w:ind w:left="0" w:leftChars="0" w:firstLine="0" w:firstLineChars="0"/>
        <w:jc w:val="both"/>
        <w:rPr>
          <w:rFonts w:hint="eastAsia"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drawing>
          <wp:anchor distT="0" distB="0" distL="114300" distR="114300" simplePos="0" relativeHeight="251689984" behindDoc="0" locked="0" layoutInCell="1" allowOverlap="1">
            <wp:simplePos x="0" y="0"/>
            <wp:positionH relativeFrom="column">
              <wp:posOffset>-520065</wp:posOffset>
            </wp:positionH>
            <wp:positionV relativeFrom="paragraph">
              <wp:posOffset>302895</wp:posOffset>
            </wp:positionV>
            <wp:extent cx="5950585" cy="8488680"/>
            <wp:effectExtent l="0" t="0" r="12065" b="7620"/>
            <wp:wrapTopAndBottom/>
            <wp:docPr id="64" name="图片 64" descr="煤质化验报告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煤质化验报告1"/>
                    <pic:cNvPicPr>
                      <a:picLocks noChangeAspect="1"/>
                    </pic:cNvPicPr>
                  </pic:nvPicPr>
                  <pic:blipFill>
                    <a:blip r:embed="rId148"/>
                    <a:stretch>
                      <a:fillRect/>
                    </a:stretch>
                  </pic:blipFill>
                  <pic:spPr>
                    <a:xfrm>
                      <a:off x="0" y="0"/>
                      <a:ext cx="5950585" cy="8488680"/>
                    </a:xfrm>
                    <a:prstGeom prst="rect">
                      <a:avLst/>
                    </a:prstGeom>
                  </pic:spPr>
                </pic:pic>
              </a:graphicData>
            </a:graphic>
          </wp:anchor>
        </w:drawing>
      </w:r>
      <w:r>
        <w:rPr>
          <w:rFonts w:hint="eastAsia" w:ascii="Times New Roman" w:hAnsi="Times New Roman" w:eastAsia="宋体" w:cs="Times New Roman"/>
          <w:b/>
          <w:bCs/>
          <w:color w:val="auto"/>
          <w:highlight w:val="none"/>
          <w:lang w:val="en-US" w:eastAsia="zh-CN"/>
        </w:rPr>
        <w:t>附件4  煤质分析报告</w:t>
      </w:r>
    </w:p>
    <w:p w14:paraId="2B3B6517">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pPr>
      <w:r>
        <w:rPr>
          <w:rFonts w:hint="default" w:eastAsia="宋体"/>
          <w:color w:val="auto"/>
          <w:highlight w:val="none"/>
          <w:lang w:val="en-US" w:eastAsia="zh-CN"/>
        </w:rPr>
        <w:drawing>
          <wp:anchor distT="0" distB="0" distL="114300" distR="114300" simplePos="0" relativeHeight="251691008" behindDoc="0" locked="0" layoutInCell="1" allowOverlap="1">
            <wp:simplePos x="0" y="0"/>
            <wp:positionH relativeFrom="column">
              <wp:posOffset>-267970</wp:posOffset>
            </wp:positionH>
            <wp:positionV relativeFrom="paragraph">
              <wp:posOffset>147320</wp:posOffset>
            </wp:positionV>
            <wp:extent cx="5702300" cy="8134350"/>
            <wp:effectExtent l="0" t="0" r="12700" b="0"/>
            <wp:wrapTopAndBottom/>
            <wp:docPr id="65" name="图片 65" descr="煤质化验报告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煤质化验报告10"/>
                    <pic:cNvPicPr>
                      <a:picLocks noChangeAspect="1"/>
                    </pic:cNvPicPr>
                  </pic:nvPicPr>
                  <pic:blipFill>
                    <a:blip r:embed="rId149"/>
                    <a:stretch>
                      <a:fillRect/>
                    </a:stretch>
                  </pic:blipFill>
                  <pic:spPr>
                    <a:xfrm>
                      <a:off x="0" y="0"/>
                      <a:ext cx="5702300" cy="8134350"/>
                    </a:xfrm>
                    <a:prstGeom prst="rect">
                      <a:avLst/>
                    </a:prstGeom>
                  </pic:spPr>
                </pic:pic>
              </a:graphicData>
            </a:graphic>
          </wp:anchor>
        </w:drawing>
      </w:r>
    </w:p>
    <w:p w14:paraId="6F7B9F77">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p>
    <w:p w14:paraId="43DA8F41">
      <w:pPr>
        <w:topLinePunct w:val="0"/>
        <w:adjustRightInd/>
        <w:spacing w:before="31" w:beforeLines="10" w:after="31" w:afterLines="10" w:line="0" w:lineRule="atLeast"/>
        <w:ind w:left="0" w:leftChars="0" w:firstLine="0" w:firstLineChars="0"/>
        <w:jc w:val="both"/>
        <w:rPr>
          <w:rFonts w:hint="eastAsia"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drawing>
          <wp:anchor distT="0" distB="0" distL="114300" distR="114300" simplePos="0" relativeHeight="251692032" behindDoc="0" locked="0" layoutInCell="1" allowOverlap="1">
            <wp:simplePos x="0" y="0"/>
            <wp:positionH relativeFrom="column">
              <wp:posOffset>1685925</wp:posOffset>
            </wp:positionH>
            <wp:positionV relativeFrom="paragraph">
              <wp:posOffset>-701040</wp:posOffset>
            </wp:positionV>
            <wp:extent cx="4680585" cy="6623050"/>
            <wp:effectExtent l="0" t="0" r="6350" b="5715"/>
            <wp:wrapTopAndBottom/>
            <wp:docPr id="66" name="图片 66" descr="7274458beb3b374d362a6265d4194e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7274458beb3b374d362a6265d4194e9e"/>
                    <pic:cNvPicPr>
                      <a:picLocks noChangeAspect="1"/>
                    </pic:cNvPicPr>
                  </pic:nvPicPr>
                  <pic:blipFill>
                    <a:blip r:embed="rId150"/>
                    <a:srcRect l="2559" t="1835" r="1998" b="1339"/>
                    <a:stretch>
                      <a:fillRect/>
                    </a:stretch>
                  </pic:blipFill>
                  <pic:spPr>
                    <a:xfrm rot="16200000">
                      <a:off x="0" y="0"/>
                      <a:ext cx="4680585" cy="6623050"/>
                    </a:xfrm>
                    <a:prstGeom prst="rect">
                      <a:avLst/>
                    </a:prstGeom>
                  </pic:spPr>
                </pic:pic>
              </a:graphicData>
            </a:graphic>
          </wp:anchor>
        </w:drawing>
      </w:r>
      <w:r>
        <w:rPr>
          <w:rFonts w:hint="eastAsia" w:ascii="Times New Roman" w:hAnsi="Times New Roman" w:eastAsia="宋体" w:cs="Times New Roman"/>
          <w:b/>
          <w:bCs/>
          <w:color w:val="auto"/>
          <w:highlight w:val="none"/>
          <w:lang w:val="en-US" w:eastAsia="zh-CN"/>
        </w:rPr>
        <w:t>附件5  排污许可证</w:t>
      </w:r>
    </w:p>
    <w:p w14:paraId="24751A3B">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26" w:charSpace="0"/>
        </w:sectPr>
      </w:pPr>
    </w:p>
    <w:p w14:paraId="25D07D23">
      <w:pPr>
        <w:topLinePunct w:val="0"/>
        <w:adjustRightInd/>
        <w:spacing w:before="31" w:beforeLines="10" w:after="31" w:afterLines="10" w:line="0" w:lineRule="atLeast"/>
        <w:ind w:left="0" w:leftChars="0" w:firstLine="0" w:firstLineChars="0"/>
        <w:jc w:val="both"/>
        <w:rPr>
          <w:rFonts w:hint="eastAsia" w:ascii="Times New Roman" w:hAnsi="Times New Roman" w:eastAsia="宋体" w:cs="Times New Roman"/>
          <w:b/>
          <w:bCs/>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default" w:ascii="Times New Roman" w:hAnsi="Times New Roman" w:eastAsia="宋体" w:cs="Times New Roman"/>
          <w:b/>
          <w:bCs/>
          <w:color w:val="auto"/>
          <w:highlight w:val="none"/>
          <w:lang w:val="en-US" w:eastAsia="zh-CN"/>
        </w:rPr>
        <w:drawing>
          <wp:anchor distT="0" distB="0" distL="114300" distR="114300" simplePos="0" relativeHeight="251693056" behindDoc="0" locked="0" layoutInCell="1" allowOverlap="1">
            <wp:simplePos x="0" y="0"/>
            <wp:positionH relativeFrom="column">
              <wp:posOffset>-658495</wp:posOffset>
            </wp:positionH>
            <wp:positionV relativeFrom="paragraph">
              <wp:posOffset>299085</wp:posOffset>
            </wp:positionV>
            <wp:extent cx="6156325" cy="8340090"/>
            <wp:effectExtent l="0" t="0" r="15875" b="3810"/>
            <wp:wrapTopAndBottom/>
            <wp:docPr id="6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8"/>
                    <pic:cNvPicPr>
                      <a:picLocks noChangeAspect="1"/>
                    </pic:cNvPicPr>
                  </pic:nvPicPr>
                  <pic:blipFill>
                    <a:blip r:embed="rId151"/>
                    <a:stretch>
                      <a:fillRect/>
                    </a:stretch>
                  </pic:blipFill>
                  <pic:spPr>
                    <a:xfrm>
                      <a:off x="0" y="0"/>
                      <a:ext cx="6156325" cy="8340090"/>
                    </a:xfrm>
                    <a:prstGeom prst="rect">
                      <a:avLst/>
                    </a:prstGeom>
                    <a:noFill/>
                    <a:ln>
                      <a:noFill/>
                    </a:ln>
                  </pic:spPr>
                </pic:pic>
              </a:graphicData>
            </a:graphic>
          </wp:anchor>
        </w:drawing>
      </w:r>
      <w:r>
        <w:rPr>
          <w:rFonts w:hint="eastAsia" w:ascii="Times New Roman" w:hAnsi="Times New Roman" w:eastAsia="宋体" w:cs="Times New Roman"/>
          <w:b/>
          <w:bCs/>
          <w:color w:val="auto"/>
          <w:highlight w:val="none"/>
          <w:lang w:val="en-US" w:eastAsia="zh-CN"/>
        </w:rPr>
        <w:t>附件6  现有工程环保手续</w:t>
      </w:r>
    </w:p>
    <w:p w14:paraId="4BD02DDE">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default" w:eastAsia="宋体"/>
          <w:color w:val="auto"/>
          <w:highlight w:val="none"/>
          <w:lang w:val="en-US" w:eastAsia="zh-CN"/>
        </w:rPr>
        <w:drawing>
          <wp:anchor distT="0" distB="0" distL="114300" distR="114300" simplePos="0" relativeHeight="251694080" behindDoc="0" locked="0" layoutInCell="1" allowOverlap="1">
            <wp:simplePos x="0" y="0"/>
            <wp:positionH relativeFrom="column">
              <wp:posOffset>-311785</wp:posOffset>
            </wp:positionH>
            <wp:positionV relativeFrom="paragraph">
              <wp:posOffset>294640</wp:posOffset>
            </wp:positionV>
            <wp:extent cx="5995035" cy="8179435"/>
            <wp:effectExtent l="0" t="0" r="5715" b="12065"/>
            <wp:wrapTopAndBottom/>
            <wp:docPr id="74"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39"/>
                    <pic:cNvPicPr>
                      <a:picLocks noChangeAspect="1"/>
                    </pic:cNvPicPr>
                  </pic:nvPicPr>
                  <pic:blipFill>
                    <a:blip r:embed="rId152"/>
                    <a:stretch>
                      <a:fillRect/>
                    </a:stretch>
                  </pic:blipFill>
                  <pic:spPr>
                    <a:xfrm>
                      <a:off x="0" y="0"/>
                      <a:ext cx="5995035" cy="8179435"/>
                    </a:xfrm>
                    <a:prstGeom prst="rect">
                      <a:avLst/>
                    </a:prstGeom>
                    <a:noFill/>
                    <a:ln>
                      <a:noFill/>
                    </a:ln>
                  </pic:spPr>
                </pic:pic>
              </a:graphicData>
            </a:graphic>
          </wp:anchor>
        </w:drawing>
      </w:r>
    </w:p>
    <w:p w14:paraId="1ADA4B40">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default" w:eastAsia="宋体"/>
          <w:color w:val="auto"/>
          <w:highlight w:val="none"/>
          <w:lang w:val="en-US" w:eastAsia="zh-CN"/>
        </w:rPr>
        <w:drawing>
          <wp:anchor distT="0" distB="0" distL="114300" distR="114300" simplePos="0" relativeHeight="251695104" behindDoc="0" locked="0" layoutInCell="1" allowOverlap="1">
            <wp:simplePos x="0" y="0"/>
            <wp:positionH relativeFrom="column">
              <wp:posOffset>-407035</wp:posOffset>
            </wp:positionH>
            <wp:positionV relativeFrom="paragraph">
              <wp:posOffset>104140</wp:posOffset>
            </wp:positionV>
            <wp:extent cx="6160135" cy="8477250"/>
            <wp:effectExtent l="0" t="0" r="12065" b="0"/>
            <wp:wrapTopAndBottom/>
            <wp:docPr id="7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40"/>
                    <pic:cNvPicPr>
                      <a:picLocks noChangeAspect="1"/>
                    </pic:cNvPicPr>
                  </pic:nvPicPr>
                  <pic:blipFill>
                    <a:blip r:embed="rId153"/>
                    <a:stretch>
                      <a:fillRect/>
                    </a:stretch>
                  </pic:blipFill>
                  <pic:spPr>
                    <a:xfrm>
                      <a:off x="0" y="0"/>
                      <a:ext cx="6160135" cy="8477250"/>
                    </a:xfrm>
                    <a:prstGeom prst="rect">
                      <a:avLst/>
                    </a:prstGeom>
                    <a:noFill/>
                    <a:ln>
                      <a:noFill/>
                    </a:ln>
                  </pic:spPr>
                </pic:pic>
              </a:graphicData>
            </a:graphic>
          </wp:anchor>
        </w:drawing>
      </w:r>
    </w:p>
    <w:p w14:paraId="7012679E">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default" w:eastAsia="宋体"/>
          <w:color w:val="auto"/>
          <w:highlight w:val="none"/>
          <w:lang w:val="en-US" w:eastAsia="zh-CN"/>
        </w:rPr>
        <w:drawing>
          <wp:anchor distT="0" distB="0" distL="114300" distR="114300" simplePos="0" relativeHeight="251696128" behindDoc="0" locked="0" layoutInCell="1" allowOverlap="1">
            <wp:simplePos x="0" y="0"/>
            <wp:positionH relativeFrom="column">
              <wp:posOffset>-553720</wp:posOffset>
            </wp:positionH>
            <wp:positionV relativeFrom="paragraph">
              <wp:posOffset>-60960</wp:posOffset>
            </wp:positionV>
            <wp:extent cx="6178550" cy="8298815"/>
            <wp:effectExtent l="0" t="0" r="12700" b="6985"/>
            <wp:wrapTopAndBottom/>
            <wp:docPr id="77"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41"/>
                    <pic:cNvPicPr>
                      <a:picLocks noChangeAspect="1"/>
                    </pic:cNvPicPr>
                  </pic:nvPicPr>
                  <pic:blipFill>
                    <a:blip r:embed="rId154"/>
                    <a:stretch>
                      <a:fillRect/>
                    </a:stretch>
                  </pic:blipFill>
                  <pic:spPr>
                    <a:xfrm>
                      <a:off x="0" y="0"/>
                      <a:ext cx="6178550" cy="8298815"/>
                    </a:xfrm>
                    <a:prstGeom prst="rect">
                      <a:avLst/>
                    </a:prstGeom>
                    <a:noFill/>
                    <a:ln>
                      <a:noFill/>
                    </a:ln>
                  </pic:spPr>
                </pic:pic>
              </a:graphicData>
            </a:graphic>
          </wp:anchor>
        </w:drawing>
      </w:r>
    </w:p>
    <w:p w14:paraId="4892AEC6">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default" w:eastAsia="宋体"/>
          <w:color w:val="auto"/>
          <w:highlight w:val="none"/>
          <w:lang w:val="en-US" w:eastAsia="zh-CN"/>
        </w:rPr>
        <w:drawing>
          <wp:inline distT="0" distB="0" distL="114300" distR="114300">
            <wp:extent cx="5718175" cy="8561070"/>
            <wp:effectExtent l="0" t="0" r="15875" b="11430"/>
            <wp:docPr id="78"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42"/>
                    <pic:cNvPicPr>
                      <a:picLocks noChangeAspect="1"/>
                    </pic:cNvPicPr>
                  </pic:nvPicPr>
                  <pic:blipFill>
                    <a:blip r:embed="rId155"/>
                    <a:stretch>
                      <a:fillRect/>
                    </a:stretch>
                  </pic:blipFill>
                  <pic:spPr>
                    <a:xfrm>
                      <a:off x="0" y="0"/>
                      <a:ext cx="5718175" cy="8561070"/>
                    </a:xfrm>
                    <a:prstGeom prst="rect">
                      <a:avLst/>
                    </a:prstGeom>
                    <a:noFill/>
                    <a:ln>
                      <a:noFill/>
                    </a:ln>
                  </pic:spPr>
                </pic:pic>
              </a:graphicData>
            </a:graphic>
          </wp:inline>
        </w:drawing>
      </w:r>
    </w:p>
    <w:p w14:paraId="2550CA78">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default" w:eastAsia="宋体"/>
          <w:color w:val="auto"/>
          <w:highlight w:val="none"/>
          <w:lang w:val="en-US" w:eastAsia="zh-CN"/>
        </w:rPr>
        <w:drawing>
          <wp:inline distT="0" distB="0" distL="114300" distR="114300">
            <wp:extent cx="5588000" cy="8855075"/>
            <wp:effectExtent l="0" t="0" r="12700" b="3175"/>
            <wp:docPr id="80"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43"/>
                    <pic:cNvPicPr>
                      <a:picLocks noChangeAspect="1"/>
                    </pic:cNvPicPr>
                  </pic:nvPicPr>
                  <pic:blipFill>
                    <a:blip r:embed="rId156"/>
                    <a:stretch>
                      <a:fillRect/>
                    </a:stretch>
                  </pic:blipFill>
                  <pic:spPr>
                    <a:xfrm>
                      <a:off x="0" y="0"/>
                      <a:ext cx="5588000" cy="8855075"/>
                    </a:xfrm>
                    <a:prstGeom prst="rect">
                      <a:avLst/>
                    </a:prstGeom>
                    <a:noFill/>
                    <a:ln>
                      <a:noFill/>
                    </a:ln>
                  </pic:spPr>
                </pic:pic>
              </a:graphicData>
            </a:graphic>
          </wp:inline>
        </w:drawing>
      </w:r>
    </w:p>
    <w:p w14:paraId="36A7E361">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default" w:eastAsia="宋体"/>
          <w:color w:val="auto"/>
          <w:highlight w:val="none"/>
          <w:lang w:val="en-US" w:eastAsia="zh-CN"/>
        </w:rPr>
        <w:drawing>
          <wp:inline distT="0" distB="0" distL="114300" distR="114300">
            <wp:extent cx="5767070" cy="8716645"/>
            <wp:effectExtent l="0" t="0" r="5080" b="8255"/>
            <wp:docPr id="8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44"/>
                    <pic:cNvPicPr>
                      <a:picLocks noChangeAspect="1"/>
                    </pic:cNvPicPr>
                  </pic:nvPicPr>
                  <pic:blipFill>
                    <a:blip r:embed="rId157"/>
                    <a:stretch>
                      <a:fillRect/>
                    </a:stretch>
                  </pic:blipFill>
                  <pic:spPr>
                    <a:xfrm>
                      <a:off x="0" y="0"/>
                      <a:ext cx="5767070" cy="8716645"/>
                    </a:xfrm>
                    <a:prstGeom prst="rect">
                      <a:avLst/>
                    </a:prstGeom>
                    <a:noFill/>
                    <a:ln>
                      <a:noFill/>
                    </a:ln>
                  </pic:spPr>
                </pic:pic>
              </a:graphicData>
            </a:graphic>
          </wp:inline>
        </w:drawing>
      </w:r>
    </w:p>
    <w:p w14:paraId="6E5730F1">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default" w:eastAsia="宋体"/>
          <w:color w:val="auto"/>
          <w:highlight w:val="none"/>
          <w:lang w:val="en-US" w:eastAsia="zh-CN"/>
        </w:rPr>
        <w:drawing>
          <wp:inline distT="0" distB="0" distL="114300" distR="114300">
            <wp:extent cx="5629275" cy="8491855"/>
            <wp:effectExtent l="0" t="0" r="9525" b="4445"/>
            <wp:docPr id="82"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45"/>
                    <pic:cNvPicPr>
                      <a:picLocks noChangeAspect="1"/>
                    </pic:cNvPicPr>
                  </pic:nvPicPr>
                  <pic:blipFill>
                    <a:blip r:embed="rId158"/>
                    <a:stretch>
                      <a:fillRect/>
                    </a:stretch>
                  </pic:blipFill>
                  <pic:spPr>
                    <a:xfrm>
                      <a:off x="0" y="0"/>
                      <a:ext cx="5629275" cy="8491855"/>
                    </a:xfrm>
                    <a:prstGeom prst="rect">
                      <a:avLst/>
                    </a:prstGeom>
                    <a:noFill/>
                    <a:ln>
                      <a:noFill/>
                    </a:ln>
                  </pic:spPr>
                </pic:pic>
              </a:graphicData>
            </a:graphic>
          </wp:inline>
        </w:drawing>
      </w:r>
    </w:p>
    <w:p w14:paraId="7DA5557E">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pPr>
      <w:r>
        <w:rPr>
          <w:rFonts w:hint="default" w:eastAsia="宋体"/>
          <w:color w:val="auto"/>
          <w:highlight w:val="none"/>
          <w:lang w:val="en-US" w:eastAsia="zh-CN"/>
        </w:rPr>
        <w:drawing>
          <wp:inline distT="0" distB="0" distL="114300" distR="114300">
            <wp:extent cx="5568950" cy="8441690"/>
            <wp:effectExtent l="0" t="0" r="12700" b="16510"/>
            <wp:docPr id="83"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46"/>
                    <pic:cNvPicPr>
                      <a:picLocks noChangeAspect="1"/>
                    </pic:cNvPicPr>
                  </pic:nvPicPr>
                  <pic:blipFill>
                    <a:blip r:embed="rId159"/>
                    <a:stretch>
                      <a:fillRect/>
                    </a:stretch>
                  </pic:blipFill>
                  <pic:spPr>
                    <a:xfrm>
                      <a:off x="0" y="0"/>
                      <a:ext cx="5568950" cy="8441690"/>
                    </a:xfrm>
                    <a:prstGeom prst="rect">
                      <a:avLst/>
                    </a:prstGeom>
                    <a:noFill/>
                    <a:ln>
                      <a:noFill/>
                    </a:ln>
                  </pic:spPr>
                </pic:pic>
              </a:graphicData>
            </a:graphic>
          </wp:inline>
        </w:drawing>
      </w:r>
    </w:p>
    <w:p w14:paraId="626DDFF3">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p>
    <w:p w14:paraId="1EABBA22">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default" w:eastAsia="宋体"/>
          <w:color w:val="auto"/>
          <w:highlight w:val="none"/>
          <w:lang w:val="en-US" w:eastAsia="zh-CN"/>
        </w:rPr>
        <w:drawing>
          <wp:inline distT="0" distB="0" distL="114300" distR="114300">
            <wp:extent cx="5271770" cy="7519670"/>
            <wp:effectExtent l="0" t="0" r="5080" b="5080"/>
            <wp:docPr id="84" name="图片 47" descr="8ee4dd399dc0db10b227ab16b50d89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47" descr="8ee4dd399dc0db10b227ab16b50d89e1"/>
                    <pic:cNvPicPr>
                      <a:picLocks noChangeAspect="1"/>
                    </pic:cNvPicPr>
                  </pic:nvPicPr>
                  <pic:blipFill>
                    <a:blip r:embed="rId160"/>
                    <a:stretch>
                      <a:fillRect/>
                    </a:stretch>
                  </pic:blipFill>
                  <pic:spPr>
                    <a:xfrm>
                      <a:off x="0" y="0"/>
                      <a:ext cx="5271770" cy="7519670"/>
                    </a:xfrm>
                    <a:prstGeom prst="rect">
                      <a:avLst/>
                    </a:prstGeom>
                    <a:noFill/>
                    <a:ln>
                      <a:noFill/>
                    </a:ln>
                  </pic:spPr>
                </pic:pic>
              </a:graphicData>
            </a:graphic>
          </wp:inline>
        </w:drawing>
      </w:r>
    </w:p>
    <w:p w14:paraId="587B86D3">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default" w:eastAsia="宋体"/>
          <w:color w:val="auto"/>
          <w:highlight w:val="none"/>
          <w:lang w:val="en-US" w:eastAsia="zh-CN"/>
        </w:rPr>
        <w:drawing>
          <wp:inline distT="0" distB="0" distL="114300" distR="114300">
            <wp:extent cx="5271770" cy="7519670"/>
            <wp:effectExtent l="0" t="0" r="5080" b="5080"/>
            <wp:docPr id="85" name="图片 48" descr="87276f9bd96660fa84709e07c7d84c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48" descr="87276f9bd96660fa84709e07c7d84cab"/>
                    <pic:cNvPicPr>
                      <a:picLocks noChangeAspect="1"/>
                    </pic:cNvPicPr>
                  </pic:nvPicPr>
                  <pic:blipFill>
                    <a:blip r:embed="rId161"/>
                    <a:stretch>
                      <a:fillRect/>
                    </a:stretch>
                  </pic:blipFill>
                  <pic:spPr>
                    <a:xfrm>
                      <a:off x="0" y="0"/>
                      <a:ext cx="5271770" cy="7519670"/>
                    </a:xfrm>
                    <a:prstGeom prst="rect">
                      <a:avLst/>
                    </a:prstGeom>
                    <a:noFill/>
                    <a:ln>
                      <a:noFill/>
                    </a:ln>
                  </pic:spPr>
                </pic:pic>
              </a:graphicData>
            </a:graphic>
          </wp:inline>
        </w:drawing>
      </w:r>
    </w:p>
    <w:p w14:paraId="526AA374">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default" w:eastAsia="宋体"/>
          <w:color w:val="auto"/>
          <w:highlight w:val="none"/>
          <w:lang w:val="en-US" w:eastAsia="zh-CN"/>
        </w:rPr>
        <w:drawing>
          <wp:inline distT="0" distB="0" distL="114300" distR="114300">
            <wp:extent cx="5271770" cy="7519670"/>
            <wp:effectExtent l="0" t="0" r="5080" b="5080"/>
            <wp:docPr id="86" name="图片 49" descr="bf3f284789b5761368ed5ce8e3b04d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49" descr="bf3f284789b5761368ed5ce8e3b04d29"/>
                    <pic:cNvPicPr>
                      <a:picLocks noChangeAspect="1"/>
                    </pic:cNvPicPr>
                  </pic:nvPicPr>
                  <pic:blipFill>
                    <a:blip r:embed="rId162"/>
                    <a:stretch>
                      <a:fillRect/>
                    </a:stretch>
                  </pic:blipFill>
                  <pic:spPr>
                    <a:xfrm>
                      <a:off x="0" y="0"/>
                      <a:ext cx="5271770" cy="7519670"/>
                    </a:xfrm>
                    <a:prstGeom prst="rect">
                      <a:avLst/>
                    </a:prstGeom>
                    <a:noFill/>
                    <a:ln>
                      <a:noFill/>
                    </a:ln>
                  </pic:spPr>
                </pic:pic>
              </a:graphicData>
            </a:graphic>
          </wp:inline>
        </w:drawing>
      </w:r>
    </w:p>
    <w:p w14:paraId="5CE1C770">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default" w:eastAsia="宋体"/>
          <w:color w:val="auto"/>
          <w:highlight w:val="none"/>
          <w:lang w:val="en-US" w:eastAsia="zh-CN"/>
        </w:rPr>
        <w:drawing>
          <wp:inline distT="0" distB="0" distL="114300" distR="114300">
            <wp:extent cx="5497195" cy="7799070"/>
            <wp:effectExtent l="0" t="0" r="8255" b="11430"/>
            <wp:docPr id="87" name="图片 87" descr="0ef9b6bafe34fca7e396d3788a9c7f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0ef9b6bafe34fca7e396d3788a9c7f06"/>
                    <pic:cNvPicPr>
                      <a:picLocks noChangeAspect="1"/>
                    </pic:cNvPicPr>
                  </pic:nvPicPr>
                  <pic:blipFill>
                    <a:blip r:embed="rId163"/>
                    <a:srcRect t="1584" r="2256"/>
                    <a:stretch>
                      <a:fillRect/>
                    </a:stretch>
                  </pic:blipFill>
                  <pic:spPr>
                    <a:xfrm>
                      <a:off x="0" y="0"/>
                      <a:ext cx="5497195" cy="7799070"/>
                    </a:xfrm>
                    <a:prstGeom prst="rect">
                      <a:avLst/>
                    </a:prstGeom>
                  </pic:spPr>
                </pic:pic>
              </a:graphicData>
            </a:graphic>
          </wp:inline>
        </w:drawing>
      </w:r>
    </w:p>
    <w:p w14:paraId="0A315D4F">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default" w:eastAsia="宋体"/>
          <w:color w:val="auto"/>
          <w:highlight w:val="none"/>
          <w:lang w:val="en-US" w:eastAsia="zh-CN"/>
        </w:rPr>
        <w:drawing>
          <wp:inline distT="0" distB="0" distL="114300" distR="114300">
            <wp:extent cx="5353685" cy="7560945"/>
            <wp:effectExtent l="0" t="0" r="18415" b="1905"/>
            <wp:docPr id="88" name="图片 88" descr="645968b534c8fe8c2b1fe4890a3b5c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645968b534c8fe8c2b1fe4890a3b5cf5"/>
                    <pic:cNvPicPr>
                      <a:picLocks noChangeAspect="1"/>
                    </pic:cNvPicPr>
                  </pic:nvPicPr>
                  <pic:blipFill>
                    <a:blip r:embed="rId164"/>
                    <a:srcRect t="982" r="1762"/>
                    <a:stretch>
                      <a:fillRect/>
                    </a:stretch>
                  </pic:blipFill>
                  <pic:spPr>
                    <a:xfrm>
                      <a:off x="0" y="0"/>
                      <a:ext cx="5353685" cy="7560945"/>
                    </a:xfrm>
                    <a:prstGeom prst="rect">
                      <a:avLst/>
                    </a:prstGeom>
                  </pic:spPr>
                </pic:pic>
              </a:graphicData>
            </a:graphic>
          </wp:inline>
        </w:drawing>
      </w:r>
    </w:p>
    <w:p w14:paraId="5C110D00">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pPr>
      <w:r>
        <w:rPr>
          <w:rFonts w:hint="default" w:eastAsia="宋体"/>
          <w:color w:val="auto"/>
          <w:highlight w:val="none"/>
          <w:lang w:val="en-US" w:eastAsia="zh-CN"/>
        </w:rPr>
        <w:drawing>
          <wp:inline distT="0" distB="0" distL="114300" distR="114300">
            <wp:extent cx="5391785" cy="7706360"/>
            <wp:effectExtent l="0" t="0" r="18415" b="8890"/>
            <wp:docPr id="89" name="图片 89" descr="521089fe867ea74248c84e6ad058b7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521089fe867ea74248c84e6ad058b76d"/>
                    <pic:cNvPicPr>
                      <a:picLocks noChangeAspect="1"/>
                    </pic:cNvPicPr>
                  </pic:nvPicPr>
                  <pic:blipFill>
                    <a:blip r:embed="rId165"/>
                    <a:srcRect t="1773" r="2256"/>
                    <a:stretch>
                      <a:fillRect/>
                    </a:stretch>
                  </pic:blipFill>
                  <pic:spPr>
                    <a:xfrm>
                      <a:off x="0" y="0"/>
                      <a:ext cx="5391785" cy="7706360"/>
                    </a:xfrm>
                    <a:prstGeom prst="rect">
                      <a:avLst/>
                    </a:prstGeom>
                  </pic:spPr>
                </pic:pic>
              </a:graphicData>
            </a:graphic>
          </wp:inline>
        </w:drawing>
      </w:r>
    </w:p>
    <w:p w14:paraId="03F91882">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p>
    <w:p w14:paraId="287EFCBE">
      <w:pPr>
        <w:topLinePunct w:val="0"/>
        <w:adjustRightInd/>
        <w:spacing w:before="31" w:beforeLines="10" w:after="31" w:afterLines="10" w:line="0" w:lineRule="atLeast"/>
        <w:ind w:left="0" w:leftChars="0" w:firstLine="0" w:firstLineChars="0"/>
        <w:jc w:val="both"/>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附件7  生态环境分区管控分析报告</w:t>
      </w:r>
    </w:p>
    <w:p w14:paraId="70EA13A4">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pPr>
      <w:r>
        <w:rPr>
          <w:rFonts w:hint="default" w:eastAsia="宋体"/>
          <w:color w:val="auto"/>
          <w:highlight w:val="none"/>
          <w:lang w:val="en-US" w:eastAsia="zh-CN"/>
        </w:rPr>
        <w:drawing>
          <wp:inline distT="0" distB="0" distL="114300" distR="114300">
            <wp:extent cx="5503545" cy="3891915"/>
            <wp:effectExtent l="0" t="0" r="1905" b="13335"/>
            <wp:docPr id="99" name="图片 99" descr="佳木斯中恒热电有限公司新建、扩建锅炉房工程（重新报批）环境影响报告书_2025年12月16日160515_分析报告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佳木斯中恒热电有限公司新建、扩建锅炉房工程（重新报批）环境影响报告书_2025年12月16日160515_分析报告_01"/>
                    <pic:cNvPicPr>
                      <a:picLocks noChangeAspect="1"/>
                    </pic:cNvPicPr>
                  </pic:nvPicPr>
                  <pic:blipFill>
                    <a:blip r:embed="rId166"/>
                    <a:stretch>
                      <a:fillRect/>
                    </a:stretch>
                  </pic:blipFill>
                  <pic:spPr>
                    <a:xfrm>
                      <a:off x="0" y="0"/>
                      <a:ext cx="5503545" cy="3891915"/>
                    </a:xfrm>
                    <a:prstGeom prst="rect">
                      <a:avLst/>
                    </a:prstGeom>
                  </pic:spPr>
                </pic:pic>
              </a:graphicData>
            </a:graphic>
          </wp:inline>
        </w:drawing>
      </w:r>
      <w:r>
        <w:rPr>
          <w:rFonts w:hint="default" w:eastAsia="宋体"/>
          <w:color w:val="auto"/>
          <w:highlight w:val="none"/>
          <w:lang w:val="en-US" w:eastAsia="zh-CN"/>
        </w:rPr>
        <w:drawing>
          <wp:inline distT="0" distB="0" distL="114300" distR="114300">
            <wp:extent cx="5478145" cy="3874135"/>
            <wp:effectExtent l="0" t="0" r="8255" b="12065"/>
            <wp:docPr id="98" name="图片 98" descr="佳木斯中恒热电有限公司新建、扩建锅炉房工程（重新报批）环境影响报告书_2025年12月16日160515_分析报告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佳木斯中恒热电有限公司新建、扩建锅炉房工程（重新报批）环境影响报告书_2025年12月16日160515_分析报告_02"/>
                    <pic:cNvPicPr>
                      <a:picLocks noChangeAspect="1"/>
                    </pic:cNvPicPr>
                  </pic:nvPicPr>
                  <pic:blipFill>
                    <a:blip r:embed="rId167"/>
                    <a:stretch>
                      <a:fillRect/>
                    </a:stretch>
                  </pic:blipFill>
                  <pic:spPr>
                    <a:xfrm>
                      <a:off x="0" y="0"/>
                      <a:ext cx="5478145" cy="3874135"/>
                    </a:xfrm>
                    <a:prstGeom prst="rect">
                      <a:avLst/>
                    </a:prstGeom>
                  </pic:spPr>
                </pic:pic>
              </a:graphicData>
            </a:graphic>
          </wp:inline>
        </w:drawing>
      </w:r>
      <w:r>
        <w:rPr>
          <w:rFonts w:hint="default" w:eastAsia="宋体"/>
          <w:color w:val="auto"/>
          <w:highlight w:val="none"/>
          <w:lang w:val="en-US" w:eastAsia="zh-CN"/>
        </w:rPr>
        <w:drawing>
          <wp:inline distT="0" distB="0" distL="114300" distR="114300">
            <wp:extent cx="5271135" cy="3727450"/>
            <wp:effectExtent l="0" t="0" r="5715" b="6350"/>
            <wp:docPr id="97" name="图片 97" descr="佳木斯中恒热电有限公司新建、扩建锅炉房工程（重新报批）环境影响报告书_2025年12月16日160515_分析报告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佳木斯中恒热电有限公司新建、扩建锅炉房工程（重新报批）环境影响报告书_2025年12月16日160515_分析报告_03"/>
                    <pic:cNvPicPr>
                      <a:picLocks noChangeAspect="1"/>
                    </pic:cNvPicPr>
                  </pic:nvPicPr>
                  <pic:blipFill>
                    <a:blip r:embed="rId168"/>
                    <a:stretch>
                      <a:fillRect/>
                    </a:stretch>
                  </pic:blipFill>
                  <pic:spPr>
                    <a:xfrm>
                      <a:off x="0" y="0"/>
                      <a:ext cx="5271135" cy="3727450"/>
                    </a:xfrm>
                    <a:prstGeom prst="rect">
                      <a:avLst/>
                    </a:prstGeom>
                  </pic:spPr>
                </pic:pic>
              </a:graphicData>
            </a:graphic>
          </wp:inline>
        </w:drawing>
      </w:r>
      <w:r>
        <w:rPr>
          <w:rFonts w:hint="default" w:eastAsia="宋体"/>
          <w:color w:val="auto"/>
          <w:highlight w:val="none"/>
          <w:lang w:val="en-US" w:eastAsia="zh-CN"/>
        </w:rPr>
        <w:drawing>
          <wp:inline distT="0" distB="0" distL="114300" distR="114300">
            <wp:extent cx="5271135" cy="3727450"/>
            <wp:effectExtent l="0" t="0" r="5715" b="6350"/>
            <wp:docPr id="96" name="图片 96" descr="佳木斯中恒热电有限公司新建、扩建锅炉房工程（重新报批）环境影响报告书_2025年12月16日160515_分析报告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佳木斯中恒热电有限公司新建、扩建锅炉房工程（重新报批）环境影响报告书_2025年12月16日160515_分析报告_04"/>
                    <pic:cNvPicPr>
                      <a:picLocks noChangeAspect="1"/>
                    </pic:cNvPicPr>
                  </pic:nvPicPr>
                  <pic:blipFill>
                    <a:blip r:embed="rId169"/>
                    <a:stretch>
                      <a:fillRect/>
                    </a:stretch>
                  </pic:blipFill>
                  <pic:spPr>
                    <a:xfrm>
                      <a:off x="0" y="0"/>
                      <a:ext cx="5271135" cy="3727450"/>
                    </a:xfrm>
                    <a:prstGeom prst="rect">
                      <a:avLst/>
                    </a:prstGeom>
                  </pic:spPr>
                </pic:pic>
              </a:graphicData>
            </a:graphic>
          </wp:inline>
        </w:drawing>
      </w:r>
      <w:r>
        <w:rPr>
          <w:rFonts w:hint="default" w:eastAsia="宋体"/>
          <w:color w:val="auto"/>
          <w:highlight w:val="none"/>
          <w:lang w:val="en-US" w:eastAsia="zh-CN"/>
        </w:rPr>
        <w:drawing>
          <wp:inline distT="0" distB="0" distL="114300" distR="114300">
            <wp:extent cx="5271135" cy="3727450"/>
            <wp:effectExtent l="0" t="0" r="5715" b="6350"/>
            <wp:docPr id="95" name="图片 95" descr="佳木斯中恒热电有限公司新建、扩建锅炉房工程（重新报批）环境影响报告书_2025年12月16日160515_分析报告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佳木斯中恒热电有限公司新建、扩建锅炉房工程（重新报批）环境影响报告书_2025年12月16日160515_分析报告_05"/>
                    <pic:cNvPicPr>
                      <a:picLocks noChangeAspect="1"/>
                    </pic:cNvPicPr>
                  </pic:nvPicPr>
                  <pic:blipFill>
                    <a:blip r:embed="rId170"/>
                    <a:stretch>
                      <a:fillRect/>
                    </a:stretch>
                  </pic:blipFill>
                  <pic:spPr>
                    <a:xfrm>
                      <a:off x="0" y="0"/>
                      <a:ext cx="5271135" cy="3727450"/>
                    </a:xfrm>
                    <a:prstGeom prst="rect">
                      <a:avLst/>
                    </a:prstGeom>
                  </pic:spPr>
                </pic:pic>
              </a:graphicData>
            </a:graphic>
          </wp:inline>
        </w:drawing>
      </w:r>
      <w:r>
        <w:rPr>
          <w:rFonts w:hint="default" w:eastAsia="宋体"/>
          <w:color w:val="auto"/>
          <w:highlight w:val="none"/>
          <w:lang w:val="en-US" w:eastAsia="zh-CN"/>
        </w:rPr>
        <w:drawing>
          <wp:inline distT="0" distB="0" distL="114300" distR="114300">
            <wp:extent cx="5271135" cy="3727450"/>
            <wp:effectExtent l="0" t="0" r="5715" b="6350"/>
            <wp:docPr id="94" name="图片 94" descr="佳木斯中恒热电有限公司新建、扩建锅炉房工程（重新报批）环境影响报告书_2025年12月16日160515_分析报告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佳木斯中恒热电有限公司新建、扩建锅炉房工程（重新报批）环境影响报告书_2025年12月16日160515_分析报告_06"/>
                    <pic:cNvPicPr>
                      <a:picLocks noChangeAspect="1"/>
                    </pic:cNvPicPr>
                  </pic:nvPicPr>
                  <pic:blipFill>
                    <a:blip r:embed="rId171"/>
                    <a:stretch>
                      <a:fillRect/>
                    </a:stretch>
                  </pic:blipFill>
                  <pic:spPr>
                    <a:xfrm>
                      <a:off x="0" y="0"/>
                      <a:ext cx="5271135" cy="3727450"/>
                    </a:xfrm>
                    <a:prstGeom prst="rect">
                      <a:avLst/>
                    </a:prstGeom>
                  </pic:spPr>
                </pic:pic>
              </a:graphicData>
            </a:graphic>
          </wp:inline>
        </w:drawing>
      </w:r>
      <w:r>
        <w:rPr>
          <w:rFonts w:hint="default" w:eastAsia="宋体"/>
          <w:color w:val="auto"/>
          <w:highlight w:val="none"/>
          <w:lang w:val="en-US" w:eastAsia="zh-CN"/>
        </w:rPr>
        <w:drawing>
          <wp:inline distT="0" distB="0" distL="114300" distR="114300">
            <wp:extent cx="5271135" cy="3727450"/>
            <wp:effectExtent l="0" t="0" r="5715" b="6350"/>
            <wp:docPr id="93" name="图片 93" descr="佳木斯中恒热电有限公司新建、扩建锅炉房工程（重新报批）环境影响报告书_2025年12月16日160515_分析报告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佳木斯中恒热电有限公司新建、扩建锅炉房工程（重新报批）环境影响报告书_2025年12月16日160515_分析报告_07"/>
                    <pic:cNvPicPr>
                      <a:picLocks noChangeAspect="1"/>
                    </pic:cNvPicPr>
                  </pic:nvPicPr>
                  <pic:blipFill>
                    <a:blip r:embed="rId172"/>
                    <a:stretch>
                      <a:fillRect/>
                    </a:stretch>
                  </pic:blipFill>
                  <pic:spPr>
                    <a:xfrm>
                      <a:off x="0" y="0"/>
                      <a:ext cx="5271135" cy="3727450"/>
                    </a:xfrm>
                    <a:prstGeom prst="rect">
                      <a:avLst/>
                    </a:prstGeom>
                  </pic:spPr>
                </pic:pic>
              </a:graphicData>
            </a:graphic>
          </wp:inline>
        </w:drawing>
      </w:r>
      <w:r>
        <w:rPr>
          <w:rFonts w:hint="default" w:eastAsia="宋体"/>
          <w:color w:val="auto"/>
          <w:highlight w:val="none"/>
          <w:lang w:val="en-US" w:eastAsia="zh-CN"/>
        </w:rPr>
        <w:drawing>
          <wp:inline distT="0" distB="0" distL="114300" distR="114300">
            <wp:extent cx="5271135" cy="3727450"/>
            <wp:effectExtent l="0" t="0" r="5715" b="6350"/>
            <wp:docPr id="92" name="图片 92" descr="佳木斯中恒热电有限公司新建、扩建锅炉房工程（重新报批）环境影响报告书_2025年12月16日160515_分析报告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佳木斯中恒热电有限公司新建、扩建锅炉房工程（重新报批）环境影响报告书_2025年12月16日160515_分析报告_08"/>
                    <pic:cNvPicPr>
                      <a:picLocks noChangeAspect="1"/>
                    </pic:cNvPicPr>
                  </pic:nvPicPr>
                  <pic:blipFill>
                    <a:blip r:embed="rId173"/>
                    <a:stretch>
                      <a:fillRect/>
                    </a:stretch>
                  </pic:blipFill>
                  <pic:spPr>
                    <a:xfrm>
                      <a:off x="0" y="0"/>
                      <a:ext cx="5271135" cy="3727450"/>
                    </a:xfrm>
                    <a:prstGeom prst="rect">
                      <a:avLst/>
                    </a:prstGeom>
                  </pic:spPr>
                </pic:pic>
              </a:graphicData>
            </a:graphic>
          </wp:inline>
        </w:drawing>
      </w:r>
      <w:r>
        <w:rPr>
          <w:rFonts w:hint="default" w:eastAsia="宋体"/>
          <w:color w:val="auto"/>
          <w:highlight w:val="none"/>
          <w:lang w:val="en-US" w:eastAsia="zh-CN"/>
        </w:rPr>
        <w:drawing>
          <wp:inline distT="0" distB="0" distL="114300" distR="114300">
            <wp:extent cx="5271135" cy="3727450"/>
            <wp:effectExtent l="0" t="0" r="5715" b="6350"/>
            <wp:docPr id="91" name="图片 91" descr="佳木斯中恒热电有限公司新建、扩建锅炉房工程（重新报批）环境影响报告书_2025年12月16日160515_分析报告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佳木斯中恒热电有限公司新建、扩建锅炉房工程（重新报批）环境影响报告书_2025年12月16日160515_分析报告_09"/>
                    <pic:cNvPicPr>
                      <a:picLocks noChangeAspect="1"/>
                    </pic:cNvPicPr>
                  </pic:nvPicPr>
                  <pic:blipFill>
                    <a:blip r:embed="rId174"/>
                    <a:stretch>
                      <a:fillRect/>
                    </a:stretch>
                  </pic:blipFill>
                  <pic:spPr>
                    <a:xfrm>
                      <a:off x="0" y="0"/>
                      <a:ext cx="5271135" cy="3727450"/>
                    </a:xfrm>
                    <a:prstGeom prst="rect">
                      <a:avLst/>
                    </a:prstGeom>
                  </pic:spPr>
                </pic:pic>
              </a:graphicData>
            </a:graphic>
          </wp:inline>
        </w:drawing>
      </w:r>
      <w:r>
        <w:rPr>
          <w:rFonts w:hint="default" w:eastAsia="宋体"/>
          <w:color w:val="auto"/>
          <w:highlight w:val="none"/>
          <w:lang w:val="en-US" w:eastAsia="zh-CN"/>
        </w:rPr>
        <w:drawing>
          <wp:inline distT="0" distB="0" distL="114300" distR="114300">
            <wp:extent cx="5271135" cy="3727450"/>
            <wp:effectExtent l="0" t="0" r="5715" b="6350"/>
            <wp:docPr id="90" name="图片 90" descr="佳木斯中恒热电有限公司新建、扩建锅炉房工程（重新报批）环境影响报告书_2025年12月16日160515_分析报告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佳木斯中恒热电有限公司新建、扩建锅炉房工程（重新报批）环境影响报告书_2025年12月16日160515_分析报告_10"/>
                    <pic:cNvPicPr>
                      <a:picLocks noChangeAspect="1"/>
                    </pic:cNvPicPr>
                  </pic:nvPicPr>
                  <pic:blipFill>
                    <a:blip r:embed="rId175"/>
                    <a:stretch>
                      <a:fillRect/>
                    </a:stretch>
                  </pic:blipFill>
                  <pic:spPr>
                    <a:xfrm>
                      <a:off x="0" y="0"/>
                      <a:ext cx="5271135" cy="3727450"/>
                    </a:xfrm>
                    <a:prstGeom prst="rect">
                      <a:avLst/>
                    </a:prstGeom>
                  </pic:spPr>
                </pic:pic>
              </a:graphicData>
            </a:graphic>
          </wp:inline>
        </w:drawing>
      </w:r>
    </w:p>
    <w:p w14:paraId="1E008DC5">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p>
    <w:p w14:paraId="09223391">
      <w:pPr>
        <w:topLinePunct w:val="0"/>
        <w:adjustRightInd/>
        <w:spacing w:before="31" w:beforeLines="10" w:after="31" w:afterLines="10" w:line="0" w:lineRule="atLeast"/>
        <w:ind w:left="0" w:leftChars="0" w:firstLine="0" w:firstLineChars="0"/>
        <w:jc w:val="both"/>
        <w:rPr>
          <w:rFonts w:hint="eastAsia" w:ascii="Times New Roman" w:hAnsi="Times New Roman" w:eastAsia="宋体" w:cs="Times New Roman"/>
          <w:b/>
          <w:bCs/>
          <w:color w:val="auto"/>
          <w:highlight w:val="none"/>
          <w:lang w:val="en-US" w:eastAsia="zh-CN"/>
        </w:rPr>
      </w:pPr>
      <w:r>
        <w:rPr>
          <w:rFonts w:hint="eastAsia" w:eastAsia="宋体"/>
          <w:color w:val="auto"/>
          <w:highlight w:val="none"/>
          <w:lang w:val="en-US" w:eastAsia="zh-CN"/>
        </w:rPr>
        <w:drawing>
          <wp:anchor distT="0" distB="0" distL="114300" distR="114300" simplePos="0" relativeHeight="251713536" behindDoc="0" locked="0" layoutInCell="1" allowOverlap="1">
            <wp:simplePos x="0" y="0"/>
            <wp:positionH relativeFrom="column">
              <wp:posOffset>-519430</wp:posOffset>
            </wp:positionH>
            <wp:positionV relativeFrom="paragraph">
              <wp:posOffset>250190</wp:posOffset>
            </wp:positionV>
            <wp:extent cx="6475730" cy="9133840"/>
            <wp:effectExtent l="0" t="0" r="1270" b="10160"/>
            <wp:wrapTopAndBottom/>
            <wp:docPr id="134"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40"/>
                    <pic:cNvPicPr>
                      <a:picLocks noChangeAspect="1"/>
                    </pic:cNvPicPr>
                  </pic:nvPicPr>
                  <pic:blipFill>
                    <a:blip r:embed="rId176"/>
                    <a:stretch>
                      <a:fillRect/>
                    </a:stretch>
                  </pic:blipFill>
                  <pic:spPr>
                    <a:xfrm>
                      <a:off x="0" y="0"/>
                      <a:ext cx="6475730" cy="9133840"/>
                    </a:xfrm>
                    <a:prstGeom prst="rect">
                      <a:avLst/>
                    </a:prstGeom>
                    <a:noFill/>
                    <a:ln>
                      <a:noFill/>
                    </a:ln>
                  </pic:spPr>
                </pic:pic>
              </a:graphicData>
            </a:graphic>
          </wp:anchor>
        </w:drawing>
      </w:r>
      <w:r>
        <w:rPr>
          <w:rFonts w:hint="eastAsia" w:ascii="Times New Roman" w:hAnsi="Times New Roman" w:eastAsia="宋体" w:cs="Times New Roman"/>
          <w:b/>
          <w:bCs/>
          <w:color w:val="auto"/>
          <w:highlight w:val="none"/>
          <w:lang w:val="en-US" w:eastAsia="zh-CN"/>
        </w:rPr>
        <w:t>附件8  监测报告</w:t>
      </w:r>
    </w:p>
    <w:p w14:paraId="7AB5EAC6">
      <w:pPr>
        <w:topLinePunct w:val="0"/>
        <w:adjustRightInd/>
        <w:spacing w:before="31" w:beforeLines="10" w:after="31" w:afterLines="10" w:line="0" w:lineRule="atLeast"/>
        <w:ind w:left="0" w:leftChars="0" w:firstLine="0" w:firstLineChars="0"/>
        <w:jc w:val="both"/>
        <w:rPr>
          <w:rFonts w:hint="eastAsia"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p>
    <w:p w14:paraId="0E17547F">
      <w:pPr>
        <w:topLinePunct w:val="0"/>
        <w:adjustRightInd/>
        <w:spacing w:before="31" w:beforeLines="10" w:after="31" w:afterLines="10" w:line="0" w:lineRule="atLeast"/>
        <w:ind w:left="0" w:leftChars="0" w:firstLine="0" w:firstLineChars="0"/>
        <w:jc w:val="both"/>
        <w:rPr>
          <w:rFonts w:hint="eastAsia"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eastAsia" w:eastAsia="宋体"/>
          <w:color w:val="auto"/>
          <w:highlight w:val="none"/>
          <w:lang w:val="en-US" w:eastAsia="zh-CN"/>
        </w:rPr>
        <w:drawing>
          <wp:anchor distT="0" distB="0" distL="114300" distR="114300" simplePos="0" relativeHeight="251714560" behindDoc="0" locked="0" layoutInCell="1" allowOverlap="1">
            <wp:simplePos x="0" y="0"/>
            <wp:positionH relativeFrom="column">
              <wp:posOffset>-899795</wp:posOffset>
            </wp:positionH>
            <wp:positionV relativeFrom="paragraph">
              <wp:posOffset>-613410</wp:posOffset>
            </wp:positionV>
            <wp:extent cx="6804025" cy="9509760"/>
            <wp:effectExtent l="0" t="0" r="15875" b="15240"/>
            <wp:wrapTopAndBottom/>
            <wp:docPr id="135"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41"/>
                    <pic:cNvPicPr>
                      <a:picLocks noChangeAspect="1"/>
                    </pic:cNvPicPr>
                  </pic:nvPicPr>
                  <pic:blipFill>
                    <a:blip r:embed="rId177"/>
                    <a:stretch>
                      <a:fillRect/>
                    </a:stretch>
                  </pic:blipFill>
                  <pic:spPr>
                    <a:xfrm>
                      <a:off x="0" y="0"/>
                      <a:ext cx="6804025" cy="9509760"/>
                    </a:xfrm>
                    <a:prstGeom prst="rect">
                      <a:avLst/>
                    </a:prstGeom>
                    <a:noFill/>
                    <a:ln>
                      <a:noFill/>
                    </a:ln>
                  </pic:spPr>
                </pic:pic>
              </a:graphicData>
            </a:graphic>
          </wp:anchor>
        </w:drawing>
      </w:r>
    </w:p>
    <w:p w14:paraId="24332EC8">
      <w:pPr>
        <w:topLinePunct w:val="0"/>
        <w:adjustRightInd/>
        <w:spacing w:before="31" w:beforeLines="10" w:after="31" w:afterLines="10" w:line="0" w:lineRule="atLeast"/>
        <w:ind w:left="0" w:leftChars="0" w:firstLine="0" w:firstLineChars="0"/>
        <w:jc w:val="both"/>
        <w:rPr>
          <w:rFonts w:hint="eastAsia"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eastAsia" w:eastAsia="宋体"/>
          <w:color w:val="auto"/>
          <w:highlight w:val="none"/>
          <w:lang w:val="en-US" w:eastAsia="zh-CN"/>
        </w:rPr>
        <w:drawing>
          <wp:anchor distT="0" distB="0" distL="114300" distR="114300" simplePos="0" relativeHeight="251715584" behindDoc="0" locked="0" layoutInCell="1" allowOverlap="1">
            <wp:simplePos x="0" y="0"/>
            <wp:positionH relativeFrom="column">
              <wp:posOffset>-878840</wp:posOffset>
            </wp:positionH>
            <wp:positionV relativeFrom="paragraph">
              <wp:posOffset>-603250</wp:posOffset>
            </wp:positionV>
            <wp:extent cx="7120255" cy="10152380"/>
            <wp:effectExtent l="0" t="0" r="4445" b="1270"/>
            <wp:wrapTopAndBottom/>
            <wp:docPr id="129" name="图片 129" descr="2026011514492702172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2026011514492702172_03"/>
                    <pic:cNvPicPr>
                      <a:picLocks noChangeAspect="1"/>
                    </pic:cNvPicPr>
                  </pic:nvPicPr>
                  <pic:blipFill>
                    <a:blip r:embed="rId178"/>
                    <a:stretch>
                      <a:fillRect/>
                    </a:stretch>
                  </pic:blipFill>
                  <pic:spPr>
                    <a:xfrm>
                      <a:off x="0" y="0"/>
                      <a:ext cx="7120255" cy="10152380"/>
                    </a:xfrm>
                    <a:prstGeom prst="rect">
                      <a:avLst/>
                    </a:prstGeom>
                  </pic:spPr>
                </pic:pic>
              </a:graphicData>
            </a:graphic>
          </wp:anchor>
        </w:drawing>
      </w:r>
    </w:p>
    <w:p w14:paraId="07653DCC">
      <w:pPr>
        <w:topLinePunct w:val="0"/>
        <w:adjustRightInd/>
        <w:spacing w:before="31" w:beforeLines="10" w:after="31" w:afterLines="10" w:line="0" w:lineRule="atLeast"/>
        <w:ind w:left="0" w:leftChars="0" w:firstLine="0" w:firstLineChars="0"/>
        <w:jc w:val="both"/>
        <w:rPr>
          <w:rFonts w:hint="eastAsia"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eastAsia" w:eastAsia="宋体"/>
          <w:color w:val="auto"/>
          <w:highlight w:val="none"/>
          <w:lang w:val="en-US" w:eastAsia="zh-CN"/>
        </w:rPr>
        <w:drawing>
          <wp:anchor distT="0" distB="0" distL="114300" distR="114300" simplePos="0" relativeHeight="251716608" behindDoc="0" locked="0" layoutInCell="1" allowOverlap="1">
            <wp:simplePos x="0" y="0"/>
            <wp:positionH relativeFrom="column">
              <wp:posOffset>-921385</wp:posOffset>
            </wp:positionH>
            <wp:positionV relativeFrom="paragraph">
              <wp:posOffset>-688975</wp:posOffset>
            </wp:positionV>
            <wp:extent cx="6927850" cy="9878695"/>
            <wp:effectExtent l="0" t="0" r="6350" b="8255"/>
            <wp:wrapTopAndBottom/>
            <wp:docPr id="128" name="图片 128" descr="2026011514492702172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2026011514492702172_04"/>
                    <pic:cNvPicPr>
                      <a:picLocks noChangeAspect="1"/>
                    </pic:cNvPicPr>
                  </pic:nvPicPr>
                  <pic:blipFill>
                    <a:blip r:embed="rId179"/>
                    <a:stretch>
                      <a:fillRect/>
                    </a:stretch>
                  </pic:blipFill>
                  <pic:spPr>
                    <a:xfrm>
                      <a:off x="0" y="0"/>
                      <a:ext cx="6927850" cy="9878695"/>
                    </a:xfrm>
                    <a:prstGeom prst="rect">
                      <a:avLst/>
                    </a:prstGeom>
                  </pic:spPr>
                </pic:pic>
              </a:graphicData>
            </a:graphic>
          </wp:anchor>
        </w:drawing>
      </w:r>
    </w:p>
    <w:p w14:paraId="5B695FCB">
      <w:pPr>
        <w:topLinePunct w:val="0"/>
        <w:adjustRightInd/>
        <w:spacing w:before="31" w:beforeLines="10" w:after="31" w:afterLines="10" w:line="0" w:lineRule="atLeast"/>
        <w:ind w:left="0" w:leftChars="0" w:firstLine="0" w:firstLineChars="0"/>
        <w:jc w:val="both"/>
        <w:rPr>
          <w:rFonts w:hint="eastAsia"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eastAsia" w:eastAsia="宋体"/>
          <w:color w:val="auto"/>
          <w:highlight w:val="none"/>
          <w:lang w:val="en-US" w:eastAsia="zh-CN"/>
        </w:rPr>
        <w:drawing>
          <wp:anchor distT="0" distB="0" distL="114300" distR="114300" simplePos="0" relativeHeight="251718656" behindDoc="0" locked="0" layoutInCell="1" allowOverlap="1">
            <wp:simplePos x="0" y="0"/>
            <wp:positionH relativeFrom="column">
              <wp:posOffset>-793750</wp:posOffset>
            </wp:positionH>
            <wp:positionV relativeFrom="paragraph">
              <wp:posOffset>-624840</wp:posOffset>
            </wp:positionV>
            <wp:extent cx="6678295" cy="9523095"/>
            <wp:effectExtent l="0" t="0" r="8255" b="1905"/>
            <wp:wrapTopAndBottom/>
            <wp:docPr id="127" name="图片 127" descr="2026011514492702172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2026011514492702172_05"/>
                    <pic:cNvPicPr>
                      <a:picLocks noChangeAspect="1"/>
                    </pic:cNvPicPr>
                  </pic:nvPicPr>
                  <pic:blipFill>
                    <a:blip r:embed="rId180"/>
                    <a:stretch>
                      <a:fillRect/>
                    </a:stretch>
                  </pic:blipFill>
                  <pic:spPr>
                    <a:xfrm>
                      <a:off x="0" y="0"/>
                      <a:ext cx="6678295" cy="9523095"/>
                    </a:xfrm>
                    <a:prstGeom prst="rect">
                      <a:avLst/>
                    </a:prstGeom>
                  </pic:spPr>
                </pic:pic>
              </a:graphicData>
            </a:graphic>
          </wp:anchor>
        </w:drawing>
      </w:r>
    </w:p>
    <w:p w14:paraId="441F4291">
      <w:pPr>
        <w:topLinePunct w:val="0"/>
        <w:adjustRightInd/>
        <w:spacing w:before="31" w:beforeLines="10" w:after="31" w:afterLines="10" w:line="0" w:lineRule="atLeast"/>
        <w:ind w:left="0" w:leftChars="0" w:firstLine="0" w:firstLineChars="0"/>
        <w:jc w:val="both"/>
        <w:rPr>
          <w:rFonts w:hint="eastAsia"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eastAsia" w:eastAsia="宋体"/>
          <w:color w:val="auto"/>
          <w:highlight w:val="none"/>
          <w:lang w:val="en-US" w:eastAsia="zh-CN"/>
        </w:rPr>
        <w:drawing>
          <wp:anchor distT="0" distB="0" distL="114300" distR="114300" simplePos="0" relativeHeight="251717632" behindDoc="0" locked="0" layoutInCell="1" allowOverlap="1">
            <wp:simplePos x="0" y="0"/>
            <wp:positionH relativeFrom="column">
              <wp:posOffset>-677545</wp:posOffset>
            </wp:positionH>
            <wp:positionV relativeFrom="paragraph">
              <wp:posOffset>-551815</wp:posOffset>
            </wp:positionV>
            <wp:extent cx="6777355" cy="9646920"/>
            <wp:effectExtent l="0" t="0" r="4445" b="11430"/>
            <wp:wrapTopAndBottom/>
            <wp:docPr id="126" name="图片 126" descr="2026011514492702172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2026011514492702172_06"/>
                    <pic:cNvPicPr>
                      <a:picLocks noChangeAspect="1"/>
                    </pic:cNvPicPr>
                  </pic:nvPicPr>
                  <pic:blipFill>
                    <a:blip r:embed="rId181"/>
                    <a:stretch>
                      <a:fillRect/>
                    </a:stretch>
                  </pic:blipFill>
                  <pic:spPr>
                    <a:xfrm>
                      <a:off x="0" y="0"/>
                      <a:ext cx="6777355" cy="9646920"/>
                    </a:xfrm>
                    <a:prstGeom prst="rect">
                      <a:avLst/>
                    </a:prstGeom>
                  </pic:spPr>
                </pic:pic>
              </a:graphicData>
            </a:graphic>
          </wp:anchor>
        </w:drawing>
      </w:r>
    </w:p>
    <w:p w14:paraId="371F57FE">
      <w:pPr>
        <w:topLinePunct w:val="0"/>
        <w:adjustRightInd/>
        <w:spacing w:before="31" w:beforeLines="10" w:after="31" w:afterLines="10" w:line="0" w:lineRule="atLeast"/>
        <w:ind w:left="0" w:leftChars="0" w:firstLine="0" w:firstLineChars="0"/>
        <w:jc w:val="both"/>
        <w:rPr>
          <w:rFonts w:hint="eastAsia"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eastAsia" w:eastAsia="宋体"/>
          <w:color w:val="auto"/>
          <w:highlight w:val="none"/>
          <w:lang w:val="en-US" w:eastAsia="zh-CN"/>
        </w:rPr>
        <w:drawing>
          <wp:inline distT="0" distB="0" distL="114300" distR="114300">
            <wp:extent cx="5273040" cy="7510145"/>
            <wp:effectExtent l="0" t="0" r="3810" b="14605"/>
            <wp:docPr id="125" name="图片 125" descr="2026011514492702172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descr="2026011514492702172_07"/>
                    <pic:cNvPicPr>
                      <a:picLocks noChangeAspect="1"/>
                    </pic:cNvPicPr>
                  </pic:nvPicPr>
                  <pic:blipFill>
                    <a:blip r:embed="rId182"/>
                    <a:stretch>
                      <a:fillRect/>
                    </a:stretch>
                  </pic:blipFill>
                  <pic:spPr>
                    <a:xfrm>
                      <a:off x="0" y="0"/>
                      <a:ext cx="5273040" cy="7510145"/>
                    </a:xfrm>
                    <a:prstGeom prst="rect">
                      <a:avLst/>
                    </a:prstGeom>
                  </pic:spPr>
                </pic:pic>
              </a:graphicData>
            </a:graphic>
          </wp:inline>
        </w:drawing>
      </w:r>
    </w:p>
    <w:p w14:paraId="2FEAD8D4">
      <w:pPr>
        <w:topLinePunct w:val="0"/>
        <w:adjustRightInd/>
        <w:spacing w:before="31" w:beforeLines="10" w:after="31" w:afterLines="10" w:line="0" w:lineRule="atLeast"/>
        <w:ind w:left="0" w:leftChars="0" w:firstLine="0" w:firstLineChars="0"/>
        <w:jc w:val="both"/>
        <w:rPr>
          <w:rFonts w:hint="eastAsia"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eastAsia" w:eastAsia="宋体"/>
          <w:color w:val="auto"/>
          <w:highlight w:val="none"/>
          <w:lang w:val="en-US" w:eastAsia="zh-CN"/>
        </w:rPr>
        <w:drawing>
          <wp:anchor distT="0" distB="0" distL="114300" distR="114300" simplePos="0" relativeHeight="251719680" behindDoc="0" locked="0" layoutInCell="1" allowOverlap="1">
            <wp:simplePos x="0" y="0"/>
            <wp:positionH relativeFrom="column">
              <wp:posOffset>-698500</wp:posOffset>
            </wp:positionH>
            <wp:positionV relativeFrom="paragraph">
              <wp:posOffset>-614045</wp:posOffset>
            </wp:positionV>
            <wp:extent cx="6670675" cy="9507855"/>
            <wp:effectExtent l="0" t="0" r="15875" b="17145"/>
            <wp:wrapTopAndBottom/>
            <wp:docPr id="124" name="图片 124" descr="2026011514492702172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2026011514492702172_08"/>
                    <pic:cNvPicPr>
                      <a:picLocks noChangeAspect="1"/>
                    </pic:cNvPicPr>
                  </pic:nvPicPr>
                  <pic:blipFill>
                    <a:blip r:embed="rId183"/>
                    <a:stretch>
                      <a:fillRect/>
                    </a:stretch>
                  </pic:blipFill>
                  <pic:spPr>
                    <a:xfrm>
                      <a:off x="0" y="0"/>
                      <a:ext cx="6670675" cy="9507855"/>
                    </a:xfrm>
                    <a:prstGeom prst="rect">
                      <a:avLst/>
                    </a:prstGeom>
                  </pic:spPr>
                </pic:pic>
              </a:graphicData>
            </a:graphic>
          </wp:anchor>
        </w:drawing>
      </w:r>
    </w:p>
    <w:p w14:paraId="5E294349">
      <w:pPr>
        <w:topLinePunct w:val="0"/>
        <w:adjustRightInd/>
        <w:spacing w:before="31" w:beforeLines="10" w:after="31" w:afterLines="10" w:line="0" w:lineRule="atLeast"/>
        <w:ind w:left="0" w:leftChars="0" w:firstLine="0" w:firstLineChars="0"/>
        <w:jc w:val="both"/>
        <w:rPr>
          <w:rFonts w:hint="eastAsia"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eastAsia" w:eastAsia="宋体"/>
          <w:color w:val="auto"/>
          <w:highlight w:val="none"/>
          <w:lang w:val="en-US" w:eastAsia="zh-CN"/>
        </w:rPr>
        <w:drawing>
          <wp:anchor distT="0" distB="0" distL="114300" distR="114300" simplePos="0" relativeHeight="251720704" behindDoc="0" locked="0" layoutInCell="1" allowOverlap="1">
            <wp:simplePos x="0" y="0"/>
            <wp:positionH relativeFrom="column">
              <wp:posOffset>-613410</wp:posOffset>
            </wp:positionH>
            <wp:positionV relativeFrom="paragraph">
              <wp:posOffset>-10795</wp:posOffset>
            </wp:positionV>
            <wp:extent cx="6252210" cy="8914765"/>
            <wp:effectExtent l="0" t="0" r="15240" b="635"/>
            <wp:wrapTopAndBottom/>
            <wp:docPr id="123" name="图片 123" descr="2026011514492702172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descr="2026011514492702172_09"/>
                    <pic:cNvPicPr>
                      <a:picLocks noChangeAspect="1"/>
                    </pic:cNvPicPr>
                  </pic:nvPicPr>
                  <pic:blipFill>
                    <a:blip r:embed="rId184"/>
                    <a:stretch>
                      <a:fillRect/>
                    </a:stretch>
                  </pic:blipFill>
                  <pic:spPr>
                    <a:xfrm>
                      <a:off x="0" y="0"/>
                      <a:ext cx="6252210" cy="8914765"/>
                    </a:xfrm>
                    <a:prstGeom prst="rect">
                      <a:avLst/>
                    </a:prstGeom>
                  </pic:spPr>
                </pic:pic>
              </a:graphicData>
            </a:graphic>
          </wp:anchor>
        </w:drawing>
      </w:r>
    </w:p>
    <w:p w14:paraId="3E85E6DC">
      <w:pPr>
        <w:topLinePunct w:val="0"/>
        <w:adjustRightInd/>
        <w:spacing w:before="31" w:beforeLines="10" w:after="31" w:afterLines="10" w:line="0" w:lineRule="atLeast"/>
        <w:ind w:left="0" w:leftChars="0" w:firstLine="0" w:firstLineChars="0"/>
        <w:jc w:val="both"/>
        <w:rPr>
          <w:rFonts w:hint="eastAsia"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eastAsia" w:eastAsia="宋体"/>
          <w:color w:val="auto"/>
          <w:highlight w:val="none"/>
          <w:lang w:val="en-US" w:eastAsia="zh-CN"/>
        </w:rPr>
        <w:drawing>
          <wp:anchor distT="0" distB="0" distL="114300" distR="114300" simplePos="0" relativeHeight="251721728" behindDoc="0" locked="0" layoutInCell="1" allowOverlap="1">
            <wp:simplePos x="0" y="0"/>
            <wp:positionH relativeFrom="column">
              <wp:posOffset>-825500</wp:posOffset>
            </wp:positionH>
            <wp:positionV relativeFrom="paragraph">
              <wp:posOffset>-655955</wp:posOffset>
            </wp:positionV>
            <wp:extent cx="7040880" cy="10035540"/>
            <wp:effectExtent l="0" t="0" r="7620" b="3810"/>
            <wp:wrapTopAndBottom/>
            <wp:docPr id="122" name="图片 122" descr="2026011514492702172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descr="2026011514492702172_10"/>
                    <pic:cNvPicPr>
                      <a:picLocks noChangeAspect="1"/>
                    </pic:cNvPicPr>
                  </pic:nvPicPr>
                  <pic:blipFill>
                    <a:blip r:embed="rId185"/>
                    <a:stretch>
                      <a:fillRect/>
                    </a:stretch>
                  </pic:blipFill>
                  <pic:spPr>
                    <a:xfrm>
                      <a:off x="0" y="0"/>
                      <a:ext cx="7040880" cy="10035540"/>
                    </a:xfrm>
                    <a:prstGeom prst="rect">
                      <a:avLst/>
                    </a:prstGeom>
                  </pic:spPr>
                </pic:pic>
              </a:graphicData>
            </a:graphic>
          </wp:anchor>
        </w:drawing>
      </w:r>
    </w:p>
    <w:p w14:paraId="4704761C">
      <w:pPr>
        <w:topLinePunct w:val="0"/>
        <w:adjustRightInd/>
        <w:spacing w:before="31" w:beforeLines="10" w:after="31" w:afterLines="10" w:line="0" w:lineRule="atLeast"/>
        <w:ind w:left="0" w:leftChars="0" w:firstLine="0" w:firstLineChars="0"/>
        <w:jc w:val="both"/>
        <w:rPr>
          <w:rFonts w:hint="eastAsia"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eastAsia" w:eastAsia="宋体"/>
          <w:color w:val="auto"/>
          <w:highlight w:val="none"/>
          <w:lang w:val="en-US" w:eastAsia="zh-CN"/>
        </w:rPr>
        <w:drawing>
          <wp:anchor distT="0" distB="0" distL="114300" distR="114300" simplePos="0" relativeHeight="251722752" behindDoc="0" locked="0" layoutInCell="1" allowOverlap="1">
            <wp:simplePos x="0" y="0"/>
            <wp:positionH relativeFrom="column">
              <wp:posOffset>-656590</wp:posOffset>
            </wp:positionH>
            <wp:positionV relativeFrom="paragraph">
              <wp:posOffset>-328295</wp:posOffset>
            </wp:positionV>
            <wp:extent cx="6480810" cy="9225280"/>
            <wp:effectExtent l="0" t="0" r="15240" b="13970"/>
            <wp:wrapTopAndBottom/>
            <wp:docPr id="121" name="图片 121" descr="2026011514492702172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2026011514492702172_11"/>
                    <pic:cNvPicPr>
                      <a:picLocks noChangeAspect="1"/>
                    </pic:cNvPicPr>
                  </pic:nvPicPr>
                  <pic:blipFill>
                    <a:blip r:embed="rId186"/>
                    <a:stretch>
                      <a:fillRect/>
                    </a:stretch>
                  </pic:blipFill>
                  <pic:spPr>
                    <a:xfrm>
                      <a:off x="0" y="0"/>
                      <a:ext cx="6480810" cy="9225280"/>
                    </a:xfrm>
                    <a:prstGeom prst="rect">
                      <a:avLst/>
                    </a:prstGeom>
                  </pic:spPr>
                </pic:pic>
              </a:graphicData>
            </a:graphic>
          </wp:anchor>
        </w:drawing>
      </w:r>
    </w:p>
    <w:p w14:paraId="53648AA4">
      <w:pPr>
        <w:topLinePunct w:val="0"/>
        <w:adjustRightInd/>
        <w:spacing w:before="31" w:beforeLines="10" w:after="31" w:afterLines="10" w:line="0" w:lineRule="atLeast"/>
        <w:ind w:left="0" w:leftChars="0" w:firstLine="0" w:firstLineChars="0"/>
        <w:jc w:val="both"/>
        <w:rPr>
          <w:rFonts w:hint="eastAsia"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eastAsia" w:eastAsia="宋体"/>
          <w:color w:val="auto"/>
          <w:highlight w:val="none"/>
          <w:lang w:val="en-US" w:eastAsia="zh-CN"/>
        </w:rPr>
        <w:drawing>
          <wp:anchor distT="0" distB="0" distL="114300" distR="114300" simplePos="0" relativeHeight="251723776" behindDoc="0" locked="0" layoutInCell="1" allowOverlap="1">
            <wp:simplePos x="0" y="0"/>
            <wp:positionH relativeFrom="column">
              <wp:posOffset>-720090</wp:posOffset>
            </wp:positionH>
            <wp:positionV relativeFrom="paragraph">
              <wp:posOffset>-582295</wp:posOffset>
            </wp:positionV>
            <wp:extent cx="6731000" cy="9581515"/>
            <wp:effectExtent l="0" t="0" r="12700" b="635"/>
            <wp:wrapTopAndBottom/>
            <wp:docPr id="118" name="图片 118" descr="2026011514492702172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2026011514492702172_12"/>
                    <pic:cNvPicPr>
                      <a:picLocks noChangeAspect="1"/>
                    </pic:cNvPicPr>
                  </pic:nvPicPr>
                  <pic:blipFill>
                    <a:blip r:embed="rId187"/>
                    <a:stretch>
                      <a:fillRect/>
                    </a:stretch>
                  </pic:blipFill>
                  <pic:spPr>
                    <a:xfrm>
                      <a:off x="0" y="0"/>
                      <a:ext cx="6731000" cy="9581515"/>
                    </a:xfrm>
                    <a:prstGeom prst="rect">
                      <a:avLst/>
                    </a:prstGeom>
                  </pic:spPr>
                </pic:pic>
              </a:graphicData>
            </a:graphic>
          </wp:anchor>
        </w:drawing>
      </w:r>
    </w:p>
    <w:p w14:paraId="184E4672">
      <w:pPr>
        <w:topLinePunct w:val="0"/>
        <w:adjustRightInd/>
        <w:spacing w:before="31" w:beforeLines="10" w:after="31" w:afterLines="10" w:line="0" w:lineRule="atLeast"/>
        <w:ind w:left="0" w:leftChars="0" w:firstLine="0" w:firstLineChars="0"/>
        <w:jc w:val="both"/>
        <w:rPr>
          <w:rFonts w:hint="eastAsia"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eastAsia" w:eastAsia="宋体"/>
          <w:color w:val="auto"/>
          <w:highlight w:val="none"/>
          <w:lang w:val="en-US" w:eastAsia="zh-CN"/>
        </w:rPr>
        <w:drawing>
          <wp:anchor distT="0" distB="0" distL="114300" distR="114300" simplePos="0" relativeHeight="251724800" behindDoc="0" locked="0" layoutInCell="1" allowOverlap="1">
            <wp:simplePos x="0" y="0"/>
            <wp:positionH relativeFrom="column">
              <wp:posOffset>-645160</wp:posOffset>
            </wp:positionH>
            <wp:positionV relativeFrom="paragraph">
              <wp:posOffset>-492125</wp:posOffset>
            </wp:positionV>
            <wp:extent cx="6656705" cy="9574530"/>
            <wp:effectExtent l="0" t="0" r="10795" b="7620"/>
            <wp:wrapTopAndBottom/>
            <wp:docPr id="136"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42"/>
                    <pic:cNvPicPr>
                      <a:picLocks noChangeAspect="1"/>
                    </pic:cNvPicPr>
                  </pic:nvPicPr>
                  <pic:blipFill>
                    <a:blip r:embed="rId188"/>
                    <a:stretch>
                      <a:fillRect/>
                    </a:stretch>
                  </pic:blipFill>
                  <pic:spPr>
                    <a:xfrm>
                      <a:off x="0" y="0"/>
                      <a:ext cx="6656705" cy="9574530"/>
                    </a:xfrm>
                    <a:prstGeom prst="rect">
                      <a:avLst/>
                    </a:prstGeom>
                    <a:noFill/>
                    <a:ln>
                      <a:noFill/>
                    </a:ln>
                  </pic:spPr>
                </pic:pic>
              </a:graphicData>
            </a:graphic>
          </wp:anchor>
        </w:drawing>
      </w:r>
    </w:p>
    <w:p w14:paraId="532B093F">
      <w:pPr>
        <w:topLinePunct w:val="0"/>
        <w:adjustRightInd/>
        <w:spacing w:before="31" w:beforeLines="10" w:after="31" w:afterLines="10" w:line="0" w:lineRule="atLeast"/>
        <w:ind w:left="0" w:leftChars="0" w:firstLine="0" w:firstLineChars="0"/>
        <w:jc w:val="both"/>
        <w:rPr>
          <w:rFonts w:hint="eastAsia"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eastAsia" w:eastAsia="宋体"/>
          <w:color w:val="auto"/>
          <w:highlight w:val="none"/>
          <w:lang w:val="en-US" w:eastAsia="zh-CN"/>
        </w:rPr>
        <w:drawing>
          <wp:anchor distT="0" distB="0" distL="114300" distR="114300" simplePos="0" relativeHeight="251725824" behindDoc="0" locked="0" layoutInCell="1" allowOverlap="1">
            <wp:simplePos x="0" y="0"/>
            <wp:positionH relativeFrom="column">
              <wp:posOffset>-804545</wp:posOffset>
            </wp:positionH>
            <wp:positionV relativeFrom="paragraph">
              <wp:posOffset>-634365</wp:posOffset>
            </wp:positionV>
            <wp:extent cx="6796405" cy="9680575"/>
            <wp:effectExtent l="0" t="0" r="4445" b="15875"/>
            <wp:wrapTopAndBottom/>
            <wp:docPr id="137"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43"/>
                    <pic:cNvPicPr>
                      <a:picLocks noChangeAspect="1"/>
                    </pic:cNvPicPr>
                  </pic:nvPicPr>
                  <pic:blipFill>
                    <a:blip r:embed="rId189"/>
                    <a:stretch>
                      <a:fillRect/>
                    </a:stretch>
                  </pic:blipFill>
                  <pic:spPr>
                    <a:xfrm>
                      <a:off x="0" y="0"/>
                      <a:ext cx="6796405" cy="9680575"/>
                    </a:xfrm>
                    <a:prstGeom prst="rect">
                      <a:avLst/>
                    </a:prstGeom>
                    <a:noFill/>
                    <a:ln>
                      <a:noFill/>
                    </a:ln>
                  </pic:spPr>
                </pic:pic>
              </a:graphicData>
            </a:graphic>
          </wp:anchor>
        </w:drawing>
      </w:r>
    </w:p>
    <w:p w14:paraId="75C0070A">
      <w:pPr>
        <w:topLinePunct w:val="0"/>
        <w:adjustRightInd/>
        <w:spacing w:before="31" w:beforeLines="10" w:after="31" w:afterLines="10" w:line="0" w:lineRule="atLeast"/>
        <w:ind w:left="0" w:leftChars="0" w:firstLine="0" w:firstLineChars="0"/>
        <w:jc w:val="both"/>
        <w:rPr>
          <w:rFonts w:hint="eastAsia"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eastAsia" w:eastAsia="宋体"/>
          <w:color w:val="auto"/>
          <w:highlight w:val="none"/>
          <w:lang w:val="en-US" w:eastAsia="zh-CN"/>
        </w:rPr>
        <w:drawing>
          <wp:anchor distT="0" distB="0" distL="114300" distR="114300" simplePos="0" relativeHeight="251726848" behindDoc="0" locked="0" layoutInCell="1" allowOverlap="1">
            <wp:simplePos x="0" y="0"/>
            <wp:positionH relativeFrom="column">
              <wp:posOffset>-793750</wp:posOffset>
            </wp:positionH>
            <wp:positionV relativeFrom="paragraph">
              <wp:posOffset>-635000</wp:posOffset>
            </wp:positionV>
            <wp:extent cx="6886575" cy="9836785"/>
            <wp:effectExtent l="0" t="0" r="9525" b="12065"/>
            <wp:wrapTopAndBottom/>
            <wp:docPr id="138"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44"/>
                    <pic:cNvPicPr>
                      <a:picLocks noChangeAspect="1"/>
                    </pic:cNvPicPr>
                  </pic:nvPicPr>
                  <pic:blipFill>
                    <a:blip r:embed="rId190"/>
                    <a:stretch>
                      <a:fillRect/>
                    </a:stretch>
                  </pic:blipFill>
                  <pic:spPr>
                    <a:xfrm>
                      <a:off x="0" y="0"/>
                      <a:ext cx="6886575" cy="9836785"/>
                    </a:xfrm>
                    <a:prstGeom prst="rect">
                      <a:avLst/>
                    </a:prstGeom>
                    <a:noFill/>
                    <a:ln>
                      <a:noFill/>
                    </a:ln>
                  </pic:spPr>
                </pic:pic>
              </a:graphicData>
            </a:graphic>
          </wp:anchor>
        </w:drawing>
      </w:r>
    </w:p>
    <w:p w14:paraId="2D387D5C">
      <w:pPr>
        <w:topLinePunct w:val="0"/>
        <w:adjustRightInd/>
        <w:spacing w:before="31" w:beforeLines="10" w:after="31" w:afterLines="10" w:line="0" w:lineRule="atLeast"/>
        <w:ind w:left="0" w:leftChars="0" w:firstLine="0" w:firstLineChars="0"/>
        <w:jc w:val="both"/>
        <w:rPr>
          <w:rFonts w:hint="eastAsia"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eastAsia" w:eastAsia="宋体"/>
          <w:color w:val="auto"/>
          <w:highlight w:val="none"/>
          <w:lang w:val="en-US" w:eastAsia="zh-CN"/>
        </w:rPr>
        <w:drawing>
          <wp:anchor distT="0" distB="0" distL="114300" distR="114300" simplePos="0" relativeHeight="251727872" behindDoc="0" locked="0" layoutInCell="1" allowOverlap="1">
            <wp:simplePos x="0" y="0"/>
            <wp:positionH relativeFrom="column">
              <wp:posOffset>-788035</wp:posOffset>
            </wp:positionH>
            <wp:positionV relativeFrom="paragraph">
              <wp:posOffset>-640715</wp:posOffset>
            </wp:positionV>
            <wp:extent cx="6854825" cy="9700895"/>
            <wp:effectExtent l="0" t="0" r="3175" b="14605"/>
            <wp:wrapTopAndBottom/>
            <wp:docPr id="139"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45"/>
                    <pic:cNvPicPr>
                      <a:picLocks noChangeAspect="1"/>
                    </pic:cNvPicPr>
                  </pic:nvPicPr>
                  <pic:blipFill>
                    <a:blip r:embed="rId191"/>
                    <a:stretch>
                      <a:fillRect/>
                    </a:stretch>
                  </pic:blipFill>
                  <pic:spPr>
                    <a:xfrm>
                      <a:off x="0" y="0"/>
                      <a:ext cx="6854825" cy="9700895"/>
                    </a:xfrm>
                    <a:prstGeom prst="rect">
                      <a:avLst/>
                    </a:prstGeom>
                    <a:noFill/>
                    <a:ln>
                      <a:noFill/>
                    </a:ln>
                  </pic:spPr>
                </pic:pic>
              </a:graphicData>
            </a:graphic>
          </wp:anchor>
        </w:drawing>
      </w:r>
    </w:p>
    <w:p w14:paraId="176FA453">
      <w:pPr>
        <w:topLinePunct w:val="0"/>
        <w:adjustRightInd/>
        <w:spacing w:before="31" w:beforeLines="10" w:after="31" w:afterLines="10" w:line="0" w:lineRule="atLeast"/>
        <w:ind w:left="0" w:leftChars="0" w:firstLine="0" w:firstLineChars="0"/>
        <w:jc w:val="both"/>
        <w:rPr>
          <w:rFonts w:hint="eastAsia"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eastAsia" w:eastAsia="宋体"/>
          <w:color w:val="auto"/>
          <w:highlight w:val="none"/>
          <w:lang w:val="en-US" w:eastAsia="zh-CN"/>
        </w:rPr>
        <w:drawing>
          <wp:anchor distT="0" distB="0" distL="114300" distR="114300" simplePos="0" relativeHeight="251728896" behindDoc="0" locked="0" layoutInCell="1" allowOverlap="1">
            <wp:simplePos x="0" y="0"/>
            <wp:positionH relativeFrom="column">
              <wp:posOffset>-772795</wp:posOffset>
            </wp:positionH>
            <wp:positionV relativeFrom="paragraph">
              <wp:posOffset>-582295</wp:posOffset>
            </wp:positionV>
            <wp:extent cx="6773545" cy="9788525"/>
            <wp:effectExtent l="0" t="0" r="8255" b="3175"/>
            <wp:wrapTopAndBottom/>
            <wp:docPr id="140"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46"/>
                    <pic:cNvPicPr>
                      <a:picLocks noChangeAspect="1"/>
                    </pic:cNvPicPr>
                  </pic:nvPicPr>
                  <pic:blipFill>
                    <a:blip r:embed="rId192"/>
                    <a:stretch>
                      <a:fillRect/>
                    </a:stretch>
                  </pic:blipFill>
                  <pic:spPr>
                    <a:xfrm>
                      <a:off x="0" y="0"/>
                      <a:ext cx="6773545" cy="9788525"/>
                    </a:xfrm>
                    <a:prstGeom prst="rect">
                      <a:avLst/>
                    </a:prstGeom>
                    <a:noFill/>
                    <a:ln>
                      <a:noFill/>
                    </a:ln>
                  </pic:spPr>
                </pic:pic>
              </a:graphicData>
            </a:graphic>
          </wp:anchor>
        </w:drawing>
      </w:r>
    </w:p>
    <w:p w14:paraId="4DE723A6">
      <w:pPr>
        <w:topLinePunct w:val="0"/>
        <w:adjustRightInd/>
        <w:spacing w:before="31" w:beforeLines="10" w:after="31" w:afterLines="10" w:line="0" w:lineRule="atLeast"/>
        <w:ind w:left="0" w:leftChars="0" w:firstLine="0" w:firstLineChars="0"/>
        <w:jc w:val="both"/>
        <w:rPr>
          <w:rFonts w:hint="eastAsia"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eastAsia" w:eastAsia="宋体"/>
          <w:color w:val="auto"/>
          <w:highlight w:val="none"/>
          <w:lang w:val="en-US" w:eastAsia="zh-CN"/>
        </w:rPr>
        <w:drawing>
          <wp:anchor distT="0" distB="0" distL="114300" distR="114300" simplePos="0" relativeHeight="251729920" behindDoc="0" locked="0" layoutInCell="1" allowOverlap="1">
            <wp:simplePos x="0" y="0"/>
            <wp:positionH relativeFrom="column">
              <wp:posOffset>-1037590</wp:posOffset>
            </wp:positionH>
            <wp:positionV relativeFrom="paragraph">
              <wp:posOffset>-593725</wp:posOffset>
            </wp:positionV>
            <wp:extent cx="6753225" cy="9613900"/>
            <wp:effectExtent l="0" t="0" r="9525" b="6350"/>
            <wp:wrapTopAndBottom/>
            <wp:docPr id="14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47"/>
                    <pic:cNvPicPr>
                      <a:picLocks noChangeAspect="1"/>
                    </pic:cNvPicPr>
                  </pic:nvPicPr>
                  <pic:blipFill>
                    <a:blip r:embed="rId193"/>
                    <a:stretch>
                      <a:fillRect/>
                    </a:stretch>
                  </pic:blipFill>
                  <pic:spPr>
                    <a:xfrm>
                      <a:off x="0" y="0"/>
                      <a:ext cx="6753225" cy="9613900"/>
                    </a:xfrm>
                    <a:prstGeom prst="rect">
                      <a:avLst/>
                    </a:prstGeom>
                    <a:noFill/>
                    <a:ln>
                      <a:noFill/>
                    </a:ln>
                  </pic:spPr>
                </pic:pic>
              </a:graphicData>
            </a:graphic>
          </wp:anchor>
        </w:drawing>
      </w:r>
    </w:p>
    <w:p w14:paraId="08DDF699">
      <w:pPr>
        <w:topLinePunct w:val="0"/>
        <w:adjustRightInd/>
        <w:spacing w:before="31" w:beforeLines="10" w:after="31" w:afterLines="10" w:line="0" w:lineRule="atLeast"/>
        <w:ind w:left="0" w:leftChars="0" w:firstLine="0" w:firstLineChars="0"/>
        <w:jc w:val="both"/>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drawing>
          <wp:anchor distT="0" distB="0" distL="114300" distR="114300" simplePos="0" relativeHeight="251739136" behindDoc="0" locked="0" layoutInCell="1" allowOverlap="1">
            <wp:simplePos x="0" y="0"/>
            <wp:positionH relativeFrom="column">
              <wp:posOffset>-718185</wp:posOffset>
            </wp:positionH>
            <wp:positionV relativeFrom="paragraph">
              <wp:posOffset>307340</wp:posOffset>
            </wp:positionV>
            <wp:extent cx="6116955" cy="8725535"/>
            <wp:effectExtent l="0" t="0" r="17145" b="18415"/>
            <wp:wrapTopAndBottom/>
            <wp:docPr id="144" name="图片 144" descr="黑龙江东瑞科技发展有限公司灰渣综合利用和处置协议书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4" descr="黑龙江东瑞科技发展有限公司灰渣综合利用和处置协议书1"/>
                    <pic:cNvPicPr>
                      <a:picLocks noChangeAspect="1"/>
                    </pic:cNvPicPr>
                  </pic:nvPicPr>
                  <pic:blipFill>
                    <a:blip r:embed="rId194"/>
                    <a:stretch>
                      <a:fillRect/>
                    </a:stretch>
                  </pic:blipFill>
                  <pic:spPr>
                    <a:xfrm>
                      <a:off x="0" y="0"/>
                      <a:ext cx="6116955" cy="8725535"/>
                    </a:xfrm>
                    <a:prstGeom prst="rect">
                      <a:avLst/>
                    </a:prstGeom>
                  </pic:spPr>
                </pic:pic>
              </a:graphicData>
            </a:graphic>
          </wp:anchor>
        </w:drawing>
      </w:r>
      <w:r>
        <w:rPr>
          <w:rFonts w:hint="eastAsia" w:ascii="Times New Roman" w:hAnsi="Times New Roman" w:eastAsia="宋体" w:cs="Times New Roman"/>
          <w:b/>
          <w:bCs/>
          <w:color w:val="auto"/>
          <w:highlight w:val="none"/>
          <w:lang w:val="en-US" w:eastAsia="zh-CN"/>
        </w:rPr>
        <w:t>附件9  现有工程炉渣处置协议</w:t>
      </w:r>
    </w:p>
    <w:p w14:paraId="0C6FBE78">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p>
    <w:p w14:paraId="77EAA215">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default" w:eastAsia="宋体"/>
          <w:color w:val="auto"/>
          <w:highlight w:val="none"/>
          <w:lang w:val="en-US" w:eastAsia="zh-CN"/>
        </w:rPr>
        <w:drawing>
          <wp:anchor distT="0" distB="0" distL="114300" distR="114300" simplePos="0" relativeHeight="251741184" behindDoc="0" locked="0" layoutInCell="1" allowOverlap="1">
            <wp:simplePos x="0" y="0"/>
            <wp:positionH relativeFrom="column">
              <wp:posOffset>-762635</wp:posOffset>
            </wp:positionH>
            <wp:positionV relativeFrom="paragraph">
              <wp:posOffset>-209550</wp:posOffset>
            </wp:positionV>
            <wp:extent cx="6249670" cy="8916035"/>
            <wp:effectExtent l="0" t="0" r="17780" b="18415"/>
            <wp:wrapTopAndBottom/>
            <wp:docPr id="133" name="图片 133" descr="黑龙江东瑞科技发展有限公司灰渣综合利用和处置协议书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descr="黑龙江东瑞科技发展有限公司灰渣综合利用和处置协议书2"/>
                    <pic:cNvPicPr>
                      <a:picLocks noChangeAspect="1"/>
                    </pic:cNvPicPr>
                  </pic:nvPicPr>
                  <pic:blipFill>
                    <a:blip r:embed="rId195"/>
                    <a:stretch>
                      <a:fillRect/>
                    </a:stretch>
                  </pic:blipFill>
                  <pic:spPr>
                    <a:xfrm>
                      <a:off x="0" y="0"/>
                      <a:ext cx="6249670" cy="8916035"/>
                    </a:xfrm>
                    <a:prstGeom prst="rect">
                      <a:avLst/>
                    </a:prstGeom>
                  </pic:spPr>
                </pic:pic>
              </a:graphicData>
            </a:graphic>
          </wp:anchor>
        </w:drawing>
      </w:r>
    </w:p>
    <w:p w14:paraId="47836EDE">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default" w:eastAsia="宋体"/>
          <w:color w:val="auto"/>
          <w:highlight w:val="none"/>
          <w:lang w:val="en-US" w:eastAsia="zh-CN"/>
        </w:rPr>
        <w:drawing>
          <wp:anchor distT="0" distB="0" distL="114300" distR="114300" simplePos="0" relativeHeight="251740160" behindDoc="0" locked="0" layoutInCell="1" allowOverlap="1">
            <wp:simplePos x="0" y="0"/>
            <wp:positionH relativeFrom="column">
              <wp:posOffset>-815975</wp:posOffset>
            </wp:positionH>
            <wp:positionV relativeFrom="paragraph">
              <wp:posOffset>-610870</wp:posOffset>
            </wp:positionV>
            <wp:extent cx="6235700" cy="8895080"/>
            <wp:effectExtent l="0" t="0" r="12700" b="1270"/>
            <wp:wrapTopAndBottom/>
            <wp:docPr id="147" name="图片 147" descr="黑龙江东瑞科技发展有限公司灰渣综合利用和处置协议书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7" descr="黑龙江东瑞科技发展有限公司灰渣综合利用和处置协议书3"/>
                    <pic:cNvPicPr>
                      <a:picLocks noChangeAspect="1"/>
                    </pic:cNvPicPr>
                  </pic:nvPicPr>
                  <pic:blipFill>
                    <a:blip r:embed="rId196"/>
                    <a:stretch>
                      <a:fillRect/>
                    </a:stretch>
                  </pic:blipFill>
                  <pic:spPr>
                    <a:xfrm>
                      <a:off x="0" y="0"/>
                      <a:ext cx="6235700" cy="8895080"/>
                    </a:xfrm>
                    <a:prstGeom prst="rect">
                      <a:avLst/>
                    </a:prstGeom>
                  </pic:spPr>
                </pic:pic>
              </a:graphicData>
            </a:graphic>
          </wp:anchor>
        </w:drawing>
      </w:r>
    </w:p>
    <w:p w14:paraId="3ACFDC0C">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default" w:eastAsia="宋体"/>
          <w:color w:val="auto"/>
          <w:highlight w:val="none"/>
          <w:lang w:val="en-US" w:eastAsia="zh-CN"/>
        </w:rPr>
        <w:drawing>
          <wp:anchor distT="0" distB="0" distL="114300" distR="114300" simplePos="0" relativeHeight="251742208" behindDoc="0" locked="0" layoutInCell="1" allowOverlap="1">
            <wp:simplePos x="0" y="0"/>
            <wp:positionH relativeFrom="column">
              <wp:posOffset>-730250</wp:posOffset>
            </wp:positionH>
            <wp:positionV relativeFrom="paragraph">
              <wp:posOffset>-560705</wp:posOffset>
            </wp:positionV>
            <wp:extent cx="6243320" cy="8905875"/>
            <wp:effectExtent l="0" t="0" r="5080" b="9525"/>
            <wp:wrapTopAndBottom/>
            <wp:docPr id="148" name="图片 148" descr="佳木斯北方奥特建材有限公司灰渣综合利用和处置协议书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8" descr="佳木斯北方奥特建材有限公司灰渣综合利用和处置协议书1"/>
                    <pic:cNvPicPr>
                      <a:picLocks noChangeAspect="1"/>
                    </pic:cNvPicPr>
                  </pic:nvPicPr>
                  <pic:blipFill>
                    <a:blip r:embed="rId197"/>
                    <a:stretch>
                      <a:fillRect/>
                    </a:stretch>
                  </pic:blipFill>
                  <pic:spPr>
                    <a:xfrm>
                      <a:off x="0" y="0"/>
                      <a:ext cx="6243320" cy="8905875"/>
                    </a:xfrm>
                    <a:prstGeom prst="rect">
                      <a:avLst/>
                    </a:prstGeom>
                  </pic:spPr>
                </pic:pic>
              </a:graphicData>
            </a:graphic>
          </wp:anchor>
        </w:drawing>
      </w:r>
    </w:p>
    <w:p w14:paraId="17EDE5C1">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default" w:eastAsia="宋体"/>
          <w:color w:val="auto"/>
          <w:highlight w:val="none"/>
          <w:lang w:val="en-US" w:eastAsia="zh-CN"/>
        </w:rPr>
        <w:drawing>
          <wp:anchor distT="0" distB="0" distL="114300" distR="114300" simplePos="0" relativeHeight="251743232" behindDoc="0" locked="0" layoutInCell="1" allowOverlap="1">
            <wp:simplePos x="0" y="0"/>
            <wp:positionH relativeFrom="column">
              <wp:posOffset>-804545</wp:posOffset>
            </wp:positionH>
            <wp:positionV relativeFrom="paragraph">
              <wp:posOffset>-539750</wp:posOffset>
            </wp:positionV>
            <wp:extent cx="6183630" cy="8820785"/>
            <wp:effectExtent l="0" t="0" r="7620" b="18415"/>
            <wp:wrapTopAndBottom/>
            <wp:docPr id="149" name="图片 149" descr="佳木斯北方奥特建材有限公司灰渣综合利用和处置协议书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descr="佳木斯北方奥特建材有限公司灰渣综合利用和处置协议书2"/>
                    <pic:cNvPicPr>
                      <a:picLocks noChangeAspect="1"/>
                    </pic:cNvPicPr>
                  </pic:nvPicPr>
                  <pic:blipFill>
                    <a:blip r:embed="rId198"/>
                    <a:stretch>
                      <a:fillRect/>
                    </a:stretch>
                  </pic:blipFill>
                  <pic:spPr>
                    <a:xfrm>
                      <a:off x="0" y="0"/>
                      <a:ext cx="6183630" cy="8820785"/>
                    </a:xfrm>
                    <a:prstGeom prst="rect">
                      <a:avLst/>
                    </a:prstGeom>
                  </pic:spPr>
                </pic:pic>
              </a:graphicData>
            </a:graphic>
          </wp:anchor>
        </w:drawing>
      </w:r>
    </w:p>
    <w:p w14:paraId="2CFC04D3">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default" w:eastAsia="宋体"/>
          <w:color w:val="auto"/>
          <w:highlight w:val="none"/>
          <w:lang w:val="en-US" w:eastAsia="zh-CN"/>
        </w:rPr>
        <w:drawing>
          <wp:anchor distT="0" distB="0" distL="114300" distR="114300" simplePos="0" relativeHeight="251744256" behindDoc="0" locked="0" layoutInCell="1" allowOverlap="1">
            <wp:simplePos x="0" y="0"/>
            <wp:positionH relativeFrom="column">
              <wp:posOffset>-793750</wp:posOffset>
            </wp:positionH>
            <wp:positionV relativeFrom="paragraph">
              <wp:posOffset>-508000</wp:posOffset>
            </wp:positionV>
            <wp:extent cx="6102350" cy="8704580"/>
            <wp:effectExtent l="0" t="0" r="12700" b="1270"/>
            <wp:wrapTopAndBottom/>
            <wp:docPr id="150" name="图片 150" descr="佳木斯北方奥特建材有限公司灰渣综合利用和处置协议书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50" descr="佳木斯北方奥特建材有限公司灰渣综合利用和处置协议书3"/>
                    <pic:cNvPicPr>
                      <a:picLocks noChangeAspect="1"/>
                    </pic:cNvPicPr>
                  </pic:nvPicPr>
                  <pic:blipFill>
                    <a:blip r:embed="rId199"/>
                    <a:stretch>
                      <a:fillRect/>
                    </a:stretch>
                  </pic:blipFill>
                  <pic:spPr>
                    <a:xfrm>
                      <a:off x="0" y="0"/>
                      <a:ext cx="6102350" cy="8704580"/>
                    </a:xfrm>
                    <a:prstGeom prst="rect">
                      <a:avLst/>
                    </a:prstGeom>
                  </pic:spPr>
                </pic:pic>
              </a:graphicData>
            </a:graphic>
          </wp:anchor>
        </w:drawing>
      </w:r>
    </w:p>
    <w:p w14:paraId="74DD7348">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default" w:eastAsia="宋体"/>
          <w:color w:val="auto"/>
          <w:highlight w:val="none"/>
          <w:lang w:val="en-US" w:eastAsia="zh-CN"/>
        </w:rPr>
        <w:drawing>
          <wp:anchor distT="0" distB="0" distL="114300" distR="114300" simplePos="0" relativeHeight="251745280" behindDoc="0" locked="0" layoutInCell="1" allowOverlap="1">
            <wp:simplePos x="0" y="0"/>
            <wp:positionH relativeFrom="column">
              <wp:posOffset>-836295</wp:posOffset>
            </wp:positionH>
            <wp:positionV relativeFrom="paragraph">
              <wp:posOffset>-190500</wp:posOffset>
            </wp:positionV>
            <wp:extent cx="5930900" cy="8460740"/>
            <wp:effectExtent l="0" t="0" r="12700" b="16510"/>
            <wp:wrapTopAndBottom/>
            <wp:docPr id="151" name="图片 151" descr="佳木斯北方水泥有限公司东风分公司灰渣综合利用和处置协议书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51" descr="佳木斯北方水泥有限公司东风分公司灰渣综合利用和处置协议书1"/>
                    <pic:cNvPicPr>
                      <a:picLocks noChangeAspect="1"/>
                    </pic:cNvPicPr>
                  </pic:nvPicPr>
                  <pic:blipFill>
                    <a:blip r:embed="rId200"/>
                    <a:stretch>
                      <a:fillRect/>
                    </a:stretch>
                  </pic:blipFill>
                  <pic:spPr>
                    <a:xfrm>
                      <a:off x="0" y="0"/>
                      <a:ext cx="5930900" cy="8460740"/>
                    </a:xfrm>
                    <a:prstGeom prst="rect">
                      <a:avLst/>
                    </a:prstGeom>
                  </pic:spPr>
                </pic:pic>
              </a:graphicData>
            </a:graphic>
          </wp:anchor>
        </w:drawing>
      </w:r>
    </w:p>
    <w:p w14:paraId="47BC05DE">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default" w:eastAsia="宋体"/>
          <w:color w:val="auto"/>
          <w:highlight w:val="none"/>
          <w:lang w:val="en-US" w:eastAsia="zh-CN"/>
        </w:rPr>
        <w:drawing>
          <wp:anchor distT="0" distB="0" distL="114300" distR="114300" simplePos="0" relativeHeight="251746304" behindDoc="0" locked="0" layoutInCell="1" allowOverlap="1">
            <wp:simplePos x="0" y="0"/>
            <wp:positionH relativeFrom="column">
              <wp:posOffset>-814705</wp:posOffset>
            </wp:positionH>
            <wp:positionV relativeFrom="paragraph">
              <wp:posOffset>-370205</wp:posOffset>
            </wp:positionV>
            <wp:extent cx="6123940" cy="8735695"/>
            <wp:effectExtent l="0" t="0" r="10160" b="8255"/>
            <wp:wrapTopAndBottom/>
            <wp:docPr id="152" name="图片 152" descr="佳木斯北方水泥有限公司东风分公司灰渣综合利用和处置协议书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52" descr="佳木斯北方水泥有限公司东风分公司灰渣综合利用和处置协议书2"/>
                    <pic:cNvPicPr>
                      <a:picLocks noChangeAspect="1"/>
                    </pic:cNvPicPr>
                  </pic:nvPicPr>
                  <pic:blipFill>
                    <a:blip r:embed="rId201"/>
                    <a:stretch>
                      <a:fillRect/>
                    </a:stretch>
                  </pic:blipFill>
                  <pic:spPr>
                    <a:xfrm>
                      <a:off x="0" y="0"/>
                      <a:ext cx="6123940" cy="8735695"/>
                    </a:xfrm>
                    <a:prstGeom prst="rect">
                      <a:avLst/>
                    </a:prstGeom>
                  </pic:spPr>
                </pic:pic>
              </a:graphicData>
            </a:graphic>
          </wp:anchor>
        </w:drawing>
      </w:r>
    </w:p>
    <w:p w14:paraId="36BB0E90">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default" w:eastAsia="宋体"/>
          <w:color w:val="auto"/>
          <w:highlight w:val="none"/>
          <w:lang w:val="en-US" w:eastAsia="zh-CN"/>
        </w:rPr>
        <w:drawing>
          <wp:anchor distT="0" distB="0" distL="114300" distR="114300" simplePos="0" relativeHeight="251747328" behindDoc="0" locked="0" layoutInCell="1" allowOverlap="1">
            <wp:simplePos x="0" y="0"/>
            <wp:positionH relativeFrom="column">
              <wp:posOffset>-666750</wp:posOffset>
            </wp:positionH>
            <wp:positionV relativeFrom="paragraph">
              <wp:posOffset>-423545</wp:posOffset>
            </wp:positionV>
            <wp:extent cx="5961380" cy="8503920"/>
            <wp:effectExtent l="0" t="0" r="1270" b="11430"/>
            <wp:wrapTopAndBottom/>
            <wp:docPr id="153" name="图片 153" descr="佳木斯北方水泥有限公司东风分公司灰渣综合利用和处置协议书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53" descr="佳木斯北方水泥有限公司东风分公司灰渣综合利用和处置协议书3"/>
                    <pic:cNvPicPr>
                      <a:picLocks noChangeAspect="1"/>
                    </pic:cNvPicPr>
                  </pic:nvPicPr>
                  <pic:blipFill>
                    <a:blip r:embed="rId202"/>
                    <a:stretch>
                      <a:fillRect/>
                    </a:stretch>
                  </pic:blipFill>
                  <pic:spPr>
                    <a:xfrm>
                      <a:off x="0" y="0"/>
                      <a:ext cx="5961380" cy="8503920"/>
                    </a:xfrm>
                    <a:prstGeom prst="rect">
                      <a:avLst/>
                    </a:prstGeom>
                  </pic:spPr>
                </pic:pic>
              </a:graphicData>
            </a:graphic>
          </wp:anchor>
        </w:drawing>
      </w:r>
    </w:p>
    <w:p w14:paraId="0BBE16E5">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default" w:eastAsia="宋体"/>
          <w:color w:val="auto"/>
          <w:highlight w:val="none"/>
          <w:lang w:val="en-US" w:eastAsia="zh-CN"/>
        </w:rPr>
        <w:drawing>
          <wp:anchor distT="0" distB="0" distL="114300" distR="114300" simplePos="0" relativeHeight="251748352" behindDoc="0" locked="0" layoutInCell="1" allowOverlap="1">
            <wp:simplePos x="0" y="0"/>
            <wp:positionH relativeFrom="column">
              <wp:posOffset>-687705</wp:posOffset>
            </wp:positionH>
            <wp:positionV relativeFrom="paragraph">
              <wp:posOffset>113030</wp:posOffset>
            </wp:positionV>
            <wp:extent cx="6050280" cy="8630920"/>
            <wp:effectExtent l="0" t="0" r="7620" b="17780"/>
            <wp:wrapTopAndBottom/>
            <wp:docPr id="154" name="图片 154" descr="佳木斯市丰奇水泥有限公司灰渣综合利用和处置协议书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54" descr="佳木斯市丰奇水泥有限公司灰渣综合利用和处置协议书1"/>
                    <pic:cNvPicPr>
                      <a:picLocks noChangeAspect="1"/>
                    </pic:cNvPicPr>
                  </pic:nvPicPr>
                  <pic:blipFill>
                    <a:blip r:embed="rId203"/>
                    <a:stretch>
                      <a:fillRect/>
                    </a:stretch>
                  </pic:blipFill>
                  <pic:spPr>
                    <a:xfrm>
                      <a:off x="0" y="0"/>
                      <a:ext cx="6050280" cy="8630920"/>
                    </a:xfrm>
                    <a:prstGeom prst="rect">
                      <a:avLst/>
                    </a:prstGeom>
                  </pic:spPr>
                </pic:pic>
              </a:graphicData>
            </a:graphic>
          </wp:anchor>
        </w:drawing>
      </w:r>
    </w:p>
    <w:p w14:paraId="55DF4EC3">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default" w:eastAsia="宋体"/>
          <w:color w:val="auto"/>
          <w:highlight w:val="none"/>
          <w:lang w:val="en-US" w:eastAsia="zh-CN"/>
        </w:rPr>
        <w:drawing>
          <wp:anchor distT="0" distB="0" distL="114300" distR="114300" simplePos="0" relativeHeight="251749376" behindDoc="0" locked="0" layoutInCell="1" allowOverlap="1">
            <wp:simplePos x="0" y="0"/>
            <wp:positionH relativeFrom="column">
              <wp:posOffset>-582295</wp:posOffset>
            </wp:positionH>
            <wp:positionV relativeFrom="paragraph">
              <wp:posOffset>-285750</wp:posOffset>
            </wp:positionV>
            <wp:extent cx="5776595" cy="8239760"/>
            <wp:effectExtent l="0" t="0" r="14605" b="8890"/>
            <wp:wrapTopAndBottom/>
            <wp:docPr id="155" name="图片 155" descr="佳木斯市丰奇水泥有限公司灰渣综合利用和处置协议书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55" descr="佳木斯市丰奇水泥有限公司灰渣综合利用和处置协议书2"/>
                    <pic:cNvPicPr>
                      <a:picLocks noChangeAspect="1"/>
                    </pic:cNvPicPr>
                  </pic:nvPicPr>
                  <pic:blipFill>
                    <a:blip r:embed="rId204"/>
                    <a:stretch>
                      <a:fillRect/>
                    </a:stretch>
                  </pic:blipFill>
                  <pic:spPr>
                    <a:xfrm>
                      <a:off x="0" y="0"/>
                      <a:ext cx="5776595" cy="8239760"/>
                    </a:xfrm>
                    <a:prstGeom prst="rect">
                      <a:avLst/>
                    </a:prstGeom>
                  </pic:spPr>
                </pic:pic>
              </a:graphicData>
            </a:graphic>
          </wp:anchor>
        </w:drawing>
      </w:r>
    </w:p>
    <w:p w14:paraId="05CED3BA">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default" w:eastAsia="宋体"/>
          <w:color w:val="auto"/>
          <w:highlight w:val="none"/>
          <w:lang w:val="en-US" w:eastAsia="zh-CN"/>
        </w:rPr>
        <w:drawing>
          <wp:anchor distT="0" distB="0" distL="114300" distR="114300" simplePos="0" relativeHeight="251750400" behindDoc="0" locked="0" layoutInCell="1" allowOverlap="1">
            <wp:simplePos x="0" y="0"/>
            <wp:positionH relativeFrom="column">
              <wp:posOffset>-550545</wp:posOffset>
            </wp:positionH>
            <wp:positionV relativeFrom="paragraph">
              <wp:posOffset>19685</wp:posOffset>
            </wp:positionV>
            <wp:extent cx="6072505" cy="8662035"/>
            <wp:effectExtent l="0" t="0" r="4445" b="5715"/>
            <wp:wrapTopAndBottom/>
            <wp:docPr id="156" name="图片 156" descr="佳木斯市丰奇水泥有限公司灰渣综合利用和处置协议书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56" descr="佳木斯市丰奇水泥有限公司灰渣综合利用和处置协议书3"/>
                    <pic:cNvPicPr>
                      <a:picLocks noChangeAspect="1"/>
                    </pic:cNvPicPr>
                  </pic:nvPicPr>
                  <pic:blipFill>
                    <a:blip r:embed="rId205"/>
                    <a:stretch>
                      <a:fillRect/>
                    </a:stretch>
                  </pic:blipFill>
                  <pic:spPr>
                    <a:xfrm>
                      <a:off x="0" y="0"/>
                      <a:ext cx="6072505" cy="8662035"/>
                    </a:xfrm>
                    <a:prstGeom prst="rect">
                      <a:avLst/>
                    </a:prstGeom>
                  </pic:spPr>
                </pic:pic>
              </a:graphicData>
            </a:graphic>
          </wp:anchor>
        </w:drawing>
      </w:r>
    </w:p>
    <w:p w14:paraId="05DF666E">
      <w:pPr>
        <w:topLinePunct w:val="0"/>
        <w:adjustRightInd/>
        <w:spacing w:before="31" w:beforeLines="10" w:after="31" w:afterLines="10" w:line="0" w:lineRule="atLeast"/>
        <w:ind w:left="0" w:leftChars="0" w:firstLine="0" w:firstLineChars="0"/>
        <w:jc w:val="both"/>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附件10  危废处置协议</w:t>
      </w:r>
    </w:p>
    <w:p w14:paraId="5A0DEC85">
      <w:pPr>
        <w:topLinePunct w:val="0"/>
        <w:adjustRightInd/>
        <w:spacing w:before="31" w:beforeLines="10" w:after="31" w:afterLines="10" w:line="0" w:lineRule="atLeast"/>
        <w:ind w:left="0" w:leftChars="0" w:firstLine="0" w:firstLineChars="0"/>
        <w:jc w:val="both"/>
        <w:rPr>
          <w:rFonts w:hint="eastAsia"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drawing>
          <wp:anchor distT="0" distB="0" distL="114300" distR="114300" simplePos="0" relativeHeight="251751424" behindDoc="0" locked="0" layoutInCell="1" allowOverlap="1">
            <wp:simplePos x="0" y="0"/>
            <wp:positionH relativeFrom="column">
              <wp:posOffset>-527685</wp:posOffset>
            </wp:positionH>
            <wp:positionV relativeFrom="paragraph">
              <wp:posOffset>196215</wp:posOffset>
            </wp:positionV>
            <wp:extent cx="5692140" cy="8088630"/>
            <wp:effectExtent l="0" t="0" r="3810" b="7620"/>
            <wp:wrapTopAndBottom/>
            <wp:docPr id="6" name="图片 6" descr="3bc2e89b94034ce274f5bddc90723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bc2e89b94034ce274f5bddc90723589"/>
                    <pic:cNvPicPr>
                      <a:picLocks noChangeAspect="1"/>
                    </pic:cNvPicPr>
                  </pic:nvPicPr>
                  <pic:blipFill>
                    <a:blip r:embed="rId206"/>
                    <a:srcRect t="1433" r="1823"/>
                    <a:stretch>
                      <a:fillRect/>
                    </a:stretch>
                  </pic:blipFill>
                  <pic:spPr>
                    <a:xfrm>
                      <a:off x="0" y="0"/>
                      <a:ext cx="5692140" cy="8088630"/>
                    </a:xfrm>
                    <a:prstGeom prst="rect">
                      <a:avLst/>
                    </a:prstGeom>
                  </pic:spPr>
                </pic:pic>
              </a:graphicData>
            </a:graphic>
          </wp:anchor>
        </w:drawing>
      </w:r>
    </w:p>
    <w:p w14:paraId="027D8CA9">
      <w:pPr>
        <w:topLinePunct w:val="0"/>
        <w:adjustRightInd/>
        <w:spacing w:before="31" w:beforeLines="10" w:after="31" w:afterLines="10" w:line="0" w:lineRule="atLeast"/>
        <w:ind w:left="0" w:leftChars="0" w:firstLine="0" w:firstLineChars="0"/>
        <w:jc w:val="both"/>
        <w:rPr>
          <w:rFonts w:hint="default" w:ascii="Times New Roman" w:hAnsi="Times New Roman" w:eastAsia="宋体" w:cs="Times New Roman"/>
          <w:b/>
          <w:bCs/>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p>
    <w:p w14:paraId="593D8DEA">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default" w:eastAsia="宋体"/>
          <w:color w:val="auto"/>
          <w:highlight w:val="none"/>
          <w:lang w:val="en-US" w:eastAsia="zh-CN"/>
        </w:rPr>
        <w:drawing>
          <wp:anchor distT="0" distB="0" distL="114300" distR="114300" simplePos="0" relativeHeight="251752448" behindDoc="0" locked="0" layoutInCell="1" allowOverlap="1">
            <wp:simplePos x="0" y="0"/>
            <wp:positionH relativeFrom="column">
              <wp:posOffset>-602615</wp:posOffset>
            </wp:positionH>
            <wp:positionV relativeFrom="paragraph">
              <wp:posOffset>31750</wp:posOffset>
            </wp:positionV>
            <wp:extent cx="5979795" cy="8462645"/>
            <wp:effectExtent l="0" t="0" r="1905" b="14605"/>
            <wp:wrapTopAndBottom/>
            <wp:docPr id="10" name="图片 10" descr="7786df6f087bd3c0e3fbe21847d4b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7786df6f087bd3c0e3fbe21847d4b493"/>
                    <pic:cNvPicPr>
                      <a:picLocks noChangeAspect="1"/>
                    </pic:cNvPicPr>
                  </pic:nvPicPr>
                  <pic:blipFill>
                    <a:blip r:embed="rId207"/>
                    <a:srcRect l="2011" t="1828" r="2468"/>
                    <a:stretch>
                      <a:fillRect/>
                    </a:stretch>
                  </pic:blipFill>
                  <pic:spPr>
                    <a:xfrm>
                      <a:off x="0" y="0"/>
                      <a:ext cx="5979795" cy="8462645"/>
                    </a:xfrm>
                    <a:prstGeom prst="rect">
                      <a:avLst/>
                    </a:prstGeom>
                  </pic:spPr>
                </pic:pic>
              </a:graphicData>
            </a:graphic>
          </wp:anchor>
        </w:drawing>
      </w:r>
    </w:p>
    <w:p w14:paraId="1DD2B0E2">
      <w:pPr>
        <w:topLinePunct w:val="0"/>
        <w:adjustRightInd/>
        <w:spacing w:before="31" w:beforeLines="10" w:after="31" w:afterLines="10" w:line="0" w:lineRule="atLeast"/>
        <w:ind w:left="0" w:leftChars="0" w:firstLine="0" w:firstLineChars="0"/>
        <w:jc w:val="both"/>
        <w:rPr>
          <w:rFonts w:hint="default" w:eastAsia="宋体"/>
          <w:color w:val="auto"/>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default" w:eastAsia="宋体"/>
          <w:color w:val="auto"/>
          <w:highlight w:val="none"/>
          <w:lang w:val="en-US" w:eastAsia="zh-CN"/>
        </w:rPr>
        <w:drawing>
          <wp:anchor distT="0" distB="0" distL="114300" distR="114300" simplePos="0" relativeHeight="251753472" behindDoc="0" locked="0" layoutInCell="1" allowOverlap="1">
            <wp:simplePos x="0" y="0"/>
            <wp:positionH relativeFrom="column">
              <wp:posOffset>-719455</wp:posOffset>
            </wp:positionH>
            <wp:positionV relativeFrom="paragraph">
              <wp:posOffset>-63500</wp:posOffset>
            </wp:positionV>
            <wp:extent cx="5956300" cy="8335645"/>
            <wp:effectExtent l="0" t="0" r="6350" b="8255"/>
            <wp:wrapTopAndBottom/>
            <wp:docPr id="157" name="图片 157" descr="be7ce48419cab134b3bf1dfb667c6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57" descr="be7ce48419cab134b3bf1dfb667c6251"/>
                    <pic:cNvPicPr>
                      <a:picLocks noChangeAspect="1"/>
                    </pic:cNvPicPr>
                  </pic:nvPicPr>
                  <pic:blipFill>
                    <a:blip r:embed="rId208"/>
                    <a:srcRect t="3782" r="3475" b="1514"/>
                    <a:stretch>
                      <a:fillRect/>
                    </a:stretch>
                  </pic:blipFill>
                  <pic:spPr>
                    <a:xfrm>
                      <a:off x="0" y="0"/>
                      <a:ext cx="5956300" cy="8335645"/>
                    </a:xfrm>
                    <a:prstGeom prst="rect">
                      <a:avLst/>
                    </a:prstGeom>
                  </pic:spPr>
                </pic:pic>
              </a:graphicData>
            </a:graphic>
          </wp:anchor>
        </w:drawing>
      </w:r>
    </w:p>
    <w:p w14:paraId="3E263ABE">
      <w:pPr>
        <w:topLinePunct w:val="0"/>
        <w:adjustRightInd/>
        <w:spacing w:before="31" w:beforeLines="10" w:after="31" w:afterLines="10" w:line="0" w:lineRule="atLeast"/>
        <w:ind w:left="0" w:leftChars="0" w:firstLine="0" w:firstLineChars="0"/>
        <w:jc w:val="both"/>
        <w:rPr>
          <w:rFonts w:hint="eastAsia" w:ascii="Times New Roman" w:hAnsi="Times New Roman" w:eastAsia="宋体" w:cs="Times New Roman"/>
          <w:b/>
          <w:bCs/>
          <w:color w:val="auto"/>
          <w:highlight w:val="none"/>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sz w:val="24"/>
          <w:highlight w:val="none"/>
        </w:rPr>
        <mc:AlternateContent>
          <mc:Choice Requires="wps">
            <w:drawing>
              <wp:anchor distT="0" distB="0" distL="114300" distR="114300" simplePos="0" relativeHeight="251711488" behindDoc="0" locked="0" layoutInCell="1" allowOverlap="1">
                <wp:simplePos x="0" y="0"/>
                <wp:positionH relativeFrom="column">
                  <wp:posOffset>5558790</wp:posOffset>
                </wp:positionH>
                <wp:positionV relativeFrom="paragraph">
                  <wp:posOffset>1887855</wp:posOffset>
                </wp:positionV>
                <wp:extent cx="1047750" cy="502285"/>
                <wp:effectExtent l="313690" t="12700" r="29210" b="323215"/>
                <wp:wrapNone/>
                <wp:docPr id="117" name="矩形标注 117"/>
                <wp:cNvGraphicFramePr/>
                <a:graphic xmlns:a="http://schemas.openxmlformats.org/drawingml/2006/main">
                  <a:graphicData uri="http://schemas.microsoft.com/office/word/2010/wordprocessingShape">
                    <wps:wsp>
                      <wps:cNvSpPr/>
                      <wps:spPr>
                        <a:xfrm>
                          <a:off x="6325235" y="3550285"/>
                          <a:ext cx="1047750" cy="502285"/>
                        </a:xfrm>
                        <a:prstGeom prst="wedgeRectCallout">
                          <a:avLst>
                            <a:gd name="adj1" fmla="val -78727"/>
                            <a:gd name="adj2" fmla="val 110333"/>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744DD14">
                            <w:pPr>
                              <w:ind w:left="0" w:leftChars="0" w:firstLine="0" w:firstLineChars="0"/>
                              <w:jc w:val="both"/>
                              <w:rPr>
                                <w:rFonts w:hint="eastAsia" w:eastAsiaTheme="minor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本项目位置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437.7pt;margin-top:148.65pt;height:39.55pt;width:82.5pt;z-index:251711488;v-text-anchor:middle;mso-width-relative:page;mso-height-relative:page;" filled="f" stroked="t" coordsize="21600,21600" o:gfxdata="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AAAAA&#10;ZHJzL1BLAQIUABQAAAAIAIdO4kB0wRUM2gAAAAwBAAAPAAAAAAAAAAEAIAAAACIAAABkcnMvZG93&#10;bnJldi54bWxQSwECFAAUAAAACACHTuJAseO/e6kCAAA0BQAADgAAAAAAAAABACAAAAApAQAAZHJz&#10;L2Uyb0RvYy54bWxQSwUGAAAAAAYABgBZAQAARAYAAAAA&#10;" adj="-6205,34632">
                <v:fill on="f" focussize="0,0"/>
                <v:stroke weight="2pt" color="#000000 [3213]" joinstyle="round"/>
                <v:imagedata o:title=""/>
                <o:lock v:ext="edit" aspectratio="f"/>
                <v:textbox>
                  <w:txbxContent>
                    <w:p w14:paraId="3744DD14">
                      <w:pPr>
                        <w:ind w:left="0" w:leftChars="0" w:firstLine="0" w:firstLineChars="0"/>
                        <w:jc w:val="both"/>
                        <w:rPr>
                          <w:rFonts w:hint="eastAsia" w:eastAsiaTheme="minor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本项目位置</w:t>
                      </w:r>
                    </w:p>
                  </w:txbxContent>
                </v:textbox>
              </v:shape>
            </w:pict>
          </mc:Fallback>
        </mc:AlternateContent>
      </w:r>
      <w:r>
        <w:rPr>
          <w:sz w:val="24"/>
          <w:highlight w:val="none"/>
        </w:rPr>
        <mc:AlternateContent>
          <mc:Choice Requires="wps">
            <w:drawing>
              <wp:anchor distT="0" distB="0" distL="114300" distR="114300" simplePos="0" relativeHeight="251710464" behindDoc="0" locked="0" layoutInCell="1" allowOverlap="1">
                <wp:simplePos x="0" y="0"/>
                <wp:positionH relativeFrom="column">
                  <wp:posOffset>5091430</wp:posOffset>
                </wp:positionH>
                <wp:positionV relativeFrom="paragraph">
                  <wp:posOffset>2580640</wp:posOffset>
                </wp:positionV>
                <wp:extent cx="276860" cy="216535"/>
                <wp:effectExtent l="12700" t="12700" r="15240" b="18415"/>
                <wp:wrapNone/>
                <wp:docPr id="116" name="五角星 116"/>
                <wp:cNvGraphicFramePr/>
                <a:graphic xmlns:a="http://schemas.openxmlformats.org/drawingml/2006/main">
                  <a:graphicData uri="http://schemas.microsoft.com/office/word/2010/wordprocessingShape">
                    <wps:wsp>
                      <wps:cNvSpPr/>
                      <wps:spPr>
                        <a:xfrm>
                          <a:off x="5988050" y="3758565"/>
                          <a:ext cx="276860" cy="216535"/>
                        </a:xfrm>
                        <a:prstGeom prst="star5">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400.9pt;margin-top:203.2pt;height:17.05pt;width:21.8pt;z-index:251710464;v-text-anchor:middle;mso-width-relative:page;mso-height-relative:page;" fillcolor="#FF0000" filled="t" stroked="t" coordsize="276860,216535" o:gfxdata="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JyJREnWAAAACwEAAA8AAAAAAAAAAQAgAAAAIgAAAGRycy9k&#10;b3ducmV2LnhtbFBLAQIUABQAAAAIAIdO4kA433XIdgIAAPAEAAAOAAAAAAAAAAEAIAAAACUBAABk&#10;cnMvZTJvRG9jLnhtbFBLBQYAAAAABgAGAFkBAAANBgAAAAA=&#10;" path="m0,82708l105751,82709,138430,0,171108,82709,276859,82708,191304,133825,223984,216534,138430,165416,52875,216534,85555,133825xe">
                <v:path o:connectlocs="138430,0;0,82708;52875,216534;223984,216534;276859,82708" o:connectangles="247,164,82,82,0"/>
                <v:fill on="t" focussize="0,0"/>
                <v:stroke weight="2pt" color="#FF0000 [2404]" joinstyle="round"/>
                <v:imagedata o:title=""/>
                <o:lock v:ext="edit" aspectratio="f"/>
              </v:shape>
            </w:pict>
          </mc:Fallback>
        </mc:AlternateContent>
      </w:r>
      <w:r>
        <w:rPr>
          <w:rFonts w:hint="eastAsia" w:ascii="Times New Roman" w:hAnsi="Times New Roman" w:eastAsia="宋体" w:cs="Times New Roman"/>
          <w:b/>
          <w:bCs/>
          <w:color w:val="auto"/>
          <w:highlight w:val="none"/>
          <w:lang w:val="en-US" w:eastAsia="zh-CN"/>
        </w:rPr>
        <w:drawing>
          <wp:anchor distT="0" distB="0" distL="114300" distR="114300" simplePos="0" relativeHeight="251709440" behindDoc="0" locked="0" layoutInCell="1" allowOverlap="1">
            <wp:simplePos x="0" y="0"/>
            <wp:positionH relativeFrom="column">
              <wp:posOffset>6932295</wp:posOffset>
            </wp:positionH>
            <wp:positionV relativeFrom="paragraph">
              <wp:posOffset>295275</wp:posOffset>
            </wp:positionV>
            <wp:extent cx="923925" cy="952500"/>
            <wp:effectExtent l="0" t="0" r="9525" b="0"/>
            <wp:wrapNone/>
            <wp:docPr id="115"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41"/>
                    <pic:cNvPicPr>
                      <a:picLocks noChangeAspect="1"/>
                    </pic:cNvPicPr>
                  </pic:nvPicPr>
                  <pic:blipFill>
                    <a:blip r:embed="rId97"/>
                    <a:stretch>
                      <a:fillRect/>
                    </a:stretch>
                  </pic:blipFill>
                  <pic:spPr>
                    <a:xfrm>
                      <a:off x="0" y="0"/>
                      <a:ext cx="923925" cy="952500"/>
                    </a:xfrm>
                    <a:prstGeom prst="rect">
                      <a:avLst/>
                    </a:prstGeom>
                    <a:noFill/>
                    <a:ln>
                      <a:noFill/>
                    </a:ln>
                  </pic:spPr>
                </pic:pic>
              </a:graphicData>
            </a:graphic>
          </wp:anchor>
        </w:drawing>
      </w:r>
      <w:r>
        <w:rPr>
          <w:rFonts w:hint="eastAsia" w:eastAsia="宋体"/>
          <w:color w:val="auto"/>
          <w:highlight w:val="none"/>
          <w:lang w:val="en-US" w:eastAsia="zh-CN"/>
        </w:rPr>
        <w:drawing>
          <wp:anchor distT="0" distB="0" distL="114300" distR="114300" simplePos="0" relativeHeight="251708416" behindDoc="0" locked="0" layoutInCell="1" allowOverlap="1">
            <wp:simplePos x="0" y="0"/>
            <wp:positionH relativeFrom="column">
              <wp:posOffset>1403350</wp:posOffset>
            </wp:positionH>
            <wp:positionV relativeFrom="paragraph">
              <wp:posOffset>285115</wp:posOffset>
            </wp:positionV>
            <wp:extent cx="6481445" cy="4482465"/>
            <wp:effectExtent l="0" t="0" r="14605" b="13335"/>
            <wp:wrapTopAndBottom/>
            <wp:docPr id="114"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51"/>
                    <pic:cNvPicPr>
                      <a:picLocks noChangeAspect="1"/>
                    </pic:cNvPicPr>
                  </pic:nvPicPr>
                  <pic:blipFill>
                    <a:blip r:embed="rId209"/>
                    <a:stretch>
                      <a:fillRect/>
                    </a:stretch>
                  </pic:blipFill>
                  <pic:spPr>
                    <a:xfrm>
                      <a:off x="0" y="0"/>
                      <a:ext cx="6481445" cy="4482465"/>
                    </a:xfrm>
                    <a:prstGeom prst="rect">
                      <a:avLst/>
                    </a:prstGeom>
                    <a:noFill/>
                    <a:ln>
                      <a:noFill/>
                    </a:ln>
                  </pic:spPr>
                </pic:pic>
              </a:graphicData>
            </a:graphic>
          </wp:anchor>
        </w:drawing>
      </w:r>
      <w:r>
        <w:rPr>
          <w:rFonts w:hint="eastAsia" w:ascii="Times New Roman" w:hAnsi="Times New Roman" w:eastAsia="宋体" w:cs="Times New Roman"/>
          <w:b/>
          <w:bCs/>
          <w:color w:val="auto"/>
          <w:highlight w:val="none"/>
          <w:lang w:val="en-US" w:eastAsia="zh-CN"/>
        </w:rPr>
        <w:t>附图1项目地理位置</w:t>
      </w:r>
    </w:p>
    <w:p w14:paraId="30771A4B">
      <w:pPr>
        <w:topLinePunct w:val="0"/>
        <w:adjustRightInd/>
        <w:spacing w:before="31" w:beforeLines="10" w:after="31" w:afterLines="10" w:line="0" w:lineRule="atLeast"/>
        <w:ind w:left="0" w:leftChars="0" w:firstLine="0" w:firstLineChars="0"/>
        <w:jc w:val="both"/>
        <w:rPr>
          <w:rFonts w:hint="default" w:ascii="Times New Roman" w:hAnsi="Times New Roman" w:eastAsia="宋体" w:cs="Times New Roman"/>
          <w:b/>
          <w:bCs/>
          <w:color w:val="auto"/>
          <w:highlight w:val="none"/>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26" w:charSpace="0"/>
        </w:sectPr>
      </w:pPr>
      <w:r>
        <w:rPr>
          <w:rFonts w:hint="default" w:ascii="Times New Roman" w:hAnsi="Times New Roman" w:eastAsia="宋体" w:cs="Times New Roman"/>
          <w:b/>
          <w:bCs/>
          <w:color w:val="auto"/>
          <w:highlight w:val="none"/>
          <w:lang w:val="en-US" w:eastAsia="zh-CN"/>
        </w:rPr>
        <w:drawing>
          <wp:anchor distT="0" distB="0" distL="114300" distR="114300" simplePos="0" relativeHeight="251766784" behindDoc="0" locked="0" layoutInCell="1" allowOverlap="1">
            <wp:simplePos x="0" y="0"/>
            <wp:positionH relativeFrom="column">
              <wp:posOffset>5367655</wp:posOffset>
            </wp:positionH>
            <wp:positionV relativeFrom="paragraph">
              <wp:posOffset>3962400</wp:posOffset>
            </wp:positionV>
            <wp:extent cx="633095" cy="352425"/>
            <wp:effectExtent l="0" t="0" r="14605" b="9525"/>
            <wp:wrapNone/>
            <wp:docPr id="48"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4"/>
                    <pic:cNvPicPr>
                      <a:picLocks noChangeAspect="1"/>
                    </pic:cNvPicPr>
                  </pic:nvPicPr>
                  <pic:blipFill>
                    <a:blip r:embed="rId210"/>
                    <a:stretch>
                      <a:fillRect/>
                    </a:stretch>
                  </pic:blipFill>
                  <pic:spPr>
                    <a:xfrm>
                      <a:off x="0" y="0"/>
                      <a:ext cx="633095" cy="352425"/>
                    </a:xfrm>
                    <a:prstGeom prst="rect">
                      <a:avLst/>
                    </a:prstGeom>
                    <a:noFill/>
                    <a:ln>
                      <a:noFill/>
                    </a:ln>
                  </pic:spPr>
                </pic:pic>
              </a:graphicData>
            </a:graphic>
          </wp:anchor>
        </w:drawing>
      </w:r>
      <w:r>
        <w:rPr>
          <w:sz w:val="24"/>
          <w:highlight w:val="none"/>
        </w:rPr>
        <mc:AlternateContent>
          <mc:Choice Requires="wps">
            <w:drawing>
              <wp:anchor distT="0" distB="0" distL="114300" distR="114300" simplePos="0" relativeHeight="251705344" behindDoc="0" locked="0" layoutInCell="1" allowOverlap="1">
                <wp:simplePos x="0" y="0"/>
                <wp:positionH relativeFrom="column">
                  <wp:posOffset>3484245</wp:posOffset>
                </wp:positionH>
                <wp:positionV relativeFrom="paragraph">
                  <wp:posOffset>2838450</wp:posOffset>
                </wp:positionV>
                <wp:extent cx="19685" cy="1539240"/>
                <wp:effectExtent l="12700" t="0" r="24765" b="3810"/>
                <wp:wrapNone/>
                <wp:docPr id="111" name="直接连接符 111"/>
                <wp:cNvGraphicFramePr/>
                <a:graphic xmlns:a="http://schemas.openxmlformats.org/drawingml/2006/main">
                  <a:graphicData uri="http://schemas.microsoft.com/office/word/2010/wordprocessingShape">
                    <wps:wsp>
                      <wps:cNvCnPr/>
                      <wps:spPr>
                        <a:xfrm flipH="1" flipV="1">
                          <a:off x="0" y="0"/>
                          <a:ext cx="19685" cy="1539240"/>
                        </a:xfrm>
                        <a:prstGeom prst="line">
                          <a:avLst/>
                        </a:prstGeom>
                        <a:ln>
                          <a:solidFill>
                            <a:schemeClr val="bg1"/>
                          </a:solidFill>
                          <a:prstDash val="sys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 y;margin-left:274.35pt;margin-top:223.5pt;height:121.2pt;width:1.55pt;z-index:251705344;mso-width-relative:page;mso-height-relative:page;" filled="f" stroked="t" coordsize="21600,21600" o:gfxdata="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2HcKtNoAAAALAQAADwAAAAAAAAABACAAAAAiAAAAZHJzL2Rvd25yZXYueG1sUEsBAhQA&#10;FAAAAAgAh07iQDqu6ZHwAQAAuQMAAA4AAAAAAAAAAQAgAAAAKQEAAGRycy9lMm9Eb2MueG1sUEsF&#10;BgAAAAAGAAYAWQEAAIsFAAAAAA==&#10;">
                <v:fill on="f" focussize="0,0"/>
                <v:stroke weight="2pt" color="#FFFFFF [3212]" joinstyle="round" dashstyle="3 1"/>
                <v:imagedata o:title=""/>
                <o:lock v:ext="edit" aspectratio="f"/>
              </v:line>
            </w:pict>
          </mc:Fallback>
        </mc:AlternateContent>
      </w:r>
      <w:r>
        <w:rPr>
          <w:sz w:val="24"/>
          <w:highlight w:val="none"/>
        </w:rPr>
        <w:drawing>
          <wp:anchor distT="0" distB="0" distL="114300" distR="114300" simplePos="0" relativeHeight="251765760" behindDoc="1" locked="0" layoutInCell="1" allowOverlap="1">
            <wp:simplePos x="0" y="0"/>
            <wp:positionH relativeFrom="column">
              <wp:posOffset>1875790</wp:posOffset>
            </wp:positionH>
            <wp:positionV relativeFrom="paragraph">
              <wp:posOffset>301625</wp:posOffset>
            </wp:positionV>
            <wp:extent cx="5697220" cy="4909820"/>
            <wp:effectExtent l="0" t="0" r="17780" b="5080"/>
            <wp:wrapNone/>
            <wp:docPr id="41"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2"/>
                    <pic:cNvPicPr>
                      <a:picLocks noChangeAspect="1"/>
                    </pic:cNvPicPr>
                  </pic:nvPicPr>
                  <pic:blipFill>
                    <a:blip r:embed="rId211"/>
                    <a:stretch>
                      <a:fillRect/>
                    </a:stretch>
                  </pic:blipFill>
                  <pic:spPr>
                    <a:xfrm>
                      <a:off x="0" y="0"/>
                      <a:ext cx="5697220" cy="4909820"/>
                    </a:xfrm>
                    <a:prstGeom prst="rect">
                      <a:avLst/>
                    </a:prstGeom>
                    <a:noFill/>
                    <a:ln>
                      <a:noFill/>
                    </a:ln>
                  </pic:spPr>
                </pic:pic>
              </a:graphicData>
            </a:graphic>
          </wp:anchor>
        </w:drawing>
      </w:r>
      <w:r>
        <w:rPr>
          <w:rFonts w:hint="default" w:eastAsia="宋体"/>
          <w:color w:val="auto"/>
          <w:highlight w:val="none"/>
          <w:lang w:val="en-US" w:eastAsia="zh-CN"/>
        </w:rPr>
        <w:drawing>
          <wp:anchor distT="0" distB="0" distL="114300" distR="114300" simplePos="0" relativeHeight="251707392" behindDoc="0" locked="0" layoutInCell="1" allowOverlap="1">
            <wp:simplePos x="0" y="0"/>
            <wp:positionH relativeFrom="column">
              <wp:posOffset>7000875</wp:posOffset>
            </wp:positionH>
            <wp:positionV relativeFrom="paragraph">
              <wp:posOffset>237490</wp:posOffset>
            </wp:positionV>
            <wp:extent cx="923925" cy="952500"/>
            <wp:effectExtent l="0" t="0" r="9525" b="0"/>
            <wp:wrapNone/>
            <wp:docPr id="113"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1"/>
                    <pic:cNvPicPr>
                      <a:picLocks noChangeAspect="1"/>
                    </pic:cNvPicPr>
                  </pic:nvPicPr>
                  <pic:blipFill>
                    <a:blip r:embed="rId97"/>
                    <a:stretch>
                      <a:fillRect/>
                    </a:stretch>
                  </pic:blipFill>
                  <pic:spPr>
                    <a:xfrm>
                      <a:off x="0" y="0"/>
                      <a:ext cx="923925" cy="952500"/>
                    </a:xfrm>
                    <a:prstGeom prst="rect">
                      <a:avLst/>
                    </a:prstGeom>
                    <a:noFill/>
                    <a:ln>
                      <a:noFill/>
                    </a:ln>
                  </pic:spPr>
                </pic:pic>
              </a:graphicData>
            </a:graphic>
          </wp:anchor>
        </w:drawing>
      </w:r>
      <w:r>
        <w:rPr>
          <w:sz w:val="24"/>
          <w:highlight w:val="none"/>
        </w:rPr>
        <mc:AlternateContent>
          <mc:Choice Requires="wps">
            <w:drawing>
              <wp:anchor distT="0" distB="0" distL="114300" distR="114300" simplePos="0" relativeHeight="251698176" behindDoc="0" locked="0" layoutInCell="1" allowOverlap="1">
                <wp:simplePos x="0" y="0"/>
                <wp:positionH relativeFrom="column">
                  <wp:posOffset>2202815</wp:posOffset>
                </wp:positionH>
                <wp:positionV relativeFrom="paragraph">
                  <wp:posOffset>2345055</wp:posOffset>
                </wp:positionV>
                <wp:extent cx="715010" cy="386080"/>
                <wp:effectExtent l="4445" t="4445" r="23495" b="9525"/>
                <wp:wrapNone/>
                <wp:docPr id="102" name="文本框 102"/>
                <wp:cNvGraphicFramePr/>
                <a:graphic xmlns:a="http://schemas.openxmlformats.org/drawingml/2006/main">
                  <a:graphicData uri="http://schemas.microsoft.com/office/word/2010/wordprocessingShape">
                    <wps:wsp>
                      <wps:cNvSpPr txBox="1"/>
                      <wps:spPr>
                        <a:xfrm>
                          <a:off x="2649220" y="3575050"/>
                          <a:ext cx="715010" cy="38608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C3BFE9E">
                            <w:pPr>
                              <w:ind w:left="0" w:leftChars="0" w:firstLine="0" w:firstLineChars="0"/>
                              <w:jc w:val="left"/>
                              <w:rPr>
                                <w:rFonts w:hint="eastAsia" w:eastAsiaTheme="minorEastAsia"/>
                                <w:lang w:val="en-US" w:eastAsia="zh-CN"/>
                              </w:rPr>
                            </w:pPr>
                            <w:r>
                              <w:rPr>
                                <w:rFonts w:hint="eastAsia"/>
                                <w:lang w:val="en-US" w:eastAsia="zh-CN"/>
                              </w:rPr>
                              <w:t>本项目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3.45pt;margin-top:184.65pt;height:30.4pt;width:56.3pt;z-index:251698176;mso-width-relative:page;mso-height-relative:page;" fillcolor="#FFFFFF [3201]" filled="t" stroked="t" coordsize="21600,21600" o:gfxdata="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y+s2t1wAAAAsBAAAPAAAAAAAAAAEAIAAAACIAAABkcnMvZG93bnJldi54bWxQSwECFAAU&#10;AAAACACHTuJAWn0xuWQCAADGBAAADgAAAAAAAAABACAAAAAmAQAAZHJzL2Uyb0RvYy54bWxQSwUG&#10;AAAAAAYABgBZAQAA/AUAAAAA&#10;">
                <v:fill on="t" focussize="0,0"/>
                <v:stroke weight="0.5pt" color="#000000 [3204]" joinstyle="round"/>
                <v:imagedata o:title=""/>
                <o:lock v:ext="edit" aspectratio="f"/>
                <v:textbox>
                  <w:txbxContent>
                    <w:p w14:paraId="5C3BFE9E">
                      <w:pPr>
                        <w:ind w:left="0" w:leftChars="0" w:firstLine="0" w:firstLineChars="0"/>
                        <w:jc w:val="left"/>
                        <w:rPr>
                          <w:rFonts w:hint="eastAsia" w:eastAsiaTheme="minorEastAsia"/>
                          <w:lang w:val="en-US" w:eastAsia="zh-CN"/>
                        </w:rPr>
                      </w:pPr>
                      <w:r>
                        <w:rPr>
                          <w:rFonts w:hint="eastAsia"/>
                          <w:lang w:val="en-US" w:eastAsia="zh-CN"/>
                        </w:rPr>
                        <w:t>本项目</w:t>
                      </w:r>
                    </w:p>
                  </w:txbxContent>
                </v:textbox>
              </v:shape>
            </w:pict>
          </mc:Fallback>
        </mc:AlternateContent>
      </w:r>
      <w:r>
        <w:rPr>
          <w:sz w:val="24"/>
          <w:highlight w:val="none"/>
        </w:rPr>
        <mc:AlternateContent>
          <mc:Choice Requires="wps">
            <w:drawing>
              <wp:anchor distT="0" distB="0" distL="114300" distR="114300" simplePos="0" relativeHeight="251762688" behindDoc="0" locked="0" layoutInCell="1" allowOverlap="1">
                <wp:simplePos x="0" y="0"/>
                <wp:positionH relativeFrom="column">
                  <wp:posOffset>3094355</wp:posOffset>
                </wp:positionH>
                <wp:positionV relativeFrom="paragraph">
                  <wp:posOffset>4406265</wp:posOffset>
                </wp:positionV>
                <wp:extent cx="9525" cy="742950"/>
                <wp:effectExtent l="12700" t="0" r="15875" b="19050"/>
                <wp:wrapNone/>
                <wp:docPr id="34" name="直接连接符 34"/>
                <wp:cNvGraphicFramePr/>
                <a:graphic xmlns:a="http://schemas.openxmlformats.org/drawingml/2006/main">
                  <a:graphicData uri="http://schemas.microsoft.com/office/word/2010/wordprocessingShape">
                    <wps:wsp>
                      <wps:cNvCnPr/>
                      <wps:spPr>
                        <a:xfrm flipV="1">
                          <a:off x="0" y="0"/>
                          <a:ext cx="9525" cy="742950"/>
                        </a:xfrm>
                        <a:prstGeom prst="line">
                          <a:avLst/>
                        </a:prstGeom>
                        <a:ln>
                          <a:solidFill>
                            <a:schemeClr val="bg1"/>
                          </a:solidFill>
                          <a:prstDash val="sys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243.65pt;margin-top:346.95pt;height:58.5pt;width:0.75pt;z-index:251762688;mso-width-relative:page;mso-height-relative:page;" filled="f" stroked="t" coordsize="21600,21600" o:gfxdata="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BMw7eLY&#10;AAAACwEAAA8AAAAAAAAAAQAgAAAAIgAAAGRycy9kb3ducmV2LnhtbFBLAQIUABQAAAAIAIdO4kBK&#10;IYsD5wEAAKsDAAAOAAAAAAAAAAEAIAAAACcBAABkcnMvZTJvRG9jLnhtbFBLBQYAAAAABgAGAFkB&#10;AACABQAAAAA=&#10;">
                <v:fill on="f" focussize="0,0"/>
                <v:stroke weight="2pt" color="#FFFFFF [3212]" joinstyle="round" dashstyle="3 1"/>
                <v:imagedata o:title=""/>
                <o:lock v:ext="edit" aspectratio="f"/>
              </v:line>
            </w:pict>
          </mc:Fallback>
        </mc:AlternateContent>
      </w:r>
      <w:r>
        <w:rPr>
          <w:sz w:val="24"/>
          <w:highlight w:val="none"/>
        </w:rPr>
        <mc:AlternateContent>
          <mc:Choice Requires="wps">
            <w:drawing>
              <wp:anchor distT="0" distB="0" distL="114300" distR="114300" simplePos="0" relativeHeight="251704320" behindDoc="0" locked="0" layoutInCell="1" allowOverlap="1">
                <wp:simplePos x="0" y="0"/>
                <wp:positionH relativeFrom="column">
                  <wp:posOffset>3094355</wp:posOffset>
                </wp:positionH>
                <wp:positionV relativeFrom="paragraph">
                  <wp:posOffset>4394200</wp:posOffset>
                </wp:positionV>
                <wp:extent cx="431800" cy="2540"/>
                <wp:effectExtent l="0" t="12700" r="6350" b="13335"/>
                <wp:wrapNone/>
                <wp:docPr id="109" name="直接连接符 109"/>
                <wp:cNvGraphicFramePr/>
                <a:graphic xmlns:a="http://schemas.openxmlformats.org/drawingml/2006/main">
                  <a:graphicData uri="http://schemas.microsoft.com/office/word/2010/wordprocessingShape">
                    <wps:wsp>
                      <wps:cNvCnPr/>
                      <wps:spPr>
                        <a:xfrm flipV="1">
                          <a:off x="0" y="0"/>
                          <a:ext cx="431800" cy="2540"/>
                        </a:xfrm>
                        <a:prstGeom prst="line">
                          <a:avLst/>
                        </a:prstGeom>
                        <a:ln>
                          <a:solidFill>
                            <a:schemeClr val="bg1"/>
                          </a:solidFill>
                          <a:prstDash val="sys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243.65pt;margin-top:346pt;height:0.2pt;width:34pt;z-index:251704320;mso-width-relative:page;mso-height-relative:page;" filled="f" stroked="t" coordsize="21600,21600" o:gfxdata="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tewgTtYAAAALAQAA&#10;DwAAAAAAAAABACAAAAAiAAAAZHJzL2Rvd25yZXYueG1sUEsBAhQAFAAAAAgAh07iQFdxNiHiAQAA&#10;rQMAAA4AAAAAAAAAAQAgAAAAJQEAAGRycy9lMm9Eb2MueG1sUEsFBgAAAAAGAAYAWQEAAHkFAAAA&#10;AA==&#10;">
                <v:fill on="f" focussize="0,0"/>
                <v:stroke weight="2pt" color="#FFFFFF [3212]" joinstyle="round" dashstyle="3 1"/>
                <v:imagedata o:title=""/>
                <o:lock v:ext="edit" aspectratio="f"/>
              </v:line>
            </w:pict>
          </mc:Fallback>
        </mc:AlternateContent>
      </w:r>
      <w:r>
        <w:rPr>
          <w:sz w:val="24"/>
          <w:highlight w:val="none"/>
        </w:rPr>
        <mc:AlternateContent>
          <mc:Choice Requires="wps">
            <w:drawing>
              <wp:anchor distT="0" distB="0" distL="114300" distR="114300" simplePos="0" relativeHeight="251701248" behindDoc="0" locked="0" layoutInCell="1" allowOverlap="1">
                <wp:simplePos x="0" y="0"/>
                <wp:positionH relativeFrom="column">
                  <wp:posOffset>3118485</wp:posOffset>
                </wp:positionH>
                <wp:positionV relativeFrom="paragraph">
                  <wp:posOffset>5124450</wp:posOffset>
                </wp:positionV>
                <wp:extent cx="3108325" cy="0"/>
                <wp:effectExtent l="0" t="12700" r="15875" b="15875"/>
                <wp:wrapNone/>
                <wp:docPr id="105" name="直接连接符 105"/>
                <wp:cNvGraphicFramePr/>
                <a:graphic xmlns:a="http://schemas.openxmlformats.org/drawingml/2006/main">
                  <a:graphicData uri="http://schemas.microsoft.com/office/word/2010/wordprocessingShape">
                    <wps:wsp>
                      <wps:cNvCnPr/>
                      <wps:spPr>
                        <a:xfrm>
                          <a:off x="0" y="0"/>
                          <a:ext cx="3108325" cy="0"/>
                        </a:xfrm>
                        <a:prstGeom prst="line">
                          <a:avLst/>
                        </a:prstGeom>
                        <a:ln>
                          <a:solidFill>
                            <a:schemeClr val="bg1"/>
                          </a:solidFill>
                          <a:prstDash val="sys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45.55pt;margin-top:403.5pt;height:0pt;width:244.75pt;z-index:251701248;mso-width-relative:page;mso-height-relative:page;" filled="f" stroked="t" coordsize="21600,21600" o:gfxdata="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ZLEAV1QAAAAsBAAAPAAAAAAAA&#10;AAEAIAAAACIAAABkcnMvZG93bnJldi54bWxQSwECFAAUAAAACACHTuJAbtNVStwBAAChAwAADgAA&#10;AAAAAAABACAAAAAkAQAAZHJzL2Uyb0RvYy54bWxQSwUGAAAAAAYABgBZAQAAcgUAAAAA&#10;">
                <v:fill on="f" focussize="0,0"/>
                <v:stroke weight="2pt" color="#FFFFFF [3212]" joinstyle="round" dashstyle="3 1"/>
                <v:imagedata o:title=""/>
                <o:lock v:ext="edit" aspectratio="f"/>
              </v:line>
            </w:pict>
          </mc:Fallback>
        </mc:AlternateContent>
      </w:r>
      <w:r>
        <w:rPr>
          <w:sz w:val="24"/>
          <w:highlight w:val="none"/>
        </w:rPr>
        <mc:AlternateContent>
          <mc:Choice Requires="wps">
            <w:drawing>
              <wp:anchor distT="0" distB="0" distL="114300" distR="114300" simplePos="0" relativeHeight="251697152" behindDoc="0" locked="0" layoutInCell="1" allowOverlap="1">
                <wp:simplePos x="0" y="0"/>
                <wp:positionH relativeFrom="column">
                  <wp:posOffset>2261235</wp:posOffset>
                </wp:positionH>
                <wp:positionV relativeFrom="paragraph">
                  <wp:posOffset>2859405</wp:posOffset>
                </wp:positionV>
                <wp:extent cx="1023620" cy="1419860"/>
                <wp:effectExtent l="12700" t="12700" r="30480" b="15240"/>
                <wp:wrapNone/>
                <wp:docPr id="101" name="矩形 101"/>
                <wp:cNvGraphicFramePr/>
                <a:graphic xmlns:a="http://schemas.openxmlformats.org/drawingml/2006/main">
                  <a:graphicData uri="http://schemas.microsoft.com/office/word/2010/wordprocessingShape">
                    <wps:wsp>
                      <wps:cNvSpPr/>
                      <wps:spPr>
                        <a:xfrm>
                          <a:off x="2423795" y="3877945"/>
                          <a:ext cx="1023620" cy="1419860"/>
                        </a:xfrm>
                        <a:prstGeom prst="rect">
                          <a:avLst/>
                        </a:prstGeom>
                        <a:noFill/>
                        <a:ln>
                          <a:solidFill>
                            <a:schemeClr val="bg1"/>
                          </a:solidFill>
                          <a:prstDash val="sys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8.05pt;margin-top:225.15pt;height:111.8pt;width:80.6pt;z-index:251697152;v-text-anchor:middle;mso-width-relative:page;mso-height-relative:page;" filled="f" stroked="t" coordsize="21600,21600" o:gfxdata="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NRdYW9wAAAALAQAADwAAAAAAAAABACAAAAAiAAAAZHJzL2Rv&#10;d25yZXYueG1sUEsBAhQAFAAAAAgAh07iQA167T5vAgAAxwQAAA4AAAAAAAAAAQAgAAAAKwEAAGRy&#10;cy9lMm9Eb2MueG1sUEsFBgAAAAAGAAYAWQEAAAwGAAAAAA==&#10;">
                <v:fill on="f" focussize="0,0"/>
                <v:stroke weight="2pt" color="#FFFFFF [3212]" joinstyle="round" dashstyle="3 1"/>
                <v:imagedata o:title=""/>
                <o:lock v:ext="edit" aspectratio="f"/>
              </v:rect>
            </w:pict>
          </mc:Fallback>
        </mc:AlternateContent>
      </w:r>
      <w:r>
        <w:rPr>
          <w:sz w:val="24"/>
          <w:highlight w:val="none"/>
        </w:rPr>
        <mc:AlternateContent>
          <mc:Choice Requires="wps">
            <w:drawing>
              <wp:anchor distT="0" distB="0" distL="114300" distR="114300" simplePos="0" relativeHeight="251703296" behindDoc="0" locked="0" layoutInCell="1" allowOverlap="1">
                <wp:simplePos x="0" y="0"/>
                <wp:positionH relativeFrom="column">
                  <wp:posOffset>3060065</wp:posOffset>
                </wp:positionH>
                <wp:positionV relativeFrom="paragraph">
                  <wp:posOffset>2801620</wp:posOffset>
                </wp:positionV>
                <wp:extent cx="443865" cy="4445"/>
                <wp:effectExtent l="0" t="12700" r="13335" b="20955"/>
                <wp:wrapNone/>
                <wp:docPr id="107" name="直接连接符 107"/>
                <wp:cNvGraphicFramePr/>
                <a:graphic xmlns:a="http://schemas.openxmlformats.org/drawingml/2006/main">
                  <a:graphicData uri="http://schemas.microsoft.com/office/word/2010/wordprocessingShape">
                    <wps:wsp>
                      <wps:cNvCnPr/>
                      <wps:spPr>
                        <a:xfrm>
                          <a:off x="0" y="0"/>
                          <a:ext cx="443865" cy="4445"/>
                        </a:xfrm>
                        <a:prstGeom prst="line">
                          <a:avLst/>
                        </a:prstGeom>
                        <a:ln>
                          <a:solidFill>
                            <a:schemeClr val="bg1"/>
                          </a:solidFill>
                          <a:prstDash val="sys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40.95pt;margin-top:220.6pt;height:0.35pt;width:34.95pt;z-index:251703296;mso-width-relative:page;mso-height-relative:page;" filled="f" stroked="t" coordsize="21600,21600" o:gfxdata="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yOMV1gAAAAsBAAAPAAAA&#10;AAAAAAEAIAAAACIAAABkcnMvZG93bnJldi54bWxQSwECFAAUAAAACACHTuJAbVRva94BAACjAwAA&#10;DgAAAAAAAAABACAAAAAlAQAAZHJzL2Uyb0RvYy54bWxQSwUGAAAAAAYABgBZAQAAdQUAAAAA&#10;">
                <v:fill on="f" focussize="0,0"/>
                <v:stroke weight="2pt" color="#FFFFFF [3212]" joinstyle="round" dashstyle="3 1"/>
                <v:imagedata o:title=""/>
                <o:lock v:ext="edit" aspectratio="f"/>
              </v:line>
            </w:pict>
          </mc:Fallback>
        </mc:AlternateContent>
      </w:r>
      <w:r>
        <w:rPr>
          <w:sz w:val="24"/>
          <w:highlight w:val="none"/>
        </w:rPr>
        <mc:AlternateContent>
          <mc:Choice Requires="wps">
            <w:drawing>
              <wp:anchor distT="0" distB="0" distL="114300" distR="114300" simplePos="0" relativeHeight="251702272" behindDoc="0" locked="0" layoutInCell="1" allowOverlap="1">
                <wp:simplePos x="0" y="0"/>
                <wp:positionH relativeFrom="column">
                  <wp:posOffset>3080385</wp:posOffset>
                </wp:positionH>
                <wp:positionV relativeFrom="paragraph">
                  <wp:posOffset>394335</wp:posOffset>
                </wp:positionV>
                <wp:extent cx="13970" cy="2301875"/>
                <wp:effectExtent l="12700" t="0" r="30480" b="3175"/>
                <wp:wrapNone/>
                <wp:docPr id="106" name="直接连接符 106"/>
                <wp:cNvGraphicFramePr/>
                <a:graphic xmlns:a="http://schemas.openxmlformats.org/drawingml/2006/main">
                  <a:graphicData uri="http://schemas.microsoft.com/office/word/2010/wordprocessingShape">
                    <wps:wsp>
                      <wps:cNvCnPr/>
                      <wps:spPr>
                        <a:xfrm flipH="1">
                          <a:off x="0" y="0"/>
                          <a:ext cx="13970" cy="2301875"/>
                        </a:xfrm>
                        <a:prstGeom prst="line">
                          <a:avLst/>
                        </a:prstGeom>
                        <a:ln>
                          <a:solidFill>
                            <a:schemeClr val="bg1"/>
                          </a:solidFill>
                          <a:prstDash val="sys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242.55pt;margin-top:31.05pt;height:181.25pt;width:1.1pt;z-index:251702272;mso-width-relative:page;mso-height-relative:page;" filled="f" stroked="t" coordsize="21600,21600" o:gfxdata="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zfa3rWAAAA&#10;CgEAAA8AAAAAAAAAAQAgAAAAIgAAAGRycy9kb3ducmV2LnhtbFBLAQIUABQAAAAIAIdO4kA3SxaM&#10;5gEAAK8DAAAOAAAAAAAAAAEAIAAAACUBAABkcnMvZTJvRG9jLnhtbFBLBQYAAAAABgAGAFkBAAB9&#10;BQAAAAA=&#10;">
                <v:fill on="f" focussize="0,0"/>
                <v:stroke weight="2pt" color="#FFFFFF [3212]" joinstyle="round" dashstyle="3 1"/>
                <v:imagedata o:title=""/>
                <o:lock v:ext="edit" aspectratio="f"/>
              </v:line>
            </w:pict>
          </mc:Fallback>
        </mc:AlternateContent>
      </w:r>
      <w:r>
        <w:rPr>
          <w:sz w:val="24"/>
          <w:highlight w:val="none"/>
        </w:rPr>
        <mc:AlternateContent>
          <mc:Choice Requires="wps">
            <w:drawing>
              <wp:anchor distT="0" distB="0" distL="114300" distR="114300" simplePos="0" relativeHeight="251699200" behindDoc="0" locked="0" layoutInCell="1" allowOverlap="1">
                <wp:simplePos x="0" y="0"/>
                <wp:positionH relativeFrom="column">
                  <wp:posOffset>3136265</wp:posOffset>
                </wp:positionH>
                <wp:positionV relativeFrom="paragraph">
                  <wp:posOffset>349250</wp:posOffset>
                </wp:positionV>
                <wp:extent cx="3108325" cy="0"/>
                <wp:effectExtent l="0" t="12700" r="15875" b="15875"/>
                <wp:wrapNone/>
                <wp:docPr id="103" name="直接连接符 103"/>
                <wp:cNvGraphicFramePr/>
                <a:graphic xmlns:a="http://schemas.openxmlformats.org/drawingml/2006/main">
                  <a:graphicData uri="http://schemas.microsoft.com/office/word/2010/wordprocessingShape">
                    <wps:wsp>
                      <wps:cNvCnPr/>
                      <wps:spPr>
                        <a:xfrm>
                          <a:off x="3411220" y="1513840"/>
                          <a:ext cx="3108325" cy="0"/>
                        </a:xfrm>
                        <a:prstGeom prst="line">
                          <a:avLst/>
                        </a:prstGeom>
                        <a:ln>
                          <a:solidFill>
                            <a:schemeClr val="bg1"/>
                          </a:solidFill>
                          <a:prstDash val="sys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46.95pt;margin-top:27.5pt;height:0pt;width:244.75pt;z-index:251699200;mso-width-relative:page;mso-height-relative:page;" filled="f" stroked="t" coordsize="21600,21600" o:gfxdata="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MdtzutUA&#10;AAAJAQAADwAAAAAAAAABACAAAAAiAAAAZHJzL2Rvd25yZXYueG1sUEsBAhQAFAAAAAgAh07iQPB8&#10;WeXpAQAArQMAAA4AAAAAAAAAAQAgAAAAJAEAAGRycy9lMm9Eb2MueG1sUEsFBgAAAAAGAAYAWQEA&#10;AH8FAAAAAA==&#10;">
                <v:fill on="f" focussize="0,0"/>
                <v:stroke weight="2pt" color="#FFFFFF [3212]" joinstyle="round" dashstyle="3 1"/>
                <v:imagedata o:title=""/>
                <o:lock v:ext="edit" aspectratio="f"/>
              </v:line>
            </w:pict>
          </mc:Fallback>
        </mc:AlternateContent>
      </w:r>
      <w:r>
        <w:rPr>
          <w:sz w:val="24"/>
          <w:highlight w:val="none"/>
        </w:rPr>
        <mc:AlternateContent>
          <mc:Choice Requires="wps">
            <w:drawing>
              <wp:anchor distT="0" distB="0" distL="114300" distR="114300" simplePos="0" relativeHeight="251706368" behindDoc="0" locked="0" layoutInCell="1" allowOverlap="1">
                <wp:simplePos x="0" y="0"/>
                <wp:positionH relativeFrom="column">
                  <wp:posOffset>6370955</wp:posOffset>
                </wp:positionH>
                <wp:positionV relativeFrom="paragraph">
                  <wp:posOffset>2108200</wp:posOffset>
                </wp:positionV>
                <wp:extent cx="810260" cy="386080"/>
                <wp:effectExtent l="4445" t="4445" r="23495" b="9525"/>
                <wp:wrapNone/>
                <wp:docPr id="112" name="文本框 112"/>
                <wp:cNvGraphicFramePr/>
                <a:graphic xmlns:a="http://schemas.openxmlformats.org/drawingml/2006/main">
                  <a:graphicData uri="http://schemas.microsoft.com/office/word/2010/wordprocessingShape">
                    <wps:wsp>
                      <wps:cNvSpPr txBox="1"/>
                      <wps:spPr>
                        <a:xfrm>
                          <a:off x="0" y="0"/>
                          <a:ext cx="810260" cy="38608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98A725D">
                            <w:pPr>
                              <w:ind w:left="0" w:leftChars="0" w:firstLine="0" w:firstLineChars="0"/>
                              <w:jc w:val="left"/>
                              <w:rPr>
                                <w:rFonts w:hint="default" w:eastAsiaTheme="minorEastAsia"/>
                                <w:lang w:val="en-US" w:eastAsia="zh-CN"/>
                              </w:rPr>
                            </w:pPr>
                            <w:r>
                              <w:rPr>
                                <w:rFonts w:hint="eastAsia"/>
                                <w:lang w:val="en-US" w:eastAsia="zh-CN"/>
                              </w:rPr>
                              <w:t>现有工程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01.65pt;margin-top:166pt;height:30.4pt;width:63.8pt;z-index:251706368;mso-width-relative:page;mso-height-relative:page;" fillcolor="#FFFFFF [3201]" filled="t" stroked="t" coordsize="21600,21600" o:gfxdata="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n5QUT&#10;1wAAAA0BAAAPAAAAAAAAAAEAIAAAACIAAABkcnMvZG93bnJldi54bWxQSwECFAAUAAAACACHTuJA&#10;iVLw+1sCAAC6BAAADgAAAAAAAAABACAAAAAmAQAAZHJzL2Uyb0RvYy54bWxQSwUGAAAAAAYABgBZ&#10;AQAA8wUAAAAA&#10;">
                <v:fill on="t" focussize="0,0"/>
                <v:stroke weight="0.5pt" color="#000000 [3204]" joinstyle="round"/>
                <v:imagedata o:title=""/>
                <o:lock v:ext="edit" aspectratio="f"/>
                <v:textbox>
                  <w:txbxContent>
                    <w:p w14:paraId="298A725D">
                      <w:pPr>
                        <w:ind w:left="0" w:leftChars="0" w:firstLine="0" w:firstLineChars="0"/>
                        <w:jc w:val="left"/>
                        <w:rPr>
                          <w:rFonts w:hint="default" w:eastAsiaTheme="minorEastAsia"/>
                          <w:lang w:val="en-US" w:eastAsia="zh-CN"/>
                        </w:rPr>
                      </w:pPr>
                      <w:r>
                        <w:rPr>
                          <w:rFonts w:hint="eastAsia"/>
                          <w:lang w:val="en-US" w:eastAsia="zh-CN"/>
                        </w:rPr>
                        <w:t>现有工程</w:t>
                      </w:r>
                    </w:p>
                  </w:txbxContent>
                </v:textbox>
              </v:shape>
            </w:pict>
          </mc:Fallback>
        </mc:AlternateContent>
      </w:r>
      <w:r>
        <w:rPr>
          <w:sz w:val="24"/>
          <w:highlight w:val="none"/>
        </w:rPr>
        <mc:AlternateContent>
          <mc:Choice Requires="wps">
            <w:drawing>
              <wp:anchor distT="0" distB="0" distL="114300" distR="114300" simplePos="0" relativeHeight="251700224" behindDoc="0" locked="0" layoutInCell="1" allowOverlap="1">
                <wp:simplePos x="0" y="0"/>
                <wp:positionH relativeFrom="column">
                  <wp:posOffset>6228080</wp:posOffset>
                </wp:positionH>
                <wp:positionV relativeFrom="paragraph">
                  <wp:posOffset>387985</wp:posOffset>
                </wp:positionV>
                <wp:extent cx="17780" cy="4704080"/>
                <wp:effectExtent l="12700" t="0" r="26670" b="1270"/>
                <wp:wrapNone/>
                <wp:docPr id="104" name="直接连接符 104"/>
                <wp:cNvGraphicFramePr/>
                <a:graphic xmlns:a="http://schemas.openxmlformats.org/drawingml/2006/main">
                  <a:graphicData uri="http://schemas.microsoft.com/office/word/2010/wordprocessingShape">
                    <wps:wsp>
                      <wps:cNvCnPr/>
                      <wps:spPr>
                        <a:xfrm flipV="1">
                          <a:off x="0" y="0"/>
                          <a:ext cx="17780" cy="4704080"/>
                        </a:xfrm>
                        <a:prstGeom prst="line">
                          <a:avLst/>
                        </a:prstGeom>
                        <a:ln>
                          <a:solidFill>
                            <a:schemeClr val="bg1"/>
                          </a:solidFill>
                          <a:prstDash val="sys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490.4pt;margin-top:30.55pt;height:370.4pt;width:1.4pt;z-index:251700224;mso-width-relative:page;mso-height-relative:page;" filled="f" stroked="t" coordsize="21600,21600" o:gfxdata="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Ov6dVdYAAAAK&#10;AQAADwAAAAAAAAABACAAAAAiAAAAZHJzL2Rvd25yZXYueG1sUEsBAhQAFAAAAAgAh07iQDLiz7jl&#10;AQAArwMAAA4AAAAAAAAAAQAgAAAAJQEAAGRycy9lMm9Eb2MueG1sUEsFBgAAAAAGAAYAWQEAAHwF&#10;AAAAAA==&#10;">
                <v:fill on="f" focussize="0,0"/>
                <v:stroke weight="2pt" color="#FFFFFF [3212]" joinstyle="round" dashstyle="3 1"/>
                <v:imagedata o:title=""/>
                <o:lock v:ext="edit" aspectratio="f"/>
              </v:line>
            </w:pict>
          </mc:Fallback>
        </mc:AlternateContent>
      </w:r>
      <w:r>
        <w:rPr>
          <w:rFonts w:hint="default" w:ascii="Times New Roman" w:hAnsi="Times New Roman" w:eastAsia="宋体" w:cs="Times New Roman"/>
          <w:b/>
          <w:bCs/>
          <w:color w:val="auto"/>
          <w:highlight w:val="none"/>
          <w:lang w:val="en-US" w:eastAsia="zh-CN"/>
        </w:rPr>
        <w:t>附图2  厂区平面布置图</w:t>
      </w:r>
    </w:p>
    <w:p w14:paraId="490F89E0">
      <w:pPr>
        <w:topLinePunct w:val="0"/>
        <w:adjustRightInd/>
        <w:spacing w:before="31" w:beforeLines="10" w:after="31" w:afterLines="10" w:line="0" w:lineRule="atLeast"/>
        <w:ind w:left="0" w:leftChars="0" w:firstLine="0" w:firstLineChars="0"/>
        <w:jc w:val="both"/>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drawing>
          <wp:anchor distT="0" distB="0" distL="114300" distR="114300" simplePos="0" relativeHeight="251764736" behindDoc="0" locked="0" layoutInCell="1" allowOverlap="1">
            <wp:simplePos x="0" y="0"/>
            <wp:positionH relativeFrom="column">
              <wp:posOffset>6124575</wp:posOffset>
            </wp:positionH>
            <wp:positionV relativeFrom="paragraph">
              <wp:posOffset>351790</wp:posOffset>
            </wp:positionV>
            <wp:extent cx="923925" cy="952500"/>
            <wp:effectExtent l="0" t="0" r="9525" b="0"/>
            <wp:wrapNone/>
            <wp:docPr id="40"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1"/>
                    <pic:cNvPicPr>
                      <a:picLocks noChangeAspect="1"/>
                    </pic:cNvPicPr>
                  </pic:nvPicPr>
                  <pic:blipFill>
                    <a:blip r:embed="rId97"/>
                    <a:stretch>
                      <a:fillRect/>
                    </a:stretch>
                  </pic:blipFill>
                  <pic:spPr>
                    <a:xfrm>
                      <a:off x="0" y="0"/>
                      <a:ext cx="923925" cy="952500"/>
                    </a:xfrm>
                    <a:prstGeom prst="rect">
                      <a:avLst/>
                    </a:prstGeom>
                    <a:noFill/>
                    <a:ln>
                      <a:noFill/>
                    </a:ln>
                  </pic:spPr>
                </pic:pic>
              </a:graphicData>
            </a:graphic>
          </wp:anchor>
        </w:drawing>
      </w:r>
      <w:r>
        <w:rPr>
          <w:rFonts w:hint="default" w:ascii="Times New Roman" w:hAnsi="Times New Roman" w:eastAsia="宋体" w:cs="Times New Roman"/>
          <w:b/>
          <w:bCs/>
          <w:color w:val="auto"/>
          <w:highlight w:val="none"/>
          <w:lang w:val="en-US" w:eastAsia="zh-CN"/>
        </w:rPr>
        <w:drawing>
          <wp:anchor distT="0" distB="0" distL="114300" distR="114300" simplePos="0" relativeHeight="251763712" behindDoc="0" locked="0" layoutInCell="1" allowOverlap="1">
            <wp:simplePos x="0" y="0"/>
            <wp:positionH relativeFrom="column">
              <wp:posOffset>1094740</wp:posOffset>
            </wp:positionH>
            <wp:positionV relativeFrom="paragraph">
              <wp:posOffset>343535</wp:posOffset>
            </wp:positionV>
            <wp:extent cx="5976620" cy="4763135"/>
            <wp:effectExtent l="0" t="0" r="5080" b="18415"/>
            <wp:wrapTopAndBottom/>
            <wp:docPr id="38"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41"/>
                    <pic:cNvPicPr>
                      <a:picLocks noChangeAspect="1"/>
                    </pic:cNvPicPr>
                  </pic:nvPicPr>
                  <pic:blipFill>
                    <a:blip r:embed="rId212"/>
                    <a:stretch>
                      <a:fillRect/>
                    </a:stretch>
                  </pic:blipFill>
                  <pic:spPr>
                    <a:xfrm>
                      <a:off x="0" y="0"/>
                      <a:ext cx="5976620" cy="4763135"/>
                    </a:xfrm>
                    <a:prstGeom prst="rect">
                      <a:avLst/>
                    </a:prstGeom>
                    <a:noFill/>
                    <a:ln>
                      <a:noFill/>
                    </a:ln>
                  </pic:spPr>
                </pic:pic>
              </a:graphicData>
            </a:graphic>
          </wp:anchor>
        </w:drawing>
      </w:r>
      <w:r>
        <w:rPr>
          <w:rFonts w:hint="eastAsia" w:ascii="Times New Roman" w:hAnsi="Times New Roman" w:eastAsia="宋体" w:cs="Times New Roman"/>
          <w:b/>
          <w:bCs/>
          <w:color w:val="auto"/>
          <w:highlight w:val="none"/>
          <w:lang w:val="en-US" w:eastAsia="zh-CN"/>
        </w:rPr>
        <w:t>附图3  现有工程地下水跟踪监测井位置</w:t>
      </w:r>
    </w:p>
    <w:p w14:paraId="0E50B9CB">
      <w:pPr>
        <w:topLinePunct w:val="0"/>
        <w:adjustRightInd/>
        <w:spacing w:before="31" w:beforeLines="10" w:after="31" w:afterLines="10" w:line="0" w:lineRule="atLeast"/>
        <w:ind w:left="0" w:leftChars="0" w:firstLine="0" w:firstLineChars="0"/>
        <w:jc w:val="both"/>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drawing>
          <wp:anchor distT="0" distB="0" distL="114300" distR="114300" simplePos="0" relativeHeight="251767808" behindDoc="0" locked="0" layoutInCell="1" allowOverlap="1">
            <wp:simplePos x="0" y="0"/>
            <wp:positionH relativeFrom="column">
              <wp:posOffset>5959475</wp:posOffset>
            </wp:positionH>
            <wp:positionV relativeFrom="paragraph">
              <wp:posOffset>4301490</wp:posOffset>
            </wp:positionV>
            <wp:extent cx="1059180" cy="1201420"/>
            <wp:effectExtent l="0" t="0" r="0" b="0"/>
            <wp:wrapNone/>
            <wp:docPr id="60"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46"/>
                    <pic:cNvPicPr>
                      <a:picLocks noChangeAspect="1"/>
                    </pic:cNvPicPr>
                  </pic:nvPicPr>
                  <pic:blipFill>
                    <a:blip r:embed="rId213"/>
                    <a:srcRect r="14286"/>
                    <a:stretch>
                      <a:fillRect/>
                    </a:stretch>
                  </pic:blipFill>
                  <pic:spPr>
                    <a:xfrm>
                      <a:off x="0" y="0"/>
                      <a:ext cx="1059180" cy="1201420"/>
                    </a:xfrm>
                    <a:prstGeom prst="rect">
                      <a:avLst/>
                    </a:prstGeom>
                    <a:noFill/>
                    <a:ln>
                      <a:noFill/>
                    </a:ln>
                  </pic:spPr>
                </pic:pic>
              </a:graphicData>
            </a:graphic>
          </wp:anchor>
        </w:drawing>
      </w:r>
      <w:r>
        <w:rPr>
          <w:rFonts w:hint="eastAsia" w:ascii="Times New Roman" w:hAnsi="Times New Roman" w:eastAsia="宋体" w:cs="Times New Roman"/>
          <w:b/>
          <w:bCs/>
          <w:color w:val="auto"/>
          <w:highlight w:val="none"/>
          <w:lang w:val="en-US" w:eastAsia="zh-CN"/>
        </w:rPr>
        <w:drawing>
          <wp:anchor distT="0" distB="0" distL="114300" distR="114300" simplePos="0" relativeHeight="251659264" behindDoc="0" locked="0" layoutInCell="1" allowOverlap="1">
            <wp:simplePos x="0" y="0"/>
            <wp:positionH relativeFrom="column">
              <wp:posOffset>1718310</wp:posOffset>
            </wp:positionH>
            <wp:positionV relativeFrom="paragraph">
              <wp:posOffset>257175</wp:posOffset>
            </wp:positionV>
            <wp:extent cx="5312410" cy="5271135"/>
            <wp:effectExtent l="0" t="0" r="2540" b="5715"/>
            <wp:wrapTopAndBottom/>
            <wp:docPr id="59"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45"/>
                    <pic:cNvPicPr>
                      <a:picLocks noChangeAspect="1"/>
                    </pic:cNvPicPr>
                  </pic:nvPicPr>
                  <pic:blipFill>
                    <a:blip r:embed="rId214"/>
                    <a:stretch>
                      <a:fillRect/>
                    </a:stretch>
                  </pic:blipFill>
                  <pic:spPr>
                    <a:xfrm>
                      <a:off x="0" y="0"/>
                      <a:ext cx="5312410" cy="5271135"/>
                    </a:xfrm>
                    <a:prstGeom prst="rect">
                      <a:avLst/>
                    </a:prstGeom>
                    <a:noFill/>
                    <a:ln>
                      <a:noFill/>
                    </a:ln>
                  </pic:spPr>
                </pic:pic>
              </a:graphicData>
            </a:graphic>
          </wp:anchor>
        </w:drawing>
      </w:r>
      <w:r>
        <w:rPr>
          <w:rFonts w:hint="eastAsia" w:ascii="Times New Roman" w:hAnsi="Times New Roman" w:eastAsia="宋体" w:cs="Times New Roman"/>
          <w:b/>
          <w:bCs/>
          <w:color w:val="auto"/>
          <w:highlight w:val="none"/>
          <w:lang w:val="en-US" w:eastAsia="zh-CN"/>
        </w:rPr>
        <w:t>附图4  分区防渗图</w:t>
      </w:r>
    </w:p>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ngLiU">
    <w:altName w:val="PMingLiU-ExtB"/>
    <w:panose1 w:val="02020509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089725"/>
    </w:sdtPr>
    <w:sdtContent>
      <w:p w14:paraId="1085F479">
        <w:pPr>
          <w:pStyle w:val="25"/>
          <w:ind w:firstLine="360"/>
          <w:jc w:val="center"/>
        </w:pPr>
        <w:r>
          <w:fldChar w:fldCharType="begin"/>
        </w:r>
        <w:r>
          <w:instrText xml:space="preserve">PAGE   \* MERGEFORMAT</w:instrText>
        </w:r>
        <w:r>
          <w:fldChar w:fldCharType="separate"/>
        </w:r>
        <w:r>
          <w:rPr>
            <w:lang w:val="zh-CN"/>
          </w:rPr>
          <w:t>1</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16751">
    <w:pPr>
      <w:pStyle w:val="2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34319">
    <w:pPr>
      <w:pStyle w:val="25"/>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68207"/>
    </w:sdtPr>
    <w:sdtContent>
      <w:p w14:paraId="3A7CA1C3">
        <w:pPr>
          <w:pStyle w:val="25"/>
          <w:ind w:firstLine="360"/>
          <w:jc w:val="center"/>
        </w:pPr>
        <w:r>
          <w:fldChar w:fldCharType="begin"/>
        </w:r>
        <w:r>
          <w:instrText xml:space="preserve">PAGE   \* MERGEFORMAT</w:instrText>
        </w:r>
        <w:r>
          <w:fldChar w:fldCharType="separate"/>
        </w:r>
        <w:r>
          <w:rPr>
            <w:lang w:val="zh-CN"/>
          </w:rPr>
          <w:t>1</w:t>
        </w:r>
        <w: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16404">
    <w:pPr>
      <w:pStyle w:val="25"/>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1996DD">
                          <w:pPr>
                            <w:pStyle w:val="2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51996DD">
                    <w:pPr>
                      <w:pStyle w:val="2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C0739">
    <w:pPr>
      <w:pStyle w:val="25"/>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828F4E">
                          <w:pPr>
                            <w:pStyle w:val="2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A828F4E">
                    <w:pPr>
                      <w:pStyle w:val="25"/>
                    </w:pPr>
                    <w:r>
                      <w:fldChar w:fldCharType="begin"/>
                    </w:r>
                    <w:r>
                      <w:instrText xml:space="preserve"> PAGE  \* MERGEFORMAT </w:instrText>
                    </w:r>
                    <w:r>
                      <w:fldChar w:fldCharType="separate"/>
                    </w:r>
                    <w:r>
                      <w:t>1</w:t>
                    </w:r>
                    <w:r>
                      <w:fldChar w:fldCharType="end"/>
                    </w:r>
                  </w:p>
                </w:txbxContent>
              </v:textbox>
            </v:shape>
          </w:pict>
        </mc:Fallback>
      </mc:AlternateContent>
    </w:r>
  </w:p>
  <w:p w14:paraId="705D7AAA">
    <w:pPr>
      <w:pStyle w:val="25"/>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CA75C">
    <w:pPr>
      <w:pStyle w:val="25"/>
      <w:pBdr>
        <w:top w:val="none" w:color="auto" w:sz="0" w:space="1"/>
        <w:left w:val="none" w:color="auto" w:sz="0" w:space="0"/>
        <w:bottom w:val="none" w:color="auto" w:sz="0" w:space="0"/>
        <w:right w:val="none" w:color="auto" w:sz="0" w:space="0"/>
        <w:between w:val="none" w:color="auto" w:sz="0" w:space="0"/>
      </w:pBdr>
      <w:wordWrap w:val="0"/>
      <w:jc w:val="both"/>
      <w:rPr>
        <w:rFonts w:hint="eastAsia" w:eastAsia="宋体"/>
        <w:lang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F9447D">
                          <w:pPr>
                            <w:pStyle w:val="25"/>
                          </w:pPr>
                          <w:r>
                            <w:fldChar w:fldCharType="begin"/>
                          </w:r>
                          <w:r>
                            <w:instrText xml:space="preserve"> PAGE  \* MERGEFORMAT </w:instrText>
                          </w:r>
                          <w:r>
                            <w:fldChar w:fldCharType="separate"/>
                          </w:r>
                          <w:r>
                            <w:t>237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73F9447D">
                    <w:pPr>
                      <w:pStyle w:val="25"/>
                    </w:pPr>
                    <w:r>
                      <w:fldChar w:fldCharType="begin"/>
                    </w:r>
                    <w:r>
                      <w:instrText xml:space="preserve"> PAGE  \* MERGEFORMAT </w:instrText>
                    </w:r>
                    <w:r>
                      <w:fldChar w:fldCharType="separate"/>
                    </w:r>
                    <w:r>
                      <w:t>237</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22599">
    <w:pPr>
      <w:pStyle w:val="26"/>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FFCCE">
    <w:pPr>
      <w:pStyle w:val="2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2E326">
    <w:pPr>
      <w:pStyle w:val="26"/>
      <w:pBdr>
        <w:bottom w:val="single" w:color="FFFFFF" w:sz="6" w:space="1"/>
      </w:pBdr>
      <w:ind w:firstLine="0" w:firstLineChars="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656DE">
    <w:pPr>
      <w:pStyle w:val="26"/>
      <w:ind w:firstLine="0" w:firstLineChars="0"/>
      <w:rPr>
        <w:rFonts w:hint="eastAsia" w:ascii="Times New Roman" w:hAnsi="Times New Roman" w:cs="Times New Roman"/>
        <w:lang w:eastAsia="zh-CN"/>
      </w:rPr>
    </w:pPr>
    <w:r>
      <w:rPr>
        <w:rFonts w:hint="eastAsia" w:ascii="Times New Roman" w:hAnsi="Times New Roman" w:cs="Times New Roman"/>
        <w:lang w:eastAsia="zh-CN"/>
      </w:rPr>
      <w:t>佳木斯中恒热电有限公司新建、扩建锅炉房工程（二期1×58MW锅炉重新报批）环境影响报告书</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12680">
    <w:pPr>
      <w:pStyle w:val="26"/>
      <w:pBdr>
        <w:bottom w:val="none" w:color="auto" w:sz="0" w:space="1"/>
      </w:pBdr>
      <w:jc w:val="cente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5D8AD2"/>
    <w:multiLevelType w:val="singleLevel"/>
    <w:tmpl w:val="A05D8AD2"/>
    <w:lvl w:ilvl="0" w:tentative="0">
      <w:start w:val="1"/>
      <w:numFmt w:val="decimal"/>
      <w:suff w:val="nothing"/>
      <w:lvlText w:val="（%1）"/>
      <w:lvlJc w:val="left"/>
    </w:lvl>
  </w:abstractNum>
  <w:abstractNum w:abstractNumId="1">
    <w:nsid w:val="D9A206CA"/>
    <w:multiLevelType w:val="singleLevel"/>
    <w:tmpl w:val="D9A206CA"/>
    <w:lvl w:ilvl="0" w:tentative="0">
      <w:start w:val="1"/>
      <w:numFmt w:val="upperLetter"/>
      <w:suff w:val="nothing"/>
      <w:lvlText w:val="%1-"/>
      <w:lvlJc w:val="left"/>
    </w:lvl>
  </w:abstractNum>
  <w:abstractNum w:abstractNumId="2">
    <w:nsid w:val="E1865DA1"/>
    <w:multiLevelType w:val="singleLevel"/>
    <w:tmpl w:val="E1865DA1"/>
    <w:lvl w:ilvl="0" w:tentative="0">
      <w:start w:val="4"/>
      <w:numFmt w:val="upperLetter"/>
      <w:suff w:val="nothing"/>
      <w:lvlText w:val="%1-"/>
      <w:lvlJc w:val="left"/>
    </w:lvl>
  </w:abstractNum>
  <w:abstractNum w:abstractNumId="3">
    <w:nsid w:val="E8B97C05"/>
    <w:multiLevelType w:val="singleLevel"/>
    <w:tmpl w:val="E8B97C05"/>
    <w:lvl w:ilvl="0" w:tentative="0">
      <w:start w:val="1"/>
      <w:numFmt w:val="bullet"/>
      <w:pStyle w:val="11"/>
      <w:lvlText w:val=""/>
      <w:lvlJc w:val="left"/>
      <w:pPr>
        <w:tabs>
          <w:tab w:val="left" w:pos="360"/>
        </w:tabs>
        <w:ind w:left="360" w:hanging="360"/>
      </w:pPr>
      <w:rPr>
        <w:rFonts w:hint="default" w:ascii="Wingdings" w:hAnsi="Wingdings"/>
      </w:rPr>
    </w:lvl>
  </w:abstractNum>
  <w:abstractNum w:abstractNumId="4">
    <w:nsid w:val="F4515EB7"/>
    <w:multiLevelType w:val="singleLevel"/>
    <w:tmpl w:val="F4515EB7"/>
    <w:lvl w:ilvl="0" w:tentative="0">
      <w:start w:val="1"/>
      <w:numFmt w:val="decimal"/>
      <w:lvlText w:val="%1."/>
      <w:lvlJc w:val="left"/>
      <w:pPr>
        <w:tabs>
          <w:tab w:val="left" w:pos="312"/>
        </w:tabs>
      </w:pPr>
    </w:lvl>
  </w:abstractNum>
  <w:abstractNum w:abstractNumId="5">
    <w:nsid w:val="F76843D7"/>
    <w:multiLevelType w:val="singleLevel"/>
    <w:tmpl w:val="F76843D7"/>
    <w:lvl w:ilvl="0" w:tentative="0">
      <w:start w:val="1"/>
      <w:numFmt w:val="decimal"/>
      <w:lvlText w:val="%1."/>
      <w:lvlJc w:val="left"/>
      <w:pPr>
        <w:tabs>
          <w:tab w:val="left" w:pos="312"/>
        </w:tabs>
      </w:pPr>
    </w:lvl>
  </w:abstractNum>
  <w:abstractNum w:abstractNumId="6">
    <w:nsid w:val="FB62B8A8"/>
    <w:multiLevelType w:val="singleLevel"/>
    <w:tmpl w:val="FB62B8A8"/>
    <w:lvl w:ilvl="0" w:tentative="0">
      <w:start w:val="1"/>
      <w:numFmt w:val="decimal"/>
      <w:lvlText w:val="%1."/>
      <w:lvlJc w:val="left"/>
      <w:pPr>
        <w:tabs>
          <w:tab w:val="left" w:pos="312"/>
        </w:tabs>
      </w:pPr>
    </w:lvl>
  </w:abstractNum>
  <w:abstractNum w:abstractNumId="7">
    <w:nsid w:val="0530C644"/>
    <w:multiLevelType w:val="multilevel"/>
    <w:tmpl w:val="0530C644"/>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8">
    <w:nsid w:val="76A079C4"/>
    <w:multiLevelType w:val="singleLevel"/>
    <w:tmpl w:val="76A079C4"/>
    <w:lvl w:ilvl="0" w:tentative="0">
      <w:start w:val="1"/>
      <w:numFmt w:val="decimal"/>
      <w:lvlText w:val="%1."/>
      <w:lvlJc w:val="left"/>
      <w:pPr>
        <w:tabs>
          <w:tab w:val="left" w:pos="312"/>
        </w:tabs>
      </w:pPr>
    </w:lvl>
  </w:abstractNum>
  <w:abstractNum w:abstractNumId="9">
    <w:nsid w:val="7D46DAD5"/>
    <w:multiLevelType w:val="singleLevel"/>
    <w:tmpl w:val="7D46DAD5"/>
    <w:lvl w:ilvl="0" w:tentative="0">
      <w:start w:val="1"/>
      <w:numFmt w:val="bullet"/>
      <w:pStyle w:val="20"/>
      <w:lvlText w:val=""/>
      <w:lvlJc w:val="left"/>
      <w:pPr>
        <w:tabs>
          <w:tab w:val="left" w:pos="2040"/>
        </w:tabs>
        <w:ind w:left="2040" w:hanging="360"/>
      </w:pPr>
      <w:rPr>
        <w:rFonts w:hint="default" w:ascii="Wingdings" w:hAnsi="Wingdings"/>
      </w:rPr>
    </w:lvl>
  </w:abstractNum>
  <w:num w:numId="1">
    <w:abstractNumId w:val="3"/>
  </w:num>
  <w:num w:numId="2">
    <w:abstractNumId w:val="9"/>
  </w:num>
  <w:num w:numId="3">
    <w:abstractNumId w:val="7"/>
  </w:num>
  <w:num w:numId="4">
    <w:abstractNumId w:val="8"/>
  </w:num>
  <w:num w:numId="5">
    <w:abstractNumId w:val="4"/>
  </w:num>
  <w:num w:numId="6">
    <w:abstractNumId w:val="6"/>
  </w:num>
  <w:num w:numId="7">
    <w:abstractNumId w:val="5"/>
  </w:num>
  <w:num w:numId="8">
    <w:abstractNumId w:val="0"/>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3NDk5YjI5MjVlZDk2ODNiNTYwODc4MTA2NDQwMTAifQ=="/>
  </w:docVars>
  <w:rsids>
    <w:rsidRoot w:val="00172A27"/>
    <w:rsid w:val="000043E4"/>
    <w:rsid w:val="000058F6"/>
    <w:rsid w:val="00011EB7"/>
    <w:rsid w:val="00014F0C"/>
    <w:rsid w:val="0002112A"/>
    <w:rsid w:val="000250CC"/>
    <w:rsid w:val="00040FFA"/>
    <w:rsid w:val="000430F9"/>
    <w:rsid w:val="00044622"/>
    <w:rsid w:val="000542A3"/>
    <w:rsid w:val="00062BBA"/>
    <w:rsid w:val="000677C7"/>
    <w:rsid w:val="000707C3"/>
    <w:rsid w:val="000878F1"/>
    <w:rsid w:val="00095398"/>
    <w:rsid w:val="00097C06"/>
    <w:rsid w:val="000C03D3"/>
    <w:rsid w:val="000D210C"/>
    <w:rsid w:val="000D58BB"/>
    <w:rsid w:val="000D6D95"/>
    <w:rsid w:val="000E153C"/>
    <w:rsid w:val="000E31A0"/>
    <w:rsid w:val="000E4478"/>
    <w:rsid w:val="000E621F"/>
    <w:rsid w:val="000F3B5D"/>
    <w:rsid w:val="000F5A59"/>
    <w:rsid w:val="000F7DFB"/>
    <w:rsid w:val="0010204F"/>
    <w:rsid w:val="00116D3B"/>
    <w:rsid w:val="0012185B"/>
    <w:rsid w:val="0012408C"/>
    <w:rsid w:val="00127921"/>
    <w:rsid w:val="001302CB"/>
    <w:rsid w:val="0013146E"/>
    <w:rsid w:val="001337E7"/>
    <w:rsid w:val="00141502"/>
    <w:rsid w:val="001437D1"/>
    <w:rsid w:val="001525F7"/>
    <w:rsid w:val="001539EA"/>
    <w:rsid w:val="001557BD"/>
    <w:rsid w:val="00163455"/>
    <w:rsid w:val="00164EE1"/>
    <w:rsid w:val="00165794"/>
    <w:rsid w:val="00173087"/>
    <w:rsid w:val="00174005"/>
    <w:rsid w:val="00175319"/>
    <w:rsid w:val="00177B4B"/>
    <w:rsid w:val="00181505"/>
    <w:rsid w:val="00184582"/>
    <w:rsid w:val="00190168"/>
    <w:rsid w:val="0019053E"/>
    <w:rsid w:val="001A0CF2"/>
    <w:rsid w:val="001A0E75"/>
    <w:rsid w:val="001A1D47"/>
    <w:rsid w:val="001A22E4"/>
    <w:rsid w:val="001A23A4"/>
    <w:rsid w:val="001B0EC4"/>
    <w:rsid w:val="001B1E89"/>
    <w:rsid w:val="001B40AA"/>
    <w:rsid w:val="001B7EE0"/>
    <w:rsid w:val="001C0BA7"/>
    <w:rsid w:val="001C1832"/>
    <w:rsid w:val="001C2ACB"/>
    <w:rsid w:val="001C72DD"/>
    <w:rsid w:val="001C7671"/>
    <w:rsid w:val="001D3E86"/>
    <w:rsid w:val="001E4633"/>
    <w:rsid w:val="001E7D25"/>
    <w:rsid w:val="001F15A4"/>
    <w:rsid w:val="001F1D8A"/>
    <w:rsid w:val="001F2F04"/>
    <w:rsid w:val="001F4723"/>
    <w:rsid w:val="001F52F3"/>
    <w:rsid w:val="002124FE"/>
    <w:rsid w:val="0021604E"/>
    <w:rsid w:val="00216743"/>
    <w:rsid w:val="0022436E"/>
    <w:rsid w:val="00225A91"/>
    <w:rsid w:val="00226D89"/>
    <w:rsid w:val="0022715D"/>
    <w:rsid w:val="002337A5"/>
    <w:rsid w:val="00240193"/>
    <w:rsid w:val="002408F6"/>
    <w:rsid w:val="00244013"/>
    <w:rsid w:val="00253035"/>
    <w:rsid w:val="00254511"/>
    <w:rsid w:val="0025706D"/>
    <w:rsid w:val="00260583"/>
    <w:rsid w:val="00263635"/>
    <w:rsid w:val="00266C24"/>
    <w:rsid w:val="00280D0A"/>
    <w:rsid w:val="00281BDA"/>
    <w:rsid w:val="0029288A"/>
    <w:rsid w:val="0029793F"/>
    <w:rsid w:val="002A0F02"/>
    <w:rsid w:val="002A1A31"/>
    <w:rsid w:val="002A1D7D"/>
    <w:rsid w:val="002A2334"/>
    <w:rsid w:val="002A3973"/>
    <w:rsid w:val="002B6178"/>
    <w:rsid w:val="002C0683"/>
    <w:rsid w:val="002C1372"/>
    <w:rsid w:val="002C5E58"/>
    <w:rsid w:val="002C6FB0"/>
    <w:rsid w:val="002D12C2"/>
    <w:rsid w:val="002D72EA"/>
    <w:rsid w:val="002E1A36"/>
    <w:rsid w:val="002E422B"/>
    <w:rsid w:val="002E586E"/>
    <w:rsid w:val="002E5C3F"/>
    <w:rsid w:val="002F0D32"/>
    <w:rsid w:val="002F20E5"/>
    <w:rsid w:val="002F5300"/>
    <w:rsid w:val="002F7FE4"/>
    <w:rsid w:val="00302BD8"/>
    <w:rsid w:val="00304350"/>
    <w:rsid w:val="00305BD7"/>
    <w:rsid w:val="00311921"/>
    <w:rsid w:val="003129FE"/>
    <w:rsid w:val="003165DA"/>
    <w:rsid w:val="00321EF2"/>
    <w:rsid w:val="00326F12"/>
    <w:rsid w:val="00330867"/>
    <w:rsid w:val="00332201"/>
    <w:rsid w:val="00334368"/>
    <w:rsid w:val="00335DDC"/>
    <w:rsid w:val="0033648D"/>
    <w:rsid w:val="003501CB"/>
    <w:rsid w:val="003513C9"/>
    <w:rsid w:val="00355388"/>
    <w:rsid w:val="00357B0A"/>
    <w:rsid w:val="00357BD2"/>
    <w:rsid w:val="003622A0"/>
    <w:rsid w:val="00370BEB"/>
    <w:rsid w:val="00371053"/>
    <w:rsid w:val="003713D8"/>
    <w:rsid w:val="00373FAC"/>
    <w:rsid w:val="00376175"/>
    <w:rsid w:val="003921BA"/>
    <w:rsid w:val="00392389"/>
    <w:rsid w:val="00396F76"/>
    <w:rsid w:val="003A0EB7"/>
    <w:rsid w:val="003A4DDA"/>
    <w:rsid w:val="003B1B7B"/>
    <w:rsid w:val="003B5A7F"/>
    <w:rsid w:val="003B66EF"/>
    <w:rsid w:val="003D3C69"/>
    <w:rsid w:val="003D3D05"/>
    <w:rsid w:val="003E0F77"/>
    <w:rsid w:val="003E2B27"/>
    <w:rsid w:val="003F3915"/>
    <w:rsid w:val="00406107"/>
    <w:rsid w:val="00406C73"/>
    <w:rsid w:val="00412C22"/>
    <w:rsid w:val="00415134"/>
    <w:rsid w:val="004160CE"/>
    <w:rsid w:val="00425283"/>
    <w:rsid w:val="0043099F"/>
    <w:rsid w:val="00442797"/>
    <w:rsid w:val="00443F35"/>
    <w:rsid w:val="00453584"/>
    <w:rsid w:val="0046161E"/>
    <w:rsid w:val="00464158"/>
    <w:rsid w:val="00465139"/>
    <w:rsid w:val="00465C7B"/>
    <w:rsid w:val="00483295"/>
    <w:rsid w:val="004839DE"/>
    <w:rsid w:val="004846E3"/>
    <w:rsid w:val="00485E74"/>
    <w:rsid w:val="00492C08"/>
    <w:rsid w:val="00493190"/>
    <w:rsid w:val="004948F4"/>
    <w:rsid w:val="00497043"/>
    <w:rsid w:val="004A08CA"/>
    <w:rsid w:val="004A09BD"/>
    <w:rsid w:val="004A0B56"/>
    <w:rsid w:val="004B3E06"/>
    <w:rsid w:val="004B5A64"/>
    <w:rsid w:val="004B7E12"/>
    <w:rsid w:val="004C021B"/>
    <w:rsid w:val="004C1D28"/>
    <w:rsid w:val="004C299B"/>
    <w:rsid w:val="004C5CEE"/>
    <w:rsid w:val="004C772F"/>
    <w:rsid w:val="004C79E1"/>
    <w:rsid w:val="004D3C16"/>
    <w:rsid w:val="004E3803"/>
    <w:rsid w:val="00522167"/>
    <w:rsid w:val="005318DC"/>
    <w:rsid w:val="0053402C"/>
    <w:rsid w:val="00537D39"/>
    <w:rsid w:val="0054013E"/>
    <w:rsid w:val="00540A2E"/>
    <w:rsid w:val="0054273A"/>
    <w:rsid w:val="0054598E"/>
    <w:rsid w:val="00550467"/>
    <w:rsid w:val="0055613A"/>
    <w:rsid w:val="00557083"/>
    <w:rsid w:val="00563386"/>
    <w:rsid w:val="0057033F"/>
    <w:rsid w:val="00574866"/>
    <w:rsid w:val="00577814"/>
    <w:rsid w:val="00580964"/>
    <w:rsid w:val="005815AB"/>
    <w:rsid w:val="00581908"/>
    <w:rsid w:val="0059510E"/>
    <w:rsid w:val="00597C04"/>
    <w:rsid w:val="005A211C"/>
    <w:rsid w:val="005B631A"/>
    <w:rsid w:val="005C05AB"/>
    <w:rsid w:val="005C3891"/>
    <w:rsid w:val="005C700A"/>
    <w:rsid w:val="005D0C8E"/>
    <w:rsid w:val="005D5072"/>
    <w:rsid w:val="005D57E4"/>
    <w:rsid w:val="005D6335"/>
    <w:rsid w:val="005D6C5F"/>
    <w:rsid w:val="005F10EE"/>
    <w:rsid w:val="005F2600"/>
    <w:rsid w:val="005F3104"/>
    <w:rsid w:val="005F407D"/>
    <w:rsid w:val="005F5C55"/>
    <w:rsid w:val="005F6FB4"/>
    <w:rsid w:val="006014FF"/>
    <w:rsid w:val="00601CF9"/>
    <w:rsid w:val="006038CA"/>
    <w:rsid w:val="00604FBA"/>
    <w:rsid w:val="00611707"/>
    <w:rsid w:val="00613410"/>
    <w:rsid w:val="006207D2"/>
    <w:rsid w:val="006215F0"/>
    <w:rsid w:val="00630B74"/>
    <w:rsid w:val="0063613B"/>
    <w:rsid w:val="00650033"/>
    <w:rsid w:val="006518D5"/>
    <w:rsid w:val="00652ED7"/>
    <w:rsid w:val="006542F6"/>
    <w:rsid w:val="00667406"/>
    <w:rsid w:val="00667CBC"/>
    <w:rsid w:val="00670B8D"/>
    <w:rsid w:val="0067277F"/>
    <w:rsid w:val="00673095"/>
    <w:rsid w:val="00685C4E"/>
    <w:rsid w:val="00690979"/>
    <w:rsid w:val="006912CC"/>
    <w:rsid w:val="00692219"/>
    <w:rsid w:val="00692768"/>
    <w:rsid w:val="006B5738"/>
    <w:rsid w:val="006C3EAF"/>
    <w:rsid w:val="006C4B0C"/>
    <w:rsid w:val="006D4E06"/>
    <w:rsid w:val="006D539A"/>
    <w:rsid w:val="006E6F7F"/>
    <w:rsid w:val="006F0482"/>
    <w:rsid w:val="006F1A29"/>
    <w:rsid w:val="006F6635"/>
    <w:rsid w:val="006F69DF"/>
    <w:rsid w:val="007010BE"/>
    <w:rsid w:val="00703AA6"/>
    <w:rsid w:val="00704208"/>
    <w:rsid w:val="00704DAD"/>
    <w:rsid w:val="00707303"/>
    <w:rsid w:val="00710B80"/>
    <w:rsid w:val="0071100F"/>
    <w:rsid w:val="00712446"/>
    <w:rsid w:val="007339D5"/>
    <w:rsid w:val="00733B8B"/>
    <w:rsid w:val="0074328A"/>
    <w:rsid w:val="007579A2"/>
    <w:rsid w:val="00757A1B"/>
    <w:rsid w:val="00761DEA"/>
    <w:rsid w:val="00763020"/>
    <w:rsid w:val="0077217C"/>
    <w:rsid w:val="007727CE"/>
    <w:rsid w:val="00775721"/>
    <w:rsid w:val="007803C2"/>
    <w:rsid w:val="0078121B"/>
    <w:rsid w:val="00784B14"/>
    <w:rsid w:val="00785046"/>
    <w:rsid w:val="007942D2"/>
    <w:rsid w:val="007965E8"/>
    <w:rsid w:val="007A044A"/>
    <w:rsid w:val="007A07A3"/>
    <w:rsid w:val="007A1DCE"/>
    <w:rsid w:val="007A1EDA"/>
    <w:rsid w:val="007A3276"/>
    <w:rsid w:val="007A7FEA"/>
    <w:rsid w:val="007B421B"/>
    <w:rsid w:val="007B7B22"/>
    <w:rsid w:val="007C0200"/>
    <w:rsid w:val="007C68B2"/>
    <w:rsid w:val="007D508E"/>
    <w:rsid w:val="007D52FB"/>
    <w:rsid w:val="007D61B2"/>
    <w:rsid w:val="007E0916"/>
    <w:rsid w:val="007F4055"/>
    <w:rsid w:val="007F51B9"/>
    <w:rsid w:val="0080040D"/>
    <w:rsid w:val="00803B4F"/>
    <w:rsid w:val="00806285"/>
    <w:rsid w:val="008067B7"/>
    <w:rsid w:val="0080759D"/>
    <w:rsid w:val="00810642"/>
    <w:rsid w:val="0081164D"/>
    <w:rsid w:val="00814095"/>
    <w:rsid w:val="00816115"/>
    <w:rsid w:val="00817390"/>
    <w:rsid w:val="00817CA7"/>
    <w:rsid w:val="00824263"/>
    <w:rsid w:val="008316D8"/>
    <w:rsid w:val="00832573"/>
    <w:rsid w:val="00837DCE"/>
    <w:rsid w:val="0084409E"/>
    <w:rsid w:val="00846856"/>
    <w:rsid w:val="0084709D"/>
    <w:rsid w:val="00852861"/>
    <w:rsid w:val="00857570"/>
    <w:rsid w:val="00860F22"/>
    <w:rsid w:val="008716E3"/>
    <w:rsid w:val="008733FB"/>
    <w:rsid w:val="00873F7F"/>
    <w:rsid w:val="00874CF0"/>
    <w:rsid w:val="00876E4C"/>
    <w:rsid w:val="008834FB"/>
    <w:rsid w:val="0089229B"/>
    <w:rsid w:val="008B2CB9"/>
    <w:rsid w:val="008B41AB"/>
    <w:rsid w:val="008C0F76"/>
    <w:rsid w:val="008C1BE6"/>
    <w:rsid w:val="008D0989"/>
    <w:rsid w:val="008D2D60"/>
    <w:rsid w:val="008D5D67"/>
    <w:rsid w:val="008D6B03"/>
    <w:rsid w:val="008E065B"/>
    <w:rsid w:val="008E07BD"/>
    <w:rsid w:val="008E2499"/>
    <w:rsid w:val="008E5376"/>
    <w:rsid w:val="008F5461"/>
    <w:rsid w:val="009018BC"/>
    <w:rsid w:val="00907531"/>
    <w:rsid w:val="0090768A"/>
    <w:rsid w:val="00911D6F"/>
    <w:rsid w:val="00913BC7"/>
    <w:rsid w:val="00914119"/>
    <w:rsid w:val="00915450"/>
    <w:rsid w:val="0091641A"/>
    <w:rsid w:val="0092046B"/>
    <w:rsid w:val="00921E88"/>
    <w:rsid w:val="00923A6A"/>
    <w:rsid w:val="00926CEC"/>
    <w:rsid w:val="00931B52"/>
    <w:rsid w:val="00932C64"/>
    <w:rsid w:val="00933DA9"/>
    <w:rsid w:val="00934BF5"/>
    <w:rsid w:val="009369D4"/>
    <w:rsid w:val="009375BE"/>
    <w:rsid w:val="00941680"/>
    <w:rsid w:val="009512A3"/>
    <w:rsid w:val="00951760"/>
    <w:rsid w:val="009517A2"/>
    <w:rsid w:val="00953540"/>
    <w:rsid w:val="00956CE6"/>
    <w:rsid w:val="0096372F"/>
    <w:rsid w:val="00965E75"/>
    <w:rsid w:val="00974861"/>
    <w:rsid w:val="00975FAC"/>
    <w:rsid w:val="00983D3E"/>
    <w:rsid w:val="00984A21"/>
    <w:rsid w:val="00991D89"/>
    <w:rsid w:val="009A1EEF"/>
    <w:rsid w:val="009A2D47"/>
    <w:rsid w:val="009A2FBD"/>
    <w:rsid w:val="009A41E7"/>
    <w:rsid w:val="009B29D3"/>
    <w:rsid w:val="009C3486"/>
    <w:rsid w:val="009C44C6"/>
    <w:rsid w:val="009C5612"/>
    <w:rsid w:val="009C769F"/>
    <w:rsid w:val="009C784E"/>
    <w:rsid w:val="009D661C"/>
    <w:rsid w:val="009D71F0"/>
    <w:rsid w:val="009E3BDA"/>
    <w:rsid w:val="009F2252"/>
    <w:rsid w:val="009F456A"/>
    <w:rsid w:val="009F5034"/>
    <w:rsid w:val="009F7207"/>
    <w:rsid w:val="00A21BF6"/>
    <w:rsid w:val="00A23D14"/>
    <w:rsid w:val="00A370EC"/>
    <w:rsid w:val="00A61312"/>
    <w:rsid w:val="00A61E0A"/>
    <w:rsid w:val="00A63C0D"/>
    <w:rsid w:val="00A7061D"/>
    <w:rsid w:val="00A70C71"/>
    <w:rsid w:val="00A74140"/>
    <w:rsid w:val="00A81BD1"/>
    <w:rsid w:val="00A82848"/>
    <w:rsid w:val="00A8304D"/>
    <w:rsid w:val="00A86BA1"/>
    <w:rsid w:val="00A921C8"/>
    <w:rsid w:val="00A939A4"/>
    <w:rsid w:val="00A94F6A"/>
    <w:rsid w:val="00A9769B"/>
    <w:rsid w:val="00AA551B"/>
    <w:rsid w:val="00AB22D6"/>
    <w:rsid w:val="00AB499F"/>
    <w:rsid w:val="00AB4C6E"/>
    <w:rsid w:val="00AC43CD"/>
    <w:rsid w:val="00AC571C"/>
    <w:rsid w:val="00AD19F5"/>
    <w:rsid w:val="00AD4C8B"/>
    <w:rsid w:val="00AD4E0D"/>
    <w:rsid w:val="00AE68CC"/>
    <w:rsid w:val="00AE6E56"/>
    <w:rsid w:val="00AF1CB2"/>
    <w:rsid w:val="00AF2B4A"/>
    <w:rsid w:val="00AF68E7"/>
    <w:rsid w:val="00AF6C06"/>
    <w:rsid w:val="00AF7C18"/>
    <w:rsid w:val="00B03E3F"/>
    <w:rsid w:val="00B04A21"/>
    <w:rsid w:val="00B05D59"/>
    <w:rsid w:val="00B11567"/>
    <w:rsid w:val="00B1380A"/>
    <w:rsid w:val="00B141CB"/>
    <w:rsid w:val="00B14807"/>
    <w:rsid w:val="00B1555A"/>
    <w:rsid w:val="00B16267"/>
    <w:rsid w:val="00B2110E"/>
    <w:rsid w:val="00B27739"/>
    <w:rsid w:val="00B31F99"/>
    <w:rsid w:val="00B324EB"/>
    <w:rsid w:val="00B334E7"/>
    <w:rsid w:val="00B41240"/>
    <w:rsid w:val="00B42424"/>
    <w:rsid w:val="00B42759"/>
    <w:rsid w:val="00B43FD9"/>
    <w:rsid w:val="00B45137"/>
    <w:rsid w:val="00B47D05"/>
    <w:rsid w:val="00B66D93"/>
    <w:rsid w:val="00B701F6"/>
    <w:rsid w:val="00B7051F"/>
    <w:rsid w:val="00B709E5"/>
    <w:rsid w:val="00B71AE7"/>
    <w:rsid w:val="00B73700"/>
    <w:rsid w:val="00B73CD3"/>
    <w:rsid w:val="00B7663C"/>
    <w:rsid w:val="00B7768A"/>
    <w:rsid w:val="00B84109"/>
    <w:rsid w:val="00B86546"/>
    <w:rsid w:val="00B9549F"/>
    <w:rsid w:val="00B96921"/>
    <w:rsid w:val="00BA14CA"/>
    <w:rsid w:val="00BA300E"/>
    <w:rsid w:val="00BA37E7"/>
    <w:rsid w:val="00BA579C"/>
    <w:rsid w:val="00BA65A9"/>
    <w:rsid w:val="00BB3D5D"/>
    <w:rsid w:val="00BB64F4"/>
    <w:rsid w:val="00BC18E7"/>
    <w:rsid w:val="00BC23D9"/>
    <w:rsid w:val="00BC38D4"/>
    <w:rsid w:val="00BC41EA"/>
    <w:rsid w:val="00BC4B74"/>
    <w:rsid w:val="00BC4C7E"/>
    <w:rsid w:val="00BC6FAD"/>
    <w:rsid w:val="00BD41C0"/>
    <w:rsid w:val="00BD4DC1"/>
    <w:rsid w:val="00BE1CBE"/>
    <w:rsid w:val="00BE3062"/>
    <w:rsid w:val="00BE3B4E"/>
    <w:rsid w:val="00BE425C"/>
    <w:rsid w:val="00BE4C9F"/>
    <w:rsid w:val="00BE7383"/>
    <w:rsid w:val="00C00B79"/>
    <w:rsid w:val="00C020EC"/>
    <w:rsid w:val="00C02712"/>
    <w:rsid w:val="00C10103"/>
    <w:rsid w:val="00C12BD3"/>
    <w:rsid w:val="00C214AA"/>
    <w:rsid w:val="00C2231B"/>
    <w:rsid w:val="00C225FC"/>
    <w:rsid w:val="00C30E9F"/>
    <w:rsid w:val="00C33C1A"/>
    <w:rsid w:val="00C436D5"/>
    <w:rsid w:val="00C44304"/>
    <w:rsid w:val="00C45A61"/>
    <w:rsid w:val="00C50A89"/>
    <w:rsid w:val="00C55464"/>
    <w:rsid w:val="00C55606"/>
    <w:rsid w:val="00C558F1"/>
    <w:rsid w:val="00C56107"/>
    <w:rsid w:val="00C574D9"/>
    <w:rsid w:val="00C6154C"/>
    <w:rsid w:val="00C640F4"/>
    <w:rsid w:val="00C70C16"/>
    <w:rsid w:val="00C74456"/>
    <w:rsid w:val="00C74516"/>
    <w:rsid w:val="00C7715F"/>
    <w:rsid w:val="00C82CD2"/>
    <w:rsid w:val="00C904DE"/>
    <w:rsid w:val="00C95898"/>
    <w:rsid w:val="00C96B59"/>
    <w:rsid w:val="00CA12DB"/>
    <w:rsid w:val="00CA2DB4"/>
    <w:rsid w:val="00CA30EE"/>
    <w:rsid w:val="00CB75BE"/>
    <w:rsid w:val="00CC2369"/>
    <w:rsid w:val="00CD49D3"/>
    <w:rsid w:val="00CD6D1F"/>
    <w:rsid w:val="00CD7C0C"/>
    <w:rsid w:val="00CE691B"/>
    <w:rsid w:val="00CE7653"/>
    <w:rsid w:val="00CE7F65"/>
    <w:rsid w:val="00CF1B21"/>
    <w:rsid w:val="00CF3911"/>
    <w:rsid w:val="00CF47E2"/>
    <w:rsid w:val="00CF49BE"/>
    <w:rsid w:val="00D01C4A"/>
    <w:rsid w:val="00D02108"/>
    <w:rsid w:val="00D03D42"/>
    <w:rsid w:val="00D10BBC"/>
    <w:rsid w:val="00D129E5"/>
    <w:rsid w:val="00D319FA"/>
    <w:rsid w:val="00D33143"/>
    <w:rsid w:val="00D414B1"/>
    <w:rsid w:val="00D41A2F"/>
    <w:rsid w:val="00D45864"/>
    <w:rsid w:val="00D55169"/>
    <w:rsid w:val="00D71421"/>
    <w:rsid w:val="00D73953"/>
    <w:rsid w:val="00D75E3C"/>
    <w:rsid w:val="00D80C91"/>
    <w:rsid w:val="00D80F3C"/>
    <w:rsid w:val="00D834AC"/>
    <w:rsid w:val="00D85A59"/>
    <w:rsid w:val="00D92E13"/>
    <w:rsid w:val="00D93A28"/>
    <w:rsid w:val="00D95027"/>
    <w:rsid w:val="00DA418C"/>
    <w:rsid w:val="00DB439D"/>
    <w:rsid w:val="00DB5E63"/>
    <w:rsid w:val="00DC0B63"/>
    <w:rsid w:val="00DC28DD"/>
    <w:rsid w:val="00DC3396"/>
    <w:rsid w:val="00DD620E"/>
    <w:rsid w:val="00DD62D3"/>
    <w:rsid w:val="00DD707F"/>
    <w:rsid w:val="00DD7B5A"/>
    <w:rsid w:val="00DE19DC"/>
    <w:rsid w:val="00DF2281"/>
    <w:rsid w:val="00DF2FDE"/>
    <w:rsid w:val="00DF334A"/>
    <w:rsid w:val="00DF66BD"/>
    <w:rsid w:val="00E0181A"/>
    <w:rsid w:val="00E028AF"/>
    <w:rsid w:val="00E105A3"/>
    <w:rsid w:val="00E11B7B"/>
    <w:rsid w:val="00E12914"/>
    <w:rsid w:val="00E13FD1"/>
    <w:rsid w:val="00E1452B"/>
    <w:rsid w:val="00E201BD"/>
    <w:rsid w:val="00E210DB"/>
    <w:rsid w:val="00E255F0"/>
    <w:rsid w:val="00E272BD"/>
    <w:rsid w:val="00E30B11"/>
    <w:rsid w:val="00E3179D"/>
    <w:rsid w:val="00E330ED"/>
    <w:rsid w:val="00E346A0"/>
    <w:rsid w:val="00E37EDB"/>
    <w:rsid w:val="00E4335D"/>
    <w:rsid w:val="00E4674D"/>
    <w:rsid w:val="00E4734B"/>
    <w:rsid w:val="00E50681"/>
    <w:rsid w:val="00E53768"/>
    <w:rsid w:val="00E541E2"/>
    <w:rsid w:val="00E55C1A"/>
    <w:rsid w:val="00E56445"/>
    <w:rsid w:val="00E60419"/>
    <w:rsid w:val="00E64D8A"/>
    <w:rsid w:val="00E65888"/>
    <w:rsid w:val="00E961DD"/>
    <w:rsid w:val="00EA00F8"/>
    <w:rsid w:val="00EA39DF"/>
    <w:rsid w:val="00EB048F"/>
    <w:rsid w:val="00EB411C"/>
    <w:rsid w:val="00EB4168"/>
    <w:rsid w:val="00EB41B1"/>
    <w:rsid w:val="00EB4B3A"/>
    <w:rsid w:val="00EB70A3"/>
    <w:rsid w:val="00EC2EDC"/>
    <w:rsid w:val="00EC5193"/>
    <w:rsid w:val="00ED00F9"/>
    <w:rsid w:val="00ED25A4"/>
    <w:rsid w:val="00ED6213"/>
    <w:rsid w:val="00ED7057"/>
    <w:rsid w:val="00EE76C8"/>
    <w:rsid w:val="00EE7A0D"/>
    <w:rsid w:val="00EF1805"/>
    <w:rsid w:val="00EF1EEA"/>
    <w:rsid w:val="00EF66CF"/>
    <w:rsid w:val="00EF74EB"/>
    <w:rsid w:val="00F05D62"/>
    <w:rsid w:val="00F0643A"/>
    <w:rsid w:val="00F1742B"/>
    <w:rsid w:val="00F24640"/>
    <w:rsid w:val="00F251EE"/>
    <w:rsid w:val="00F25FF1"/>
    <w:rsid w:val="00F322BB"/>
    <w:rsid w:val="00F35421"/>
    <w:rsid w:val="00F42C89"/>
    <w:rsid w:val="00F432D3"/>
    <w:rsid w:val="00F459DC"/>
    <w:rsid w:val="00F5000F"/>
    <w:rsid w:val="00F555D1"/>
    <w:rsid w:val="00F61896"/>
    <w:rsid w:val="00F62CC0"/>
    <w:rsid w:val="00F676FA"/>
    <w:rsid w:val="00F7223F"/>
    <w:rsid w:val="00F72DA2"/>
    <w:rsid w:val="00F72DDA"/>
    <w:rsid w:val="00F72E1F"/>
    <w:rsid w:val="00F7312A"/>
    <w:rsid w:val="00F8137A"/>
    <w:rsid w:val="00F816CD"/>
    <w:rsid w:val="00F81F3C"/>
    <w:rsid w:val="00F94E8B"/>
    <w:rsid w:val="00FA27E3"/>
    <w:rsid w:val="00FB0CB1"/>
    <w:rsid w:val="00FC0265"/>
    <w:rsid w:val="00FC1B5E"/>
    <w:rsid w:val="00FD2841"/>
    <w:rsid w:val="00FD654E"/>
    <w:rsid w:val="00FD6F7C"/>
    <w:rsid w:val="00FE415E"/>
    <w:rsid w:val="00FF0375"/>
    <w:rsid w:val="00FF2309"/>
    <w:rsid w:val="00FF4840"/>
    <w:rsid w:val="00FF6727"/>
    <w:rsid w:val="01357F39"/>
    <w:rsid w:val="01C40E0B"/>
    <w:rsid w:val="01D31214"/>
    <w:rsid w:val="01D3123A"/>
    <w:rsid w:val="01E86305"/>
    <w:rsid w:val="01EA1863"/>
    <w:rsid w:val="02330063"/>
    <w:rsid w:val="0246197F"/>
    <w:rsid w:val="0287615A"/>
    <w:rsid w:val="028B3ADB"/>
    <w:rsid w:val="0295277A"/>
    <w:rsid w:val="03304250"/>
    <w:rsid w:val="034443F1"/>
    <w:rsid w:val="035D3297"/>
    <w:rsid w:val="036B7036"/>
    <w:rsid w:val="038A570F"/>
    <w:rsid w:val="03A502A7"/>
    <w:rsid w:val="03E30724"/>
    <w:rsid w:val="03EC0177"/>
    <w:rsid w:val="040845C6"/>
    <w:rsid w:val="04152B52"/>
    <w:rsid w:val="044E2BE0"/>
    <w:rsid w:val="048C54B6"/>
    <w:rsid w:val="049B2F10"/>
    <w:rsid w:val="04A4119D"/>
    <w:rsid w:val="04A863DD"/>
    <w:rsid w:val="04BD2E98"/>
    <w:rsid w:val="04DA7955"/>
    <w:rsid w:val="04E80917"/>
    <w:rsid w:val="04F308D2"/>
    <w:rsid w:val="053104D8"/>
    <w:rsid w:val="05322502"/>
    <w:rsid w:val="05351CA6"/>
    <w:rsid w:val="05393890"/>
    <w:rsid w:val="0548762F"/>
    <w:rsid w:val="05805F92"/>
    <w:rsid w:val="0584687C"/>
    <w:rsid w:val="0599432F"/>
    <w:rsid w:val="05C54F49"/>
    <w:rsid w:val="05E346CE"/>
    <w:rsid w:val="060B1104"/>
    <w:rsid w:val="065B5212"/>
    <w:rsid w:val="065D407D"/>
    <w:rsid w:val="06A70C98"/>
    <w:rsid w:val="06B61B93"/>
    <w:rsid w:val="06D03D80"/>
    <w:rsid w:val="070E034F"/>
    <w:rsid w:val="07414C7E"/>
    <w:rsid w:val="07495B79"/>
    <w:rsid w:val="07562ECD"/>
    <w:rsid w:val="07585D35"/>
    <w:rsid w:val="07752984"/>
    <w:rsid w:val="077A57C4"/>
    <w:rsid w:val="077E0924"/>
    <w:rsid w:val="07BD534B"/>
    <w:rsid w:val="07E8334B"/>
    <w:rsid w:val="08145EEF"/>
    <w:rsid w:val="08381BDD"/>
    <w:rsid w:val="085B58CB"/>
    <w:rsid w:val="0874001C"/>
    <w:rsid w:val="08986B20"/>
    <w:rsid w:val="08B576D2"/>
    <w:rsid w:val="08C77888"/>
    <w:rsid w:val="08D56193"/>
    <w:rsid w:val="09260C87"/>
    <w:rsid w:val="09525558"/>
    <w:rsid w:val="095A5B83"/>
    <w:rsid w:val="0960323B"/>
    <w:rsid w:val="09E774E6"/>
    <w:rsid w:val="09F61AD0"/>
    <w:rsid w:val="0A0F1D8D"/>
    <w:rsid w:val="0A145522"/>
    <w:rsid w:val="0A1A4236"/>
    <w:rsid w:val="0A233B87"/>
    <w:rsid w:val="0A2C5771"/>
    <w:rsid w:val="0A32494E"/>
    <w:rsid w:val="0A3E078F"/>
    <w:rsid w:val="0A5A289B"/>
    <w:rsid w:val="0A690774"/>
    <w:rsid w:val="0B634529"/>
    <w:rsid w:val="0B666A61"/>
    <w:rsid w:val="0B8F7D8B"/>
    <w:rsid w:val="0BBB2DCC"/>
    <w:rsid w:val="0C28640C"/>
    <w:rsid w:val="0C5965C6"/>
    <w:rsid w:val="0C852FA8"/>
    <w:rsid w:val="0CA85607"/>
    <w:rsid w:val="0CB70C04"/>
    <w:rsid w:val="0CE73BD2"/>
    <w:rsid w:val="0D351131"/>
    <w:rsid w:val="0D5D3E94"/>
    <w:rsid w:val="0DA442E1"/>
    <w:rsid w:val="0DF31E19"/>
    <w:rsid w:val="0E1C78AB"/>
    <w:rsid w:val="0E2A72D2"/>
    <w:rsid w:val="0E30158E"/>
    <w:rsid w:val="0E37352D"/>
    <w:rsid w:val="0E3B1F48"/>
    <w:rsid w:val="0E50525E"/>
    <w:rsid w:val="0E5C3E4A"/>
    <w:rsid w:val="0E7D6015"/>
    <w:rsid w:val="0E8D69FB"/>
    <w:rsid w:val="0F340C24"/>
    <w:rsid w:val="0F4E618A"/>
    <w:rsid w:val="0F6A6824"/>
    <w:rsid w:val="0F844707"/>
    <w:rsid w:val="0FF07241"/>
    <w:rsid w:val="10352EA6"/>
    <w:rsid w:val="10572BB3"/>
    <w:rsid w:val="10637618"/>
    <w:rsid w:val="10795489"/>
    <w:rsid w:val="108A4FA0"/>
    <w:rsid w:val="10A65B52"/>
    <w:rsid w:val="10CD35EA"/>
    <w:rsid w:val="11100A36"/>
    <w:rsid w:val="11204F9D"/>
    <w:rsid w:val="11B53A11"/>
    <w:rsid w:val="11ED1C8A"/>
    <w:rsid w:val="128E498E"/>
    <w:rsid w:val="12977E48"/>
    <w:rsid w:val="12AC38F3"/>
    <w:rsid w:val="12B97DBE"/>
    <w:rsid w:val="13AF4D1D"/>
    <w:rsid w:val="13B80076"/>
    <w:rsid w:val="13DF5603"/>
    <w:rsid w:val="143D1571"/>
    <w:rsid w:val="147026FF"/>
    <w:rsid w:val="147C5547"/>
    <w:rsid w:val="149E726C"/>
    <w:rsid w:val="15035321"/>
    <w:rsid w:val="15393438"/>
    <w:rsid w:val="154D4D90"/>
    <w:rsid w:val="158C50AE"/>
    <w:rsid w:val="15F2417C"/>
    <w:rsid w:val="16473933"/>
    <w:rsid w:val="165E23C1"/>
    <w:rsid w:val="168D3A3C"/>
    <w:rsid w:val="16920812"/>
    <w:rsid w:val="16BE63A5"/>
    <w:rsid w:val="16EB42BE"/>
    <w:rsid w:val="17390876"/>
    <w:rsid w:val="17D66D1D"/>
    <w:rsid w:val="18001862"/>
    <w:rsid w:val="184B14B9"/>
    <w:rsid w:val="185F31B6"/>
    <w:rsid w:val="18980476"/>
    <w:rsid w:val="189B076B"/>
    <w:rsid w:val="18EE7E86"/>
    <w:rsid w:val="18F123F8"/>
    <w:rsid w:val="190A7CF4"/>
    <w:rsid w:val="196A0064"/>
    <w:rsid w:val="19E778C5"/>
    <w:rsid w:val="19F65454"/>
    <w:rsid w:val="1A434CE6"/>
    <w:rsid w:val="1A6C1BBA"/>
    <w:rsid w:val="1A805517"/>
    <w:rsid w:val="1A911621"/>
    <w:rsid w:val="1AA844E4"/>
    <w:rsid w:val="1AC95309"/>
    <w:rsid w:val="1AED482B"/>
    <w:rsid w:val="1B27504D"/>
    <w:rsid w:val="1B6260CC"/>
    <w:rsid w:val="1B787C27"/>
    <w:rsid w:val="1B8E6A16"/>
    <w:rsid w:val="1BB630ED"/>
    <w:rsid w:val="1BC25F36"/>
    <w:rsid w:val="1BD34E66"/>
    <w:rsid w:val="1C062A6C"/>
    <w:rsid w:val="1C3C5A5F"/>
    <w:rsid w:val="1C634F91"/>
    <w:rsid w:val="1C655503"/>
    <w:rsid w:val="1C6B037B"/>
    <w:rsid w:val="1C7F545B"/>
    <w:rsid w:val="1C88041F"/>
    <w:rsid w:val="1C9571A6"/>
    <w:rsid w:val="1CBE152E"/>
    <w:rsid w:val="1CCA7EC2"/>
    <w:rsid w:val="1CD326F1"/>
    <w:rsid w:val="1CFD3CA0"/>
    <w:rsid w:val="1D0929C7"/>
    <w:rsid w:val="1D1C6BD1"/>
    <w:rsid w:val="1D633229"/>
    <w:rsid w:val="1DF60BCE"/>
    <w:rsid w:val="1E0B3CC6"/>
    <w:rsid w:val="1E3438BB"/>
    <w:rsid w:val="1E5135A1"/>
    <w:rsid w:val="1E5E7A6C"/>
    <w:rsid w:val="1E9D79B4"/>
    <w:rsid w:val="1EB75FC4"/>
    <w:rsid w:val="1ED41DDB"/>
    <w:rsid w:val="1EE6018D"/>
    <w:rsid w:val="1F2E743E"/>
    <w:rsid w:val="1F5570C1"/>
    <w:rsid w:val="1F666BD8"/>
    <w:rsid w:val="1FDF3FD0"/>
    <w:rsid w:val="1FE83A91"/>
    <w:rsid w:val="1FEE50AE"/>
    <w:rsid w:val="20254D46"/>
    <w:rsid w:val="206371A4"/>
    <w:rsid w:val="20655432"/>
    <w:rsid w:val="209D6559"/>
    <w:rsid w:val="20A35C0A"/>
    <w:rsid w:val="20DB53A4"/>
    <w:rsid w:val="20E73D48"/>
    <w:rsid w:val="2117081D"/>
    <w:rsid w:val="21817CF9"/>
    <w:rsid w:val="21C37134"/>
    <w:rsid w:val="21E464DA"/>
    <w:rsid w:val="21F37C34"/>
    <w:rsid w:val="22346EEE"/>
    <w:rsid w:val="223B434C"/>
    <w:rsid w:val="22431452"/>
    <w:rsid w:val="22432FD4"/>
    <w:rsid w:val="2251554A"/>
    <w:rsid w:val="22552F34"/>
    <w:rsid w:val="225A355F"/>
    <w:rsid w:val="2265384E"/>
    <w:rsid w:val="22B53BFC"/>
    <w:rsid w:val="23010991"/>
    <w:rsid w:val="2309269C"/>
    <w:rsid w:val="231D1CA3"/>
    <w:rsid w:val="236B0C61"/>
    <w:rsid w:val="2373573B"/>
    <w:rsid w:val="23983A20"/>
    <w:rsid w:val="239D2DE4"/>
    <w:rsid w:val="23A30EBB"/>
    <w:rsid w:val="23D17653"/>
    <w:rsid w:val="248D262D"/>
    <w:rsid w:val="24C0322E"/>
    <w:rsid w:val="24C4499A"/>
    <w:rsid w:val="24E011DB"/>
    <w:rsid w:val="25030CF8"/>
    <w:rsid w:val="25071CB1"/>
    <w:rsid w:val="252157F8"/>
    <w:rsid w:val="252C67BC"/>
    <w:rsid w:val="253A6130"/>
    <w:rsid w:val="257A33DD"/>
    <w:rsid w:val="25BB14F2"/>
    <w:rsid w:val="25E87DB6"/>
    <w:rsid w:val="262C2703"/>
    <w:rsid w:val="26577D78"/>
    <w:rsid w:val="265E0AC9"/>
    <w:rsid w:val="267E0CAB"/>
    <w:rsid w:val="26812549"/>
    <w:rsid w:val="26867B60"/>
    <w:rsid w:val="26920BFA"/>
    <w:rsid w:val="26A440C8"/>
    <w:rsid w:val="26D703BB"/>
    <w:rsid w:val="26DE7F7F"/>
    <w:rsid w:val="26FE299E"/>
    <w:rsid w:val="27027B2E"/>
    <w:rsid w:val="27374E33"/>
    <w:rsid w:val="27391F35"/>
    <w:rsid w:val="274E4B21"/>
    <w:rsid w:val="274F3656"/>
    <w:rsid w:val="275A1718"/>
    <w:rsid w:val="27742038"/>
    <w:rsid w:val="278E0E5A"/>
    <w:rsid w:val="27A449B4"/>
    <w:rsid w:val="27B02500"/>
    <w:rsid w:val="27BF4718"/>
    <w:rsid w:val="27DA6D2D"/>
    <w:rsid w:val="27DB7654"/>
    <w:rsid w:val="28083E50"/>
    <w:rsid w:val="280E0D94"/>
    <w:rsid w:val="28395610"/>
    <w:rsid w:val="284E0B51"/>
    <w:rsid w:val="28513664"/>
    <w:rsid w:val="28600DED"/>
    <w:rsid w:val="28810F26"/>
    <w:rsid w:val="28A349F9"/>
    <w:rsid w:val="28C46267"/>
    <w:rsid w:val="28D454C5"/>
    <w:rsid w:val="28DC7F0B"/>
    <w:rsid w:val="290F02E0"/>
    <w:rsid w:val="293A6180"/>
    <w:rsid w:val="2957168B"/>
    <w:rsid w:val="2957306E"/>
    <w:rsid w:val="29583A35"/>
    <w:rsid w:val="295D104C"/>
    <w:rsid w:val="297C64FE"/>
    <w:rsid w:val="29A4278B"/>
    <w:rsid w:val="29A7676B"/>
    <w:rsid w:val="2A742AF1"/>
    <w:rsid w:val="2A752F2D"/>
    <w:rsid w:val="2AA946BA"/>
    <w:rsid w:val="2AC375C8"/>
    <w:rsid w:val="2AED4651"/>
    <w:rsid w:val="2B141BDE"/>
    <w:rsid w:val="2B1E0CAF"/>
    <w:rsid w:val="2B287437"/>
    <w:rsid w:val="2B4F3D2D"/>
    <w:rsid w:val="2B634913"/>
    <w:rsid w:val="2BA03472"/>
    <w:rsid w:val="2BAD74A0"/>
    <w:rsid w:val="2BBC0493"/>
    <w:rsid w:val="2C1B2CF0"/>
    <w:rsid w:val="2C245E51"/>
    <w:rsid w:val="2C402155"/>
    <w:rsid w:val="2C68541E"/>
    <w:rsid w:val="2C6B1CD2"/>
    <w:rsid w:val="2CD87B02"/>
    <w:rsid w:val="2CE974BF"/>
    <w:rsid w:val="2CEE0A10"/>
    <w:rsid w:val="2D2B3D46"/>
    <w:rsid w:val="2D5C786C"/>
    <w:rsid w:val="2D6828FA"/>
    <w:rsid w:val="2DE86428"/>
    <w:rsid w:val="2E232138"/>
    <w:rsid w:val="2E4C5FB5"/>
    <w:rsid w:val="2E4E18AB"/>
    <w:rsid w:val="2E830C41"/>
    <w:rsid w:val="2E8452CD"/>
    <w:rsid w:val="2EA66FF1"/>
    <w:rsid w:val="2ECF27B5"/>
    <w:rsid w:val="2EE105F2"/>
    <w:rsid w:val="2F0B6A77"/>
    <w:rsid w:val="2F7075FF"/>
    <w:rsid w:val="2F77513E"/>
    <w:rsid w:val="2F8D6403"/>
    <w:rsid w:val="2FF712C7"/>
    <w:rsid w:val="30015C21"/>
    <w:rsid w:val="300C2463"/>
    <w:rsid w:val="305E56A9"/>
    <w:rsid w:val="309D7845"/>
    <w:rsid w:val="30A42127"/>
    <w:rsid w:val="30D2730A"/>
    <w:rsid w:val="31184882"/>
    <w:rsid w:val="3129272A"/>
    <w:rsid w:val="312952CD"/>
    <w:rsid w:val="312F4B27"/>
    <w:rsid w:val="317156CC"/>
    <w:rsid w:val="31B92702"/>
    <w:rsid w:val="31E4684D"/>
    <w:rsid w:val="321B48D9"/>
    <w:rsid w:val="323B6109"/>
    <w:rsid w:val="32402E63"/>
    <w:rsid w:val="329F26D5"/>
    <w:rsid w:val="32CD2419"/>
    <w:rsid w:val="33204A51"/>
    <w:rsid w:val="333F17C2"/>
    <w:rsid w:val="334262C3"/>
    <w:rsid w:val="3344096D"/>
    <w:rsid w:val="335E56A9"/>
    <w:rsid w:val="337A0999"/>
    <w:rsid w:val="338D18E9"/>
    <w:rsid w:val="339733AC"/>
    <w:rsid w:val="33C62222"/>
    <w:rsid w:val="340978C3"/>
    <w:rsid w:val="340F0534"/>
    <w:rsid w:val="342F5CDB"/>
    <w:rsid w:val="343B1EFA"/>
    <w:rsid w:val="348002E4"/>
    <w:rsid w:val="34977E10"/>
    <w:rsid w:val="34D0301A"/>
    <w:rsid w:val="34E404B6"/>
    <w:rsid w:val="34FA3BF3"/>
    <w:rsid w:val="35337105"/>
    <w:rsid w:val="35511847"/>
    <w:rsid w:val="357F21C9"/>
    <w:rsid w:val="35821545"/>
    <w:rsid w:val="35AF7D82"/>
    <w:rsid w:val="35B02E16"/>
    <w:rsid w:val="35F05BDE"/>
    <w:rsid w:val="36162CAE"/>
    <w:rsid w:val="3624433A"/>
    <w:rsid w:val="36B81A07"/>
    <w:rsid w:val="36BC7A7B"/>
    <w:rsid w:val="36D641EB"/>
    <w:rsid w:val="36E02DC9"/>
    <w:rsid w:val="36F6663C"/>
    <w:rsid w:val="37197DF1"/>
    <w:rsid w:val="37447FD1"/>
    <w:rsid w:val="375635A2"/>
    <w:rsid w:val="37681CF2"/>
    <w:rsid w:val="37695060"/>
    <w:rsid w:val="37696C61"/>
    <w:rsid w:val="37751C56"/>
    <w:rsid w:val="378974B0"/>
    <w:rsid w:val="37CB57BF"/>
    <w:rsid w:val="38043829"/>
    <w:rsid w:val="38341A0A"/>
    <w:rsid w:val="3847606F"/>
    <w:rsid w:val="384D2BD3"/>
    <w:rsid w:val="38543F62"/>
    <w:rsid w:val="389E342F"/>
    <w:rsid w:val="38A40429"/>
    <w:rsid w:val="38E67B0C"/>
    <w:rsid w:val="38E726E0"/>
    <w:rsid w:val="38F0217A"/>
    <w:rsid w:val="39237490"/>
    <w:rsid w:val="394803DD"/>
    <w:rsid w:val="395B1F09"/>
    <w:rsid w:val="3986014B"/>
    <w:rsid w:val="39A01A02"/>
    <w:rsid w:val="39BE57C7"/>
    <w:rsid w:val="39CA26E2"/>
    <w:rsid w:val="39CE564E"/>
    <w:rsid w:val="39DA3FF3"/>
    <w:rsid w:val="39E81075"/>
    <w:rsid w:val="39ED0413"/>
    <w:rsid w:val="3A124C1B"/>
    <w:rsid w:val="3A2040D9"/>
    <w:rsid w:val="3A3345B9"/>
    <w:rsid w:val="3A5B7D34"/>
    <w:rsid w:val="3A654204"/>
    <w:rsid w:val="3A685AA2"/>
    <w:rsid w:val="3A712BA9"/>
    <w:rsid w:val="3A830C55"/>
    <w:rsid w:val="3ACA62D6"/>
    <w:rsid w:val="3AD1189A"/>
    <w:rsid w:val="3AD6739C"/>
    <w:rsid w:val="3ADE3FB6"/>
    <w:rsid w:val="3AE3204D"/>
    <w:rsid w:val="3B0A4DAB"/>
    <w:rsid w:val="3B0C0B24"/>
    <w:rsid w:val="3B293E99"/>
    <w:rsid w:val="3B334F0C"/>
    <w:rsid w:val="3B335B15"/>
    <w:rsid w:val="3B375D87"/>
    <w:rsid w:val="3B6054CE"/>
    <w:rsid w:val="3B91120F"/>
    <w:rsid w:val="3BDA652C"/>
    <w:rsid w:val="3C261162"/>
    <w:rsid w:val="3C2F30FE"/>
    <w:rsid w:val="3C406CD7"/>
    <w:rsid w:val="3C464EC8"/>
    <w:rsid w:val="3C541977"/>
    <w:rsid w:val="3C7F0E81"/>
    <w:rsid w:val="3CBA0C52"/>
    <w:rsid w:val="3CDB5E9F"/>
    <w:rsid w:val="3CE21B3C"/>
    <w:rsid w:val="3CE96FA9"/>
    <w:rsid w:val="3CEC4769"/>
    <w:rsid w:val="3D111649"/>
    <w:rsid w:val="3D3A3551"/>
    <w:rsid w:val="3D596FD3"/>
    <w:rsid w:val="3D624A2B"/>
    <w:rsid w:val="3D7665A7"/>
    <w:rsid w:val="3DA46DF1"/>
    <w:rsid w:val="3DBB238D"/>
    <w:rsid w:val="3DC01751"/>
    <w:rsid w:val="3DDC4C4A"/>
    <w:rsid w:val="3ED90D1D"/>
    <w:rsid w:val="3F152FAD"/>
    <w:rsid w:val="3F5A4ECA"/>
    <w:rsid w:val="3F7F260A"/>
    <w:rsid w:val="3FA330D9"/>
    <w:rsid w:val="3FC165DA"/>
    <w:rsid w:val="3FED0625"/>
    <w:rsid w:val="3FF57DD8"/>
    <w:rsid w:val="406665E0"/>
    <w:rsid w:val="40A92971"/>
    <w:rsid w:val="40ED2B5F"/>
    <w:rsid w:val="40FC6F44"/>
    <w:rsid w:val="41265D6F"/>
    <w:rsid w:val="41432F6C"/>
    <w:rsid w:val="415E19AD"/>
    <w:rsid w:val="418238EE"/>
    <w:rsid w:val="418A0187"/>
    <w:rsid w:val="418C03D5"/>
    <w:rsid w:val="419A5C22"/>
    <w:rsid w:val="41CC2DBB"/>
    <w:rsid w:val="41F67E38"/>
    <w:rsid w:val="425B7C9B"/>
    <w:rsid w:val="425D7EB7"/>
    <w:rsid w:val="427C033D"/>
    <w:rsid w:val="42F535E1"/>
    <w:rsid w:val="431605DB"/>
    <w:rsid w:val="4326474D"/>
    <w:rsid w:val="433F1AF1"/>
    <w:rsid w:val="4381022E"/>
    <w:rsid w:val="43A50901"/>
    <w:rsid w:val="43E73EDC"/>
    <w:rsid w:val="4435362E"/>
    <w:rsid w:val="443F1622"/>
    <w:rsid w:val="445157F9"/>
    <w:rsid w:val="44A91191"/>
    <w:rsid w:val="44EF6789"/>
    <w:rsid w:val="44F41510"/>
    <w:rsid w:val="451D79BE"/>
    <w:rsid w:val="45450F28"/>
    <w:rsid w:val="45695656"/>
    <w:rsid w:val="45765517"/>
    <w:rsid w:val="45965BB9"/>
    <w:rsid w:val="45D472F0"/>
    <w:rsid w:val="45EA380F"/>
    <w:rsid w:val="46073E11"/>
    <w:rsid w:val="463D487F"/>
    <w:rsid w:val="46AD5A47"/>
    <w:rsid w:val="46C55542"/>
    <w:rsid w:val="46C819B0"/>
    <w:rsid w:val="46D32B76"/>
    <w:rsid w:val="46F33785"/>
    <w:rsid w:val="46F96400"/>
    <w:rsid w:val="471425D5"/>
    <w:rsid w:val="47153174"/>
    <w:rsid w:val="471F1EF1"/>
    <w:rsid w:val="4727514F"/>
    <w:rsid w:val="474B6530"/>
    <w:rsid w:val="478B2ADB"/>
    <w:rsid w:val="47BE38F4"/>
    <w:rsid w:val="47D429C9"/>
    <w:rsid w:val="47ED4A81"/>
    <w:rsid w:val="481C6FDF"/>
    <w:rsid w:val="483752B6"/>
    <w:rsid w:val="484B68ED"/>
    <w:rsid w:val="48904B42"/>
    <w:rsid w:val="4898765F"/>
    <w:rsid w:val="489B5295"/>
    <w:rsid w:val="48B16866"/>
    <w:rsid w:val="48CB063F"/>
    <w:rsid w:val="496C5022"/>
    <w:rsid w:val="497C6E74"/>
    <w:rsid w:val="49CF42B2"/>
    <w:rsid w:val="49F20EE5"/>
    <w:rsid w:val="4A0F46DA"/>
    <w:rsid w:val="4A4C4A99"/>
    <w:rsid w:val="4A6F69D9"/>
    <w:rsid w:val="4A9106FD"/>
    <w:rsid w:val="4AE47DFD"/>
    <w:rsid w:val="4B09298A"/>
    <w:rsid w:val="4B143967"/>
    <w:rsid w:val="4B1B446B"/>
    <w:rsid w:val="4B3814C1"/>
    <w:rsid w:val="4B476E53"/>
    <w:rsid w:val="4BC4694F"/>
    <w:rsid w:val="4C3B4DC5"/>
    <w:rsid w:val="4C453E95"/>
    <w:rsid w:val="4CB933F8"/>
    <w:rsid w:val="4CD52027"/>
    <w:rsid w:val="4D147A2B"/>
    <w:rsid w:val="4D221AE1"/>
    <w:rsid w:val="4D2C28F2"/>
    <w:rsid w:val="4D5D0D6B"/>
    <w:rsid w:val="4D846991"/>
    <w:rsid w:val="4DA5326F"/>
    <w:rsid w:val="4DED20EF"/>
    <w:rsid w:val="4E8011B5"/>
    <w:rsid w:val="4E861BA1"/>
    <w:rsid w:val="4E915170"/>
    <w:rsid w:val="4E98223B"/>
    <w:rsid w:val="4E992558"/>
    <w:rsid w:val="4EB35870"/>
    <w:rsid w:val="4EBD4210"/>
    <w:rsid w:val="4ED84B4D"/>
    <w:rsid w:val="4F3F1822"/>
    <w:rsid w:val="4FB82BD0"/>
    <w:rsid w:val="4FD356B3"/>
    <w:rsid w:val="4FE614EB"/>
    <w:rsid w:val="50047BC4"/>
    <w:rsid w:val="50330BC6"/>
    <w:rsid w:val="50345CC9"/>
    <w:rsid w:val="50412BC6"/>
    <w:rsid w:val="50483F54"/>
    <w:rsid w:val="505B6584"/>
    <w:rsid w:val="5080549C"/>
    <w:rsid w:val="5083589F"/>
    <w:rsid w:val="508F3931"/>
    <w:rsid w:val="50A13664"/>
    <w:rsid w:val="50CF1F80"/>
    <w:rsid w:val="50E61077"/>
    <w:rsid w:val="512F6EC2"/>
    <w:rsid w:val="513B4893"/>
    <w:rsid w:val="513B6904"/>
    <w:rsid w:val="51864860"/>
    <w:rsid w:val="51A753BA"/>
    <w:rsid w:val="51FB48DF"/>
    <w:rsid w:val="51FF4AE6"/>
    <w:rsid w:val="52037D52"/>
    <w:rsid w:val="52075749"/>
    <w:rsid w:val="520A1FAA"/>
    <w:rsid w:val="521D51BC"/>
    <w:rsid w:val="522B7D04"/>
    <w:rsid w:val="524B7790"/>
    <w:rsid w:val="527252B8"/>
    <w:rsid w:val="52D62630"/>
    <w:rsid w:val="52E31D12"/>
    <w:rsid w:val="536A41E2"/>
    <w:rsid w:val="53901E9A"/>
    <w:rsid w:val="539C07A0"/>
    <w:rsid w:val="53CE7C90"/>
    <w:rsid w:val="54026979"/>
    <w:rsid w:val="545804DE"/>
    <w:rsid w:val="549C03CB"/>
    <w:rsid w:val="54BC281B"/>
    <w:rsid w:val="55097BDE"/>
    <w:rsid w:val="55320D2F"/>
    <w:rsid w:val="555B73CE"/>
    <w:rsid w:val="55807CEC"/>
    <w:rsid w:val="55853555"/>
    <w:rsid w:val="5596306C"/>
    <w:rsid w:val="55CA0F67"/>
    <w:rsid w:val="55D134A0"/>
    <w:rsid w:val="56262642"/>
    <w:rsid w:val="56304905"/>
    <w:rsid w:val="564B654C"/>
    <w:rsid w:val="565B2DC4"/>
    <w:rsid w:val="56920367"/>
    <w:rsid w:val="56D71B8E"/>
    <w:rsid w:val="571526B6"/>
    <w:rsid w:val="571701DC"/>
    <w:rsid w:val="573B4B4C"/>
    <w:rsid w:val="577D1BF4"/>
    <w:rsid w:val="57BB04F2"/>
    <w:rsid w:val="58006107"/>
    <w:rsid w:val="58053A86"/>
    <w:rsid w:val="583F286A"/>
    <w:rsid w:val="584C17BA"/>
    <w:rsid w:val="587F428B"/>
    <w:rsid w:val="58A113E1"/>
    <w:rsid w:val="58B8511B"/>
    <w:rsid w:val="58CB74D0"/>
    <w:rsid w:val="58D520FD"/>
    <w:rsid w:val="58F05189"/>
    <w:rsid w:val="590E123D"/>
    <w:rsid w:val="5991071A"/>
    <w:rsid w:val="59A93F65"/>
    <w:rsid w:val="59AE4DC8"/>
    <w:rsid w:val="59E41FE5"/>
    <w:rsid w:val="59EA7E2A"/>
    <w:rsid w:val="59F9006D"/>
    <w:rsid w:val="5A185B09"/>
    <w:rsid w:val="5A1E1882"/>
    <w:rsid w:val="5A7F6A33"/>
    <w:rsid w:val="5AC02081"/>
    <w:rsid w:val="5AD92379"/>
    <w:rsid w:val="5AF36148"/>
    <w:rsid w:val="5B0020F8"/>
    <w:rsid w:val="5B007C7C"/>
    <w:rsid w:val="5B3A6B8F"/>
    <w:rsid w:val="5B6D0D13"/>
    <w:rsid w:val="5B6F4A8B"/>
    <w:rsid w:val="5B70064E"/>
    <w:rsid w:val="5BA6536C"/>
    <w:rsid w:val="5BB47AC3"/>
    <w:rsid w:val="5BE5705B"/>
    <w:rsid w:val="5C196AA2"/>
    <w:rsid w:val="5C1B42CB"/>
    <w:rsid w:val="5C4F3F3D"/>
    <w:rsid w:val="5C6553CB"/>
    <w:rsid w:val="5C7C2F83"/>
    <w:rsid w:val="5C862F57"/>
    <w:rsid w:val="5C9B04E1"/>
    <w:rsid w:val="5CBF575D"/>
    <w:rsid w:val="5CC81D7B"/>
    <w:rsid w:val="5CCA4AFD"/>
    <w:rsid w:val="5D380EAD"/>
    <w:rsid w:val="5D532ABC"/>
    <w:rsid w:val="5D7D7A47"/>
    <w:rsid w:val="5D8D36EA"/>
    <w:rsid w:val="5DEB2559"/>
    <w:rsid w:val="5E38265A"/>
    <w:rsid w:val="5E87020C"/>
    <w:rsid w:val="5E9860A7"/>
    <w:rsid w:val="5EEA632D"/>
    <w:rsid w:val="5EF01BE5"/>
    <w:rsid w:val="5EF3102B"/>
    <w:rsid w:val="5F27742B"/>
    <w:rsid w:val="5F3833E6"/>
    <w:rsid w:val="5F395BB5"/>
    <w:rsid w:val="5F434264"/>
    <w:rsid w:val="5F583601"/>
    <w:rsid w:val="5F627120"/>
    <w:rsid w:val="5FC77672"/>
    <w:rsid w:val="5FD838E2"/>
    <w:rsid w:val="5FF26453"/>
    <w:rsid w:val="60172FFB"/>
    <w:rsid w:val="60583D40"/>
    <w:rsid w:val="60A70BF0"/>
    <w:rsid w:val="60DE67CE"/>
    <w:rsid w:val="60E23212"/>
    <w:rsid w:val="612001AD"/>
    <w:rsid w:val="61574597"/>
    <w:rsid w:val="616063D4"/>
    <w:rsid w:val="61B054B5"/>
    <w:rsid w:val="61D4389A"/>
    <w:rsid w:val="61E961F7"/>
    <w:rsid w:val="61F316F6"/>
    <w:rsid w:val="6200643D"/>
    <w:rsid w:val="621E68C3"/>
    <w:rsid w:val="623768E6"/>
    <w:rsid w:val="623C56A9"/>
    <w:rsid w:val="625C664B"/>
    <w:rsid w:val="625F0414"/>
    <w:rsid w:val="62607F5D"/>
    <w:rsid w:val="62814BC5"/>
    <w:rsid w:val="62CA57ED"/>
    <w:rsid w:val="62DD39C2"/>
    <w:rsid w:val="62F70A87"/>
    <w:rsid w:val="62F94BC9"/>
    <w:rsid w:val="630D54F4"/>
    <w:rsid w:val="63436C5F"/>
    <w:rsid w:val="63584057"/>
    <w:rsid w:val="63806A4E"/>
    <w:rsid w:val="639D49EB"/>
    <w:rsid w:val="63E547BF"/>
    <w:rsid w:val="64030141"/>
    <w:rsid w:val="640E2967"/>
    <w:rsid w:val="641E1DD0"/>
    <w:rsid w:val="64216B3E"/>
    <w:rsid w:val="64503907"/>
    <w:rsid w:val="646709F5"/>
    <w:rsid w:val="646B7DB9"/>
    <w:rsid w:val="64992502"/>
    <w:rsid w:val="64A335B4"/>
    <w:rsid w:val="64C64FF0"/>
    <w:rsid w:val="65064BCC"/>
    <w:rsid w:val="655B7E2E"/>
    <w:rsid w:val="658B79BE"/>
    <w:rsid w:val="65AE3E74"/>
    <w:rsid w:val="65B74552"/>
    <w:rsid w:val="65DF280D"/>
    <w:rsid w:val="66024383"/>
    <w:rsid w:val="662B5A52"/>
    <w:rsid w:val="662C40AE"/>
    <w:rsid w:val="66837C82"/>
    <w:rsid w:val="66A11AEE"/>
    <w:rsid w:val="66AF21DF"/>
    <w:rsid w:val="66F61D60"/>
    <w:rsid w:val="670F2C7E"/>
    <w:rsid w:val="672F43AB"/>
    <w:rsid w:val="679461D1"/>
    <w:rsid w:val="67A7385D"/>
    <w:rsid w:val="67D31EFE"/>
    <w:rsid w:val="682510D2"/>
    <w:rsid w:val="6874548F"/>
    <w:rsid w:val="68752A04"/>
    <w:rsid w:val="68BC0BE4"/>
    <w:rsid w:val="68DB72BC"/>
    <w:rsid w:val="693E5A9D"/>
    <w:rsid w:val="69455516"/>
    <w:rsid w:val="69592FFE"/>
    <w:rsid w:val="695F24A3"/>
    <w:rsid w:val="69A649C3"/>
    <w:rsid w:val="69D635A7"/>
    <w:rsid w:val="69F47E78"/>
    <w:rsid w:val="6A335EA2"/>
    <w:rsid w:val="6A63713F"/>
    <w:rsid w:val="6A694D9B"/>
    <w:rsid w:val="6A696B49"/>
    <w:rsid w:val="6AAC4ADD"/>
    <w:rsid w:val="6AEA5E8C"/>
    <w:rsid w:val="6B4E0049"/>
    <w:rsid w:val="6B5C045C"/>
    <w:rsid w:val="6BDB56B5"/>
    <w:rsid w:val="6BF63BEE"/>
    <w:rsid w:val="6BFF7229"/>
    <w:rsid w:val="6C4038DA"/>
    <w:rsid w:val="6C8E2897"/>
    <w:rsid w:val="6CDD26EE"/>
    <w:rsid w:val="6CDF3005"/>
    <w:rsid w:val="6CE027E4"/>
    <w:rsid w:val="6CE93F71"/>
    <w:rsid w:val="6CF272CA"/>
    <w:rsid w:val="6D354110"/>
    <w:rsid w:val="6D4B2536"/>
    <w:rsid w:val="6D7565B3"/>
    <w:rsid w:val="6DC8529E"/>
    <w:rsid w:val="6DE457F5"/>
    <w:rsid w:val="6E0F5663"/>
    <w:rsid w:val="6E187783"/>
    <w:rsid w:val="6EAE0FCF"/>
    <w:rsid w:val="6EB64A32"/>
    <w:rsid w:val="6FD6407F"/>
    <w:rsid w:val="7000585A"/>
    <w:rsid w:val="70386C15"/>
    <w:rsid w:val="706643A1"/>
    <w:rsid w:val="707D50FC"/>
    <w:rsid w:val="70D6480D"/>
    <w:rsid w:val="7156518D"/>
    <w:rsid w:val="71754A5F"/>
    <w:rsid w:val="71A01B77"/>
    <w:rsid w:val="71C22A1B"/>
    <w:rsid w:val="722021E3"/>
    <w:rsid w:val="727E6F0A"/>
    <w:rsid w:val="72C842AA"/>
    <w:rsid w:val="73124222"/>
    <w:rsid w:val="73773AB1"/>
    <w:rsid w:val="73F97190"/>
    <w:rsid w:val="73FB4CB6"/>
    <w:rsid w:val="74514836"/>
    <w:rsid w:val="747B7BA5"/>
    <w:rsid w:val="7495078E"/>
    <w:rsid w:val="74DA13C4"/>
    <w:rsid w:val="74DD616A"/>
    <w:rsid w:val="758236C9"/>
    <w:rsid w:val="75A44ED9"/>
    <w:rsid w:val="75AC70D5"/>
    <w:rsid w:val="75BA46FD"/>
    <w:rsid w:val="75D82E83"/>
    <w:rsid w:val="75D91271"/>
    <w:rsid w:val="75E76DDB"/>
    <w:rsid w:val="75F05AFC"/>
    <w:rsid w:val="760A11E0"/>
    <w:rsid w:val="764B5214"/>
    <w:rsid w:val="76A8549A"/>
    <w:rsid w:val="76CD220E"/>
    <w:rsid w:val="76DE0A9F"/>
    <w:rsid w:val="76F601FD"/>
    <w:rsid w:val="76F93003"/>
    <w:rsid w:val="774921DC"/>
    <w:rsid w:val="776250B1"/>
    <w:rsid w:val="78347970"/>
    <w:rsid w:val="784B3FF3"/>
    <w:rsid w:val="78544995"/>
    <w:rsid w:val="78611500"/>
    <w:rsid w:val="786F609A"/>
    <w:rsid w:val="788A03B6"/>
    <w:rsid w:val="78BA61D2"/>
    <w:rsid w:val="7905596E"/>
    <w:rsid w:val="792720A9"/>
    <w:rsid w:val="797352EE"/>
    <w:rsid w:val="799E7144"/>
    <w:rsid w:val="79C34A2D"/>
    <w:rsid w:val="79C922CD"/>
    <w:rsid w:val="79CD2C51"/>
    <w:rsid w:val="79FF3026"/>
    <w:rsid w:val="7A0045A8"/>
    <w:rsid w:val="7A1545F8"/>
    <w:rsid w:val="7A4A0E63"/>
    <w:rsid w:val="7A610EEE"/>
    <w:rsid w:val="7A635363"/>
    <w:rsid w:val="7A6F2EF4"/>
    <w:rsid w:val="7A967758"/>
    <w:rsid w:val="7A996FD7"/>
    <w:rsid w:val="7AC6403B"/>
    <w:rsid w:val="7AE600D4"/>
    <w:rsid w:val="7B0922E5"/>
    <w:rsid w:val="7B1C3CFE"/>
    <w:rsid w:val="7B305F9F"/>
    <w:rsid w:val="7B5A4DD2"/>
    <w:rsid w:val="7B5A516D"/>
    <w:rsid w:val="7BB06386"/>
    <w:rsid w:val="7BC053F6"/>
    <w:rsid w:val="7BCB1412"/>
    <w:rsid w:val="7C035E38"/>
    <w:rsid w:val="7C1446CD"/>
    <w:rsid w:val="7C4E5B9F"/>
    <w:rsid w:val="7C6E1BB1"/>
    <w:rsid w:val="7C790E6E"/>
    <w:rsid w:val="7C9E6B26"/>
    <w:rsid w:val="7CB2612E"/>
    <w:rsid w:val="7CDD6FB6"/>
    <w:rsid w:val="7D1076EC"/>
    <w:rsid w:val="7D4D68A0"/>
    <w:rsid w:val="7D975557"/>
    <w:rsid w:val="7DAC5273"/>
    <w:rsid w:val="7DD00F61"/>
    <w:rsid w:val="7E176B90"/>
    <w:rsid w:val="7E1F5A45"/>
    <w:rsid w:val="7E442E82"/>
    <w:rsid w:val="7E7946EC"/>
    <w:rsid w:val="7EF245A9"/>
    <w:rsid w:val="7F1A7271"/>
    <w:rsid w:val="7F297BB6"/>
    <w:rsid w:val="7F2B5EA7"/>
    <w:rsid w:val="7F5578B1"/>
    <w:rsid w:val="7FBF128D"/>
    <w:rsid w:val="7FE74CF3"/>
    <w:rsid w:val="7FF854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nhideWhenUsed="0" w:uiPriority="0" w:semiHidden="0" w:name="List"/>
    <w:lsdException w:qFormat="1"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qFormat="1"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name="Message Header"/>
    <w:lsdException w:qFormat="1" w:unhideWhenUsed="0" w:uiPriority="11" w:semiHidden="0" w:name="Subtitle"/>
    <w:lsdException w:qFormat="1" w:unhideWhenUsed="0" w:uiPriority="0" w:name="Salutation"/>
    <w:lsdException w:qFormat="1"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heme="minorHAnsi" w:hAnsiTheme="minorHAnsi" w:eastAsiaTheme="minorEastAsia" w:cstheme="minorBidi"/>
      <w:kern w:val="2"/>
      <w:sz w:val="24"/>
      <w:szCs w:val="22"/>
      <w:lang w:val="en-US" w:eastAsia="zh-CN" w:bidi="ar-SA"/>
    </w:rPr>
  </w:style>
  <w:style w:type="paragraph" w:styleId="3">
    <w:name w:val="heading 1"/>
    <w:basedOn w:val="1"/>
    <w:next w:val="1"/>
    <w:link w:val="54"/>
    <w:qFormat/>
    <w:uiPriority w:val="9"/>
    <w:pPr>
      <w:keepNext/>
      <w:keepLines/>
      <w:spacing w:before="340" w:after="340" w:line="240" w:lineRule="auto"/>
      <w:ind w:firstLine="0" w:firstLineChars="0"/>
      <w:outlineLvl w:val="0"/>
    </w:pPr>
    <w:rPr>
      <w:rFonts w:ascii="宋体" w:hAnsi="宋体" w:eastAsia="宋体"/>
      <w:b/>
      <w:bCs/>
      <w:kern w:val="44"/>
      <w:sz w:val="32"/>
      <w:szCs w:val="44"/>
    </w:rPr>
  </w:style>
  <w:style w:type="paragraph" w:styleId="4">
    <w:name w:val="heading 2"/>
    <w:basedOn w:val="1"/>
    <w:next w:val="5"/>
    <w:link w:val="55"/>
    <w:unhideWhenUsed/>
    <w:qFormat/>
    <w:uiPriority w:val="9"/>
    <w:pPr>
      <w:keepNext/>
      <w:keepLines/>
      <w:spacing w:before="200" w:after="200" w:line="240" w:lineRule="auto"/>
      <w:ind w:firstLine="0" w:firstLineChars="0"/>
      <w:outlineLvl w:val="1"/>
    </w:pPr>
    <w:rPr>
      <w:rFonts w:ascii="宋体" w:hAnsi="宋体" w:eastAsia="宋体" w:cstheme="majorBidi"/>
      <w:sz w:val="30"/>
      <w:szCs w:val="30"/>
    </w:rPr>
  </w:style>
  <w:style w:type="paragraph" w:styleId="6">
    <w:name w:val="heading 3"/>
    <w:basedOn w:val="1"/>
    <w:next w:val="5"/>
    <w:link w:val="56"/>
    <w:unhideWhenUsed/>
    <w:qFormat/>
    <w:uiPriority w:val="9"/>
    <w:pPr>
      <w:keepNext/>
      <w:keepLines/>
      <w:spacing w:before="100" w:after="100" w:line="240" w:lineRule="auto"/>
      <w:ind w:firstLine="0" w:firstLineChars="0"/>
      <w:outlineLvl w:val="2"/>
    </w:pPr>
    <w:rPr>
      <w:rFonts w:ascii="宋体" w:hAnsi="宋体" w:eastAsia="宋体"/>
      <w:b/>
      <w:bCs/>
      <w:sz w:val="28"/>
      <w:szCs w:val="28"/>
    </w:rPr>
  </w:style>
  <w:style w:type="paragraph" w:styleId="7">
    <w:name w:val="heading 4"/>
    <w:basedOn w:val="1"/>
    <w:next w:val="1"/>
    <w:link w:val="57"/>
    <w:unhideWhenUsed/>
    <w:qFormat/>
    <w:uiPriority w:val="9"/>
    <w:pPr>
      <w:keepNext/>
      <w:keepLines/>
      <w:spacing w:line="360" w:lineRule="auto"/>
      <w:ind w:firstLine="0" w:firstLineChars="0"/>
      <w:outlineLvl w:val="3"/>
    </w:pPr>
    <w:rPr>
      <w:rFonts w:ascii="宋体" w:hAnsi="宋体" w:eastAsia="宋体" w:cstheme="majorBidi"/>
      <w:b/>
      <w:bCs/>
      <w:sz w:val="24"/>
      <w:szCs w:val="24"/>
    </w:rPr>
  </w:style>
  <w:style w:type="paragraph" w:styleId="8">
    <w:name w:val="heading 6"/>
    <w:basedOn w:val="1"/>
    <w:next w:val="1"/>
    <w:link w:val="85"/>
    <w:unhideWhenUsed/>
    <w:qFormat/>
    <w:uiPriority w:val="9"/>
    <w:pPr>
      <w:keepNext/>
      <w:keepLines/>
      <w:autoSpaceDE w:val="0"/>
      <w:autoSpaceDN w:val="0"/>
      <w:spacing w:before="240" w:after="64" w:line="320" w:lineRule="auto"/>
      <w:ind w:firstLine="0" w:firstLineChars="0"/>
      <w:jc w:val="left"/>
      <w:outlineLvl w:val="5"/>
    </w:pPr>
    <w:rPr>
      <w:rFonts w:asciiTheme="majorHAnsi" w:hAnsiTheme="majorHAnsi" w:eastAsiaTheme="majorEastAsia" w:cstheme="majorBidi"/>
      <w:b/>
      <w:bCs/>
      <w:kern w:val="0"/>
      <w:szCs w:val="24"/>
      <w:lang w:eastAsia="en-US"/>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2">
    <w:name w:val="macro"/>
    <w:basedOn w:val="1"/>
    <w:link w:val="58"/>
    <w:unhideWhenUsed/>
    <w:qFormat/>
    <w:uiPriority w:val="99"/>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240" w:lineRule="auto"/>
      <w:ind w:firstLine="0" w:firstLineChars="0"/>
      <w:jc w:val="center"/>
    </w:pPr>
    <w:rPr>
      <w:rFonts w:ascii="Times New Roman" w:hAnsi="Times New Roman" w:eastAsia="宋体" w:cs="Times New Roman"/>
      <w:sz w:val="21"/>
      <w:szCs w:val="24"/>
    </w:rPr>
  </w:style>
  <w:style w:type="paragraph" w:styleId="5">
    <w:name w:val="Normal Indent"/>
    <w:basedOn w:val="1"/>
    <w:qFormat/>
    <w:uiPriority w:val="0"/>
    <w:pPr>
      <w:ind w:firstLine="420"/>
    </w:pPr>
    <w:rPr>
      <w:rFonts w:ascii="Times New Roman" w:hAnsi="Times New Roman"/>
      <w:szCs w:val="21"/>
    </w:rPr>
  </w:style>
  <w:style w:type="paragraph" w:styleId="9">
    <w:name w:val="toc 7"/>
    <w:basedOn w:val="1"/>
    <w:next w:val="1"/>
    <w:unhideWhenUsed/>
    <w:qFormat/>
    <w:uiPriority w:val="39"/>
    <w:pPr>
      <w:spacing w:line="240" w:lineRule="auto"/>
      <w:ind w:left="2520" w:leftChars="1200" w:firstLine="0" w:firstLineChars="0"/>
    </w:pPr>
    <w:rPr>
      <w:sz w:val="21"/>
    </w:rPr>
  </w:style>
  <w:style w:type="paragraph" w:styleId="10">
    <w:name w:val="List Number 2"/>
    <w:basedOn w:val="1"/>
    <w:qFormat/>
    <w:uiPriority w:val="0"/>
    <w:pPr>
      <w:widowControl/>
      <w:spacing w:line="240" w:lineRule="auto"/>
      <w:ind w:firstLine="0" w:firstLineChars="0"/>
      <w:jc w:val="center"/>
    </w:pPr>
    <w:rPr>
      <w:rFonts w:ascii="Times New Roman" w:hAnsi="Times New Roman" w:eastAsia="宋体" w:cs="Times New Roman"/>
      <w:kern w:val="0"/>
      <w:sz w:val="21"/>
      <w:szCs w:val="21"/>
    </w:rPr>
  </w:style>
  <w:style w:type="paragraph" w:styleId="11">
    <w:name w:val="List Bullet"/>
    <w:basedOn w:val="1"/>
    <w:semiHidden/>
    <w:unhideWhenUsed/>
    <w:qFormat/>
    <w:uiPriority w:val="99"/>
    <w:pPr>
      <w:numPr>
        <w:ilvl w:val="0"/>
        <w:numId w:val="1"/>
      </w:numPr>
    </w:pPr>
  </w:style>
  <w:style w:type="paragraph" w:styleId="12">
    <w:name w:val="annotation text"/>
    <w:basedOn w:val="1"/>
    <w:unhideWhenUsed/>
    <w:qFormat/>
    <w:uiPriority w:val="99"/>
    <w:pPr>
      <w:jc w:val="left"/>
    </w:pPr>
  </w:style>
  <w:style w:type="paragraph" w:styleId="13">
    <w:name w:val="Salutation"/>
    <w:basedOn w:val="1"/>
    <w:next w:val="1"/>
    <w:semiHidden/>
    <w:qFormat/>
    <w:uiPriority w:val="0"/>
    <w:pPr>
      <w:widowControl/>
      <w:spacing w:line="520" w:lineRule="exact"/>
      <w:ind w:firstLine="700" w:firstLineChars="250"/>
    </w:pPr>
    <w:rPr>
      <w:rFonts w:ascii="宋体" w:hAnsi="宋体" w:cs="宋体"/>
      <w:bCs/>
      <w:kern w:val="0"/>
      <w:sz w:val="28"/>
      <w:szCs w:val="32"/>
    </w:rPr>
  </w:style>
  <w:style w:type="paragraph" w:styleId="14">
    <w:name w:val="Body Text"/>
    <w:basedOn w:val="1"/>
    <w:next w:val="1"/>
    <w:unhideWhenUsed/>
    <w:qFormat/>
    <w:uiPriority w:val="99"/>
    <w:pPr>
      <w:spacing w:after="120"/>
    </w:pPr>
  </w:style>
  <w:style w:type="paragraph" w:styleId="15">
    <w:name w:val="Body Text Indent"/>
    <w:basedOn w:val="1"/>
    <w:next w:val="14"/>
    <w:qFormat/>
    <w:uiPriority w:val="0"/>
    <w:pPr>
      <w:spacing w:after="120"/>
      <w:ind w:left="420"/>
    </w:pPr>
    <w:rPr>
      <w:rFonts w:ascii="Times New Roman" w:hAnsi="Times New Roman"/>
      <w:szCs w:val="24"/>
    </w:rPr>
  </w:style>
  <w:style w:type="paragraph" w:styleId="16">
    <w:name w:val="List 2"/>
    <w:basedOn w:val="1"/>
    <w:qFormat/>
    <w:uiPriority w:val="0"/>
    <w:pPr>
      <w:spacing w:line="240" w:lineRule="auto"/>
      <w:ind w:left="840" w:hanging="420"/>
    </w:pPr>
    <w:rPr>
      <w:kern w:val="0"/>
      <w:sz w:val="20"/>
    </w:rPr>
  </w:style>
  <w:style w:type="paragraph" w:styleId="17">
    <w:name w:val="toc 5"/>
    <w:basedOn w:val="1"/>
    <w:next w:val="1"/>
    <w:unhideWhenUsed/>
    <w:qFormat/>
    <w:uiPriority w:val="39"/>
    <w:pPr>
      <w:spacing w:line="240" w:lineRule="auto"/>
      <w:ind w:left="1680" w:leftChars="800" w:firstLine="0" w:firstLineChars="0"/>
    </w:pPr>
    <w:rPr>
      <w:sz w:val="21"/>
    </w:rPr>
  </w:style>
  <w:style w:type="paragraph" w:styleId="18">
    <w:name w:val="toc 3"/>
    <w:basedOn w:val="1"/>
    <w:next w:val="1"/>
    <w:unhideWhenUsed/>
    <w:qFormat/>
    <w:uiPriority w:val="39"/>
    <w:pPr>
      <w:ind w:left="840" w:leftChars="400"/>
    </w:pPr>
  </w:style>
  <w:style w:type="paragraph" w:styleId="19">
    <w:name w:val="Plain Text"/>
    <w:basedOn w:val="1"/>
    <w:qFormat/>
    <w:uiPriority w:val="0"/>
    <w:rPr>
      <w:rFonts w:ascii="宋体" w:hAnsi="Courier New"/>
      <w:sz w:val="28"/>
      <w:szCs w:val="20"/>
    </w:rPr>
  </w:style>
  <w:style w:type="paragraph" w:styleId="20">
    <w:name w:val="List Bullet 5"/>
    <w:basedOn w:val="1"/>
    <w:semiHidden/>
    <w:unhideWhenUsed/>
    <w:qFormat/>
    <w:uiPriority w:val="99"/>
    <w:pPr>
      <w:numPr>
        <w:ilvl w:val="0"/>
        <w:numId w:val="2"/>
      </w:numPr>
    </w:pPr>
  </w:style>
  <w:style w:type="paragraph" w:styleId="21">
    <w:name w:val="toc 8"/>
    <w:basedOn w:val="1"/>
    <w:next w:val="1"/>
    <w:unhideWhenUsed/>
    <w:qFormat/>
    <w:uiPriority w:val="39"/>
    <w:pPr>
      <w:spacing w:line="240" w:lineRule="auto"/>
      <w:ind w:left="2940" w:leftChars="1400" w:firstLine="0" w:firstLineChars="0"/>
    </w:pPr>
    <w:rPr>
      <w:sz w:val="21"/>
    </w:rPr>
  </w:style>
  <w:style w:type="paragraph" w:styleId="22">
    <w:name w:val="Date"/>
    <w:basedOn w:val="1"/>
    <w:next w:val="1"/>
    <w:link w:val="59"/>
    <w:semiHidden/>
    <w:unhideWhenUsed/>
    <w:qFormat/>
    <w:uiPriority w:val="99"/>
    <w:pPr>
      <w:ind w:left="100" w:leftChars="2500"/>
    </w:pPr>
  </w:style>
  <w:style w:type="paragraph" w:styleId="23">
    <w:name w:val="Body Text Indent 2"/>
    <w:basedOn w:val="1"/>
    <w:qFormat/>
    <w:uiPriority w:val="0"/>
    <w:pPr>
      <w:spacing w:after="120" w:line="480" w:lineRule="auto"/>
      <w:ind w:left="420" w:leftChars="200"/>
    </w:pPr>
  </w:style>
  <w:style w:type="paragraph" w:styleId="24">
    <w:name w:val="Balloon Text"/>
    <w:basedOn w:val="1"/>
    <w:link w:val="60"/>
    <w:semiHidden/>
    <w:unhideWhenUsed/>
    <w:qFormat/>
    <w:uiPriority w:val="99"/>
    <w:pPr>
      <w:spacing w:line="240" w:lineRule="auto"/>
    </w:pPr>
    <w:rPr>
      <w:sz w:val="18"/>
      <w:szCs w:val="18"/>
    </w:rPr>
  </w:style>
  <w:style w:type="paragraph" w:styleId="25">
    <w:name w:val="footer"/>
    <w:basedOn w:val="1"/>
    <w:link w:val="61"/>
    <w:unhideWhenUsed/>
    <w:qFormat/>
    <w:uiPriority w:val="99"/>
    <w:pPr>
      <w:tabs>
        <w:tab w:val="center" w:pos="4153"/>
        <w:tab w:val="right" w:pos="8306"/>
      </w:tabs>
      <w:snapToGrid w:val="0"/>
      <w:jc w:val="left"/>
    </w:pPr>
    <w:rPr>
      <w:sz w:val="18"/>
      <w:szCs w:val="18"/>
    </w:rPr>
  </w:style>
  <w:style w:type="paragraph" w:styleId="26">
    <w:name w:val="header"/>
    <w:basedOn w:val="1"/>
    <w:link w:val="62"/>
    <w:unhideWhenUsed/>
    <w:qFormat/>
    <w:uiPriority w:val="99"/>
    <w:pPr>
      <w:pBdr>
        <w:bottom w:val="single" w:color="auto" w:sz="6" w:space="1"/>
      </w:pBdr>
      <w:tabs>
        <w:tab w:val="center" w:pos="4153"/>
        <w:tab w:val="right" w:pos="8306"/>
      </w:tabs>
      <w:snapToGrid w:val="0"/>
      <w:jc w:val="center"/>
    </w:pPr>
    <w:rPr>
      <w:sz w:val="18"/>
      <w:szCs w:val="18"/>
    </w:rPr>
  </w:style>
  <w:style w:type="paragraph" w:styleId="27">
    <w:name w:val="toc 1"/>
    <w:basedOn w:val="1"/>
    <w:next w:val="1"/>
    <w:unhideWhenUsed/>
    <w:qFormat/>
    <w:uiPriority w:val="39"/>
  </w:style>
  <w:style w:type="paragraph" w:styleId="28">
    <w:name w:val="toc 4"/>
    <w:basedOn w:val="1"/>
    <w:next w:val="1"/>
    <w:unhideWhenUsed/>
    <w:qFormat/>
    <w:uiPriority w:val="39"/>
    <w:pPr>
      <w:spacing w:line="240" w:lineRule="auto"/>
      <w:ind w:left="1260" w:leftChars="600" w:firstLine="0" w:firstLineChars="0"/>
    </w:pPr>
    <w:rPr>
      <w:sz w:val="21"/>
    </w:rPr>
  </w:style>
  <w:style w:type="paragraph" w:styleId="29">
    <w:name w:val="List"/>
    <w:basedOn w:val="1"/>
    <w:qFormat/>
    <w:uiPriority w:val="0"/>
    <w:pPr>
      <w:ind w:left="200" w:hanging="200" w:hangingChars="200"/>
    </w:pPr>
  </w:style>
  <w:style w:type="paragraph" w:styleId="30">
    <w:name w:val="toc 6"/>
    <w:basedOn w:val="1"/>
    <w:next w:val="1"/>
    <w:unhideWhenUsed/>
    <w:qFormat/>
    <w:uiPriority w:val="39"/>
    <w:pPr>
      <w:spacing w:line="240" w:lineRule="auto"/>
      <w:ind w:left="2100" w:leftChars="1000" w:firstLine="0" w:firstLineChars="0"/>
    </w:pPr>
    <w:rPr>
      <w:sz w:val="21"/>
    </w:rPr>
  </w:style>
  <w:style w:type="paragraph" w:styleId="31">
    <w:name w:val="toc 2"/>
    <w:basedOn w:val="1"/>
    <w:next w:val="1"/>
    <w:qFormat/>
    <w:uiPriority w:val="39"/>
    <w:pPr>
      <w:ind w:left="420" w:leftChars="200"/>
    </w:pPr>
  </w:style>
  <w:style w:type="paragraph" w:styleId="32">
    <w:name w:val="toc 9"/>
    <w:basedOn w:val="1"/>
    <w:next w:val="1"/>
    <w:unhideWhenUsed/>
    <w:qFormat/>
    <w:uiPriority w:val="39"/>
    <w:pPr>
      <w:spacing w:line="240" w:lineRule="auto"/>
      <w:ind w:left="3360" w:leftChars="1600" w:firstLine="0" w:firstLineChars="0"/>
    </w:pPr>
    <w:rPr>
      <w:sz w:val="21"/>
    </w:rPr>
  </w:style>
  <w:style w:type="paragraph" w:styleId="33">
    <w:name w:val="Message Header"/>
    <w:basedOn w:val="1"/>
    <w:semiHidden/>
    <w:qFormat/>
    <w:uiPriority w:val="0"/>
    <w:pPr>
      <w:widowControl/>
      <w:pBdr>
        <w:top w:val="single" w:color="auto" w:sz="6" w:space="1"/>
        <w:left w:val="single" w:color="auto" w:sz="6" w:space="1"/>
        <w:bottom w:val="single" w:color="auto" w:sz="6" w:space="1"/>
        <w:right w:val="single" w:color="auto" w:sz="6" w:space="1"/>
      </w:pBdr>
      <w:shd w:val="pct20" w:color="auto" w:fill="auto"/>
      <w:spacing w:line="520" w:lineRule="exact"/>
      <w:ind w:left="1080" w:leftChars="500" w:hanging="1080" w:hangingChars="500"/>
    </w:pPr>
    <w:rPr>
      <w:rFonts w:ascii="Arial" w:hAnsi="Arial" w:cs="Arial"/>
      <w:bCs/>
      <w:kern w:val="0"/>
      <w:sz w:val="24"/>
      <w:szCs w:val="24"/>
    </w:rPr>
  </w:style>
  <w:style w:type="paragraph" w:styleId="34">
    <w:name w:val="Normal (Web)"/>
    <w:basedOn w:val="1"/>
    <w:semiHidden/>
    <w:unhideWhenUsed/>
    <w:qFormat/>
    <w:uiPriority w:val="99"/>
    <w:pPr>
      <w:widowControl/>
      <w:spacing w:before="100" w:beforeAutospacing="1" w:after="100" w:afterAutospacing="1" w:line="240" w:lineRule="auto"/>
      <w:ind w:firstLine="0" w:firstLineChars="0"/>
      <w:jc w:val="left"/>
    </w:pPr>
    <w:rPr>
      <w:rFonts w:ascii="宋体" w:hAnsi="宋体" w:eastAsia="宋体" w:cs="宋体"/>
      <w:kern w:val="0"/>
      <w:szCs w:val="24"/>
    </w:rPr>
  </w:style>
  <w:style w:type="paragraph" w:styleId="35">
    <w:name w:val="Body Text First Indent"/>
    <w:basedOn w:val="1"/>
    <w:next w:val="1"/>
    <w:qFormat/>
    <w:uiPriority w:val="0"/>
    <w:pPr>
      <w:widowControl w:val="0"/>
      <w:spacing w:after="120" w:line="360" w:lineRule="auto"/>
      <w:ind w:firstLine="420" w:firstLineChars="100"/>
      <w:jc w:val="both"/>
    </w:pPr>
    <w:rPr>
      <w:rFonts w:ascii="Times New Roman" w:hAnsi="Times New Roman" w:eastAsia="宋体" w:cs="Times New Roman"/>
      <w:kern w:val="2"/>
      <w:sz w:val="21"/>
      <w:szCs w:val="24"/>
      <w:lang w:val="en-US" w:eastAsia="zh-CN" w:bidi="ar-SA"/>
    </w:rPr>
  </w:style>
  <w:style w:type="paragraph" w:styleId="36">
    <w:name w:val="Body Text First Indent 2"/>
    <w:basedOn w:val="15"/>
    <w:next w:val="1"/>
    <w:qFormat/>
    <w:uiPriority w:val="0"/>
    <w:pPr>
      <w:ind w:left="200" w:leftChars="200" w:firstLine="420" w:firstLineChars="200"/>
    </w:pPr>
  </w:style>
  <w:style w:type="table" w:styleId="38">
    <w:name w:val="Table Grid"/>
    <w:basedOn w:val="3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40">
    <w:name w:val="Strong"/>
    <w:basedOn w:val="39"/>
    <w:qFormat/>
    <w:uiPriority w:val="0"/>
    <w:rPr>
      <w:b/>
      <w:bCs/>
    </w:rPr>
  </w:style>
  <w:style w:type="character" w:styleId="41">
    <w:name w:val="page number"/>
    <w:basedOn w:val="39"/>
    <w:qFormat/>
    <w:uiPriority w:val="0"/>
  </w:style>
  <w:style w:type="character" w:styleId="42">
    <w:name w:val="Emphasis"/>
    <w:basedOn w:val="39"/>
    <w:qFormat/>
    <w:uiPriority w:val="20"/>
    <w:rPr>
      <w:i/>
    </w:rPr>
  </w:style>
  <w:style w:type="character" w:styleId="43">
    <w:name w:val="Hyperlink"/>
    <w:basedOn w:val="39"/>
    <w:unhideWhenUsed/>
    <w:qFormat/>
    <w:uiPriority w:val="99"/>
    <w:rPr>
      <w:color w:val="0000FF" w:themeColor="hyperlink"/>
      <w:u w:val="single"/>
      <w14:textFill>
        <w14:solidFill>
          <w14:schemeClr w14:val="hlink"/>
        </w14:solidFill>
      </w14:textFill>
    </w:rPr>
  </w:style>
  <w:style w:type="character" w:styleId="44">
    <w:name w:val="annotation reference"/>
    <w:basedOn w:val="39"/>
    <w:semiHidden/>
    <w:unhideWhenUsed/>
    <w:qFormat/>
    <w:uiPriority w:val="99"/>
    <w:rPr>
      <w:sz w:val="21"/>
      <w:szCs w:val="21"/>
    </w:rPr>
  </w:style>
  <w:style w:type="paragraph" w:customStyle="1" w:styleId="45">
    <w:name w:val="正本"/>
    <w:basedOn w:val="1"/>
    <w:qFormat/>
    <w:uiPriority w:val="0"/>
    <w:pPr>
      <w:adjustRightInd w:val="0"/>
      <w:snapToGrid w:val="0"/>
      <w:spacing w:line="360" w:lineRule="auto"/>
      <w:ind w:firstLine="200" w:firstLineChars="200"/>
    </w:pPr>
    <w:rPr>
      <w:rFonts w:ascii="宋体" w:eastAsia="宋体"/>
      <w:kern w:val="2"/>
      <w:sz w:val="24"/>
      <w:szCs w:val="24"/>
      <w:lang w:val="en-US" w:eastAsia="zh-CN" w:bidi="ar-SA"/>
    </w:rPr>
  </w:style>
  <w:style w:type="paragraph" w:customStyle="1" w:styleId="46">
    <w:name w:val="baby-正文"/>
    <w:basedOn w:val="14"/>
    <w:next w:val="24"/>
    <w:qFormat/>
    <w:uiPriority w:val="0"/>
    <w:pPr>
      <w:spacing w:line="240" w:lineRule="auto"/>
      <w:ind w:firstLine="0" w:firstLineChars="0"/>
      <w:jc w:val="both"/>
    </w:pPr>
    <w:rPr>
      <w:rFonts w:ascii="仿宋_GB2312" w:hAnsi="宋体"/>
      <w:bCs/>
      <w:sz w:val="30"/>
    </w:rPr>
  </w:style>
  <w:style w:type="paragraph" w:customStyle="1" w:styleId="47">
    <w:name w:val="Default"/>
    <w:basedOn w:val="48"/>
    <w:next w:val="1"/>
    <w:link w:val="71"/>
    <w:qFormat/>
    <w:uiPriority w:val="0"/>
    <w:pPr>
      <w:widowControl w:val="0"/>
      <w:autoSpaceDE w:val="0"/>
      <w:autoSpaceDN w:val="0"/>
      <w:adjustRightInd w:val="0"/>
    </w:pPr>
    <w:rPr>
      <w:rFonts w:ascii="宋体" w:hAnsi="Calibri" w:eastAsia="宋体" w:cs="Times New Roman"/>
      <w:color w:val="000000"/>
      <w:sz w:val="24"/>
      <w:szCs w:val="24"/>
      <w:lang w:val="en-US" w:eastAsia="zh-CN" w:bidi="ar-SA"/>
    </w:rPr>
  </w:style>
  <w:style w:type="paragraph" w:customStyle="1" w:styleId="48">
    <w:name w:val="纯文本1"/>
    <w:basedOn w:val="1"/>
    <w:qFormat/>
    <w:uiPriority w:val="0"/>
    <w:pPr>
      <w:adjustRightInd w:val="0"/>
      <w:textAlignment w:val="baseline"/>
    </w:pPr>
    <w:rPr>
      <w:rFonts w:ascii="宋体" w:hAnsi="Courier New"/>
      <w:szCs w:val="20"/>
    </w:rPr>
  </w:style>
  <w:style w:type="paragraph" w:customStyle="1" w:styleId="49">
    <w:name w:val="样式 正文文本缩进 + 行距: 1.5 倍行距"/>
    <w:basedOn w:val="50"/>
    <w:next w:val="1"/>
    <w:qFormat/>
    <w:uiPriority w:val="0"/>
    <w:pPr>
      <w:spacing w:after="120" w:line="360" w:lineRule="auto"/>
      <w:ind w:left="90" w:leftChars="32" w:firstLine="560" w:firstLineChars="200"/>
    </w:pPr>
    <w:rPr>
      <w:rFonts w:cs="宋体"/>
      <w:sz w:val="24"/>
    </w:rPr>
  </w:style>
  <w:style w:type="paragraph" w:customStyle="1" w:styleId="50">
    <w:name w:val="Body Text Indent"/>
    <w:basedOn w:val="1"/>
    <w:next w:val="49"/>
    <w:qFormat/>
    <w:uiPriority w:val="0"/>
    <w:pPr>
      <w:spacing w:after="120" w:afterLines="0"/>
      <w:ind w:left="420" w:leftChars="200"/>
    </w:pPr>
    <w:rPr>
      <w:rFonts w:ascii="Times New Roman" w:hAnsi="Times New Roman" w:eastAsia="宋体"/>
      <w:sz w:val="24"/>
    </w:rPr>
  </w:style>
  <w:style w:type="paragraph" w:customStyle="1" w:styleId="51">
    <w:name w:val="Normal (Web)1"/>
    <w:basedOn w:val="1"/>
    <w:next w:val="52"/>
    <w:qFormat/>
    <w:uiPriority w:val="0"/>
    <w:pPr>
      <w:widowControl/>
      <w:jc w:val="left"/>
    </w:pPr>
    <w:rPr>
      <w:rFonts w:ascii="宋体" w:cs="Times New Roman"/>
      <w:kern w:val="0"/>
      <w:szCs w:val="21"/>
    </w:rPr>
  </w:style>
  <w:style w:type="paragraph" w:customStyle="1" w:styleId="52">
    <w:name w:val="Date1"/>
    <w:basedOn w:val="1"/>
    <w:next w:val="1"/>
    <w:qFormat/>
    <w:uiPriority w:val="0"/>
    <w:pPr>
      <w:ind w:left="2500" w:leftChars="2500"/>
    </w:pPr>
    <w:rPr>
      <w:rFonts w:cs="Times New Roman"/>
    </w:rPr>
  </w:style>
  <w:style w:type="paragraph" w:customStyle="1" w:styleId="53">
    <w:name w:val="样式 正文首行缩进 + 首行缩进:  2 字符1"/>
    <w:basedOn w:val="1"/>
    <w:next w:val="27"/>
    <w:qFormat/>
    <w:uiPriority w:val="0"/>
    <w:pPr>
      <w:spacing w:line="360" w:lineRule="auto"/>
      <w:ind w:firstLine="480" w:firstLineChars="200"/>
    </w:pPr>
    <w:rPr>
      <w:sz w:val="24"/>
    </w:rPr>
  </w:style>
  <w:style w:type="character" w:customStyle="1" w:styleId="54">
    <w:name w:val="标题 1 Char"/>
    <w:basedOn w:val="39"/>
    <w:link w:val="3"/>
    <w:qFormat/>
    <w:uiPriority w:val="9"/>
    <w:rPr>
      <w:rFonts w:ascii="宋体" w:hAnsi="宋体" w:eastAsia="宋体"/>
      <w:b/>
      <w:bCs/>
      <w:kern w:val="44"/>
      <w:sz w:val="32"/>
      <w:szCs w:val="44"/>
    </w:rPr>
  </w:style>
  <w:style w:type="character" w:customStyle="1" w:styleId="55">
    <w:name w:val="标题 2 Char"/>
    <w:basedOn w:val="39"/>
    <w:link w:val="4"/>
    <w:qFormat/>
    <w:uiPriority w:val="9"/>
    <w:rPr>
      <w:rFonts w:ascii="宋体" w:hAnsi="宋体" w:eastAsia="宋体" w:cstheme="majorBidi"/>
      <w:b/>
      <w:bCs/>
      <w:sz w:val="30"/>
      <w:szCs w:val="30"/>
    </w:rPr>
  </w:style>
  <w:style w:type="character" w:customStyle="1" w:styleId="56">
    <w:name w:val="标题 3 Char"/>
    <w:basedOn w:val="39"/>
    <w:link w:val="6"/>
    <w:qFormat/>
    <w:uiPriority w:val="9"/>
    <w:rPr>
      <w:rFonts w:ascii="宋体" w:hAnsi="宋体" w:eastAsia="宋体"/>
      <w:b/>
      <w:bCs/>
      <w:sz w:val="28"/>
      <w:szCs w:val="28"/>
    </w:rPr>
  </w:style>
  <w:style w:type="character" w:customStyle="1" w:styleId="57">
    <w:name w:val="标题 4 Char"/>
    <w:basedOn w:val="39"/>
    <w:link w:val="7"/>
    <w:qFormat/>
    <w:uiPriority w:val="9"/>
    <w:rPr>
      <w:rFonts w:ascii="宋体" w:hAnsi="宋体" w:eastAsia="宋体" w:cstheme="majorBidi"/>
      <w:b/>
      <w:bCs/>
      <w:sz w:val="24"/>
      <w:szCs w:val="24"/>
    </w:rPr>
  </w:style>
  <w:style w:type="character" w:customStyle="1" w:styleId="58">
    <w:name w:val="宏文本 Char"/>
    <w:basedOn w:val="39"/>
    <w:link w:val="2"/>
    <w:qFormat/>
    <w:uiPriority w:val="99"/>
    <w:rPr>
      <w:rFonts w:ascii="Times New Roman" w:hAnsi="Times New Roman" w:eastAsia="宋体" w:cs="Times New Roman"/>
      <w:szCs w:val="24"/>
    </w:rPr>
  </w:style>
  <w:style w:type="character" w:customStyle="1" w:styleId="59">
    <w:name w:val="日期 Char"/>
    <w:basedOn w:val="39"/>
    <w:link w:val="22"/>
    <w:semiHidden/>
    <w:qFormat/>
    <w:uiPriority w:val="99"/>
    <w:rPr>
      <w:sz w:val="24"/>
    </w:rPr>
  </w:style>
  <w:style w:type="character" w:customStyle="1" w:styleId="60">
    <w:name w:val="批注框文本 Char"/>
    <w:basedOn w:val="39"/>
    <w:link w:val="24"/>
    <w:semiHidden/>
    <w:qFormat/>
    <w:uiPriority w:val="99"/>
    <w:rPr>
      <w:sz w:val="18"/>
      <w:szCs w:val="18"/>
    </w:rPr>
  </w:style>
  <w:style w:type="character" w:customStyle="1" w:styleId="61">
    <w:name w:val="页脚 Char"/>
    <w:basedOn w:val="39"/>
    <w:link w:val="25"/>
    <w:qFormat/>
    <w:uiPriority w:val="99"/>
    <w:rPr>
      <w:sz w:val="18"/>
      <w:szCs w:val="18"/>
    </w:rPr>
  </w:style>
  <w:style w:type="character" w:customStyle="1" w:styleId="62">
    <w:name w:val="页眉 Char"/>
    <w:basedOn w:val="39"/>
    <w:link w:val="26"/>
    <w:qFormat/>
    <w:uiPriority w:val="99"/>
    <w:rPr>
      <w:sz w:val="18"/>
      <w:szCs w:val="18"/>
    </w:rPr>
  </w:style>
  <w:style w:type="paragraph" w:customStyle="1" w:styleId="63">
    <w:name w:val="表文"/>
    <w:basedOn w:val="1"/>
    <w:next w:val="1"/>
    <w:link w:val="64"/>
    <w:qFormat/>
    <w:uiPriority w:val="0"/>
    <w:pPr>
      <w:spacing w:line="240" w:lineRule="auto"/>
      <w:ind w:firstLine="0" w:firstLineChars="0"/>
      <w:jc w:val="center"/>
    </w:pPr>
    <w:rPr>
      <w:rFonts w:ascii="新宋体" w:hAnsi="Calibri" w:eastAsia="新宋体" w:cs="Times New Roman"/>
      <w:sz w:val="21"/>
      <w:szCs w:val="21"/>
    </w:rPr>
  </w:style>
  <w:style w:type="character" w:customStyle="1" w:styleId="64">
    <w:name w:val="表文 Char"/>
    <w:link w:val="63"/>
    <w:qFormat/>
    <w:uiPriority w:val="0"/>
    <w:rPr>
      <w:rFonts w:ascii="新宋体" w:hAnsi="Calibri" w:eastAsia="新宋体" w:cs="Times New Roman"/>
      <w:szCs w:val="21"/>
    </w:rPr>
  </w:style>
  <w:style w:type="paragraph" w:customStyle="1" w:styleId="65">
    <w:name w:val="表头"/>
    <w:basedOn w:val="29"/>
    <w:next w:val="19"/>
    <w:link w:val="67"/>
    <w:qFormat/>
    <w:uiPriority w:val="0"/>
    <w:pPr>
      <w:ind w:firstLine="0" w:firstLineChars="0"/>
      <w:jc w:val="center"/>
    </w:pPr>
    <w:rPr>
      <w:rFonts w:ascii="新宋体" w:hAnsi="Calibri" w:eastAsia="新宋体" w:cs="Times New Roman"/>
      <w:sz w:val="21"/>
      <w:szCs w:val="24"/>
    </w:rPr>
  </w:style>
  <w:style w:type="paragraph" w:customStyle="1" w:styleId="66">
    <w:name w:val="样式4"/>
    <w:basedOn w:val="1"/>
    <w:qFormat/>
    <w:uiPriority w:val="0"/>
    <w:pPr>
      <w:adjustRightInd w:val="0"/>
      <w:snapToGrid w:val="0"/>
      <w:jc w:val="center"/>
    </w:pPr>
    <w:rPr>
      <w:rFonts w:cs="Times New Roman"/>
      <w:szCs w:val="20"/>
    </w:rPr>
  </w:style>
  <w:style w:type="character" w:customStyle="1" w:styleId="67">
    <w:name w:val="表头 Char"/>
    <w:link w:val="65"/>
    <w:qFormat/>
    <w:uiPriority w:val="0"/>
    <w:rPr>
      <w:rFonts w:ascii="新宋体" w:hAnsi="Calibri" w:eastAsia="新宋体" w:cs="Times New Roman"/>
      <w:szCs w:val="24"/>
    </w:rPr>
  </w:style>
  <w:style w:type="paragraph" w:customStyle="1" w:styleId="68">
    <w:name w:val="表格文字"/>
    <w:basedOn w:val="65"/>
    <w:qFormat/>
    <w:uiPriority w:val="0"/>
    <w:pPr>
      <w:spacing w:line="240" w:lineRule="auto"/>
    </w:pPr>
  </w:style>
  <w:style w:type="paragraph" w:customStyle="1" w:styleId="69">
    <w:name w:val="缩进2"/>
    <w:basedOn w:val="1"/>
    <w:link w:val="70"/>
    <w:qFormat/>
    <w:uiPriority w:val="0"/>
    <w:rPr>
      <w:rFonts w:ascii="宋体" w:hAnsi="宋体" w:eastAsia="宋体" w:cs="Times New Roman"/>
      <w:szCs w:val="21"/>
    </w:rPr>
  </w:style>
  <w:style w:type="character" w:customStyle="1" w:styleId="70">
    <w:name w:val="缩进2 Char"/>
    <w:link w:val="69"/>
    <w:qFormat/>
    <w:uiPriority w:val="0"/>
    <w:rPr>
      <w:rFonts w:ascii="宋体" w:hAnsi="宋体" w:eastAsia="宋体" w:cs="Times New Roman"/>
      <w:sz w:val="24"/>
      <w:szCs w:val="21"/>
    </w:rPr>
  </w:style>
  <w:style w:type="character" w:customStyle="1" w:styleId="71">
    <w:name w:val="Default Char Char"/>
    <w:link w:val="47"/>
    <w:qFormat/>
    <w:uiPriority w:val="0"/>
    <w:rPr>
      <w:rFonts w:ascii="宋体" w:hAnsi="Calibri" w:eastAsia="宋体" w:cs="Times New Roman"/>
      <w:color w:val="000000"/>
      <w:kern w:val="0"/>
      <w:sz w:val="24"/>
      <w:szCs w:val="24"/>
    </w:rPr>
  </w:style>
  <w:style w:type="paragraph" w:customStyle="1" w:styleId="72">
    <w:name w:val="Other|1"/>
    <w:qFormat/>
    <w:uiPriority w:val="0"/>
    <w:pPr>
      <w:widowControl w:val="0"/>
      <w:spacing w:after="100" w:line="434" w:lineRule="auto"/>
      <w:ind w:firstLine="400"/>
    </w:pPr>
    <w:rPr>
      <w:rFonts w:ascii="宋体" w:hAnsi="宋体" w:eastAsia="宋体" w:cs="宋体"/>
      <w:color w:val="000000"/>
      <w:sz w:val="22"/>
      <w:szCs w:val="22"/>
      <w:lang w:val="zh-TW" w:eastAsia="zh-TW" w:bidi="zh-TW"/>
    </w:rPr>
  </w:style>
  <w:style w:type="paragraph" w:customStyle="1" w:styleId="73">
    <w:name w:val="表格内"/>
    <w:qFormat/>
    <w:uiPriority w:val="0"/>
    <w:pPr>
      <w:widowControl w:val="0"/>
      <w:spacing w:line="360" w:lineRule="exact"/>
      <w:jc w:val="center"/>
    </w:pPr>
    <w:rPr>
      <w:rFonts w:ascii="Calibri" w:hAnsi="Calibri" w:eastAsia="Times New Roman" w:cs="Times New Roman"/>
      <w:kern w:val="2"/>
      <w:sz w:val="21"/>
      <w:szCs w:val="21"/>
      <w:lang w:val="en-US" w:eastAsia="zh-CN" w:bidi="ar-SA"/>
    </w:rPr>
  </w:style>
  <w:style w:type="paragraph" w:customStyle="1" w:styleId="74">
    <w:name w:val="【表中文字】"/>
    <w:basedOn w:val="1"/>
    <w:link w:val="75"/>
    <w:qFormat/>
    <w:uiPriority w:val="0"/>
    <w:pPr>
      <w:spacing w:line="240" w:lineRule="auto"/>
      <w:ind w:firstLine="0" w:firstLineChars="0"/>
      <w:jc w:val="center"/>
    </w:pPr>
    <w:rPr>
      <w:rFonts w:ascii="Times New Roman" w:hAnsi="Calibri" w:eastAsia="宋体" w:cs="Times New Roman"/>
      <w:sz w:val="21"/>
      <w:szCs w:val="20"/>
    </w:rPr>
  </w:style>
  <w:style w:type="character" w:customStyle="1" w:styleId="75">
    <w:name w:val="【表中文字】 Char Char"/>
    <w:link w:val="74"/>
    <w:qFormat/>
    <w:uiPriority w:val="0"/>
    <w:rPr>
      <w:rFonts w:ascii="Times New Roman" w:hAnsi="Calibri" w:eastAsia="宋体" w:cs="Times New Roman"/>
      <w:szCs w:val="20"/>
    </w:rPr>
  </w:style>
  <w:style w:type="paragraph" w:customStyle="1" w:styleId="76">
    <w:name w:val="表格表格"/>
    <w:basedOn w:val="1"/>
    <w:qFormat/>
    <w:uiPriority w:val="0"/>
    <w:pPr>
      <w:spacing w:line="240" w:lineRule="auto"/>
      <w:ind w:firstLine="0" w:firstLineChars="0"/>
    </w:pPr>
    <w:rPr>
      <w:rFonts w:ascii="Times New Roman" w:hAnsi="Calibri" w:eastAsia="宋体" w:cs="Times New Roman"/>
      <w:sz w:val="21"/>
      <w:szCs w:val="21"/>
    </w:rPr>
  </w:style>
  <w:style w:type="paragraph" w:customStyle="1" w:styleId="77">
    <w:name w:val="正文 New New"/>
    <w:link w:val="78"/>
    <w:qFormat/>
    <w:uiPriority w:val="99"/>
    <w:pPr>
      <w:widowControl w:val="0"/>
      <w:jc w:val="both"/>
    </w:pPr>
    <w:rPr>
      <w:rFonts w:ascii="Calibri" w:hAnsi="Calibri" w:eastAsia="宋体" w:cs="Times New Roman"/>
      <w:kern w:val="2"/>
      <w:sz w:val="21"/>
      <w:szCs w:val="24"/>
      <w:lang w:val="en-US" w:eastAsia="zh-CN" w:bidi="ar-SA"/>
    </w:rPr>
  </w:style>
  <w:style w:type="character" w:customStyle="1" w:styleId="78">
    <w:name w:val="正文 New New Char"/>
    <w:link w:val="77"/>
    <w:qFormat/>
    <w:uiPriority w:val="99"/>
    <w:rPr>
      <w:rFonts w:ascii="Calibri" w:hAnsi="Calibri" w:eastAsia="宋体" w:cs="Times New Roman"/>
      <w:szCs w:val="24"/>
    </w:rPr>
  </w:style>
  <w:style w:type="paragraph" w:customStyle="1" w:styleId="79">
    <w:name w:val="样式 Times New Roman 五号 居中"/>
    <w:qFormat/>
    <w:uiPriority w:val="0"/>
    <w:pPr>
      <w:widowControl w:val="0"/>
      <w:jc w:val="center"/>
    </w:pPr>
    <w:rPr>
      <w:rFonts w:ascii="Calibri" w:hAnsi="Calibri" w:eastAsia="宋体" w:cs="宋体"/>
      <w:kern w:val="2"/>
      <w:sz w:val="21"/>
      <w:lang w:val="en-US" w:eastAsia="zh-CN" w:bidi="ar-SA"/>
    </w:rPr>
  </w:style>
  <w:style w:type="paragraph" w:customStyle="1" w:styleId="80">
    <w:name w:val="表格正文"/>
    <w:basedOn w:val="1"/>
    <w:link w:val="81"/>
    <w:qFormat/>
    <w:uiPriority w:val="0"/>
    <w:pPr>
      <w:adjustRightInd w:val="0"/>
      <w:snapToGrid w:val="0"/>
      <w:spacing w:line="240" w:lineRule="auto"/>
      <w:ind w:firstLine="0" w:firstLineChars="0"/>
      <w:jc w:val="center"/>
      <w:textAlignment w:val="baseline"/>
    </w:pPr>
    <w:rPr>
      <w:rFonts w:ascii="宋体" w:hAnsi="Calibri" w:eastAsia="宋体" w:cs="Times New Roman"/>
      <w:snapToGrid w:val="0"/>
      <w:spacing w:val="4"/>
      <w:w w:val="90"/>
      <w:kern w:val="0"/>
      <w:szCs w:val="20"/>
    </w:rPr>
  </w:style>
  <w:style w:type="character" w:customStyle="1" w:styleId="81">
    <w:name w:val="表格正文 Char"/>
    <w:link w:val="80"/>
    <w:qFormat/>
    <w:uiPriority w:val="0"/>
    <w:rPr>
      <w:rFonts w:ascii="宋体" w:hAnsi="Calibri" w:eastAsia="宋体" w:cs="Times New Roman"/>
      <w:snapToGrid w:val="0"/>
      <w:spacing w:val="4"/>
      <w:w w:val="90"/>
      <w:kern w:val="0"/>
      <w:sz w:val="24"/>
      <w:szCs w:val="20"/>
    </w:rPr>
  </w:style>
  <w:style w:type="paragraph" w:customStyle="1" w:styleId="82">
    <w:name w:val="表中的文字"/>
    <w:basedOn w:val="83"/>
    <w:qFormat/>
    <w:uiPriority w:val="0"/>
    <w:pPr>
      <w:spacing w:line="440" w:lineRule="exact"/>
      <w:ind w:firstLine="0" w:firstLineChars="0"/>
    </w:pPr>
    <w:rPr>
      <w:bCs/>
      <w:color w:val="000000"/>
      <w:kern w:val="0"/>
      <w:sz w:val="21"/>
      <w:szCs w:val="21"/>
    </w:rPr>
  </w:style>
  <w:style w:type="paragraph" w:customStyle="1" w:styleId="83">
    <w:name w:val="表中文字"/>
    <w:basedOn w:val="1"/>
    <w:qFormat/>
    <w:uiPriority w:val="0"/>
    <w:pPr>
      <w:jc w:val="center"/>
    </w:pPr>
    <w:rPr>
      <w:rFonts w:cs="Times New Roman"/>
    </w:rPr>
  </w:style>
  <w:style w:type="paragraph" w:customStyle="1" w:styleId="84">
    <w:name w:val="TOC 标题1"/>
    <w:basedOn w:val="3"/>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85">
    <w:name w:val="标题 6 Char"/>
    <w:basedOn w:val="39"/>
    <w:link w:val="8"/>
    <w:qFormat/>
    <w:uiPriority w:val="9"/>
    <w:rPr>
      <w:rFonts w:asciiTheme="majorHAnsi" w:hAnsiTheme="majorHAnsi" w:eastAsiaTheme="majorEastAsia" w:cstheme="majorBidi"/>
      <w:b/>
      <w:bCs/>
      <w:sz w:val="24"/>
      <w:szCs w:val="24"/>
      <w:lang w:eastAsia="en-US"/>
    </w:rPr>
  </w:style>
  <w:style w:type="paragraph" w:customStyle="1" w:styleId="86">
    <w:name w:val="Table Paragraph"/>
    <w:basedOn w:val="1"/>
    <w:qFormat/>
    <w:uiPriority w:val="1"/>
    <w:pPr>
      <w:autoSpaceDE w:val="0"/>
      <w:autoSpaceDN w:val="0"/>
      <w:spacing w:line="240" w:lineRule="auto"/>
      <w:ind w:firstLine="0" w:firstLineChars="0"/>
      <w:jc w:val="left"/>
    </w:pPr>
    <w:rPr>
      <w:rFonts w:ascii="Times New Roman" w:hAnsi="Times New Roman" w:eastAsia="Times New Roman" w:cs="Times New Roman"/>
      <w:kern w:val="0"/>
      <w:sz w:val="22"/>
      <w:lang w:eastAsia="en-US"/>
    </w:rPr>
  </w:style>
  <w:style w:type="table" w:customStyle="1" w:styleId="87">
    <w:name w:val="Table Normal"/>
    <w:semiHidden/>
    <w:unhideWhenUsed/>
    <w:qFormat/>
    <w:uiPriority w:val="2"/>
    <w:pPr>
      <w:widowControl w:val="0"/>
      <w:autoSpaceDE w:val="0"/>
      <w:autoSpaceDN w:val="0"/>
    </w:pPr>
    <w:rPr>
      <w:rFonts w:asciiTheme="minorHAnsi" w:hAnsiTheme="minorHAnsi" w:eastAsiaTheme="minorEastAsia" w:cstheme="minorBidi"/>
      <w:sz w:val="22"/>
      <w:lang w:eastAsia="en-US"/>
    </w:rPr>
    <w:tblPr>
      <w:tblCellMar>
        <w:top w:w="0" w:type="dxa"/>
        <w:left w:w="0" w:type="dxa"/>
        <w:bottom w:w="0" w:type="dxa"/>
        <w:right w:w="0" w:type="dxa"/>
      </w:tblCellMar>
    </w:tblPr>
  </w:style>
  <w:style w:type="paragraph" w:customStyle="1" w:styleId="88">
    <w:name w:val="正文1"/>
    <w:next w:val="1"/>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89">
    <w:name w:val="内容"/>
    <w:basedOn w:val="1"/>
    <w:qFormat/>
    <w:uiPriority w:val="0"/>
    <w:pPr>
      <w:spacing w:beforeLines="50" w:afterLines="50" w:line="240" w:lineRule="auto"/>
      <w:ind w:firstLine="200" w:firstLineChars="200"/>
    </w:pPr>
    <w:rPr>
      <w:rFonts w:ascii="Times New Roman" w:eastAsia="宋体"/>
      <w:color w:val="000000"/>
      <w:kern w:val="0"/>
      <w:szCs w:val="24"/>
    </w:rPr>
  </w:style>
  <w:style w:type="paragraph" w:customStyle="1" w:styleId="90">
    <w:name w:val="正文00"/>
    <w:basedOn w:val="1"/>
    <w:qFormat/>
    <w:uiPriority w:val="0"/>
    <w:pPr>
      <w:ind w:firstLine="480" w:firstLineChars="200"/>
      <w:jc w:val="left"/>
    </w:pPr>
    <w:rPr>
      <w:rFonts w:ascii="Times New Roman" w:eastAsia="宋体"/>
      <w:szCs w:val="24"/>
    </w:rPr>
  </w:style>
  <w:style w:type="paragraph" w:customStyle="1" w:styleId="91">
    <w:name w:val="样式 Times New Roman 五号 居中1"/>
    <w:basedOn w:val="1"/>
    <w:next w:val="65"/>
    <w:qFormat/>
    <w:uiPriority w:val="0"/>
    <w:pPr>
      <w:jc w:val="center"/>
    </w:pPr>
    <w:rPr>
      <w:rFonts w:eastAsia="宋体" w:cs="宋体"/>
      <w:szCs w:val="20"/>
    </w:rPr>
  </w:style>
  <w:style w:type="paragraph" w:customStyle="1" w:styleId="92">
    <w:name w:val="表、图名"/>
    <w:basedOn w:val="1"/>
    <w:qFormat/>
    <w:uiPriority w:val="0"/>
    <w:pPr>
      <w:adjustRightInd w:val="0"/>
      <w:snapToGrid w:val="0"/>
      <w:spacing w:beforeLines="50"/>
      <w:ind w:left="-6"/>
      <w:jc w:val="center"/>
    </w:pPr>
    <w:rPr>
      <w:rFonts w:ascii="Times New Roman" w:eastAsia="黑体"/>
      <w:kern w:val="2"/>
      <w:sz w:val="21"/>
      <w:szCs w:val="21"/>
    </w:rPr>
  </w:style>
  <w:style w:type="paragraph" w:customStyle="1" w:styleId="93">
    <w:name w:val="【正文】"/>
    <w:basedOn w:val="1"/>
    <w:next w:val="33"/>
    <w:qFormat/>
    <w:uiPriority w:val="0"/>
    <w:pPr>
      <w:spacing w:line="480" w:lineRule="exact"/>
      <w:ind w:firstLine="200" w:firstLineChars="200"/>
    </w:pPr>
    <w:rPr>
      <w:rFonts w:ascii="Times New Roman" w:hAnsi="Times New Roman" w:cs="宋体"/>
      <w:spacing w:val="20"/>
      <w:sz w:val="24"/>
      <w:szCs w:val="20"/>
    </w:rPr>
  </w:style>
  <w:style w:type="paragraph" w:customStyle="1" w:styleId="94">
    <w:name w:val="表表头"/>
    <w:basedOn w:val="1"/>
    <w:qFormat/>
    <w:uiPriority w:val="0"/>
    <w:pPr>
      <w:ind w:firstLine="0" w:firstLineChars="0"/>
      <w:jc w:val="center"/>
    </w:pPr>
    <w:rPr>
      <w:rFonts w:eastAsia="黑体"/>
    </w:rPr>
  </w:style>
  <w:style w:type="paragraph" w:customStyle="1" w:styleId="95">
    <w:name w:val="表格中文字"/>
    <w:basedOn w:val="96"/>
    <w:qFormat/>
    <w:uiPriority w:val="0"/>
    <w:pPr>
      <w:spacing w:line="360" w:lineRule="exact"/>
      <w:ind w:firstLine="0" w:firstLineChars="0"/>
      <w:jc w:val="center"/>
    </w:pPr>
    <w:rPr>
      <w:rFonts w:ascii="Times New Roman" w:hAnsi="Times New Roman"/>
      <w:color w:val="auto"/>
      <w:sz w:val="21"/>
      <w:szCs w:val="21"/>
    </w:rPr>
  </w:style>
  <w:style w:type="paragraph" w:customStyle="1" w:styleId="96">
    <w:name w:val="填表正文"/>
    <w:basedOn w:val="1"/>
    <w:qFormat/>
    <w:uiPriority w:val="0"/>
    <w:pPr>
      <w:adjustRightInd w:val="0"/>
      <w:snapToGrid w:val="0"/>
      <w:jc w:val="center"/>
    </w:pPr>
    <w:rPr>
      <w:rFonts w:ascii="宋体" w:hAnsi="Calibri"/>
      <w:color w:val="000000"/>
      <w:kern w:val="0"/>
      <w:szCs w:val="44"/>
    </w:rPr>
  </w:style>
  <w:style w:type="paragraph" w:customStyle="1" w:styleId="97">
    <w:name w:val="11111"/>
    <w:basedOn w:val="1"/>
    <w:next w:val="1"/>
    <w:qFormat/>
    <w:uiPriority w:val="0"/>
    <w:pPr>
      <w:spacing w:line="360" w:lineRule="auto"/>
      <w:ind w:firstLine="200" w:firstLineChars="200"/>
    </w:pPr>
    <w:rPr>
      <w:rFonts w:ascii="宋体" w:hAnsi="宋体" w:cs="宋体"/>
      <w:sz w:val="24"/>
    </w:rPr>
  </w:style>
  <w:style w:type="paragraph" w:customStyle="1" w:styleId="98">
    <w:name w:val="报告样式"/>
    <w:basedOn w:val="1"/>
    <w:qFormat/>
    <w:uiPriority w:val="0"/>
    <w:pPr>
      <w:spacing w:line="460" w:lineRule="exact"/>
      <w:ind w:firstLine="200" w:firstLineChars="200"/>
      <w:jc w:val="left"/>
    </w:pPr>
    <w:rPr>
      <w:rFonts w:ascii="Times New Roman" w:hAnsi="Times New Roman"/>
      <w:spacing w:val="20"/>
      <w:sz w:val="24"/>
      <w:szCs w:val="24"/>
    </w:rPr>
  </w:style>
  <w:style w:type="paragraph" w:customStyle="1" w:styleId="99">
    <w:name w:val="正文文本缩进A"/>
    <w:basedOn w:val="1"/>
    <w:qFormat/>
    <w:uiPriority w:val="0"/>
    <w:pPr>
      <w:spacing w:line="360" w:lineRule="auto"/>
      <w:ind w:firstLine="480" w:firstLineChars="200"/>
    </w:pPr>
    <w:rPr>
      <w:sz w:val="24"/>
    </w:rPr>
  </w:style>
  <w:style w:type="paragraph" w:customStyle="1" w:styleId="100">
    <w:name w:val="图表内容"/>
    <w:next w:val="14"/>
    <w:qFormat/>
    <w:uiPriority w:val="0"/>
    <w:pPr>
      <w:jc w:val="center"/>
    </w:pPr>
    <w:rPr>
      <w:rFonts w:ascii="Calibri" w:hAnsi="Calibri" w:eastAsia="宋体" w:cs="Times New Roman"/>
      <w:kern w:val="2"/>
      <w:sz w:val="21"/>
      <w:szCs w:val="21"/>
      <w:lang w:val="en-US" w:eastAsia="zh-CN" w:bidi="ar-SA"/>
    </w:rPr>
  </w:style>
  <w:style w:type="paragraph" w:customStyle="1" w:styleId="101">
    <w:name w:val="BTL 表格1"/>
    <w:basedOn w:val="1"/>
    <w:qFormat/>
    <w:uiPriority w:val="0"/>
    <w:pPr>
      <w:snapToGrid w:val="0"/>
      <w:spacing w:line="360" w:lineRule="exact"/>
    </w:pPr>
    <w:rPr>
      <w:rFonts w:eastAsia="楷体_GB2312"/>
      <w:color w:val="000000"/>
      <w:spacing w:val="10"/>
      <w:w w:val="80"/>
      <w:sz w:val="24"/>
    </w:rPr>
  </w:style>
  <w:style w:type="paragraph" w:customStyle="1" w:styleId="102">
    <w:name w:val="正文12"/>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103">
    <w:name w:val="【表头】"/>
    <w:basedOn w:val="1"/>
    <w:qFormat/>
    <w:uiPriority w:val="0"/>
    <w:pPr>
      <w:spacing w:line="460" w:lineRule="exact"/>
      <w:jc w:val="center"/>
    </w:pPr>
    <w:rPr>
      <w:rFonts w:ascii="Times New Roman" w:hAnsi="Times New Roman" w:eastAsia="黑体" w:cs="宋体"/>
      <w:kern w:val="0"/>
      <w:sz w:val="24"/>
      <w:szCs w:val="20"/>
    </w:rPr>
  </w:style>
  <w:style w:type="paragraph" w:customStyle="1" w:styleId="104">
    <w:name w:val="【表中文字】-"/>
    <w:basedOn w:val="1"/>
    <w:qFormat/>
    <w:uiPriority w:val="0"/>
    <w:pPr>
      <w:adjustRightInd/>
      <w:snapToGrid/>
      <w:spacing w:line="240" w:lineRule="auto"/>
      <w:ind w:firstLine="0" w:firstLineChars="0"/>
      <w:jc w:val="center"/>
    </w:pPr>
    <w:rPr>
      <w:kern w:val="0"/>
      <w:sz w:val="20"/>
      <w:szCs w:val="20"/>
    </w:rPr>
  </w:style>
  <w:style w:type="paragraph" w:customStyle="1" w:styleId="105">
    <w:name w:val="表头-------------"/>
    <w:basedOn w:val="1"/>
    <w:qFormat/>
    <w:uiPriority w:val="0"/>
    <w:pPr>
      <w:spacing w:line="460" w:lineRule="exact"/>
      <w:jc w:val="center"/>
    </w:pPr>
    <w:rPr>
      <w:rFonts w:ascii="Times New Roman" w:hAnsi="Times New Roman" w:eastAsia="黑体" w:cs="宋体"/>
      <w:kern w:val="0"/>
      <w:sz w:val="24"/>
      <w:szCs w:val="20"/>
    </w:rPr>
  </w:style>
  <w:style w:type="paragraph" w:customStyle="1" w:styleId="106">
    <w:name w:val="Table Text"/>
    <w:basedOn w:val="1"/>
    <w:semiHidden/>
    <w:qFormat/>
    <w:uiPriority w:val="0"/>
    <w:rPr>
      <w:rFonts w:ascii="Arial" w:hAnsi="Arial" w:eastAsia="Arial" w:cs="Arial"/>
      <w:sz w:val="21"/>
      <w:szCs w:val="21"/>
      <w:lang w:val="en-US" w:eastAsia="en-US" w:bidi="ar-SA"/>
    </w:rPr>
  </w:style>
  <w:style w:type="paragraph" w:customStyle="1" w:styleId="107">
    <w:name w:val="No Spacing1"/>
    <w:qFormat/>
    <w:uiPriority w:val="99"/>
    <w:pPr>
      <w:widowControl w:val="0"/>
      <w:jc w:val="both"/>
    </w:pPr>
    <w:rPr>
      <w:rFonts w:ascii="Calibri" w:hAnsi="Calibri" w:eastAsia="宋体" w:cs="Times New Roman"/>
      <w:kern w:val="2"/>
      <w:sz w:val="32"/>
      <w:szCs w:val="32"/>
      <w:lang w:val="en-US" w:eastAsia="zh-CN" w:bidi="ar-SA"/>
    </w:rPr>
  </w:style>
  <w:style w:type="paragraph" w:customStyle="1" w:styleId="108">
    <w:name w:val="正文 + 首行缩进:  2 字符"/>
    <w:basedOn w:val="1"/>
    <w:qFormat/>
    <w:uiPriority w:val="0"/>
    <w:pPr>
      <w:spacing w:line="460" w:lineRule="atLeast"/>
      <w:ind w:firstLine="528" w:firstLineChars="200"/>
    </w:pPr>
    <w:rPr>
      <w:rFonts w:ascii="Times New Roman" w:hAnsi="Times New Roman"/>
      <w:spacing w:val="12"/>
      <w:sz w:val="24"/>
      <w:szCs w:val="20"/>
    </w:rPr>
  </w:style>
  <w:style w:type="paragraph" w:customStyle="1" w:styleId="109">
    <w:name w:val="Char Char"/>
    <w:basedOn w:val="1"/>
    <w:qFormat/>
    <w:uiPriority w:val="0"/>
    <w:rPr>
      <w:rFonts w:ascii="Times New Roman" w:hAnsi="Times New Roman"/>
      <w:szCs w:val="24"/>
    </w:rPr>
  </w:style>
  <w:style w:type="paragraph" w:customStyle="1" w:styleId="110">
    <w:name w:val="_Style 4"/>
    <w:qFormat/>
    <w:uiPriority w:val="1"/>
    <w:pPr>
      <w:widowControl w:val="0"/>
      <w:spacing w:line="440" w:lineRule="exact"/>
      <w:jc w:val="both"/>
    </w:pPr>
    <w:rPr>
      <w:rFonts w:ascii="Times New Roman" w:hAnsi="Times New Roman" w:eastAsia="仿宋_GB2312" w:cs="Times New Roman"/>
      <w:kern w:val="2"/>
      <w:sz w:val="24"/>
      <w:szCs w:val="24"/>
      <w:lang w:val="en-US" w:eastAsia="zh-CN" w:bidi="ar-SA"/>
    </w:rPr>
  </w:style>
  <w:style w:type="paragraph" w:customStyle="1" w:styleId="111">
    <w:name w:val="正文----------------"/>
    <w:basedOn w:val="1"/>
    <w:qFormat/>
    <w:uiPriority w:val="0"/>
    <w:pPr>
      <w:spacing w:line="440" w:lineRule="exact"/>
      <w:ind w:firstLine="544" w:firstLineChars="200"/>
    </w:pPr>
    <w:rPr>
      <w:rFonts w:ascii="Times New Roman" w:hAnsi="Times New Roman" w:cs="宋体"/>
      <w:spacing w:val="16"/>
      <w:sz w:val="24"/>
      <w:szCs w:val="20"/>
    </w:rPr>
  </w:style>
  <w:style w:type="paragraph" w:customStyle="1" w:styleId="112">
    <w:name w:val="表格"/>
    <w:basedOn w:val="113"/>
    <w:next w:val="1"/>
    <w:qFormat/>
    <w:uiPriority w:val="0"/>
    <w:pPr>
      <w:spacing w:before="60" w:after="40"/>
      <w:jc w:val="center"/>
      <w:textAlignment w:val="center"/>
    </w:pPr>
    <w:rPr>
      <w:rFonts w:ascii="Times New Roman" w:hAnsi="Times New Roman" w:eastAsia="宋体" w:cs="Times New Roman"/>
      <w:sz w:val="21"/>
      <w:lang w:val="en-US" w:eastAsia="zh-CN" w:bidi="ar-SA"/>
    </w:rPr>
  </w:style>
  <w:style w:type="paragraph" w:customStyle="1" w:styleId="113">
    <w:name w:val="表格标题"/>
    <w:basedOn w:val="1"/>
    <w:next w:val="114"/>
    <w:qFormat/>
    <w:uiPriority w:val="0"/>
    <w:pPr>
      <w:spacing w:line="500" w:lineRule="exact"/>
      <w:jc w:val="center"/>
    </w:pPr>
    <w:rPr>
      <w:rFonts w:hAnsi="宋体" w:eastAsia="宋体"/>
      <w:b/>
      <w:color w:val="000000"/>
      <w:szCs w:val="24"/>
    </w:rPr>
  </w:style>
  <w:style w:type="paragraph" w:customStyle="1" w:styleId="114">
    <w:name w:val="报告表正文"/>
    <w:basedOn w:val="1"/>
    <w:next w:val="1"/>
    <w:qFormat/>
    <w:uiPriority w:val="0"/>
    <w:pPr>
      <w:adjustRightInd w:val="0"/>
      <w:spacing w:line="312" w:lineRule="auto"/>
      <w:ind w:left="113" w:right="113" w:firstLine="482"/>
      <w:jc w:val="left"/>
      <w:textAlignment w:val="baseline"/>
    </w:pPr>
    <w:rPr>
      <w:kern w:val="0"/>
      <w:sz w:val="24"/>
      <w:szCs w:val="22"/>
    </w:rPr>
  </w:style>
  <w:style w:type="paragraph" w:customStyle="1" w:styleId="115">
    <w:name w:val="表格文字2"/>
    <w:basedOn w:val="1"/>
    <w:qFormat/>
    <w:uiPriority w:val="0"/>
    <w:pPr>
      <w:tabs>
        <w:tab w:val="left" w:pos="277"/>
        <w:tab w:val="left" w:pos="600"/>
        <w:tab w:val="left" w:pos="780"/>
        <w:tab w:val="left" w:pos="2517"/>
      </w:tabs>
      <w:adjustRightInd w:val="0"/>
      <w:jc w:val="center"/>
      <w:textAlignment w:val="baseline"/>
    </w:pPr>
    <w:rPr>
      <w:rFonts w:ascii="Times New Roman" w:hAnsi="Times New Roman"/>
      <w:kern w:val="0"/>
      <w:szCs w:val="21"/>
    </w:rPr>
  </w:style>
  <w:style w:type="paragraph" w:customStyle="1" w:styleId="116">
    <w:name w:val="表前文字"/>
    <w:basedOn w:val="1"/>
    <w:qFormat/>
    <w:uiPriority w:val="0"/>
    <w:pPr>
      <w:spacing w:line="360" w:lineRule="auto"/>
      <w:jc w:val="center"/>
    </w:pPr>
    <w:rPr>
      <w:rFonts w:ascii="黑体" w:hAnsi="宋体" w:eastAsia="黑体"/>
      <w:sz w:val="24"/>
      <w:szCs w:val="21"/>
    </w:rPr>
  </w:style>
  <w:style w:type="paragraph" w:customStyle="1" w:styleId="117">
    <w:name w:val="表格标题样式"/>
    <w:basedOn w:val="35"/>
    <w:qFormat/>
    <w:uiPriority w:val="0"/>
    <w:pPr>
      <w:spacing w:after="0" w:line="480" w:lineRule="exact"/>
      <w:ind w:firstLine="0" w:firstLineChars="0"/>
      <w:jc w:val="center"/>
    </w:pPr>
    <w:rPr>
      <w:rFonts w:ascii="Times New Roman" w:hAnsi="Times New Roman" w:eastAsia="黑体"/>
      <w:snapToGrid w:val="0"/>
      <w:color w:val="0070C0"/>
      <w:sz w:val="24"/>
      <w:szCs w:val="24"/>
    </w:rPr>
  </w:style>
  <w:style w:type="character" w:customStyle="1" w:styleId="118">
    <w:name w:val="font41"/>
    <w:basedOn w:val="39"/>
    <w:qFormat/>
    <w:uiPriority w:val="0"/>
    <w:rPr>
      <w:rFonts w:hint="eastAsia" w:ascii="宋体" w:hAnsi="宋体" w:eastAsia="宋体" w:cs="宋体"/>
      <w:color w:val="0070C0"/>
      <w:sz w:val="21"/>
      <w:szCs w:val="21"/>
      <w:u w:val="none"/>
    </w:rPr>
  </w:style>
  <w:style w:type="character" w:customStyle="1" w:styleId="119">
    <w:name w:val="font51"/>
    <w:basedOn w:val="39"/>
    <w:qFormat/>
    <w:uiPriority w:val="0"/>
    <w:rPr>
      <w:rFonts w:hint="default" w:ascii="Times New Roman" w:hAnsi="Times New Roman" w:cs="Times New Roman"/>
      <w:color w:val="0070C0"/>
      <w:sz w:val="21"/>
      <w:szCs w:val="21"/>
      <w:u w:val="none"/>
    </w:rPr>
  </w:style>
  <w:style w:type="paragraph" w:customStyle="1" w:styleId="120">
    <w:name w:val="样式 黑体 居中 行距: 1.5 倍行距"/>
    <w:basedOn w:val="1"/>
    <w:qFormat/>
    <w:uiPriority w:val="0"/>
    <w:pPr>
      <w:spacing w:line="360" w:lineRule="auto"/>
      <w:jc w:val="center"/>
    </w:pPr>
    <w:rPr>
      <w:rFonts w:ascii="黑体" w:hAnsi="黑体" w:eastAsia="黑体"/>
      <w:kern w:val="0"/>
      <w:sz w:val="24"/>
      <w:szCs w:val="20"/>
    </w:rPr>
  </w:style>
  <w:style w:type="paragraph" w:customStyle="1" w:styleId="121">
    <w:name w:val="9"/>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122">
    <w:name w:val="a正文"/>
    <w:basedOn w:val="1"/>
    <w:qFormat/>
    <w:uiPriority w:val="0"/>
    <w:pPr>
      <w:spacing w:line="520" w:lineRule="exact"/>
      <w:ind w:firstLine="561"/>
    </w:pPr>
    <w:rPr>
      <w:rFonts w:ascii="Times New Roman" w:hAnsi="Times New Roman"/>
      <w:sz w:val="28"/>
      <w:szCs w:val="20"/>
    </w:rPr>
  </w:style>
  <w:style w:type="paragraph" w:customStyle="1" w:styleId="123">
    <w:name w:val="正文6"/>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124">
    <w:name w:val="正文15"/>
    <w:qFormat/>
    <w:uiPriority w:val="0"/>
    <w:pPr>
      <w:widowControl w:val="0"/>
      <w:adjustRightInd w:val="0"/>
      <w:spacing w:line="360" w:lineRule="atLeast"/>
    </w:pPr>
    <w:rPr>
      <w:rFonts w:ascii="宋体" w:hAnsi="宋体" w:eastAsia="宋体" w:cs="Times New Roman"/>
      <w:sz w:val="24"/>
      <w:lang w:val="en-US" w:eastAsia="zh-CN" w:bidi="ar-SA"/>
    </w:rPr>
  </w:style>
  <w:style w:type="paragraph" w:customStyle="1" w:styleId="125">
    <w:name w:val="简单回函地址"/>
    <w:basedOn w:val="1"/>
    <w:qFormat/>
    <w:uiPriority w:val="0"/>
    <w:rPr>
      <w:rFonts w:ascii="Times New Roman" w:hAnsi="Times New Roman"/>
      <w:szCs w:val="24"/>
    </w:rPr>
  </w:style>
  <w:style w:type="paragraph" w:customStyle="1" w:styleId="126">
    <w:name w:val="p19"/>
    <w:basedOn w:val="1"/>
    <w:qFormat/>
    <w:uiPriority w:val="0"/>
    <w:pPr>
      <w:widowControl/>
      <w:jc w:val="center"/>
    </w:pPr>
    <w:rPr>
      <w:rFonts w:ascii="Times New Roman" w:hAnsi="Times New Roman"/>
      <w:kern w:val="0"/>
      <w:szCs w:val="21"/>
    </w:rPr>
  </w:style>
  <w:style w:type="paragraph" w:customStyle="1" w:styleId="127">
    <w:name w:val="p0"/>
    <w:basedOn w:val="1"/>
    <w:qFormat/>
    <w:uiPriority w:val="0"/>
    <w:pPr>
      <w:widowControl/>
    </w:pPr>
    <w:rPr>
      <w:rFonts w:ascii="Times New Roman" w:hAnsi="Times New Roman"/>
      <w:kern w:val="0"/>
      <w:szCs w:val="20"/>
    </w:rPr>
  </w:style>
  <w:style w:type="paragraph" w:customStyle="1" w:styleId="128">
    <w:name w:val="表1"/>
    <w:next w:val="1"/>
    <w:qFormat/>
    <w:uiPriority w:val="0"/>
    <w:pPr>
      <w:adjustRightInd w:val="0"/>
      <w:snapToGrid w:val="0"/>
      <w:jc w:val="center"/>
    </w:pPr>
    <w:rPr>
      <w:rFonts w:ascii="Times New Roman" w:hAnsi="Times New Roman" w:eastAsia="宋体" w:cs="Times New Roman"/>
      <w:sz w:val="21"/>
      <w:lang w:val="en-US" w:eastAsia="zh-CN" w:bidi="ar-SA"/>
    </w:rPr>
  </w:style>
  <w:style w:type="character" w:customStyle="1" w:styleId="129">
    <w:name w:val="font21"/>
    <w:basedOn w:val="39"/>
    <w:qFormat/>
    <w:uiPriority w:val="0"/>
    <w:rPr>
      <w:rFonts w:hint="eastAsia" w:ascii="宋体" w:hAnsi="宋体" w:eastAsia="宋体" w:cs="宋体"/>
      <w:color w:val="00B050"/>
      <w:sz w:val="21"/>
      <w:szCs w:val="21"/>
      <w:u w:val="none"/>
    </w:rPr>
  </w:style>
  <w:style w:type="character" w:customStyle="1" w:styleId="130">
    <w:name w:val="font31"/>
    <w:basedOn w:val="39"/>
    <w:qFormat/>
    <w:uiPriority w:val="0"/>
    <w:rPr>
      <w:rFonts w:hint="default" w:ascii="Times New Roman" w:hAnsi="Times New Roman" w:cs="Times New Roman"/>
      <w:color w:val="00B050"/>
      <w:sz w:val="21"/>
      <w:szCs w:val="21"/>
      <w:u w:val="none"/>
    </w:rPr>
  </w:style>
  <w:style w:type="paragraph" w:customStyle="1" w:styleId="131">
    <w:name w:val="表格名称"/>
    <w:basedOn w:val="1"/>
    <w:qFormat/>
    <w:uiPriority w:val="0"/>
    <w:pPr>
      <w:spacing w:beforeLines="50" w:line="240" w:lineRule="auto"/>
      <w:ind w:firstLine="0" w:firstLineChars="0"/>
      <w:jc w:val="center"/>
    </w:pPr>
    <w:rPr>
      <w:rFonts w:cs="Times New Roman"/>
      <w:b/>
      <w:bCs/>
      <w:sz w:val="21"/>
      <w:szCs w:val="21"/>
      <w:lang w:val="zh-CN"/>
    </w:rPr>
  </w:style>
  <w:style w:type="paragraph" w:customStyle="1" w:styleId="132">
    <w:name w:val="正文11"/>
    <w:qFormat/>
    <w:uiPriority w:val="0"/>
    <w:pPr>
      <w:widowControl w:val="0"/>
      <w:tabs>
        <w:tab w:val="left" w:pos="567"/>
      </w:tabs>
      <w:adjustRightInd w:val="0"/>
      <w:spacing w:line="360" w:lineRule="atLeast"/>
      <w:ind w:left="567" w:hanging="567"/>
      <w:textAlignment w:val="baseline"/>
    </w:pPr>
    <w:rPr>
      <w:rFonts w:ascii="宋体" w:hAnsi="Times New Roman" w:eastAsia="宋体" w:cs="Times New Roman"/>
      <w:sz w:val="24"/>
      <w:lang w:val="en-US" w:eastAsia="zh-CN" w:bidi="ar-SA"/>
    </w:rPr>
  </w:style>
  <w:style w:type="paragraph" w:customStyle="1" w:styleId="133">
    <w:name w:val="列出段落1"/>
    <w:basedOn w:val="1"/>
    <w:qFormat/>
    <w:uiPriority w:val="99"/>
    <w:pPr>
      <w:autoSpaceDE w:val="0"/>
      <w:autoSpaceDN w:val="0"/>
      <w:spacing w:line="400" w:lineRule="exact"/>
      <w:ind w:firstLine="420" w:firstLineChars="200"/>
      <w:jc w:val="left"/>
    </w:pPr>
    <w:rPr>
      <w:rFonts w:eastAsia="仿宋" w:cs="宋体"/>
      <w:kern w:val="0"/>
      <w:sz w:val="24"/>
      <w:szCs w:val="22"/>
      <w:lang w:val="zh-CN"/>
    </w:rPr>
  </w:style>
  <w:style w:type="paragraph" w:customStyle="1" w:styleId="134">
    <w:name w:val="标题 段落4级"/>
    <w:qFormat/>
    <w:uiPriority w:val="0"/>
    <w:pPr>
      <w:spacing w:line="500" w:lineRule="exact"/>
      <w:outlineLvl w:val="3"/>
    </w:pPr>
    <w:rPr>
      <w:rFonts w:ascii="Times New Roman" w:hAnsi="Times New Roman" w:eastAsia="仿宋_GB2312" w:cs="Calibri"/>
      <w:b/>
      <w:kern w:val="2"/>
      <w:sz w:val="28"/>
      <w:szCs w:val="24"/>
      <w:lang w:val="en-US" w:eastAsia="zh-CN" w:bidi="ar-SA"/>
    </w:rPr>
  </w:style>
  <w:style w:type="character" w:customStyle="1" w:styleId="135">
    <w:name w:val="font11"/>
    <w:basedOn w:val="39"/>
    <w:qFormat/>
    <w:uiPriority w:val="0"/>
    <w:rPr>
      <w:rFonts w:hint="eastAsia" w:ascii="宋体" w:hAnsi="宋体" w:eastAsia="宋体" w:cs="宋体"/>
      <w:color w:val="000000"/>
      <w:sz w:val="21"/>
      <w:szCs w:val="21"/>
      <w:u w:val="none"/>
    </w:rPr>
  </w:style>
  <w:style w:type="paragraph" w:customStyle="1" w:styleId="136">
    <w:name w:val="SpireTableThStyle8dbbadb1-f52e-4e1f-b1b8-bad119a6a689"/>
    <w:basedOn w:val="1"/>
    <w:qFormat/>
    <w:uiPriority w:val="0"/>
    <w:pPr>
      <w:jc w:val="center"/>
    </w:pPr>
    <w:rPr>
      <w:b/>
      <w:sz w:val="24"/>
    </w:rPr>
  </w:style>
  <w:style w:type="paragraph" w:customStyle="1" w:styleId="137">
    <w:name w:val="SpireTableThStylebfe42d67-f34b-4203-83e6-4c254eb990d8"/>
    <w:basedOn w:val="1"/>
    <w:qFormat/>
    <w:uiPriority w:val="0"/>
    <w:pPr>
      <w:jc w:val="center"/>
    </w:pPr>
    <w:rPr>
      <w:b/>
      <w:sz w:val="24"/>
    </w:rPr>
  </w:style>
  <w:style w:type="paragraph" w:customStyle="1" w:styleId="138">
    <w:name w:val="SpireTableThStylee58a1cfa-af0d-48de-b8b6-d58ea4ca066a"/>
    <w:basedOn w:val="1"/>
    <w:qFormat/>
    <w:uiPriority w:val="0"/>
    <w:pPr>
      <w:jc w:val="center"/>
    </w:pPr>
    <w:rPr>
      <w:b/>
      <w:sz w:val="24"/>
    </w:rPr>
  </w:style>
  <w:style w:type="paragraph" w:customStyle="1" w:styleId="139">
    <w:name w:val="SpireTableThStyleee2c6c1c-13ee-47b0-8c6e-17311facfab9"/>
    <w:basedOn w:val="1"/>
    <w:qFormat/>
    <w:uiPriority w:val="0"/>
    <w:pPr>
      <w:jc w:val="center"/>
    </w:pPr>
    <w:rPr>
      <w:b/>
      <w:sz w:val="24"/>
    </w:rPr>
  </w:style>
  <w:style w:type="paragraph" w:customStyle="1" w:styleId="140">
    <w:name w:val="SpireTableThStyle1b0739fc-638f-4ed7-a309-9ba6dbab996a"/>
    <w:basedOn w:val="1"/>
    <w:qFormat/>
    <w:uiPriority w:val="0"/>
    <w:pPr>
      <w:jc w:val="center"/>
    </w:pPr>
    <w:rPr>
      <w:b/>
      <w:sz w:val="24"/>
    </w:rPr>
  </w:style>
  <w:style w:type="paragraph" w:customStyle="1" w:styleId="141">
    <w:name w:val="SpireTableThStyle9a06a022-9ea8-4c0f-afd0-1ce83aae0599"/>
    <w:basedOn w:val="1"/>
    <w:qFormat/>
    <w:uiPriority w:val="0"/>
    <w:pPr>
      <w:jc w:val="center"/>
    </w:pPr>
    <w:rPr>
      <w:b/>
      <w:sz w:val="24"/>
    </w:rPr>
  </w:style>
  <w:style w:type="paragraph" w:customStyle="1" w:styleId="142">
    <w:name w:val="SpireTableThStyle1e3912ae-1f3a-43c6-9bf2-a80877f62bf0"/>
    <w:basedOn w:val="1"/>
    <w:qFormat/>
    <w:uiPriority w:val="0"/>
    <w:pPr>
      <w:jc w:val="center"/>
    </w:pPr>
    <w:rPr>
      <w:b/>
      <w:sz w:val="24"/>
    </w:rPr>
  </w:style>
  <w:style w:type="paragraph" w:customStyle="1" w:styleId="143">
    <w:name w:val="SpireTableThStyleb1c58e0b-3b82-4c44-bfb8-09ebf521d0f0"/>
    <w:basedOn w:val="1"/>
    <w:qFormat/>
    <w:uiPriority w:val="0"/>
    <w:pPr>
      <w:jc w:val="center"/>
    </w:pPr>
    <w:rPr>
      <w:b/>
      <w:sz w:val="24"/>
    </w:rPr>
  </w:style>
  <w:style w:type="paragraph" w:customStyle="1" w:styleId="144">
    <w:name w:val="SpireTableThStyle8b38c4ab-8bae-4a13-bfd6-c83b9006aa44"/>
    <w:basedOn w:val="1"/>
    <w:qFormat/>
    <w:uiPriority w:val="0"/>
    <w:pPr>
      <w:jc w:val="center"/>
    </w:pPr>
    <w:rPr>
      <w:b/>
      <w:sz w:val="24"/>
    </w:rPr>
  </w:style>
  <w:style w:type="paragraph" w:customStyle="1" w:styleId="145">
    <w:name w:val="SpireTableThStylef7f4c536-7006-446e-84fd-c6dda98f14b2"/>
    <w:basedOn w:val="1"/>
    <w:qFormat/>
    <w:uiPriority w:val="0"/>
    <w:pPr>
      <w:jc w:val="center"/>
    </w:pPr>
    <w:rPr>
      <w:b/>
      <w:sz w:val="24"/>
    </w:rPr>
  </w:style>
  <w:style w:type="paragraph" w:customStyle="1" w:styleId="146">
    <w:name w:val="SpireTableThStyle3f5d3638-0a7f-45bb-bd3e-7cba6ce7ceb9"/>
    <w:basedOn w:val="1"/>
    <w:qFormat/>
    <w:uiPriority w:val="0"/>
    <w:pPr>
      <w:jc w:val="center"/>
    </w:pPr>
    <w:rPr>
      <w:b/>
      <w:sz w:val="24"/>
    </w:rPr>
  </w:style>
  <w:style w:type="paragraph" w:customStyle="1" w:styleId="147">
    <w:name w:val="SpireTableThStyleeedd4074-a63b-46ee-89d8-f069f456491f"/>
    <w:basedOn w:val="1"/>
    <w:qFormat/>
    <w:uiPriority w:val="0"/>
    <w:pPr>
      <w:jc w:val="center"/>
    </w:pPr>
    <w:rPr>
      <w:b/>
      <w:sz w:val="24"/>
    </w:rPr>
  </w:style>
  <w:style w:type="paragraph" w:customStyle="1" w:styleId="148">
    <w:name w:val="表格内容"/>
    <w:basedOn w:val="1"/>
    <w:next w:val="1"/>
    <w:qFormat/>
    <w:uiPriority w:val="0"/>
    <w:pPr>
      <w:overflowPunct w:val="0"/>
      <w:adjustRightInd w:val="0"/>
      <w:spacing w:before="40" w:beforeLines="0" w:after="60" w:afterLines="0" w:line="200" w:lineRule="atLeast"/>
      <w:textAlignment w:val="baseline"/>
    </w:pPr>
    <w:rPr>
      <w:rFonts w:ascii="Arial" w:hAnsi="Arial" w:eastAsia="仿宋_GB2312"/>
      <w:kern w:val="0"/>
      <w:sz w:val="24"/>
      <w:szCs w:val="20"/>
    </w:rPr>
  </w:style>
  <w:style w:type="character" w:customStyle="1" w:styleId="149">
    <w:name w:val="font01"/>
    <w:basedOn w:val="39"/>
    <w:qFormat/>
    <w:uiPriority w:val="0"/>
    <w:rPr>
      <w:rFonts w:hint="eastAsia" w:ascii="宋体" w:hAnsi="宋体" w:eastAsia="宋体" w:cs="宋体"/>
      <w:color w:val="000000"/>
      <w:sz w:val="22"/>
      <w:szCs w:val="22"/>
      <w:u w:val="none"/>
      <w:vertAlign w:val="subscript"/>
    </w:rPr>
  </w:style>
  <w:style w:type="paragraph" w:customStyle="1" w:styleId="150">
    <w:name w:val="Body Text 22"/>
    <w:qFormat/>
    <w:uiPriority w:val="0"/>
    <w:pPr>
      <w:widowControl w:val="0"/>
      <w:adjustRightInd w:val="0"/>
      <w:spacing w:line="440" w:lineRule="atLeast"/>
      <w:ind w:firstLine="480"/>
      <w:jc w:val="both"/>
      <w:textAlignment w:val="baseline"/>
    </w:pPr>
    <w:rPr>
      <w:rFonts w:ascii="Times New Roman" w:hAnsi="Times New Roman" w:eastAsia="仿宋_GB2312" w:cs="Times New Roman"/>
      <w:kern w:val="2"/>
      <w:sz w:val="24"/>
      <w:szCs w:val="20"/>
      <w:lang w:val="en-US" w:eastAsia="zh-CN" w:bidi="ar-SA"/>
    </w:rPr>
  </w:style>
  <w:style w:type="paragraph" w:customStyle="1" w:styleId="151">
    <w:name w:val="样式 表格内容 +"/>
    <w:basedOn w:val="19"/>
    <w:qFormat/>
    <w:uiPriority w:val="99"/>
    <w:pPr>
      <w:tabs>
        <w:tab w:val="left" w:pos="2880"/>
      </w:tabs>
      <w:adjustRightInd w:val="0"/>
      <w:snapToGrid w:val="0"/>
      <w:jc w:val="center"/>
    </w:pPr>
    <w:rPr>
      <w:rFonts w:ascii="Times New Roman" w:hAnsi="Times New Roman" w:cs="Times New Roman"/>
      <w:w w:val="110"/>
      <w:u w:val="single"/>
    </w:rPr>
  </w:style>
  <w:style w:type="paragraph" w:customStyle="1" w:styleId="152">
    <w:name w:val="正文文本1"/>
    <w:qFormat/>
    <w:uiPriority w:val="0"/>
    <w:pPr>
      <w:keepNext w:val="0"/>
      <w:keepLines w:val="0"/>
      <w:widowControl w:val="0"/>
      <w:shd w:val="clear" w:color="auto" w:fill="FFFFFF"/>
      <w:bidi w:val="0"/>
      <w:spacing w:before="540" w:after="0" w:line="931" w:lineRule="exact"/>
      <w:ind w:left="0" w:right="0" w:firstLine="0"/>
      <w:jc w:val="left"/>
    </w:pPr>
    <w:rPr>
      <w:rFonts w:ascii="MingLiU" w:hAnsi="MingLiU" w:eastAsia="MingLiU" w:cs="MingLiU"/>
      <w:color w:val="000000"/>
      <w:spacing w:val="20"/>
      <w:w w:val="100"/>
      <w:position w:val="0"/>
      <w:sz w:val="42"/>
      <w:szCs w:val="42"/>
      <w:u w:val="none"/>
      <w:lang w:val="zh-TW"/>
    </w:rPr>
  </w:style>
</w:styles>
</file>

<file path=word/_rels/document.xml.rels><?xml version="1.0" encoding="UTF-8" standalone="yes"?>
<Relationships xmlns="http://schemas.openxmlformats.org/package/2006/relationships"><Relationship Id="rId99" Type="http://schemas.openxmlformats.org/officeDocument/2006/relationships/image" Target="media/image56.png"/><Relationship Id="rId98" Type="http://schemas.openxmlformats.org/officeDocument/2006/relationships/image" Target="media/image55.png"/><Relationship Id="rId97" Type="http://schemas.openxmlformats.org/officeDocument/2006/relationships/image" Target="media/image54.png"/><Relationship Id="rId96" Type="http://schemas.openxmlformats.org/officeDocument/2006/relationships/image" Target="media/image53.png"/><Relationship Id="rId95" Type="http://schemas.openxmlformats.org/officeDocument/2006/relationships/image" Target="media/image52.png"/><Relationship Id="rId94" Type="http://schemas.openxmlformats.org/officeDocument/2006/relationships/image" Target="media/image51.wmf"/><Relationship Id="rId93" Type="http://schemas.openxmlformats.org/officeDocument/2006/relationships/oleObject" Target="embeddings/oleObject26.bin"/><Relationship Id="rId92" Type="http://schemas.openxmlformats.org/officeDocument/2006/relationships/image" Target="media/image50.png"/><Relationship Id="rId91" Type="http://schemas.openxmlformats.org/officeDocument/2006/relationships/image" Target="media/image49.png"/><Relationship Id="rId90" Type="http://schemas.openxmlformats.org/officeDocument/2006/relationships/image" Target="media/image48.jpeg"/><Relationship Id="rId9" Type="http://schemas.openxmlformats.org/officeDocument/2006/relationships/footer" Target="footer2.xml"/><Relationship Id="rId89" Type="http://schemas.openxmlformats.org/officeDocument/2006/relationships/image" Target="media/image47.png"/><Relationship Id="rId88" Type="http://schemas.openxmlformats.org/officeDocument/2006/relationships/image" Target="media/image46.wmf"/><Relationship Id="rId87" Type="http://schemas.openxmlformats.org/officeDocument/2006/relationships/oleObject" Target="embeddings/oleObject25.bin"/><Relationship Id="rId86" Type="http://schemas.openxmlformats.org/officeDocument/2006/relationships/image" Target="media/image45.wmf"/><Relationship Id="rId85" Type="http://schemas.openxmlformats.org/officeDocument/2006/relationships/oleObject" Target="embeddings/oleObject24.bin"/><Relationship Id="rId84" Type="http://schemas.openxmlformats.org/officeDocument/2006/relationships/image" Target="media/image44.wmf"/><Relationship Id="rId83" Type="http://schemas.openxmlformats.org/officeDocument/2006/relationships/oleObject" Target="embeddings/oleObject23.bin"/><Relationship Id="rId82" Type="http://schemas.openxmlformats.org/officeDocument/2006/relationships/image" Target="media/image43.wmf"/><Relationship Id="rId81" Type="http://schemas.openxmlformats.org/officeDocument/2006/relationships/oleObject" Target="embeddings/oleObject22.bin"/><Relationship Id="rId80" Type="http://schemas.openxmlformats.org/officeDocument/2006/relationships/image" Target="media/image42.wmf"/><Relationship Id="rId8" Type="http://schemas.openxmlformats.org/officeDocument/2006/relationships/footer" Target="footer1.xml"/><Relationship Id="rId79" Type="http://schemas.openxmlformats.org/officeDocument/2006/relationships/oleObject" Target="embeddings/oleObject21.bin"/><Relationship Id="rId78" Type="http://schemas.openxmlformats.org/officeDocument/2006/relationships/image" Target="media/image41.png"/><Relationship Id="rId77" Type="http://schemas.openxmlformats.org/officeDocument/2006/relationships/image" Target="media/image40.png"/><Relationship Id="rId76" Type="http://schemas.openxmlformats.org/officeDocument/2006/relationships/image" Target="media/image39.png"/><Relationship Id="rId75" Type="http://schemas.openxmlformats.org/officeDocument/2006/relationships/image" Target="media/image38.png"/><Relationship Id="rId74" Type="http://schemas.openxmlformats.org/officeDocument/2006/relationships/image" Target="media/image37.wmf"/><Relationship Id="rId73" Type="http://schemas.openxmlformats.org/officeDocument/2006/relationships/oleObject" Target="embeddings/oleObject20.bin"/><Relationship Id="rId72" Type="http://schemas.openxmlformats.org/officeDocument/2006/relationships/image" Target="media/image36.wmf"/><Relationship Id="rId71" Type="http://schemas.openxmlformats.org/officeDocument/2006/relationships/oleObject" Target="embeddings/oleObject19.bin"/><Relationship Id="rId70" Type="http://schemas.openxmlformats.org/officeDocument/2006/relationships/image" Target="media/image35.wmf"/><Relationship Id="rId7" Type="http://schemas.openxmlformats.org/officeDocument/2006/relationships/header" Target="header3.xml"/><Relationship Id="rId69" Type="http://schemas.openxmlformats.org/officeDocument/2006/relationships/oleObject" Target="embeddings/oleObject18.bin"/><Relationship Id="rId68" Type="http://schemas.openxmlformats.org/officeDocument/2006/relationships/image" Target="media/image34.wmf"/><Relationship Id="rId67" Type="http://schemas.openxmlformats.org/officeDocument/2006/relationships/oleObject" Target="embeddings/oleObject17.bin"/><Relationship Id="rId66" Type="http://schemas.openxmlformats.org/officeDocument/2006/relationships/image" Target="media/image33.wmf"/><Relationship Id="rId65" Type="http://schemas.openxmlformats.org/officeDocument/2006/relationships/oleObject" Target="embeddings/oleObject16.bin"/><Relationship Id="rId64" Type="http://schemas.openxmlformats.org/officeDocument/2006/relationships/image" Target="media/image32.wmf"/><Relationship Id="rId63" Type="http://schemas.openxmlformats.org/officeDocument/2006/relationships/oleObject" Target="embeddings/oleObject15.bin"/><Relationship Id="rId62" Type="http://schemas.openxmlformats.org/officeDocument/2006/relationships/image" Target="media/image31.png"/><Relationship Id="rId61" Type="http://schemas.openxmlformats.org/officeDocument/2006/relationships/image" Target="media/image30.wmf"/><Relationship Id="rId60" Type="http://schemas.openxmlformats.org/officeDocument/2006/relationships/oleObject" Target="embeddings/oleObject14.bin"/><Relationship Id="rId6" Type="http://schemas.openxmlformats.org/officeDocument/2006/relationships/header" Target="header2.xml"/><Relationship Id="rId59" Type="http://schemas.openxmlformats.org/officeDocument/2006/relationships/image" Target="media/image29.png"/><Relationship Id="rId58" Type="http://schemas.openxmlformats.org/officeDocument/2006/relationships/image" Target="media/image28.png"/><Relationship Id="rId57" Type="http://schemas.openxmlformats.org/officeDocument/2006/relationships/image" Target="media/image27.wmf"/><Relationship Id="rId56" Type="http://schemas.openxmlformats.org/officeDocument/2006/relationships/oleObject" Target="embeddings/oleObject13.bin"/><Relationship Id="rId55" Type="http://schemas.openxmlformats.org/officeDocument/2006/relationships/image" Target="media/image26.wmf"/><Relationship Id="rId54" Type="http://schemas.openxmlformats.org/officeDocument/2006/relationships/oleObject" Target="embeddings/oleObject12.bin"/><Relationship Id="rId53" Type="http://schemas.openxmlformats.org/officeDocument/2006/relationships/image" Target="media/image25.wmf"/><Relationship Id="rId52" Type="http://schemas.openxmlformats.org/officeDocument/2006/relationships/oleObject" Target="embeddings/oleObject11.bin"/><Relationship Id="rId51" Type="http://schemas.openxmlformats.org/officeDocument/2006/relationships/image" Target="media/image24.wmf"/><Relationship Id="rId50" Type="http://schemas.openxmlformats.org/officeDocument/2006/relationships/oleObject" Target="embeddings/oleObject10.bin"/><Relationship Id="rId5" Type="http://schemas.openxmlformats.org/officeDocument/2006/relationships/header" Target="header1.xml"/><Relationship Id="rId49" Type="http://schemas.openxmlformats.org/officeDocument/2006/relationships/image" Target="media/image23.wmf"/><Relationship Id="rId48" Type="http://schemas.openxmlformats.org/officeDocument/2006/relationships/oleObject" Target="embeddings/oleObject9.bin"/><Relationship Id="rId47" Type="http://schemas.openxmlformats.org/officeDocument/2006/relationships/image" Target="media/image22.wmf"/><Relationship Id="rId46" Type="http://schemas.openxmlformats.org/officeDocument/2006/relationships/oleObject" Target="embeddings/oleObject8.bin"/><Relationship Id="rId45" Type="http://schemas.openxmlformats.org/officeDocument/2006/relationships/image" Target="media/image21.wmf"/><Relationship Id="rId44" Type="http://schemas.openxmlformats.org/officeDocument/2006/relationships/oleObject" Target="embeddings/oleObject7.bin"/><Relationship Id="rId43" Type="http://schemas.openxmlformats.org/officeDocument/2006/relationships/image" Target="media/image20.wmf"/><Relationship Id="rId42" Type="http://schemas.openxmlformats.org/officeDocument/2006/relationships/oleObject" Target="embeddings/oleObject6.bin"/><Relationship Id="rId41" Type="http://schemas.openxmlformats.org/officeDocument/2006/relationships/image" Target="media/image19.wmf"/><Relationship Id="rId40" Type="http://schemas.openxmlformats.org/officeDocument/2006/relationships/oleObject" Target="embeddings/oleObject5.bin"/><Relationship Id="rId4" Type="http://schemas.openxmlformats.org/officeDocument/2006/relationships/endnotes" Target="endnotes.xml"/><Relationship Id="rId39" Type="http://schemas.openxmlformats.org/officeDocument/2006/relationships/image" Target="media/image18.wmf"/><Relationship Id="rId38" Type="http://schemas.openxmlformats.org/officeDocument/2006/relationships/oleObject" Target="embeddings/oleObject4.bin"/><Relationship Id="rId37" Type="http://schemas.openxmlformats.org/officeDocument/2006/relationships/image" Target="media/image17.png"/><Relationship Id="rId36" Type="http://schemas.openxmlformats.org/officeDocument/2006/relationships/image" Target="media/image16.emf"/><Relationship Id="rId35" Type="http://schemas.openxmlformats.org/officeDocument/2006/relationships/oleObject" Target="embeddings/oleObject3.bin"/><Relationship Id="rId34" Type="http://schemas.openxmlformats.org/officeDocument/2006/relationships/image" Target="media/image15.emf"/><Relationship Id="rId33" Type="http://schemas.openxmlformats.org/officeDocument/2006/relationships/oleObject" Target="embeddings/oleObject2.bin"/><Relationship Id="rId32" Type="http://schemas.openxmlformats.org/officeDocument/2006/relationships/image" Target="media/image14.png"/><Relationship Id="rId31" Type="http://schemas.openxmlformats.org/officeDocument/2006/relationships/image" Target="media/image13.png"/><Relationship Id="rId30" Type="http://schemas.openxmlformats.org/officeDocument/2006/relationships/image" Target="media/image12.png"/><Relationship Id="rId3" Type="http://schemas.openxmlformats.org/officeDocument/2006/relationships/footnotes" Target="footnotes.xml"/><Relationship Id="rId29" Type="http://schemas.openxmlformats.org/officeDocument/2006/relationships/image" Target="media/image11.png"/><Relationship Id="rId28" Type="http://schemas.openxmlformats.org/officeDocument/2006/relationships/image" Target="media/image10.png"/><Relationship Id="rId27" Type="http://schemas.openxmlformats.org/officeDocument/2006/relationships/image" Target="media/image9.png"/><Relationship Id="rId26" Type="http://schemas.openxmlformats.org/officeDocument/2006/relationships/image" Target="media/image8.png"/><Relationship Id="rId25" Type="http://schemas.openxmlformats.org/officeDocument/2006/relationships/image" Target="media/image7.png"/><Relationship Id="rId24" Type="http://schemas.openxmlformats.org/officeDocument/2006/relationships/image" Target="media/image6.png"/><Relationship Id="rId23" Type="http://schemas.openxmlformats.org/officeDocument/2006/relationships/image" Target="media/image5.png"/><Relationship Id="rId22" Type="http://schemas.openxmlformats.org/officeDocument/2006/relationships/image" Target="media/image4.wmf"/><Relationship Id="rId219" Type="http://schemas.openxmlformats.org/officeDocument/2006/relationships/fontTable" Target="fontTable.xml"/><Relationship Id="rId218" Type="http://schemas.openxmlformats.org/officeDocument/2006/relationships/customXml" Target="../customXml/item3.xml"/><Relationship Id="rId217" Type="http://schemas.openxmlformats.org/officeDocument/2006/relationships/customXml" Target="../customXml/item2.xml"/><Relationship Id="rId216" Type="http://schemas.openxmlformats.org/officeDocument/2006/relationships/numbering" Target="numbering.xml"/><Relationship Id="rId215" Type="http://schemas.openxmlformats.org/officeDocument/2006/relationships/customXml" Target="../customXml/item1.xml"/><Relationship Id="rId214" Type="http://schemas.openxmlformats.org/officeDocument/2006/relationships/image" Target="media/image158.png"/><Relationship Id="rId213" Type="http://schemas.openxmlformats.org/officeDocument/2006/relationships/image" Target="media/image157.png"/><Relationship Id="rId212" Type="http://schemas.openxmlformats.org/officeDocument/2006/relationships/image" Target="media/image156.png"/><Relationship Id="rId211" Type="http://schemas.openxmlformats.org/officeDocument/2006/relationships/image" Target="media/image155.png"/><Relationship Id="rId210" Type="http://schemas.openxmlformats.org/officeDocument/2006/relationships/image" Target="media/image154.png"/><Relationship Id="rId21" Type="http://schemas.openxmlformats.org/officeDocument/2006/relationships/oleObject" Target="embeddings/oleObject1.bin"/><Relationship Id="rId209" Type="http://schemas.openxmlformats.org/officeDocument/2006/relationships/image" Target="media/image153.png"/><Relationship Id="rId208" Type="http://schemas.openxmlformats.org/officeDocument/2006/relationships/image" Target="media/image152.jpeg"/><Relationship Id="rId207" Type="http://schemas.openxmlformats.org/officeDocument/2006/relationships/image" Target="media/image151.jpeg"/><Relationship Id="rId206" Type="http://schemas.openxmlformats.org/officeDocument/2006/relationships/image" Target="media/image150.jpeg"/><Relationship Id="rId205" Type="http://schemas.openxmlformats.org/officeDocument/2006/relationships/image" Target="media/image149.jpeg"/><Relationship Id="rId204" Type="http://schemas.openxmlformats.org/officeDocument/2006/relationships/image" Target="media/image148.jpeg"/><Relationship Id="rId203" Type="http://schemas.openxmlformats.org/officeDocument/2006/relationships/image" Target="media/image147.jpeg"/><Relationship Id="rId202" Type="http://schemas.openxmlformats.org/officeDocument/2006/relationships/image" Target="media/image146.jpeg"/><Relationship Id="rId201" Type="http://schemas.openxmlformats.org/officeDocument/2006/relationships/image" Target="media/image145.jpeg"/><Relationship Id="rId200" Type="http://schemas.openxmlformats.org/officeDocument/2006/relationships/image" Target="media/image144.jpeg"/><Relationship Id="rId20" Type="http://schemas.openxmlformats.org/officeDocument/2006/relationships/image" Target="media/image3.jpeg"/><Relationship Id="rId2" Type="http://schemas.openxmlformats.org/officeDocument/2006/relationships/settings" Target="settings.xml"/><Relationship Id="rId199" Type="http://schemas.openxmlformats.org/officeDocument/2006/relationships/image" Target="media/image143.jpeg"/><Relationship Id="rId198" Type="http://schemas.openxmlformats.org/officeDocument/2006/relationships/image" Target="media/image142.jpeg"/><Relationship Id="rId197" Type="http://schemas.openxmlformats.org/officeDocument/2006/relationships/image" Target="media/image141.jpeg"/><Relationship Id="rId196" Type="http://schemas.openxmlformats.org/officeDocument/2006/relationships/image" Target="media/image140.jpeg"/><Relationship Id="rId195" Type="http://schemas.openxmlformats.org/officeDocument/2006/relationships/image" Target="media/image139.jpeg"/><Relationship Id="rId194" Type="http://schemas.openxmlformats.org/officeDocument/2006/relationships/image" Target="media/image138.jpeg"/><Relationship Id="rId193" Type="http://schemas.openxmlformats.org/officeDocument/2006/relationships/image" Target="media/image137.png"/><Relationship Id="rId192" Type="http://schemas.openxmlformats.org/officeDocument/2006/relationships/image" Target="media/image136.png"/><Relationship Id="rId191" Type="http://schemas.openxmlformats.org/officeDocument/2006/relationships/image" Target="media/image135.png"/><Relationship Id="rId190" Type="http://schemas.openxmlformats.org/officeDocument/2006/relationships/image" Target="media/image134.png"/><Relationship Id="rId19" Type="http://schemas.openxmlformats.org/officeDocument/2006/relationships/image" Target="media/image2.png"/><Relationship Id="rId189" Type="http://schemas.openxmlformats.org/officeDocument/2006/relationships/image" Target="media/image133.png"/><Relationship Id="rId188" Type="http://schemas.openxmlformats.org/officeDocument/2006/relationships/image" Target="media/image132.png"/><Relationship Id="rId187" Type="http://schemas.openxmlformats.org/officeDocument/2006/relationships/image" Target="media/image131.jpeg"/><Relationship Id="rId186" Type="http://schemas.openxmlformats.org/officeDocument/2006/relationships/image" Target="media/image130.jpeg"/><Relationship Id="rId185" Type="http://schemas.openxmlformats.org/officeDocument/2006/relationships/image" Target="media/image129.jpeg"/><Relationship Id="rId184" Type="http://schemas.openxmlformats.org/officeDocument/2006/relationships/image" Target="media/image128.jpeg"/><Relationship Id="rId183" Type="http://schemas.openxmlformats.org/officeDocument/2006/relationships/image" Target="media/image127.jpeg"/><Relationship Id="rId182" Type="http://schemas.openxmlformats.org/officeDocument/2006/relationships/image" Target="media/image126.jpeg"/><Relationship Id="rId181" Type="http://schemas.openxmlformats.org/officeDocument/2006/relationships/image" Target="media/image125.jpeg"/><Relationship Id="rId180" Type="http://schemas.openxmlformats.org/officeDocument/2006/relationships/image" Target="media/image124.jpeg"/><Relationship Id="rId18" Type="http://schemas.openxmlformats.org/officeDocument/2006/relationships/image" Target="media/image1.jpeg"/><Relationship Id="rId179" Type="http://schemas.openxmlformats.org/officeDocument/2006/relationships/image" Target="media/image123.jpeg"/><Relationship Id="rId178" Type="http://schemas.openxmlformats.org/officeDocument/2006/relationships/image" Target="media/image122.jpeg"/><Relationship Id="rId177" Type="http://schemas.openxmlformats.org/officeDocument/2006/relationships/image" Target="media/image121.png"/><Relationship Id="rId176" Type="http://schemas.openxmlformats.org/officeDocument/2006/relationships/image" Target="media/image120.png"/><Relationship Id="rId175" Type="http://schemas.openxmlformats.org/officeDocument/2006/relationships/image" Target="media/image119.jpeg"/><Relationship Id="rId174" Type="http://schemas.openxmlformats.org/officeDocument/2006/relationships/image" Target="media/image118.jpeg"/><Relationship Id="rId173" Type="http://schemas.openxmlformats.org/officeDocument/2006/relationships/image" Target="media/image117.jpeg"/><Relationship Id="rId172" Type="http://schemas.openxmlformats.org/officeDocument/2006/relationships/image" Target="media/image116.jpeg"/><Relationship Id="rId171" Type="http://schemas.openxmlformats.org/officeDocument/2006/relationships/image" Target="media/image115.jpeg"/><Relationship Id="rId170" Type="http://schemas.openxmlformats.org/officeDocument/2006/relationships/image" Target="media/image114.jpeg"/><Relationship Id="rId17" Type="http://schemas.openxmlformats.org/officeDocument/2006/relationships/theme" Target="theme/theme1.xml"/><Relationship Id="rId169" Type="http://schemas.openxmlformats.org/officeDocument/2006/relationships/image" Target="media/image113.jpeg"/><Relationship Id="rId168" Type="http://schemas.openxmlformats.org/officeDocument/2006/relationships/image" Target="media/image112.jpeg"/><Relationship Id="rId167" Type="http://schemas.openxmlformats.org/officeDocument/2006/relationships/image" Target="media/image111.jpeg"/><Relationship Id="rId166" Type="http://schemas.openxmlformats.org/officeDocument/2006/relationships/image" Target="media/image110.jpeg"/><Relationship Id="rId165" Type="http://schemas.openxmlformats.org/officeDocument/2006/relationships/image" Target="media/image109.jpeg"/><Relationship Id="rId164" Type="http://schemas.openxmlformats.org/officeDocument/2006/relationships/image" Target="media/image108.jpeg"/><Relationship Id="rId163" Type="http://schemas.openxmlformats.org/officeDocument/2006/relationships/image" Target="media/image107.jpeg"/><Relationship Id="rId162" Type="http://schemas.openxmlformats.org/officeDocument/2006/relationships/image" Target="media/image106.jpeg"/><Relationship Id="rId161" Type="http://schemas.openxmlformats.org/officeDocument/2006/relationships/image" Target="media/image105.jpeg"/><Relationship Id="rId160" Type="http://schemas.openxmlformats.org/officeDocument/2006/relationships/image" Target="media/image104.jpeg"/><Relationship Id="rId16" Type="http://schemas.openxmlformats.org/officeDocument/2006/relationships/footer" Target="footer7.xml"/><Relationship Id="rId159" Type="http://schemas.openxmlformats.org/officeDocument/2006/relationships/image" Target="media/image103.png"/><Relationship Id="rId158" Type="http://schemas.openxmlformats.org/officeDocument/2006/relationships/image" Target="media/image102.png"/><Relationship Id="rId157" Type="http://schemas.openxmlformats.org/officeDocument/2006/relationships/image" Target="media/image101.png"/><Relationship Id="rId156" Type="http://schemas.openxmlformats.org/officeDocument/2006/relationships/image" Target="media/image100.png"/><Relationship Id="rId155" Type="http://schemas.openxmlformats.org/officeDocument/2006/relationships/image" Target="media/image99.png"/><Relationship Id="rId154" Type="http://schemas.openxmlformats.org/officeDocument/2006/relationships/image" Target="media/image98.png"/><Relationship Id="rId153" Type="http://schemas.openxmlformats.org/officeDocument/2006/relationships/image" Target="media/image97.png"/><Relationship Id="rId152" Type="http://schemas.openxmlformats.org/officeDocument/2006/relationships/image" Target="media/image96.png"/><Relationship Id="rId151" Type="http://schemas.openxmlformats.org/officeDocument/2006/relationships/image" Target="media/image95.png"/><Relationship Id="rId150" Type="http://schemas.openxmlformats.org/officeDocument/2006/relationships/image" Target="media/image94.jpeg"/><Relationship Id="rId15" Type="http://schemas.openxmlformats.org/officeDocument/2006/relationships/header" Target="header5.xml"/><Relationship Id="rId149" Type="http://schemas.openxmlformats.org/officeDocument/2006/relationships/image" Target="media/image93.jpeg"/><Relationship Id="rId148" Type="http://schemas.openxmlformats.org/officeDocument/2006/relationships/image" Target="media/image92.jpeg"/><Relationship Id="rId147" Type="http://schemas.openxmlformats.org/officeDocument/2006/relationships/image" Target="media/image91.jpeg"/><Relationship Id="rId146" Type="http://schemas.openxmlformats.org/officeDocument/2006/relationships/image" Target="media/image90.jpeg"/><Relationship Id="rId145" Type="http://schemas.openxmlformats.org/officeDocument/2006/relationships/image" Target="media/image89.jpeg"/><Relationship Id="rId144" Type="http://schemas.openxmlformats.org/officeDocument/2006/relationships/image" Target="media/image88.jpeg"/><Relationship Id="rId143" Type="http://schemas.openxmlformats.org/officeDocument/2006/relationships/image" Target="media/image87.png"/><Relationship Id="rId142" Type="http://schemas.openxmlformats.org/officeDocument/2006/relationships/image" Target="media/image86.jpeg"/><Relationship Id="rId141" Type="http://schemas.openxmlformats.org/officeDocument/2006/relationships/oleObject" Target="embeddings/oleObject39.bin"/><Relationship Id="rId140" Type="http://schemas.openxmlformats.org/officeDocument/2006/relationships/oleObject" Target="embeddings/oleObject38.bin"/><Relationship Id="rId14" Type="http://schemas.openxmlformats.org/officeDocument/2006/relationships/footer" Target="footer6.xml"/><Relationship Id="rId139" Type="http://schemas.openxmlformats.org/officeDocument/2006/relationships/oleObject" Target="embeddings/oleObject37.bin"/><Relationship Id="rId138" Type="http://schemas.openxmlformats.org/officeDocument/2006/relationships/oleObject" Target="embeddings/oleObject36.bin"/><Relationship Id="rId137" Type="http://schemas.openxmlformats.org/officeDocument/2006/relationships/oleObject" Target="embeddings/oleObject35.bin"/><Relationship Id="rId136" Type="http://schemas.openxmlformats.org/officeDocument/2006/relationships/oleObject" Target="embeddings/oleObject34.bin"/><Relationship Id="rId135" Type="http://schemas.openxmlformats.org/officeDocument/2006/relationships/image" Target="media/image85.png"/><Relationship Id="rId134" Type="http://schemas.openxmlformats.org/officeDocument/2006/relationships/image" Target="media/image84.png"/><Relationship Id="rId133" Type="http://schemas.openxmlformats.org/officeDocument/2006/relationships/image" Target="media/image83.png"/><Relationship Id="rId132" Type="http://schemas.openxmlformats.org/officeDocument/2006/relationships/image" Target="media/image82.png"/><Relationship Id="rId131" Type="http://schemas.openxmlformats.org/officeDocument/2006/relationships/image" Target="media/image81.png"/><Relationship Id="rId130" Type="http://schemas.openxmlformats.org/officeDocument/2006/relationships/image" Target="media/image80.png"/><Relationship Id="rId13" Type="http://schemas.openxmlformats.org/officeDocument/2006/relationships/footer" Target="footer5.xml"/><Relationship Id="rId129" Type="http://schemas.openxmlformats.org/officeDocument/2006/relationships/image" Target="media/image79.png"/><Relationship Id="rId128" Type="http://schemas.openxmlformats.org/officeDocument/2006/relationships/image" Target="media/image78.png"/><Relationship Id="rId127" Type="http://schemas.openxmlformats.org/officeDocument/2006/relationships/image" Target="media/image77.png"/><Relationship Id="rId126" Type="http://schemas.openxmlformats.org/officeDocument/2006/relationships/image" Target="media/image76.wmf"/><Relationship Id="rId125" Type="http://schemas.openxmlformats.org/officeDocument/2006/relationships/oleObject" Target="embeddings/oleObject33.bin"/><Relationship Id="rId124" Type="http://schemas.openxmlformats.org/officeDocument/2006/relationships/image" Target="media/image75.wmf"/><Relationship Id="rId123" Type="http://schemas.openxmlformats.org/officeDocument/2006/relationships/oleObject" Target="embeddings/oleObject32.bin"/><Relationship Id="rId122" Type="http://schemas.openxmlformats.org/officeDocument/2006/relationships/image" Target="media/image74.png"/><Relationship Id="rId121" Type="http://schemas.openxmlformats.org/officeDocument/2006/relationships/image" Target="media/image73.png"/><Relationship Id="rId120" Type="http://schemas.openxmlformats.org/officeDocument/2006/relationships/image" Target="media/image72.png"/><Relationship Id="rId12" Type="http://schemas.openxmlformats.org/officeDocument/2006/relationships/footer" Target="footer4.xml"/><Relationship Id="rId119" Type="http://schemas.openxmlformats.org/officeDocument/2006/relationships/image" Target="media/image71.wmf"/><Relationship Id="rId118" Type="http://schemas.openxmlformats.org/officeDocument/2006/relationships/oleObject" Target="embeddings/oleObject31.bin"/><Relationship Id="rId117" Type="http://schemas.openxmlformats.org/officeDocument/2006/relationships/image" Target="media/image70.wmf"/><Relationship Id="rId116" Type="http://schemas.openxmlformats.org/officeDocument/2006/relationships/oleObject" Target="embeddings/oleObject30.bin"/><Relationship Id="rId115" Type="http://schemas.openxmlformats.org/officeDocument/2006/relationships/image" Target="media/image69.wmf"/><Relationship Id="rId114" Type="http://schemas.openxmlformats.org/officeDocument/2006/relationships/oleObject" Target="embeddings/oleObject29.bin"/><Relationship Id="rId113" Type="http://schemas.openxmlformats.org/officeDocument/2006/relationships/image" Target="media/image68.wmf"/><Relationship Id="rId112" Type="http://schemas.openxmlformats.org/officeDocument/2006/relationships/oleObject" Target="embeddings/oleObject28.bin"/><Relationship Id="rId111" Type="http://schemas.openxmlformats.org/officeDocument/2006/relationships/image" Target="media/image67.wmf"/><Relationship Id="rId110" Type="http://schemas.openxmlformats.org/officeDocument/2006/relationships/oleObject" Target="embeddings/oleObject27.bin"/><Relationship Id="rId11" Type="http://schemas.openxmlformats.org/officeDocument/2006/relationships/header" Target="header4.xml"/><Relationship Id="rId109" Type="http://schemas.openxmlformats.org/officeDocument/2006/relationships/image" Target="media/image66.png"/><Relationship Id="rId108" Type="http://schemas.openxmlformats.org/officeDocument/2006/relationships/image" Target="media/image65.png"/><Relationship Id="rId107" Type="http://schemas.openxmlformats.org/officeDocument/2006/relationships/image" Target="media/image64.png"/><Relationship Id="rId106" Type="http://schemas.openxmlformats.org/officeDocument/2006/relationships/image" Target="media/image63.png"/><Relationship Id="rId105" Type="http://schemas.openxmlformats.org/officeDocument/2006/relationships/image" Target="media/image62.png"/><Relationship Id="rId104" Type="http://schemas.openxmlformats.org/officeDocument/2006/relationships/image" Target="media/image61.png"/><Relationship Id="rId103" Type="http://schemas.openxmlformats.org/officeDocument/2006/relationships/image" Target="media/image60.png"/><Relationship Id="rId102" Type="http://schemas.openxmlformats.org/officeDocument/2006/relationships/image" Target="media/image59.png"/><Relationship Id="rId101" Type="http://schemas.openxmlformats.org/officeDocument/2006/relationships/image" Target="media/image58.png"/><Relationship Id="rId100" Type="http://schemas.openxmlformats.org/officeDocument/2006/relationships/image" Target="media/image57.png"/><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e995cb68-2f73-43b5-8a4f-4f9ad6a5d529</errorID>
      <errorWord>月</errorWord>
      <group>L1_Word</group>
      <groupName>字词问题</groupName>
      <ability>L2_Typo</ability>
      <abilityName>字词错误</abilityName>
      <candidateList>
        <item>约</item>
      </candidateList>
      <explain/>
      <paraID>13906693</paraID>
      <start>64</start>
      <end>65</end>
      <status>modified</status>
      <modifiedWord>约</modifiedWord>
      <trackRevisions>false</trackRevisions>
    </reviewItem>
    <reviewItem>
      <errorID>754d53a3-f7f2-49e1-a1f4-b8277a23562c</errorID>
      <errorWord>其它煤种</errorWord>
      <group>L1_Word</group>
      <groupName>字词问题</groupName>
      <ability>L2_Alias</ability>
      <abilityName>也作/曾用词</abilityName>
      <candidateList>
        <item>其他煤种</item>
      </candidateList>
      <explain>词汇[其它煤种]为不规范表述或旧称，其规范书面表述为[其他煤种]。</explain>
      <paraID>6A2A5E02</paraID>
      <start>78</start>
      <end>82</end>
      <status>unmodified</status>
      <modifiedWord/>
      <trackRevisions>false</trackRevisions>
    </reviewItem>
    <reviewItem>
      <errorID>3e3dc52a-2bf4-437f-9d86-578c92aefb26</errorID>
      <errorWord>其它煤种</errorWord>
      <group>L1_Word</group>
      <groupName>字词问题</groupName>
      <ability>L2_Alias</ability>
      <abilityName>也作/曾用词</abilityName>
      <candidateList>
        <item>其他煤种</item>
      </candidateList>
      <explain>词汇[其它煤种]为不规范表述或旧称，其规范书面表述为[其他煤种]。</explain>
      <paraID>6A2A5E02</paraID>
      <start>106</start>
      <end>110</end>
      <status>unmodified</status>
      <modifiedWord/>
      <trackRevisions>false</trackRevisions>
    </reviewItem>
    <reviewItem>
      <errorID>48bd87c4-0ae6-4fe3-a495-4b5026d103bc</errorID>
      <errorWord>遏止</errorWord>
      <group>L1_Word</group>
      <groupName>字词问题</groupName>
      <ability>L2_Typo</ability>
      <abilityName>字词错误</abilityName>
      <candidateList>
        <item>遏制</item>
      </candidateList>
      <explain>〈动〉制止；控制：～对方的攻势｜～不住的激情。</explain>
      <paraID>3F1709BA</paraID>
      <start>225</start>
      <end>227</end>
      <status>unmodified</status>
      <modifiedWord/>
      <trackRevisions>false</trackRevisions>
    </reviewItem>
    <reviewItem>
      <errorID>591bd921-6d0c-480b-ae33-76830a4ef092</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763B8690</paraID>
      <start>124</start>
      <end>125</end>
      <status>unmodified</status>
      <modifiedWord/>
      <trackRevisions>false</trackRevisions>
    </reviewItem>
    <reviewItem>
      <errorID>8e2a96d7-6707-4e7d-8db5-6da3f4b645d3</errorID>
      <errorWord>处臵</errorWord>
      <group>L1_Word</group>
      <groupName>字词问题</groupName>
      <ability>L2_Typo</ability>
      <abilityName>字词错误</abilityName>
      <candidateList>
        <item>处置</item>
      </candidateList>
      <explain>〈动〉❶处理：～失当｜～得宜。❷发落；惩治：依法～。</explain>
      <paraID>19F4AA5A</paraID>
      <start>15</start>
      <end>17</end>
      <status>modified</status>
      <modifiedWord>处置</modifiedWord>
      <trackRevisions>false</trackRevisions>
    </reviewItem>
    <reviewItem>
      <errorID>201a80d2-497f-4fb5-887b-3609b5d03dc9</errorID>
      <errorWord>，</errorWord>
      <group>L1_Word</group>
      <groupName>字词问题</groupName>
      <ability>L2_Typo</ability>
      <abilityName>字词错误</abilityName>
      <candidateList>
        <item>，并</item>
      </candidateList>
      <explain/>
      <paraID>19F4AA5A</paraID>
      <start>51</start>
      <end>52</end>
      <status>ignored</status>
      <modifiedWord/>
      <trackRevisions>false</trackRevisions>
    </reviewItem>
    <reviewItem>
      <errorID>348f9350-5914-442c-95af-bd3e05fb8f6c</errorID>
      <errorWord>处臵</errorWord>
      <group>L1_Word</group>
      <groupName>字词问题</groupName>
      <ability>L2_Typo</ability>
      <abilityName>字词错误</abilityName>
      <candidateList>
        <item>处置</item>
      </candidateList>
      <explain>〈动〉❶处理：～失当｜～得宜。❷发落；惩治：依法～。</explain>
      <paraID>4CE46FFE</paraID>
      <start>57</start>
      <end>59</end>
      <status>modified</status>
      <modifiedWord>处置</modifiedWord>
      <trackRevisions>false</trackRevisions>
    </reviewItem>
    <reviewItem>
      <errorID>562fab8e-c3e4-4b15-8090-850b5ed863ef</errorID>
      <errorWord>制定计划</errorWord>
      <group>L1_Word</group>
      <groupName>字词问题</groupName>
      <ability>L2_Typo</ability>
      <abilityName>字词错误</abilityName>
      <candidateList>
        <item>制订计划</item>
      </candidateList>
      <explain/>
      <paraID>52E585DF</paraID>
      <start>37</start>
      <end>41</end>
      <status>ignored</status>
      <modifiedWord/>
      <trackRevisions>false</trackRevisions>
    </reviewItem>
    <reviewItem>
      <errorID>50f20fd3-3b9c-4fc1-b7cb-b7b251b98951</errorID>
      <errorWord>工</errorWord>
      <group>L1_Word</group>
      <groupName>字词问题</groupName>
      <ability>L2_Typo</ability>
      <abilityName>字词错误</abilityName>
      <candidateList>
        <item>工作</item>
      </candidateList>
      <explain>❶〈动〉从事体力或脑力劳动，也泛指机器、工具受人操纵而发挥生产作用：积极～｜开始～｜铲土机正在～。❷〈名〉职业：找～｜～没有贵贱之分。❸〈名〉业务；任务：～量｜宣传～｜工会～｜科学研究～。</explain>
      <paraID>2872D91F</paraID>
      <start>150</start>
      <end>150</end>
      <status>ignored</status>
      <modifiedWord/>
      <trackRevisions>false</trackRevisions>
    </reviewItem>
    <reviewItem>
      <errorID>0d13e33a-5f46-46a4-a9a3-30be3fbbcb26</errorID>
      <errorWord>加强</errorWord>
      <group>L1_Grammar</group>
      <groupName>语法问题</groupName>
      <ability>L2_Grammar</ability>
      <abilityName>语法错误</abilityName>
      <candidateList>
        <item>促进</item>
      </candidateList>
      <explain>“加强～转型”搭配不当，建议修改为“促进～转型”。</explain>
      <paraID>6B7B9438</paraID>
      <start>113</start>
      <end>115</end>
      <status>ignored</status>
      <modifiedWord/>
      <trackRevisions>false</trackRevisions>
    </reviewItem>
    <reviewItem>
      <errorID>9fabfa8a-5c2b-46da-87e9-90e3f6532568</errorID>
      <errorWord>县（市）区</errorWord>
      <group>L1_Punc</group>
      <groupName>标点问题</groupName>
      <ability>L2_Punc</ability>
      <abilityName>标点符号检查</abilityName>
      <candidateList>
        <item>县（市、区）</item>
      </candidateList>
      <explain/>
      <paraID>6B7B9438</paraID>
      <start>259</start>
      <end>264</end>
      <status>unmodified</status>
      <modifiedWord/>
      <trackRevisions>false</trackRevisions>
    </reviewItem>
    <reviewItem>
      <errorID>14a98e16-5406-41cb-b065-c9b3b85e5803</errorID>
      <errorWord>锅炉烟气锅炉烟气</errorWord>
      <group>L1_Word</group>
      <groupName>字词问题</groupName>
      <ability>L2_Typo</ability>
      <abilityName>字词错误</abilityName>
      <candidateList>
        <item>锅炉烟气</item>
      </candidateList>
      <explain/>
      <paraID>7E5B8D2E</paraID>
      <start>10</start>
      <end>18</end>
      <status>unmodified</status>
      <modifiedWord/>
      <trackRevisions>false</trackRevisions>
    </reviewItem>
    <reviewItem>
      <errorID>039e6471-7f18-4a9f-a384-4e45610c1558</errorID>
      <errorWord>工</errorWord>
      <group>L1_Word</group>
      <groupName>字词问题</groupName>
      <ability>L2_Typo</ability>
      <abilityName>字词错误</abilityName>
      <candidateList>
        <item>工作</item>
      </candidateList>
      <explain>❶〈动〉从事体力或脑力劳动，也泛指机器、工具受人操纵而发挥生产作用：积极～｜开始～｜铲土机正在～。❷〈名〉职业：找～｜～没有贵贱之分。❸〈名〉业务；任务：～量｜宣传～｜工会～｜科学研究～。</explain>
      <paraID>574E5644</paraID>
      <start>152</start>
      <end>152</end>
      <status>unmodified</status>
      <modifiedWord/>
      <trackRevisions>false</trackRevisions>
    </reviewItem>
    <reviewItem>
      <errorID>cd352860-54d8-43e9-9a25-51864c6c270f</errorID>
      <errorWord>工</errorWord>
      <group>L1_Word</group>
      <groupName>字词问题</groupName>
      <ability>L2_Typo</ability>
      <abilityName>字词错误</abilityName>
      <candidateList>
        <item>工作</item>
      </candidateList>
      <explain>❶〈动〉从事体力或脑力劳动，也泛指机器、工具受人操纵而发挥生产作用：积极～｜开始～｜铲土机正在～。❷〈名〉职业：找～｜～没有贵贱之分。❸〈名〉业务；任务：～量｜宣传～｜工会～｜科学研究～。</explain>
      <paraID>2A1CB292</paraID>
      <start>154</start>
      <end>154</end>
      <status>unmodified</status>
      <modifiedWord/>
      <trackRevisions>false</trackRevisions>
    </reviewItem>
    <reviewItem>
      <errorID>7153d537-4e42-4cb9-8ba3-7165aeedd0be</errorID>
      <errorWord>本本项目</errorWord>
      <group>L1_Word</group>
      <groupName>字词问题</groupName>
      <ability>L2_Typo</ability>
      <abilityName>字词错误</abilityName>
      <candidateList>
        <item>本项目</item>
      </candidateList>
      <explain/>
      <paraID>2FA95B34</paraID>
      <start>0</start>
      <end>4</end>
      <status>unmodified</status>
      <modifiedWord/>
      <trackRevisions>false</trackRevisions>
    </reviewItem>
    <reviewItem>
      <errorID>7a671424-7791-4d7f-9da7-246dee715fb1</errorID>
      <errorWord>黑龙江省环境保护条例</errorWord>
      <group>L1_Knowledge</group>
      <groupName>知识性问题</groupName>
      <ability>L2_Knowledge</ability>
      <abilityName>其他知识</abilityName>
      <candidateList/>
      <explain>该法规已废止，请注意检查引用是否正确。</explain>
      <paraID>7955452D</paraID>
      <start>5</start>
      <end>15</end>
      <status>unmodified</status>
      <modifiedWord/>
      <trackRevisions>false</trackRevisions>
    </reviewItem>
    <reviewItem>
      <errorID>527267f8-2c0d-44b9-999c-bb149dbae415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3C535854</paraID>
      <start>0</start>
      <end>2</end>
      <status>unmodified</status>
      <modifiedWord/>
      <trackRevisions>false</trackRevisions>
    </reviewItem>
    <reviewItem>
      <errorID>2d76ea59-ec01-4bb4-bdc9-70d0930ff34e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36DB6A1F</paraID>
      <start>0</start>
      <end>2</end>
      <status>unmodified</status>
      <modifiedWord/>
      <trackRevisions>false</trackRevisions>
    </reviewItem>
    <reviewItem>
      <errorID>59916fc2-bf8a-47e4-9c22-5b5ed9cb5b36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411B892D</paraID>
      <start>0</start>
      <end>2</end>
      <status>unmodified</status>
      <modifiedWord/>
      <trackRevisions>false</trackRevisions>
    </reviewItem>
    <reviewItem>
      <errorID>cd68dc83-4e0e-4a26-8213-4f768f8bacc8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14DAF345</paraID>
      <start>0</start>
      <end>2</end>
      <status>unmodified</status>
      <modifiedWord/>
      <trackRevisions>false</trackRevisions>
    </reviewItem>
    <reviewItem>
      <errorID>401ed741-787d-4f9a-9554-3d9ebeaca567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699C26C5</paraID>
      <start>0</start>
      <end>2</end>
      <status>unmodified</status>
      <modifiedWord/>
      <trackRevisions>false</trackRevisions>
    </reviewItem>
    <reviewItem>
      <errorID>2b3ec9ec-b704-4704-b495-05a24d846637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795D889D</paraID>
      <start>0</start>
      <end>2</end>
      <status>unmodified</status>
      <modifiedWord/>
      <trackRevisions>false</trackRevisions>
    </reviewItem>
    <reviewItem>
      <errorID>c335f238-f0d3-480d-b422-1aa705da79f3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4363C1F1</paraID>
      <start>0</start>
      <end>2</end>
      <status>unmodified</status>
      <modifiedWord/>
      <trackRevisions>false</trackRevisions>
    </reviewItem>
    <reviewItem>
      <errorID>43673c3c-130e-4d67-8374-5807fb6dc8da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4B0886AD</paraID>
      <start>0</start>
      <end>2</end>
      <status>unmodified</status>
      <modifiedWord/>
      <trackRevisions>false</trackRevisions>
    </reviewItem>
    <reviewItem>
      <errorID>494a5f54-3968-4c77-a95c-7d699df3bb34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20B453AD</paraID>
      <start>0</start>
      <end>2</end>
      <status>unmodified</status>
      <modifiedWord/>
      <trackRevisions>false</trackRevisions>
    </reviewItem>
    <reviewItem>
      <errorID>efc63968-3981-40a3-b6cf-550959f70c4e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55B618C3</paraID>
      <start>0</start>
      <end>2</end>
      <status>unmodified</status>
      <modifiedWord/>
      <trackRevisions>false</trackRevisions>
    </reviewItem>
    <reviewItem>
      <errorID>90aca9db-4dc6-41d5-9270-db04d806cdb0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4E7C63F4</paraID>
      <start>0</start>
      <end>2</end>
      <status>unmodified</status>
      <modifiedWord/>
      <trackRevisions>false</trackRevisions>
    </reviewItem>
    <reviewItem>
      <errorID>977a4096-4ca2-46c2-b2ee-bc150c6cc077</errorID>
      <errorWord>排气简</errorWord>
      <group>L1_Word</group>
      <groupName>字词问题</groupName>
      <ability>L2_Typo</ability>
      <abilityName>字词错误</abilityName>
      <candidateList>
        <item>排气筒</item>
      </candidateList>
      <explain/>
      <paraID>5268A6C6</paraID>
      <start>44</start>
      <end>47</end>
      <status>unmodified</status>
      <modifiedWord/>
      <trackRevisions>false</trackRevisions>
    </reviewItem>
    <reviewItem>
      <errorID>9307ed14-754c-439c-b15d-2a4e898b4e2d</errorID>
      <errorWord>,</errorWord>
      <group>L1_Format</group>
      <groupName>格式问题</groupName>
      <ability>L2_HalfPunc</ability>
      <abilityName>全半角检查</abilityName>
      <candidateList>
        <item>，</item>
      </candidateList>
      <explain>文本全半角错误。</explain>
      <paraID>5268A6C6</paraID>
      <start>75</start>
      <end>76</end>
      <status>unmodified</status>
      <modifiedWord/>
      <trackRevisions>false</trackRevisions>
    </reviewItem>
    <reviewItem>
      <errorID>a6513f04-87bd-4dc4-8c1f-2d179b3a7da4</errorID>
      <errorWord>工</errorWord>
      <group>L1_Word</group>
      <groupName>字词问题</groupName>
      <ability>L2_Typo</ability>
      <abilityName>字词错误</abilityName>
      <candidateList>
        <item>工作</item>
      </candidateList>
      <explain>❶〈动〉从事体力或脑力劳动，也泛指机器、工具受人操纵而发挥生产作用：积极～｜开始～｜铲土机正在～。❷〈名〉职业：找～｜～没有贵贱之分。❸〈名〉业务；任务：～量｜宣传～｜工会～｜科学研究～。</explain>
      <paraID>1F911340</paraID>
      <start>157</start>
      <end>157</end>
      <status>unmodified</status>
      <modifiedWord/>
      <trackRevisions>false</trackRevisions>
    </reviewItem>
    <reviewItem>
      <errorID>1bd6f6c9-efe9-4ae5-b9a8-c2d5168c6c62</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43A811E1</paraID>
      <start>135</start>
      <end>136</end>
      <status>unmodified</status>
      <modifiedWord/>
      <trackRevisions>false</trackRevisions>
    </reviewItem>
    <reviewItem>
      <errorID>6310fbb9-37bc-409d-a8a5-512f8c9aa9ff</errorID>
      <errorWord>~</errorWord>
      <group>L1_Format</group>
      <groupName>格式问题</groupName>
      <ability>L2_HalfPunc</ability>
      <abilityName>全半角检查</abilityName>
      <candidateList>
        <item>～</item>
      </candidateList>
      <explain>文本全半角错误。</explain>
      <paraID>7D814EFE</paraID>
      <start>18</start>
      <end>19</end>
      <status>unmodified</status>
      <modifiedWord/>
      <trackRevisions>false</trackRevisions>
    </reviewItem>
    <reviewItem>
      <errorID>718ede0c-516c-4800-b712-8578b67ee274</errorID>
      <errorWord>~</errorWord>
      <group>L1_Format</group>
      <groupName>格式问题</groupName>
      <ability>L2_HalfPunc</ability>
      <abilityName>全半角检查</abilityName>
      <candidateList>
        <item>～</item>
      </candidateList>
      <explain>文本全半角错误。</explain>
      <paraID>7D814EFE</paraID>
      <start>46</start>
      <end>47</end>
      <status>unmodified</status>
      <modifiedWord/>
      <trackRevisions>false</trackRevisions>
    </reviewItem>
    <reviewItem>
      <errorID>5bbe2996-2263-47ab-93ec-16c1bcfc39ae</errorID>
      <errorWord>海拔高度</errorWord>
      <group>L1_Word</group>
      <groupName>字词问题</groupName>
      <ability>L2_Typo</ability>
      <abilityName>字词错误</abilityName>
      <candidateList>
        <item>海拔</item>
      </candidateList>
      <explain>〈名〉从平均海平面起算的高度。</explain>
      <paraID>51E367EE</paraID>
      <start>5</start>
      <end>9</end>
      <status>unmodified</status>
      <modifiedWord/>
      <trackRevisions>false</trackRevisions>
    </reviewItem>
    <reviewItem>
      <errorID>ce246b25-c577-4d09-9161-67055368b454</errorID>
      <errorWord>海拔高度</errorWord>
      <group>L1_Word</group>
      <groupName>字词问题</groupName>
      <ability>L2_Typo</ability>
      <abilityName>字词错误</abilityName>
      <candidateList>
        <item>海拔</item>
      </candidateList>
      <explain>〈名〉从平均海平面起算的高度。</explain>
      <paraID>5A00D987</paraID>
      <start>0</start>
      <end>4</end>
      <status>unmodified</status>
      <modifiedWord/>
      <trackRevisions>false</trackRevisions>
    </reviewItem>
    <reviewItem>
      <errorID>388d713a-1a1b-4f70-9ffd-f6eac1e3e263</errorID>
      <errorWord>..</errorWord>
      <group>L1_Punc</group>
      <groupName>标点问题</groupName>
      <ability>L2_Punc</ability>
      <abilityName>标点符号检查</abilityName>
      <candidateList>
        <item>.</item>
      </candidateList>
      <explain/>
      <paraID>7BD078EF</paraID>
      <start>1</start>
      <end>3</end>
      <status>unmodified</status>
      <modifiedWord/>
      <trackRevisions>false</trackRevisions>
    </reviewItem>
    <reviewItem>
      <errorID>9a638c77-97e5-4f4c-97c6-2ac5c4280c68</errorID>
      <errorWord>：是</errorWord>
      <group>L1_Word</group>
      <groupName>字词问题</groupName>
      <ability>L2_Typo</ability>
      <abilityName>字词错误</abilityName>
      <candidateList>
        <item>：</item>
      </candidateList>
      <explain/>
      <paraID>5FA29C73</paraID>
      <start>1</start>
      <end>3</end>
      <status>unmodified</status>
      <modifiedWord/>
      <trackRevisions>false</trackRevisions>
    </reviewItem>
    <reviewItem>
      <errorID>03822f64-124a-473f-9428-d5579386306e</errorID>
      <errorWord>锅炉锅炉</errorWord>
      <group>L1_Word</group>
      <groupName>字词问题</groupName>
      <ability>L2_Typo</ability>
      <abilityName>字词错误</abilityName>
      <candidateList>
        <item>锅炉</item>
      </candidateList>
      <explain/>
      <paraID>3AF8E0E8</paraID>
      <start>5</start>
      <end>9</end>
      <status>unmodified</status>
      <modifiedWord/>
      <trackRevisions>false</trackRevisions>
    </reviewItem>
    <reviewItem>
      <errorID>e9d308f9-4d30-4d98-80d5-a5a2c393e920</errorID>
      <errorWord>台为</errorWord>
      <group>L1_Word</group>
      <groupName>字词问题</groupName>
      <ability>L2_Typo</ability>
      <abilityName>字词错误</abilityName>
      <candidateList>
        <item>台</item>
      </candidateList>
      <explain/>
      <paraID>726672B5</paraID>
      <start>24</start>
      <end>26</end>
      <status>unmodified</status>
      <modifiedWord/>
      <trackRevisions>false</trackRevisions>
    </reviewItem>
    <reviewItem>
      <errorID>231e492a-4ad7-4ed7-9860-9f7d1e9440e8</errorID>
      <errorWord>(</errorWord>
      <group>L1_Format</group>
      <groupName>格式问题</groupName>
      <ability>L2_HalfPunc</ability>
      <abilityName>全半角检查</abilityName>
      <candidateList>
        <item>（</item>
      </candidateList>
      <explain>文本全半角错误。</explain>
      <paraID>12101A47</paraID>
      <start>46</start>
      <end>47</end>
      <status>unmodified</status>
      <modifiedWord/>
      <trackRevisions>false</trackRevisions>
    </reviewItem>
    <reviewItem>
      <errorID>01383e38-2c45-4681-93b6-5399729853da</errorID>
      <errorWord>[2016]189号</errorWord>
      <group>L1_Knowledge</group>
      <groupName>知识性问题</groupName>
      <ability>L2_Knowledge</ability>
      <abilityName>其他知识</abilityName>
      <candidateList>
        <item>〔2016〕189号</item>
      </candidateList>
      <explain>发文字号格式错误。</explain>
      <paraID>12101A47</paraID>
      <start>50</start>
      <end>60</end>
      <status>unmodified</status>
      <modifiedWord/>
      <trackRevisions>false</trackRevisions>
    </reviewItem>
    <reviewItem>
      <errorID>adc3098d-3017-4524-a3fd-4338faf235e3</errorID>
      <errorWord>)</errorWord>
      <group>L1_Format</group>
      <groupName>格式问题</groupName>
      <ability>L2_HalfPunc</ability>
      <abilityName>全半角检查</abilityName>
      <candidateList>
        <item>）</item>
      </candidateList>
      <explain>文本全半角错误。</explain>
      <paraID>12101A47</paraID>
      <start>60</start>
      <end>61</end>
      <status>unmodified</status>
      <modifiedWord/>
      <trackRevisions>false</trackRevisions>
    </reviewItem>
    <reviewItem>
      <errorID>8d394688-e873-4d73-8f19-2b906df41268</errorID>
      <errorWord>（</errorWord>
      <group>L1_Format</group>
      <groupName>格式问题</groupName>
      <ability>L2_HalfPunc</ability>
      <abilityName>全半角检查</abilityName>
      <candidateList>
        <item>(</item>
      </candidateList>
      <explain>文本全半角错误。</explain>
      <paraID>511D4C48</paraID>
      <start>0</start>
      <end>1</end>
      <status>unmodified</status>
      <modifiedWord/>
      <trackRevisions>false</trackRevisions>
    </reviewItem>
    <reviewItem>
      <errorID>8ff6a244-0500-4695-8da9-6a74551c2e20</errorID>
      <errorWord>）</errorWord>
      <group>L1_Format</group>
      <groupName>格式问题</groupName>
      <ability>L2_HalfPunc</ability>
      <abilityName>全半角检查</abilityName>
      <candidateList>
        <item>)</item>
      </candidateList>
      <explain>文本全半角错误。</explain>
      <paraID>511D4C48</paraID>
      <start>6</start>
      <end>7</end>
      <status>unmodified</status>
      <modifiedWord/>
      <trackRevisions>false</trackRevisions>
    </reviewItem>
    <reviewItem>
      <errorID>d3b4bf33-8b5d-4209-b3de-c2e05f116bf1</errorID>
      <errorWord>（</errorWord>
      <group>L1_Format</group>
      <groupName>格式问题</groupName>
      <ability>L2_HalfPunc</ability>
      <abilityName>全半角检查</abilityName>
      <candidateList>
        <item>(</item>
      </candidateList>
      <explain>文本全半角错误。</explain>
      <paraID>60317431</paraID>
      <start>0</start>
      <end>1</end>
      <status>unmodified</status>
      <modifiedWord/>
      <trackRevisions>false</trackRevisions>
    </reviewItem>
    <reviewItem>
      <errorID>3cb187a8-0c46-4680-923f-afd22557e226</errorID>
      <errorWord>）</errorWord>
      <group>L1_Format</group>
      <groupName>格式问题</groupName>
      <ability>L2_HalfPunc</ability>
      <abilityName>全半角检查</abilityName>
      <candidateList>
        <item>)</item>
      </candidateList>
      <explain>文本全半角错误。</explain>
      <paraID>60317431</paraID>
      <start>6</start>
      <end>7</end>
      <status>unmodified</status>
      <modifiedWord/>
      <trackRevisions>false</trackRevisions>
    </reviewItem>
    <reviewItem>
      <errorID>21a13bb8-ecbc-48ca-8304-0b65fea49271</errorID>
      <errorWord>（</errorWord>
      <group>L1_Format</group>
      <groupName>格式问题</groupName>
      <ability>L2_HalfPunc</ability>
      <abilityName>全半角检查</abilityName>
      <candidateList>
        <item>(</item>
      </candidateList>
      <explain>文本全半角错误。</explain>
      <paraID>10C0DE50</paraID>
      <start>0</start>
      <end>1</end>
      <status>unmodified</status>
      <modifiedWord/>
      <trackRevisions>false</trackRevisions>
    </reviewItem>
    <reviewItem>
      <errorID>50090f11-48ca-471c-a364-5db41a440bb3</errorID>
      <errorWord>）</errorWord>
      <group>L1_Format</group>
      <groupName>格式问题</groupName>
      <ability>L2_HalfPunc</ability>
      <abilityName>全半角检查</abilityName>
      <candidateList>
        <item>)</item>
      </candidateList>
      <explain>文本全半角错误。</explain>
      <paraID>10C0DE50</paraID>
      <start>6</start>
      <end>7</end>
      <status>unmodified</status>
      <modifiedWord/>
      <trackRevisions>false</trackRevisions>
    </reviewItem>
    <reviewItem>
      <errorID>aac5e2e5-d9a1-4ee3-854c-042980310f0d</errorID>
      <errorWord>销</errorWord>
      <group>L1_Word</group>
      <groupName>字词问题</groupName>
      <ability>L2_Typo</ability>
      <abilityName>字词错误</abilityName>
      <candidateList>
        <item>硝</item>
      </candidateList>
      <explain/>
      <paraID>608D5137</paraID>
      <start>91</start>
      <end>92</end>
      <status>unmodified</status>
      <modifiedWord/>
      <trackRevisions>false</trackRevisions>
    </reviewItem>
    <reviewItem>
      <errorID>f4d9169f-2d0d-414a-ba80-b270dbae807b</errorID>
      <errorWord>工</errorWord>
      <group>L1_Word</group>
      <groupName>字词问题</groupName>
      <ability>L2_Typo</ability>
      <abilityName>字词错误</abilityName>
      <candidateList>
        <item>工作</item>
      </candidateList>
      <explain>❶〈动〉从事体力或脑力劳动，也泛指机器、工具受人操纵而发挥生产作用：积极～｜开始～｜铲土机正在～。❷〈名〉职业：找～｜～没有贵贱之分。❸〈名〉业务；任务：～量｜宣传～｜工会～｜科学研究～。</explain>
      <paraID>48FA10B0</paraID>
      <start>135</start>
      <end>135</end>
      <status>unmodified</status>
      <modifiedWord/>
      <trackRevisions>false</trackRevisions>
    </reviewItem>
    <reviewItem>
      <errorID>6925189a-2a9c-44b5-ade0-a02768c49e66</errorID>
      <errorWord>工</errorWord>
      <group>L1_Word</group>
      <groupName>字词问题</groupName>
      <ability>L2_Typo</ability>
      <abilityName>字词错误</abilityName>
      <candidateList>
        <item>工作</item>
      </candidateList>
      <explain>❶〈动〉从事体力或脑力劳动，也泛指机器、工具受人操纵而发挥生产作用：积极～｜开始～｜铲土机正在～。❷〈名〉职业：找～｜～没有贵贱之分。❸〈名〉业务；任务：～量｜宣传～｜工会～｜科学研究～。</explain>
      <paraID>7CBEC5D9</paraID>
      <start>164</start>
      <end>164</end>
      <status>unmodified</status>
      <modifiedWord/>
      <trackRevisions>false</trackRevisions>
    </reviewItem>
    <reviewItem>
      <errorID>ff8c347b-c0be-46dc-a484-d551b22bf25e</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1AACEB30</paraID>
      <start>52</start>
      <end>53</end>
      <status>unmodified</status>
      <modifiedWord/>
      <trackRevisions>false</trackRevisions>
    </reviewItem>
    <reviewItem>
      <errorID>22cb23c4-928e-4d7f-a872-9a436497f15a</errorID>
      <errorWord>工</errorWord>
      <group>L1_Word</group>
      <groupName>字词问题</groupName>
      <ability>L2_Typo</ability>
      <abilityName>字词错误</abilityName>
      <candidateList>
        <item>工作</item>
      </candidateList>
      <explain>❶〈动〉从事体力或脑力劳动，也泛指机器、工具受人操纵而发挥生产作用：积极～｜开始～｜铲土机正在～。❷〈名〉职业：找～｜～没有贵贱之分。❸〈名〉业务；任务：～量｜宣传～｜工会～｜科学研究～。</explain>
      <paraID>360B2BE9</paraID>
      <start>143</start>
      <end>143</end>
      <status>unmodified</status>
      <modifiedWord/>
      <trackRevisions>false</trackRevisions>
    </reviewItem>
    <reviewItem>
      <errorID>eaec393b-bb0e-410c-a9e3-80fcc2c332af</errorID>
      <errorWord>排除</errorWord>
      <group>L1_Word</group>
      <groupName>字词问题</groupName>
      <ability>L2_Typo</ability>
      <abilityName>字词错误</abilityName>
      <candidateList>
        <item>排出</item>
      </candidateList>
      <explain/>
      <paraID>73EAAF6A</paraID>
      <start>29</start>
      <end>31</end>
      <status>unmodified</status>
      <modifiedWord/>
      <trackRevisions>false</trackRevisions>
    </reviewItem>
    <reviewItem>
      <errorID>b960aced-9478-40df-9ea6-a6ac8fd9acd8</errorID>
      <errorWord>种</errorWord>
      <group>L1_Word</group>
      <groupName>字词问题</groupName>
      <ability>L2_Typo</ability>
      <abilityName>字词错误</abilityName>
      <candidateList>
        <item>种植</item>
      </candidateList>
      <explain/>
      <paraID>142EF88F</paraID>
      <start>15</start>
      <end>16</end>
      <status>unmodified</status>
      <modifiedWord/>
      <trackRevisions>false</trackRevisions>
    </reviewItem>
    <reviewItem>
      <errorID>ad7ee3f1-df68-45a8-bd00-1bcaafe2645e</errorID>
      <errorWord>计</errorWord>
      <group>L1_Word</group>
      <groupName>字词问题</groupName>
      <ability>L2_Typo</ability>
      <abilityName>字词错误</abilityName>
      <candidateList>
        <item>计算</item>
      </candidateList>
      <explain/>
      <paraID>63A4D615</paraID>
      <start>65</start>
      <end>66</end>
      <status>unmodified</status>
      <modifiedWord/>
      <trackRevisions>false</trackRevisions>
    </reviewItem>
    <reviewItem>
      <errorID>2f0beb64-8e62-44e2-9caa-979d72cff9ac</errorID>
      <errorWord>指硫</errorWord>
      <group>L1_Word</group>
      <groupName>字词问题</groupName>
      <ability>L2_Typo</ability>
      <abilityName>字词错误</abilityName>
      <candidateList>
        <item>脱硫</item>
      </candidateList>
      <explain/>
      <paraID>487485A4</paraID>
      <start>7</start>
      <end>9</end>
      <status>unmodified</status>
      <modifiedWord/>
      <trackRevisions>false</trackRevisions>
    </reviewItem>
    <reviewItem>
      <errorID>9f983c67-7cc4-4907-9d84-85b22d3f4601</errorID>
      <errorWord>工</errorWord>
      <group>L1_Word</group>
      <groupName>字词问题</groupName>
      <ability>L2_Typo</ability>
      <abilityName>字词错误</abilityName>
      <candidateList>
        <item>工作</item>
      </candidateList>
      <explain>❶〈动〉从事体力或脑力劳动，也泛指机器、工具受人操纵而发挥生产作用：积极～｜开始～｜铲土机正在～。❷〈名〉职业：找～｜～没有贵贱之分。❸〈名〉业务；任务：～量｜宣传～｜工会～｜科学研究～。</explain>
      <paraID>27299CD2</paraID>
      <start>175</start>
      <end>175</end>
      <status>unmodified</status>
      <modifiedWord/>
      <trackRevisions>false</trackRevisions>
    </reviewItem>
    <reviewItem>
      <errorID>f4570384-76f7-4f34-b3db-0e940fe513a4</errorID>
      <errorWord>热</errorWord>
      <group>L1_Word</group>
      <groupName>字词问题</groupName>
      <ability>L2_Typo</ability>
      <abilityName>字词错误</abilityName>
      <candidateList>
        <item>的</item>
      </candidateList>
      <explain>“的”常用于连接修饰语与名词性中心语，表示属性、所属或描述。</explain>
      <paraID> 8D91825</paraID>
      <start>0</start>
      <end>1</end>
      <status>unmodified</status>
      <modifiedWord/>
      <trackRevisions>false</trackRevisions>
    </reviewItem>
    <reviewItem>
      <errorID>e330f7af-3291-44f0-a64b-a8ebdff19cff</errorID>
      <errorWord>工</errorWord>
      <group>L1_Word</group>
      <groupName>字词问题</groupName>
      <ability>L2_Typo</ability>
      <abilityName>字词错误</abilityName>
      <candidateList>
        <item>工作</item>
      </candidateList>
      <explain>❶〈动〉从事体力或脑力劳动，也泛指机器、工具受人操纵而发挥生产作用：积极～｜开始～｜铲土机正在～。❷〈名〉职业：找～｜～没有贵贱之分。❸〈名〉业务；任务：～量｜宣传～｜工会～｜科学研究～。</explain>
      <paraID>6FB10722</paraID>
      <start>212</start>
      <end>212</end>
      <status>unmodified</status>
      <modifiedWord/>
      <trackRevisions>false</trackRevisions>
    </reviewItem>
    <reviewItem>
      <errorID>36b6bd7c-3dde-4287-9f23-d1829a8c076e</errorID>
      <errorWord>工</errorWord>
      <group>L1_Word</group>
      <groupName>字词问题</groupName>
      <ability>L2_Typo</ability>
      <abilityName>字词错误</abilityName>
      <candidateList>
        <item>工作</item>
      </candidateList>
      <explain>❶〈动〉从事体力或脑力劳动，也泛指机器、工具受人操纵而发挥生产作用：积极～｜开始～｜铲土机正在～。❷〈名〉职业：找～｜～没有贵贱之分。❸〈名〉业务；任务：～量｜宣传～｜工会～｜科学研究～。</explain>
      <paraID>4893F812</paraID>
      <start>163</start>
      <end>163</end>
      <status>unmodified</status>
      <modifiedWord/>
      <trackRevisions>false</trackRevisions>
    </reviewItem>
    <reviewItem>
      <errorID>68bb70fa-569a-43ce-9e42-7201b4270dad</errorID>
      <errorWord>。。</errorWord>
      <group>L1_Punc</group>
      <groupName>标点问题</groupName>
      <ability>L2_Punc</ability>
      <abilityName>标点符号检查</abilityName>
      <candidateList>
        <item>。</item>
      </candidateList>
      <explain/>
      <paraID>4893F812</paraID>
      <start>174</start>
      <end>176</end>
      <status>unmodified</status>
      <modifiedWord/>
      <trackRevisions>false</trackRevisions>
    </reviewItem>
    <reviewItem>
      <errorID>8fb9f51d-5711-42c8-8202-af22bb655fdc</errorID>
      <errorWord>水</errorWord>
      <group>L1_Word</group>
      <groupName>字词问题</groupName>
      <ability>L2_Typo</ability>
      <abilityName>字词错误</abilityName>
      <candidateList>
        <item>蚀</item>
      </candidateList>
      <explain>存在发音相近字词的误用。</explain>
      <paraID>168282AA</paraID>
      <start>17</start>
      <end>18</end>
      <status>unmodified</status>
      <modifiedWord/>
      <trackRevisions>false</trackRevisions>
    </reviewItem>
    <reviewItem>
      <errorID>db974383-99a7-4e06-8690-09bd4ae17e7c</errorID>
      <errorWord>水</errorWord>
      <group>L1_Word</group>
      <groupName>字词问题</groupName>
      <ability>L2_Typo</ability>
      <abilityName>字词错误</abilityName>
      <candidateList>
        <item>蚀</item>
      </candidateList>
      <explain>存在发音相近字词的误用。</explain>
      <paraID>168282AA</paraID>
      <start>105</start>
      <end>106</end>
      <status>unmodified</status>
      <modifiedWord/>
      <trackRevisions>false</trackRevisions>
    </reviewItem>
    <reviewItem>
      <errorID>03643f21-f97a-4c7c-9435-ab90122b7b89</errorID>
      <errorWord>蔥</errorWord>
      <group>L1_Word</group>
      <groupName>字词问题</groupName>
      <ability>L2_Fanti</ability>
      <abilityName>繁转简</abilityName>
      <candidateList>
        <item>葱</item>
      </candidateList>
      <explain/>
      <paraID>41F9FEA6</paraID>
      <start>5</start>
      <end>6</end>
      <status>unmodified</status>
      <modifiedWord/>
      <trackRevisions>false</trackRevisions>
    </reviewItem>
    <reviewItem>
      <errorID>439dc7fa-ce7b-4dae-b9d7-706d23ad7394</errorID>
      <errorWord>蔥</errorWord>
      <group>L1_Word</group>
      <groupName>字词问题</groupName>
      <ability>L2_Fanti</ability>
      <abilityName>繁转简</abilityName>
      <candidateList>
        <item>葱</item>
      </candidateList>
      <explain/>
      <paraID>4A0721DC</paraID>
      <start>6</start>
      <end>7</end>
      <status>unmodified</status>
      <modifiedWord/>
      <trackRevisions>false</trackRevisions>
    </reviewItem>
    <reviewItem>
      <errorID>634def8c-923e-4f78-91d6-54aca133d175</errorID>
      <errorWord>蔥</errorWord>
      <group>L1_Word</group>
      <groupName>字词问题</groupName>
      <ability>L2_Fanti</ability>
      <abilityName>繁转简</abilityName>
      <candidateList>
        <item>葱</item>
      </candidateList>
      <explain/>
      <paraID>35159B4C</paraID>
      <start>6</start>
      <end>7</end>
      <status>unmodified</status>
      <modifiedWord/>
      <trackRevisions>false</trackRevisions>
    </reviewItem>
    <reviewItem>
      <errorID>a30ca7f1-98d3-46b5-8a6c-92a83fa08cde</errorID>
      <errorWord>蔥</errorWord>
      <group>L1_Word</group>
      <groupName>字词问题</groupName>
      <ability>L2_Fanti</ability>
      <abilityName>繁转简</abilityName>
      <candidateList>
        <item>葱</item>
      </candidateList>
      <explain/>
      <paraID> 4572B32</paraID>
      <start>8</start>
      <end>9</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568cd9-c061-4195-a5a1-d3a0da452361}">
  <ds:schemaRefs/>
</ds:datastoreItem>
</file>

<file path=customXml/itemProps3.xml><?xml version="1.0" encoding="utf-8"?>
<ds:datastoreItem xmlns:ds="http://schemas.openxmlformats.org/officeDocument/2006/customXml" ds:itemID="{6C2562E4-EE75-4A5D-AB3C-05AE7827D14D}">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307</Pages>
  <Words>22774</Words>
  <Characters>24808</Characters>
  <Lines>1023</Lines>
  <Paragraphs>288</Paragraphs>
  <TotalTime>5</TotalTime>
  <ScaleCrop>false</ScaleCrop>
  <LinksUpToDate>false</LinksUpToDate>
  <CharactersWithSpaces>25108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2022-07-13T09:17:00Z</dcterms:created>
  <dc:creator>User</dc:creator>
  <cp:lastModifiedBy>wps</cp:lastModifiedBy>
  <cp:lastPrinted>2022-06-24T07:57:00Z</cp:lastPrinted>
  <dcterms:modified xsi:type="dcterms:W3CDTF">2026-02-09T03:08:55Z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9E5D687F96B048B59C70247CD1C6C071_13</vt:lpwstr>
  </property>
  <property fmtid="{D5CDD505-2E9C-101B-9397-08002B2CF9AE}" pid="4" name="KSOTemplateDocerSaveRecord">
    <vt:lpwstr>eyJoZGlkIjoiNjY3MTAyZWNmMDQ3ZjU5YjRlNDAzZWVjNzhkZjc4MWQiLCJ1c2VySWQiOiI0NTUxNzkzMTMifQ==</vt:lpwstr>
  </property>
</Properties>
</file>